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D5C" w:rsidRPr="007C21C9" w:rsidRDefault="008C7D5C">
      <w:pPr>
        <w:widowControl w:val="0"/>
        <w:pBdr>
          <w:top w:val="nil"/>
          <w:left w:val="nil"/>
          <w:bottom w:val="nil"/>
          <w:right w:val="nil"/>
          <w:between w:val="nil"/>
        </w:pBdr>
        <w:spacing w:line="276" w:lineRule="auto"/>
        <w:rPr>
          <w:rFonts w:ascii="Palatino Linotype" w:hAnsi="Palatino Linotype"/>
        </w:rPr>
      </w:pPr>
    </w:p>
    <w:p w:rsidR="008C7D5C" w:rsidRPr="00F137E5" w:rsidRDefault="00074B8B">
      <w:pPr>
        <w:tabs>
          <w:tab w:val="left" w:pos="0"/>
        </w:tabs>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seis (06) </w:t>
      </w:r>
      <w:r w:rsidR="0068337E" w:rsidRPr="00F137E5">
        <w:rPr>
          <w:rFonts w:ascii="Palatino Linotype" w:eastAsia="Palatino Linotype" w:hAnsi="Palatino Linotype" w:cs="Palatino Linotype"/>
        </w:rPr>
        <w:t>de marzo de dos mil veinticinco</w:t>
      </w:r>
      <w:r w:rsidRPr="00F137E5">
        <w:rPr>
          <w:rFonts w:ascii="Palatino Linotype" w:eastAsia="Palatino Linotype" w:hAnsi="Palatino Linotype" w:cs="Palatino Linotype"/>
        </w:rPr>
        <w:t xml:space="preserve">. </w:t>
      </w:r>
    </w:p>
    <w:p w:rsidR="008C7D5C" w:rsidRPr="00F137E5" w:rsidRDefault="008C7D5C">
      <w:pPr>
        <w:tabs>
          <w:tab w:val="left" w:pos="0"/>
        </w:tabs>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VISTO</w:t>
      </w:r>
      <w:r w:rsidRPr="00F137E5">
        <w:rPr>
          <w:rFonts w:ascii="Palatino Linotype" w:eastAsia="Palatino Linotype" w:hAnsi="Palatino Linotype" w:cs="Palatino Linotype"/>
        </w:rPr>
        <w:t xml:space="preserve"> el expediente electrónico formado con motivo del recurso de revisión </w:t>
      </w:r>
      <w:r w:rsidRPr="00F137E5">
        <w:rPr>
          <w:rFonts w:ascii="Palatino Linotype" w:eastAsia="Palatino Linotype" w:hAnsi="Palatino Linotype" w:cs="Palatino Linotype"/>
          <w:b/>
        </w:rPr>
        <w:t xml:space="preserve">01713/INFOEM/IP/RR/2024, </w:t>
      </w:r>
      <w:r w:rsidRPr="00F137E5">
        <w:rPr>
          <w:rFonts w:ascii="Palatino Linotype" w:eastAsia="Palatino Linotype" w:hAnsi="Palatino Linotype" w:cs="Palatino Linotype"/>
        </w:rPr>
        <w:t xml:space="preserve">promovido por </w:t>
      </w:r>
      <w:r w:rsidR="000F76E9">
        <w:rPr>
          <w:rFonts w:ascii="Palatino Linotype" w:eastAsia="Palatino Linotype" w:hAnsi="Palatino Linotype" w:cs="Palatino Linotype"/>
          <w:b/>
        </w:rPr>
        <w:t>XXXX</w:t>
      </w:r>
      <w:r w:rsidRPr="00F137E5">
        <w:rPr>
          <w:rFonts w:ascii="Palatino Linotype" w:eastAsia="Palatino Linotype" w:hAnsi="Palatino Linotype" w:cs="Palatino Linotype"/>
        </w:rPr>
        <w:t xml:space="preserve">, a quien en lo sucesivo se le identificara como </w:t>
      </w:r>
      <w:r w:rsidRPr="00F137E5">
        <w:rPr>
          <w:rFonts w:ascii="Palatino Linotype" w:eastAsia="Palatino Linotype" w:hAnsi="Palatino Linotype" w:cs="Palatino Linotype"/>
          <w:b/>
        </w:rPr>
        <w:t>RECURRENTE</w:t>
      </w:r>
      <w:r w:rsidRPr="00F137E5">
        <w:rPr>
          <w:rFonts w:ascii="Palatino Linotype" w:eastAsia="Palatino Linotype" w:hAnsi="Palatino Linotype" w:cs="Palatino Linotype"/>
        </w:rPr>
        <w:t xml:space="preserve">, en contra de la respuesta del </w:t>
      </w:r>
      <w:r w:rsidRPr="00F137E5">
        <w:rPr>
          <w:rFonts w:ascii="Palatino Linotype" w:eastAsia="Palatino Linotype" w:hAnsi="Palatino Linotype" w:cs="Palatino Linotype"/>
          <w:b/>
        </w:rPr>
        <w:t xml:space="preserve">Ayuntamiento de Villa del Carbón, </w:t>
      </w:r>
      <w:r w:rsidRPr="00F137E5">
        <w:rPr>
          <w:rFonts w:ascii="Palatino Linotype" w:eastAsia="Palatino Linotype" w:hAnsi="Palatino Linotype" w:cs="Palatino Linotype"/>
        </w:rPr>
        <w:t>en adelante el</w:t>
      </w:r>
      <w:r w:rsidRPr="00F137E5">
        <w:rPr>
          <w:rFonts w:ascii="Palatino Linotype" w:eastAsia="Palatino Linotype" w:hAnsi="Palatino Linotype" w:cs="Palatino Linotype"/>
          <w:b/>
        </w:rPr>
        <w:t xml:space="preserve"> SUJETO OBLIGADO, </w:t>
      </w:r>
      <w:r w:rsidRPr="00F137E5">
        <w:rPr>
          <w:rFonts w:ascii="Palatino Linotype" w:eastAsia="Palatino Linotype" w:hAnsi="Palatino Linotype" w:cs="Palatino Linotype"/>
        </w:rPr>
        <w:t xml:space="preserve">se procede a dictar la presente resolución, con base en los siguientes: </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keepNext/>
        <w:keepLines/>
        <w:tabs>
          <w:tab w:val="left" w:pos="0"/>
        </w:tabs>
        <w:spacing w:line="360" w:lineRule="auto"/>
        <w:ind w:right="-592"/>
        <w:jc w:val="center"/>
        <w:rPr>
          <w:rFonts w:ascii="Palatino Linotype" w:eastAsia="Palatino Linotype" w:hAnsi="Palatino Linotype" w:cs="Palatino Linotype"/>
          <w:b/>
        </w:rPr>
      </w:pPr>
      <w:bookmarkStart w:id="0" w:name="_heading=h.gjdgxs" w:colFirst="0" w:colLast="0"/>
      <w:bookmarkEnd w:id="0"/>
      <w:r w:rsidRPr="00F137E5">
        <w:rPr>
          <w:rFonts w:ascii="Palatino Linotype" w:eastAsia="Palatino Linotype" w:hAnsi="Palatino Linotype" w:cs="Palatino Linotype"/>
          <w:b/>
        </w:rPr>
        <w:t>A N T E C E D E N T E S</w:t>
      </w:r>
    </w:p>
    <w:p w:rsidR="008C7D5C" w:rsidRPr="00F137E5" w:rsidRDefault="008C7D5C">
      <w:pPr>
        <w:keepNext/>
        <w:keepLines/>
        <w:tabs>
          <w:tab w:val="left" w:pos="0"/>
        </w:tabs>
        <w:spacing w:line="360" w:lineRule="auto"/>
        <w:ind w:right="-592"/>
        <w:jc w:val="center"/>
        <w:rPr>
          <w:rFonts w:ascii="Palatino Linotype" w:eastAsia="Palatino Linotype" w:hAnsi="Palatino Linotype" w:cs="Palatino Linotype"/>
          <w:b/>
        </w:rPr>
      </w:pPr>
    </w:p>
    <w:p w:rsidR="008C7D5C" w:rsidRPr="00F137E5" w:rsidRDefault="00074B8B">
      <w:pPr>
        <w:numPr>
          <w:ilvl w:val="0"/>
          <w:numId w:val="1"/>
        </w:numPr>
        <w:tabs>
          <w:tab w:val="left" w:pos="0"/>
        </w:tabs>
        <w:spacing w:line="360" w:lineRule="auto"/>
        <w:ind w:left="0" w:right="-592" w:firstLine="0"/>
        <w:jc w:val="both"/>
        <w:rPr>
          <w:rFonts w:ascii="Palatino Linotype" w:hAnsi="Palatino Linotype"/>
        </w:rPr>
      </w:pPr>
      <w:r w:rsidRPr="00F137E5">
        <w:rPr>
          <w:rFonts w:ascii="Palatino Linotype" w:eastAsia="Palatino Linotype" w:hAnsi="Palatino Linotype" w:cs="Palatino Linotype"/>
        </w:rPr>
        <w:t xml:space="preserve">El </w:t>
      </w:r>
      <w:r w:rsidRPr="00F137E5">
        <w:rPr>
          <w:rFonts w:ascii="Palatino Linotype" w:eastAsia="Palatino Linotype" w:hAnsi="Palatino Linotype" w:cs="Palatino Linotype"/>
          <w:b/>
        </w:rPr>
        <w:t>veintinueve de febrero de dos mil veinticuatro</w:t>
      </w:r>
      <w:r w:rsidRPr="00F137E5">
        <w:rPr>
          <w:rFonts w:ascii="Palatino Linotype" w:eastAsia="Palatino Linotype" w:hAnsi="Palatino Linotype" w:cs="Palatino Linotype"/>
        </w:rPr>
        <w:t>, el</w:t>
      </w:r>
      <w:r w:rsidRPr="00F137E5">
        <w:rPr>
          <w:rFonts w:ascii="Palatino Linotype" w:eastAsia="Palatino Linotype" w:hAnsi="Palatino Linotype" w:cs="Palatino Linotype"/>
          <w:b/>
        </w:rPr>
        <w:t xml:space="preserve"> </w:t>
      </w:r>
      <w:r w:rsidRPr="00F137E5">
        <w:rPr>
          <w:rFonts w:ascii="Palatino Linotype" w:eastAsia="Palatino Linotype" w:hAnsi="Palatino Linotype" w:cs="Palatino Linotype"/>
        </w:rPr>
        <w:t>solicitante</w:t>
      </w:r>
      <w:r w:rsidRPr="00F137E5">
        <w:rPr>
          <w:rFonts w:ascii="Palatino Linotype" w:eastAsia="Palatino Linotype" w:hAnsi="Palatino Linotype" w:cs="Palatino Linotype"/>
          <w:b/>
        </w:rPr>
        <w:t xml:space="preserve">  </w:t>
      </w:r>
      <w:r w:rsidRPr="00F137E5">
        <w:rPr>
          <w:rFonts w:ascii="Palatino Linotype" w:eastAsia="Palatino Linotype" w:hAnsi="Palatino Linotype" w:cs="Palatino Linotype"/>
        </w:rPr>
        <w:t>presentó</w:t>
      </w:r>
      <w:r w:rsidRPr="00F137E5">
        <w:rPr>
          <w:rFonts w:ascii="Palatino Linotype" w:eastAsia="Palatino Linotype" w:hAnsi="Palatino Linotype" w:cs="Palatino Linotype"/>
          <w:b/>
        </w:rPr>
        <w:t xml:space="preserve"> </w:t>
      </w:r>
      <w:r w:rsidRPr="00F137E5">
        <w:rPr>
          <w:rFonts w:ascii="Palatino Linotype" w:eastAsia="Palatino Linotype" w:hAnsi="Palatino Linotype" w:cs="Palatino Linotype"/>
        </w:rPr>
        <w:t xml:space="preserve">ante el </w:t>
      </w:r>
      <w:r w:rsidRPr="00F137E5">
        <w:rPr>
          <w:rFonts w:ascii="Palatino Linotype" w:eastAsia="Palatino Linotype" w:hAnsi="Palatino Linotype" w:cs="Palatino Linotype"/>
          <w:b/>
        </w:rPr>
        <w:t>SUJETO OBLIGADO,</w:t>
      </w:r>
      <w:r w:rsidRPr="00F137E5">
        <w:rPr>
          <w:rFonts w:ascii="Palatino Linotype" w:eastAsia="Palatino Linotype" w:hAnsi="Palatino Linotype" w:cs="Palatino Linotype"/>
        </w:rPr>
        <w:t xml:space="preserve"> a través del Sistema de Acceso a la Información Mexiquense (SAIMEX), la solicitud de información pública registrada con el número </w:t>
      </w:r>
      <w:r w:rsidRPr="00F137E5">
        <w:rPr>
          <w:rFonts w:ascii="Palatino Linotype" w:eastAsia="Palatino Linotype" w:hAnsi="Palatino Linotype" w:cs="Palatino Linotype"/>
          <w:b/>
        </w:rPr>
        <w:t> 00013/VICARBO/IP/2024</w:t>
      </w:r>
      <w:r w:rsidR="0068337E" w:rsidRPr="00F137E5">
        <w:rPr>
          <w:rFonts w:ascii="Palatino Linotype" w:eastAsia="Palatino Linotype" w:hAnsi="Palatino Linotype" w:cs="Palatino Linotype"/>
        </w:rPr>
        <w:t>, en la q</w:t>
      </w:r>
      <w:r w:rsidRPr="00F137E5">
        <w:rPr>
          <w:rFonts w:ascii="Palatino Linotype" w:eastAsia="Palatino Linotype" w:hAnsi="Palatino Linotype" w:cs="Palatino Linotype"/>
        </w:rPr>
        <w:t>ue se solicitó:</w:t>
      </w:r>
    </w:p>
    <w:p w:rsidR="008C7D5C" w:rsidRPr="00F137E5" w:rsidRDefault="008C7D5C">
      <w:pPr>
        <w:tabs>
          <w:tab w:val="left" w:pos="0"/>
        </w:tabs>
        <w:spacing w:line="360" w:lineRule="auto"/>
        <w:ind w:left="360" w:right="-592"/>
        <w:jc w:val="both"/>
        <w:rPr>
          <w:rFonts w:ascii="Palatino Linotype" w:eastAsia="Palatino Linotype" w:hAnsi="Palatino Linotype" w:cs="Palatino Linotype"/>
        </w:rPr>
      </w:pPr>
    </w:p>
    <w:p w:rsidR="008C7D5C" w:rsidRPr="00F137E5" w:rsidRDefault="00074B8B">
      <w:pPr>
        <w:tabs>
          <w:tab w:val="left" w:pos="0"/>
        </w:tabs>
        <w:spacing w:line="360" w:lineRule="auto"/>
        <w:ind w:left="567" w:right="-592"/>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r w:rsidRPr="00F137E5">
        <w:rPr>
          <w:rFonts w:ascii="Palatino Linotype" w:eastAsia="Palatino Linotype" w:hAnsi="Palatino Linotype" w:cs="Palatino Linotype"/>
          <w:i/>
          <w:color w:val="000000"/>
        </w:rPr>
        <w:t xml:space="preserve">Que </w:t>
      </w:r>
      <w:proofErr w:type="spellStart"/>
      <w:r w:rsidRPr="00F137E5">
        <w:rPr>
          <w:rFonts w:ascii="Palatino Linotype" w:eastAsia="Palatino Linotype" w:hAnsi="Palatino Linotype" w:cs="Palatino Linotype"/>
          <w:i/>
          <w:color w:val="000000"/>
        </w:rPr>
        <w:t>atraves</w:t>
      </w:r>
      <w:proofErr w:type="spellEnd"/>
      <w:r w:rsidRPr="00F137E5">
        <w:rPr>
          <w:rFonts w:ascii="Palatino Linotype" w:eastAsia="Palatino Linotype" w:hAnsi="Palatino Linotype" w:cs="Palatino Linotype"/>
          <w:i/>
          <w:color w:val="000000"/>
        </w:rPr>
        <w:t xml:space="preserve"> del presente escrito y con fundamento en el Artículo 8 Constitucional, articulo 12 y demás relativos y aplicables de Ley de Transparencia y Acceso a </w:t>
      </w:r>
      <w:proofErr w:type="spellStart"/>
      <w:r w:rsidRPr="00F137E5">
        <w:rPr>
          <w:rFonts w:ascii="Palatino Linotype" w:eastAsia="Palatino Linotype" w:hAnsi="Palatino Linotype" w:cs="Palatino Linotype"/>
          <w:i/>
          <w:color w:val="000000"/>
        </w:rPr>
        <w:t>Ia</w:t>
      </w:r>
      <w:proofErr w:type="spellEnd"/>
      <w:r w:rsidRPr="00F137E5">
        <w:rPr>
          <w:rFonts w:ascii="Palatino Linotype" w:eastAsia="Palatino Linotype" w:hAnsi="Palatino Linotype" w:cs="Palatino Linotype"/>
          <w:i/>
          <w:color w:val="000000"/>
        </w:rPr>
        <w:t xml:space="preserve"> Información Pública del Estado de </w:t>
      </w:r>
      <w:proofErr w:type="spellStart"/>
      <w:r w:rsidRPr="00F137E5">
        <w:rPr>
          <w:rFonts w:ascii="Palatino Linotype" w:eastAsia="Palatino Linotype" w:hAnsi="Palatino Linotype" w:cs="Palatino Linotype"/>
          <w:i/>
          <w:color w:val="000000"/>
        </w:rPr>
        <w:t>Mexico</w:t>
      </w:r>
      <w:proofErr w:type="spellEnd"/>
      <w:r w:rsidRPr="00F137E5">
        <w:rPr>
          <w:rFonts w:ascii="Palatino Linotype" w:eastAsia="Palatino Linotype" w:hAnsi="Palatino Linotype" w:cs="Palatino Linotype"/>
          <w:i/>
          <w:color w:val="000000"/>
        </w:rPr>
        <w:t xml:space="preserve"> y Municipios vengo a solicitar la siguiente información por escrito y no por consulta directa, así como copias simples, certificadas, archivos en pdf del Municipio de VILLA DEL CARBON. Nómina de personal del ayuntamiento de los periodos 1 de enero a 31 </w:t>
      </w:r>
      <w:r w:rsidRPr="00F137E5">
        <w:rPr>
          <w:rFonts w:ascii="Palatino Linotype" w:eastAsia="Palatino Linotype" w:hAnsi="Palatino Linotype" w:cs="Palatino Linotype"/>
          <w:i/>
          <w:color w:val="000000"/>
        </w:rPr>
        <w:lastRenderedPageBreak/>
        <w:t xml:space="preserve">de diciembre del año 2023., periodo de 1 de enero del 2024 al 29 de febrero del 2024, La relación de nombres, percepciones ordinarias y extraordinarias, bonificaciones de todos los asesores que se tiene en áreas de presidencia, secretaria del ayuntamiento, sindicatura y áreas administrativas de los periodos 1 de enero al 31 de diciembre del año 2023, periodo del 1 de enero al 29 de febrero del 2024. La relación de obras, montos, y forma de asignación que se encuentran en curso así proyectadas del ejercicio 2023, </w:t>
      </w:r>
      <w:proofErr w:type="spellStart"/>
      <w:r w:rsidRPr="00F137E5">
        <w:rPr>
          <w:rFonts w:ascii="Palatino Linotype" w:eastAsia="Palatino Linotype" w:hAnsi="Palatino Linotype" w:cs="Palatino Linotype"/>
          <w:i/>
          <w:color w:val="000000"/>
        </w:rPr>
        <w:t>asi</w:t>
      </w:r>
      <w:proofErr w:type="spellEnd"/>
      <w:r w:rsidRPr="00F137E5">
        <w:rPr>
          <w:rFonts w:ascii="Palatino Linotype" w:eastAsia="Palatino Linotype" w:hAnsi="Palatino Linotype" w:cs="Palatino Linotype"/>
          <w:i/>
          <w:color w:val="000000"/>
        </w:rPr>
        <w:t xml:space="preserve"> como del ejercicio 2024. La nómina y lista de raya de todo el personal que labora en la administración municipal, desde fecha 1 de junio del 2023 al 29 de febrero del año 2023. Las bonificaciones, gratificaciones que reciben el presidente municipal, síndico y regidores del ayuntamiento desde fecha 1 de enero del 2023 al 16 de febrero del 2024. Solicito la lista de nombres de proveedores, del ayuntamiento del periodo 1 de enero del 2023 al 15 de febrero del 2022. Solicito copia de los contratos asignados para obra del periodo 1 de enero del 2023 al 15 de febrero del 2023. Solicito los montos y la asignación a empresa y/o persona física de obra de acuerdo a la programación anual de obras del año 2023. Solicito los contratos de obras y de servicios asignados desde fecha 1 de enero al 29 de febrero del 2024. Solicito por escrito y copias de todas las solicitudes y autorizaciones y/o permisos para hacer uso de plazas públicas, de bienes de uso común, calles o inmuebles del municipio del periodo 1 de enero del 2024 al 1 de marzo del 2024. Solicito por escrito los montos, tipo de pago, transferencias, y copias de los contratos de servicios de alimentos, transporte, renta de lonas, carpas, templetes, sonido, luces, sillas, autobuses, estructuras, de fecha 1 de enero del 2024 al 29 de febrero del 2024. Solicito por escrito y copias de bitácoras, registro, gasto, listado de unidades, relación de vehículos oficiales, </w:t>
      </w:r>
      <w:proofErr w:type="spellStart"/>
      <w:r w:rsidRPr="00F137E5">
        <w:rPr>
          <w:rFonts w:ascii="Palatino Linotype" w:eastAsia="Palatino Linotype" w:hAnsi="Palatino Linotype" w:cs="Palatino Linotype"/>
          <w:i/>
          <w:color w:val="000000"/>
        </w:rPr>
        <w:t>asi</w:t>
      </w:r>
      <w:proofErr w:type="spellEnd"/>
      <w:r w:rsidRPr="00F137E5">
        <w:rPr>
          <w:rFonts w:ascii="Palatino Linotype" w:eastAsia="Palatino Linotype" w:hAnsi="Palatino Linotype" w:cs="Palatino Linotype"/>
          <w:i/>
          <w:color w:val="000000"/>
        </w:rPr>
        <w:t xml:space="preserve"> como el monto asignado tanto bruto como en lo particular de cada </w:t>
      </w:r>
      <w:proofErr w:type="spellStart"/>
      <w:r w:rsidRPr="00F137E5">
        <w:rPr>
          <w:rFonts w:ascii="Palatino Linotype" w:eastAsia="Palatino Linotype" w:hAnsi="Palatino Linotype" w:cs="Palatino Linotype"/>
          <w:i/>
          <w:color w:val="000000"/>
        </w:rPr>
        <w:t>vehiculo</w:t>
      </w:r>
      <w:proofErr w:type="spellEnd"/>
      <w:r w:rsidRPr="00F137E5">
        <w:rPr>
          <w:rFonts w:ascii="Palatino Linotype" w:eastAsia="Palatino Linotype" w:hAnsi="Palatino Linotype" w:cs="Palatino Linotype"/>
          <w:i/>
          <w:color w:val="000000"/>
        </w:rPr>
        <w:t xml:space="preserve"> de gasto o </w:t>
      </w:r>
      <w:proofErr w:type="spellStart"/>
      <w:r w:rsidRPr="00F137E5">
        <w:rPr>
          <w:rFonts w:ascii="Palatino Linotype" w:eastAsia="Palatino Linotype" w:hAnsi="Palatino Linotype" w:cs="Palatino Linotype"/>
          <w:i/>
          <w:color w:val="000000"/>
        </w:rPr>
        <w:t>apopyo</w:t>
      </w:r>
      <w:proofErr w:type="spellEnd"/>
      <w:r w:rsidRPr="00F137E5">
        <w:rPr>
          <w:rFonts w:ascii="Palatino Linotype" w:eastAsia="Palatino Linotype" w:hAnsi="Palatino Linotype" w:cs="Palatino Linotype"/>
          <w:i/>
          <w:color w:val="000000"/>
        </w:rPr>
        <w:t xml:space="preserve"> de combustible” gasolina, </w:t>
      </w:r>
      <w:proofErr w:type="spellStart"/>
      <w:r w:rsidRPr="00F137E5">
        <w:rPr>
          <w:rFonts w:ascii="Palatino Linotype" w:eastAsia="Palatino Linotype" w:hAnsi="Palatino Linotype" w:cs="Palatino Linotype"/>
          <w:i/>
          <w:color w:val="000000"/>
        </w:rPr>
        <w:t>dieesel</w:t>
      </w:r>
      <w:proofErr w:type="spellEnd"/>
      <w:r w:rsidRPr="00F137E5">
        <w:rPr>
          <w:rFonts w:ascii="Palatino Linotype" w:eastAsia="Palatino Linotype" w:hAnsi="Palatino Linotype" w:cs="Palatino Linotype"/>
          <w:i/>
          <w:color w:val="000000"/>
        </w:rPr>
        <w:t xml:space="preserve">,” del periodo 1 de enero del 2024 al 29 de febrero del 2024. Solicito por escrito y copia de las percepciones, </w:t>
      </w:r>
      <w:r w:rsidRPr="00F137E5">
        <w:rPr>
          <w:rFonts w:ascii="Palatino Linotype" w:eastAsia="Palatino Linotype" w:hAnsi="Palatino Linotype" w:cs="Palatino Linotype"/>
          <w:i/>
          <w:color w:val="000000"/>
        </w:rPr>
        <w:lastRenderedPageBreak/>
        <w:t xml:space="preserve">ordinarias, extraordinarias, bonificaciones, del periodo 1 de enero del 2023 al 29 de febrero del 2024 de los siguientes funcionarios públicos: LIC. ANDRI GUADALUPE CORREA RODRÍGUEZ PRESIDENTE MUNICIPAL • LIC. DIANA CAROLINA MALDONADO SÁNCHEZ SÍNDICA MUNICIPAL • C. ALEJANDRO ROJO GANTE PRIMER REGIDOR • C. MARÍA DEL ROSARIO RIVAS MARTÍNEZ SEGUNDA REGIDORA • C. RAMIRO MELCHOR BLANCO TERCER REGIDOR • ING. CITLALLY HERNÁNDEZ PAREDES CUARTA REGIDORA • C. AURELIANO SAMUEL PÉREZ ÁNGELES QUINTO REGIDOR • PROFR. MANUEL JACINTO GÓMEZ SEXTO REGIDOR • C. MODESTO DÍAZ BERNARDINO SÉPTIMO REGIDOR • C. JOSÉ ALEJANDRO GONZÁLEZ GÓMEZ SECRETARIO DEL AYUNTAMIENTO • LIC. JORGE ALEJANDRO ENRÍQUEZ LÓPEZ SECRETARIO PARTICULAR • C.VICENTE EUGENIO ALVAREZ AGUIRRE SECRETARIA TÉCNICA DEL GABINETE. C. JOSÉ VIRGILIO MORALES GONZÁLEZ GOBERNACIÓN. LIC. SAGRARIO ROSALINDA HERNÁNDEZ VELÁZQUEZ CONTRALORÍA MUNICIPAL • MTRO. PEDRO CELESTINO ESPIRIDIÓN PASTOR TESORERO MUNICIPAL • PROFR. FELIPE MARTÍNEZ ZARÍÑAN DIRECTOR IMCUFIDE • LIC. ERIKA TINOCO JIMÉNEZ DIRECTORA DE CATASTRO. ING. MIGUEL ÁNGEL SÁNCHEZ ARCINIEGA DIRECTOR DE OBRAS PÚBLICAS • C. GUMARO GONZÁLEZ VÁZQUEZ DIRECTOR DE ADMINISTRACIÓN Y RECURSOS HUMANOS. C. VÍCTOR HUGO PATIÑO PAREDES DIRECTOR DE RECURSOS MATERIALES • LIC. OCTAVIO HERNÁNDEZ MINUTTI DIRECTOR DE DESARROLLO ECONÓMICO. ABELARDO AUGUSTO BARRERA PÉREZ DIRECTOR DE DESARROLLO SOCIAL. C. JUAN MANUEL GONZÁLEZ BARTOLO DIRECTOR DE SERVICIOS PÚBLICOS. Copia de </w:t>
      </w:r>
      <w:proofErr w:type="spellStart"/>
      <w:r w:rsidRPr="00F137E5">
        <w:rPr>
          <w:rFonts w:ascii="Palatino Linotype" w:eastAsia="Palatino Linotype" w:hAnsi="Palatino Linotype" w:cs="Palatino Linotype"/>
          <w:i/>
          <w:color w:val="000000"/>
        </w:rPr>
        <w:t>Ia</w:t>
      </w:r>
      <w:proofErr w:type="spellEnd"/>
      <w:r w:rsidRPr="00F137E5">
        <w:rPr>
          <w:rFonts w:ascii="Palatino Linotype" w:eastAsia="Palatino Linotype" w:hAnsi="Palatino Linotype" w:cs="Palatino Linotype"/>
          <w:i/>
          <w:color w:val="000000"/>
        </w:rPr>
        <w:t xml:space="preserve"> </w:t>
      </w:r>
      <w:r w:rsidRPr="00F137E5">
        <w:rPr>
          <w:rFonts w:ascii="Palatino Linotype" w:eastAsia="Palatino Linotype" w:hAnsi="Palatino Linotype" w:cs="Palatino Linotype"/>
          <w:i/>
          <w:color w:val="000000"/>
        </w:rPr>
        <w:lastRenderedPageBreak/>
        <w:t>declaración de bienes y de intereses desde fecha 1 de enero del 2023, a diciembre del 2023, manifestaciones y declaraciones en su caso modificaciones de los años ,</w:t>
      </w:r>
      <w:proofErr w:type="gramStart"/>
      <w:r w:rsidRPr="00F137E5">
        <w:rPr>
          <w:rFonts w:ascii="Palatino Linotype" w:eastAsia="Palatino Linotype" w:hAnsi="Palatino Linotype" w:cs="Palatino Linotype"/>
          <w:i/>
          <w:color w:val="000000"/>
        </w:rPr>
        <w:t>2024 ;</w:t>
      </w:r>
      <w:proofErr w:type="gramEnd"/>
      <w:r w:rsidRPr="00F137E5">
        <w:rPr>
          <w:rFonts w:ascii="Palatino Linotype" w:eastAsia="Palatino Linotype" w:hAnsi="Palatino Linotype" w:cs="Palatino Linotype"/>
          <w:i/>
          <w:color w:val="000000"/>
        </w:rPr>
        <w:t xml:space="preserve"> de los siguientes servidores públicos del municipio: LIC. ANDRI GUADALUPE CORREA RODRÍGUEZ PRESIDENTE MUNICIPAL • LIC. DIANA CAROLINA MALDONADO SÁNCHEZ SÍNDICA MUNICIPAL • C. ALEJANDRO ROJO GANTE PRIMER REGIDOR • C. MARÍA DEL ROSARIO RIVAS MARTÍNEZ SEGUNDA REGIDORA • C. RAMIRO MELCHOR BLANCO TERCER REGIDOR • ING. CITLALLY HERNÁNDEZ PAREDES CUARTA REGIDORA • C. AURELIANO SAMUEL PÉREZ ÁNGELES QUINTO REGIDOR • PROFR. MANUEL JACINTO GÓMEZ SEXTO REGIDOR • C. MODESTO DÍAZ BERNARDINO SÉPTIMO REGIDOR • C. JOSÉ ALEJANDRO GONZÁLEZ GÓMEZ SECRETARIO DEL AYUNTAMIENTO • LIC. JORGE ALEJANDRO ENRÍQUEZ LÓPEZ SECRETARIO PARTICULAR • C.VICENTE EUGENIO ALVAREZ AGUIRRE SECRETARIA TÉCNICA DEL GABINETE. C. JOSÉ VIRGILIO MORALES GONZÁLEZ GOBERNACIÓN. LIC. SAGRARIO ROSALINDA HERNÁNDEZ VELÁZQUEZ CONTRALORÍA MUNICIPAL • MTRO. PEDRO CELESTINO ESPIRIDIÓN PASTOR TESORERO MUNICIPAL • PROFR. FELIPE MARTÍNEZ ZARÍÑAN DIRECTOR IMCUFIDE • LIC. ERIKA TINOCO JIMÉNEZ DIRECTORA DE CATASTRO. ING. MIGUEL ÁNGEL SÁNCHEZ ARCINIEGA DIRECTOR DE OBRAS PÚBLICAS • C. GUMARO GONZÁLEZ VÁZQUEZ DIRECTOR DE ADMINISTRACIÓN Y RECURSOS HUMANOS. C. VÍCTOR HUGO PATIÑO PAREDES DIRECTOR DE RECURSOS MATERIALES • LIC. OCTAVIO HERNÁNDEZ MINUTTI DIRECTOR DE DESARROLLO ECONÓMICO. ABELARDO AUGUSTO </w:t>
      </w:r>
      <w:r w:rsidRPr="00F137E5">
        <w:rPr>
          <w:rFonts w:ascii="Palatino Linotype" w:eastAsia="Palatino Linotype" w:hAnsi="Palatino Linotype" w:cs="Palatino Linotype"/>
          <w:i/>
          <w:color w:val="000000"/>
        </w:rPr>
        <w:lastRenderedPageBreak/>
        <w:t>BARRERA PÉREZ DIRECTOR DE DESARROLLO SOCIAL. C. JUAN MANUEL GONZÁLEZ BARTOLO DIRECTOR DE SERVICIOS PÚBLICOS.</w:t>
      </w:r>
      <w:r w:rsidRPr="00F137E5">
        <w:rPr>
          <w:rFonts w:ascii="Palatino Linotype" w:eastAsia="Palatino Linotype" w:hAnsi="Palatino Linotype" w:cs="Palatino Linotype"/>
          <w:i/>
        </w:rPr>
        <w:t>”</w:t>
      </w:r>
      <w:r w:rsidRPr="00F137E5">
        <w:rPr>
          <w:rFonts w:ascii="Palatino Linotype" w:eastAsia="Palatino Linotype" w:hAnsi="Palatino Linotype" w:cs="Palatino Linotype"/>
        </w:rPr>
        <w:t xml:space="preserve"> (Sic)</w:t>
      </w:r>
    </w:p>
    <w:p w:rsidR="008C7D5C" w:rsidRPr="00F137E5" w:rsidRDefault="00074B8B">
      <w:pPr>
        <w:numPr>
          <w:ilvl w:val="0"/>
          <w:numId w:val="1"/>
        </w:numPr>
        <w:pBdr>
          <w:top w:val="nil"/>
          <w:left w:val="nil"/>
          <w:bottom w:val="nil"/>
          <w:right w:val="nil"/>
          <w:between w:val="nil"/>
        </w:pBdr>
        <w:spacing w:line="360" w:lineRule="auto"/>
        <w:ind w:left="0" w:right="-592" w:firstLine="0"/>
        <w:jc w:val="both"/>
        <w:rPr>
          <w:rFonts w:ascii="Palatino Linotype" w:hAnsi="Palatino Linotype"/>
          <w:color w:val="000000"/>
        </w:rPr>
      </w:pPr>
      <w:r w:rsidRPr="00F137E5">
        <w:rPr>
          <w:rFonts w:ascii="Palatino Linotype" w:eastAsia="Palatino Linotype" w:hAnsi="Palatino Linotype" w:cs="Palatino Linotype"/>
          <w:color w:val="000000"/>
        </w:rPr>
        <w:t xml:space="preserve">Se hace constar que se señaló como modalidad de entrega de la información a través de SAIMEX </w:t>
      </w:r>
      <w:r w:rsidRPr="00F137E5">
        <w:rPr>
          <w:rFonts w:ascii="Palatino Linotype" w:eastAsia="Palatino Linotype" w:hAnsi="Palatino Linotype" w:cs="Palatino Linotype"/>
          <w:i/>
          <w:color w:val="000000"/>
        </w:rPr>
        <w:t>en copias simples, certificadas, archivos en pdf</w:t>
      </w:r>
      <w:r w:rsidRPr="00F137E5">
        <w:rPr>
          <w:rFonts w:ascii="Palatino Linotype" w:eastAsia="Palatino Linotype" w:hAnsi="Palatino Linotype" w:cs="Palatino Linotype"/>
          <w:color w:val="000000"/>
        </w:rPr>
        <w:t xml:space="preserve">. </w:t>
      </w:r>
    </w:p>
    <w:p w:rsidR="008C7D5C" w:rsidRPr="00F137E5" w:rsidRDefault="008C7D5C">
      <w:pPr>
        <w:ind w:right="-592"/>
        <w:rPr>
          <w:rFonts w:ascii="Palatino Linotype" w:eastAsia="Palatino Linotype" w:hAnsi="Palatino Linotype" w:cs="Palatino Linotype"/>
        </w:rPr>
      </w:pPr>
    </w:p>
    <w:p w:rsidR="008C7D5C" w:rsidRPr="00F137E5" w:rsidRDefault="00074B8B">
      <w:pPr>
        <w:numPr>
          <w:ilvl w:val="0"/>
          <w:numId w:val="1"/>
        </w:numPr>
        <w:tabs>
          <w:tab w:val="left" w:pos="0"/>
        </w:tabs>
        <w:spacing w:line="360" w:lineRule="auto"/>
        <w:ind w:left="0" w:right="-592" w:firstLine="0"/>
        <w:jc w:val="both"/>
        <w:rPr>
          <w:rFonts w:ascii="Palatino Linotype" w:hAnsi="Palatino Linotype"/>
        </w:rPr>
      </w:pPr>
      <w:r w:rsidRPr="00F137E5">
        <w:rPr>
          <w:rFonts w:ascii="Palatino Linotype" w:eastAsia="Palatino Linotype" w:hAnsi="Palatino Linotype" w:cs="Palatino Linotype"/>
        </w:rPr>
        <w:t xml:space="preserve">El </w:t>
      </w:r>
      <w:r w:rsidRPr="00F137E5">
        <w:rPr>
          <w:rFonts w:ascii="Palatino Linotype" w:eastAsia="Palatino Linotype" w:hAnsi="Palatino Linotype" w:cs="Palatino Linotype"/>
          <w:b/>
        </w:rPr>
        <w:t>primero de abril de dos mil veinticuatro</w:t>
      </w:r>
      <w:r w:rsidRPr="00F137E5">
        <w:rPr>
          <w:rFonts w:ascii="Palatino Linotype" w:eastAsia="Palatino Linotype" w:hAnsi="Palatino Linotype" w:cs="Palatino Linotype"/>
        </w:rPr>
        <w:t>, el Sujeto Obligado dio respuesta a la solicitud de información mediante cinco archivos electrónicos, a saber:</w:t>
      </w:r>
    </w:p>
    <w:p w:rsidR="008C7D5C" w:rsidRPr="00F137E5" w:rsidRDefault="00074B8B">
      <w:pPr>
        <w:numPr>
          <w:ilvl w:val="0"/>
          <w:numId w:val="9"/>
        </w:numPr>
        <w:pBdr>
          <w:top w:val="nil"/>
          <w:left w:val="nil"/>
          <w:bottom w:val="nil"/>
          <w:right w:val="nil"/>
          <w:between w:val="nil"/>
        </w:pBdr>
        <w:tabs>
          <w:tab w:val="left" w:pos="0"/>
        </w:tabs>
        <w:spacing w:line="360" w:lineRule="auto"/>
        <w:ind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RESPUESTA SOLICITUD 00013VICARBOIP2024.pdf, que corresponde a un oficio signado por el Contralor Municipal, a través del cual informa que relativo a las declaraciones de bienes y de intereses del 1 de enero a diciembre de 2023 y en su caso modificaciones del año 2024 de los servidores públicos señalados en la solicitud de información, no se encuentran en los archivos del Órgano Interno de Control, siendo materialmente imposible.</w:t>
      </w:r>
    </w:p>
    <w:p w:rsidR="008C7D5C" w:rsidRPr="00F137E5" w:rsidRDefault="00074B8B">
      <w:pPr>
        <w:numPr>
          <w:ilvl w:val="0"/>
          <w:numId w:val="9"/>
        </w:numPr>
        <w:pBdr>
          <w:top w:val="nil"/>
          <w:left w:val="nil"/>
          <w:bottom w:val="nil"/>
          <w:right w:val="nil"/>
          <w:between w:val="nil"/>
        </w:pBdr>
        <w:tabs>
          <w:tab w:val="left" w:pos="0"/>
        </w:tabs>
        <w:spacing w:line="360" w:lineRule="auto"/>
        <w:ind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00013-VICARBO-IP-2024.pdf, que corresponde a un oficio signado por el Director de Recursos Materiales, quien expone que relativo a las listas de nombres de proveedores, montos, tipo de pago, transferencias y copias de contratos de servicios de alimentos, transporte, renta de lonas, carpas, templetes, sonido, luces, sillas, autobuses, estructuras, de 1 de enero al 29 de febrero de 2024, informa que corresponde a un hecho negativo en razón de la temporalidad que se requiere; no obstante se manifiesta que se remite el catálogo de proveedores registrados por el Ayuntamiento del 1 de enero al 15 de febrero de 2023.</w:t>
      </w:r>
    </w:p>
    <w:p w:rsidR="008C7D5C" w:rsidRPr="00F137E5" w:rsidRDefault="00074B8B">
      <w:pPr>
        <w:numPr>
          <w:ilvl w:val="0"/>
          <w:numId w:val="9"/>
        </w:numPr>
        <w:pBdr>
          <w:top w:val="nil"/>
          <w:left w:val="nil"/>
          <w:bottom w:val="nil"/>
          <w:right w:val="nil"/>
          <w:between w:val="nil"/>
        </w:pBdr>
        <w:tabs>
          <w:tab w:val="left" w:pos="0"/>
        </w:tabs>
        <w:spacing w:line="360" w:lineRule="auto"/>
        <w:ind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00013.pdf, que corresponde a un oficio signado por el Director de Administración y Recursos Humanos, en el que informa que lo relativo a la </w:t>
      </w:r>
      <w:r w:rsidRPr="00F137E5">
        <w:rPr>
          <w:rFonts w:ascii="Palatino Linotype" w:eastAsia="Palatino Linotype" w:hAnsi="Palatino Linotype" w:cs="Palatino Linotype"/>
          <w:color w:val="000000"/>
        </w:rPr>
        <w:lastRenderedPageBreak/>
        <w:t>nómina y percepciones del personal, pueden ser consultadas a través del portal de Información Pública de Oficio Mexiquense (IPOMEX), adjuntando para tal efecto un enlace no editable (dato cerrado). Con relación a la nómina y lista de raya de todo el personal del 1 de junio de 2023 al 29 de febrero de 2023, se informa que corresponde a un hecho negativo por no haber sido posible su generación en el lapso temporal que se requiere.</w:t>
      </w:r>
    </w:p>
    <w:p w:rsidR="008C7D5C" w:rsidRPr="00F137E5" w:rsidRDefault="00074B8B">
      <w:pPr>
        <w:numPr>
          <w:ilvl w:val="0"/>
          <w:numId w:val="9"/>
        </w:numPr>
        <w:pBdr>
          <w:top w:val="nil"/>
          <w:left w:val="nil"/>
          <w:bottom w:val="nil"/>
          <w:right w:val="nil"/>
          <w:between w:val="nil"/>
        </w:pBdr>
        <w:tabs>
          <w:tab w:val="left" w:pos="0"/>
        </w:tabs>
        <w:spacing w:line="360" w:lineRule="auto"/>
        <w:ind w:right="-25"/>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b/>
          <w:color w:val="000000"/>
        </w:rPr>
        <w:t xml:space="preserve">RESPUESTA SAIMEX-00013-VICARBO-IP-2024.pdf, </w:t>
      </w:r>
      <w:r w:rsidRPr="00F137E5">
        <w:rPr>
          <w:rFonts w:ascii="Palatino Linotype" w:eastAsia="Palatino Linotype" w:hAnsi="Palatino Linotype" w:cs="Palatino Linotype"/>
          <w:color w:val="000000"/>
        </w:rPr>
        <w:t>que corresponde a un oficio signado por signado por Director de Obras Públicas, en el que se pronuncia respecto de 5 solicitudes de las planteadas, a saber:</w:t>
      </w:r>
    </w:p>
    <w:p w:rsidR="008C7D5C" w:rsidRPr="00F137E5" w:rsidRDefault="008C7D5C">
      <w:pPr>
        <w:pBdr>
          <w:top w:val="nil"/>
          <w:left w:val="nil"/>
          <w:bottom w:val="nil"/>
          <w:right w:val="nil"/>
          <w:between w:val="nil"/>
        </w:pBdr>
        <w:ind w:left="720" w:right="-592"/>
        <w:rPr>
          <w:rFonts w:ascii="Palatino Linotype" w:eastAsia="Palatino Linotype" w:hAnsi="Palatino Linotype" w:cs="Palatino Linotype"/>
          <w:b/>
          <w:color w:val="000000"/>
        </w:rPr>
      </w:pPr>
    </w:p>
    <w:p w:rsidR="008C7D5C" w:rsidRPr="00F137E5" w:rsidRDefault="00074B8B">
      <w:pPr>
        <w:pBdr>
          <w:top w:val="nil"/>
          <w:left w:val="nil"/>
          <w:bottom w:val="nil"/>
          <w:right w:val="nil"/>
          <w:between w:val="nil"/>
        </w:pBdr>
        <w:tabs>
          <w:tab w:val="left" w:pos="0"/>
        </w:tabs>
        <w:spacing w:line="360" w:lineRule="auto"/>
        <w:ind w:left="720" w:right="-592"/>
        <w:jc w:val="center"/>
        <w:rPr>
          <w:rFonts w:ascii="Palatino Linotype" w:eastAsia="Palatino Linotype" w:hAnsi="Palatino Linotype" w:cs="Palatino Linotype"/>
          <w:b/>
          <w:color w:val="000000"/>
        </w:rPr>
      </w:pPr>
      <w:r w:rsidRPr="00F137E5">
        <w:rPr>
          <w:rFonts w:ascii="Palatino Linotype" w:eastAsia="Palatino Linotype" w:hAnsi="Palatino Linotype" w:cs="Palatino Linotype"/>
          <w:b/>
          <w:noProof/>
          <w:color w:val="000000"/>
        </w:rPr>
        <w:drawing>
          <wp:inline distT="0" distB="0" distL="0" distR="0">
            <wp:extent cx="3662748" cy="2120880"/>
            <wp:effectExtent l="0" t="0" r="0" b="0"/>
            <wp:docPr id="20308430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662748" cy="2120880"/>
                    </a:xfrm>
                    <a:prstGeom prst="rect">
                      <a:avLst/>
                    </a:prstGeom>
                    <a:ln/>
                  </pic:spPr>
                </pic:pic>
              </a:graphicData>
            </a:graphic>
          </wp:inline>
        </w:drawing>
      </w:r>
    </w:p>
    <w:p w:rsidR="008C7D5C" w:rsidRPr="00F137E5" w:rsidRDefault="00074B8B">
      <w:pPr>
        <w:pBdr>
          <w:top w:val="nil"/>
          <w:left w:val="nil"/>
          <w:bottom w:val="nil"/>
          <w:right w:val="nil"/>
          <w:between w:val="nil"/>
        </w:pBdr>
        <w:tabs>
          <w:tab w:val="left" w:pos="0"/>
        </w:tabs>
        <w:spacing w:line="360" w:lineRule="auto"/>
        <w:ind w:left="720" w:right="-592"/>
        <w:jc w:val="center"/>
        <w:rPr>
          <w:rFonts w:ascii="Palatino Linotype" w:eastAsia="Palatino Linotype" w:hAnsi="Palatino Linotype" w:cs="Palatino Linotype"/>
          <w:b/>
          <w:color w:val="000000"/>
        </w:rPr>
      </w:pPr>
      <w:r w:rsidRPr="00F137E5">
        <w:rPr>
          <w:rFonts w:ascii="Palatino Linotype" w:eastAsia="Palatino Linotype" w:hAnsi="Palatino Linotype" w:cs="Palatino Linotype"/>
          <w:b/>
          <w:noProof/>
          <w:color w:val="000000"/>
        </w:rPr>
        <w:drawing>
          <wp:inline distT="0" distB="0" distL="0" distR="0">
            <wp:extent cx="3525499" cy="1397721"/>
            <wp:effectExtent l="0" t="0" r="0" b="0"/>
            <wp:docPr id="20308430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525499" cy="1397721"/>
                    </a:xfrm>
                    <a:prstGeom prst="rect">
                      <a:avLst/>
                    </a:prstGeom>
                    <a:ln/>
                  </pic:spPr>
                </pic:pic>
              </a:graphicData>
            </a:graphic>
          </wp:inline>
        </w:drawing>
      </w:r>
    </w:p>
    <w:p w:rsidR="008C7D5C" w:rsidRPr="00F137E5" w:rsidRDefault="00074B8B">
      <w:pPr>
        <w:pBdr>
          <w:top w:val="nil"/>
          <w:left w:val="nil"/>
          <w:bottom w:val="nil"/>
          <w:right w:val="nil"/>
          <w:between w:val="nil"/>
        </w:pBdr>
        <w:tabs>
          <w:tab w:val="left" w:pos="0"/>
        </w:tabs>
        <w:spacing w:line="360" w:lineRule="auto"/>
        <w:ind w:left="720" w:right="-25"/>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lastRenderedPageBreak/>
        <w:t>Asimismo, se adjunta un listado de obras públicas, con los rubros de: nombre de la obra, presupuesto anual autorizado, tipo de ejecución, tipo de adjudicación.</w:t>
      </w:r>
    </w:p>
    <w:p w:rsidR="008C7D5C" w:rsidRPr="00F137E5" w:rsidRDefault="008C7D5C">
      <w:pPr>
        <w:tabs>
          <w:tab w:val="left" w:pos="0"/>
        </w:tabs>
        <w:spacing w:line="360" w:lineRule="auto"/>
        <w:ind w:right="-25"/>
        <w:jc w:val="both"/>
        <w:rPr>
          <w:rFonts w:ascii="Palatino Linotype" w:eastAsia="Palatino Linotype" w:hAnsi="Palatino Linotype" w:cs="Palatino Linotype"/>
          <w:b/>
        </w:rPr>
      </w:pPr>
    </w:p>
    <w:p w:rsidR="008C7D5C" w:rsidRPr="00F137E5" w:rsidRDefault="00074B8B">
      <w:pPr>
        <w:numPr>
          <w:ilvl w:val="0"/>
          <w:numId w:val="9"/>
        </w:numPr>
        <w:pBdr>
          <w:top w:val="nil"/>
          <w:left w:val="nil"/>
          <w:bottom w:val="nil"/>
          <w:right w:val="nil"/>
          <w:between w:val="nil"/>
        </w:pBdr>
        <w:tabs>
          <w:tab w:val="left" w:pos="0"/>
        </w:tabs>
        <w:spacing w:line="360" w:lineRule="auto"/>
        <w:ind w:right="-25"/>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b/>
          <w:color w:val="000000"/>
        </w:rPr>
        <w:t xml:space="preserve">Resp.00013-VICARBO-IP-2024.pdf, </w:t>
      </w:r>
      <w:r w:rsidRPr="00F137E5">
        <w:rPr>
          <w:rFonts w:ascii="Palatino Linotype" w:eastAsia="Palatino Linotype" w:hAnsi="Palatino Linotype" w:cs="Palatino Linotype"/>
          <w:color w:val="000000"/>
        </w:rPr>
        <w:t xml:space="preserve">que corresponde a un oficio signado por el Tesorero Municipal, a través del cual expresa que no está sujeto a realizar actos relativos a la ejecución y control de las </w:t>
      </w:r>
      <w:r w:rsidRPr="00F137E5">
        <w:rPr>
          <w:rFonts w:ascii="Palatino Linotype" w:eastAsia="Palatino Linotype" w:hAnsi="Palatino Linotype" w:cs="Palatino Linotype"/>
        </w:rPr>
        <w:t>adquisiciones</w:t>
      </w:r>
      <w:r w:rsidRPr="00F137E5">
        <w:rPr>
          <w:rFonts w:ascii="Palatino Linotype" w:eastAsia="Palatino Linotype" w:hAnsi="Palatino Linotype" w:cs="Palatino Linotype"/>
          <w:color w:val="000000"/>
        </w:rPr>
        <w:t xml:space="preserve"> o contratación de servicios de cualquier naturaleza.</w:t>
      </w:r>
    </w:p>
    <w:p w:rsidR="008C7D5C" w:rsidRPr="00F137E5" w:rsidRDefault="008C7D5C">
      <w:pPr>
        <w:tabs>
          <w:tab w:val="left" w:pos="0"/>
        </w:tabs>
        <w:spacing w:line="360" w:lineRule="auto"/>
        <w:ind w:right="-592"/>
        <w:jc w:val="both"/>
        <w:rPr>
          <w:rFonts w:ascii="Palatino Linotype" w:eastAsia="Palatino Linotype" w:hAnsi="Palatino Linotype" w:cs="Palatino Linotype"/>
        </w:rPr>
      </w:pPr>
      <w:bookmarkStart w:id="1" w:name="_heading=h.30j0zll" w:colFirst="0" w:colLast="0"/>
      <w:bookmarkEnd w:id="1"/>
    </w:p>
    <w:p w:rsidR="008C7D5C" w:rsidRPr="00F137E5" w:rsidRDefault="00074B8B">
      <w:pPr>
        <w:numPr>
          <w:ilvl w:val="0"/>
          <w:numId w:val="1"/>
        </w:numPr>
        <w:pBdr>
          <w:top w:val="nil"/>
          <w:left w:val="nil"/>
          <w:bottom w:val="nil"/>
          <w:right w:val="nil"/>
          <w:between w:val="nil"/>
        </w:pBdr>
        <w:tabs>
          <w:tab w:val="left" w:pos="0"/>
        </w:tabs>
        <w:spacing w:line="360" w:lineRule="auto"/>
        <w:ind w:left="0" w:right="-592" w:firstLine="0"/>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color w:val="000000"/>
        </w:rPr>
        <w:t xml:space="preserve">En lo sucesivo el </w:t>
      </w:r>
      <w:r w:rsidRPr="00F137E5">
        <w:rPr>
          <w:rFonts w:ascii="Palatino Linotype" w:eastAsia="Palatino Linotype" w:hAnsi="Palatino Linotype" w:cs="Palatino Linotype"/>
          <w:b/>
          <w:color w:val="000000"/>
        </w:rPr>
        <w:t>tres de abril de dos mil veinticuatro,</w:t>
      </w:r>
      <w:r w:rsidRPr="00F137E5">
        <w:rPr>
          <w:rFonts w:ascii="Palatino Linotype" w:eastAsia="Palatino Linotype" w:hAnsi="Palatino Linotype" w:cs="Palatino Linotype"/>
          <w:color w:val="000000"/>
        </w:rPr>
        <w:t xml:space="preserve"> </w:t>
      </w:r>
      <w:r w:rsidRPr="00F137E5">
        <w:rPr>
          <w:rFonts w:ascii="Palatino Linotype" w:eastAsia="Palatino Linotype" w:hAnsi="Palatino Linotype" w:cs="Palatino Linotype"/>
          <w:b/>
          <w:color w:val="000000"/>
        </w:rPr>
        <w:t xml:space="preserve"> </w:t>
      </w:r>
      <w:r w:rsidRPr="00F137E5">
        <w:rPr>
          <w:rFonts w:ascii="Palatino Linotype" w:eastAsia="Palatino Linotype" w:hAnsi="Palatino Linotype" w:cs="Palatino Linotype"/>
          <w:color w:val="000000"/>
        </w:rPr>
        <w:t>el solicitante interpuso el recurso de revisión, señalando como:</w:t>
      </w:r>
    </w:p>
    <w:p w:rsidR="008C7D5C" w:rsidRPr="00F137E5" w:rsidRDefault="00074B8B">
      <w:pPr>
        <w:numPr>
          <w:ilvl w:val="0"/>
          <w:numId w:val="10"/>
        </w:numPr>
        <w:tabs>
          <w:tab w:val="left" w:pos="851"/>
          <w:tab w:val="left" w:pos="8222"/>
        </w:tabs>
        <w:spacing w:line="360" w:lineRule="auto"/>
        <w:ind w:right="-25"/>
        <w:jc w:val="both"/>
        <w:rPr>
          <w:rFonts w:ascii="Palatino Linotype" w:eastAsia="Palatino Linotype" w:hAnsi="Palatino Linotype" w:cs="Palatino Linotype"/>
        </w:rPr>
      </w:pPr>
      <w:r w:rsidRPr="00F137E5">
        <w:rPr>
          <w:rFonts w:ascii="Palatino Linotype" w:eastAsia="Palatino Linotype" w:hAnsi="Palatino Linotype" w:cs="Palatino Linotype"/>
          <w:b/>
        </w:rPr>
        <w:t>Acto impugnado:</w:t>
      </w:r>
      <w:r w:rsidRPr="00F137E5">
        <w:rPr>
          <w:rFonts w:ascii="Palatino Linotype" w:eastAsia="Palatino Linotype" w:hAnsi="Palatino Linotype" w:cs="Palatino Linotype"/>
          <w:i/>
        </w:rPr>
        <w:t xml:space="preserve"> </w:t>
      </w:r>
      <w:r w:rsidRPr="00F137E5">
        <w:rPr>
          <w:rFonts w:ascii="Palatino Linotype" w:eastAsia="Palatino Linotype" w:hAnsi="Palatino Linotype" w:cs="Palatino Linotype"/>
        </w:rPr>
        <w:t>“</w:t>
      </w:r>
      <w:r w:rsidRPr="00F137E5">
        <w:rPr>
          <w:rFonts w:ascii="Palatino Linotype" w:eastAsia="Palatino Linotype" w:hAnsi="Palatino Linotype" w:cs="Palatino Linotype"/>
          <w:i/>
          <w:color w:val="000000"/>
        </w:rPr>
        <w:t xml:space="preserve">La respuesta de la obligada” </w:t>
      </w:r>
      <w:r w:rsidRPr="00F137E5">
        <w:rPr>
          <w:rFonts w:ascii="Palatino Linotype" w:eastAsia="Palatino Linotype" w:hAnsi="Palatino Linotype" w:cs="Palatino Linotype"/>
          <w:i/>
        </w:rPr>
        <w:t xml:space="preserve">(Sic) </w:t>
      </w:r>
    </w:p>
    <w:p w:rsidR="008C7D5C" w:rsidRPr="00F137E5" w:rsidRDefault="00074B8B">
      <w:pPr>
        <w:numPr>
          <w:ilvl w:val="0"/>
          <w:numId w:val="10"/>
        </w:numPr>
        <w:tabs>
          <w:tab w:val="left" w:pos="851"/>
        </w:tabs>
        <w:spacing w:line="360" w:lineRule="auto"/>
        <w:ind w:right="-25"/>
        <w:jc w:val="both"/>
        <w:rPr>
          <w:rFonts w:ascii="Palatino Linotype" w:eastAsia="Palatino Linotype" w:hAnsi="Palatino Linotype" w:cs="Palatino Linotype"/>
        </w:rPr>
      </w:pPr>
      <w:r w:rsidRPr="00F137E5">
        <w:rPr>
          <w:rFonts w:ascii="Palatino Linotype" w:eastAsia="Palatino Linotype" w:hAnsi="Palatino Linotype" w:cs="Palatino Linotype"/>
          <w:b/>
        </w:rPr>
        <w:t>Razones o Motivos de inconformidad: “</w:t>
      </w:r>
      <w:r w:rsidRPr="00F137E5">
        <w:rPr>
          <w:rFonts w:ascii="Palatino Linotype" w:eastAsia="Palatino Linotype" w:hAnsi="Palatino Linotype" w:cs="Palatino Linotype"/>
          <w:i/>
        </w:rPr>
        <w:t xml:space="preserve">La obligada </w:t>
      </w:r>
      <w:r w:rsidRPr="00F137E5">
        <w:rPr>
          <w:rFonts w:ascii="Palatino Linotype" w:eastAsia="Palatino Linotype" w:hAnsi="Palatino Linotype" w:cs="Palatino Linotype"/>
          <w:b/>
          <w:i/>
        </w:rPr>
        <w:t>tiende al ocultamiento de información pública, basándose en ambigüedades</w:t>
      </w:r>
      <w:r w:rsidRPr="00F137E5">
        <w:rPr>
          <w:rFonts w:ascii="Palatino Linotype" w:eastAsia="Palatino Linotype" w:hAnsi="Palatino Linotype" w:cs="Palatino Linotype"/>
          <w:i/>
        </w:rPr>
        <w:t xml:space="preserve"> sin que sea riguroso la fundamentación y motivación, sin olvidar que no cumple con los puntos solicitados y en la forma que se requiere la información, así como omitiendo de manera sistematizada con </w:t>
      </w:r>
      <w:proofErr w:type="spellStart"/>
      <w:r w:rsidRPr="00F137E5">
        <w:rPr>
          <w:rFonts w:ascii="Palatino Linotype" w:eastAsia="Palatino Linotype" w:hAnsi="Palatino Linotype" w:cs="Palatino Linotype"/>
          <w:b/>
          <w:i/>
        </w:rPr>
        <w:t>animo</w:t>
      </w:r>
      <w:proofErr w:type="spellEnd"/>
      <w:r w:rsidRPr="00F137E5">
        <w:rPr>
          <w:rFonts w:ascii="Palatino Linotype" w:eastAsia="Palatino Linotype" w:hAnsi="Palatino Linotype" w:cs="Palatino Linotype"/>
          <w:b/>
          <w:i/>
        </w:rPr>
        <w:t xml:space="preserve"> flagrante de ocultar información pública, derivado de una flagrante responsabilidad administrativa </w:t>
      </w:r>
      <w:r w:rsidRPr="00F137E5">
        <w:rPr>
          <w:rFonts w:ascii="Palatino Linotype" w:eastAsia="Palatino Linotype" w:hAnsi="Palatino Linotype" w:cs="Palatino Linotype"/>
          <w:i/>
        </w:rPr>
        <w:t xml:space="preserve">cuya observancia la puede determinar la autoridad cuyo presente recurso tendrá conocimiento a efecto que se instruya para la debida diligencia e investigación para en su caso someter a los responsables al imperio de la Ley. Es de notario proceso que la responsable trata de justificar una supuesta respuesta con las </w:t>
      </w:r>
      <w:proofErr w:type="spellStart"/>
      <w:r w:rsidRPr="00F137E5">
        <w:rPr>
          <w:rFonts w:ascii="Palatino Linotype" w:eastAsia="Palatino Linotype" w:hAnsi="Palatino Linotype" w:cs="Palatino Linotype"/>
          <w:i/>
        </w:rPr>
        <w:t>lineas</w:t>
      </w:r>
      <w:proofErr w:type="spellEnd"/>
      <w:r w:rsidRPr="00F137E5">
        <w:rPr>
          <w:rFonts w:ascii="Palatino Linotype" w:eastAsia="Palatino Linotype" w:hAnsi="Palatino Linotype" w:cs="Palatino Linotype"/>
          <w:i/>
        </w:rPr>
        <w:t xml:space="preserve"> que describe sin sustentarlo ni mucho menos apegándose a la Ley que hoy es motivo del sustento tanto de solicitud como del recurso. No olvidando que derivado </w:t>
      </w:r>
      <w:r w:rsidRPr="00F137E5">
        <w:rPr>
          <w:rFonts w:ascii="Palatino Linotype" w:eastAsia="Palatino Linotype" w:hAnsi="Palatino Linotype" w:cs="Palatino Linotype"/>
          <w:i/>
        </w:rPr>
        <w:lastRenderedPageBreak/>
        <w:t xml:space="preserve">del manejo tanto de bienes como de recursos públicos que tiene la obligada se esgrima </w:t>
      </w:r>
      <w:r w:rsidRPr="00F137E5">
        <w:rPr>
          <w:rFonts w:ascii="Palatino Linotype" w:eastAsia="Palatino Linotype" w:hAnsi="Palatino Linotype" w:cs="Palatino Linotype"/>
          <w:b/>
          <w:i/>
        </w:rPr>
        <w:t>en simple y parcial respuesta sin que exista la conectividad entre lo solicitado y lo que remite</w:t>
      </w:r>
      <w:r w:rsidRPr="00F137E5">
        <w:rPr>
          <w:rFonts w:ascii="Palatino Linotype" w:eastAsia="Palatino Linotype" w:hAnsi="Palatino Linotype" w:cs="Palatino Linotype"/>
          <w:i/>
        </w:rPr>
        <w:t xml:space="preserve"> para justificar su respuesta que viola el derecho constitucional de información que tenemos como ciudadanos y que a todas luces trata de proteger intereses de quienes tienen la obligación de rendir cuentas y proporcionar la información pública que </w:t>
      </w:r>
      <w:proofErr w:type="spellStart"/>
      <w:r w:rsidRPr="00F137E5">
        <w:rPr>
          <w:rFonts w:ascii="Palatino Linotype" w:eastAsia="Palatino Linotype" w:hAnsi="Palatino Linotype" w:cs="Palatino Linotype"/>
          <w:i/>
        </w:rPr>
        <w:t>esta</w:t>
      </w:r>
      <w:proofErr w:type="spellEnd"/>
      <w:r w:rsidRPr="00F137E5">
        <w:rPr>
          <w:rFonts w:ascii="Palatino Linotype" w:eastAsia="Palatino Linotype" w:hAnsi="Palatino Linotype" w:cs="Palatino Linotype"/>
          <w:i/>
        </w:rPr>
        <w:t xml:space="preserve"> en su poder, </w:t>
      </w:r>
      <w:proofErr w:type="spellStart"/>
      <w:r w:rsidRPr="00F137E5">
        <w:rPr>
          <w:rFonts w:ascii="Palatino Linotype" w:eastAsia="Palatino Linotype" w:hAnsi="Palatino Linotype" w:cs="Palatino Linotype"/>
          <w:i/>
        </w:rPr>
        <w:t>asi</w:t>
      </w:r>
      <w:proofErr w:type="spellEnd"/>
      <w:r w:rsidRPr="00F137E5">
        <w:rPr>
          <w:rFonts w:ascii="Palatino Linotype" w:eastAsia="Palatino Linotype" w:hAnsi="Palatino Linotype" w:cs="Palatino Linotype"/>
          <w:i/>
        </w:rPr>
        <w:t xml:space="preserve"> mismo se </w:t>
      </w:r>
      <w:proofErr w:type="spellStart"/>
      <w:r w:rsidRPr="00F137E5">
        <w:rPr>
          <w:rFonts w:ascii="Palatino Linotype" w:eastAsia="Palatino Linotype" w:hAnsi="Palatino Linotype" w:cs="Palatino Linotype"/>
          <w:i/>
        </w:rPr>
        <w:t>Solicito</w:t>
      </w:r>
      <w:proofErr w:type="spellEnd"/>
      <w:r w:rsidRPr="00F137E5">
        <w:rPr>
          <w:rFonts w:ascii="Palatino Linotype" w:eastAsia="Palatino Linotype" w:hAnsi="Palatino Linotype" w:cs="Palatino Linotype"/>
          <w:i/>
        </w:rPr>
        <w:t xml:space="preserve"> de manera expresa la forma que se requiere la información situación que evade la obligada con argucias no sustentadas.”</w:t>
      </w:r>
      <w:r w:rsidRPr="00F137E5">
        <w:rPr>
          <w:rFonts w:ascii="Palatino Linotype" w:eastAsia="Palatino Linotype" w:hAnsi="Palatino Linotype" w:cs="Palatino Linotype"/>
        </w:rPr>
        <w:t xml:space="preserve"> (Énfasis añadido)</w:t>
      </w:r>
    </w:p>
    <w:p w:rsidR="008C7D5C" w:rsidRPr="00F137E5" w:rsidRDefault="00074B8B">
      <w:pPr>
        <w:numPr>
          <w:ilvl w:val="0"/>
          <w:numId w:val="1"/>
        </w:numPr>
        <w:spacing w:line="360" w:lineRule="auto"/>
        <w:ind w:left="0" w:right="-592" w:firstLine="0"/>
        <w:jc w:val="both"/>
        <w:rPr>
          <w:rFonts w:ascii="Palatino Linotype" w:hAnsi="Palatino Linotype"/>
          <w:color w:val="000000"/>
        </w:rPr>
      </w:pPr>
      <w:r w:rsidRPr="00F137E5">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turna a la </w:t>
      </w:r>
      <w:r w:rsidRPr="00F137E5">
        <w:rPr>
          <w:rFonts w:ascii="Palatino Linotype" w:eastAsia="Palatino Linotype" w:hAnsi="Palatino Linotype" w:cs="Palatino Linotype"/>
          <w:b/>
        </w:rPr>
        <w:t>Comisionada María del Rosario Mejía Ayala,</w:t>
      </w:r>
      <w:r w:rsidRPr="00F137E5">
        <w:rPr>
          <w:rFonts w:ascii="Palatino Linotype" w:eastAsia="Palatino Linotype" w:hAnsi="Palatino Linotype" w:cs="Palatino Linotype"/>
        </w:rPr>
        <w:t xml:space="preserve"> para su análisis.</w:t>
      </w:r>
    </w:p>
    <w:p w:rsidR="008C7D5C" w:rsidRPr="00F137E5" w:rsidRDefault="008C7D5C">
      <w:pPr>
        <w:spacing w:line="360" w:lineRule="auto"/>
        <w:ind w:right="-592"/>
        <w:jc w:val="both"/>
        <w:rPr>
          <w:rFonts w:ascii="Palatino Linotype" w:eastAsia="Palatino Linotype" w:hAnsi="Palatino Linotype" w:cs="Palatino Linotype"/>
          <w:i/>
          <w:color w:val="000000"/>
        </w:rPr>
      </w:pPr>
    </w:p>
    <w:p w:rsidR="008C7D5C" w:rsidRPr="00F137E5" w:rsidRDefault="00074B8B">
      <w:pPr>
        <w:numPr>
          <w:ilvl w:val="0"/>
          <w:numId w:val="1"/>
        </w:numPr>
        <w:spacing w:line="360" w:lineRule="auto"/>
        <w:ind w:left="0" w:right="-592" w:firstLine="0"/>
        <w:jc w:val="both"/>
        <w:rPr>
          <w:rFonts w:ascii="Palatino Linotype" w:hAnsi="Palatino Linotype"/>
          <w:color w:val="000000"/>
        </w:rPr>
      </w:pPr>
      <w:r w:rsidRPr="00F137E5">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del </w:t>
      </w:r>
      <w:r w:rsidRPr="00F137E5">
        <w:rPr>
          <w:rFonts w:ascii="Palatino Linotype" w:eastAsia="Palatino Linotype" w:hAnsi="Palatino Linotype" w:cs="Palatino Linotype"/>
          <w:b/>
        </w:rPr>
        <w:t>ocho de abril de dos mil veinticuatro</w:t>
      </w:r>
      <w:r w:rsidRPr="00F137E5">
        <w:rPr>
          <w:rFonts w:ascii="Palatino Linotype" w:eastAsia="Palatino Linotype" w:hAnsi="Palatino Linotype" w:cs="Palatino Linotype"/>
        </w:rPr>
        <w:t xml:space="preserve">, puso a disposición de las partes el expediente electrónico vía Sistema de Acceso a la Información Mexiquense </w:t>
      </w:r>
      <w:r w:rsidRPr="00F137E5">
        <w:rPr>
          <w:rFonts w:ascii="Palatino Linotype" w:eastAsia="Palatino Linotype" w:hAnsi="Palatino Linotype" w:cs="Palatino Linotype"/>
          <w:b/>
        </w:rPr>
        <w:t xml:space="preserve">(SAIMEX) </w:t>
      </w:r>
      <w:r w:rsidRPr="00F137E5">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Pr="00F137E5">
        <w:rPr>
          <w:rFonts w:ascii="Palatino Linotype" w:eastAsia="Palatino Linotype" w:hAnsi="Palatino Linotype" w:cs="Palatino Linotype"/>
          <w:b/>
        </w:rPr>
        <w:t>SUJETO OBLIGADO</w:t>
      </w:r>
      <w:r w:rsidRPr="00F137E5">
        <w:rPr>
          <w:rFonts w:ascii="Palatino Linotype" w:eastAsia="Palatino Linotype" w:hAnsi="Palatino Linotype" w:cs="Palatino Linotype"/>
        </w:rPr>
        <w:t xml:space="preserve"> presentará el Informe Justificado procedente.  </w:t>
      </w:r>
    </w:p>
    <w:p w:rsidR="008C7D5C" w:rsidRPr="00F137E5" w:rsidRDefault="008C7D5C">
      <w:pPr>
        <w:spacing w:line="360" w:lineRule="auto"/>
        <w:ind w:right="-592"/>
        <w:jc w:val="both"/>
        <w:rPr>
          <w:rFonts w:ascii="Palatino Linotype" w:eastAsia="Palatino Linotype" w:hAnsi="Palatino Linotype" w:cs="Palatino Linotype"/>
          <w:i/>
          <w:color w:val="000000"/>
        </w:rPr>
      </w:pPr>
    </w:p>
    <w:p w:rsidR="008C7D5C" w:rsidRPr="00F137E5" w:rsidRDefault="00074B8B">
      <w:pPr>
        <w:numPr>
          <w:ilvl w:val="0"/>
          <w:numId w:val="1"/>
        </w:numPr>
        <w:spacing w:line="360" w:lineRule="auto"/>
        <w:ind w:left="0" w:right="-592" w:firstLine="0"/>
        <w:jc w:val="both"/>
        <w:rPr>
          <w:rFonts w:ascii="Palatino Linotype" w:hAnsi="Palatino Linotype"/>
          <w:color w:val="000000"/>
        </w:rPr>
      </w:pPr>
      <w:r w:rsidRPr="00F137E5">
        <w:rPr>
          <w:rFonts w:ascii="Palatino Linotype" w:eastAsia="Palatino Linotype" w:hAnsi="Palatino Linotype" w:cs="Palatino Linotype"/>
        </w:rPr>
        <w:lastRenderedPageBreak/>
        <w:t>De las constancias que obran en el expediente electrónico SAIMEX, se advierte que el Sujeto Obligado no entregó informe justificado correspondiente; por su parte, el particular no realizó manifestaciones que a su derecho conviniera y asistiera.</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numPr>
          <w:ilvl w:val="0"/>
          <w:numId w:val="1"/>
        </w:numPr>
        <w:spacing w:line="360" w:lineRule="auto"/>
        <w:ind w:left="0" w:right="-592" w:firstLine="0"/>
        <w:jc w:val="both"/>
        <w:rPr>
          <w:rFonts w:ascii="Palatino Linotype" w:hAnsi="Palatino Linotype"/>
        </w:rPr>
      </w:pPr>
      <w:r w:rsidRPr="00F137E5">
        <w:rPr>
          <w:rFonts w:ascii="Palatino Linotype" w:eastAsia="Palatino Linotype" w:hAnsi="Palatino Linotype" w:cs="Palatino Linotype"/>
        </w:rPr>
        <w:t xml:space="preserve">El </w:t>
      </w:r>
      <w:r w:rsidRPr="00F137E5">
        <w:rPr>
          <w:rFonts w:ascii="Palatino Linotype" w:eastAsia="Palatino Linotype" w:hAnsi="Palatino Linotype" w:cs="Palatino Linotype"/>
          <w:b/>
        </w:rPr>
        <w:t>doce de agosto de dos mil veinticuatro</w:t>
      </w:r>
      <w:r w:rsidRPr="00F137E5">
        <w:rPr>
          <w:rFonts w:ascii="Palatino Linotype" w:eastAsia="Palatino Linotype" w:hAnsi="Palatino Linotype" w:cs="Palatino Linotype"/>
        </w:rPr>
        <w:t xml:space="preserve">, se notificó acuerdo mediante el cual se aprobó la ampliación de plazo para emitir resolución. </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numPr>
          <w:ilvl w:val="0"/>
          <w:numId w:val="1"/>
        </w:numPr>
        <w:spacing w:line="360" w:lineRule="auto"/>
        <w:ind w:left="0" w:right="-592" w:firstLine="0"/>
        <w:jc w:val="both"/>
        <w:rPr>
          <w:rFonts w:ascii="Palatino Linotype" w:hAnsi="Palatino Linotype"/>
        </w:rPr>
      </w:pPr>
      <w:r w:rsidRPr="00F137E5">
        <w:rPr>
          <w:rFonts w:ascii="Palatino Linotype" w:eastAsia="Palatino Linotype" w:hAnsi="Palatino Linotype" w:cs="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numPr>
          <w:ilvl w:val="0"/>
          <w:numId w:val="1"/>
        </w:numPr>
        <w:pBdr>
          <w:top w:val="nil"/>
          <w:left w:val="nil"/>
          <w:bottom w:val="nil"/>
          <w:right w:val="nil"/>
          <w:between w:val="nil"/>
        </w:pBdr>
        <w:tabs>
          <w:tab w:val="left" w:pos="0"/>
        </w:tabs>
        <w:spacing w:line="360" w:lineRule="auto"/>
        <w:ind w:left="0" w:right="-592" w:firstLine="0"/>
        <w:jc w:val="both"/>
        <w:rPr>
          <w:rFonts w:ascii="Palatino Linotype" w:hAnsi="Palatino Linotype"/>
          <w:color w:val="000000"/>
        </w:rPr>
      </w:pPr>
      <w:r w:rsidRPr="00F137E5">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8C7D5C" w:rsidRPr="00F137E5" w:rsidRDefault="008C7D5C">
      <w:pPr>
        <w:pBdr>
          <w:top w:val="nil"/>
          <w:left w:val="nil"/>
          <w:bottom w:val="nil"/>
          <w:right w:val="nil"/>
          <w:between w:val="nil"/>
        </w:pBdr>
        <w:tabs>
          <w:tab w:val="left" w:pos="0"/>
        </w:tabs>
        <w:ind w:left="720" w:right="-592"/>
        <w:rPr>
          <w:rFonts w:ascii="Palatino Linotype" w:eastAsia="Palatino Linotype" w:hAnsi="Palatino Linotype" w:cs="Palatino Linotype"/>
          <w:color w:val="000000"/>
        </w:rPr>
      </w:pPr>
    </w:p>
    <w:p w:rsidR="008C7D5C" w:rsidRPr="00F137E5" w:rsidRDefault="00074B8B">
      <w:pPr>
        <w:numPr>
          <w:ilvl w:val="0"/>
          <w:numId w:val="1"/>
        </w:numPr>
        <w:tabs>
          <w:tab w:val="left" w:pos="0"/>
        </w:tabs>
        <w:spacing w:line="360" w:lineRule="auto"/>
        <w:ind w:left="0" w:right="-592" w:firstLine="0"/>
        <w:jc w:val="both"/>
        <w:rPr>
          <w:rFonts w:ascii="Palatino Linotype" w:hAnsi="Palatino Linotype"/>
        </w:rPr>
      </w:pPr>
      <w:r w:rsidRPr="00F137E5">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w:t>
      </w:r>
      <w:r w:rsidRPr="00F137E5">
        <w:rPr>
          <w:rFonts w:ascii="Palatino Linotype" w:eastAsia="Palatino Linotype" w:hAnsi="Palatino Linotype" w:cs="Palatino Linotype"/>
        </w:rPr>
        <w:lastRenderedPageBreak/>
        <w:t>menor tiempo posible, tomando en consideración la dilación total del procedimiento; esto es, en un plazo razonable.</w:t>
      </w:r>
    </w:p>
    <w:p w:rsidR="008C7D5C" w:rsidRPr="00F137E5" w:rsidRDefault="008C7D5C">
      <w:pPr>
        <w:pBdr>
          <w:top w:val="nil"/>
          <w:left w:val="nil"/>
          <w:bottom w:val="nil"/>
          <w:right w:val="nil"/>
          <w:between w:val="nil"/>
        </w:pBdr>
        <w:tabs>
          <w:tab w:val="left" w:pos="0"/>
        </w:tabs>
        <w:ind w:left="720" w:right="-592"/>
        <w:rPr>
          <w:rFonts w:ascii="Palatino Linotype" w:eastAsia="Palatino Linotype" w:hAnsi="Palatino Linotype" w:cs="Palatino Linotype"/>
          <w:color w:val="000000"/>
        </w:rPr>
      </w:pPr>
    </w:p>
    <w:p w:rsidR="008C7D5C" w:rsidRPr="00F137E5" w:rsidRDefault="00074B8B">
      <w:pPr>
        <w:numPr>
          <w:ilvl w:val="0"/>
          <w:numId w:val="1"/>
        </w:numPr>
        <w:tabs>
          <w:tab w:val="left" w:pos="0"/>
        </w:tabs>
        <w:spacing w:line="360" w:lineRule="auto"/>
        <w:ind w:left="0" w:right="-592" w:firstLine="0"/>
        <w:jc w:val="both"/>
        <w:rPr>
          <w:rFonts w:ascii="Palatino Linotype" w:hAnsi="Palatino Linotype"/>
        </w:rPr>
      </w:pPr>
      <w:r w:rsidRPr="00F137E5">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C7D5C" w:rsidRPr="00F137E5" w:rsidRDefault="008C7D5C">
      <w:pPr>
        <w:pBdr>
          <w:top w:val="nil"/>
          <w:left w:val="nil"/>
          <w:bottom w:val="nil"/>
          <w:right w:val="nil"/>
          <w:between w:val="nil"/>
        </w:pBdr>
        <w:tabs>
          <w:tab w:val="left" w:pos="0"/>
        </w:tabs>
        <w:ind w:left="720" w:right="-592"/>
        <w:rPr>
          <w:rFonts w:ascii="Palatino Linotype" w:eastAsia="Palatino Linotype" w:hAnsi="Palatino Linotype" w:cs="Palatino Linotype"/>
          <w:color w:val="000000"/>
        </w:rPr>
      </w:pPr>
    </w:p>
    <w:p w:rsidR="008C7D5C" w:rsidRPr="00F137E5" w:rsidRDefault="00074B8B">
      <w:pPr>
        <w:numPr>
          <w:ilvl w:val="0"/>
          <w:numId w:val="1"/>
        </w:numPr>
        <w:tabs>
          <w:tab w:val="left" w:pos="0"/>
        </w:tabs>
        <w:spacing w:line="360" w:lineRule="auto"/>
        <w:ind w:left="0" w:right="-592" w:firstLine="0"/>
        <w:jc w:val="both"/>
        <w:rPr>
          <w:rFonts w:ascii="Palatino Linotype" w:hAnsi="Palatino Linotype"/>
        </w:rPr>
      </w:pPr>
      <w:r w:rsidRPr="00F137E5">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rsidR="008C7D5C" w:rsidRPr="00F137E5" w:rsidRDefault="00074B8B">
      <w:pPr>
        <w:numPr>
          <w:ilvl w:val="0"/>
          <w:numId w:val="6"/>
        </w:numPr>
        <w:pBdr>
          <w:top w:val="nil"/>
          <w:left w:val="nil"/>
          <w:bottom w:val="nil"/>
          <w:right w:val="nil"/>
          <w:between w:val="nil"/>
        </w:pBdr>
        <w:tabs>
          <w:tab w:val="left" w:pos="0"/>
        </w:tabs>
        <w:spacing w:line="360" w:lineRule="auto"/>
        <w:ind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Complejidad del </w:t>
      </w:r>
      <w:r w:rsidRPr="00F137E5">
        <w:rPr>
          <w:rFonts w:ascii="Palatino Linotype" w:eastAsia="Palatino Linotype" w:hAnsi="Palatino Linotype" w:cs="Palatino Linotype"/>
        </w:rPr>
        <w:t>asunto</w:t>
      </w:r>
      <w:r w:rsidRPr="00F137E5">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rsidR="008C7D5C" w:rsidRPr="00F137E5" w:rsidRDefault="00074B8B">
      <w:pPr>
        <w:numPr>
          <w:ilvl w:val="0"/>
          <w:numId w:val="6"/>
        </w:numPr>
        <w:pBdr>
          <w:top w:val="nil"/>
          <w:left w:val="nil"/>
          <w:bottom w:val="nil"/>
          <w:right w:val="nil"/>
          <w:between w:val="nil"/>
        </w:pBdr>
        <w:tabs>
          <w:tab w:val="left" w:pos="0"/>
        </w:tabs>
        <w:spacing w:line="360" w:lineRule="auto"/>
        <w:ind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Actividad Procesal del interesado. Acciones u omisiones del interesado.</w:t>
      </w:r>
    </w:p>
    <w:p w:rsidR="008C7D5C" w:rsidRPr="00F137E5" w:rsidRDefault="00074B8B">
      <w:pPr>
        <w:numPr>
          <w:ilvl w:val="0"/>
          <w:numId w:val="6"/>
        </w:numPr>
        <w:pBdr>
          <w:top w:val="nil"/>
          <w:left w:val="nil"/>
          <w:bottom w:val="nil"/>
          <w:right w:val="nil"/>
          <w:between w:val="nil"/>
        </w:pBdr>
        <w:tabs>
          <w:tab w:val="left" w:pos="0"/>
        </w:tabs>
        <w:spacing w:line="360" w:lineRule="auto"/>
        <w:ind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rsidR="008C7D5C" w:rsidRPr="00F137E5" w:rsidRDefault="00074B8B">
      <w:pPr>
        <w:tabs>
          <w:tab w:val="left" w:pos="0"/>
        </w:tabs>
        <w:spacing w:line="360" w:lineRule="auto"/>
        <w:ind w:left="567" w:right="-25"/>
        <w:jc w:val="both"/>
        <w:rPr>
          <w:rFonts w:ascii="Palatino Linotype" w:eastAsia="Palatino Linotype" w:hAnsi="Palatino Linotype" w:cs="Palatino Linotype"/>
        </w:rPr>
      </w:pPr>
      <w:r w:rsidRPr="00F137E5">
        <w:rPr>
          <w:rFonts w:ascii="Palatino Linotype" w:eastAsia="Palatino Linotype" w:hAnsi="Palatino Linotype" w:cs="Palatino Linotype"/>
        </w:rPr>
        <w:t>d) La afectación generada en la situación jurídica de la persona involucrada en el proceso: Violación a sus derechos humanos.</w:t>
      </w:r>
    </w:p>
    <w:p w:rsidR="008C7D5C" w:rsidRPr="00F137E5" w:rsidRDefault="008C7D5C">
      <w:pPr>
        <w:tabs>
          <w:tab w:val="left" w:pos="0"/>
        </w:tabs>
        <w:spacing w:line="360" w:lineRule="auto"/>
        <w:ind w:right="-592"/>
        <w:rPr>
          <w:rFonts w:ascii="Palatino Linotype" w:eastAsia="Palatino Linotype" w:hAnsi="Palatino Linotype" w:cs="Palatino Linotype"/>
        </w:rPr>
      </w:pPr>
    </w:p>
    <w:p w:rsidR="008C7D5C" w:rsidRPr="00F137E5" w:rsidRDefault="00074B8B">
      <w:pPr>
        <w:numPr>
          <w:ilvl w:val="0"/>
          <w:numId w:val="1"/>
        </w:numPr>
        <w:pBdr>
          <w:top w:val="nil"/>
          <w:left w:val="nil"/>
          <w:bottom w:val="nil"/>
          <w:right w:val="nil"/>
          <w:between w:val="nil"/>
        </w:pBdr>
        <w:tabs>
          <w:tab w:val="left" w:pos="0"/>
        </w:tabs>
        <w:spacing w:line="360" w:lineRule="auto"/>
        <w:ind w:left="0" w:right="-592" w:firstLine="0"/>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C7D5C" w:rsidRPr="00F137E5" w:rsidRDefault="008C7D5C">
      <w:pPr>
        <w:tabs>
          <w:tab w:val="left" w:pos="0"/>
        </w:tabs>
        <w:spacing w:line="360" w:lineRule="auto"/>
        <w:ind w:right="-592"/>
        <w:jc w:val="both"/>
        <w:rPr>
          <w:rFonts w:ascii="Palatino Linotype" w:eastAsia="Palatino Linotype" w:hAnsi="Palatino Linotype" w:cs="Palatino Linotype"/>
          <w:b/>
        </w:rPr>
      </w:pPr>
    </w:p>
    <w:p w:rsidR="008C7D5C" w:rsidRPr="00F137E5" w:rsidRDefault="00074B8B">
      <w:pPr>
        <w:numPr>
          <w:ilvl w:val="0"/>
          <w:numId w:val="1"/>
        </w:numPr>
        <w:tabs>
          <w:tab w:val="left" w:pos="0"/>
        </w:tabs>
        <w:spacing w:line="360" w:lineRule="auto"/>
        <w:ind w:left="0" w:right="-592" w:firstLine="0"/>
        <w:jc w:val="both"/>
        <w:rPr>
          <w:rFonts w:ascii="Palatino Linotype" w:eastAsia="Palatino Linotype" w:hAnsi="Palatino Linotype" w:cs="Palatino Linotype"/>
          <w:b/>
        </w:rPr>
      </w:pPr>
      <w:r w:rsidRPr="00F137E5">
        <w:rPr>
          <w:rFonts w:ascii="Palatino Linotype" w:eastAsia="Palatino Linotype" w:hAnsi="Palatino Linotype" w:cs="Palatino Linotype"/>
        </w:rPr>
        <w:t>Argumento que encuentra sustento en la jurisprudencia P</w:t>
      </w:r>
      <w:proofErr w:type="gramStart"/>
      <w:r w:rsidRPr="00F137E5">
        <w:rPr>
          <w:rFonts w:ascii="Palatino Linotype" w:eastAsia="Palatino Linotype" w:hAnsi="Palatino Linotype" w:cs="Palatino Linotype"/>
        </w:rPr>
        <w:t>./</w:t>
      </w:r>
      <w:proofErr w:type="gramEnd"/>
      <w:r w:rsidRPr="00F137E5">
        <w:rPr>
          <w:rFonts w:ascii="Palatino Linotype" w:eastAsia="Palatino Linotype" w:hAnsi="Palatino Linotype" w:cs="Palatino Linotype"/>
        </w:rPr>
        <w:t xml:space="preserve">J. 32/92 emitida por el Pleno de la Suprema Corte de Justicia de la Nación del rubro </w:t>
      </w:r>
      <w:r w:rsidRPr="00F137E5">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137E5">
        <w:rPr>
          <w:rFonts w:ascii="Palatino Linotype" w:eastAsia="Palatino Linotype" w:hAnsi="Palatino Linotype" w:cs="Palatino Linotype"/>
        </w:rPr>
        <w:t>, visible en la Gaceta del Semanario Judicial de la Federación con el registro digital 205635.</w:t>
      </w:r>
    </w:p>
    <w:p w:rsidR="008C7D5C" w:rsidRPr="00F137E5" w:rsidRDefault="00074B8B">
      <w:pPr>
        <w:numPr>
          <w:ilvl w:val="0"/>
          <w:numId w:val="1"/>
        </w:numPr>
        <w:tabs>
          <w:tab w:val="left" w:pos="0"/>
        </w:tabs>
        <w:spacing w:line="360" w:lineRule="auto"/>
        <w:ind w:left="0" w:right="-592" w:firstLine="0"/>
        <w:jc w:val="both"/>
        <w:rPr>
          <w:rFonts w:ascii="Palatino Linotype" w:eastAsia="Palatino Linotype" w:hAnsi="Palatino Linotype" w:cs="Palatino Linotype"/>
          <w:b/>
        </w:rPr>
      </w:pPr>
      <w:r w:rsidRPr="00F137E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C7D5C" w:rsidRPr="00F137E5" w:rsidRDefault="008C7D5C">
      <w:pPr>
        <w:pBdr>
          <w:top w:val="nil"/>
          <w:left w:val="nil"/>
          <w:bottom w:val="nil"/>
          <w:right w:val="nil"/>
          <w:between w:val="nil"/>
        </w:pBdr>
        <w:ind w:left="720" w:right="-592"/>
        <w:rPr>
          <w:rFonts w:ascii="Palatino Linotype" w:eastAsia="Palatino Linotype" w:hAnsi="Palatino Linotype" w:cs="Palatino Linotype"/>
          <w:b/>
          <w:color w:val="000000"/>
        </w:rPr>
      </w:pPr>
    </w:p>
    <w:p w:rsidR="008C7D5C" w:rsidRPr="00F137E5" w:rsidRDefault="00074B8B">
      <w:pPr>
        <w:numPr>
          <w:ilvl w:val="0"/>
          <w:numId w:val="1"/>
        </w:numPr>
        <w:tabs>
          <w:tab w:val="left" w:pos="0"/>
        </w:tabs>
        <w:spacing w:line="360" w:lineRule="auto"/>
        <w:ind w:left="0" w:right="-592" w:firstLine="0"/>
        <w:jc w:val="both"/>
        <w:rPr>
          <w:rFonts w:ascii="Palatino Linotype" w:eastAsia="Palatino Linotype" w:hAnsi="Palatino Linotype" w:cs="Palatino Linotype"/>
          <w:b/>
        </w:rPr>
      </w:pPr>
      <w:r w:rsidRPr="00F137E5">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8C7D5C" w:rsidRPr="00F137E5" w:rsidRDefault="008C7D5C">
      <w:pPr>
        <w:tabs>
          <w:tab w:val="left" w:pos="0"/>
        </w:tabs>
        <w:spacing w:line="360" w:lineRule="auto"/>
        <w:ind w:right="-592"/>
        <w:rPr>
          <w:rFonts w:ascii="Palatino Linotype" w:eastAsia="Palatino Linotype" w:hAnsi="Palatino Linotype" w:cs="Palatino Linotype"/>
        </w:rPr>
      </w:pPr>
    </w:p>
    <w:p w:rsidR="008C7D5C" w:rsidRPr="00F137E5" w:rsidRDefault="00074B8B">
      <w:pPr>
        <w:numPr>
          <w:ilvl w:val="0"/>
          <w:numId w:val="1"/>
        </w:numPr>
        <w:tabs>
          <w:tab w:val="left" w:pos="0"/>
        </w:tabs>
        <w:spacing w:line="360" w:lineRule="auto"/>
        <w:ind w:left="0" w:right="-592" w:firstLine="0"/>
        <w:jc w:val="both"/>
        <w:rPr>
          <w:rFonts w:ascii="Palatino Linotype" w:eastAsia="Palatino Linotype" w:hAnsi="Palatino Linotype" w:cs="Palatino Linotype"/>
          <w:b/>
        </w:rPr>
      </w:pPr>
      <w:r w:rsidRPr="00F137E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8C7D5C" w:rsidRPr="00F137E5" w:rsidRDefault="00074B8B">
      <w:pPr>
        <w:tabs>
          <w:tab w:val="left" w:pos="0"/>
        </w:tabs>
        <w:spacing w:line="360" w:lineRule="auto"/>
        <w:ind w:left="851" w:right="-25"/>
        <w:jc w:val="both"/>
        <w:rPr>
          <w:rFonts w:ascii="Palatino Linotype" w:eastAsia="Palatino Linotype" w:hAnsi="Palatino Linotype" w:cs="Palatino Linotype"/>
        </w:rPr>
      </w:pPr>
      <w:r w:rsidRPr="00F137E5">
        <w:rPr>
          <w:rFonts w:ascii="Palatino Linotype" w:eastAsia="Palatino Linotype" w:hAnsi="Palatino Linotype" w:cs="Palatino Linotype"/>
        </w:rPr>
        <w:lastRenderedPageBreak/>
        <w:t xml:space="preserve"> </w:t>
      </w:r>
      <w:r w:rsidRPr="00F137E5">
        <w:rPr>
          <w:rFonts w:ascii="Palatino Linotype" w:eastAsia="Palatino Linotype" w:hAnsi="Palatino Linotype" w:cs="Palatino Linotype"/>
          <w:i/>
        </w:rPr>
        <w:t>“PLAZO RAZONABLE PARA RESOLVER. DIMENSIÓN Y EFECTOS DE ESTE CONCEPTO CUANDO SE ADUCE EXCESIVA CARGA DE TRABAJO.”</w:t>
      </w:r>
      <w:r w:rsidRPr="00F137E5">
        <w:rPr>
          <w:rFonts w:ascii="Palatino Linotype" w:eastAsia="Palatino Linotype" w:hAnsi="Palatino Linotype" w:cs="Palatino Linotype"/>
        </w:rPr>
        <w:t xml:space="preserve"> consultable en el Semanario Judicial de la Federación y su gaceta, con el registro digital 2002351.</w:t>
      </w:r>
    </w:p>
    <w:p w:rsidR="008C7D5C" w:rsidRPr="00F137E5" w:rsidRDefault="008C7D5C">
      <w:pPr>
        <w:tabs>
          <w:tab w:val="left" w:pos="0"/>
        </w:tabs>
        <w:spacing w:line="360" w:lineRule="auto"/>
        <w:ind w:left="851" w:right="-25"/>
        <w:jc w:val="both"/>
        <w:rPr>
          <w:rFonts w:ascii="Palatino Linotype" w:eastAsia="Palatino Linotype" w:hAnsi="Palatino Linotype" w:cs="Palatino Linotype"/>
          <w:b/>
        </w:rPr>
      </w:pPr>
    </w:p>
    <w:p w:rsidR="008C7D5C" w:rsidRPr="00F137E5" w:rsidRDefault="00074B8B">
      <w:pPr>
        <w:tabs>
          <w:tab w:val="left" w:pos="0"/>
        </w:tabs>
        <w:spacing w:line="360" w:lineRule="auto"/>
        <w:ind w:left="851" w:right="-25"/>
        <w:jc w:val="both"/>
        <w:rPr>
          <w:rFonts w:ascii="Palatino Linotype" w:eastAsia="Palatino Linotype" w:hAnsi="Palatino Linotype" w:cs="Palatino Linotype"/>
        </w:rPr>
      </w:pPr>
      <w:r w:rsidRPr="00F137E5">
        <w:rPr>
          <w:rFonts w:ascii="Palatino Linotype" w:eastAsia="Palatino Linotype" w:hAnsi="Palatino Linotype" w:cs="Palatino Linotype"/>
          <w:i/>
        </w:rPr>
        <w:t>“PLAZO RAZONABLE PARA RESOLVER. CONCEPTO Y ELEMENTOS QUE LO INTEGRAN A LA LUZ DEL DERECHO INTERNACIONAL DE LOS DERECHOS HUMANOS.”</w:t>
      </w:r>
      <w:r w:rsidRPr="00F137E5">
        <w:rPr>
          <w:rFonts w:ascii="Palatino Linotype" w:eastAsia="Palatino Linotype" w:hAnsi="Palatino Linotype" w:cs="Palatino Linotype"/>
        </w:rPr>
        <w:t>, visible en el Semanario Judicial de la Federación y su gaceta, con el registro digital 2002350.</w:t>
      </w:r>
    </w:p>
    <w:p w:rsidR="008C7D5C" w:rsidRPr="00F137E5" w:rsidRDefault="008C7D5C">
      <w:pPr>
        <w:tabs>
          <w:tab w:val="left" w:pos="0"/>
        </w:tabs>
        <w:spacing w:line="360" w:lineRule="auto"/>
        <w:ind w:right="-592"/>
        <w:jc w:val="both"/>
        <w:rPr>
          <w:rFonts w:ascii="Palatino Linotype" w:eastAsia="Palatino Linotype" w:hAnsi="Palatino Linotype" w:cs="Palatino Linotype"/>
        </w:rPr>
      </w:pPr>
    </w:p>
    <w:p w:rsidR="008C7D5C" w:rsidRPr="00F137E5" w:rsidRDefault="00074B8B">
      <w:pPr>
        <w:numPr>
          <w:ilvl w:val="0"/>
          <w:numId w:val="1"/>
        </w:numPr>
        <w:pBdr>
          <w:top w:val="nil"/>
          <w:left w:val="nil"/>
          <w:bottom w:val="nil"/>
          <w:right w:val="nil"/>
          <w:between w:val="nil"/>
        </w:pBdr>
        <w:tabs>
          <w:tab w:val="left" w:pos="0"/>
        </w:tabs>
        <w:spacing w:line="360" w:lineRule="auto"/>
        <w:ind w:left="0" w:right="-592" w:firstLine="0"/>
        <w:jc w:val="both"/>
        <w:rPr>
          <w:rFonts w:ascii="Palatino Linotype" w:hAnsi="Palatino Linotype"/>
          <w:color w:val="000000"/>
        </w:rPr>
      </w:pPr>
      <w:r w:rsidRPr="00F137E5">
        <w:rPr>
          <w:rFonts w:ascii="Palatino Linotype" w:eastAsia="Palatino Linotype" w:hAnsi="Palatino Linotype" w:cs="Palatino Linotype"/>
          <w:color w:val="000000"/>
        </w:rPr>
        <w:t xml:space="preserve">Por ello, este Organismo Garante comprometido con la tutela de los derechos humanos confiados, señala que este exceso de plazo legal para resolver el presente asunto, resulta de carácter excepcional. </w:t>
      </w:r>
    </w:p>
    <w:p w:rsidR="008C7D5C" w:rsidRPr="00F137E5" w:rsidRDefault="008C7D5C">
      <w:pPr>
        <w:pBdr>
          <w:top w:val="nil"/>
          <w:left w:val="nil"/>
          <w:bottom w:val="nil"/>
          <w:right w:val="nil"/>
          <w:between w:val="nil"/>
        </w:pBdr>
        <w:tabs>
          <w:tab w:val="left" w:pos="0"/>
        </w:tabs>
        <w:spacing w:line="360" w:lineRule="auto"/>
        <w:ind w:right="-592"/>
        <w:jc w:val="both"/>
        <w:rPr>
          <w:rFonts w:ascii="Palatino Linotype" w:eastAsia="Palatino Linotype" w:hAnsi="Palatino Linotype" w:cs="Palatino Linotype"/>
          <w:color w:val="000000"/>
        </w:rPr>
      </w:pPr>
    </w:p>
    <w:p w:rsidR="008C7D5C" w:rsidRPr="00F137E5" w:rsidRDefault="00074B8B">
      <w:pPr>
        <w:numPr>
          <w:ilvl w:val="0"/>
          <w:numId w:val="1"/>
        </w:numPr>
        <w:spacing w:line="360" w:lineRule="auto"/>
        <w:ind w:left="0" w:right="-592" w:firstLine="0"/>
        <w:jc w:val="both"/>
        <w:rPr>
          <w:rFonts w:ascii="Palatino Linotype" w:hAnsi="Palatino Linotype"/>
          <w:color w:val="000000"/>
        </w:rPr>
      </w:pPr>
      <w:r w:rsidRPr="00F137E5">
        <w:rPr>
          <w:rFonts w:ascii="Palatino Linotype" w:eastAsia="Palatino Linotype" w:hAnsi="Palatino Linotype" w:cs="Palatino Linotype"/>
          <w:color w:val="000000"/>
        </w:rPr>
        <w:t xml:space="preserve">El </w:t>
      </w:r>
      <w:r w:rsidRPr="00F137E5">
        <w:rPr>
          <w:rFonts w:ascii="Palatino Linotype" w:eastAsia="Palatino Linotype" w:hAnsi="Palatino Linotype" w:cs="Palatino Linotype"/>
          <w:b/>
        </w:rPr>
        <w:t>veinticinco de febrero del año en curso</w:t>
      </w:r>
      <w:r w:rsidRPr="00F137E5">
        <w:rPr>
          <w:rFonts w:ascii="Palatino Linotype" w:eastAsia="Palatino Linotype" w:hAnsi="Palatino Linotype" w:cs="Palatino Linotype"/>
          <w:b/>
          <w:color w:val="000000"/>
        </w:rPr>
        <w:t>,</w:t>
      </w:r>
      <w:r w:rsidRPr="00F137E5">
        <w:rPr>
          <w:rFonts w:ascii="Palatino Linotype" w:eastAsia="Palatino Linotype" w:hAnsi="Palatino Linotype" w:cs="Palatino Linotype"/>
          <w:color w:val="000000"/>
        </w:rPr>
        <w:t xml:space="preserve"> se notificó acuerdo de cierre de instrucción; por lo que: -----------------------------------------------------------------------------------------</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keepNext/>
        <w:keepLines/>
        <w:spacing w:line="360" w:lineRule="auto"/>
        <w:ind w:right="-592"/>
        <w:jc w:val="center"/>
        <w:rPr>
          <w:rFonts w:ascii="Palatino Linotype" w:eastAsia="Palatino Linotype" w:hAnsi="Palatino Linotype" w:cs="Palatino Linotype"/>
          <w:b/>
        </w:rPr>
      </w:pPr>
      <w:bookmarkStart w:id="2" w:name="_heading=h.1fob9te" w:colFirst="0" w:colLast="0"/>
      <w:bookmarkEnd w:id="2"/>
      <w:r w:rsidRPr="00F137E5">
        <w:rPr>
          <w:rFonts w:ascii="Palatino Linotype" w:eastAsia="Palatino Linotype" w:hAnsi="Palatino Linotype" w:cs="Palatino Linotype"/>
          <w:b/>
        </w:rPr>
        <w:t xml:space="preserve">C O N S I D E R A N D O </w:t>
      </w:r>
    </w:p>
    <w:p w:rsidR="008C7D5C" w:rsidRPr="00F137E5" w:rsidRDefault="008C7D5C">
      <w:pPr>
        <w:keepNext/>
        <w:keepLines/>
        <w:spacing w:line="360" w:lineRule="auto"/>
        <w:ind w:right="-592"/>
        <w:jc w:val="center"/>
        <w:rPr>
          <w:rFonts w:ascii="Palatino Linotype" w:eastAsia="Palatino Linotype" w:hAnsi="Palatino Linotype" w:cs="Palatino Linotype"/>
          <w:b/>
        </w:rPr>
      </w:pPr>
    </w:p>
    <w:p w:rsidR="008C7D5C" w:rsidRPr="00F137E5" w:rsidRDefault="00074B8B">
      <w:pPr>
        <w:keepNext/>
        <w:keepLines/>
        <w:spacing w:line="360" w:lineRule="auto"/>
        <w:ind w:right="-592"/>
        <w:rPr>
          <w:rFonts w:ascii="Palatino Linotype" w:eastAsia="Palatino Linotype" w:hAnsi="Palatino Linotype" w:cs="Palatino Linotype"/>
          <w:b/>
        </w:rPr>
      </w:pPr>
      <w:bookmarkStart w:id="3" w:name="_heading=h.3znysh7" w:colFirst="0" w:colLast="0"/>
      <w:bookmarkEnd w:id="3"/>
      <w:r w:rsidRPr="00F137E5">
        <w:rPr>
          <w:rFonts w:ascii="Palatino Linotype" w:eastAsia="Palatino Linotype" w:hAnsi="Palatino Linotype" w:cs="Palatino Linotype"/>
          <w:b/>
        </w:rPr>
        <w:t>PRIMERO. De la competencia.</w:t>
      </w:r>
    </w:p>
    <w:p w:rsidR="008C7D5C" w:rsidRPr="00F137E5" w:rsidRDefault="00074B8B">
      <w:pPr>
        <w:numPr>
          <w:ilvl w:val="0"/>
          <w:numId w:val="1"/>
        </w:numPr>
        <w:pBdr>
          <w:top w:val="nil"/>
          <w:left w:val="nil"/>
          <w:bottom w:val="nil"/>
          <w:right w:val="nil"/>
          <w:between w:val="nil"/>
        </w:pBdr>
        <w:spacing w:before="240" w:line="360" w:lineRule="auto"/>
        <w:ind w:left="0" w:right="-592" w:firstLine="0"/>
        <w:jc w:val="both"/>
        <w:rPr>
          <w:rFonts w:ascii="Palatino Linotype" w:hAnsi="Palatino Linotype"/>
          <w:color w:val="000000"/>
        </w:rPr>
      </w:pPr>
      <w:r w:rsidRPr="00F137E5">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137E5">
        <w:rPr>
          <w:rFonts w:ascii="Palatino Linotype" w:eastAsia="Palatino Linotype" w:hAnsi="Palatino Linotype" w:cs="Palatino Linotype"/>
          <w:b/>
          <w:color w:val="000000"/>
        </w:rPr>
        <w:lastRenderedPageBreak/>
        <w:t>Constitución Política de los Estados Unidos Mexicanos</w:t>
      </w:r>
      <w:r w:rsidRPr="00F137E5">
        <w:rPr>
          <w:rFonts w:ascii="Palatino Linotype" w:eastAsia="Palatino Linotype" w:hAnsi="Palatino Linotype" w:cs="Palatino Linotype"/>
          <w:color w:val="000000"/>
        </w:rPr>
        <w:t xml:space="preserve">; 5, párrafos trigésimo segundo y trigésimo tercero, fracciones IV y V, de la </w:t>
      </w:r>
      <w:r w:rsidRPr="00F137E5">
        <w:rPr>
          <w:rFonts w:ascii="Palatino Linotype" w:eastAsia="Palatino Linotype" w:hAnsi="Palatino Linotype" w:cs="Palatino Linotype"/>
          <w:b/>
          <w:color w:val="000000"/>
        </w:rPr>
        <w:t>Constitución Política del Estado Libre y Soberano de México</w:t>
      </w:r>
      <w:r w:rsidRPr="00F137E5">
        <w:rPr>
          <w:rFonts w:ascii="Palatino Linotype" w:eastAsia="Palatino Linotype" w:hAnsi="Palatino Linotype" w:cs="Palatino Linotype"/>
          <w:color w:val="000000"/>
        </w:rPr>
        <w:t xml:space="preserve">; artículos 1, 2 fracción II, 13, 29, 36 fracciones I y II, 176, 178, 179, 181 párrafo tercero y 185 de la </w:t>
      </w:r>
      <w:r w:rsidRPr="00F137E5">
        <w:rPr>
          <w:rFonts w:ascii="Palatino Linotype" w:eastAsia="Palatino Linotype" w:hAnsi="Palatino Linotype" w:cs="Palatino Linotype"/>
          <w:b/>
          <w:color w:val="000000"/>
        </w:rPr>
        <w:t>Ley de Transparencia y Acceso a la Información Pública del Estado de México y Municipios</w:t>
      </w:r>
      <w:r w:rsidRPr="00F137E5">
        <w:rPr>
          <w:rFonts w:ascii="Palatino Linotype" w:eastAsia="Palatino Linotype" w:hAnsi="Palatino Linotype" w:cs="Palatino Linotype"/>
          <w:color w:val="000000"/>
        </w:rPr>
        <w:t xml:space="preserve">; y 7, 9 fracciones I y XXIII, y 11 del </w:t>
      </w:r>
      <w:r w:rsidRPr="00F137E5">
        <w:rPr>
          <w:rFonts w:ascii="Palatino Linotype" w:eastAsia="Palatino Linotype" w:hAnsi="Palatino Linotype" w:cs="Palatino Linotype"/>
          <w:b/>
          <w:color w:val="000000"/>
        </w:rPr>
        <w:t>Reglamento Interior del Instituto de Transparencia, Acceso a la Información Pública y Protección de Datos Personales del Estado de México y Municipios.</w:t>
      </w:r>
    </w:p>
    <w:p w:rsidR="008C7D5C" w:rsidRPr="00F137E5" w:rsidRDefault="008C7D5C">
      <w:pPr>
        <w:pBdr>
          <w:top w:val="nil"/>
          <w:left w:val="nil"/>
          <w:bottom w:val="nil"/>
          <w:right w:val="nil"/>
          <w:between w:val="nil"/>
        </w:pBdr>
        <w:spacing w:after="240" w:line="360" w:lineRule="auto"/>
        <w:ind w:right="-592"/>
        <w:jc w:val="both"/>
        <w:rPr>
          <w:rFonts w:ascii="Palatino Linotype" w:eastAsia="Palatino Linotype" w:hAnsi="Palatino Linotype" w:cs="Palatino Linotype"/>
          <w:color w:val="000000"/>
        </w:rPr>
      </w:pPr>
    </w:p>
    <w:p w:rsidR="008C7D5C" w:rsidRPr="00F137E5" w:rsidRDefault="00074B8B">
      <w:pPr>
        <w:keepNext/>
        <w:keepLines/>
        <w:spacing w:line="360" w:lineRule="auto"/>
        <w:ind w:right="-592"/>
        <w:rPr>
          <w:rFonts w:ascii="Palatino Linotype" w:eastAsia="Palatino Linotype" w:hAnsi="Palatino Linotype" w:cs="Palatino Linotype"/>
          <w:b/>
        </w:rPr>
      </w:pPr>
      <w:bookmarkStart w:id="4" w:name="_heading=h.2et92p0" w:colFirst="0" w:colLast="0"/>
      <w:bookmarkEnd w:id="4"/>
      <w:r w:rsidRPr="00F137E5">
        <w:rPr>
          <w:rFonts w:ascii="Palatino Linotype" w:eastAsia="Palatino Linotype" w:hAnsi="Palatino Linotype" w:cs="Palatino Linotype"/>
          <w:b/>
        </w:rPr>
        <w:t>SEGUNDO. De la oportunidad y procedencia.</w:t>
      </w:r>
    </w:p>
    <w:p w:rsidR="008C7D5C" w:rsidRPr="00F137E5" w:rsidRDefault="00074B8B">
      <w:pPr>
        <w:numPr>
          <w:ilvl w:val="0"/>
          <w:numId w:val="1"/>
        </w:numPr>
        <w:spacing w:line="360" w:lineRule="auto"/>
        <w:ind w:left="0" w:right="-592" w:firstLine="0"/>
        <w:jc w:val="both"/>
        <w:rPr>
          <w:rFonts w:ascii="Palatino Linotype" w:hAnsi="Palatino Linotype"/>
        </w:rPr>
      </w:pPr>
      <w:r w:rsidRPr="00F137E5">
        <w:rPr>
          <w:rFonts w:ascii="Palatino Linotype" w:eastAsia="Palatino Linotype" w:hAnsi="Palatino Linotype" w:cs="Palatino Linotype"/>
        </w:rPr>
        <w:t xml:space="preserve">El medio de impugnación fue presentado a través del </w:t>
      </w:r>
      <w:r w:rsidRPr="00F137E5">
        <w:rPr>
          <w:rFonts w:ascii="Palatino Linotype" w:eastAsia="Palatino Linotype" w:hAnsi="Palatino Linotype" w:cs="Palatino Linotype"/>
          <w:b/>
        </w:rPr>
        <w:t>SAIMEX,</w:t>
      </w:r>
      <w:r w:rsidRPr="00F137E5">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F137E5">
        <w:rPr>
          <w:rFonts w:ascii="Palatino Linotype" w:eastAsia="Palatino Linotype" w:hAnsi="Palatino Linotype" w:cs="Palatino Linotype"/>
          <w:b/>
        </w:rPr>
        <w:t>SUJETO OBLIGADO</w:t>
      </w:r>
      <w:r w:rsidRPr="00F137E5">
        <w:rPr>
          <w:rFonts w:ascii="Palatino Linotype" w:eastAsia="Palatino Linotype" w:hAnsi="Palatino Linotype" w:cs="Palatino Linotype"/>
        </w:rPr>
        <w:t xml:space="preserve"> entregó respuesta el día </w:t>
      </w:r>
      <w:r w:rsidRPr="00F137E5">
        <w:rPr>
          <w:rFonts w:ascii="Palatino Linotype" w:eastAsia="Palatino Linotype" w:hAnsi="Palatino Linotype" w:cs="Palatino Linotype"/>
          <w:b/>
        </w:rPr>
        <w:t>primero de abril de dos mil veinticuatro</w:t>
      </w:r>
      <w:r w:rsidRPr="00F137E5">
        <w:rPr>
          <w:rFonts w:ascii="Palatino Linotype" w:eastAsia="Palatino Linotype" w:hAnsi="Palatino Linotype" w:cs="Palatino Linotype"/>
        </w:rPr>
        <w:t>, de tal forma que el plazo para interponer el recurso transcurrió del d</w:t>
      </w:r>
      <w:r w:rsidRPr="00F137E5">
        <w:rPr>
          <w:rFonts w:ascii="Palatino Linotype" w:eastAsia="Palatino Linotype" w:hAnsi="Palatino Linotype" w:cs="Palatino Linotype"/>
          <w:b/>
        </w:rPr>
        <w:t>os al veintidós de abril de dos mil veinticuatro</w:t>
      </w:r>
      <w:r w:rsidRPr="00F137E5">
        <w:rPr>
          <w:rFonts w:ascii="Palatino Linotype" w:eastAsia="Palatino Linotype" w:hAnsi="Palatino Linotype" w:cs="Palatino Linotype"/>
        </w:rPr>
        <w:t xml:space="preserve">, de acuerdo al calendario oficial del Instituto de Transparencia del Estado de México y Municipios; en consecuencia, si el particular presentó su inconformidad el día </w:t>
      </w:r>
      <w:r w:rsidRPr="00F137E5">
        <w:rPr>
          <w:rFonts w:ascii="Palatino Linotype" w:eastAsia="Palatino Linotype" w:hAnsi="Palatino Linotype" w:cs="Palatino Linotype"/>
          <w:b/>
        </w:rPr>
        <w:t>tres de abril de dos mil veinticuatro</w:t>
      </w:r>
      <w:r w:rsidRPr="00F137E5">
        <w:rPr>
          <w:rFonts w:ascii="Palatino Linotype" w:eastAsia="Palatino Linotype" w:hAnsi="Palatino Linotype" w:cs="Palatino Linotype"/>
        </w:rPr>
        <w:t xml:space="preserve">, se encuentra dentro de los márgenes temporales previstos en el artículo 178 de la </w:t>
      </w:r>
      <w:r w:rsidRPr="00F137E5">
        <w:rPr>
          <w:rFonts w:ascii="Palatino Linotype" w:eastAsia="Palatino Linotype" w:hAnsi="Palatino Linotype" w:cs="Palatino Linotype"/>
          <w:b/>
        </w:rPr>
        <w:t xml:space="preserve">Ley de Transparencia y Acceso a la Información Pública del Estado de México y Municipios </w:t>
      </w:r>
      <w:r w:rsidRPr="00F137E5">
        <w:rPr>
          <w:rFonts w:ascii="Palatino Linotype" w:eastAsia="Palatino Linotype" w:hAnsi="Palatino Linotype" w:cs="Palatino Linotype"/>
        </w:rPr>
        <w:t xml:space="preserve">vigente. </w:t>
      </w:r>
    </w:p>
    <w:p w:rsidR="008C7D5C" w:rsidRPr="00F137E5" w:rsidRDefault="008C7D5C">
      <w:pPr>
        <w:pBdr>
          <w:top w:val="nil"/>
          <w:left w:val="nil"/>
          <w:bottom w:val="nil"/>
          <w:right w:val="nil"/>
          <w:between w:val="nil"/>
        </w:pBdr>
        <w:ind w:left="720" w:right="-592"/>
        <w:rPr>
          <w:rFonts w:ascii="Palatino Linotype" w:eastAsia="Palatino Linotype" w:hAnsi="Palatino Linotype" w:cs="Palatino Linotype"/>
          <w:color w:val="000000"/>
        </w:rPr>
      </w:pPr>
    </w:p>
    <w:p w:rsidR="008C7D5C" w:rsidRPr="00F137E5" w:rsidRDefault="00074B8B">
      <w:pPr>
        <w:numPr>
          <w:ilvl w:val="0"/>
          <w:numId w:val="1"/>
        </w:numPr>
        <w:spacing w:line="360" w:lineRule="auto"/>
        <w:ind w:left="0" w:right="-592" w:firstLine="0"/>
        <w:jc w:val="both"/>
        <w:rPr>
          <w:rFonts w:ascii="Palatino Linotype" w:eastAsia="Palatino Linotype" w:hAnsi="Palatino Linotype" w:cs="Palatino Linotype"/>
          <w:b/>
        </w:rPr>
      </w:pPr>
      <w:r w:rsidRPr="00F137E5">
        <w:rPr>
          <w:rFonts w:ascii="Palatino Linotype" w:eastAsia="Palatino Linotype" w:hAnsi="Palatino Linotype" w:cs="Palatino Linotype"/>
        </w:rPr>
        <w:t xml:space="preserve">Consecuentemente, el escrito contiene las formalidades previstas por el artículo 180 último párrafo de la Ley de la materia actual, por lo que es procedente que este Instituto de </w:t>
      </w:r>
      <w:r w:rsidRPr="00F137E5">
        <w:rPr>
          <w:rFonts w:ascii="Palatino Linotype" w:eastAsia="Palatino Linotype" w:hAnsi="Palatino Linotype" w:cs="Palatino Linotype"/>
        </w:rPr>
        <w:lastRenderedPageBreak/>
        <w:t>Transparencia, Acceso a la Información Pública y Protección de Datos Personales del Estado de México y Municipios, conozca y resuelva el presente recurso.</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keepNext/>
        <w:keepLines/>
        <w:spacing w:line="360" w:lineRule="auto"/>
        <w:ind w:right="-592"/>
        <w:rPr>
          <w:rFonts w:ascii="Palatino Linotype" w:eastAsia="Palatino Linotype" w:hAnsi="Palatino Linotype" w:cs="Palatino Linotype"/>
          <w:b/>
        </w:rPr>
      </w:pPr>
      <w:bookmarkStart w:id="5" w:name="_heading=h.tyjcwt" w:colFirst="0" w:colLast="0"/>
      <w:bookmarkEnd w:id="5"/>
      <w:r w:rsidRPr="00F137E5">
        <w:rPr>
          <w:rFonts w:ascii="Palatino Linotype" w:eastAsia="Palatino Linotype" w:hAnsi="Palatino Linotype" w:cs="Palatino Linotype"/>
          <w:b/>
        </w:rPr>
        <w:t xml:space="preserve">TERCERO. Planteamiento de la </w:t>
      </w:r>
      <w:r w:rsidRPr="00F137E5">
        <w:rPr>
          <w:rFonts w:ascii="Palatino Linotype" w:eastAsia="Palatino Linotype" w:hAnsi="Palatino Linotype" w:cs="Palatino Linotype"/>
          <w:b/>
          <w:i/>
        </w:rPr>
        <w:t>Litis</w:t>
      </w:r>
      <w:r w:rsidRPr="00F137E5">
        <w:rPr>
          <w:rFonts w:ascii="Palatino Linotype" w:eastAsia="Palatino Linotype" w:hAnsi="Palatino Linotype" w:cs="Palatino Linotype"/>
          <w:b/>
        </w:rPr>
        <w:t>.</w:t>
      </w:r>
    </w:p>
    <w:p w:rsidR="008C7D5C" w:rsidRPr="00F137E5" w:rsidRDefault="00074B8B">
      <w:pPr>
        <w:numPr>
          <w:ilvl w:val="0"/>
          <w:numId w:val="1"/>
        </w:numPr>
        <w:pBdr>
          <w:top w:val="nil"/>
          <w:left w:val="nil"/>
          <w:bottom w:val="nil"/>
          <w:right w:val="nil"/>
          <w:between w:val="nil"/>
        </w:pBdr>
        <w:spacing w:line="360" w:lineRule="auto"/>
        <w:ind w:left="0" w:right="-592" w:firstLine="0"/>
        <w:jc w:val="both"/>
        <w:rPr>
          <w:rFonts w:ascii="Palatino Linotype" w:hAnsi="Palatino Linotype"/>
          <w:color w:val="000000"/>
        </w:rPr>
      </w:pPr>
      <w:r w:rsidRPr="00F137E5">
        <w:rPr>
          <w:rFonts w:ascii="Palatino Linotype" w:eastAsia="Palatino Linotype" w:hAnsi="Palatino Linotype" w:cs="Palatino Linotype"/>
          <w:color w:val="000000"/>
        </w:rPr>
        <w:t>El particular solicitó la siguiente información desagregada:</w:t>
      </w:r>
    </w:p>
    <w:p w:rsidR="008C7D5C" w:rsidRPr="00F137E5" w:rsidRDefault="008C7D5C">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rPr>
      </w:pPr>
      <w:r w:rsidRPr="00F137E5">
        <w:rPr>
          <w:rFonts w:ascii="Palatino Linotype" w:eastAsia="Palatino Linotype" w:hAnsi="Palatino Linotype" w:cs="Palatino Linotype"/>
        </w:rPr>
        <w:t>Nómina de personal del ayuntamiento de los periodos 1 de enero a 31 de diciembre del año 2023, periodo de 1 de enero del 2024 al 29 de febrero del 2024.</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Conciliación de </w:t>
      </w:r>
      <w:r w:rsidRPr="00F137E5">
        <w:rPr>
          <w:rFonts w:ascii="Palatino Linotype" w:eastAsia="Palatino Linotype" w:hAnsi="Palatino Linotype" w:cs="Palatino Linotype"/>
        </w:rPr>
        <w:t>nómina</w:t>
      </w:r>
      <w:r w:rsidRPr="00F137E5">
        <w:rPr>
          <w:rFonts w:ascii="Palatino Linotype" w:eastAsia="Palatino Linotype" w:hAnsi="Palatino Linotype" w:cs="Palatino Linotype"/>
          <w:color w:val="000000"/>
        </w:rPr>
        <w:t xml:space="preserve"> del Ayuntamiento del 01 de enero al 31 de diciembre de 2023 y del 01 de enero al 29 de febrero de 2024.</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Lista de raya del personal del 01 de enero al 31 de diciembre de 2023 y del 01 de enero al 29 de febrero de 2024.</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rPr>
      </w:pPr>
      <w:r w:rsidRPr="00F137E5">
        <w:rPr>
          <w:rFonts w:ascii="Palatino Linotype" w:eastAsia="Palatino Linotype" w:hAnsi="Palatino Linotype" w:cs="Palatino Linotype"/>
        </w:rPr>
        <w:t xml:space="preserve"> La relación de nombres, percepciones ordinarias y extraordinarias, bonificaciones de todos los asesores que se tiene en áreas de presidencia, secretaria del ayuntamiento, sindicatura y áreas </w:t>
      </w:r>
      <w:r w:rsidRPr="00F137E5">
        <w:rPr>
          <w:rFonts w:ascii="Palatino Linotype" w:eastAsia="Palatino Linotype" w:hAnsi="Palatino Linotype" w:cs="Palatino Linotype"/>
          <w:color w:val="000000"/>
        </w:rPr>
        <w:t>administrativas</w:t>
      </w:r>
      <w:r w:rsidRPr="00F137E5">
        <w:rPr>
          <w:rFonts w:ascii="Palatino Linotype" w:eastAsia="Palatino Linotype" w:hAnsi="Palatino Linotype" w:cs="Palatino Linotype"/>
        </w:rPr>
        <w:t xml:space="preserve"> de los periodos 1 de enero al 31 de diciembre del año 2023, periodo del 1 de enero al 29 de febrero del 2024. </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Documento donde consten las percepciones ordinarias, extraordinarias y bonificaciones y gratificaciones de los asesores de Presidencia, Secretaría del Ayuntamiento, Sindicatura , Regidurías y todas las áreas administrativas del 01 de enero al 31 de diciembre de 2023 y del 01 de enero al 29 de febrero de 2024.</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rPr>
      </w:pPr>
      <w:r w:rsidRPr="00F137E5">
        <w:rPr>
          <w:rFonts w:ascii="Palatino Linotype" w:eastAsia="Palatino Linotype" w:hAnsi="Palatino Linotype" w:cs="Palatino Linotype"/>
        </w:rPr>
        <w:t>La relación de obras, montos, y forma de asignación que se encuentran en curso así proyectadas del ejercicio 2023, así como del ejercicio 2024.</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lastRenderedPageBreak/>
        <w:t xml:space="preserve">Documento donde consten </w:t>
      </w:r>
      <w:r w:rsidRPr="00F137E5">
        <w:rPr>
          <w:rFonts w:ascii="Palatino Linotype" w:eastAsia="Palatino Linotype" w:hAnsi="Palatino Linotype" w:cs="Palatino Linotype"/>
        </w:rPr>
        <w:t>las obras</w:t>
      </w:r>
      <w:r w:rsidRPr="00F137E5">
        <w:rPr>
          <w:rFonts w:ascii="Palatino Linotype" w:eastAsia="Palatino Linotype" w:hAnsi="Palatino Linotype" w:cs="Palatino Linotype"/>
          <w:color w:val="000000"/>
        </w:rPr>
        <w:t xml:space="preserve">, montos y formas de asignación de aquellas que se encuentran en proceso al 29 de febrero de 2024. </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rPr>
      </w:pPr>
      <w:r w:rsidRPr="00F137E5">
        <w:rPr>
          <w:rFonts w:ascii="Palatino Linotype" w:eastAsia="Palatino Linotype" w:hAnsi="Palatino Linotype" w:cs="Palatino Linotype"/>
        </w:rPr>
        <w:t xml:space="preserve"> La </w:t>
      </w:r>
      <w:r w:rsidRPr="00F137E5">
        <w:rPr>
          <w:rFonts w:ascii="Palatino Linotype" w:eastAsia="Palatino Linotype" w:hAnsi="Palatino Linotype" w:cs="Palatino Linotype"/>
          <w:color w:val="000000"/>
        </w:rPr>
        <w:t>nómina</w:t>
      </w:r>
      <w:r w:rsidRPr="00F137E5">
        <w:rPr>
          <w:rFonts w:ascii="Palatino Linotype" w:eastAsia="Palatino Linotype" w:hAnsi="Palatino Linotype" w:cs="Palatino Linotype"/>
        </w:rPr>
        <w:t xml:space="preserve"> y lista de raya de todo el personal que labora en la administración municipal, desde fecha 1 de junio del 2023 al 29 de febrero del año 2023. </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rPr>
      </w:pPr>
      <w:r w:rsidRPr="00F137E5">
        <w:rPr>
          <w:rFonts w:ascii="Palatino Linotype" w:eastAsia="Palatino Linotype" w:hAnsi="Palatino Linotype" w:cs="Palatino Linotype"/>
        </w:rPr>
        <w:t xml:space="preserve">Las bonificaciones, gratificaciones que reciben el presidente municipal, síndico y regidores del ayuntamiento desde fecha 1 de enero del 2023 al 16 de febrero del 2024. </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rPr>
      </w:pPr>
      <w:r w:rsidRPr="00F137E5">
        <w:rPr>
          <w:rFonts w:ascii="Palatino Linotype" w:eastAsia="Palatino Linotype" w:hAnsi="Palatino Linotype" w:cs="Palatino Linotype"/>
        </w:rPr>
        <w:t xml:space="preserve">Solicito la lista de nombres de proveedores, del ayuntamiento del periodo 1 de enero del 2023 al 15 de febrero del 2022. </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rPr>
      </w:pPr>
      <w:r w:rsidRPr="00F137E5">
        <w:rPr>
          <w:rFonts w:ascii="Palatino Linotype" w:eastAsia="Palatino Linotype" w:hAnsi="Palatino Linotype" w:cs="Palatino Linotype"/>
        </w:rPr>
        <w:t xml:space="preserve">Solicito copia de los contratos asignados para obra del periodo 1 de enero del 2023 al 15 de febrero del 2023. </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rPr>
      </w:pPr>
      <w:r w:rsidRPr="00F137E5">
        <w:rPr>
          <w:rFonts w:ascii="Palatino Linotype" w:eastAsia="Palatino Linotype" w:hAnsi="Palatino Linotype" w:cs="Palatino Linotype"/>
        </w:rPr>
        <w:t xml:space="preserve">Solicito los montos y la asignación a empresa y/o persona física de obra de acuerdo a la programación anual de obras del año 2023. </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Documento donde consten </w:t>
      </w:r>
      <w:r w:rsidRPr="00F137E5">
        <w:rPr>
          <w:rFonts w:ascii="Palatino Linotype" w:eastAsia="Palatino Linotype" w:hAnsi="Palatino Linotype" w:cs="Palatino Linotype"/>
        </w:rPr>
        <w:t>las obras</w:t>
      </w:r>
      <w:r w:rsidRPr="00F137E5">
        <w:rPr>
          <w:rFonts w:ascii="Palatino Linotype" w:eastAsia="Palatino Linotype" w:hAnsi="Palatino Linotype" w:cs="Palatino Linotype"/>
          <w:color w:val="000000"/>
        </w:rPr>
        <w:t xml:space="preserve">, montos y formas de asignación de aquellas que se encuentran en proceso al 29 de febrero de 2024. </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Documento donde consten las obras </w:t>
      </w:r>
      <w:r w:rsidRPr="00F137E5">
        <w:rPr>
          <w:rFonts w:ascii="Palatino Linotype" w:eastAsia="Palatino Linotype" w:hAnsi="Palatino Linotype" w:cs="Palatino Linotype"/>
        </w:rPr>
        <w:t>programadas</w:t>
      </w:r>
      <w:r w:rsidRPr="00F137E5">
        <w:rPr>
          <w:rFonts w:ascii="Palatino Linotype" w:eastAsia="Palatino Linotype" w:hAnsi="Palatino Linotype" w:cs="Palatino Linotype"/>
          <w:color w:val="000000"/>
        </w:rPr>
        <w:t xml:space="preserve"> </w:t>
      </w:r>
      <w:r w:rsidRPr="00F137E5">
        <w:rPr>
          <w:rFonts w:ascii="Palatino Linotype" w:eastAsia="Palatino Linotype" w:hAnsi="Palatino Linotype" w:cs="Palatino Linotype"/>
        </w:rPr>
        <w:t>para</w:t>
      </w:r>
      <w:r w:rsidRPr="00F137E5">
        <w:rPr>
          <w:rFonts w:ascii="Palatino Linotype" w:eastAsia="Palatino Linotype" w:hAnsi="Palatino Linotype" w:cs="Palatino Linotype"/>
          <w:color w:val="000000"/>
        </w:rPr>
        <w:t xml:space="preserve"> el Ejercicio Fiscal 2023 y al 29 de febrero de 2024.</w:t>
      </w:r>
      <w:r w:rsidRPr="00F137E5">
        <w:rPr>
          <w:rFonts w:ascii="Palatino Linotype" w:eastAsia="Palatino Linotype" w:hAnsi="Palatino Linotype" w:cs="Palatino Linotype"/>
          <w:color w:val="FF0000"/>
        </w:rPr>
        <w:t xml:space="preserve"> </w:t>
      </w:r>
    </w:p>
    <w:p w:rsidR="008C7D5C" w:rsidRPr="00F137E5" w:rsidRDefault="00074B8B">
      <w:pPr>
        <w:numPr>
          <w:ilvl w:val="0"/>
          <w:numId w:val="2"/>
        </w:numPr>
        <w:spacing w:line="360" w:lineRule="auto"/>
        <w:ind w:left="567" w:right="-25"/>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Contratos de las obras realizadas del periodo 01 de enero al 15 de febrero del 2023. </w:t>
      </w:r>
    </w:p>
    <w:p w:rsidR="008C7D5C" w:rsidRPr="00F137E5" w:rsidRDefault="00074B8B">
      <w:pPr>
        <w:numPr>
          <w:ilvl w:val="0"/>
          <w:numId w:val="2"/>
        </w:numPr>
        <w:spacing w:line="360" w:lineRule="auto"/>
        <w:ind w:left="567" w:right="-25"/>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Documentos donde consten los montos y el nombre de la empresa a quienes se les asignaron las obras previstas en el Programa Anual de Obras del año 2023.</w:t>
      </w:r>
    </w:p>
    <w:p w:rsidR="008C7D5C" w:rsidRPr="00F137E5" w:rsidRDefault="00074B8B">
      <w:pPr>
        <w:numPr>
          <w:ilvl w:val="0"/>
          <w:numId w:val="2"/>
        </w:numPr>
        <w:spacing w:line="360" w:lineRule="auto"/>
        <w:ind w:left="567" w:right="-25"/>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Contratos de obras y servicios celebrados del 01 de enero al 29 de febrero del 2024. </w:t>
      </w:r>
    </w:p>
    <w:p w:rsidR="008C7D5C" w:rsidRPr="00F137E5" w:rsidRDefault="00074B8B">
      <w:pPr>
        <w:numPr>
          <w:ilvl w:val="0"/>
          <w:numId w:val="2"/>
        </w:numPr>
        <w:spacing w:line="360" w:lineRule="auto"/>
        <w:ind w:left="567" w:right="-25"/>
        <w:rPr>
          <w:rFonts w:ascii="Palatino Linotype" w:eastAsia="Palatino Linotype" w:hAnsi="Palatino Linotype" w:cs="Palatino Linotype"/>
        </w:rPr>
      </w:pPr>
      <w:r w:rsidRPr="00F137E5">
        <w:rPr>
          <w:rFonts w:ascii="Palatino Linotype" w:eastAsia="Palatino Linotype" w:hAnsi="Palatino Linotype" w:cs="Palatino Linotype"/>
          <w:color w:val="000000"/>
        </w:rPr>
        <w:lastRenderedPageBreak/>
        <w:t>Solicito</w:t>
      </w:r>
      <w:r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color w:val="000000"/>
        </w:rPr>
        <w:t>los</w:t>
      </w:r>
      <w:r w:rsidRPr="00F137E5">
        <w:rPr>
          <w:rFonts w:ascii="Palatino Linotype" w:eastAsia="Palatino Linotype" w:hAnsi="Palatino Linotype" w:cs="Palatino Linotype"/>
        </w:rPr>
        <w:t xml:space="preserve"> contratos de obras y de servicios asignados desde la fecha 1 de enero al 29 de febrero del 2024. </w:t>
      </w:r>
    </w:p>
    <w:p w:rsidR="008C7D5C" w:rsidRPr="00F137E5" w:rsidRDefault="00074B8B">
      <w:pPr>
        <w:numPr>
          <w:ilvl w:val="0"/>
          <w:numId w:val="2"/>
        </w:numPr>
        <w:spacing w:line="360" w:lineRule="auto"/>
        <w:ind w:left="567" w:right="-25"/>
        <w:rPr>
          <w:rFonts w:ascii="Palatino Linotype" w:eastAsia="Palatino Linotype" w:hAnsi="Palatino Linotype" w:cs="Palatino Linotype"/>
        </w:rPr>
      </w:pPr>
      <w:r w:rsidRPr="00F137E5">
        <w:rPr>
          <w:rFonts w:ascii="Palatino Linotype" w:eastAsia="Palatino Linotype" w:hAnsi="Palatino Linotype" w:cs="Palatino Linotype"/>
        </w:rPr>
        <w:t xml:space="preserve">Solicito por escrito y copias de todas las solicitudes y autorizaciones y/o </w:t>
      </w:r>
      <w:r w:rsidRPr="00F137E5">
        <w:rPr>
          <w:rFonts w:ascii="Palatino Linotype" w:eastAsia="Palatino Linotype" w:hAnsi="Palatino Linotype" w:cs="Palatino Linotype"/>
          <w:color w:val="000000"/>
        </w:rPr>
        <w:t>permisos</w:t>
      </w:r>
      <w:r w:rsidRPr="00F137E5">
        <w:rPr>
          <w:rFonts w:ascii="Palatino Linotype" w:eastAsia="Palatino Linotype" w:hAnsi="Palatino Linotype" w:cs="Palatino Linotype"/>
        </w:rPr>
        <w:t xml:space="preserve"> para hacer uso de plazas públicas, de bienes de uso común, calles o inmuebles del municipio del periodo 1 de enero del 2024 al 1 de marzo del 2024. </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Documentos donde consten las solicitudes y autorizaciones o permisos para hacer uso de plazas públicas, bienes de uso común, calles, o inmuebles del municipio del periodo 01 de enero al 01 de marzo del 2024.</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rPr>
      </w:pPr>
      <w:r w:rsidRPr="00F137E5">
        <w:rPr>
          <w:rFonts w:ascii="Palatino Linotype" w:eastAsia="Palatino Linotype" w:hAnsi="Palatino Linotype" w:cs="Palatino Linotype"/>
        </w:rPr>
        <w:t xml:space="preserve">Solicito </w:t>
      </w:r>
      <w:r w:rsidRPr="00F137E5">
        <w:rPr>
          <w:rFonts w:ascii="Palatino Linotype" w:eastAsia="Palatino Linotype" w:hAnsi="Palatino Linotype" w:cs="Palatino Linotype"/>
          <w:color w:val="000000"/>
        </w:rPr>
        <w:t>por</w:t>
      </w:r>
      <w:r w:rsidRPr="00F137E5">
        <w:rPr>
          <w:rFonts w:ascii="Palatino Linotype" w:eastAsia="Palatino Linotype" w:hAnsi="Palatino Linotype" w:cs="Palatino Linotype"/>
        </w:rPr>
        <w:t xml:space="preserve"> escrito los montos, tipo de pago, transferencias, y copias de los contratos de servicios de alimentos, transporte, renta de lonas, carpas, templetes, sonido, luces, sillas, autobuses, estructuras, de fecha 1 de enero del 2024 al 29 de febrero del 2024.</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Documentos donde consten los montos, tipo de pago, transferencias, así como, los contratos de servicios de alimentos, transporte, renta de lonas, carpas, templetes, sonido, luces, sillas, autobuses, estructuras realizados del 01 de enero al 29 de febrero del 2024.</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rPr>
      </w:pPr>
      <w:r w:rsidRPr="00F137E5">
        <w:rPr>
          <w:rFonts w:ascii="Palatino Linotype" w:eastAsia="Palatino Linotype" w:hAnsi="Palatino Linotype" w:cs="Palatino Linotype"/>
        </w:rPr>
        <w:t xml:space="preserve"> Solicito por escrito y copias de bitácoras, registro, gasto, listado de unidades, relación de vehículos oficiales, así como el monto asignado tanto bruto como en lo particular de cada </w:t>
      </w:r>
      <w:r w:rsidRPr="00F137E5">
        <w:rPr>
          <w:rFonts w:ascii="Palatino Linotype" w:eastAsia="Palatino Linotype" w:hAnsi="Palatino Linotype" w:cs="Palatino Linotype"/>
          <w:color w:val="000000"/>
        </w:rPr>
        <w:t>vehículo</w:t>
      </w:r>
      <w:r w:rsidRPr="00F137E5">
        <w:rPr>
          <w:rFonts w:ascii="Palatino Linotype" w:eastAsia="Palatino Linotype" w:hAnsi="Palatino Linotype" w:cs="Palatino Linotype"/>
        </w:rPr>
        <w:t xml:space="preserve"> de gasto o apoyo de combustible” gasolina, diésel,” del periodo 1 de enero del 2024 al 29 de febrero del 2024. </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El o los documentos donde consten las bitácoras, registro, gasto, listado de unidades, relación de vehículos oficiales, así como el monto asignado tanto bruto </w:t>
      </w:r>
      <w:r w:rsidRPr="00F137E5">
        <w:rPr>
          <w:rFonts w:ascii="Palatino Linotype" w:eastAsia="Palatino Linotype" w:hAnsi="Palatino Linotype" w:cs="Palatino Linotype"/>
          <w:color w:val="000000"/>
        </w:rPr>
        <w:lastRenderedPageBreak/>
        <w:t>como en lo particular de cada vehículo de gasto o apoyo al combustible, gasolina o diésel, del periodo comprendido del 01 de enero al 29 de febrero del 2024.</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rPr>
      </w:pPr>
      <w:r w:rsidRPr="00F137E5">
        <w:rPr>
          <w:rFonts w:ascii="Palatino Linotype" w:eastAsia="Palatino Linotype" w:hAnsi="Palatino Linotype" w:cs="Palatino Linotype"/>
        </w:rPr>
        <w:t xml:space="preserve">Por escrito y copia de las percepciones, ordinarias, extraordinarias, bonificaciones, del periodo 1 de enero del 2023 al 29 de febrero del 2024 de los servidores públicos enlistados en la solicitud de información 00013/VICARBO/IP/2024. </w:t>
      </w:r>
    </w:p>
    <w:p w:rsidR="008C7D5C" w:rsidRPr="00F137E5" w:rsidRDefault="00074B8B">
      <w:pPr>
        <w:numPr>
          <w:ilvl w:val="0"/>
          <w:numId w:val="2"/>
        </w:numPr>
        <w:spacing w:line="360" w:lineRule="auto"/>
        <w:ind w:left="567" w:right="-25"/>
        <w:jc w:val="both"/>
        <w:rPr>
          <w:rFonts w:ascii="Palatino Linotype" w:eastAsia="Palatino Linotype" w:hAnsi="Palatino Linotype" w:cs="Palatino Linotype"/>
        </w:rPr>
      </w:pPr>
      <w:r w:rsidRPr="00F137E5">
        <w:rPr>
          <w:rFonts w:ascii="Palatino Linotype" w:eastAsia="Palatino Linotype" w:hAnsi="Palatino Linotype" w:cs="Palatino Linotype"/>
        </w:rPr>
        <w:t>Copia de declaración de bienes y de intereses desde fecha 1 de enero del 2023, a diciembre del 2023, manifestaciones y declaraciones en su caso modificaciones de los años 2024; de los servidores públicos  enlistados en la solicitud de información 00013/VICARBO/IP/2024.</w:t>
      </w:r>
    </w:p>
    <w:p w:rsidR="008C7D5C" w:rsidRPr="00F137E5" w:rsidRDefault="008C7D5C">
      <w:pPr>
        <w:pBdr>
          <w:top w:val="nil"/>
          <w:left w:val="nil"/>
          <w:bottom w:val="nil"/>
          <w:right w:val="nil"/>
          <w:between w:val="nil"/>
        </w:pBdr>
        <w:spacing w:line="360" w:lineRule="auto"/>
        <w:ind w:left="720" w:right="-592"/>
        <w:jc w:val="both"/>
        <w:rPr>
          <w:rFonts w:ascii="Palatino Linotype" w:eastAsia="Palatino Linotype" w:hAnsi="Palatino Linotype" w:cs="Palatino Linotype"/>
          <w:i/>
          <w:color w:val="000000"/>
        </w:rPr>
      </w:pPr>
    </w:p>
    <w:p w:rsidR="008C7D5C" w:rsidRPr="00F137E5" w:rsidRDefault="00074B8B">
      <w:pPr>
        <w:numPr>
          <w:ilvl w:val="0"/>
          <w:numId w:val="1"/>
        </w:numPr>
        <w:pBdr>
          <w:top w:val="nil"/>
          <w:left w:val="nil"/>
          <w:bottom w:val="nil"/>
          <w:right w:val="nil"/>
          <w:between w:val="nil"/>
        </w:pBdr>
        <w:tabs>
          <w:tab w:val="left" w:pos="284"/>
        </w:tabs>
        <w:spacing w:line="360" w:lineRule="auto"/>
        <w:ind w:left="0" w:right="-592" w:firstLine="0"/>
        <w:jc w:val="both"/>
        <w:rPr>
          <w:rFonts w:ascii="Palatino Linotype" w:hAnsi="Palatino Linotype"/>
          <w:color w:val="000000"/>
        </w:rPr>
      </w:pPr>
      <w:r w:rsidRPr="00F137E5">
        <w:rPr>
          <w:rFonts w:ascii="Palatino Linotype" w:eastAsia="Palatino Linotype" w:hAnsi="Palatino Linotype" w:cs="Palatino Linotype"/>
          <w:color w:val="000000"/>
        </w:rPr>
        <w:t xml:space="preserve">En respuesta, el </w:t>
      </w:r>
      <w:r w:rsidRPr="00F137E5">
        <w:rPr>
          <w:rFonts w:ascii="Palatino Linotype" w:eastAsia="Palatino Linotype" w:hAnsi="Palatino Linotype" w:cs="Palatino Linotype"/>
          <w:b/>
          <w:color w:val="000000"/>
        </w:rPr>
        <w:t>SUJETO OBLIGADO</w:t>
      </w:r>
      <w:r w:rsidRPr="00F137E5">
        <w:rPr>
          <w:rFonts w:ascii="Palatino Linotype" w:eastAsia="Palatino Linotype" w:hAnsi="Palatino Linotype" w:cs="Palatino Linotype"/>
          <w:color w:val="000000"/>
        </w:rPr>
        <w:t xml:space="preserve"> adjuntó los archivos descritos en el anterior Párrafo 3, que se tienen por reproducidos en el presente apartado en obvio de repeticiones innecesarias; a lo que el particular interpuso recurso de revisión señalando que la </w:t>
      </w:r>
      <w:r w:rsidRPr="00F137E5">
        <w:rPr>
          <w:rFonts w:ascii="Palatino Linotype" w:eastAsia="Palatino Linotype" w:hAnsi="Palatino Linotype" w:cs="Palatino Linotype"/>
        </w:rPr>
        <w:t>contestación</w:t>
      </w:r>
      <w:r w:rsidRPr="00F137E5">
        <w:rPr>
          <w:rFonts w:ascii="Palatino Linotype" w:eastAsia="Palatino Linotype" w:hAnsi="Palatino Linotype" w:cs="Palatino Linotype"/>
          <w:color w:val="000000"/>
        </w:rPr>
        <w:t xml:space="preserve"> es: “…</w:t>
      </w:r>
      <w:r w:rsidRPr="00F137E5">
        <w:rPr>
          <w:rFonts w:ascii="Palatino Linotype" w:eastAsia="Palatino Linotype" w:hAnsi="Palatino Linotype" w:cs="Palatino Linotype"/>
          <w:b/>
          <w:i/>
          <w:color w:val="000000"/>
        </w:rPr>
        <w:t xml:space="preserve"> simple y parcial respuesta sin que exista la conectividad entre lo solicitado y lo que remite…”</w:t>
      </w:r>
    </w:p>
    <w:p w:rsidR="008C7D5C" w:rsidRPr="00F137E5" w:rsidRDefault="008C7D5C">
      <w:pPr>
        <w:tabs>
          <w:tab w:val="left" w:pos="4962"/>
        </w:tabs>
        <w:spacing w:line="360" w:lineRule="auto"/>
        <w:ind w:right="-592"/>
        <w:jc w:val="both"/>
        <w:rPr>
          <w:rFonts w:ascii="Palatino Linotype" w:eastAsia="Palatino Linotype" w:hAnsi="Palatino Linotype" w:cs="Palatino Linotype"/>
          <w:i/>
        </w:rPr>
      </w:pPr>
    </w:p>
    <w:p w:rsidR="008C7D5C" w:rsidRPr="00F137E5" w:rsidRDefault="00074B8B">
      <w:pPr>
        <w:numPr>
          <w:ilvl w:val="0"/>
          <w:numId w:val="1"/>
        </w:numPr>
        <w:pBdr>
          <w:top w:val="nil"/>
          <w:left w:val="nil"/>
          <w:bottom w:val="nil"/>
          <w:right w:val="nil"/>
          <w:between w:val="nil"/>
        </w:pBdr>
        <w:tabs>
          <w:tab w:val="left" w:pos="142"/>
        </w:tabs>
        <w:spacing w:line="360" w:lineRule="auto"/>
        <w:ind w:left="0" w:right="-592" w:firstLine="0"/>
        <w:jc w:val="both"/>
        <w:rPr>
          <w:rFonts w:ascii="Palatino Linotype" w:hAnsi="Palatino Linotype"/>
          <w:color w:val="000000"/>
        </w:rPr>
      </w:pPr>
      <w:r w:rsidRPr="00F137E5">
        <w:rPr>
          <w:rFonts w:ascii="Palatino Linotype" w:eastAsia="Palatino Linotype" w:hAnsi="Palatino Linotype" w:cs="Palatino Linotype"/>
          <w:color w:val="000000"/>
        </w:rPr>
        <w:t xml:space="preserve">En consecuencia, la </w:t>
      </w:r>
      <w:r w:rsidRPr="00F137E5">
        <w:rPr>
          <w:rFonts w:ascii="Palatino Linotype" w:eastAsia="Palatino Linotype" w:hAnsi="Palatino Linotype" w:cs="Palatino Linotype"/>
          <w:i/>
          <w:color w:val="000000"/>
        </w:rPr>
        <w:t>Litis</w:t>
      </w:r>
      <w:r w:rsidRPr="00F137E5">
        <w:rPr>
          <w:rFonts w:ascii="Palatino Linotype" w:eastAsia="Palatino Linotype" w:hAnsi="Palatino Linotype" w:cs="Palatino Linotype"/>
          <w:color w:val="000000"/>
        </w:rPr>
        <w:t xml:space="preserve"> a resolver en este recurso, se circunscribe a determinar si la respuesta colma con lo solicitado o si se actualiza la causal de procedencia prevista en el artículo 179, fracción V de la Ley de Transparencia y Acceso a la Información Pública del Estado de México y Municipios,; fracción que determina la hipótesis jurídica de la entrega de información incompleta, causal de la que se dolió el particular recurrente al momento de interponer su recurso de revisión, por lo que se determinará si el </w:t>
      </w:r>
      <w:r w:rsidRPr="00F137E5">
        <w:rPr>
          <w:rFonts w:ascii="Palatino Linotype" w:eastAsia="Palatino Linotype" w:hAnsi="Palatino Linotype" w:cs="Palatino Linotype"/>
          <w:b/>
          <w:color w:val="000000"/>
        </w:rPr>
        <w:t>SUJETO</w:t>
      </w:r>
      <w:r w:rsidRPr="00F137E5">
        <w:rPr>
          <w:rFonts w:ascii="Palatino Linotype" w:eastAsia="Palatino Linotype" w:hAnsi="Palatino Linotype" w:cs="Palatino Linotype"/>
          <w:color w:val="000000"/>
        </w:rPr>
        <w:t xml:space="preserve"> </w:t>
      </w:r>
      <w:r w:rsidRPr="00F137E5">
        <w:rPr>
          <w:rFonts w:ascii="Palatino Linotype" w:eastAsia="Palatino Linotype" w:hAnsi="Palatino Linotype" w:cs="Palatino Linotype"/>
          <w:b/>
          <w:color w:val="000000"/>
        </w:rPr>
        <w:t>OBLIGADO</w:t>
      </w:r>
      <w:r w:rsidRPr="00F137E5">
        <w:rPr>
          <w:rFonts w:ascii="Palatino Linotype" w:eastAsia="Palatino Linotype" w:hAnsi="Palatino Linotype" w:cs="Palatino Linotype"/>
          <w:color w:val="000000"/>
        </w:rPr>
        <w:t xml:space="preserve"> con </w:t>
      </w:r>
      <w:r w:rsidRPr="00F137E5">
        <w:rPr>
          <w:rFonts w:ascii="Palatino Linotype" w:eastAsia="Palatino Linotype" w:hAnsi="Palatino Linotype" w:cs="Palatino Linotype"/>
          <w:color w:val="000000"/>
        </w:rPr>
        <w:lastRenderedPageBreak/>
        <w:t>su respuesta ciertamente actualiza la causal de referencia;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rsidR="008C7D5C" w:rsidRPr="00F137E5" w:rsidRDefault="008C7D5C">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rsidR="008C7D5C" w:rsidRPr="00F137E5" w:rsidRDefault="00074B8B">
      <w:pPr>
        <w:pStyle w:val="Ttulo1"/>
        <w:spacing w:before="0" w:line="360" w:lineRule="auto"/>
        <w:ind w:right="-592"/>
        <w:rPr>
          <w:rFonts w:ascii="Palatino Linotype" w:eastAsia="Palatino Linotype" w:hAnsi="Palatino Linotype" w:cs="Palatino Linotype"/>
          <w:b/>
          <w:color w:val="000000"/>
          <w:sz w:val="24"/>
          <w:szCs w:val="24"/>
        </w:rPr>
      </w:pPr>
      <w:bookmarkStart w:id="6" w:name="_heading=h.3dy6vkm" w:colFirst="0" w:colLast="0"/>
      <w:bookmarkEnd w:id="6"/>
      <w:r w:rsidRPr="00F137E5">
        <w:rPr>
          <w:rFonts w:ascii="Palatino Linotype" w:eastAsia="Palatino Linotype" w:hAnsi="Palatino Linotype" w:cs="Palatino Linotype"/>
          <w:b/>
          <w:color w:val="000000"/>
          <w:sz w:val="24"/>
          <w:szCs w:val="24"/>
        </w:rPr>
        <w:t>CUARTO. Del estudio y resolución del recurso de revisión.</w:t>
      </w:r>
    </w:p>
    <w:p w:rsidR="008C7D5C" w:rsidRPr="00F137E5" w:rsidRDefault="00074B8B">
      <w:pPr>
        <w:numPr>
          <w:ilvl w:val="0"/>
          <w:numId w:val="5"/>
        </w:numPr>
        <w:spacing w:line="360" w:lineRule="auto"/>
        <w:ind w:right="-592" w:firstLine="425"/>
        <w:jc w:val="both"/>
        <w:rPr>
          <w:rFonts w:ascii="Palatino Linotype" w:eastAsia="Palatino Linotype" w:hAnsi="Palatino Linotype" w:cs="Palatino Linotype"/>
          <w:b/>
        </w:rPr>
      </w:pPr>
      <w:r w:rsidRPr="00F137E5">
        <w:rPr>
          <w:rFonts w:ascii="Palatino Linotype" w:eastAsia="Palatino Linotype" w:hAnsi="Palatino Linotype" w:cs="Palatino Linotype"/>
          <w:b/>
        </w:rPr>
        <w:t xml:space="preserve"> Del derecho de acceso a la información.</w:t>
      </w:r>
    </w:p>
    <w:p w:rsidR="008C7D5C" w:rsidRPr="00F137E5" w:rsidRDefault="00074B8B">
      <w:pPr>
        <w:numPr>
          <w:ilvl w:val="0"/>
          <w:numId w:val="1"/>
        </w:numPr>
        <w:pBdr>
          <w:top w:val="nil"/>
          <w:left w:val="nil"/>
          <w:bottom w:val="nil"/>
          <w:right w:val="nil"/>
          <w:between w:val="nil"/>
        </w:pBdr>
        <w:tabs>
          <w:tab w:val="left" w:pos="142"/>
        </w:tabs>
        <w:spacing w:line="360" w:lineRule="auto"/>
        <w:ind w:left="0" w:right="-592" w:firstLine="0"/>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color w:val="000000"/>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8C7D5C" w:rsidRPr="00F137E5" w:rsidRDefault="008C7D5C">
      <w:pPr>
        <w:pBdr>
          <w:top w:val="nil"/>
          <w:left w:val="nil"/>
          <w:bottom w:val="nil"/>
          <w:right w:val="nil"/>
          <w:between w:val="nil"/>
        </w:pBdr>
        <w:tabs>
          <w:tab w:val="left" w:pos="567"/>
        </w:tabs>
        <w:spacing w:line="360" w:lineRule="auto"/>
        <w:ind w:right="-592"/>
        <w:jc w:val="both"/>
        <w:rPr>
          <w:rFonts w:ascii="Palatino Linotype" w:eastAsia="Palatino Linotype" w:hAnsi="Palatino Linotype" w:cs="Palatino Linotype"/>
          <w:b/>
          <w:color w:val="000000"/>
        </w:rPr>
      </w:pPr>
    </w:p>
    <w:p w:rsidR="008C7D5C" w:rsidRPr="00F137E5" w:rsidRDefault="00074B8B">
      <w:pPr>
        <w:numPr>
          <w:ilvl w:val="0"/>
          <w:numId w:val="1"/>
        </w:numPr>
        <w:pBdr>
          <w:top w:val="nil"/>
          <w:left w:val="nil"/>
          <w:bottom w:val="nil"/>
          <w:right w:val="nil"/>
          <w:between w:val="nil"/>
        </w:pBdr>
        <w:tabs>
          <w:tab w:val="left" w:pos="567"/>
        </w:tabs>
        <w:spacing w:line="360" w:lineRule="auto"/>
        <w:ind w:left="0" w:right="-592" w:firstLine="0"/>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color w:val="000000"/>
        </w:rPr>
        <w:t xml:space="preserve">Definiendo el Derecho de Acceso a la Información Pública como: </w:t>
      </w:r>
      <w:r w:rsidRPr="00F137E5">
        <w:rPr>
          <w:rFonts w:ascii="Palatino Linotype" w:eastAsia="Palatino Linotype" w:hAnsi="Palatino Linotype" w:cs="Palatino Linotype"/>
          <w:i/>
          <w:color w:val="000000"/>
        </w:rPr>
        <w:t xml:space="preserve">La igualdad de oportunidades para recibir, buscar e impartir </w:t>
      </w:r>
      <w:proofErr w:type="spellStart"/>
      <w:r w:rsidRPr="00F137E5">
        <w:rPr>
          <w:rFonts w:ascii="Palatino Linotype" w:eastAsia="Palatino Linotype" w:hAnsi="Palatino Linotype" w:cs="Palatino Linotype"/>
          <w:i/>
          <w:color w:val="000000"/>
        </w:rPr>
        <w:t>informaciónen</w:t>
      </w:r>
      <w:proofErr w:type="spellEnd"/>
      <w:r w:rsidRPr="00F137E5">
        <w:rPr>
          <w:rFonts w:ascii="Palatino Linotype" w:eastAsia="Palatino Linotype" w:hAnsi="Palatino Linotype" w:cs="Palatino Linotype"/>
          <w:i/>
          <w:color w:val="000000"/>
        </w:rPr>
        <w:t xml:space="preserve">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proofErr w:type="spellStart"/>
      <w:r w:rsidRPr="00F137E5">
        <w:rPr>
          <w:rFonts w:ascii="Palatino Linotype" w:eastAsia="Palatino Linotype" w:hAnsi="Palatino Linotype" w:cs="Palatino Linotype"/>
          <w:i/>
          <w:color w:val="000000"/>
        </w:rPr>
        <w:t>municipal,</w:t>
      </w:r>
      <w:r w:rsidRPr="00F137E5">
        <w:rPr>
          <w:rFonts w:ascii="Palatino Linotype" w:eastAsia="Palatino Linotype" w:hAnsi="Palatino Linotype" w:cs="Palatino Linotype"/>
          <w:color w:val="000000"/>
        </w:rPr>
        <w:t>que</w:t>
      </w:r>
      <w:proofErr w:type="spellEnd"/>
      <w:r w:rsidRPr="00F137E5">
        <w:rPr>
          <w:rFonts w:ascii="Palatino Linotype" w:eastAsia="Palatino Linotype" w:hAnsi="Palatino Linotype" w:cs="Palatino Linotype"/>
          <w:color w:val="000000"/>
        </w:rPr>
        <w:t xml:space="preserve"> se constituye como una herramienta fundamental para ejercer</w:t>
      </w:r>
      <w:r w:rsidRPr="00F137E5">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w:t>
      </w:r>
      <w:proofErr w:type="spellStart"/>
      <w:r w:rsidRPr="00F137E5">
        <w:rPr>
          <w:rFonts w:ascii="Palatino Linotype" w:eastAsia="Palatino Linotype" w:hAnsi="Palatino Linotype" w:cs="Palatino Linotype"/>
          <w:i/>
          <w:color w:val="000000"/>
        </w:rPr>
        <w:t>públicas,</w:t>
      </w:r>
      <w:r w:rsidRPr="00F137E5">
        <w:rPr>
          <w:rFonts w:ascii="Palatino Linotype" w:eastAsia="Palatino Linotype" w:hAnsi="Palatino Linotype" w:cs="Palatino Linotype"/>
          <w:color w:val="000000"/>
        </w:rPr>
        <w:t>fomentando</w:t>
      </w:r>
      <w:proofErr w:type="spellEnd"/>
      <w:r w:rsidRPr="00F137E5">
        <w:rPr>
          <w:rFonts w:ascii="Palatino Linotype" w:eastAsia="Palatino Linotype" w:hAnsi="Palatino Linotype" w:cs="Palatino Linotype"/>
          <w:i/>
          <w:color w:val="000000"/>
        </w:rPr>
        <w:t xml:space="preserve"> la transparencia de las </w:t>
      </w:r>
      <w:r w:rsidRPr="00F137E5">
        <w:rPr>
          <w:rFonts w:ascii="Palatino Linotype" w:eastAsia="Palatino Linotype" w:hAnsi="Palatino Linotype" w:cs="Palatino Linotype"/>
          <w:i/>
          <w:color w:val="000000"/>
        </w:rPr>
        <w:lastRenderedPageBreak/>
        <w:t xml:space="preserve">actividades estatales y </w:t>
      </w:r>
      <w:r w:rsidRPr="00F137E5">
        <w:rPr>
          <w:rFonts w:ascii="Palatino Linotype" w:eastAsia="Palatino Linotype" w:hAnsi="Palatino Linotype" w:cs="Palatino Linotype"/>
          <w:color w:val="000000"/>
        </w:rPr>
        <w:t>promoviendo</w:t>
      </w:r>
      <w:r w:rsidRPr="00F137E5">
        <w:rPr>
          <w:rFonts w:ascii="Palatino Linotype" w:eastAsia="Palatino Linotype" w:hAnsi="Palatino Linotype" w:cs="Palatino Linotype"/>
          <w:i/>
          <w:color w:val="000000"/>
        </w:rPr>
        <w:t xml:space="preserve"> la responsabilidad de los funcionarios sobre su gestión pública, </w:t>
      </w:r>
      <w:r w:rsidRPr="00F137E5">
        <w:rPr>
          <w:rFonts w:ascii="Palatino Linotype" w:eastAsia="Palatino Linotype" w:hAnsi="Palatino Linotype" w:cs="Palatino Linotype"/>
          <w:color w:val="000000"/>
        </w:rPr>
        <w:t>que permite</w:t>
      </w:r>
      <w:r w:rsidRPr="00F137E5">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8C7D5C" w:rsidRPr="00F137E5" w:rsidRDefault="008C7D5C">
      <w:pPr>
        <w:pBdr>
          <w:top w:val="nil"/>
          <w:left w:val="nil"/>
          <w:bottom w:val="nil"/>
          <w:right w:val="nil"/>
          <w:between w:val="nil"/>
        </w:pBdr>
        <w:ind w:left="720" w:right="-592"/>
        <w:rPr>
          <w:rFonts w:ascii="Palatino Linotype" w:eastAsia="Palatino Linotype" w:hAnsi="Palatino Linotype" w:cs="Palatino Linotype"/>
          <w:color w:val="000000"/>
        </w:rPr>
      </w:pPr>
    </w:p>
    <w:p w:rsidR="008C7D5C" w:rsidRPr="00F137E5" w:rsidRDefault="008C7D5C">
      <w:pPr>
        <w:pBdr>
          <w:top w:val="nil"/>
          <w:left w:val="nil"/>
          <w:bottom w:val="nil"/>
          <w:right w:val="nil"/>
          <w:between w:val="nil"/>
        </w:pBdr>
        <w:ind w:left="720" w:right="-592"/>
        <w:rPr>
          <w:rFonts w:ascii="Palatino Linotype" w:eastAsia="Palatino Linotype" w:hAnsi="Palatino Linotype" w:cs="Palatino Linotype"/>
          <w:color w:val="000000"/>
        </w:rPr>
      </w:pPr>
    </w:p>
    <w:p w:rsidR="008C7D5C" w:rsidRPr="00F137E5" w:rsidRDefault="00074B8B">
      <w:pPr>
        <w:numPr>
          <w:ilvl w:val="0"/>
          <w:numId w:val="1"/>
        </w:numPr>
        <w:pBdr>
          <w:top w:val="nil"/>
          <w:left w:val="nil"/>
          <w:bottom w:val="nil"/>
          <w:right w:val="nil"/>
          <w:between w:val="nil"/>
        </w:pBdr>
        <w:tabs>
          <w:tab w:val="left" w:pos="567"/>
        </w:tabs>
        <w:spacing w:line="360" w:lineRule="auto"/>
        <w:ind w:left="0" w:right="-592" w:firstLine="0"/>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color w:val="000000"/>
        </w:rPr>
        <w:t>En México, además de los derechos, están reconocidas las garantías para su protección, en ese sentido el párrafo tercero de artículo primero de la Constitución Política de los Estados Unidos Mexicanos dispone lo siguiente:</w:t>
      </w:r>
    </w:p>
    <w:p w:rsidR="008C7D5C" w:rsidRPr="00F137E5" w:rsidRDefault="00074B8B">
      <w:pPr>
        <w:spacing w:line="360" w:lineRule="auto"/>
        <w:ind w:left="993" w:right="-25"/>
        <w:jc w:val="both"/>
        <w:rPr>
          <w:rFonts w:ascii="Palatino Linotype" w:eastAsia="Palatino Linotype" w:hAnsi="Palatino Linotype" w:cs="Palatino Linotype"/>
        </w:rPr>
      </w:pPr>
      <w:r w:rsidRPr="00F137E5">
        <w:rPr>
          <w:rFonts w:ascii="Palatino Linotype" w:eastAsia="Palatino Linotype" w:hAnsi="Palatino Linotype" w:cs="Palatino Linotype"/>
          <w:i/>
        </w:rPr>
        <w:t>“</w:t>
      </w:r>
      <w:r w:rsidRPr="00F137E5">
        <w:rPr>
          <w:rFonts w:ascii="Palatino Linotype" w:eastAsia="Palatino Linotype" w:hAnsi="Palatino Linotype" w:cs="Palatino Linotype"/>
          <w:b/>
          <w:i/>
        </w:rPr>
        <w:t>Artículo 1.-</w:t>
      </w:r>
      <w:r w:rsidRPr="00F137E5">
        <w:rPr>
          <w:rFonts w:ascii="Palatino Linotype" w:eastAsia="Palatino Linotype" w:hAnsi="Palatino Linotype" w:cs="Palatino Linotype"/>
          <w:i/>
        </w:rPr>
        <w:t> </w:t>
      </w:r>
    </w:p>
    <w:p w:rsidR="008C7D5C" w:rsidRPr="00F137E5" w:rsidRDefault="00074B8B">
      <w:pPr>
        <w:spacing w:line="360" w:lineRule="auto"/>
        <w:ind w:left="993" w:right="-25"/>
        <w:jc w:val="both"/>
        <w:rPr>
          <w:rFonts w:ascii="Palatino Linotype" w:eastAsia="Palatino Linotype" w:hAnsi="Palatino Linotype" w:cs="Palatino Linotype"/>
        </w:rPr>
      </w:pPr>
      <w:r w:rsidRPr="00F137E5">
        <w:rPr>
          <w:rFonts w:ascii="Palatino Linotype" w:eastAsia="Palatino Linotype" w:hAnsi="Palatino Linotype" w:cs="Palatino Linotype"/>
          <w:i/>
        </w:rPr>
        <w:t>(…)</w:t>
      </w:r>
    </w:p>
    <w:p w:rsidR="008C7D5C" w:rsidRPr="00F137E5" w:rsidRDefault="00074B8B">
      <w:pPr>
        <w:spacing w:line="360" w:lineRule="auto"/>
        <w:ind w:left="993" w:right="-25"/>
        <w:jc w:val="both"/>
        <w:rPr>
          <w:rFonts w:ascii="Palatino Linotype" w:eastAsia="Palatino Linotype" w:hAnsi="Palatino Linotype" w:cs="Palatino Linotype"/>
        </w:rPr>
      </w:pPr>
      <w:r w:rsidRPr="00F137E5">
        <w:rPr>
          <w:rFonts w:ascii="Palatino Linotype" w:eastAsia="Palatino Linotype" w:hAnsi="Palatino Linotype" w:cs="Palatino Linotype"/>
          <w:i/>
        </w:rPr>
        <w:t>Todas las</w:t>
      </w:r>
      <w:r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C7D5C" w:rsidRPr="00F137E5" w:rsidRDefault="00074B8B">
      <w:pPr>
        <w:spacing w:line="360" w:lineRule="auto"/>
        <w:ind w:left="993" w:right="-25"/>
        <w:jc w:val="both"/>
        <w:rPr>
          <w:rFonts w:ascii="Palatino Linotype" w:eastAsia="Palatino Linotype" w:hAnsi="Palatino Linotype" w:cs="Palatino Linotype"/>
        </w:rPr>
      </w:pPr>
      <w:r w:rsidRPr="00F137E5">
        <w:rPr>
          <w:rFonts w:ascii="Palatino Linotype" w:eastAsia="Palatino Linotype" w:hAnsi="Palatino Linotype" w:cs="Palatino Linotype"/>
          <w:i/>
        </w:rPr>
        <w:t>(…)</w:t>
      </w:r>
      <w:r w:rsidRPr="00F137E5">
        <w:rPr>
          <w:rFonts w:ascii="Palatino Linotype" w:eastAsia="Palatino Linotype" w:hAnsi="Palatino Linotype" w:cs="Palatino Linotype"/>
        </w:rPr>
        <w:t>”.</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numPr>
          <w:ilvl w:val="0"/>
          <w:numId w:val="1"/>
        </w:numPr>
        <w:pBdr>
          <w:top w:val="nil"/>
          <w:left w:val="nil"/>
          <w:bottom w:val="nil"/>
          <w:right w:val="nil"/>
          <w:between w:val="nil"/>
        </w:pBdr>
        <w:tabs>
          <w:tab w:val="left" w:pos="567"/>
        </w:tabs>
        <w:spacing w:line="360" w:lineRule="auto"/>
        <w:ind w:left="0" w:right="-592" w:firstLine="0"/>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color w:val="000000"/>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8C7D5C" w:rsidRPr="00F137E5" w:rsidRDefault="008C7D5C">
      <w:pPr>
        <w:pBdr>
          <w:top w:val="nil"/>
          <w:left w:val="nil"/>
          <w:bottom w:val="nil"/>
          <w:right w:val="nil"/>
          <w:between w:val="nil"/>
        </w:pBdr>
        <w:tabs>
          <w:tab w:val="left" w:pos="567"/>
        </w:tabs>
        <w:spacing w:line="360" w:lineRule="auto"/>
        <w:ind w:right="-592"/>
        <w:jc w:val="both"/>
        <w:rPr>
          <w:rFonts w:ascii="Palatino Linotype" w:eastAsia="Palatino Linotype" w:hAnsi="Palatino Linotype" w:cs="Palatino Linotype"/>
          <w:b/>
          <w:color w:val="000000"/>
        </w:rPr>
      </w:pPr>
    </w:p>
    <w:p w:rsidR="008C7D5C" w:rsidRPr="00F137E5" w:rsidRDefault="00074B8B">
      <w:pPr>
        <w:numPr>
          <w:ilvl w:val="0"/>
          <w:numId w:val="1"/>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color w:val="000000"/>
        </w:rPr>
        <w:t xml:space="preserve">Así, conforme a la Constitución Política de las Estado Unidos Mexicanos y la Constitución Política del Estado Libre y Soberano de México respectivamente, el </w:t>
      </w:r>
      <w:r w:rsidRPr="00F137E5">
        <w:rPr>
          <w:rFonts w:ascii="Palatino Linotype" w:eastAsia="Palatino Linotype" w:hAnsi="Palatino Linotype" w:cs="Palatino Linotype"/>
          <w:color w:val="000000"/>
        </w:rPr>
        <w:lastRenderedPageBreak/>
        <w:t>cumplimiento de las garantías primarias, entendidas como obligaciones inmediatamente relacionadas con el Derecho de Acceso a la Información Pública, permiten que todas las autoridades, en el ámbito de sus atribuciones lo respeten, protejan y garanticen.</w:t>
      </w:r>
    </w:p>
    <w:p w:rsidR="008C7D5C" w:rsidRPr="00F137E5" w:rsidRDefault="00074B8B">
      <w:pPr>
        <w:spacing w:line="360" w:lineRule="auto"/>
        <w:ind w:left="993" w:right="-167"/>
        <w:jc w:val="both"/>
        <w:rPr>
          <w:rFonts w:ascii="Palatino Linotype" w:eastAsia="Palatino Linotype" w:hAnsi="Palatino Linotype" w:cs="Palatino Linotype"/>
        </w:rPr>
      </w:pPr>
      <w:r w:rsidRPr="00F137E5">
        <w:rPr>
          <w:rFonts w:ascii="Palatino Linotype" w:eastAsia="Palatino Linotype" w:hAnsi="Palatino Linotype" w:cs="Palatino Linotype"/>
          <w:b/>
          <w:i/>
        </w:rPr>
        <w:t>Constitución Política de los Estados Unidos Mexicanos</w:t>
      </w:r>
    </w:p>
    <w:p w:rsidR="008C7D5C" w:rsidRPr="00F137E5" w:rsidRDefault="00074B8B">
      <w:pPr>
        <w:spacing w:line="360" w:lineRule="auto"/>
        <w:ind w:left="993" w:right="-167"/>
        <w:jc w:val="both"/>
        <w:rPr>
          <w:rFonts w:ascii="Palatino Linotype" w:eastAsia="Palatino Linotype" w:hAnsi="Palatino Linotype" w:cs="Palatino Linotype"/>
        </w:rPr>
      </w:pPr>
      <w:r w:rsidRPr="00F137E5">
        <w:rPr>
          <w:rFonts w:ascii="Palatino Linotype" w:eastAsia="Palatino Linotype" w:hAnsi="Palatino Linotype" w:cs="Palatino Linotype"/>
          <w:b/>
          <w:i/>
        </w:rPr>
        <w:t>“Artículo 6.</w:t>
      </w:r>
    </w:p>
    <w:p w:rsidR="008C7D5C" w:rsidRPr="00F137E5" w:rsidRDefault="00074B8B">
      <w:pPr>
        <w:spacing w:line="360" w:lineRule="auto"/>
        <w:ind w:left="993" w:right="-167"/>
        <w:jc w:val="both"/>
        <w:rPr>
          <w:rFonts w:ascii="Palatino Linotype" w:eastAsia="Palatino Linotype" w:hAnsi="Palatino Linotype" w:cs="Palatino Linotype"/>
        </w:rPr>
      </w:pPr>
      <w:r w:rsidRPr="00F137E5">
        <w:rPr>
          <w:rFonts w:ascii="Palatino Linotype" w:eastAsia="Palatino Linotype" w:hAnsi="Palatino Linotype" w:cs="Palatino Linotype"/>
          <w:i/>
        </w:rPr>
        <w:t>(…)</w:t>
      </w:r>
    </w:p>
    <w:p w:rsidR="008C7D5C" w:rsidRPr="00F137E5" w:rsidRDefault="00074B8B">
      <w:pPr>
        <w:spacing w:line="360" w:lineRule="auto"/>
        <w:ind w:left="993" w:right="-167"/>
        <w:jc w:val="both"/>
        <w:rPr>
          <w:rFonts w:ascii="Palatino Linotype" w:eastAsia="Palatino Linotype" w:hAnsi="Palatino Linotype" w:cs="Palatino Linotype"/>
        </w:rPr>
      </w:pPr>
      <w:r w:rsidRPr="00F137E5">
        <w:rPr>
          <w:rFonts w:ascii="Palatino Linotype" w:eastAsia="Palatino Linotype" w:hAnsi="Palatino Linotype" w:cs="Palatino Linotype"/>
          <w:i/>
        </w:rPr>
        <w:t>Para efectos de lo dispuesto en el presente artículo se observará lo siguiente:</w:t>
      </w:r>
    </w:p>
    <w:p w:rsidR="008C7D5C" w:rsidRPr="00F137E5" w:rsidRDefault="00074B8B">
      <w:pPr>
        <w:spacing w:line="360" w:lineRule="auto"/>
        <w:ind w:left="993" w:right="-167"/>
        <w:jc w:val="both"/>
        <w:rPr>
          <w:rFonts w:ascii="Palatino Linotype" w:eastAsia="Palatino Linotype" w:hAnsi="Palatino Linotype" w:cs="Palatino Linotype"/>
        </w:rPr>
      </w:pPr>
      <w:r w:rsidRPr="00F137E5">
        <w:rPr>
          <w:rFonts w:ascii="Palatino Linotype" w:eastAsia="Palatino Linotype" w:hAnsi="Palatino Linotype" w:cs="Palatino Linotype"/>
          <w:b/>
          <w:i/>
        </w:rPr>
        <w:t>A</w:t>
      </w:r>
      <w:r w:rsidRPr="00F137E5">
        <w:rPr>
          <w:rFonts w:ascii="Palatino Linotype" w:eastAsia="Palatino Linotype" w:hAnsi="Palatino Linotype" w:cs="Palatino Linotype"/>
          <w:i/>
        </w:rPr>
        <w:t xml:space="preserve">. </w:t>
      </w:r>
      <w:r w:rsidRPr="00F137E5">
        <w:rPr>
          <w:rFonts w:ascii="Palatino Linotype" w:eastAsia="Palatino Linotype" w:hAnsi="Palatino Linotype" w:cs="Palatino Linotype"/>
          <w:b/>
          <w:i/>
        </w:rPr>
        <w:t>Para el ejercicio del derecho de acceso a la información</w:t>
      </w:r>
      <w:r w:rsidRPr="00F137E5">
        <w:rPr>
          <w:rFonts w:ascii="Palatino Linotype" w:eastAsia="Palatino Linotype" w:hAnsi="Palatino Linotype" w:cs="Palatino Linotype"/>
          <w:i/>
        </w:rPr>
        <w:t xml:space="preserve">, la Federación y </w:t>
      </w:r>
      <w:r w:rsidRPr="00F137E5">
        <w:rPr>
          <w:rFonts w:ascii="Palatino Linotype" w:eastAsia="Palatino Linotype" w:hAnsi="Palatino Linotype" w:cs="Palatino Linotype"/>
          <w:b/>
          <w:i/>
        </w:rPr>
        <w:t>las entidades federativas, en el ámbito de sus respectivas competencias, se regirán por los siguientes principios y bases:</w:t>
      </w:r>
    </w:p>
    <w:p w:rsidR="008C7D5C" w:rsidRPr="00F137E5" w:rsidRDefault="00074B8B">
      <w:pPr>
        <w:spacing w:line="360" w:lineRule="auto"/>
        <w:ind w:left="993" w:right="-167"/>
        <w:jc w:val="both"/>
        <w:rPr>
          <w:rFonts w:ascii="Palatino Linotype" w:eastAsia="Palatino Linotype" w:hAnsi="Palatino Linotype" w:cs="Palatino Linotype"/>
        </w:rPr>
      </w:pPr>
      <w:r w:rsidRPr="00F137E5">
        <w:rPr>
          <w:rFonts w:ascii="Palatino Linotype" w:eastAsia="Palatino Linotype" w:hAnsi="Palatino Linotype" w:cs="Palatino Linotype"/>
          <w:b/>
          <w:i/>
        </w:rPr>
        <w:t xml:space="preserve">I. </w:t>
      </w:r>
      <w:r w:rsidRPr="00F137E5">
        <w:rPr>
          <w:rFonts w:ascii="Palatino Linotype" w:eastAsia="Palatino Linotype" w:hAnsi="Palatino Linotype" w:cs="Palatino Linotype"/>
          <w:b/>
          <w:i/>
        </w:rPr>
        <w:tab/>
        <w:t>Toda la información en posesión de cualquier</w:t>
      </w:r>
      <w:r w:rsidRPr="00F137E5">
        <w:rPr>
          <w:rFonts w:ascii="Palatino Linotype" w:eastAsia="Palatino Linotype" w:hAnsi="Palatino Linotype" w:cs="Palatino Linotype"/>
          <w:i/>
        </w:rPr>
        <w:t xml:space="preserve"> </w:t>
      </w:r>
      <w:r w:rsidRPr="00F137E5">
        <w:rPr>
          <w:rFonts w:ascii="Palatino Linotype" w:eastAsia="Palatino Linotype" w:hAnsi="Palatino Linotype" w:cs="Palatino Linotype"/>
          <w:b/>
          <w:i/>
        </w:rPr>
        <w:t>autoridad</w:t>
      </w:r>
      <w:r w:rsidRPr="00F137E5">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137E5">
        <w:rPr>
          <w:rFonts w:ascii="Palatino Linotype" w:eastAsia="Palatino Linotype" w:hAnsi="Palatino Linotype" w:cs="Palatino Linotype"/>
          <w:b/>
          <w:i/>
        </w:rPr>
        <w:t>municipal</w:t>
      </w:r>
      <w:r w:rsidRPr="00F137E5">
        <w:rPr>
          <w:rFonts w:ascii="Palatino Linotype" w:eastAsia="Palatino Linotype" w:hAnsi="Palatino Linotype" w:cs="Palatino Linotype"/>
          <w:i/>
        </w:rPr>
        <w:t xml:space="preserve">, </w:t>
      </w:r>
      <w:r w:rsidRPr="00F137E5">
        <w:rPr>
          <w:rFonts w:ascii="Palatino Linotype" w:eastAsia="Palatino Linotype" w:hAnsi="Palatino Linotype" w:cs="Palatino Linotype"/>
          <w:b/>
          <w:i/>
        </w:rPr>
        <w:t>es pública</w:t>
      </w:r>
      <w:r w:rsidRPr="00F137E5">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F137E5">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F137E5">
        <w:rPr>
          <w:rFonts w:ascii="Palatino Linotype" w:eastAsia="Palatino Linotype" w:hAnsi="Palatino Linotype" w:cs="Palatino Linotype"/>
          <w:i/>
        </w:rPr>
        <w:t>, la ley determinará los supuestos específicos bajo los cuales procederá la declaración de inexistencia de la información.”</w:t>
      </w:r>
    </w:p>
    <w:p w:rsidR="008C7D5C" w:rsidRPr="00F137E5" w:rsidRDefault="00074B8B">
      <w:pPr>
        <w:spacing w:line="360" w:lineRule="auto"/>
        <w:ind w:left="993" w:right="-167"/>
        <w:jc w:val="both"/>
        <w:rPr>
          <w:rFonts w:ascii="Palatino Linotype" w:eastAsia="Palatino Linotype" w:hAnsi="Palatino Linotype" w:cs="Palatino Linotype"/>
        </w:rPr>
      </w:pPr>
      <w:r w:rsidRPr="00F137E5">
        <w:rPr>
          <w:rFonts w:ascii="Palatino Linotype" w:eastAsia="Palatino Linotype" w:hAnsi="Palatino Linotype" w:cs="Palatino Linotype"/>
          <w:b/>
          <w:i/>
        </w:rPr>
        <w:t>Constitución Política del Estado Libre y Soberano de México</w:t>
      </w:r>
    </w:p>
    <w:p w:rsidR="008C7D5C" w:rsidRPr="00F137E5" w:rsidRDefault="00074B8B">
      <w:pPr>
        <w:spacing w:line="360" w:lineRule="auto"/>
        <w:ind w:left="993" w:right="-167"/>
        <w:jc w:val="both"/>
        <w:rPr>
          <w:rFonts w:ascii="Palatino Linotype" w:eastAsia="Palatino Linotype" w:hAnsi="Palatino Linotype" w:cs="Palatino Linotype"/>
        </w:rPr>
      </w:pPr>
      <w:r w:rsidRPr="00F137E5">
        <w:rPr>
          <w:rFonts w:ascii="Palatino Linotype" w:eastAsia="Palatino Linotype" w:hAnsi="Palatino Linotype" w:cs="Palatino Linotype"/>
          <w:b/>
          <w:i/>
        </w:rPr>
        <w:t>“Artículo 5</w:t>
      </w:r>
      <w:r w:rsidRPr="00F137E5">
        <w:rPr>
          <w:rFonts w:ascii="Palatino Linotype" w:eastAsia="Palatino Linotype" w:hAnsi="Palatino Linotype" w:cs="Palatino Linotype"/>
          <w:i/>
        </w:rPr>
        <w:t>.- </w:t>
      </w:r>
    </w:p>
    <w:p w:rsidR="008C7D5C" w:rsidRPr="00F137E5" w:rsidRDefault="00074B8B">
      <w:pPr>
        <w:spacing w:line="360" w:lineRule="auto"/>
        <w:ind w:left="993" w:right="-167"/>
        <w:jc w:val="both"/>
        <w:rPr>
          <w:rFonts w:ascii="Palatino Linotype" w:eastAsia="Palatino Linotype" w:hAnsi="Palatino Linotype" w:cs="Palatino Linotype"/>
        </w:rPr>
      </w:pPr>
      <w:r w:rsidRPr="00F137E5">
        <w:rPr>
          <w:rFonts w:ascii="Palatino Linotype" w:eastAsia="Palatino Linotype" w:hAnsi="Palatino Linotype" w:cs="Palatino Linotype"/>
          <w:i/>
        </w:rPr>
        <w:lastRenderedPageBreak/>
        <w:t>(…)</w:t>
      </w:r>
    </w:p>
    <w:p w:rsidR="008C7D5C" w:rsidRPr="00F137E5" w:rsidRDefault="00074B8B">
      <w:pPr>
        <w:spacing w:line="360" w:lineRule="auto"/>
        <w:ind w:left="993" w:right="-167"/>
        <w:jc w:val="both"/>
        <w:rPr>
          <w:rFonts w:ascii="Palatino Linotype" w:eastAsia="Palatino Linotype" w:hAnsi="Palatino Linotype" w:cs="Palatino Linotype"/>
        </w:rPr>
      </w:pPr>
      <w:r w:rsidRPr="00F137E5">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F137E5">
        <w:rPr>
          <w:rFonts w:ascii="Palatino Linotype" w:eastAsia="Palatino Linotype" w:hAnsi="Palatino Linotype" w:cs="Palatino Linotype"/>
          <w:i/>
        </w:rPr>
        <w:t>.</w:t>
      </w:r>
    </w:p>
    <w:p w:rsidR="008C7D5C" w:rsidRPr="00F137E5" w:rsidRDefault="00074B8B">
      <w:pPr>
        <w:spacing w:line="360" w:lineRule="auto"/>
        <w:ind w:left="993" w:right="-167"/>
        <w:jc w:val="both"/>
        <w:rPr>
          <w:rFonts w:ascii="Palatino Linotype" w:eastAsia="Palatino Linotype" w:hAnsi="Palatino Linotype" w:cs="Palatino Linotype"/>
        </w:rPr>
      </w:pPr>
      <w:r w:rsidRPr="00F137E5">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C7D5C" w:rsidRPr="00F137E5" w:rsidRDefault="00074B8B">
      <w:pPr>
        <w:spacing w:line="360" w:lineRule="auto"/>
        <w:ind w:left="993" w:right="-167"/>
        <w:jc w:val="both"/>
        <w:rPr>
          <w:rFonts w:ascii="Palatino Linotype" w:eastAsia="Palatino Linotype" w:hAnsi="Palatino Linotype" w:cs="Palatino Linotype"/>
        </w:rPr>
      </w:pPr>
      <w:r w:rsidRPr="00F137E5">
        <w:rPr>
          <w:rFonts w:ascii="Palatino Linotype" w:eastAsia="Palatino Linotype" w:hAnsi="Palatino Linotype" w:cs="Palatino Linotype"/>
          <w:b/>
          <w:i/>
        </w:rPr>
        <w:t>Este derecho se regirá por los principios y bases siguientes</w:t>
      </w:r>
      <w:r w:rsidRPr="00F137E5">
        <w:rPr>
          <w:rFonts w:ascii="Palatino Linotype" w:eastAsia="Palatino Linotype" w:hAnsi="Palatino Linotype" w:cs="Palatino Linotype"/>
          <w:i/>
        </w:rPr>
        <w:t>:</w:t>
      </w:r>
    </w:p>
    <w:p w:rsidR="008C7D5C" w:rsidRPr="00F137E5" w:rsidRDefault="00074B8B">
      <w:pPr>
        <w:spacing w:line="360" w:lineRule="auto"/>
        <w:ind w:left="993" w:right="-167"/>
        <w:jc w:val="both"/>
        <w:rPr>
          <w:rFonts w:ascii="Palatino Linotype" w:eastAsia="Palatino Linotype" w:hAnsi="Palatino Linotype" w:cs="Palatino Linotype"/>
          <w:i/>
        </w:rPr>
      </w:pPr>
      <w:r w:rsidRPr="00F137E5">
        <w:rPr>
          <w:rFonts w:ascii="Palatino Linotype" w:eastAsia="Palatino Linotype" w:hAnsi="Palatino Linotype" w:cs="Palatino Linotype"/>
          <w:b/>
          <w:i/>
        </w:rPr>
        <w:t>I. Toda la información en posesión de cualquier autoridad, entidad, órgano y organismos de los</w:t>
      </w:r>
      <w:r w:rsidRPr="00F137E5">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F137E5">
        <w:rPr>
          <w:rFonts w:ascii="Palatino Linotype" w:eastAsia="Palatino Linotype" w:hAnsi="Palatino Linotype" w:cs="Palatino Linotype"/>
          <w:b/>
          <w:i/>
        </w:rPr>
        <w:t>municipales</w:t>
      </w:r>
      <w:r w:rsidRPr="00F137E5">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137E5">
        <w:rPr>
          <w:rFonts w:ascii="Palatino Linotype" w:eastAsia="Palatino Linotype" w:hAnsi="Palatino Linotype" w:cs="Palatino Linotype"/>
          <w:b/>
          <w:i/>
        </w:rPr>
        <w:t>es pública</w:t>
      </w:r>
      <w:r w:rsidRPr="00F137E5">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F137E5">
        <w:rPr>
          <w:rFonts w:ascii="Palatino Linotype" w:eastAsia="Palatino Linotype" w:hAnsi="Palatino Linotype" w:cs="Palatino Linotype"/>
          <w:b/>
          <w:i/>
        </w:rPr>
        <w:t>En la interpretación de este derecho deberá prevalecer el principio de máxima publicidad</w:t>
      </w:r>
      <w:r w:rsidRPr="00F137E5">
        <w:rPr>
          <w:rFonts w:ascii="Palatino Linotype" w:eastAsia="Palatino Linotype" w:hAnsi="Palatino Linotype" w:cs="Palatino Linotype"/>
          <w:i/>
        </w:rPr>
        <w:t xml:space="preserve">. </w:t>
      </w:r>
      <w:r w:rsidRPr="00F137E5">
        <w:rPr>
          <w:rFonts w:ascii="Palatino Linotype" w:eastAsia="Palatino Linotype" w:hAnsi="Palatino Linotype" w:cs="Palatino Linotype"/>
          <w:b/>
          <w:i/>
        </w:rPr>
        <w:t>Los sujetos obligados deberán documentar todo acto que derive del ejercicio de sus facultades, competencias o funciones</w:t>
      </w:r>
      <w:r w:rsidRPr="00F137E5">
        <w:rPr>
          <w:rFonts w:ascii="Palatino Linotype" w:eastAsia="Palatino Linotype" w:hAnsi="Palatino Linotype" w:cs="Palatino Linotype"/>
          <w:i/>
        </w:rPr>
        <w:t>, la ley determinará los supuestos específicos bajo los cuales procederá la declaración de inexistencia de la información.”</w:t>
      </w:r>
    </w:p>
    <w:p w:rsidR="008C7D5C" w:rsidRPr="00F137E5" w:rsidRDefault="008C7D5C">
      <w:pPr>
        <w:spacing w:line="360" w:lineRule="auto"/>
        <w:ind w:left="993" w:right="-167"/>
        <w:jc w:val="both"/>
        <w:rPr>
          <w:rFonts w:ascii="Palatino Linotype" w:eastAsia="Palatino Linotype" w:hAnsi="Palatino Linotype" w:cs="Palatino Linotype"/>
          <w:i/>
        </w:rPr>
      </w:pPr>
    </w:p>
    <w:p w:rsidR="008C7D5C" w:rsidRPr="00F137E5" w:rsidRDefault="00074B8B">
      <w:pPr>
        <w:numPr>
          <w:ilvl w:val="0"/>
          <w:numId w:val="1"/>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color w:val="000000"/>
        </w:rPr>
        <w:lastRenderedPageBreak/>
        <w:t xml:space="preserve">Según el artículo 150 de la Ley de Transparencia del Estado, la solicitud es la garantía primaria del Derecho de Acceso a la Información, además, establece que se regirá </w:t>
      </w:r>
      <w:r w:rsidRPr="00F137E5">
        <w:rPr>
          <w:rFonts w:ascii="Palatino Linotype" w:eastAsia="Palatino Linotype" w:hAnsi="Palatino Linotype" w:cs="Palatino Linotype"/>
          <w:i/>
          <w:color w:val="000000"/>
        </w:rPr>
        <w:t>por los principios de simplicidad, rapidez gratuidad del procedimiento, auxilio y orientación a los particulares</w:t>
      </w:r>
      <w:r w:rsidRPr="00F137E5">
        <w:rPr>
          <w:rFonts w:ascii="Palatino Linotype" w:eastAsia="Palatino Linotype" w:hAnsi="Palatino Linotype" w:cs="Palatino Linotype"/>
          <w:color w:val="000000"/>
        </w:rPr>
        <w:t>, contemplando el derecho de las personas con discapacidad y hablantes de lengua indígena.</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numPr>
          <w:ilvl w:val="0"/>
          <w:numId w:val="1"/>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color w:val="000000"/>
        </w:rPr>
        <w:t xml:space="preserve">El Derecho de Acceso a la Información se garantiza y respeta oportunamente, y según lo que dispone la Ley, las </w:t>
      </w:r>
      <w:r w:rsidRPr="00F137E5">
        <w:rPr>
          <w:rFonts w:ascii="Palatino Linotype" w:eastAsia="Palatino Linotype" w:hAnsi="Palatino Linotype" w:cs="Palatino Linotype"/>
          <w:i/>
          <w:color w:val="000000"/>
        </w:rPr>
        <w:t>solicitudes de acceso a la información</w:t>
      </w:r>
      <w:r w:rsidRPr="00F137E5">
        <w:rPr>
          <w:rFonts w:ascii="Palatino Linotype" w:eastAsia="Palatino Linotype" w:hAnsi="Palatino Linotype" w:cs="Palatino Linotype"/>
          <w:color w:val="000000"/>
        </w:rPr>
        <w:t>.</w:t>
      </w:r>
    </w:p>
    <w:p w:rsidR="008C7D5C" w:rsidRPr="00F137E5" w:rsidRDefault="008C7D5C">
      <w:pPr>
        <w:pBdr>
          <w:top w:val="nil"/>
          <w:left w:val="nil"/>
          <w:bottom w:val="nil"/>
          <w:right w:val="nil"/>
          <w:between w:val="nil"/>
        </w:pBdr>
        <w:ind w:left="720" w:right="-592"/>
        <w:rPr>
          <w:rFonts w:ascii="Palatino Linotype" w:eastAsia="Palatino Linotype" w:hAnsi="Palatino Linotype" w:cs="Palatino Linotype"/>
          <w:b/>
          <w:color w:val="000000"/>
        </w:rPr>
      </w:pPr>
    </w:p>
    <w:p w:rsidR="008C7D5C" w:rsidRPr="00F137E5" w:rsidRDefault="00074B8B">
      <w:pPr>
        <w:numPr>
          <w:ilvl w:val="0"/>
          <w:numId w:val="1"/>
        </w:numPr>
        <w:pBdr>
          <w:top w:val="nil"/>
          <w:left w:val="nil"/>
          <w:bottom w:val="nil"/>
          <w:right w:val="nil"/>
          <w:between w:val="nil"/>
        </w:pBdr>
        <w:spacing w:line="360" w:lineRule="auto"/>
        <w:ind w:left="0" w:right="-592" w:firstLine="0"/>
        <w:jc w:val="both"/>
        <w:rPr>
          <w:rFonts w:ascii="Palatino Linotype" w:hAnsi="Palatino Linotype"/>
          <w:color w:val="000000"/>
        </w:rPr>
      </w:pPr>
      <w:r w:rsidRPr="00F137E5">
        <w:rPr>
          <w:rFonts w:ascii="Palatino Linotype" w:eastAsia="Palatino Linotype" w:hAnsi="Palatino Linotype" w:cs="Palatino Linotype"/>
          <w:color w:val="000000"/>
        </w:rPr>
        <w:t xml:space="preserve">Así entonces, se procede analizar, en primer lugar, si el </w:t>
      </w:r>
      <w:r w:rsidRPr="00F137E5">
        <w:rPr>
          <w:rFonts w:ascii="Palatino Linotype" w:eastAsia="Palatino Linotype" w:hAnsi="Palatino Linotype" w:cs="Palatino Linotype"/>
          <w:b/>
          <w:color w:val="000000"/>
        </w:rPr>
        <w:t>SUJETO OBLIGADO</w:t>
      </w:r>
      <w:r w:rsidRPr="00F137E5">
        <w:rPr>
          <w:rFonts w:ascii="Palatino Linotype" w:eastAsia="Palatino Linotype" w:hAnsi="Palatino Linotype" w:cs="Palatino Linotype"/>
          <w:color w:val="000000"/>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8C7D5C" w:rsidRPr="00F137E5" w:rsidRDefault="008C7D5C">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rsidR="008C7D5C" w:rsidRPr="00F137E5" w:rsidRDefault="00074B8B">
      <w:pPr>
        <w:numPr>
          <w:ilvl w:val="0"/>
          <w:numId w:val="5"/>
        </w:numPr>
        <w:pBdr>
          <w:top w:val="nil"/>
          <w:left w:val="nil"/>
          <w:bottom w:val="nil"/>
          <w:right w:val="nil"/>
          <w:between w:val="nil"/>
        </w:pBdr>
        <w:spacing w:line="360" w:lineRule="auto"/>
        <w:ind w:left="284" w:right="-592" w:hanging="284"/>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b/>
          <w:color w:val="000000"/>
        </w:rPr>
        <w:t>De la información solicitada y la respuesta del SUJETO OBLIGADO.</w:t>
      </w:r>
    </w:p>
    <w:p w:rsidR="008C7D5C" w:rsidRPr="00F137E5" w:rsidRDefault="00074B8B">
      <w:pPr>
        <w:spacing w:line="360" w:lineRule="auto"/>
        <w:ind w:left="-141" w:right="-592"/>
        <w:jc w:val="both"/>
        <w:rPr>
          <w:rFonts w:ascii="Palatino Linotype" w:eastAsia="Palatino Linotype" w:hAnsi="Palatino Linotype" w:cs="Palatino Linotype"/>
          <w:b/>
        </w:rPr>
      </w:pPr>
      <w:r w:rsidRPr="00F137E5">
        <w:rPr>
          <w:rFonts w:ascii="Palatino Linotype" w:eastAsia="Palatino Linotype" w:hAnsi="Palatino Linotype" w:cs="Palatino Linotype"/>
          <w:b/>
        </w:rPr>
        <w:t xml:space="preserve">35.  </w:t>
      </w:r>
      <w:r w:rsidRPr="00F137E5">
        <w:rPr>
          <w:rFonts w:ascii="Palatino Linotype" w:eastAsia="Palatino Linotype" w:hAnsi="Palatino Linotype" w:cs="Palatino Linotype"/>
        </w:rPr>
        <w:t xml:space="preserve">Acotada la </w:t>
      </w:r>
      <w:r w:rsidRPr="00F137E5">
        <w:rPr>
          <w:rFonts w:ascii="Palatino Linotype" w:eastAsia="Palatino Linotype" w:hAnsi="Palatino Linotype" w:cs="Palatino Linotype"/>
          <w:i/>
        </w:rPr>
        <w:t>Litis</w:t>
      </w:r>
      <w:r w:rsidRPr="00F137E5">
        <w:rPr>
          <w:rFonts w:ascii="Palatino Linotype" w:eastAsia="Palatino Linotype" w:hAnsi="Palatino Linotype" w:cs="Palatino Linotype"/>
        </w:rPr>
        <w:t xml:space="preserve"> del presente asunto, primeramente es menester precisar que del escrito de inconformidad, se observa que el particular se duele por la entrega de información incompleta; situación por la cual se procede al siguiente análisis. </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numPr>
          <w:ilvl w:val="0"/>
          <w:numId w:val="3"/>
        </w:numPr>
        <w:spacing w:line="360" w:lineRule="auto"/>
        <w:ind w:right="-592"/>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b/>
          <w:color w:val="000000"/>
        </w:rPr>
        <w:t xml:space="preserve">De la nómina del Ayuntamiento. </w:t>
      </w: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36.</w:t>
      </w:r>
      <w:r w:rsidRPr="00F137E5">
        <w:rPr>
          <w:rFonts w:ascii="Palatino Linotype" w:eastAsia="Palatino Linotype" w:hAnsi="Palatino Linotype" w:cs="Palatino Linotype"/>
        </w:rPr>
        <w:t xml:space="preserve"> En respuesta se remitió un oficio signado por el Director de Administración y Recursos Humanos, en el que informa que lo relativo a la nómina y percepciones del personal, pueden ser consultadas a través del portal de Información Pública de Oficio Mexiquense (IPOMEX), </w:t>
      </w:r>
      <w:r w:rsidRPr="00F137E5">
        <w:rPr>
          <w:rFonts w:ascii="Palatino Linotype" w:eastAsia="Palatino Linotype" w:hAnsi="Palatino Linotype" w:cs="Palatino Linotype"/>
        </w:rPr>
        <w:lastRenderedPageBreak/>
        <w:t>adjuntando para tal efecto un enlace no editable (dato cerrado). Con relación a la nómina y lista de raya de todo el personal del 1 de junio de 2023 al 29 de febrero de 2023, se informa que corresponde a un hecho negativo por no haber sido posible su generación en el lapso temporal que se requiere.</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37. </w:t>
      </w:r>
      <w:r w:rsidRPr="00F137E5">
        <w:rPr>
          <w:rFonts w:ascii="Palatino Linotype" w:eastAsia="Palatino Linotype" w:hAnsi="Palatino Linotype" w:cs="Palatino Linotype"/>
        </w:rPr>
        <w:t>Al respecto primeramente señalar, que se concibe al enlace entregado como un dato cerrado; toda vez que obra en un archivo en formato PDF de sólo lectura, que corresponde a un documento en formato PDF que ha sido configurado para que los usuarios no puedan realizar modificaciones en su contenido. Esto significa que se puede abrir, ver e imprimir, pero no se puede editar el texto, agregar comentarios, copiar el texto, o dar clic en los enlaces; lo que implica que para acceder al enlace, el particular deba transcribirlo sin que medie error alguno en su captura, lo que además se advierte complejo derivado que corresponde a una URL extensa que incluye una gran cantidad de caracteres después del dominio principal (ipomex.org.mx). Esto ocurre porque se añaden parámetros de consulta (</w:t>
      </w:r>
      <w:proofErr w:type="spellStart"/>
      <w:r w:rsidRPr="00F137E5">
        <w:rPr>
          <w:rFonts w:ascii="Palatino Linotype" w:eastAsia="Palatino Linotype" w:hAnsi="Palatino Linotype" w:cs="Palatino Linotype"/>
          <w:i/>
        </w:rPr>
        <w:t>query</w:t>
      </w:r>
      <w:proofErr w:type="spellEnd"/>
      <w:r w:rsidRPr="00F137E5">
        <w:rPr>
          <w:rFonts w:ascii="Palatino Linotype" w:eastAsia="Palatino Linotype" w:hAnsi="Palatino Linotype" w:cs="Palatino Linotype"/>
          <w:i/>
        </w:rPr>
        <w:t xml:space="preserve"> </w:t>
      </w:r>
      <w:proofErr w:type="spellStart"/>
      <w:r w:rsidRPr="00F137E5">
        <w:rPr>
          <w:rFonts w:ascii="Palatino Linotype" w:eastAsia="Palatino Linotype" w:hAnsi="Palatino Linotype" w:cs="Palatino Linotype"/>
          <w:i/>
        </w:rPr>
        <w:t>strings</w:t>
      </w:r>
      <w:proofErr w:type="spellEnd"/>
      <w:r w:rsidRPr="00F137E5">
        <w:rPr>
          <w:rFonts w:ascii="Palatino Linotype" w:eastAsia="Palatino Linotype" w:hAnsi="Palatino Linotype" w:cs="Palatino Linotype"/>
        </w:rPr>
        <w:t>), identificadores únicos, datos codificados o rutas complejas, dejando entonces de ser directo y preciso como los dispone la ley de la materia.</w:t>
      </w:r>
    </w:p>
    <w:p w:rsidR="008C7D5C" w:rsidRPr="00F137E5" w:rsidRDefault="008C7D5C">
      <w:pPr>
        <w:pBdr>
          <w:top w:val="nil"/>
          <w:left w:val="nil"/>
          <w:bottom w:val="nil"/>
          <w:right w:val="nil"/>
          <w:between w:val="nil"/>
        </w:pBdr>
        <w:ind w:left="720" w:right="-592"/>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38.</w:t>
      </w:r>
      <w:r w:rsidRPr="00F137E5">
        <w:rPr>
          <w:rFonts w:ascii="Palatino Linotype" w:eastAsia="Palatino Linotype" w:hAnsi="Palatino Linotype" w:cs="Palatino Linotype"/>
        </w:rPr>
        <w:t xml:space="preserve"> A diferencia de los datos abiertos, que están disponibles para su libre acceso y uso por parte de cualquier persona, con tan solo dar un clic como lo es en el caso de enlaces; en todo caso los datos cerrados están restringidos para su uso inmediato y directo.</w:t>
      </w:r>
    </w:p>
    <w:p w:rsidR="008C7D5C" w:rsidRPr="00F137E5" w:rsidRDefault="008C7D5C">
      <w:pPr>
        <w:pBdr>
          <w:top w:val="nil"/>
          <w:left w:val="nil"/>
          <w:bottom w:val="nil"/>
          <w:right w:val="nil"/>
          <w:between w:val="nil"/>
        </w:pBdr>
        <w:ind w:left="720" w:right="-592"/>
        <w:rPr>
          <w:rFonts w:ascii="Palatino Linotype" w:eastAsia="Palatino Linotype" w:hAnsi="Palatino Linotype" w:cs="Palatino Linotype"/>
          <w:b/>
          <w:color w:val="000000"/>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39. </w:t>
      </w:r>
      <w:r w:rsidRPr="00F137E5">
        <w:rPr>
          <w:rFonts w:ascii="Palatino Linotype" w:eastAsia="Palatino Linotype" w:hAnsi="Palatino Linotype" w:cs="Palatino Linotype"/>
        </w:rPr>
        <w:t xml:space="preserve">En ese sentido, de conformidad a lo establecido por los artículos 11 y 161 de la Ley de Transparencia y Acceso a la Información Pública del Estado de México y Municipios, en lo que se señalan las características que debe tener toda información entregada por los sujetos </w:t>
      </w:r>
      <w:r w:rsidRPr="00F137E5">
        <w:rPr>
          <w:rFonts w:ascii="Palatino Linotype" w:eastAsia="Palatino Linotype" w:hAnsi="Palatino Linotype" w:cs="Palatino Linotype"/>
        </w:rPr>
        <w:lastRenderedPageBreak/>
        <w:t>obligados desde el momento de su generación, publicación y entrega, así como la forma en que se deberá consultar la información, señalando una fuente precisa y concreta, a saber:</w:t>
      </w:r>
    </w:p>
    <w:p w:rsidR="008C7D5C" w:rsidRPr="00F137E5" w:rsidRDefault="00074B8B">
      <w:pPr>
        <w:spacing w:line="360" w:lineRule="auto"/>
        <w:ind w:left="426"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8C7D5C" w:rsidRPr="00F137E5" w:rsidRDefault="00074B8B">
      <w:pPr>
        <w:spacing w:line="360" w:lineRule="auto"/>
        <w:ind w:left="426"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p>
    <w:p w:rsidR="008C7D5C" w:rsidRPr="00F137E5" w:rsidRDefault="008C7D5C">
      <w:pPr>
        <w:spacing w:line="360" w:lineRule="auto"/>
        <w:ind w:left="426" w:right="-25"/>
        <w:jc w:val="both"/>
        <w:rPr>
          <w:rFonts w:ascii="Palatino Linotype" w:eastAsia="Palatino Linotype" w:hAnsi="Palatino Linotype" w:cs="Palatino Linotype"/>
          <w:i/>
        </w:rPr>
      </w:pPr>
    </w:p>
    <w:p w:rsidR="008C7D5C" w:rsidRPr="00F137E5" w:rsidRDefault="00074B8B">
      <w:pPr>
        <w:spacing w:line="360" w:lineRule="auto"/>
        <w:ind w:left="426"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40.</w:t>
      </w:r>
      <w:r w:rsidRPr="00F137E5">
        <w:rPr>
          <w:rFonts w:ascii="Palatino Linotype" w:eastAsia="Palatino Linotype" w:hAnsi="Palatino Linotype" w:cs="Palatino Linotype"/>
        </w:rPr>
        <w:t xml:space="preserve"> 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8C7D5C" w:rsidRPr="00F137E5" w:rsidRDefault="00074B8B">
      <w:pPr>
        <w:spacing w:line="360" w:lineRule="auto"/>
        <w:ind w:left="850" w:right="-592"/>
        <w:jc w:val="both"/>
        <w:rPr>
          <w:rFonts w:ascii="Palatino Linotype" w:eastAsia="Palatino Linotype" w:hAnsi="Palatino Linotype" w:cs="Palatino Linotype"/>
        </w:rPr>
      </w:pPr>
      <w:r w:rsidRPr="00F137E5">
        <w:rPr>
          <w:rFonts w:ascii="Palatino Linotype" w:eastAsia="Palatino Linotype" w:hAnsi="Palatino Linotype" w:cs="Palatino Linotype"/>
        </w:rPr>
        <w:t>a.</w:t>
      </w:r>
      <w:r w:rsidRPr="00F137E5">
        <w:rPr>
          <w:rFonts w:ascii="Palatino Linotype" w:eastAsia="Palatino Linotype" w:hAnsi="Palatino Linotype" w:cs="Palatino Linotype"/>
        </w:rPr>
        <w:tab/>
        <w:t>La fuente</w:t>
      </w:r>
    </w:p>
    <w:p w:rsidR="008C7D5C" w:rsidRPr="00F137E5" w:rsidRDefault="00074B8B">
      <w:pPr>
        <w:spacing w:line="360" w:lineRule="auto"/>
        <w:ind w:left="850" w:right="-592"/>
        <w:jc w:val="both"/>
        <w:rPr>
          <w:rFonts w:ascii="Palatino Linotype" w:eastAsia="Palatino Linotype" w:hAnsi="Palatino Linotype" w:cs="Palatino Linotype"/>
        </w:rPr>
      </w:pPr>
      <w:r w:rsidRPr="00F137E5">
        <w:rPr>
          <w:rFonts w:ascii="Palatino Linotype" w:eastAsia="Palatino Linotype" w:hAnsi="Palatino Linotype" w:cs="Palatino Linotype"/>
        </w:rPr>
        <w:lastRenderedPageBreak/>
        <w:t>b.</w:t>
      </w:r>
      <w:r w:rsidRPr="00F137E5">
        <w:rPr>
          <w:rFonts w:ascii="Palatino Linotype" w:eastAsia="Palatino Linotype" w:hAnsi="Palatino Linotype" w:cs="Palatino Linotype"/>
        </w:rPr>
        <w:tab/>
        <w:t>El lugar y</w:t>
      </w:r>
    </w:p>
    <w:p w:rsidR="008C7D5C" w:rsidRPr="00F137E5" w:rsidRDefault="00074B8B">
      <w:pPr>
        <w:spacing w:line="360" w:lineRule="auto"/>
        <w:ind w:left="850" w:right="-592"/>
        <w:jc w:val="both"/>
        <w:rPr>
          <w:rFonts w:ascii="Palatino Linotype" w:eastAsia="Palatino Linotype" w:hAnsi="Palatino Linotype" w:cs="Palatino Linotype"/>
        </w:rPr>
      </w:pPr>
      <w:r w:rsidRPr="00F137E5">
        <w:rPr>
          <w:rFonts w:ascii="Palatino Linotype" w:eastAsia="Palatino Linotype" w:hAnsi="Palatino Linotype" w:cs="Palatino Linotype"/>
        </w:rPr>
        <w:t>c.</w:t>
      </w:r>
      <w:r w:rsidRPr="00F137E5">
        <w:rPr>
          <w:rFonts w:ascii="Palatino Linotype" w:eastAsia="Palatino Linotype" w:hAnsi="Palatino Linotype" w:cs="Palatino Linotype"/>
        </w:rPr>
        <w:tab/>
        <w:t xml:space="preserve">La forma </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41. </w:t>
      </w:r>
      <w:r w:rsidRPr="00F137E5">
        <w:rPr>
          <w:rFonts w:ascii="Palatino Linotype" w:eastAsia="Palatino Linotype" w:hAnsi="Palatino Linotype" w:cs="Palatino Linotype"/>
        </w:rPr>
        <w:t>Asimismo, se establece que la fuente de la información deberá ser:</w:t>
      </w:r>
    </w:p>
    <w:p w:rsidR="008C7D5C" w:rsidRPr="00F137E5" w:rsidRDefault="00074B8B">
      <w:pPr>
        <w:spacing w:line="360" w:lineRule="auto"/>
        <w:ind w:left="850" w:right="-25"/>
        <w:jc w:val="both"/>
        <w:rPr>
          <w:rFonts w:ascii="Palatino Linotype" w:eastAsia="Palatino Linotype" w:hAnsi="Palatino Linotype" w:cs="Palatino Linotype"/>
        </w:rPr>
      </w:pPr>
      <w:r w:rsidRPr="00F137E5">
        <w:rPr>
          <w:rFonts w:ascii="Palatino Linotype" w:eastAsia="Palatino Linotype" w:hAnsi="Palatino Linotype" w:cs="Palatino Linotype"/>
        </w:rPr>
        <w:t>a.</w:t>
      </w:r>
      <w:r w:rsidRPr="00F137E5">
        <w:rPr>
          <w:rFonts w:ascii="Palatino Linotype" w:eastAsia="Palatino Linotype" w:hAnsi="Palatino Linotype" w:cs="Palatino Linotype"/>
        </w:rPr>
        <w:tab/>
        <w:t>Precisa</w:t>
      </w:r>
    </w:p>
    <w:p w:rsidR="008C7D5C" w:rsidRPr="00F137E5" w:rsidRDefault="00074B8B">
      <w:pPr>
        <w:spacing w:line="360" w:lineRule="auto"/>
        <w:ind w:left="850" w:right="-25"/>
        <w:jc w:val="both"/>
        <w:rPr>
          <w:rFonts w:ascii="Palatino Linotype" w:eastAsia="Palatino Linotype" w:hAnsi="Palatino Linotype" w:cs="Palatino Linotype"/>
        </w:rPr>
      </w:pPr>
      <w:r w:rsidRPr="00F137E5">
        <w:rPr>
          <w:rFonts w:ascii="Palatino Linotype" w:eastAsia="Palatino Linotype" w:hAnsi="Palatino Linotype" w:cs="Palatino Linotype"/>
        </w:rPr>
        <w:t>b.</w:t>
      </w:r>
      <w:r w:rsidRPr="00F137E5">
        <w:rPr>
          <w:rFonts w:ascii="Palatino Linotype" w:eastAsia="Palatino Linotype" w:hAnsi="Palatino Linotype" w:cs="Palatino Linotype"/>
        </w:rPr>
        <w:tab/>
        <w:t>Concreta</w:t>
      </w:r>
    </w:p>
    <w:p w:rsidR="008C7D5C" w:rsidRPr="00F137E5" w:rsidRDefault="00074B8B">
      <w:pPr>
        <w:spacing w:line="360" w:lineRule="auto"/>
        <w:ind w:left="850" w:right="-25"/>
        <w:jc w:val="both"/>
        <w:rPr>
          <w:rFonts w:ascii="Palatino Linotype" w:eastAsia="Palatino Linotype" w:hAnsi="Palatino Linotype" w:cs="Palatino Linotype"/>
        </w:rPr>
      </w:pPr>
      <w:r w:rsidRPr="00F137E5">
        <w:rPr>
          <w:rFonts w:ascii="Palatino Linotype" w:eastAsia="Palatino Linotype" w:hAnsi="Palatino Linotype" w:cs="Palatino Linotype"/>
        </w:rPr>
        <w:t>c.</w:t>
      </w:r>
      <w:r w:rsidRPr="00F137E5">
        <w:rPr>
          <w:rFonts w:ascii="Palatino Linotype" w:eastAsia="Palatino Linotype" w:hAnsi="Palatino Linotype" w:cs="Palatino Linotype"/>
        </w:rPr>
        <w:tab/>
        <w:t>Y no debe implicar que el solicitante realice una búsqueda en toda la información que se encuentre disponible.</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42. </w:t>
      </w:r>
      <w:r w:rsidRPr="00F137E5">
        <w:rPr>
          <w:rFonts w:ascii="Palatino Linotype" w:eastAsia="Palatino Linotype" w:hAnsi="Palatino Linotype" w:cs="Palatino Linotype"/>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que conduce a la página oficial del Organismo de Agua, sin que señala puntualmente donde se encuentra la información,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43.</w:t>
      </w:r>
      <w:r w:rsidRPr="00F137E5">
        <w:rPr>
          <w:rFonts w:ascii="Palatino Linotype" w:eastAsia="Palatino Linotype" w:hAnsi="Palatino Linotype" w:cs="Palatino Linotype"/>
        </w:rPr>
        <w:t xml:space="preserve"> Es por lo anterior que este Organismo Garante exhorta de manera respetuosa al Sujeto Obligado para que en futuras ocasiones que pretenda emplear ligas electrónicas para atender las solicitudes de información, se asegure de que dichos enlaces sean accesibles para </w:t>
      </w:r>
      <w:r w:rsidRPr="00F137E5">
        <w:rPr>
          <w:rFonts w:ascii="Palatino Linotype" w:eastAsia="Palatino Linotype" w:hAnsi="Palatino Linotype" w:cs="Palatino Linotype"/>
        </w:rPr>
        <w:lastRenderedPageBreak/>
        <w:t xml:space="preserve">los solicitantes, esto es, que sea directo o bien que pueda copiarse y pegarse con facilidad para su consulta y que remitan a la fuente concreta donde obra la información.  </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44. </w:t>
      </w:r>
      <w:r w:rsidRPr="00F137E5">
        <w:rPr>
          <w:rFonts w:ascii="Palatino Linotype" w:eastAsia="Palatino Linotype" w:hAnsi="Palatino Linotype" w:cs="Palatino Linotype"/>
        </w:rPr>
        <w:t>Luego entonces, no se tiene por colmado el punto en comento, por lo que es necesario el marco normativo al respecto, trayendo inicialmente a colación que corresponde al Órgano Superior de Fiscalización del Estado de México, la facultad de emitir los Lineamientos para la Integración del Informe Trimestral, en términos de la fracción XI del artículo 8 de la Ley de Fiscalización Superior del Estado de México, que es del tenor literal siguiente:</w:t>
      </w:r>
    </w:p>
    <w:p w:rsidR="008C7D5C" w:rsidRPr="00F137E5" w:rsidRDefault="00074B8B">
      <w:pPr>
        <w:spacing w:line="276" w:lineRule="auto"/>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t>“Artículo 8.-</w:t>
      </w:r>
      <w:r w:rsidRPr="00F137E5">
        <w:rPr>
          <w:rFonts w:ascii="Palatino Linotype" w:eastAsia="Palatino Linotype" w:hAnsi="Palatino Linotype" w:cs="Palatino Linotype"/>
          <w:i/>
        </w:rPr>
        <w:t xml:space="preserve"> El </w:t>
      </w:r>
      <w:r w:rsidRPr="00F137E5">
        <w:rPr>
          <w:rFonts w:ascii="Palatino Linotype" w:eastAsia="Palatino Linotype" w:hAnsi="Palatino Linotype" w:cs="Palatino Linotype"/>
          <w:b/>
          <w:i/>
        </w:rPr>
        <w:t>Órgano Superior</w:t>
      </w:r>
      <w:r w:rsidRPr="00F137E5">
        <w:rPr>
          <w:rFonts w:ascii="Palatino Linotype" w:eastAsia="Palatino Linotype" w:hAnsi="Palatino Linotype" w:cs="Palatino Linotype"/>
          <w:i/>
        </w:rPr>
        <w:t xml:space="preserve"> tendrá las siguientes atribuciones:</w:t>
      </w:r>
    </w:p>
    <w:p w:rsidR="008C7D5C" w:rsidRPr="00F137E5" w:rsidRDefault="00074B8B">
      <w:pPr>
        <w:spacing w:line="276" w:lineRule="auto"/>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p>
    <w:p w:rsidR="008C7D5C" w:rsidRPr="00F137E5" w:rsidRDefault="00074B8B">
      <w:pPr>
        <w:spacing w:line="276" w:lineRule="auto"/>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t>XI</w:t>
      </w:r>
      <w:r w:rsidRPr="00F137E5">
        <w:rPr>
          <w:rFonts w:ascii="Palatino Linotype" w:eastAsia="Palatino Linotype" w:hAnsi="Palatino Linotype" w:cs="Palatino Linotype"/>
          <w:i/>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008C7D5C" w:rsidRPr="00F137E5" w:rsidRDefault="008C7D5C">
      <w:pPr>
        <w:spacing w:line="276" w:lineRule="auto"/>
        <w:ind w:left="851" w:right="-592"/>
        <w:jc w:val="both"/>
        <w:rPr>
          <w:rFonts w:ascii="Palatino Linotype" w:eastAsia="Palatino Linotype" w:hAnsi="Palatino Linotype" w:cs="Palatino Linotype"/>
          <w:i/>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45.</w:t>
      </w:r>
      <w:r w:rsidRPr="00F137E5">
        <w:rPr>
          <w:rFonts w:ascii="Palatino Linotype" w:eastAsia="Palatino Linotype" w:hAnsi="Palatino Linotype" w:cs="Palatino Linotype"/>
        </w:rPr>
        <w:t xml:space="preserve"> 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lastRenderedPageBreak/>
        <w:t xml:space="preserve">46. </w:t>
      </w:r>
      <w:r w:rsidRPr="00F137E5">
        <w:rPr>
          <w:rFonts w:ascii="Palatino Linotype" w:eastAsia="Palatino Linotype" w:hAnsi="Palatino Linotype" w:cs="Palatino Linotype"/>
        </w:rPr>
        <w:t>La información documental comprobatoria de los informes trimestrales presentados, debe conservarse en los archivos de la entidad fiscalizada en original y debidamente integrada en términos de los lineamientos de referencia, pues son susceptibles de revisión directa por el Órgano Superior de Fiscalización del Estado de México.</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47. </w:t>
      </w:r>
      <w:r w:rsidRPr="00F137E5">
        <w:rPr>
          <w:rFonts w:ascii="Palatino Linotype" w:eastAsia="Palatino Linotype" w:hAnsi="Palatino Linotype" w:cs="Palatino Linotype"/>
        </w:rPr>
        <w:t>En este contexto, el Órgano Superior de Fiscalización del Estado de México, emite en cada ejercicio fiscal los Lineamientos para la integración y entrega del Informe Trimestral Estatal para el ejercicio fiscal 2024 y los Instructivos de llenado correspondientes, mismos que se encuentran disponibles en su sitio de internet</w:t>
      </w:r>
      <w:r w:rsidRPr="00F137E5">
        <w:rPr>
          <w:rFonts w:ascii="Palatino Linotype" w:eastAsia="Palatino Linotype" w:hAnsi="Palatino Linotype" w:cs="Palatino Linotype"/>
          <w:vertAlign w:val="superscript"/>
        </w:rPr>
        <w:footnoteReference w:id="1"/>
      </w:r>
      <w:r w:rsidRPr="00F137E5">
        <w:rPr>
          <w:rFonts w:ascii="Palatino Linotype" w:eastAsia="Palatino Linotype" w:hAnsi="Palatino Linotype" w:cs="Palatino Linotype"/>
        </w:rPr>
        <w:t>,</w:t>
      </w:r>
      <w:r w:rsidRPr="00F137E5">
        <w:rPr>
          <w:rFonts w:ascii="Palatino Linotype" w:eastAsia="Palatino Linotype" w:hAnsi="Palatino Linotype" w:cs="Palatino Linotype"/>
          <w:vertAlign w:val="superscript"/>
        </w:rPr>
        <w:t xml:space="preserve">, </w:t>
      </w:r>
      <w:r w:rsidRPr="00F137E5">
        <w:rPr>
          <w:rFonts w:ascii="Palatino Linotype" w:eastAsia="Palatino Linotype" w:hAnsi="Palatino Linotype" w:cs="Palatino Linotype"/>
        </w:rPr>
        <w:t>con la finalidad de definir los criterios, los formatos y la documentación necesaria para presentar los informes trimestrales, que deben ser entregados a través de cuatro módulos.</w:t>
      </w:r>
    </w:p>
    <w:p w:rsidR="008C7D5C" w:rsidRPr="00F137E5" w:rsidRDefault="008C7D5C">
      <w:pPr>
        <w:spacing w:line="360" w:lineRule="auto"/>
        <w:ind w:right="-592"/>
        <w:jc w:val="center"/>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48. </w:t>
      </w:r>
      <w:r w:rsidRPr="00F137E5">
        <w:rPr>
          <w:rFonts w:ascii="Palatino Linotype" w:eastAsia="Palatino Linotype" w:hAnsi="Palatino Linotype" w:cs="Palatino Linotype"/>
        </w:rPr>
        <w:t xml:space="preserve">Ahora bien, la información que con motivo de la nómina genera </w:t>
      </w:r>
      <w:r w:rsidRPr="00F137E5">
        <w:rPr>
          <w:rFonts w:ascii="Palatino Linotype" w:eastAsia="Palatino Linotype" w:hAnsi="Palatino Linotype" w:cs="Palatino Linotype"/>
          <w:b/>
        </w:rPr>
        <w:t>el SUJETO OBLIGADO</w:t>
      </w:r>
      <w:r w:rsidRPr="00F137E5">
        <w:rPr>
          <w:rFonts w:ascii="Palatino Linotype" w:eastAsia="Palatino Linotype" w:hAnsi="Palatino Linotype" w:cs="Palatino Linotype"/>
        </w:rPr>
        <w:t xml:space="preserve">, se encuentra contenida en el Módulo 4 Información administrativa, </w:t>
      </w:r>
      <w:proofErr w:type="spellStart"/>
      <w:r w:rsidRPr="00F137E5">
        <w:rPr>
          <w:rFonts w:ascii="Palatino Linotype" w:eastAsia="Palatino Linotype" w:hAnsi="Palatino Linotype" w:cs="Palatino Linotype"/>
        </w:rPr>
        <w:t>Submódulo</w:t>
      </w:r>
      <w:proofErr w:type="spellEnd"/>
      <w:r w:rsidRPr="00F137E5">
        <w:rPr>
          <w:rFonts w:ascii="Palatino Linotype" w:eastAsia="Palatino Linotype" w:hAnsi="Palatino Linotype" w:cs="Palatino Linotype"/>
        </w:rPr>
        <w:t xml:space="preserve"> Servicios Personales, como se muestra a continuación:</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center"/>
        <w:rPr>
          <w:rFonts w:ascii="Palatino Linotype" w:eastAsia="Palatino Linotype" w:hAnsi="Palatino Linotype" w:cs="Palatino Linotype"/>
        </w:rPr>
      </w:pPr>
      <w:r w:rsidRPr="00F137E5">
        <w:rPr>
          <w:rFonts w:ascii="Palatino Linotype" w:eastAsia="Palatino Linotype" w:hAnsi="Palatino Linotype" w:cs="Palatino Linotype"/>
          <w:noProof/>
        </w:rPr>
        <w:lastRenderedPageBreak/>
        <w:drawing>
          <wp:inline distT="0" distB="0" distL="0" distR="0">
            <wp:extent cx="5010150" cy="5029200"/>
            <wp:effectExtent l="0" t="0" r="0" b="0"/>
            <wp:docPr id="203084306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5010150" cy="5029200"/>
                    </a:xfrm>
                    <a:prstGeom prst="rect">
                      <a:avLst/>
                    </a:prstGeom>
                    <a:ln/>
                  </pic:spPr>
                </pic:pic>
              </a:graphicData>
            </a:graphic>
          </wp:inline>
        </w:drawing>
      </w:r>
      <w:r w:rsidRPr="00F137E5">
        <w:rPr>
          <w:rFonts w:ascii="Palatino Linotype" w:hAnsi="Palatino Linotype"/>
          <w:noProof/>
        </w:rPr>
        <mc:AlternateContent>
          <mc:Choice Requires="wps">
            <w:drawing>
              <wp:anchor distT="0" distB="0" distL="114300" distR="114300" simplePos="0" relativeHeight="251658240" behindDoc="0" locked="0" layoutInCell="1" hidden="0" allowOverlap="1">
                <wp:simplePos x="0" y="0"/>
                <wp:positionH relativeFrom="column">
                  <wp:posOffset>1054100</wp:posOffset>
                </wp:positionH>
                <wp:positionV relativeFrom="paragraph">
                  <wp:posOffset>1828800</wp:posOffset>
                </wp:positionV>
                <wp:extent cx="4219575" cy="476250"/>
                <wp:effectExtent l="0" t="0" r="0" b="0"/>
                <wp:wrapNone/>
                <wp:docPr id="2030843058" name="Rectángulo 2030843058"/>
                <wp:cNvGraphicFramePr/>
                <a:graphic xmlns:a="http://schemas.openxmlformats.org/drawingml/2006/main">
                  <a:graphicData uri="http://schemas.microsoft.com/office/word/2010/wordprocessingShape">
                    <wps:wsp>
                      <wps:cNvSpPr/>
                      <wps:spPr>
                        <a:xfrm>
                          <a:off x="3250500" y="3556163"/>
                          <a:ext cx="4191000" cy="447675"/>
                        </a:xfrm>
                        <a:prstGeom prst="rect">
                          <a:avLst/>
                        </a:prstGeom>
                        <a:noFill/>
                        <a:ln w="28575" cap="flat" cmpd="sng">
                          <a:solidFill>
                            <a:srgbClr val="FF0000"/>
                          </a:solidFill>
                          <a:prstDash val="solid"/>
                          <a:round/>
                          <a:headEnd type="none" w="sm" len="sm"/>
                          <a:tailEnd type="none" w="sm" len="sm"/>
                        </a:ln>
                      </wps:spPr>
                      <wps:txbx>
                        <w:txbxContent>
                          <w:p w:rsidR="000F76E9" w:rsidRDefault="000F76E9">
                            <w:pPr>
                              <w:textDirection w:val="btLr"/>
                            </w:pPr>
                          </w:p>
                        </w:txbxContent>
                      </wps:txbx>
                      <wps:bodyPr spcFirstLastPara="1" wrap="square" lIns="91425" tIns="91425" rIns="91425" bIns="91425" anchor="ctr" anchorCtr="0">
                        <a:noAutofit/>
                      </wps:bodyPr>
                    </wps:wsp>
                  </a:graphicData>
                </a:graphic>
              </wp:anchor>
            </w:drawing>
          </mc:Choice>
          <mc:Fallback>
            <w:pict>
              <v:rect id="Rectángulo 2030843058" o:spid="_x0000_s1026" style="position:absolute;left:0;text-align:left;margin-left:83pt;margin-top:2in;width:332.25pt;height:3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" filled="f" strokecolor="red" strokeweight="2.25pt">
                <v:stroke startarrowwidth="narrow" startarrowlength="short" endarrowwidth="narrow" endarrowlength="short" joinstyle="round"/>
                <v:textbox inset="2.53958mm,2.53958mm,2.53958mm,2.53958mm">
                  <w:txbxContent>
                    <w:p w:rsidR="000F76E9" w:rsidRDefault="000F76E9">
                      <w:pPr>
                        <w:textDirection w:val="btLr"/>
                      </w:pPr>
                    </w:p>
                  </w:txbxContent>
                </v:textbox>
              </v:rect>
            </w:pict>
          </mc:Fallback>
        </mc:AlternateConten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49. </w:t>
      </w:r>
      <w:r w:rsidRPr="00F137E5">
        <w:rPr>
          <w:rFonts w:ascii="Palatino Linotype" w:eastAsia="Palatino Linotype" w:hAnsi="Palatino Linotype" w:cs="Palatino Linotype"/>
        </w:rPr>
        <w:t xml:space="preserve">Atento a lo anterior, se visualiza que </w:t>
      </w:r>
      <w:r w:rsidRPr="00F137E5">
        <w:rPr>
          <w:rFonts w:ascii="Palatino Linotype" w:eastAsia="Palatino Linotype" w:hAnsi="Palatino Linotype" w:cs="Palatino Linotype"/>
          <w:b/>
        </w:rPr>
        <w:t>el Sujeto Obligado</w:t>
      </w:r>
      <w:r w:rsidRPr="00F137E5">
        <w:rPr>
          <w:rFonts w:ascii="Palatino Linotype" w:eastAsia="Palatino Linotype" w:hAnsi="Palatino Linotype" w:cs="Palatino Linotype"/>
        </w:rPr>
        <w:t xml:space="preserve"> genera de manera mensual la conciliación de la nómina. Para mayor referencia a continuación se inserta el formato mediante el cual dicha información se presenta, así como el instructivo de llenado: </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ind w:right="-592"/>
        <w:jc w:val="center"/>
        <w:rPr>
          <w:rFonts w:ascii="Palatino Linotype" w:eastAsia="Palatino Linotype" w:hAnsi="Palatino Linotype" w:cs="Palatino Linotype"/>
        </w:rPr>
      </w:pPr>
      <w:r w:rsidRPr="00F137E5">
        <w:rPr>
          <w:rFonts w:ascii="Palatino Linotype" w:eastAsia="Palatino Linotype" w:hAnsi="Palatino Linotype" w:cs="Palatino Linotype"/>
          <w:noProof/>
        </w:rPr>
        <w:lastRenderedPageBreak/>
        <w:drawing>
          <wp:inline distT="0" distB="0" distL="0" distR="0">
            <wp:extent cx="3971925" cy="1171575"/>
            <wp:effectExtent l="0" t="0" r="0" b="0"/>
            <wp:docPr id="203084307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3971925" cy="1171575"/>
                    </a:xfrm>
                    <a:prstGeom prst="rect">
                      <a:avLst/>
                    </a:prstGeom>
                    <a:ln/>
                  </pic:spPr>
                </pic:pic>
              </a:graphicData>
            </a:graphic>
          </wp:inline>
        </w:drawing>
      </w:r>
    </w:p>
    <w:p w:rsidR="008C7D5C" w:rsidRPr="00F137E5" w:rsidRDefault="008C7D5C">
      <w:pPr>
        <w:ind w:right="-592"/>
        <w:jc w:val="center"/>
        <w:rPr>
          <w:rFonts w:ascii="Palatino Linotype" w:eastAsia="Palatino Linotype" w:hAnsi="Palatino Linotype" w:cs="Palatino Linotype"/>
        </w:rPr>
      </w:pPr>
    </w:p>
    <w:p w:rsidR="008C7D5C" w:rsidRPr="00F137E5" w:rsidRDefault="00074B8B">
      <w:pPr>
        <w:ind w:right="-592"/>
        <w:jc w:val="center"/>
        <w:rPr>
          <w:rFonts w:ascii="Palatino Linotype" w:eastAsia="Palatino Linotype" w:hAnsi="Palatino Linotype" w:cs="Palatino Linotype"/>
        </w:rPr>
      </w:pPr>
      <w:r w:rsidRPr="00F137E5">
        <w:rPr>
          <w:rFonts w:ascii="Palatino Linotype" w:eastAsia="Palatino Linotype" w:hAnsi="Palatino Linotype" w:cs="Palatino Linotype"/>
          <w:noProof/>
        </w:rPr>
        <w:drawing>
          <wp:inline distT="0" distB="0" distL="0" distR="0">
            <wp:extent cx="3638550" cy="4705350"/>
            <wp:effectExtent l="0" t="0" r="0" b="0"/>
            <wp:docPr id="20308430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638550" cy="4705350"/>
                    </a:xfrm>
                    <a:prstGeom prst="rect">
                      <a:avLst/>
                    </a:prstGeom>
                    <a:ln/>
                  </pic:spPr>
                </pic:pic>
              </a:graphicData>
            </a:graphic>
          </wp:inline>
        </w:drawing>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b/>
        </w:rPr>
      </w:pPr>
      <w:r w:rsidRPr="00F137E5">
        <w:rPr>
          <w:rFonts w:ascii="Palatino Linotype" w:eastAsia="Palatino Linotype" w:hAnsi="Palatino Linotype" w:cs="Palatino Linotype"/>
          <w:b/>
        </w:rPr>
        <w:t xml:space="preserve">50. </w:t>
      </w:r>
      <w:r w:rsidRPr="00F137E5">
        <w:rPr>
          <w:rFonts w:ascii="Palatino Linotype" w:eastAsia="Palatino Linotype" w:hAnsi="Palatino Linotype" w:cs="Palatino Linotype"/>
        </w:rPr>
        <w:t xml:space="preserve">De lo anterior, se colige que, el Ayuntamiento cuenta con el documento que da cuenta de la nómina de los servidores públicos, información que obra en la denominada </w:t>
      </w:r>
      <w:r w:rsidRPr="00F137E5">
        <w:rPr>
          <w:rFonts w:ascii="Palatino Linotype" w:eastAsia="Palatino Linotype" w:hAnsi="Palatino Linotype" w:cs="Palatino Linotype"/>
        </w:rPr>
        <w:lastRenderedPageBreak/>
        <w:t xml:space="preserve">Conciliación de Nómina. Por lo que se advierten atribuciones para generar, administrar y poseer la información solicitada, pues en cumplimiento a sus obligaciones fiscales, los Sujetos Obligados deberán hacer entrega de estos documentos al Órgano Superior de Fiscalización del Estado de México. </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numPr>
          <w:ilvl w:val="0"/>
          <w:numId w:val="3"/>
        </w:numPr>
        <w:spacing w:line="360" w:lineRule="auto"/>
        <w:ind w:right="-592"/>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b/>
          <w:color w:val="000000"/>
        </w:rPr>
        <w:t xml:space="preserve">De las listas de raya. </w:t>
      </w: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51. </w:t>
      </w:r>
      <w:r w:rsidRPr="00F137E5">
        <w:rPr>
          <w:rFonts w:ascii="Palatino Linotype" w:eastAsia="Palatino Linotype" w:hAnsi="Palatino Linotype" w:cs="Palatino Linotype"/>
        </w:rPr>
        <w:t>Con relación a la nómina y lista de raya de todo el personal del 1 de junio de 2023 al 29 de febrero de 2023, se informa que corresponde a un hecho negativo por no haber sido posible su generación en el lapso temporal que se requiere. Al respecto si bien es cierto ello resulta propio; también lo es que se advierte con claridad que por un probable error involuntario el particular equivoco de anualidad, tan es así que el mes corresponde al que ingresó su solicitud de información.</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52. </w:t>
      </w:r>
      <w:r w:rsidRPr="00F137E5">
        <w:rPr>
          <w:rFonts w:ascii="Palatino Linotype" w:eastAsia="Palatino Linotype" w:hAnsi="Palatino Linotype" w:cs="Palatino Linotype"/>
          <w:color w:val="000000"/>
        </w:rPr>
        <w:t xml:space="preserve">Por tal motivo, se dará observancia a los extremos temporales que comprenden del </w:t>
      </w:r>
      <w:r w:rsidRPr="00F137E5">
        <w:rPr>
          <w:rFonts w:ascii="Palatino Linotype" w:eastAsia="Palatino Linotype" w:hAnsi="Palatino Linotype" w:cs="Palatino Linotype"/>
        </w:rPr>
        <w:t>1 de junio de 2023 al 29 de febrero de 2024</w:t>
      </w:r>
      <w:r w:rsidRPr="00F137E5">
        <w:rPr>
          <w:rFonts w:ascii="Palatino Linotype" w:eastAsia="Palatino Linotype" w:hAnsi="Palatino Linotype" w:cs="Palatino Linotype"/>
          <w:color w:val="000000"/>
        </w:rPr>
        <w:t xml:space="preserve">, a efecto de tutelar en su sentido más amplio el derecho de </w:t>
      </w:r>
      <w:r w:rsidRPr="00F137E5">
        <w:rPr>
          <w:rFonts w:ascii="Palatino Linotype" w:eastAsia="Palatino Linotype" w:hAnsi="Palatino Linotype" w:cs="Palatino Linotype"/>
        </w:rPr>
        <w:t>acceso</w:t>
      </w:r>
      <w:r w:rsidRPr="00F137E5">
        <w:rPr>
          <w:rFonts w:ascii="Palatino Linotype" w:eastAsia="Palatino Linotype" w:hAnsi="Palatino Linotype" w:cs="Palatino Linotype"/>
          <w:color w:val="000000"/>
        </w:rPr>
        <w:t xml:space="preserve"> a la información del solicitante en atención a la suplencia de la queja que debe regir el ejercicio de acceso a la información pública.</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53.</w:t>
      </w:r>
      <w:r w:rsidRPr="00F137E5">
        <w:rPr>
          <w:rFonts w:ascii="Palatino Linotype" w:eastAsia="Palatino Linotype" w:hAnsi="Palatino Linotype" w:cs="Palatino Linotype"/>
        </w:rPr>
        <w:t xml:space="preserve"> En ese sentido </w:t>
      </w:r>
      <w:r w:rsidRPr="00F137E5">
        <w:rPr>
          <w:rFonts w:ascii="Palatino Linotype" w:eastAsia="Palatino Linotype" w:hAnsi="Palatino Linotype" w:cs="Palatino Linotype"/>
          <w:color w:val="000000"/>
        </w:rPr>
        <w:t>tenemos</w:t>
      </w:r>
      <w:r w:rsidRPr="00F137E5">
        <w:rPr>
          <w:rFonts w:ascii="Palatino Linotype" w:eastAsia="Palatino Linotype" w:hAnsi="Palatino Linotype" w:cs="Palatino Linotype"/>
        </w:rPr>
        <w:t xml:space="preserve"> que la suplencia de la queja únicamente tiene como finalidad el </w:t>
      </w:r>
      <w:r w:rsidRPr="00F137E5">
        <w:rPr>
          <w:rFonts w:ascii="Palatino Linotype" w:eastAsia="Palatino Linotype" w:hAnsi="Palatino Linotype" w:cs="Palatino Linotype"/>
          <w:color w:val="000000"/>
        </w:rPr>
        <w:t>subsanar</w:t>
      </w:r>
      <w:r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color w:val="000000"/>
        </w:rPr>
        <w:t>algunas</w:t>
      </w:r>
      <w:r w:rsidRPr="00F137E5">
        <w:rPr>
          <w:rFonts w:ascii="Palatino Linotype" w:eastAsia="Palatino Linotype" w:hAnsi="Palatino Linotype" w:cs="Palatino Linotype"/>
        </w:rPr>
        <w:t xml:space="preserve"> lagunas que pudieran existir dentro del acto reclamado y no así la complementación, modificación o adición de lo requerido inicialmente.</w:t>
      </w:r>
    </w:p>
    <w:p w:rsidR="008C7D5C" w:rsidRPr="00F137E5" w:rsidRDefault="008C7D5C">
      <w:pPr>
        <w:pBdr>
          <w:top w:val="nil"/>
          <w:left w:val="nil"/>
          <w:bottom w:val="nil"/>
          <w:right w:val="nil"/>
          <w:between w:val="nil"/>
        </w:pBdr>
        <w:spacing w:line="360" w:lineRule="auto"/>
        <w:ind w:left="720" w:right="-592"/>
        <w:rPr>
          <w:rFonts w:ascii="Palatino Linotype" w:eastAsia="Palatino Linotype" w:hAnsi="Palatino Linotype" w:cs="Palatino Linotype"/>
          <w:b/>
          <w:color w:val="000000"/>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lastRenderedPageBreak/>
        <w:t xml:space="preserve">54. </w:t>
      </w:r>
      <w:r w:rsidRPr="00F137E5">
        <w:rPr>
          <w:rFonts w:ascii="Palatino Linotype" w:eastAsia="Palatino Linotype" w:hAnsi="Palatino Linotype" w:cs="Palatino Linotype"/>
        </w:rPr>
        <w:t>Es por ello que esta Ponencia considera que, si bien los particulares no son expertos y eventualmente pueden equivocar como se desprende del caso concreto, debiendo delimitarse los alcances de la suplencia que se prevé en los ordinales 13 y 181 de la Ley de la materia, mismos que indican lo siguiente:</w:t>
      </w:r>
    </w:p>
    <w:p w:rsidR="008C7D5C" w:rsidRPr="00F137E5" w:rsidRDefault="008C7D5C">
      <w:pPr>
        <w:pBdr>
          <w:top w:val="nil"/>
          <w:left w:val="nil"/>
          <w:bottom w:val="nil"/>
          <w:right w:val="nil"/>
          <w:between w:val="nil"/>
        </w:pBdr>
        <w:spacing w:line="360" w:lineRule="auto"/>
        <w:ind w:left="720" w:right="-592"/>
        <w:rPr>
          <w:rFonts w:ascii="Palatino Linotype" w:eastAsia="Palatino Linotype" w:hAnsi="Palatino Linotype" w:cs="Palatino Linotype"/>
          <w:color w:val="000000"/>
        </w:rPr>
      </w:pPr>
    </w:p>
    <w:p w:rsidR="008C7D5C" w:rsidRPr="00F137E5" w:rsidRDefault="00074B8B">
      <w:pPr>
        <w:widowControl w:val="0"/>
        <w:spacing w:line="360" w:lineRule="auto"/>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r w:rsidRPr="00F137E5">
        <w:rPr>
          <w:rFonts w:ascii="Palatino Linotype" w:eastAsia="Palatino Linotype" w:hAnsi="Palatino Linotype" w:cs="Palatino Linotype"/>
          <w:b/>
          <w:i/>
        </w:rPr>
        <w:t>Artículo 13.</w:t>
      </w:r>
      <w:r w:rsidRPr="00F137E5">
        <w:rPr>
          <w:rFonts w:ascii="Palatino Linotype" w:eastAsia="Palatino Linotype" w:hAnsi="Palatino Linotype" w:cs="Palatino Linotype"/>
          <w:i/>
        </w:rPr>
        <w:t xml:space="preserve"> El Instituto, en el ámbito de sus atribuciones, deberá suplir cualquier deficiencia para garantizar el ejercicio del derecho de acceso a la información.</w:t>
      </w:r>
    </w:p>
    <w:p w:rsidR="008C7D5C" w:rsidRPr="00F137E5" w:rsidRDefault="008C7D5C">
      <w:pPr>
        <w:widowControl w:val="0"/>
        <w:spacing w:line="360" w:lineRule="auto"/>
        <w:ind w:left="851" w:right="-25"/>
        <w:jc w:val="both"/>
        <w:rPr>
          <w:rFonts w:ascii="Palatino Linotype" w:eastAsia="Palatino Linotype" w:hAnsi="Palatino Linotype" w:cs="Palatino Linotype"/>
          <w:i/>
        </w:rPr>
      </w:pPr>
    </w:p>
    <w:p w:rsidR="008C7D5C" w:rsidRPr="00F137E5" w:rsidRDefault="00074B8B">
      <w:pPr>
        <w:widowControl w:val="0"/>
        <w:spacing w:line="360" w:lineRule="auto"/>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t>Artículo 181.</w:t>
      </w:r>
      <w:r w:rsidRPr="00F137E5">
        <w:rPr>
          <w:rFonts w:ascii="Palatino Linotype" w:eastAsia="Palatino Linotype" w:hAnsi="Palatino Linotype" w:cs="Palatino Linotype"/>
          <w:i/>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La prevención tendrá el efecto de interrumpir el plazo que tiene el Instituto para resolver el recurso, por lo que comenzará a computarse a partir del día siguiente a su desahogo. No podrá prevenirse por el nombre que proporcione el solicitante. 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r w:rsidRPr="00F137E5">
        <w:rPr>
          <w:rFonts w:ascii="Palatino Linotype" w:eastAsia="Palatino Linotype" w:hAnsi="Palatino Linotype" w:cs="Palatino Linotype"/>
          <w:b/>
          <w:i/>
        </w:rPr>
        <w:t xml:space="preserve">Durante el procedimiento deberá aplicarse la suplencia de la queja a favor del recurrente, sin cambiar los hechos expuestos, asegurándose de que las partes puedan </w:t>
      </w:r>
      <w:r w:rsidRPr="00F137E5">
        <w:rPr>
          <w:rFonts w:ascii="Palatino Linotype" w:eastAsia="Palatino Linotype" w:hAnsi="Palatino Linotype" w:cs="Palatino Linotype"/>
          <w:b/>
          <w:i/>
        </w:rPr>
        <w:lastRenderedPageBreak/>
        <w:t xml:space="preserve">presentar, de manera oral o escrita, los argumentos que funden y motiven sus pretensiones. </w:t>
      </w:r>
      <w:r w:rsidRPr="00F137E5">
        <w:rPr>
          <w:rFonts w:ascii="Palatino Linotype" w:eastAsia="Palatino Linotype" w:hAnsi="Palatino Linotype" w:cs="Palatino Linotype"/>
          <w:i/>
        </w:rPr>
        <w:t>Para el caso de interposición del recurso de revisión a través de la Plataforma Nacional o la plataforma que para tales efectos habilite el Instituto, éste podrá solicitar al particular subsane las deficiencias por ese medio.</w:t>
      </w:r>
    </w:p>
    <w:p w:rsidR="008C7D5C" w:rsidRPr="00F137E5" w:rsidRDefault="00074B8B">
      <w:pPr>
        <w:widowControl w:val="0"/>
        <w:spacing w:line="360" w:lineRule="auto"/>
        <w:ind w:left="851" w:right="-25"/>
        <w:jc w:val="both"/>
        <w:rPr>
          <w:rFonts w:ascii="Palatino Linotype" w:eastAsia="Palatino Linotype" w:hAnsi="Palatino Linotype" w:cs="Palatino Linotype"/>
        </w:rPr>
      </w:pPr>
      <w:r w:rsidRPr="00F137E5">
        <w:rPr>
          <w:rFonts w:ascii="Palatino Linotype" w:eastAsia="Palatino Linotype" w:hAnsi="Palatino Linotype" w:cs="Palatino Linotype"/>
        </w:rPr>
        <w:t>(Énfasis añadido)</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55.</w:t>
      </w:r>
      <w:r w:rsidRPr="00F137E5">
        <w:rPr>
          <w:rFonts w:ascii="Palatino Linotype" w:eastAsia="Palatino Linotype" w:hAnsi="Palatino Linotype" w:cs="Palatino Linotype"/>
        </w:rPr>
        <w:t xml:space="preserve"> Así las cosas; en lo que respecta a este punto, es de recordar que se requirió lista de raya de todo el personal que labora en la administración municipal, por lo que, es de destacar que, la </w:t>
      </w:r>
      <w:r w:rsidRPr="00F137E5">
        <w:rPr>
          <w:rFonts w:ascii="Palatino Linotype" w:eastAsia="Palatino Linotype" w:hAnsi="Palatino Linotype" w:cs="Palatino Linotype"/>
          <w:i/>
        </w:rPr>
        <w:t>lista de raya</w:t>
      </w:r>
      <w:r w:rsidRPr="00F137E5">
        <w:rPr>
          <w:rFonts w:ascii="Palatino Linotype" w:eastAsia="Palatino Linotype" w:hAnsi="Palatino Linotype" w:cs="Palatino Linotype"/>
        </w:rPr>
        <w:t xml:space="preserve"> consiste en un registro contable que contiene la relación de los trabajadores en los que se asientan sus remuneraciones; sin embargo, en dicho documento únicamente se encuentran </w:t>
      </w:r>
      <w:r w:rsidRPr="00F137E5">
        <w:rPr>
          <w:rFonts w:ascii="Palatino Linotype" w:eastAsia="Palatino Linotype" w:hAnsi="Palatino Linotype" w:cs="Palatino Linotype"/>
          <w:b/>
          <w:i/>
          <w:u w:val="single"/>
        </w:rPr>
        <w:t>los trabajadores contratados por determinado tiempo o eventuales</w:t>
      </w:r>
      <w:r w:rsidRPr="00F137E5">
        <w:rPr>
          <w:rFonts w:ascii="Palatino Linotype" w:eastAsia="Palatino Linotype" w:hAnsi="Palatino Linotype" w:cs="Palatino Linotype"/>
        </w:rPr>
        <w:t>; lo anterior, conforme a lo establecido en el artículo 804, fracción II, de la Ley Federal de Trabajo, que señala que el patrón tiene la obligación de conservar, y en su caso, exhibir en juicio los documentos consistentes en la lista de raya, cuando se lleven en el centro de trabajo o recibos de pagos de salarios.</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56. </w:t>
      </w:r>
      <w:r w:rsidRPr="00F137E5">
        <w:rPr>
          <w:rFonts w:ascii="Palatino Linotype" w:eastAsia="Palatino Linotype" w:hAnsi="Palatino Linotype" w:cs="Palatino Linotype"/>
        </w:rPr>
        <w:t>Por su parte, el artículo 50 de la Ley del Trabajo de los Servidores Públicos del Estado y Municipios, señala que el servidor público que se encuentre en la lista de raya, se obliga a cumplir con los deberes inherentes al puesto especificado en el contrato.</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57. </w:t>
      </w:r>
      <w:r w:rsidRPr="00F137E5">
        <w:rPr>
          <w:rFonts w:ascii="Palatino Linotype" w:eastAsia="Palatino Linotype" w:hAnsi="Palatino Linotype" w:cs="Palatino Linotype"/>
        </w:rPr>
        <w:t xml:space="preserve">En ese sentido es de referir que, si bien el </w:t>
      </w:r>
      <w:r w:rsidRPr="00F137E5">
        <w:rPr>
          <w:rFonts w:ascii="Palatino Linotype" w:eastAsia="Palatino Linotype" w:hAnsi="Palatino Linotype" w:cs="Palatino Linotype"/>
          <w:b/>
        </w:rPr>
        <w:t xml:space="preserve">SUJETO OBLIGADO </w:t>
      </w:r>
      <w:r w:rsidRPr="00F137E5">
        <w:rPr>
          <w:rFonts w:ascii="Palatino Linotype" w:eastAsia="Palatino Linotype" w:hAnsi="Palatino Linotype" w:cs="Palatino Linotype"/>
        </w:rPr>
        <w:t xml:space="preserve">tiene la facultad para generar listas de raya, no es obligatorio que cuenten con las mismas, para el caso de que no haya trabajadores contratados por determinado tiempo o eventuales. </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numPr>
          <w:ilvl w:val="0"/>
          <w:numId w:val="3"/>
        </w:numPr>
        <w:spacing w:line="360" w:lineRule="auto"/>
        <w:ind w:right="-592"/>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b/>
          <w:color w:val="000000"/>
        </w:rPr>
        <w:t xml:space="preserve">De las percepciones de los servidores públicos: ordinarias y extraordinarias. </w:t>
      </w: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58. </w:t>
      </w:r>
      <w:r w:rsidRPr="00F137E5">
        <w:rPr>
          <w:rFonts w:ascii="Palatino Linotype" w:eastAsia="Palatino Linotype" w:hAnsi="Palatino Linotype" w:cs="Palatino Linotype"/>
        </w:rPr>
        <w:t xml:space="preserve">En lo que respecta a este punto, es de recordar que la parte Recurrente solicitó conocer las percepciones ordinarias y extraordinarias de los trabajadores, por lo que, es necesario traer a colación </w:t>
      </w:r>
      <w:r w:rsidRPr="00F137E5">
        <w:rPr>
          <w:rFonts w:ascii="Palatino Linotype" w:eastAsia="Palatino Linotype" w:hAnsi="Palatino Linotype" w:cs="Palatino Linotype"/>
          <w:color w:val="000000"/>
        </w:rPr>
        <w:t xml:space="preserve">el Glosario localizado en la página de Transparencia Presupuestaria de la Secretaría de Hacienda y Crédito Público (consultado en </w:t>
      </w:r>
      <w:hyperlink r:id="rId13">
        <w:r w:rsidRPr="00F137E5">
          <w:rPr>
            <w:rFonts w:ascii="Palatino Linotype" w:eastAsia="Palatino Linotype" w:hAnsi="Palatino Linotype" w:cs="Palatino Linotype"/>
            <w:color w:val="0563C1"/>
            <w:u w:val="single"/>
          </w:rPr>
          <w:t>https://www.transparenciapresupuestaria.gob.mx/es/PTP/Glosario</w:t>
        </w:r>
      </w:hyperlink>
      <w:r w:rsidRPr="00F137E5">
        <w:rPr>
          <w:rFonts w:ascii="Palatino Linotype" w:eastAsia="Palatino Linotype" w:hAnsi="Palatino Linotype" w:cs="Palatino Linotype"/>
          <w:color w:val="000000"/>
        </w:rPr>
        <w:t>), establece que:</w:t>
      </w:r>
    </w:p>
    <w:p w:rsidR="008C7D5C" w:rsidRPr="00F137E5" w:rsidRDefault="008C7D5C">
      <w:pPr>
        <w:tabs>
          <w:tab w:val="left" w:pos="3261"/>
        </w:tabs>
        <w:spacing w:line="360" w:lineRule="auto"/>
        <w:ind w:right="-592"/>
        <w:jc w:val="both"/>
        <w:rPr>
          <w:rFonts w:ascii="Palatino Linotype" w:eastAsia="Palatino Linotype" w:hAnsi="Palatino Linotype" w:cs="Palatino Linotype"/>
          <w:color w:val="000000"/>
        </w:rPr>
      </w:pPr>
    </w:p>
    <w:p w:rsidR="008C7D5C" w:rsidRPr="00F137E5" w:rsidRDefault="00074B8B">
      <w:pPr>
        <w:spacing w:line="360" w:lineRule="auto"/>
        <w:ind w:right="-592"/>
        <w:jc w:val="center"/>
        <w:rPr>
          <w:rFonts w:ascii="Palatino Linotype" w:eastAsia="Palatino Linotype" w:hAnsi="Palatino Linotype" w:cs="Palatino Linotype"/>
          <w:color w:val="000000"/>
        </w:rPr>
      </w:pPr>
      <w:r w:rsidRPr="00F137E5">
        <w:rPr>
          <w:rFonts w:ascii="Palatino Linotype" w:eastAsia="Palatino Linotype" w:hAnsi="Palatino Linotype" w:cs="Palatino Linotype"/>
          <w:noProof/>
          <w:color w:val="000000"/>
        </w:rPr>
        <w:drawing>
          <wp:inline distT="0" distB="0" distL="0" distR="0">
            <wp:extent cx="4181475" cy="1200150"/>
            <wp:effectExtent l="0" t="0" r="0" b="0"/>
            <wp:docPr id="20308430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181475" cy="1200150"/>
                    </a:xfrm>
                    <a:prstGeom prst="rect">
                      <a:avLst/>
                    </a:prstGeom>
                    <a:ln/>
                  </pic:spPr>
                </pic:pic>
              </a:graphicData>
            </a:graphic>
          </wp:inline>
        </w:drawing>
      </w:r>
    </w:p>
    <w:p w:rsidR="008C7D5C" w:rsidRPr="00F137E5" w:rsidRDefault="008C7D5C">
      <w:pPr>
        <w:spacing w:line="360" w:lineRule="auto"/>
        <w:ind w:right="-592"/>
        <w:jc w:val="both"/>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 xml:space="preserve">59. </w:t>
      </w:r>
      <w:r w:rsidRPr="00F137E5">
        <w:rPr>
          <w:rFonts w:ascii="Palatino Linotype" w:eastAsia="Palatino Linotype" w:hAnsi="Palatino Linotype" w:cs="Palatino Linotype"/>
          <w:color w:val="000000"/>
        </w:rPr>
        <w:t xml:space="preserve">De la </w:t>
      </w:r>
      <w:r w:rsidRPr="00F137E5">
        <w:rPr>
          <w:rFonts w:ascii="Palatino Linotype" w:eastAsia="Palatino Linotype" w:hAnsi="Palatino Linotype" w:cs="Palatino Linotype"/>
        </w:rPr>
        <w:t>misma</w:t>
      </w:r>
      <w:r w:rsidRPr="00F137E5">
        <w:rPr>
          <w:rFonts w:ascii="Palatino Linotype" w:eastAsia="Palatino Linotype" w:hAnsi="Palatino Linotype" w:cs="Palatino Linotype"/>
          <w:color w:val="000000"/>
        </w:rPr>
        <w:t xml:space="preserve"> manera, el Glosario de términos más usuales en la Administración Pública Federal, emitido por la Secretaría de Hacienda y Crédito Público (</w:t>
      </w:r>
      <w:hyperlink r:id="rId15">
        <w:r w:rsidRPr="00F137E5">
          <w:rPr>
            <w:rFonts w:ascii="Palatino Linotype" w:eastAsia="Palatino Linotype" w:hAnsi="Palatino Linotype" w:cs="Palatino Linotype"/>
            <w:color w:val="0563C1"/>
            <w:u w:val="single"/>
          </w:rPr>
          <w:t>http://www.apartados.hacienda.gob.mx/contabilidad/documentos/informe_cuenta/1998/cuenta_publica/Glosario/n.htm</w:t>
        </w:r>
      </w:hyperlink>
      <w:r w:rsidRPr="00F137E5">
        <w:rPr>
          <w:rFonts w:ascii="Palatino Linotype" w:eastAsia="Palatino Linotype" w:hAnsi="Palatino Linotype" w:cs="Palatino Linotype"/>
          <w:color w:val="000000"/>
        </w:rPr>
        <w:t>), establece que la nómina es un listado general de los trabajadores de una institución, en el cual se asientan las percepciones brutas, deducciones y alcance neto de las mismas.</w:t>
      </w:r>
    </w:p>
    <w:p w:rsidR="008C7D5C" w:rsidRPr="00F137E5" w:rsidRDefault="008C7D5C">
      <w:pPr>
        <w:spacing w:line="360" w:lineRule="auto"/>
        <w:ind w:right="-592"/>
        <w:jc w:val="both"/>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 xml:space="preserve">60. </w:t>
      </w:r>
      <w:r w:rsidRPr="00F137E5">
        <w:rPr>
          <w:rFonts w:ascii="Palatino Linotype" w:eastAsia="Palatino Linotype" w:hAnsi="Palatino Linotype" w:cs="Palatino Linotype"/>
          <w:color w:val="000000"/>
        </w:rPr>
        <w:t>Conforme a lo anterior, se puede advertir que la nómina se puede referir a lo siguiente:</w:t>
      </w:r>
    </w:p>
    <w:p w:rsidR="008C7D5C" w:rsidRPr="00F137E5" w:rsidRDefault="00074B8B">
      <w:pPr>
        <w:spacing w:line="360" w:lineRule="auto"/>
        <w:ind w:left="850"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a)      Relación de trabajadores con las percepciones monetarias de cada uno.</w:t>
      </w:r>
    </w:p>
    <w:p w:rsidR="008C7D5C" w:rsidRPr="00F137E5" w:rsidRDefault="00074B8B">
      <w:pPr>
        <w:tabs>
          <w:tab w:val="left" w:pos="8222"/>
        </w:tabs>
        <w:ind w:left="850" w:right="-25"/>
        <w:jc w:val="both"/>
        <w:rPr>
          <w:rFonts w:ascii="Palatino Linotype" w:eastAsia="Palatino Linotype" w:hAnsi="Palatino Linotype" w:cs="Palatino Linotype"/>
          <w:b/>
          <w:color w:val="000000"/>
          <w:u w:val="single"/>
        </w:rPr>
      </w:pPr>
      <w:r w:rsidRPr="00F137E5">
        <w:rPr>
          <w:rFonts w:ascii="Palatino Linotype" w:eastAsia="Palatino Linotype" w:hAnsi="Palatino Linotype" w:cs="Palatino Linotype"/>
          <w:b/>
          <w:color w:val="000000"/>
          <w:u w:val="single"/>
        </w:rPr>
        <w:lastRenderedPageBreak/>
        <w:t>b)  Recibo individual que contiene las prestaciones y deducciones de un trabajador.</w:t>
      </w:r>
    </w:p>
    <w:p w:rsidR="008C7D5C" w:rsidRPr="00F137E5" w:rsidRDefault="00074B8B">
      <w:pPr>
        <w:tabs>
          <w:tab w:val="left" w:pos="8222"/>
        </w:tabs>
        <w:ind w:left="850" w:right="-25"/>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c)     Listado general de los servidores públicos de una institución o dependencia, en el cual se asientan las percepciones brutas, deducciones y alcance neto de las mismas.</w:t>
      </w:r>
    </w:p>
    <w:p w:rsidR="008C7D5C" w:rsidRPr="00F137E5" w:rsidRDefault="008C7D5C">
      <w:pPr>
        <w:spacing w:line="360" w:lineRule="auto"/>
        <w:ind w:right="-592"/>
        <w:jc w:val="both"/>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61. </w:t>
      </w:r>
      <w:r w:rsidRPr="00F137E5">
        <w:rPr>
          <w:rFonts w:ascii="Palatino Linotype" w:eastAsia="Palatino Linotype" w:hAnsi="Palatino Linotype" w:cs="Palatino Linotype"/>
        </w:rPr>
        <w:t xml:space="preserve">Ahora bien,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62. </w:t>
      </w:r>
      <w:r w:rsidRPr="00F137E5">
        <w:rPr>
          <w:rFonts w:ascii="Palatino Linotype" w:eastAsia="Palatino Linotype" w:hAnsi="Palatino Linotype" w:cs="Palatino Linotype"/>
        </w:rPr>
        <w:t xml:space="preserve">En ese orden de ideas, el artículo 3, fracción XXXII del Código Financiero del Estado de México y Municipios establece que la remuneración consiste en los pagos hechos por concepto </w:t>
      </w:r>
      <w:r w:rsidRPr="00F137E5">
        <w:rPr>
          <w:rFonts w:ascii="Palatino Linotype" w:eastAsia="Palatino Linotype" w:hAnsi="Palatino Linotype" w:cs="Palatino Linotype"/>
          <w:b/>
          <w:u w:val="single"/>
        </w:rPr>
        <w:t>de sueldo, compensaciones, gratificaciones,</w:t>
      </w:r>
      <w:r w:rsidRPr="00F137E5">
        <w:rPr>
          <w:rFonts w:ascii="Palatino Linotype" w:eastAsia="Palatino Linotype" w:hAnsi="Palatino Linotype" w:cs="Palatino Linotype"/>
        </w:rPr>
        <w:t xml:space="preserve"> habitación, primas, comisiones, prestaciones en especie y cualquier otra percepción o prestación que se entregue al servidor por su trabajo. </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63.</w:t>
      </w:r>
      <w:r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color w:val="000000"/>
        </w:rPr>
        <w:t xml:space="preserve">Da la misma manera, el Anexo IV.5 Glosario de Términos, del Manual para la Planeación, </w:t>
      </w:r>
      <w:r w:rsidRPr="00F137E5">
        <w:rPr>
          <w:rFonts w:ascii="Palatino Linotype" w:eastAsia="Palatino Linotype" w:hAnsi="Palatino Linotype" w:cs="Palatino Linotype"/>
        </w:rPr>
        <w:t>Programación</w:t>
      </w:r>
      <w:r w:rsidRPr="00F137E5">
        <w:rPr>
          <w:rFonts w:ascii="Palatino Linotype" w:eastAsia="Palatino Linotype" w:hAnsi="Palatino Linotype" w:cs="Palatino Linotype"/>
          <w:color w:val="000000"/>
        </w:rPr>
        <w:t xml:space="preserve"> y Presupuesto de Egresos Municipal, establece que la remuneración es la percepción de un trabajador o retribución monetaria que se da en pago por su servicio o actividad desarrollada.</w:t>
      </w:r>
    </w:p>
    <w:p w:rsidR="008C7D5C" w:rsidRPr="00F137E5" w:rsidRDefault="008C7D5C">
      <w:pPr>
        <w:spacing w:line="360" w:lineRule="auto"/>
        <w:ind w:right="-592"/>
        <w:jc w:val="both"/>
        <w:rPr>
          <w:rFonts w:ascii="Palatino Linotype" w:eastAsia="Palatino Linotype" w:hAnsi="Palatino Linotype" w:cs="Palatino Linotype"/>
          <w:b/>
          <w:i/>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64.</w:t>
      </w:r>
      <w:r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color w:val="000000"/>
        </w:rPr>
        <w:t xml:space="preserve">Por su parte, la Ley del Trabajo de los Servidores Públicos del Estado y Municipios, en su artículo 220 K, fracciones II y IV, establece que: </w:t>
      </w:r>
    </w:p>
    <w:p w:rsidR="008C7D5C" w:rsidRPr="00F137E5" w:rsidRDefault="00074B8B">
      <w:pPr>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lastRenderedPageBreak/>
        <w:t>ARTÍCULO 220 K</w:t>
      </w:r>
      <w:r w:rsidRPr="00F137E5">
        <w:rPr>
          <w:rFonts w:ascii="Palatino Linotype" w:eastAsia="Palatino Linotype" w:hAnsi="Palatino Linotype" w:cs="Palatino Linotype"/>
          <w:i/>
        </w:rPr>
        <w:t>.- La institución o dependencia pública tiene la obligación de conservar y exhibir en el proceso los documentos que a continuación se precisan:</w:t>
      </w:r>
    </w:p>
    <w:p w:rsidR="008C7D5C" w:rsidRPr="00F137E5" w:rsidRDefault="00074B8B">
      <w:pPr>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p>
    <w:p w:rsidR="008C7D5C" w:rsidRPr="00F137E5" w:rsidRDefault="00074B8B">
      <w:pPr>
        <w:ind w:left="567" w:right="-25"/>
        <w:jc w:val="both"/>
        <w:rPr>
          <w:rFonts w:ascii="Palatino Linotype" w:eastAsia="Palatino Linotype" w:hAnsi="Palatino Linotype" w:cs="Palatino Linotype"/>
          <w:i/>
          <w:color w:val="000000"/>
        </w:rPr>
      </w:pPr>
      <w:r w:rsidRPr="00F137E5">
        <w:rPr>
          <w:rFonts w:ascii="Palatino Linotype" w:eastAsia="Palatino Linotype" w:hAnsi="Palatino Linotype" w:cs="Palatino Linotype"/>
          <w:i/>
        </w:rPr>
        <w:t>II. Recibos de pagos de salarios o las constancias documentales del pago de salario cuando sea por depósito o mediante información electrónica;</w:t>
      </w:r>
    </w:p>
    <w:p w:rsidR="008C7D5C" w:rsidRPr="00F137E5" w:rsidRDefault="00074B8B">
      <w:pPr>
        <w:ind w:left="567" w:right="-25"/>
        <w:jc w:val="both"/>
        <w:rPr>
          <w:rFonts w:ascii="Palatino Linotype" w:eastAsia="Palatino Linotype" w:hAnsi="Palatino Linotype" w:cs="Palatino Linotype"/>
          <w:i/>
          <w:color w:val="000000"/>
        </w:rPr>
      </w:pPr>
      <w:r w:rsidRPr="00F137E5">
        <w:rPr>
          <w:rFonts w:ascii="Palatino Linotype" w:eastAsia="Palatino Linotype" w:hAnsi="Palatino Linotype" w:cs="Palatino Linotype"/>
          <w:i/>
          <w:color w:val="000000"/>
        </w:rPr>
        <w:t>…</w:t>
      </w:r>
    </w:p>
    <w:p w:rsidR="008C7D5C" w:rsidRPr="00F137E5" w:rsidRDefault="00074B8B">
      <w:pPr>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 xml:space="preserve">IV. Recibos o las constancias de </w:t>
      </w:r>
      <w:proofErr w:type="spellStart"/>
      <w:proofErr w:type="gramStart"/>
      <w:r w:rsidRPr="00F137E5">
        <w:rPr>
          <w:rFonts w:ascii="Palatino Linotype" w:eastAsia="Palatino Linotype" w:hAnsi="Palatino Linotype" w:cs="Palatino Linotype"/>
          <w:i/>
        </w:rPr>
        <w:t>deposito</w:t>
      </w:r>
      <w:proofErr w:type="spellEnd"/>
      <w:proofErr w:type="gramEnd"/>
      <w:r w:rsidRPr="00F137E5">
        <w:rPr>
          <w:rFonts w:ascii="Palatino Linotype" w:eastAsia="Palatino Linotype" w:hAnsi="Palatino Linotype" w:cs="Palatino Linotype"/>
          <w:i/>
        </w:rPr>
        <w:t xml:space="preserve"> o del medio de información magnética o electrónica que sean utilizadas para el pago de salarios, prima vacacional, aguinaldo y demás prestaciones establecidas en la presente ley; </w:t>
      </w:r>
    </w:p>
    <w:p w:rsidR="008C7D5C" w:rsidRPr="00F137E5" w:rsidRDefault="008C7D5C">
      <w:pPr>
        <w:ind w:left="567" w:right="-592"/>
        <w:jc w:val="both"/>
        <w:rPr>
          <w:rFonts w:ascii="Palatino Linotype" w:eastAsia="Palatino Linotype" w:hAnsi="Palatino Linotype" w:cs="Palatino Linotype"/>
          <w:i/>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65.</w:t>
      </w:r>
      <w:r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color w:val="000000"/>
        </w:rPr>
        <w:t xml:space="preserve">Es decir, del precepto normativo se advierte que entre los documentos que tiene la obligación de conservar el Sujeto Obligado, se encuentran los </w:t>
      </w:r>
      <w:r w:rsidRPr="00F137E5">
        <w:rPr>
          <w:rFonts w:ascii="Palatino Linotype" w:eastAsia="Palatino Linotype" w:hAnsi="Palatino Linotype" w:cs="Palatino Linotype"/>
          <w:b/>
          <w:color w:val="000000"/>
          <w:u w:val="single"/>
        </w:rPr>
        <w:t xml:space="preserve">recibos de pago de salarios o </w:t>
      </w:r>
      <w:r w:rsidRPr="00F137E5">
        <w:rPr>
          <w:rFonts w:ascii="Palatino Linotype" w:eastAsia="Palatino Linotype" w:hAnsi="Palatino Linotype" w:cs="Palatino Linotype"/>
          <w:color w:val="000000"/>
        </w:rPr>
        <w:t>las</w:t>
      </w:r>
      <w:r w:rsidRPr="00F137E5">
        <w:rPr>
          <w:rFonts w:ascii="Palatino Linotype" w:eastAsia="Palatino Linotype" w:hAnsi="Palatino Linotype" w:cs="Palatino Linotype"/>
          <w:b/>
          <w:color w:val="000000"/>
          <w:u w:val="single"/>
        </w:rPr>
        <w:t xml:space="preserve"> constancias documentales del pago de sueldos</w:t>
      </w:r>
      <w:r w:rsidRPr="00F137E5">
        <w:rPr>
          <w:rFonts w:ascii="Palatino Linotype" w:eastAsia="Palatino Linotype" w:hAnsi="Palatino Linotype" w:cs="Palatino Linotype"/>
          <w:color w:val="000000"/>
        </w:rPr>
        <w:t>, cuando sea por depósito o mediante información electrónica; así como los recibos o constancias de depósito o del medio de información magnética o electrónica que sean utilizadas para el pago de salarios, prima vacacional, aguinaldo y demás prestaciones.</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 xml:space="preserve">66. </w:t>
      </w:r>
      <w:r w:rsidRPr="00F137E5">
        <w:rPr>
          <w:rFonts w:ascii="Palatino Linotype" w:eastAsia="Palatino Linotype" w:hAnsi="Palatino Linotype" w:cs="Palatino Linotype"/>
          <w:color w:val="000000"/>
        </w:rPr>
        <w:t xml:space="preserve">En lo que hace a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rsidR="008C7D5C" w:rsidRPr="00F137E5" w:rsidRDefault="00074B8B">
      <w:pPr>
        <w:ind w:left="567" w:right="-25"/>
        <w:jc w:val="center"/>
        <w:rPr>
          <w:rFonts w:ascii="Palatino Linotype" w:eastAsia="Palatino Linotype" w:hAnsi="Palatino Linotype" w:cs="Palatino Linotype"/>
          <w:b/>
          <w:i/>
          <w:color w:val="000000"/>
        </w:rPr>
      </w:pPr>
      <w:r w:rsidRPr="00F137E5">
        <w:rPr>
          <w:rFonts w:ascii="Palatino Linotype" w:eastAsia="Palatino Linotype" w:hAnsi="Palatino Linotype" w:cs="Palatino Linotype"/>
          <w:b/>
          <w:i/>
          <w:color w:val="000000"/>
        </w:rPr>
        <w:t>Ley General de Transparencia y Acceso a la Información Pública</w:t>
      </w:r>
    </w:p>
    <w:p w:rsidR="008C7D5C" w:rsidRPr="00F137E5" w:rsidRDefault="008C7D5C">
      <w:pPr>
        <w:ind w:left="567" w:right="-25"/>
        <w:jc w:val="both"/>
        <w:rPr>
          <w:rFonts w:ascii="Palatino Linotype" w:eastAsia="Palatino Linotype" w:hAnsi="Palatino Linotype" w:cs="Palatino Linotype"/>
          <w:i/>
          <w:color w:val="000000"/>
        </w:rPr>
      </w:pPr>
    </w:p>
    <w:p w:rsidR="008C7D5C" w:rsidRPr="00F137E5" w:rsidRDefault="00074B8B">
      <w:pPr>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lastRenderedPageBreak/>
        <w:t>Artículo 70.</w:t>
      </w:r>
      <w:r w:rsidRPr="00F137E5">
        <w:rPr>
          <w:rFonts w:ascii="Palatino Linotype" w:eastAsia="Palatino Linotype" w:hAnsi="Palatino Linotype" w:cs="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8C7D5C" w:rsidRPr="00F137E5" w:rsidRDefault="00074B8B">
      <w:pPr>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p>
    <w:p w:rsidR="008C7D5C" w:rsidRPr="00F137E5" w:rsidRDefault="00074B8B">
      <w:pPr>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8C7D5C" w:rsidRPr="00F137E5" w:rsidRDefault="00074B8B">
      <w:pPr>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p>
    <w:p w:rsidR="008C7D5C" w:rsidRPr="00F137E5" w:rsidRDefault="00074B8B">
      <w:pPr>
        <w:ind w:left="567" w:right="-25"/>
        <w:jc w:val="center"/>
        <w:rPr>
          <w:rFonts w:ascii="Palatino Linotype" w:eastAsia="Palatino Linotype" w:hAnsi="Palatino Linotype" w:cs="Palatino Linotype"/>
          <w:b/>
          <w:i/>
          <w:color w:val="000000"/>
        </w:rPr>
      </w:pPr>
      <w:r w:rsidRPr="00F137E5">
        <w:rPr>
          <w:rFonts w:ascii="Palatino Linotype" w:eastAsia="Palatino Linotype" w:hAnsi="Palatino Linotype" w:cs="Palatino Linotype"/>
          <w:b/>
          <w:i/>
          <w:color w:val="000000"/>
        </w:rPr>
        <w:t>Ley de Transparencia y Acceso a la Información Pública del Estado de México y Municipios</w:t>
      </w:r>
    </w:p>
    <w:p w:rsidR="008C7D5C" w:rsidRPr="00F137E5" w:rsidRDefault="008C7D5C">
      <w:pPr>
        <w:ind w:left="567" w:right="-25"/>
        <w:jc w:val="both"/>
        <w:rPr>
          <w:rFonts w:ascii="Palatino Linotype" w:eastAsia="Palatino Linotype" w:hAnsi="Palatino Linotype" w:cs="Palatino Linotype"/>
          <w:i/>
        </w:rPr>
      </w:pPr>
    </w:p>
    <w:p w:rsidR="008C7D5C" w:rsidRPr="00F137E5" w:rsidRDefault="00074B8B">
      <w:pPr>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t>Artículo 92.</w:t>
      </w:r>
      <w:r w:rsidRPr="00F137E5">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C7D5C" w:rsidRPr="00F137E5" w:rsidRDefault="00074B8B">
      <w:pPr>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p>
    <w:p w:rsidR="008C7D5C" w:rsidRPr="00F137E5" w:rsidRDefault="00074B8B">
      <w:pPr>
        <w:ind w:left="567" w:right="-25"/>
        <w:jc w:val="both"/>
        <w:rPr>
          <w:rFonts w:ascii="Palatino Linotype" w:eastAsia="Palatino Linotype" w:hAnsi="Palatino Linotype" w:cs="Palatino Linotype"/>
          <w:b/>
          <w:i/>
          <w:u w:val="single"/>
        </w:rPr>
      </w:pPr>
      <w:r w:rsidRPr="00F137E5">
        <w:rPr>
          <w:rFonts w:ascii="Palatino Linotype" w:eastAsia="Palatino Linotype" w:hAnsi="Palatino Linotype" w:cs="Palatino Linotype"/>
          <w:b/>
          <w:i/>
          <w:u w:val="single"/>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8C7D5C" w:rsidRPr="00F137E5" w:rsidRDefault="00074B8B">
      <w:pPr>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67. </w:t>
      </w:r>
      <w:r w:rsidRPr="00F137E5">
        <w:rPr>
          <w:rFonts w:ascii="Palatino Linotype" w:eastAsia="Palatino Linotype" w:hAnsi="Palatino Linotype" w:cs="Palatino Linotype"/>
        </w:rPr>
        <w:t xml:space="preserve">Por lo anterior, se puede apreciar que, proporcionar información relacionada con la remuneración de los servidores públicos, es información que obra en los archivos de </w:t>
      </w:r>
      <w:r w:rsidRPr="00F137E5">
        <w:rPr>
          <w:rFonts w:ascii="Palatino Linotype" w:eastAsia="Palatino Linotype" w:hAnsi="Palatino Linotype" w:cs="Palatino Linotype"/>
          <w:color w:val="000000"/>
        </w:rPr>
        <w:t>los</w:t>
      </w:r>
      <w:r w:rsidRPr="00F137E5">
        <w:rPr>
          <w:rFonts w:ascii="Palatino Linotype" w:eastAsia="Palatino Linotype" w:hAnsi="Palatino Linotype" w:cs="Palatino Linotype"/>
        </w:rPr>
        <w:t xml:space="preserve"> sujetos obligados y que se encuentra relacionada con obligaciones de transparencia, situación que constriñe a los sujetos obligados a poner a disposición de los particulares esta información de manera actualizada y permanente. Lo que incluye a los servidores públicos señalados en lo particular, dentro de la solicitud de información 00013/</w:t>
      </w:r>
      <w:r w:rsidR="00020F63" w:rsidRPr="00F137E5">
        <w:rPr>
          <w:rFonts w:ascii="Palatino Linotype" w:eastAsia="Palatino Linotype" w:hAnsi="Palatino Linotype" w:cs="Palatino Linotype"/>
        </w:rPr>
        <w:t xml:space="preserve">VICARBO/IP/2024, </w:t>
      </w:r>
      <w:r w:rsidR="00020F63" w:rsidRPr="00F137E5">
        <w:rPr>
          <w:rFonts w:ascii="Palatino Linotype" w:eastAsia="Palatino Linotype" w:hAnsi="Palatino Linotype" w:cs="Palatino Linotype"/>
        </w:rPr>
        <w:lastRenderedPageBreak/>
        <w:t>no pasando desapercibido que las percepciones ordinarias obran en la conciliación de nómina (que ha sido objeto de ordenar su entrega); toda vez que la percepciones ordinarias corresponden aquellos ingresos que un trabajador recibe de manera regular como parte de su salario o compensación por su trabajo, y que están sujetos a impuestos, por lo que resultaría ocioso ordenarse de manera duplicada en el apartado de mérito, tomando en consideración que el acceso a la información pública se colma con la entrega del soporte documental donde conste o se advierta lo solicitado.</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numPr>
          <w:ilvl w:val="0"/>
          <w:numId w:val="3"/>
        </w:numPr>
        <w:spacing w:line="360" w:lineRule="auto"/>
        <w:ind w:right="-592"/>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b/>
          <w:color w:val="000000"/>
        </w:rPr>
        <w:t xml:space="preserve">De los procedimientos de adjudicación de bienes y servicios. </w:t>
      </w: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68.</w:t>
      </w:r>
      <w:r w:rsidRPr="00F137E5">
        <w:rPr>
          <w:rFonts w:ascii="Palatino Linotype" w:eastAsia="Palatino Linotype" w:hAnsi="Palatino Linotype" w:cs="Palatino Linotype"/>
        </w:rPr>
        <w:t xml:space="preserve"> Mediante oficio signado por el Director de Recursos Materiales, se expone que relativo a las listas de nombres de proveedores, montos, tipo de pago, transferencias y copias de contratos de servicios de alimentos, transporte, renta de lonas, carpas, templetes, sonido, luces, sillas, autobuses, estructuras, de 1 de enero al 29 de febrero de 2024, informa que corresponde a un hecho negativo en razón de la temporalidad que se requiere; es decir que no se generaron no obstante se manifiesta que se remite el catálogo de proveedores registrados por el Ayuntamiento del 1 de enero al 15 de febrero de 2023, como se observa de la siguiente captura ilustrativa: </w:t>
      </w:r>
    </w:p>
    <w:p w:rsidR="008C7D5C" w:rsidRPr="00F137E5" w:rsidRDefault="00074B8B">
      <w:pPr>
        <w:spacing w:line="360" w:lineRule="auto"/>
        <w:ind w:right="-592"/>
        <w:jc w:val="center"/>
        <w:rPr>
          <w:rFonts w:ascii="Palatino Linotype" w:eastAsia="Palatino Linotype" w:hAnsi="Palatino Linotype" w:cs="Palatino Linotype"/>
        </w:rPr>
      </w:pPr>
      <w:r w:rsidRPr="00F137E5">
        <w:rPr>
          <w:rFonts w:ascii="Palatino Linotype" w:eastAsia="Palatino Linotype" w:hAnsi="Palatino Linotype" w:cs="Palatino Linotype"/>
          <w:noProof/>
        </w:rPr>
        <w:lastRenderedPageBreak/>
        <w:drawing>
          <wp:inline distT="0" distB="0" distL="0" distR="0">
            <wp:extent cx="2915303" cy="3067457"/>
            <wp:effectExtent l="0" t="0" r="0" b="0"/>
            <wp:docPr id="20308430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915303" cy="3067457"/>
                    </a:xfrm>
                    <a:prstGeom prst="rect">
                      <a:avLst/>
                    </a:prstGeom>
                    <a:ln/>
                  </pic:spPr>
                </pic:pic>
              </a:graphicData>
            </a:graphic>
          </wp:inline>
        </w:drawing>
      </w:r>
    </w:p>
    <w:p w:rsidR="008C7D5C" w:rsidRPr="00F137E5" w:rsidRDefault="008C7D5C">
      <w:pPr>
        <w:spacing w:line="360" w:lineRule="auto"/>
        <w:ind w:right="-592"/>
        <w:jc w:val="both"/>
        <w:rPr>
          <w:rFonts w:ascii="Palatino Linotype" w:eastAsia="Palatino Linotype" w:hAnsi="Palatino Linotype" w:cs="Palatino Linotype"/>
          <w:b/>
          <w:u w:val="single"/>
        </w:rPr>
      </w:pPr>
    </w:p>
    <w:p w:rsidR="008C7D5C" w:rsidRPr="00F137E5" w:rsidRDefault="00074B8B">
      <w:pPr>
        <w:spacing w:line="360" w:lineRule="auto"/>
        <w:ind w:right="-592"/>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b/>
        </w:rPr>
        <w:t xml:space="preserve">69. </w:t>
      </w:r>
      <w:r w:rsidRPr="00F137E5">
        <w:rPr>
          <w:rFonts w:ascii="Palatino Linotype" w:eastAsia="Palatino Linotype" w:hAnsi="Palatino Linotype" w:cs="Palatino Linotype"/>
        </w:rPr>
        <w:t xml:space="preserve">Luego entonces, se tiene por atendido el rubro en comento, al existir un pronunciamiento puntual de la no contratación de servicios de 1 de enero al 29 de febrero de 2024, pronunciamiento del cual, este Órgano Garante carece de facultades para dudar de la veracidad de la respuesta emitida. Por lo anterior  resulta necesario puntualizar con claridad que éste Órgano Garante no está facultado para pronunciarse sobre la veracidad de la información que los Sujetos Obligados ponen a disposición de los solicitantes; situación que se aleja de las atribuciones de este Instituto </w:t>
      </w:r>
      <w:r w:rsidRPr="00F137E5">
        <w:rPr>
          <w:rFonts w:ascii="Palatino Linotype" w:eastAsia="Palatino Linotype" w:hAnsi="Palatino Linotype" w:cs="Palatino Linotype"/>
          <w:i/>
          <w:color w:val="000000"/>
        </w:rPr>
        <w:t>máxime</w:t>
      </w:r>
      <w:r w:rsidRPr="00F137E5">
        <w:rPr>
          <w:rFonts w:ascii="Palatino Linotype" w:eastAsia="Palatino Linotype" w:hAnsi="Palatino Linotype" w:cs="Palatino Linotype"/>
          <w:color w:val="000000"/>
        </w:rPr>
        <w:t xml:space="preserve"> que </w:t>
      </w:r>
      <w:r w:rsidRPr="00F137E5">
        <w:rPr>
          <w:rFonts w:ascii="Palatino Linotype" w:eastAsia="Palatino Linotype" w:hAnsi="Palatino Linotype" w:cs="Palatino Linotype"/>
          <w:b/>
          <w:color w:val="000000"/>
          <w:u w:val="single"/>
        </w:rPr>
        <w:t>al momento que ponen a disposición ésta, la misma tiene el carácter oficial y se presume veraz, tan es así que la misma queda registrada en el Sistema de Acceso a la Información Mexiquense (SAIMEX).</w:t>
      </w:r>
    </w:p>
    <w:p w:rsidR="008C7D5C" w:rsidRPr="00F137E5" w:rsidRDefault="008C7D5C">
      <w:pPr>
        <w:spacing w:line="360" w:lineRule="auto"/>
        <w:ind w:right="-592"/>
        <w:jc w:val="both"/>
        <w:rPr>
          <w:rFonts w:ascii="Palatino Linotype" w:eastAsia="Palatino Linotype" w:hAnsi="Palatino Linotype" w:cs="Palatino Linotype"/>
          <w:b/>
          <w:color w:val="000000"/>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70.</w:t>
      </w:r>
      <w:r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color w:val="000000"/>
        </w:rPr>
        <w:t xml:space="preserve">Así </w:t>
      </w:r>
      <w:r w:rsidRPr="00F137E5">
        <w:rPr>
          <w:rFonts w:ascii="Palatino Linotype" w:eastAsia="Palatino Linotype" w:hAnsi="Palatino Linotype" w:cs="Palatino Linotype"/>
        </w:rPr>
        <w:t>mismo</w:t>
      </w:r>
      <w:r w:rsidRPr="00F137E5">
        <w:rPr>
          <w:rFonts w:ascii="Palatino Linotype" w:eastAsia="Palatino Linotype" w:hAnsi="Palatino Linotype" w:cs="Palatino Linotype"/>
          <w:color w:val="000000"/>
        </w:rPr>
        <w:t xml:space="preserve">, la </w:t>
      </w:r>
      <w:r w:rsidRPr="00F137E5">
        <w:rPr>
          <w:rFonts w:ascii="Palatino Linotype" w:eastAsia="Palatino Linotype" w:hAnsi="Palatino Linotype" w:cs="Palatino Linotype"/>
          <w:b/>
          <w:color w:val="000000"/>
        </w:rPr>
        <w:t>Ley de Transparencia y Acceso a la Información Pública del Estado de México y Municipios</w:t>
      </w:r>
      <w:r w:rsidRPr="00F137E5">
        <w:rPr>
          <w:rFonts w:ascii="Palatino Linotype" w:eastAsia="Palatino Linotype" w:hAnsi="Palatino Linotype" w:cs="Palatino Linotype"/>
          <w:color w:val="000000"/>
        </w:rPr>
        <w:t xml:space="preserve"> establece que la información pública generada, administrada o en </w:t>
      </w:r>
      <w:r w:rsidRPr="00F137E5">
        <w:rPr>
          <w:rFonts w:ascii="Palatino Linotype" w:eastAsia="Palatino Linotype" w:hAnsi="Palatino Linotype" w:cs="Palatino Linotype"/>
          <w:color w:val="000000"/>
        </w:rPr>
        <w:lastRenderedPageBreak/>
        <w:t>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8C7D5C" w:rsidRPr="00F137E5" w:rsidRDefault="00074B8B">
      <w:pPr>
        <w:pBdr>
          <w:top w:val="nil"/>
          <w:left w:val="nil"/>
          <w:bottom w:val="nil"/>
          <w:right w:val="nil"/>
          <w:between w:val="nil"/>
        </w:pBdr>
        <w:spacing w:line="360" w:lineRule="auto"/>
        <w:ind w:left="644" w:right="-167"/>
        <w:jc w:val="both"/>
        <w:rPr>
          <w:rFonts w:ascii="Palatino Linotype" w:eastAsia="Palatino Linotype" w:hAnsi="Palatino Linotype" w:cs="Palatino Linotype"/>
          <w:b/>
          <w:i/>
          <w:color w:val="000000"/>
        </w:rPr>
      </w:pPr>
      <w:r w:rsidRPr="00F137E5">
        <w:rPr>
          <w:rFonts w:ascii="Palatino Linotype" w:eastAsia="Palatino Linotype" w:hAnsi="Palatino Linotype" w:cs="Palatino Linotype"/>
          <w:i/>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F137E5">
        <w:rPr>
          <w:rFonts w:ascii="Palatino Linotype" w:eastAsia="Palatino Linotype" w:hAnsi="Palatino Linotype" w:cs="Palatino Linotype"/>
          <w:b/>
          <w:i/>
          <w:color w:val="000000"/>
        </w:rPr>
        <w:t>Los Sujetos Obligados deben poner en práctica, políticas y programas de acceso a la información que se apeguen a criterios de publicidad, veracidad, oportunidad, precisión y suficiencia en beneficio de los solicitantes.</w:t>
      </w:r>
    </w:p>
    <w:p w:rsidR="008C7D5C" w:rsidRPr="00F137E5" w:rsidRDefault="008C7D5C">
      <w:pPr>
        <w:spacing w:line="360" w:lineRule="auto"/>
        <w:ind w:right="-592"/>
        <w:jc w:val="both"/>
        <w:rPr>
          <w:rFonts w:ascii="Palatino Linotype" w:eastAsia="Palatino Linotype" w:hAnsi="Palatino Linotype" w:cs="Palatino Linotype"/>
          <w:b/>
          <w:i/>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 xml:space="preserve">71. </w:t>
      </w:r>
      <w:r w:rsidRPr="00F137E5">
        <w:rPr>
          <w:rFonts w:ascii="Palatino Linotype" w:eastAsia="Palatino Linotype" w:hAnsi="Palatino Linotype" w:cs="Palatino Linotype"/>
          <w:color w:val="000000"/>
        </w:rPr>
        <w:t xml:space="preserve">Numerales que compelen al </w:t>
      </w:r>
      <w:r w:rsidRPr="00F137E5">
        <w:rPr>
          <w:rFonts w:ascii="Palatino Linotype" w:eastAsia="Palatino Linotype" w:hAnsi="Palatino Linotype" w:cs="Palatino Linotype"/>
          <w:b/>
          <w:color w:val="000000"/>
        </w:rPr>
        <w:t>SUJETO OBLIGADO</w:t>
      </w:r>
      <w:r w:rsidRPr="00F137E5">
        <w:rPr>
          <w:rFonts w:ascii="Palatino Linotype" w:eastAsia="Palatino Linotype" w:hAnsi="Palatino Linotype" w:cs="Palatino Linotype"/>
          <w:color w:val="000000"/>
        </w:rPr>
        <w:t xml:space="preserve"> a apegarse en todo momento a los criterios ya expuestos, </w:t>
      </w:r>
      <w:r w:rsidRPr="00F137E5">
        <w:rPr>
          <w:rFonts w:ascii="Palatino Linotype" w:eastAsia="Palatino Linotype" w:hAnsi="Palatino Linotype" w:cs="Palatino Linotype"/>
        </w:rPr>
        <w:t>impidiendo</w:t>
      </w:r>
      <w:r w:rsidRPr="00F137E5">
        <w:rPr>
          <w:rFonts w:ascii="Palatino Linotype" w:eastAsia="Palatino Linotype" w:hAnsi="Palatino Linotype" w:cs="Palatino Linotype"/>
          <w:color w:val="000000"/>
        </w:rPr>
        <w:t xml:space="preserve">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w:t>
      </w:r>
    </w:p>
    <w:p w:rsidR="008C7D5C" w:rsidRPr="00F137E5" w:rsidRDefault="00074B8B">
      <w:pPr>
        <w:numPr>
          <w:ilvl w:val="0"/>
          <w:numId w:val="3"/>
        </w:numPr>
        <w:spacing w:line="360" w:lineRule="auto"/>
        <w:ind w:right="-592"/>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b/>
          <w:color w:val="000000"/>
        </w:rPr>
        <w:t xml:space="preserve">Padrón de proveedores y contratistas. </w:t>
      </w: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72. </w:t>
      </w:r>
      <w:r w:rsidRPr="00F137E5">
        <w:rPr>
          <w:rFonts w:ascii="Palatino Linotype" w:eastAsia="Palatino Linotype" w:hAnsi="Palatino Linotype" w:cs="Palatino Linotype"/>
        </w:rPr>
        <w:t xml:space="preserve">En lo que respecta a este punto, si bien se entregó el listado del catálogo de proveedores registrados por el Ayuntamiento del 1 de enero al 15 de febrero de 2023, también lo es que se colige pretende que sea del al 15 de febrero de 2024; ya que si bien existe discrepancia en el año que inicialmente se vertió (1 de enero del 2023 al 15 de febrero del 2022), se colige al igual que en el supuesto anterior se pretende la información del mes y año en que se </w:t>
      </w:r>
      <w:r w:rsidRPr="00F137E5">
        <w:rPr>
          <w:rFonts w:ascii="Palatino Linotype" w:eastAsia="Palatino Linotype" w:hAnsi="Palatino Linotype" w:cs="Palatino Linotype"/>
        </w:rPr>
        <w:lastRenderedPageBreak/>
        <w:t>presenta la solicitud de información, es decir de febrero de dos mil veinticuatro. Por lo que en relatadas circunstancias se aplica nuevamente la suplencia de la queja en favor del solicitante</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73</w:t>
      </w:r>
      <w:r w:rsidRPr="00F137E5">
        <w:rPr>
          <w:rFonts w:ascii="Palatino Linotype" w:eastAsia="Palatino Linotype" w:hAnsi="Palatino Linotype" w:cs="Palatino Linotype"/>
        </w:rPr>
        <w:t>. Así las cosas es de recordar que la parte Recurrente solicitó obtener el nombre de los proveedores del Ayuntamiento, situación por la que, resulta indispensable citar la siguiente normatividad:</w:t>
      </w:r>
    </w:p>
    <w:p w:rsidR="008C7D5C" w:rsidRPr="00F137E5" w:rsidRDefault="00074B8B">
      <w:pPr>
        <w:spacing w:line="276" w:lineRule="auto"/>
        <w:ind w:left="567" w:right="-25"/>
        <w:jc w:val="center"/>
        <w:rPr>
          <w:rFonts w:ascii="Palatino Linotype" w:eastAsia="Palatino Linotype" w:hAnsi="Palatino Linotype" w:cs="Palatino Linotype"/>
          <w:b/>
          <w:i/>
        </w:rPr>
      </w:pPr>
      <w:r w:rsidRPr="00F137E5">
        <w:rPr>
          <w:rFonts w:ascii="Palatino Linotype" w:eastAsia="Palatino Linotype" w:hAnsi="Palatino Linotype" w:cs="Palatino Linotype"/>
          <w:b/>
          <w:i/>
        </w:rPr>
        <w:t>“LEY DE TRANSPARENCIA Y ACCESO A LA INFORMACIÓN PÚBLICA DEL ESTADO DE MÉXICO Y MUNICIPIOS.</w:t>
      </w:r>
    </w:p>
    <w:p w:rsidR="008C7D5C" w:rsidRPr="00F137E5" w:rsidRDefault="008C7D5C">
      <w:pPr>
        <w:spacing w:line="276" w:lineRule="auto"/>
        <w:ind w:left="567" w:right="-25"/>
        <w:jc w:val="both"/>
        <w:rPr>
          <w:rFonts w:ascii="Palatino Linotype" w:eastAsia="Palatino Linotype" w:hAnsi="Palatino Linotype" w:cs="Palatino Linotype"/>
          <w:i/>
        </w:rPr>
      </w:pP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XXXVI. Padrón de proveedores y contratistas;”</w:t>
      </w:r>
    </w:p>
    <w:p w:rsidR="008C7D5C" w:rsidRPr="00F137E5" w:rsidRDefault="008C7D5C">
      <w:pPr>
        <w:spacing w:line="276" w:lineRule="auto"/>
        <w:ind w:left="567" w:right="-592"/>
        <w:jc w:val="both"/>
        <w:rPr>
          <w:rFonts w:ascii="Palatino Linotype" w:eastAsia="Palatino Linotype" w:hAnsi="Palatino Linotype" w:cs="Palatino Linotype"/>
          <w:i/>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74.</w:t>
      </w:r>
      <w:r w:rsidRPr="00F137E5">
        <w:rPr>
          <w:rFonts w:ascii="Palatino Linotype" w:eastAsia="Palatino Linotype" w:hAnsi="Palatino Linotype" w:cs="Palatino Linotype"/>
        </w:rPr>
        <w:t xml:space="preserve"> Respecto a los elementos que debe contener dicho padrón,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 siguiente:</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lastRenderedPageBreak/>
        <w:t>XXXII. Padrón de proveedores y contratistas</w:t>
      </w:r>
    </w:p>
    <w:p w:rsidR="008C7D5C" w:rsidRPr="00F137E5" w:rsidRDefault="008C7D5C">
      <w:pPr>
        <w:spacing w:line="276" w:lineRule="auto"/>
        <w:ind w:left="567" w:right="-25"/>
        <w:jc w:val="both"/>
        <w:rPr>
          <w:rFonts w:ascii="Palatino Linotype" w:eastAsia="Palatino Linotype" w:hAnsi="Palatino Linotype" w:cs="Palatino Linotype"/>
          <w:i/>
        </w:rPr>
      </w:pP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En cumplimiento a la presente fracción, los sujetos obligados deberán publicar un padrón con información relativa a las personas físicas161 y morales con las que celebren contratos de adquisiciones, arrendamientos, servicios, obras públicas y/o servicios relacionados con las mismas, que deberá actualizarse por lo menos cada tres meses.</w:t>
      </w:r>
    </w:p>
    <w:p w:rsidR="008C7D5C" w:rsidRPr="00F137E5" w:rsidRDefault="008C7D5C">
      <w:pPr>
        <w:spacing w:line="276" w:lineRule="auto"/>
        <w:ind w:left="567" w:right="-25"/>
        <w:jc w:val="both"/>
        <w:rPr>
          <w:rFonts w:ascii="Palatino Linotype" w:eastAsia="Palatino Linotype" w:hAnsi="Palatino Linotype" w:cs="Palatino Linotype"/>
          <w:i/>
        </w:rPr>
      </w:pP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En el caso de los sujetos obligados regidos por la Ley de Adquisiciones, Arrendamientos y Servicios del Sector Público, el padrón deberá guardar correspondencia con el Registro Único de Proveedores y Contratistas; el de</w:t>
      </w:r>
    </w:p>
    <w:p w:rsidR="008C7D5C" w:rsidRPr="00F137E5" w:rsidRDefault="00074B8B">
      <w:pPr>
        <w:spacing w:line="276" w:lineRule="auto"/>
        <w:ind w:left="567" w:right="-25"/>
        <w:jc w:val="both"/>
        <w:rPr>
          <w:rFonts w:ascii="Palatino Linotype" w:eastAsia="Palatino Linotype" w:hAnsi="Palatino Linotype" w:cs="Palatino Linotype"/>
          <w:i/>
        </w:rPr>
      </w:pPr>
      <w:proofErr w:type="gramStart"/>
      <w:r w:rsidRPr="00F137E5">
        <w:rPr>
          <w:rFonts w:ascii="Palatino Linotype" w:eastAsia="Palatino Linotype" w:hAnsi="Palatino Linotype" w:cs="Palatino Linotype"/>
          <w:i/>
        </w:rPr>
        <w:t>los</w:t>
      </w:r>
      <w:proofErr w:type="gramEnd"/>
      <w:r w:rsidRPr="00F137E5">
        <w:rPr>
          <w:rFonts w:ascii="Palatino Linotype" w:eastAsia="Palatino Linotype" w:hAnsi="Palatino Linotype" w:cs="Palatino Linotype"/>
          <w:i/>
        </w:rPr>
        <w:t xml:space="preserve"> partidos políticos con el Registro Único de Proveedores y Contratistas del Instituto Nacional Electoral y el resto de los sujetos obligados incluirá el hipervínculo al registro electrónico que en su caso corresponda.</w:t>
      </w:r>
    </w:p>
    <w:p w:rsidR="008C7D5C" w:rsidRPr="00F137E5" w:rsidRDefault="008C7D5C">
      <w:pPr>
        <w:spacing w:line="276" w:lineRule="auto"/>
        <w:ind w:left="567" w:right="-25"/>
        <w:jc w:val="both"/>
        <w:rPr>
          <w:rFonts w:ascii="Palatino Linotype" w:eastAsia="Palatino Linotype" w:hAnsi="Palatino Linotype" w:cs="Palatino Linotype"/>
          <w:i/>
        </w:rPr>
      </w:pP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rsidR="008C7D5C" w:rsidRPr="00F137E5" w:rsidRDefault="008C7D5C">
      <w:pPr>
        <w:spacing w:line="276" w:lineRule="auto"/>
        <w:ind w:left="567" w:right="-25"/>
        <w:jc w:val="both"/>
        <w:rPr>
          <w:rFonts w:ascii="Palatino Linotype" w:eastAsia="Palatino Linotype" w:hAnsi="Palatino Linotype" w:cs="Palatino Linotype"/>
          <w:i/>
        </w:rPr>
      </w:pPr>
    </w:p>
    <w:p w:rsidR="008C7D5C" w:rsidRPr="00F137E5" w:rsidRDefault="00074B8B">
      <w:pPr>
        <w:spacing w:line="360" w:lineRule="auto"/>
        <w:ind w:right="-25"/>
        <w:jc w:val="center"/>
        <w:rPr>
          <w:rFonts w:ascii="Palatino Linotype" w:eastAsia="Palatino Linotype" w:hAnsi="Palatino Linotype" w:cs="Palatino Linotype"/>
        </w:rPr>
      </w:pPr>
      <w:r w:rsidRPr="00F137E5">
        <w:rPr>
          <w:rFonts w:ascii="Palatino Linotype" w:eastAsia="Palatino Linotype" w:hAnsi="Palatino Linotype" w:cs="Palatino Linotype"/>
          <w:noProof/>
        </w:rPr>
        <w:lastRenderedPageBreak/>
        <w:drawing>
          <wp:inline distT="0" distB="0" distL="0" distR="0">
            <wp:extent cx="4660300" cy="4611416"/>
            <wp:effectExtent l="0" t="0" r="0" b="0"/>
            <wp:docPr id="20308430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660300" cy="4611416"/>
                    </a:xfrm>
                    <a:prstGeom prst="rect">
                      <a:avLst/>
                    </a:prstGeom>
                    <a:ln/>
                  </pic:spPr>
                </pic:pic>
              </a:graphicData>
            </a:graphic>
          </wp:inline>
        </w:drawing>
      </w:r>
    </w:p>
    <w:p w:rsidR="008C7D5C" w:rsidRPr="00F137E5" w:rsidRDefault="008C7D5C">
      <w:pPr>
        <w:spacing w:line="360" w:lineRule="auto"/>
        <w:ind w:right="-592"/>
        <w:jc w:val="center"/>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75. </w:t>
      </w:r>
      <w:r w:rsidRPr="00F137E5">
        <w:rPr>
          <w:rFonts w:ascii="Palatino Linotype" w:eastAsia="Palatino Linotype" w:hAnsi="Palatino Linotype" w:cs="Palatino Linotype"/>
        </w:rPr>
        <w:t>De acuerdo a lo anterior, el padrón de proveedores no sólo debe contener el nombre o razón social y RFC, sino que también deberá incluir datos que lo componen como el domicilio fiscal de la empresa, actividad económica de la empresa, el domicilio en el extranjero, nombre del representante legal, datos de contacto, entre otros, siendo información relacionada con las obligaciones de transparencia de los sujetos obligados.</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numPr>
          <w:ilvl w:val="0"/>
          <w:numId w:val="3"/>
        </w:numPr>
        <w:spacing w:line="360" w:lineRule="auto"/>
        <w:ind w:right="-592"/>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b/>
          <w:color w:val="000000"/>
        </w:rPr>
        <w:t xml:space="preserve">De las bitácoras de combustible y del parque vehicular. </w:t>
      </w: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lastRenderedPageBreak/>
        <w:t xml:space="preserve">76. </w:t>
      </w:r>
      <w:r w:rsidRPr="00F137E5">
        <w:rPr>
          <w:rFonts w:ascii="Palatino Linotype" w:eastAsia="Palatino Linotype" w:hAnsi="Palatino Linotype" w:cs="Palatino Linotype"/>
        </w:rPr>
        <w:t xml:space="preserve">En lo que respecta a este punto, es de recordar que la parte Recurrente solicitó el listado de unidades y la relación de vehículos oficiales del Ayuntamiento, por lo que, es indispensable traer a colación lo que establece la Ley Orgánica Municipal del Estado de México que precisa lo siguiente: </w:t>
      </w:r>
    </w:p>
    <w:p w:rsidR="008C7D5C" w:rsidRPr="00F137E5" w:rsidRDefault="00074B8B">
      <w:pPr>
        <w:spacing w:line="276" w:lineRule="auto"/>
        <w:ind w:left="567" w:right="-25"/>
        <w:jc w:val="both"/>
        <w:rPr>
          <w:rFonts w:ascii="Palatino Linotype" w:eastAsia="Palatino Linotype" w:hAnsi="Palatino Linotype" w:cs="Palatino Linotype"/>
          <w:i/>
          <w:color w:val="000000"/>
        </w:rPr>
      </w:pPr>
      <w:r w:rsidRPr="00F137E5">
        <w:rPr>
          <w:rFonts w:ascii="Palatino Linotype" w:eastAsia="Palatino Linotype" w:hAnsi="Palatino Linotype" w:cs="Palatino Linotype"/>
          <w:b/>
          <w:i/>
        </w:rPr>
        <w:t>Artículo 91.-</w:t>
      </w:r>
      <w:r w:rsidRPr="00F137E5">
        <w:rPr>
          <w:rFonts w:ascii="Palatino Linotype" w:eastAsia="Palatino Linotype" w:hAnsi="Palatino Linotype" w:cs="Palatino Linotype"/>
          <w:i/>
        </w:rPr>
        <w:t xml:space="preserve"> La Secretaría del Ayuntamiento estará a cargo de un Secretario, el que, sin ser miembro del mismo, deberá ser nombrado por el propio Ayuntamiento a propuesta del Presidente Municipal como lo marca el artículo 31 de la presente ley. </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Sus faltas temporales serán cubiertas por quien designe el Ayuntamiento y sus atribuciones son las siguientes:</w:t>
      </w:r>
    </w:p>
    <w:p w:rsidR="008C7D5C" w:rsidRPr="00F137E5" w:rsidRDefault="00074B8B">
      <w:pPr>
        <w:spacing w:line="276" w:lineRule="auto"/>
        <w:ind w:left="567" w:right="-25"/>
        <w:jc w:val="both"/>
        <w:rPr>
          <w:rFonts w:ascii="Palatino Linotype" w:eastAsia="Palatino Linotype" w:hAnsi="Palatino Linotype" w:cs="Palatino Linotype"/>
          <w:i/>
          <w:color w:val="000000"/>
        </w:rPr>
      </w:pPr>
      <w:r w:rsidRPr="00F137E5">
        <w:rPr>
          <w:rFonts w:ascii="Palatino Linotype" w:eastAsia="Palatino Linotype" w:hAnsi="Palatino Linotype" w:cs="Palatino Linotype"/>
          <w:i/>
        </w:rPr>
        <w:t>(…)</w:t>
      </w:r>
    </w:p>
    <w:p w:rsidR="008C7D5C" w:rsidRPr="00F137E5" w:rsidRDefault="00074B8B">
      <w:pPr>
        <w:spacing w:line="276" w:lineRule="auto"/>
        <w:ind w:left="567" w:right="-25"/>
        <w:jc w:val="both"/>
        <w:rPr>
          <w:rFonts w:ascii="Palatino Linotype" w:eastAsia="Palatino Linotype" w:hAnsi="Palatino Linotype" w:cs="Palatino Linotype"/>
          <w:i/>
          <w:color w:val="000000"/>
        </w:rPr>
      </w:pPr>
      <w:r w:rsidRPr="00F137E5">
        <w:rPr>
          <w:rFonts w:ascii="Palatino Linotype" w:eastAsia="Palatino Linotype" w:hAnsi="Palatino Linotype" w:cs="Palatino Linotype"/>
          <w:i/>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rsidR="008C7D5C" w:rsidRPr="00F137E5" w:rsidRDefault="008C7D5C">
      <w:pPr>
        <w:spacing w:line="360" w:lineRule="auto"/>
        <w:ind w:right="-592"/>
        <w:jc w:val="both"/>
        <w:rPr>
          <w:rFonts w:ascii="Palatino Linotype" w:eastAsia="Palatino Linotype" w:hAnsi="Palatino Linotype" w:cs="Palatino Linotype"/>
          <w:color w:val="000000"/>
        </w:rPr>
      </w:pPr>
    </w:p>
    <w:p w:rsidR="007C21C9" w:rsidRPr="00F137E5" w:rsidRDefault="007C21C9" w:rsidP="007C21C9">
      <w:pPr>
        <w:spacing w:line="360" w:lineRule="auto"/>
        <w:ind w:right="-592"/>
        <w:jc w:val="both"/>
        <w:rPr>
          <w:rFonts w:ascii="Palatino Linotype" w:hAnsi="Palatino Linotype" w:cs="Arial"/>
        </w:rPr>
      </w:pPr>
      <w:r w:rsidRPr="00F137E5">
        <w:rPr>
          <w:rFonts w:ascii="Palatino Linotype" w:hAnsi="Palatino Linotype" w:cs="Arial"/>
          <w:b/>
        </w:rPr>
        <w:t xml:space="preserve">77. </w:t>
      </w:r>
      <w:r w:rsidRPr="00F137E5">
        <w:rPr>
          <w:rFonts w:ascii="Palatino Linotype" w:hAnsi="Palatino Linotype" w:cs="Arial"/>
        </w:rPr>
        <w:t xml:space="preserve">Al respecto, conviene citar el contenido de las atribuciones de la Dirección de Administración, referidas en el reglamento del </w:t>
      </w:r>
      <w:r w:rsidRPr="00F137E5">
        <w:rPr>
          <w:rFonts w:ascii="Palatino Linotype" w:hAnsi="Palatino Linotype" w:cs="Arial"/>
          <w:b/>
        </w:rPr>
        <w:t xml:space="preserve">SUJETO OBLIGADO, </w:t>
      </w:r>
      <w:r w:rsidRPr="00F137E5">
        <w:rPr>
          <w:rFonts w:ascii="Palatino Linotype" w:hAnsi="Palatino Linotype" w:cs="Arial"/>
        </w:rPr>
        <w:t xml:space="preserve">que son del tenor </w:t>
      </w:r>
      <w:r w:rsidRPr="00F137E5">
        <w:rPr>
          <w:rFonts w:ascii="Palatino Linotype" w:eastAsia="Palatino Linotype" w:hAnsi="Palatino Linotype" w:cs="Palatino Linotype"/>
        </w:rPr>
        <w:t>siguiente</w:t>
      </w:r>
      <w:r w:rsidRPr="00F137E5">
        <w:rPr>
          <w:rFonts w:ascii="Palatino Linotype" w:hAnsi="Palatino Linotype" w:cs="Arial"/>
        </w:rPr>
        <w:t>:</w:t>
      </w:r>
    </w:p>
    <w:p w:rsidR="007C21C9" w:rsidRPr="00F137E5" w:rsidRDefault="007C21C9" w:rsidP="007C21C9">
      <w:pPr>
        <w:pStyle w:val="Puesto"/>
        <w:ind w:left="567" w:right="539"/>
        <w:jc w:val="both"/>
        <w:rPr>
          <w:rFonts w:ascii="Palatino Linotype" w:hAnsi="Palatino Linotype"/>
          <w:b w:val="0"/>
          <w:i/>
          <w:sz w:val="24"/>
          <w:szCs w:val="24"/>
        </w:rPr>
      </w:pPr>
      <w:r w:rsidRPr="00F137E5">
        <w:rPr>
          <w:rFonts w:ascii="Palatino Linotype" w:hAnsi="Palatino Linotype"/>
          <w:b w:val="0"/>
          <w:i/>
          <w:sz w:val="24"/>
          <w:szCs w:val="24"/>
        </w:rPr>
        <w:lastRenderedPageBreak/>
        <w:t>ARTÍCULO 210. Para el despacho de los asuntos de su competencia, la Dirección de Administración, tendrá las siguientes facultades y obligaciones:</w:t>
      </w:r>
    </w:p>
    <w:p w:rsidR="007C21C9" w:rsidRPr="00F137E5" w:rsidRDefault="007C21C9" w:rsidP="007C21C9">
      <w:pPr>
        <w:pStyle w:val="Puesto"/>
        <w:ind w:left="567" w:right="539"/>
        <w:jc w:val="both"/>
        <w:rPr>
          <w:rFonts w:ascii="Palatino Linotype" w:hAnsi="Palatino Linotype"/>
          <w:b w:val="0"/>
          <w:i/>
          <w:sz w:val="24"/>
          <w:szCs w:val="24"/>
        </w:rPr>
      </w:pPr>
      <w:r w:rsidRPr="00F137E5">
        <w:rPr>
          <w:rFonts w:ascii="Palatino Linotype" w:hAnsi="Palatino Linotype"/>
          <w:b w:val="0"/>
          <w:i/>
          <w:sz w:val="24"/>
          <w:szCs w:val="24"/>
        </w:rPr>
        <w:t>…</w:t>
      </w:r>
    </w:p>
    <w:p w:rsidR="007C21C9" w:rsidRPr="00F137E5" w:rsidRDefault="007C21C9" w:rsidP="007C21C9">
      <w:pPr>
        <w:pStyle w:val="Puesto"/>
        <w:ind w:left="567" w:right="539"/>
        <w:jc w:val="both"/>
        <w:rPr>
          <w:rFonts w:ascii="Palatino Linotype" w:hAnsi="Palatino Linotype"/>
          <w:b w:val="0"/>
          <w:i/>
          <w:sz w:val="24"/>
          <w:szCs w:val="24"/>
        </w:rPr>
      </w:pPr>
      <w:r w:rsidRPr="00F137E5">
        <w:rPr>
          <w:rFonts w:ascii="Palatino Linotype" w:hAnsi="Palatino Linotype"/>
          <w:b w:val="0"/>
          <w:i/>
          <w:sz w:val="24"/>
          <w:szCs w:val="24"/>
        </w:rPr>
        <w:t>VII. Vigilar y supervisar que se suministre o facilite oportunamente a las dependencias, los elementos y materiales de trabajo necesarios para el desempeño de sus funciones;</w:t>
      </w:r>
    </w:p>
    <w:p w:rsidR="007C21C9" w:rsidRPr="00F137E5" w:rsidRDefault="007C21C9" w:rsidP="007C21C9">
      <w:pPr>
        <w:pStyle w:val="Puesto"/>
        <w:ind w:left="567" w:right="539"/>
        <w:jc w:val="both"/>
        <w:rPr>
          <w:rFonts w:ascii="Palatino Linotype" w:hAnsi="Palatino Linotype"/>
          <w:b w:val="0"/>
          <w:i/>
          <w:sz w:val="24"/>
          <w:szCs w:val="24"/>
        </w:rPr>
      </w:pPr>
      <w:r w:rsidRPr="00F137E5">
        <w:rPr>
          <w:rFonts w:ascii="Palatino Linotype" w:hAnsi="Palatino Linotype"/>
          <w:b w:val="0"/>
          <w:i/>
          <w:sz w:val="24"/>
          <w:szCs w:val="24"/>
        </w:rPr>
        <w:t>…</w:t>
      </w:r>
    </w:p>
    <w:p w:rsidR="007C21C9" w:rsidRPr="00F137E5" w:rsidRDefault="007C21C9" w:rsidP="007C21C9">
      <w:pPr>
        <w:pStyle w:val="Puesto"/>
        <w:ind w:left="567" w:right="539"/>
        <w:jc w:val="both"/>
        <w:rPr>
          <w:rFonts w:ascii="Palatino Linotype" w:hAnsi="Palatino Linotype"/>
          <w:b w:val="0"/>
          <w:i/>
          <w:sz w:val="24"/>
          <w:szCs w:val="24"/>
        </w:rPr>
      </w:pPr>
      <w:r w:rsidRPr="00F137E5">
        <w:rPr>
          <w:rFonts w:ascii="Palatino Linotype" w:hAnsi="Palatino Linotype"/>
          <w:b w:val="0"/>
          <w:i/>
          <w:sz w:val="24"/>
          <w:szCs w:val="24"/>
        </w:rPr>
        <w:t xml:space="preserve">XV. Supervisar y vigilar el control, mantenimiento y adquisición del parque vehicular oficial, así como del suministro de energéticos; </w:t>
      </w:r>
    </w:p>
    <w:p w:rsidR="007C21C9" w:rsidRPr="00F137E5" w:rsidRDefault="007C21C9" w:rsidP="007C21C9">
      <w:pPr>
        <w:pStyle w:val="Puesto"/>
        <w:ind w:left="567" w:right="539"/>
        <w:jc w:val="both"/>
        <w:rPr>
          <w:rFonts w:ascii="Palatino Linotype" w:hAnsi="Palatino Linotype"/>
          <w:b w:val="0"/>
          <w:i/>
          <w:sz w:val="24"/>
          <w:szCs w:val="24"/>
        </w:rPr>
      </w:pPr>
      <w:r w:rsidRPr="00F137E5">
        <w:rPr>
          <w:rFonts w:ascii="Palatino Linotype" w:hAnsi="Palatino Linotype"/>
          <w:b w:val="0"/>
          <w:i/>
          <w:sz w:val="24"/>
          <w:szCs w:val="24"/>
        </w:rPr>
        <w:t xml:space="preserve">XVI. Autorizar y difundir entre las diversas dependencias municipales, las políticas, manuales y procedimientos de carácter interno necesarios para la administración y </w:t>
      </w:r>
      <w:r w:rsidRPr="00F137E5">
        <w:rPr>
          <w:rFonts w:ascii="Palatino Linotype" w:hAnsi="Palatino Linotype"/>
          <w:b w:val="0"/>
          <w:i/>
          <w:sz w:val="24"/>
          <w:szCs w:val="24"/>
          <w:u w:val="single"/>
        </w:rPr>
        <w:t>el control eficiente de los recursos humanos, los recursos materiales, del parque vehicular</w:t>
      </w:r>
      <w:r w:rsidRPr="00F137E5">
        <w:rPr>
          <w:rFonts w:ascii="Palatino Linotype" w:hAnsi="Palatino Linotype"/>
          <w:b w:val="0"/>
          <w:i/>
          <w:sz w:val="24"/>
          <w:szCs w:val="24"/>
        </w:rPr>
        <w:t>, así como el mantenimiento adecuado y la conservación de los muebles e inmuebles municipales;</w:t>
      </w:r>
    </w:p>
    <w:p w:rsidR="007C21C9" w:rsidRPr="00F137E5" w:rsidRDefault="007C21C9" w:rsidP="007C21C9">
      <w:pPr>
        <w:spacing w:line="360" w:lineRule="auto"/>
        <w:ind w:right="-592"/>
        <w:jc w:val="both"/>
        <w:rPr>
          <w:rFonts w:ascii="Palatino Linotype" w:hAnsi="Palatino Linotype" w:cs="Arial"/>
        </w:rPr>
      </w:pPr>
    </w:p>
    <w:p w:rsidR="007C21C9" w:rsidRPr="00F137E5" w:rsidRDefault="007C21C9" w:rsidP="007C21C9">
      <w:pPr>
        <w:spacing w:line="360" w:lineRule="auto"/>
        <w:ind w:right="-592"/>
        <w:jc w:val="both"/>
        <w:rPr>
          <w:rFonts w:ascii="Palatino Linotype" w:hAnsi="Palatino Linotype" w:cs="Arial"/>
        </w:rPr>
      </w:pPr>
      <w:r w:rsidRPr="00F137E5">
        <w:rPr>
          <w:rFonts w:ascii="Palatino Linotype" w:hAnsi="Palatino Linotype" w:cs="Arial"/>
          <w:b/>
        </w:rPr>
        <w:t xml:space="preserve">78. </w:t>
      </w:r>
      <w:r w:rsidRPr="00F137E5">
        <w:rPr>
          <w:rFonts w:ascii="Palatino Linotype" w:hAnsi="Palatino Linotype" w:cs="Arial"/>
        </w:rPr>
        <w:t>De lo citado, se advierte que a la citada dirección le compete lo relativo a supervisar y vigilar el control, mantenimiento y adquisición del parque vehicular oficial, así como vigilar y supervisar que se suministre o facilite oportunamente a las dependencias, los elementos y materiales de trabajo necesarios para el desempeño de sus funciones.</w:t>
      </w:r>
    </w:p>
    <w:p w:rsidR="007C21C9" w:rsidRPr="00F137E5" w:rsidRDefault="007C21C9">
      <w:pPr>
        <w:spacing w:line="360" w:lineRule="auto"/>
        <w:ind w:right="-592"/>
        <w:jc w:val="both"/>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 xml:space="preserve">79. </w:t>
      </w:r>
      <w:r w:rsidR="00217650" w:rsidRPr="00F137E5">
        <w:rPr>
          <w:rFonts w:ascii="Palatino Linotype" w:eastAsia="Palatino Linotype" w:hAnsi="Palatino Linotype" w:cs="Palatino Linotype"/>
          <w:color w:val="000000"/>
        </w:rPr>
        <w:t>Luego entonces</w:t>
      </w:r>
      <w:r w:rsidRPr="00F137E5">
        <w:rPr>
          <w:rFonts w:ascii="Palatino Linotype" w:eastAsia="Palatino Linotype" w:hAnsi="Palatino Linotype" w:cs="Palatino Linotype"/>
          <w:color w:val="000000"/>
        </w:rPr>
        <w:t xml:space="preserve">, </w:t>
      </w:r>
      <w:r w:rsidR="00714DDD" w:rsidRPr="00F137E5">
        <w:rPr>
          <w:rFonts w:ascii="Palatino Linotype" w:eastAsia="Palatino Linotype" w:hAnsi="Palatino Linotype" w:cs="Palatino Linotype"/>
          <w:color w:val="000000"/>
        </w:rPr>
        <w:t xml:space="preserve">compete al Sujeto Obligado el </w:t>
      </w:r>
      <w:r w:rsidR="00714DDD" w:rsidRPr="00F137E5">
        <w:rPr>
          <w:rFonts w:ascii="Palatino Linotype" w:hAnsi="Palatino Linotype"/>
        </w:rPr>
        <w:t>control eficiente de los recursos humanos, los recursos materiales, del parque vehicular</w:t>
      </w:r>
      <w:r w:rsidRPr="00F137E5">
        <w:rPr>
          <w:rFonts w:ascii="Palatino Linotype" w:eastAsia="Palatino Linotype" w:hAnsi="Palatino Linotype" w:cs="Palatino Linotype"/>
          <w:color w:val="000000"/>
        </w:rPr>
        <w:t xml:space="preserve">. </w:t>
      </w:r>
    </w:p>
    <w:p w:rsidR="008C7D5C" w:rsidRPr="00F137E5" w:rsidRDefault="008C7D5C">
      <w:pPr>
        <w:spacing w:line="360" w:lineRule="auto"/>
        <w:ind w:right="-592"/>
        <w:jc w:val="both"/>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lastRenderedPageBreak/>
        <w:t xml:space="preserve">80. </w:t>
      </w:r>
      <w:r w:rsidRPr="00F137E5">
        <w:rPr>
          <w:rFonts w:ascii="Palatino Linotype" w:eastAsia="Palatino Linotype" w:hAnsi="Palatino Linotype" w:cs="Palatino Linotype"/>
          <w:color w:val="000000"/>
        </w:rPr>
        <w:t xml:space="preserve">En cuanto hace al consumo de gasolina, es necesario traer a colación los Lineamientos de Control Financiero para las Entidades Fiscalizables Municipales del Estado de México, el cual señala lo siguiente: </w:t>
      </w:r>
    </w:p>
    <w:p w:rsidR="008C7D5C" w:rsidRPr="00F137E5" w:rsidRDefault="008C7D5C">
      <w:pPr>
        <w:spacing w:line="360" w:lineRule="auto"/>
        <w:ind w:right="-592"/>
        <w:jc w:val="both"/>
        <w:rPr>
          <w:rFonts w:ascii="Palatino Linotype" w:eastAsia="Palatino Linotype" w:hAnsi="Palatino Linotype" w:cs="Palatino Linotype"/>
          <w:color w:val="000000"/>
        </w:rPr>
      </w:pPr>
    </w:p>
    <w:p w:rsidR="008C7D5C" w:rsidRPr="00F137E5" w:rsidRDefault="00074B8B">
      <w:pPr>
        <w:spacing w:line="276" w:lineRule="auto"/>
        <w:ind w:left="567" w:right="-25"/>
        <w:jc w:val="both"/>
        <w:rPr>
          <w:rFonts w:ascii="Palatino Linotype" w:eastAsia="Palatino Linotype" w:hAnsi="Palatino Linotype" w:cs="Palatino Linotype"/>
          <w:i/>
          <w:color w:val="000000"/>
        </w:rPr>
      </w:pPr>
      <w:r w:rsidRPr="00F137E5">
        <w:rPr>
          <w:rFonts w:ascii="Palatino Linotype" w:eastAsia="Palatino Linotype" w:hAnsi="Palatino Linotype" w:cs="Palatino Linotype"/>
          <w:b/>
          <w:i/>
          <w:color w:val="000000"/>
        </w:rPr>
        <w:t>“LINEAMIENTOS DE CONTROL FINANCIERO Y ADMINISTRATIVO PARA LAS ENTIDADES FISCALIZABLES MUNICIPALES DEL ESTADO DE MÉXICO</w:t>
      </w:r>
      <w:r w:rsidRPr="00F137E5">
        <w:rPr>
          <w:rFonts w:ascii="Palatino Linotype" w:eastAsia="Palatino Linotype" w:hAnsi="Palatino Linotype" w:cs="Palatino Linotype"/>
          <w:i/>
          <w:color w:val="000000"/>
        </w:rPr>
        <w:t xml:space="preserve">. </w:t>
      </w:r>
    </w:p>
    <w:p w:rsidR="008C7D5C" w:rsidRPr="00F137E5" w:rsidRDefault="00074B8B">
      <w:pPr>
        <w:spacing w:line="276" w:lineRule="auto"/>
        <w:ind w:left="567" w:right="-25"/>
        <w:jc w:val="both"/>
        <w:rPr>
          <w:rFonts w:ascii="Palatino Linotype" w:eastAsia="Palatino Linotype" w:hAnsi="Palatino Linotype" w:cs="Palatino Linotype"/>
          <w:i/>
          <w:color w:val="000000"/>
        </w:rPr>
      </w:pPr>
      <w:r w:rsidRPr="00F137E5">
        <w:rPr>
          <w:rFonts w:ascii="Palatino Linotype" w:eastAsia="Palatino Linotype" w:hAnsi="Palatino Linotype" w:cs="Palatino Linotype"/>
          <w:i/>
          <w:color w:val="000000"/>
        </w:rPr>
        <w:t xml:space="preserve">VIGÉSIMO OCTAVO: Los servidores públicos municipales responsables de llevar el control del consumo de los combustibles y lubricantes de cada uno de los vehículos y maquinaria de la entidad fiscalizable municipal, por medio de los vales de gasolina o por los consumos foráneos que realicen fuera del municipio, deberán llevar una bitácora de acuerdo al anexo 3. </w:t>
      </w:r>
    </w:p>
    <w:p w:rsidR="008C7D5C" w:rsidRPr="00F137E5" w:rsidRDefault="008C7D5C">
      <w:pPr>
        <w:spacing w:line="276" w:lineRule="auto"/>
        <w:ind w:right="-592"/>
        <w:jc w:val="both"/>
        <w:rPr>
          <w:rFonts w:ascii="Palatino Linotype" w:eastAsia="Palatino Linotype" w:hAnsi="Palatino Linotype" w:cs="Palatino Linotype"/>
          <w:i/>
          <w:color w:val="000000"/>
        </w:rPr>
      </w:pPr>
    </w:p>
    <w:p w:rsidR="008C7D5C" w:rsidRPr="00F137E5" w:rsidRDefault="00074B8B">
      <w:pPr>
        <w:spacing w:line="276" w:lineRule="auto"/>
        <w:ind w:right="-592"/>
        <w:jc w:val="both"/>
        <w:rPr>
          <w:rFonts w:ascii="Palatino Linotype" w:eastAsia="Palatino Linotype" w:hAnsi="Palatino Linotype" w:cs="Palatino Linotype"/>
          <w:i/>
          <w:color w:val="000000"/>
        </w:rPr>
      </w:pPr>
      <w:r w:rsidRPr="00F137E5">
        <w:rPr>
          <w:rFonts w:ascii="Palatino Linotype" w:eastAsia="Palatino Linotype" w:hAnsi="Palatino Linotype" w:cs="Palatino Linotype"/>
          <w:i/>
          <w:noProof/>
          <w:color w:val="000000"/>
        </w:rPr>
        <w:drawing>
          <wp:inline distT="0" distB="0" distL="0" distR="0">
            <wp:extent cx="5610225" cy="2581275"/>
            <wp:effectExtent l="0" t="0" r="0" b="0"/>
            <wp:docPr id="20308430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610225" cy="2581275"/>
                    </a:xfrm>
                    <a:prstGeom prst="rect">
                      <a:avLst/>
                    </a:prstGeom>
                    <a:ln/>
                  </pic:spPr>
                </pic:pic>
              </a:graphicData>
            </a:graphic>
          </wp:inline>
        </w:drawing>
      </w:r>
    </w:p>
    <w:p w:rsidR="008C7D5C" w:rsidRPr="00F137E5" w:rsidRDefault="008C7D5C">
      <w:pPr>
        <w:spacing w:line="276" w:lineRule="auto"/>
        <w:ind w:right="-592"/>
        <w:jc w:val="both"/>
        <w:rPr>
          <w:rFonts w:ascii="Palatino Linotype" w:eastAsia="Palatino Linotype" w:hAnsi="Palatino Linotype" w:cs="Palatino Linotype"/>
          <w:i/>
        </w:rPr>
      </w:pPr>
    </w:p>
    <w:p w:rsidR="008C7D5C" w:rsidRPr="00F137E5" w:rsidRDefault="008C7D5C">
      <w:pPr>
        <w:spacing w:line="276" w:lineRule="auto"/>
        <w:ind w:right="-592"/>
        <w:jc w:val="both"/>
        <w:rPr>
          <w:rFonts w:ascii="Palatino Linotype" w:eastAsia="Palatino Linotype" w:hAnsi="Palatino Linotype" w:cs="Palatino Linotype"/>
          <w:i/>
          <w:color w:val="000000"/>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81.</w:t>
      </w:r>
      <w:r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color w:val="000000"/>
        </w:rPr>
        <w:t xml:space="preserve">En cuanto a lo previamente citado la Dirección de Administración del Sujeto Obligado debe supervisar el centro del parque vehicular oficial, así como que el suministro de </w:t>
      </w:r>
      <w:r w:rsidRPr="00F137E5">
        <w:rPr>
          <w:rFonts w:ascii="Palatino Linotype" w:eastAsia="Palatino Linotype" w:hAnsi="Palatino Linotype" w:cs="Palatino Linotype"/>
          <w:color w:val="000000"/>
        </w:rPr>
        <w:lastRenderedPageBreak/>
        <w:t xml:space="preserve">combustible se realice de manera oportuna, además los servidores públicos municipales responsables de llevar el control del consumo de los combustibles y lubricantes de cada uno de los vehículos, deberán llevar una bitácora de consumo de gasolina diésel, mismo que cuenta con el kilometraje de recorrido y acumulado, cuyos datos nos permitirían observar el registro del uso de los automóviles. </w:t>
      </w:r>
    </w:p>
    <w:p w:rsidR="008C7D5C" w:rsidRPr="00F137E5" w:rsidRDefault="008C7D5C">
      <w:pPr>
        <w:spacing w:line="360" w:lineRule="auto"/>
        <w:ind w:right="-592"/>
        <w:jc w:val="both"/>
        <w:rPr>
          <w:rFonts w:ascii="Palatino Linotype" w:eastAsia="Palatino Linotype" w:hAnsi="Palatino Linotype" w:cs="Palatino Linotype"/>
          <w:color w:val="000000"/>
        </w:rPr>
      </w:pPr>
    </w:p>
    <w:p w:rsidR="008C7D5C" w:rsidRPr="00F137E5" w:rsidRDefault="00074B8B">
      <w:pPr>
        <w:numPr>
          <w:ilvl w:val="0"/>
          <w:numId w:val="3"/>
        </w:numPr>
        <w:spacing w:line="360" w:lineRule="auto"/>
        <w:ind w:right="-592"/>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b/>
          <w:color w:val="000000"/>
        </w:rPr>
        <w:t xml:space="preserve">De las obras públicas del Municipio. </w:t>
      </w: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82.</w:t>
      </w:r>
      <w:r w:rsidRPr="00F137E5">
        <w:rPr>
          <w:rFonts w:ascii="Palatino Linotype" w:eastAsia="Palatino Linotype" w:hAnsi="Palatino Linotype" w:cs="Palatino Linotype"/>
        </w:rPr>
        <w:t xml:space="preserve"> Primeramente referir que respecto de la solicitud de información relativa a la relación de obras, montos, y forma de asignación que se encuentra en curso así proyectadas del ejercicio 2023, el </w:t>
      </w:r>
      <w:r w:rsidRPr="00F137E5">
        <w:rPr>
          <w:rFonts w:ascii="Palatino Linotype" w:eastAsia="Palatino Linotype" w:hAnsi="Palatino Linotype" w:cs="Palatino Linotype"/>
          <w:b/>
        </w:rPr>
        <w:t>SUJETO OBLIGADO</w:t>
      </w:r>
      <w:r w:rsidRPr="00F137E5">
        <w:rPr>
          <w:rFonts w:ascii="Palatino Linotype" w:eastAsia="Palatino Linotype" w:hAnsi="Palatino Linotype" w:cs="Palatino Linotype"/>
        </w:rPr>
        <w:t xml:space="preserve"> indicó que relativo a la relación de obras, montos y forma de asignación que se encuentran proyectadas del ejercicio 2023, a la fecha no se encuentra ninguna obra proyectada del ejercicio 2023. Respuesta que se desestima; en virtud que no versó en conocer si a la fecha se encuentran proyectadas obras que fueran proyectadas en ese anterior ejercicio; sino que la búsqueda de la información debe versar en ese extremo temporal establecido por el particular y de ser el caso, se informe de lo solicitado, con independencia de si a la fecha de la solicitud sigue proyectada o incluso concluida.</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83.</w:t>
      </w:r>
      <w:r w:rsidRPr="00F137E5">
        <w:rPr>
          <w:rFonts w:ascii="Palatino Linotype" w:eastAsia="Palatino Linotype" w:hAnsi="Palatino Linotype" w:cs="Palatino Linotype"/>
        </w:rPr>
        <w:t xml:space="preserve"> Respecto del ejercicio 2024 se informó que las obras proyectadas aún no se asignan, por lo cual no se cuenta con adjudicación y contrato, respuesta que colma parcialmente lo solicitado ya que se desprende que al no haberse adjudicado, ciertamente no puede existir un contrato, lo que implica un hecho negativo; ya que resulta obvio que éste no puede fácticamente obrar en los archivos del </w:t>
      </w:r>
      <w:r w:rsidRPr="00F137E5">
        <w:rPr>
          <w:rFonts w:ascii="Palatino Linotype" w:eastAsia="Palatino Linotype" w:hAnsi="Palatino Linotype" w:cs="Palatino Linotype"/>
          <w:b/>
        </w:rPr>
        <w:t>SUJETO OBLIGADO</w:t>
      </w:r>
      <w:r w:rsidRPr="00F137E5">
        <w:rPr>
          <w:rFonts w:ascii="Palatino Linotype" w:eastAsia="Palatino Linotype" w:hAnsi="Palatino Linotype" w:cs="Palatino Linotype"/>
        </w:rPr>
        <w:t>, ya que no puede probarse por ser lógica y materialmente imposible.</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84.</w:t>
      </w:r>
      <w:r w:rsidRPr="00F137E5">
        <w:rPr>
          <w:rFonts w:ascii="Palatino Linotype" w:eastAsia="Palatino Linotype" w:hAnsi="Palatino Linotype" w:cs="Palatino Linotype"/>
        </w:rPr>
        <w:t xml:space="preserve"> Asimismo, no se trata de un caso por el cual la negación del hecho implique la afirmación del mismo, simplemente se está ante una notoria y evidente inexistencia fáctica de la información solicitada.</w:t>
      </w:r>
    </w:p>
    <w:p w:rsidR="008C7D5C" w:rsidRPr="00F137E5" w:rsidRDefault="008C7D5C">
      <w:pPr>
        <w:pBdr>
          <w:top w:val="nil"/>
          <w:left w:val="nil"/>
          <w:bottom w:val="nil"/>
          <w:right w:val="nil"/>
          <w:between w:val="nil"/>
        </w:pBdr>
        <w:spacing w:line="360" w:lineRule="auto"/>
        <w:ind w:left="720" w:right="-592"/>
        <w:rPr>
          <w:rFonts w:ascii="Palatino Linotype" w:eastAsia="Palatino Linotype" w:hAnsi="Palatino Linotype" w:cs="Palatino Linotype"/>
          <w:b/>
          <w:color w:val="000000"/>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85. </w:t>
      </w:r>
      <w:r w:rsidRPr="00F137E5">
        <w:rPr>
          <w:rFonts w:ascii="Palatino Linotype" w:eastAsia="Palatino Linotype" w:hAnsi="Palatino Linotype" w:cs="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8C7D5C" w:rsidRPr="00F137E5" w:rsidRDefault="00074B8B">
      <w:pPr>
        <w:spacing w:line="360" w:lineRule="auto"/>
        <w:ind w:left="851" w:right="-25"/>
        <w:jc w:val="both"/>
        <w:rPr>
          <w:rFonts w:ascii="Palatino Linotype" w:eastAsia="Palatino Linotype" w:hAnsi="Palatino Linotype" w:cs="Palatino Linotype"/>
          <w:b/>
          <w:i/>
        </w:rPr>
      </w:pPr>
      <w:r w:rsidRPr="00F137E5">
        <w:rPr>
          <w:rFonts w:ascii="Palatino Linotype" w:eastAsia="Palatino Linotype" w:hAnsi="Palatino Linotype" w:cs="Palatino Linotype"/>
          <w:b/>
          <w:i/>
        </w:rPr>
        <w:t xml:space="preserve">HECHOS NEGATIVOS, NO SON SUSCEPTIBLES DE DEMOSTRACIÓN. </w:t>
      </w:r>
    </w:p>
    <w:p w:rsidR="008C7D5C" w:rsidRPr="00F137E5" w:rsidRDefault="00074B8B">
      <w:pPr>
        <w:spacing w:line="360" w:lineRule="auto"/>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 xml:space="preserve">Tratándose de un hecho negativo, el Juez no tiene </w:t>
      </w:r>
      <w:proofErr w:type="spellStart"/>
      <w:r w:rsidRPr="00F137E5">
        <w:rPr>
          <w:rFonts w:ascii="Palatino Linotype" w:eastAsia="Palatino Linotype" w:hAnsi="Palatino Linotype" w:cs="Palatino Linotype"/>
          <w:i/>
        </w:rPr>
        <w:t>por que</w:t>
      </w:r>
      <w:proofErr w:type="spellEnd"/>
      <w:r w:rsidRPr="00F137E5">
        <w:rPr>
          <w:rFonts w:ascii="Palatino Linotype" w:eastAsia="Palatino Linotype" w:hAnsi="Palatino Linotype" w:cs="Palatino Linotype"/>
          <w:i/>
        </w:rPr>
        <w:t xml:space="preserve"> invocar prueba alguna de la que se desprenda, ya que es bien sabido que esta clase de hechos no son susceptibles de demostración.</w:t>
      </w:r>
    </w:p>
    <w:p w:rsidR="008C7D5C" w:rsidRPr="00F137E5" w:rsidRDefault="00074B8B">
      <w:pPr>
        <w:spacing w:line="360" w:lineRule="auto"/>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Amparo en revisión 2022/61. José García Florín (Menor). 9 de octubre de 1961. Cinco votos. Ponente: José Rivera Pérez Campos.”</w:t>
      </w:r>
    </w:p>
    <w:p w:rsidR="008C7D5C" w:rsidRPr="00F137E5" w:rsidRDefault="008C7D5C">
      <w:pPr>
        <w:spacing w:line="360" w:lineRule="auto"/>
        <w:ind w:left="709" w:right="-592"/>
        <w:jc w:val="both"/>
        <w:rPr>
          <w:rFonts w:ascii="Palatino Linotype" w:eastAsia="Palatino Linotype" w:hAnsi="Palatino Linotype" w:cs="Palatino Linotype"/>
          <w:i/>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86. </w:t>
      </w:r>
      <w:r w:rsidRPr="00F137E5">
        <w:rPr>
          <w:rFonts w:ascii="Palatino Linotype" w:eastAsia="Palatino Linotype" w:hAnsi="Palatino Linotype" w:cs="Palatino Linotype"/>
        </w:rPr>
        <w:t xml:space="preserve">Además, y de conformidad con lo establecido en el artículo 12 de la </w:t>
      </w:r>
      <w:r w:rsidRPr="00F137E5">
        <w:rPr>
          <w:rFonts w:ascii="Palatino Linotype" w:eastAsia="Palatino Linotype" w:hAnsi="Palatino Linotype" w:cs="Palatino Linotype"/>
          <w:b/>
        </w:rPr>
        <w:t>Ley de Transparencia y Acceso a la Información Pública del Estado de México y Municipios</w:t>
      </w:r>
      <w:r w:rsidRPr="00F137E5">
        <w:rPr>
          <w:rFonts w:ascii="Palatino Linotype" w:eastAsia="Palatino Linotype" w:hAnsi="Palatino Linotype" w:cs="Palatino Linotype"/>
        </w:rPr>
        <w:t xml:space="preserve">, anteriormente invocado, el </w:t>
      </w:r>
      <w:r w:rsidRPr="00F137E5">
        <w:rPr>
          <w:rFonts w:ascii="Palatino Linotype" w:eastAsia="Palatino Linotype" w:hAnsi="Palatino Linotype" w:cs="Palatino Linotype"/>
          <w:b/>
        </w:rPr>
        <w:t>SUJETO OBLIGADO</w:t>
      </w:r>
      <w:r w:rsidRPr="00F137E5">
        <w:rPr>
          <w:rFonts w:ascii="Palatino Linotype" w:eastAsia="Palatino Linotype" w:hAnsi="Palatino Linotype" w:cs="Palatino Linotype"/>
        </w:rPr>
        <w:t xml:space="preserve"> únicamente proporcionará la información que obra en sus archivos, lo que a</w:t>
      </w:r>
      <w:r w:rsidRPr="00F137E5">
        <w:rPr>
          <w:rFonts w:ascii="Palatino Linotype" w:eastAsia="Palatino Linotype" w:hAnsi="Palatino Linotype" w:cs="Palatino Linotype"/>
          <w:i/>
        </w:rPr>
        <w:t xml:space="preserve"> contrario sensu</w:t>
      </w:r>
      <w:r w:rsidRPr="00F137E5">
        <w:rPr>
          <w:rFonts w:ascii="Palatino Linotype" w:eastAsia="Palatino Linotype" w:hAnsi="Palatino Linotype" w:cs="Palatino Linotype"/>
        </w:rPr>
        <w:t xml:space="preserve"> significa que no se está obligado a proporcionar lo que no obre en sus archivos.</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b/>
        </w:rPr>
        <w:lastRenderedPageBreak/>
        <w:t xml:space="preserve">87. </w:t>
      </w:r>
      <w:r w:rsidRPr="00F137E5">
        <w:rPr>
          <w:rFonts w:ascii="Palatino Linotype" w:eastAsia="Palatino Linotype" w:hAnsi="Palatino Linotype" w:cs="Palatino Linotype"/>
        </w:rPr>
        <w:t xml:space="preserve">En ese sentido también es importante destacar que este Instituto no se encuentra facultado para pronunciarse sobre la veracidad de la información que los Sujetos Obligados ponen a disposición de los solicitantes; situación que se aleja de las atribuciones de este Instituto </w:t>
      </w:r>
      <w:r w:rsidRPr="00F137E5">
        <w:rPr>
          <w:rFonts w:ascii="Palatino Linotype" w:eastAsia="Palatino Linotype" w:hAnsi="Palatino Linotype" w:cs="Palatino Linotype"/>
          <w:i/>
          <w:color w:val="000000"/>
        </w:rPr>
        <w:t>máxime</w:t>
      </w:r>
      <w:r w:rsidRPr="00F137E5">
        <w:rPr>
          <w:rFonts w:ascii="Palatino Linotype" w:eastAsia="Palatino Linotype" w:hAnsi="Palatino Linotype" w:cs="Palatino Linotype"/>
          <w:color w:val="000000"/>
        </w:rPr>
        <w:t xml:space="preserve"> que </w:t>
      </w:r>
      <w:r w:rsidRPr="00F137E5">
        <w:rPr>
          <w:rFonts w:ascii="Palatino Linotype" w:eastAsia="Palatino Linotype" w:hAnsi="Palatino Linotype" w:cs="Palatino Linotype"/>
          <w:b/>
          <w:color w:val="000000"/>
          <w:u w:val="single"/>
        </w:rPr>
        <w:t>al momento que ponen a disposición ésta, la misma tiene el carácter oficial y se presume veraz, tan es así que la misma queda registrada en el Sistema de Acceso a la Información Mexiquense (SAIMEX).</w:t>
      </w:r>
    </w:p>
    <w:p w:rsidR="008C7D5C" w:rsidRPr="00F137E5" w:rsidRDefault="008C7D5C">
      <w:pPr>
        <w:spacing w:line="360" w:lineRule="auto"/>
        <w:ind w:right="-592"/>
        <w:jc w:val="both"/>
        <w:rPr>
          <w:rFonts w:ascii="Palatino Linotype" w:eastAsia="Palatino Linotype" w:hAnsi="Palatino Linotype" w:cs="Palatino Linotype"/>
          <w:b/>
          <w:color w:val="000000"/>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88.</w:t>
      </w:r>
      <w:r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color w:val="000000"/>
        </w:rPr>
        <w:t xml:space="preserve">Así mismo, la </w:t>
      </w:r>
      <w:r w:rsidRPr="00F137E5">
        <w:rPr>
          <w:rFonts w:ascii="Palatino Linotype" w:eastAsia="Palatino Linotype" w:hAnsi="Palatino Linotype" w:cs="Palatino Linotype"/>
          <w:b/>
          <w:color w:val="000000"/>
        </w:rPr>
        <w:t>Ley de Transparencia y Acceso a la Información Pública del Estado de México y Municipios</w:t>
      </w:r>
      <w:r w:rsidRPr="00F137E5">
        <w:rPr>
          <w:rFonts w:ascii="Palatino Linotype" w:eastAsia="Palatino Linotype" w:hAnsi="Palatino Linotype" w:cs="Palatino Linotype"/>
          <w:color w:val="000000"/>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8C7D5C" w:rsidRPr="00F137E5" w:rsidRDefault="00074B8B">
      <w:pPr>
        <w:pBdr>
          <w:top w:val="nil"/>
          <w:left w:val="nil"/>
          <w:bottom w:val="nil"/>
          <w:right w:val="nil"/>
          <w:between w:val="nil"/>
        </w:pBdr>
        <w:spacing w:line="360" w:lineRule="auto"/>
        <w:ind w:left="567" w:right="-25"/>
        <w:jc w:val="both"/>
        <w:rPr>
          <w:rFonts w:ascii="Palatino Linotype" w:eastAsia="Palatino Linotype" w:hAnsi="Palatino Linotype" w:cs="Palatino Linotype"/>
          <w:b/>
          <w:i/>
          <w:color w:val="000000"/>
        </w:rPr>
      </w:pPr>
      <w:r w:rsidRPr="00F137E5">
        <w:rPr>
          <w:rFonts w:ascii="Palatino Linotype" w:eastAsia="Palatino Linotype" w:hAnsi="Palatino Linotype" w:cs="Palatino Linotype"/>
          <w:i/>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F137E5">
        <w:rPr>
          <w:rFonts w:ascii="Palatino Linotype" w:eastAsia="Palatino Linotype" w:hAnsi="Palatino Linotype" w:cs="Palatino Linotype"/>
          <w:b/>
          <w:i/>
          <w:color w:val="000000"/>
        </w:rPr>
        <w:t>Los Sujetos Obligados deben poner en práctica, políticas y programas de acceso a la información que se apeguen a criterios de publicidad, veracidad, oportunidad, precisión y suficiencia en beneficio de los solicitantes.</w:t>
      </w:r>
    </w:p>
    <w:p w:rsidR="008C7D5C" w:rsidRPr="00F137E5" w:rsidRDefault="008C7D5C">
      <w:pPr>
        <w:spacing w:line="360" w:lineRule="auto"/>
        <w:ind w:right="-592"/>
        <w:jc w:val="both"/>
        <w:rPr>
          <w:rFonts w:ascii="Palatino Linotype" w:eastAsia="Palatino Linotype" w:hAnsi="Palatino Linotype" w:cs="Palatino Linotype"/>
          <w:b/>
          <w:i/>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 xml:space="preserve">89. </w:t>
      </w:r>
      <w:r w:rsidRPr="00F137E5">
        <w:rPr>
          <w:rFonts w:ascii="Palatino Linotype" w:eastAsia="Palatino Linotype" w:hAnsi="Palatino Linotype" w:cs="Palatino Linotype"/>
          <w:color w:val="000000"/>
        </w:rPr>
        <w:t xml:space="preserve">Numerales que compelen al </w:t>
      </w:r>
      <w:r w:rsidRPr="00F137E5">
        <w:rPr>
          <w:rFonts w:ascii="Palatino Linotype" w:eastAsia="Palatino Linotype" w:hAnsi="Palatino Linotype" w:cs="Palatino Linotype"/>
          <w:b/>
          <w:color w:val="000000"/>
        </w:rPr>
        <w:t>SUJETO OBLIGADO</w:t>
      </w:r>
      <w:r w:rsidRPr="00F137E5">
        <w:rPr>
          <w:rFonts w:ascii="Palatino Linotype" w:eastAsia="Palatino Linotype" w:hAnsi="Palatino Linotype" w:cs="Palatino Linotype"/>
          <w:color w:val="000000"/>
        </w:rPr>
        <w:t xml:space="preserve"> a apegarse en todo momento a los criterios ya expuestos, </w:t>
      </w:r>
      <w:r w:rsidRPr="00F137E5">
        <w:rPr>
          <w:rFonts w:ascii="Palatino Linotype" w:eastAsia="Palatino Linotype" w:hAnsi="Palatino Linotype" w:cs="Palatino Linotype"/>
        </w:rPr>
        <w:t>impidiendo</w:t>
      </w:r>
      <w:r w:rsidRPr="00F137E5">
        <w:rPr>
          <w:rFonts w:ascii="Palatino Linotype" w:eastAsia="Palatino Linotype" w:hAnsi="Palatino Linotype" w:cs="Palatino Linotype"/>
          <w:color w:val="000000"/>
        </w:rPr>
        <w:t xml:space="preserve"> a este Órgano Colegiado cuestionar la veracidad de la información. En ese contexto, en razón del artículo 166 de la Ley de Transparencia y Acceso </w:t>
      </w:r>
      <w:r w:rsidRPr="00F137E5">
        <w:rPr>
          <w:rFonts w:ascii="Palatino Linotype" w:eastAsia="Palatino Linotype" w:hAnsi="Palatino Linotype" w:cs="Palatino Linotype"/>
          <w:color w:val="000000"/>
        </w:rPr>
        <w:lastRenderedPageBreak/>
        <w:t>a la Información Pública del Estado de México y Municipios, que establece que la obligación de acceso a la información pública se tendrá por cumplida cuando el solicitante tenga a su disposición la información requerida.</w:t>
      </w:r>
    </w:p>
    <w:p w:rsidR="008C7D5C" w:rsidRPr="00F137E5" w:rsidRDefault="008C7D5C">
      <w:pPr>
        <w:pBdr>
          <w:top w:val="nil"/>
          <w:left w:val="nil"/>
          <w:bottom w:val="nil"/>
          <w:right w:val="nil"/>
          <w:between w:val="nil"/>
        </w:pBdr>
        <w:tabs>
          <w:tab w:val="left" w:pos="284"/>
        </w:tabs>
        <w:spacing w:line="360" w:lineRule="auto"/>
        <w:ind w:right="-592"/>
        <w:jc w:val="both"/>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90.</w:t>
      </w:r>
      <w:r w:rsidRPr="00F137E5">
        <w:rPr>
          <w:rFonts w:ascii="Palatino Linotype" w:eastAsia="Palatino Linotype" w:hAnsi="Palatino Linotype" w:cs="Palatino Linotype"/>
        </w:rPr>
        <w:t xml:space="preserve"> Empero, si bien es cierto no se puede dudar de la veracidad de lo entregado, no debe perderse de vista que si se aceptó que existen obras proyectadas, tan es así que refiere que de las obras proyectadas aún no se asignan, por lo que a efecto de colmar a cabalidad la solicitud de mérito, debió en todo caso remitirse la relación de obras proyectadas; resultando dable ordenar su entrega.</w:t>
      </w:r>
    </w:p>
    <w:p w:rsidR="008C7D5C" w:rsidRPr="00F137E5" w:rsidRDefault="008C7D5C">
      <w:pPr>
        <w:pBdr>
          <w:top w:val="nil"/>
          <w:left w:val="nil"/>
          <w:bottom w:val="nil"/>
          <w:right w:val="nil"/>
          <w:between w:val="nil"/>
        </w:pBdr>
        <w:spacing w:line="360" w:lineRule="auto"/>
        <w:ind w:left="720" w:right="-592"/>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91. </w:t>
      </w:r>
      <w:r w:rsidRPr="00F137E5">
        <w:rPr>
          <w:rFonts w:ascii="Palatino Linotype" w:eastAsia="Palatino Linotype" w:hAnsi="Palatino Linotype" w:cs="Palatino Linotype"/>
        </w:rPr>
        <w:t>Relativo a los montos y la asignación a empresa o persona física de obras públicas de acuerdo a la programación anual de obras 2023, se tuvo a bien remitir un listado con los rubros de: nombre de la obra, presupuesto anual autorizado, tipo de ejecución y tipo de adjudicación, como se observa:</w:t>
      </w:r>
    </w:p>
    <w:p w:rsidR="008C7D5C" w:rsidRPr="00F137E5" w:rsidRDefault="00074B8B">
      <w:pPr>
        <w:ind w:right="-592"/>
        <w:jc w:val="center"/>
        <w:rPr>
          <w:rFonts w:ascii="Palatino Linotype" w:eastAsia="Palatino Linotype" w:hAnsi="Palatino Linotype" w:cs="Palatino Linotype"/>
        </w:rPr>
      </w:pPr>
      <w:r w:rsidRPr="00F137E5">
        <w:rPr>
          <w:rFonts w:ascii="Palatino Linotype" w:eastAsia="Palatino Linotype" w:hAnsi="Palatino Linotype" w:cs="Palatino Linotype"/>
          <w:noProof/>
        </w:rPr>
        <w:lastRenderedPageBreak/>
        <w:drawing>
          <wp:inline distT="0" distB="0" distL="0" distR="0">
            <wp:extent cx="3067125" cy="2963689"/>
            <wp:effectExtent l="0" t="0" r="0" b="0"/>
            <wp:docPr id="20308430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3067125" cy="2963689"/>
                    </a:xfrm>
                    <a:prstGeom prst="rect">
                      <a:avLst/>
                    </a:prstGeom>
                    <a:ln/>
                  </pic:spPr>
                </pic:pic>
              </a:graphicData>
            </a:graphic>
          </wp:inline>
        </w:drawing>
      </w:r>
    </w:p>
    <w:p w:rsidR="008C7D5C" w:rsidRPr="00F137E5" w:rsidRDefault="00074B8B">
      <w:pPr>
        <w:ind w:right="-592"/>
        <w:jc w:val="center"/>
        <w:rPr>
          <w:rFonts w:ascii="Palatino Linotype" w:eastAsia="Palatino Linotype" w:hAnsi="Palatino Linotype" w:cs="Palatino Linotype"/>
        </w:rPr>
      </w:pPr>
      <w:r w:rsidRPr="00F137E5">
        <w:rPr>
          <w:rFonts w:ascii="Palatino Linotype" w:eastAsia="Palatino Linotype" w:hAnsi="Palatino Linotype" w:cs="Palatino Linotype"/>
        </w:rPr>
        <w:t>(…)</w:t>
      </w:r>
    </w:p>
    <w:p w:rsidR="008C7D5C" w:rsidRPr="00F137E5" w:rsidRDefault="008C7D5C">
      <w:pPr>
        <w:ind w:right="-592"/>
        <w:rPr>
          <w:rFonts w:ascii="Palatino Linotype" w:eastAsia="Palatino Linotype" w:hAnsi="Palatino Linotype" w:cs="Palatino Linotype"/>
        </w:rPr>
      </w:pPr>
    </w:p>
    <w:p w:rsidR="008C7D5C" w:rsidRPr="00F137E5" w:rsidRDefault="008C7D5C">
      <w:pPr>
        <w:ind w:right="-592"/>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i/>
        </w:rPr>
      </w:pPr>
      <w:r w:rsidRPr="00F137E5">
        <w:rPr>
          <w:rFonts w:ascii="Palatino Linotype" w:eastAsia="Palatino Linotype" w:hAnsi="Palatino Linotype" w:cs="Palatino Linotype"/>
          <w:b/>
        </w:rPr>
        <w:t xml:space="preserve">92. </w:t>
      </w:r>
      <w:r w:rsidRPr="00F137E5">
        <w:rPr>
          <w:rFonts w:ascii="Palatino Linotype" w:eastAsia="Palatino Linotype" w:hAnsi="Palatino Linotype" w:cs="Palatino Linotype"/>
        </w:rPr>
        <w:t xml:space="preserve">Luego entonces se tiene que se encuentra colmado el rubro en comento; toda vez que el documento entregado da cuenta de los rubros que puntualmente se señalan aun y cuando estos obren en un documento </w:t>
      </w:r>
      <w:r w:rsidRPr="00F137E5">
        <w:rPr>
          <w:rFonts w:ascii="Palatino Linotype" w:eastAsia="Palatino Linotype" w:hAnsi="Palatino Linotype" w:cs="Palatino Linotype"/>
          <w:i/>
        </w:rPr>
        <w:t>ad hoc</w:t>
      </w:r>
      <w:r w:rsidRPr="00F137E5">
        <w:rPr>
          <w:rFonts w:ascii="Palatino Linotype" w:eastAsia="Palatino Linotype" w:hAnsi="Palatino Linotype" w:cs="Palatino Linotype"/>
        </w:rPr>
        <w:t>; los cuales si bien no están obligados a generar los sujetos obligados, también lo es que no existe precepto jurídico que lo impida.</w:t>
      </w:r>
    </w:p>
    <w:p w:rsidR="008C7D5C" w:rsidRPr="00F137E5" w:rsidRDefault="008C7D5C">
      <w:pPr>
        <w:spacing w:line="360" w:lineRule="auto"/>
        <w:ind w:right="-592"/>
        <w:jc w:val="both"/>
        <w:rPr>
          <w:rFonts w:ascii="Palatino Linotype" w:eastAsia="Palatino Linotype" w:hAnsi="Palatino Linotype" w:cs="Palatino Linotype"/>
          <w:i/>
        </w:rPr>
      </w:pPr>
    </w:p>
    <w:p w:rsidR="00E836C1"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93. </w:t>
      </w:r>
      <w:r w:rsidRPr="00F137E5">
        <w:rPr>
          <w:rFonts w:ascii="Palatino Linotype" w:eastAsia="Palatino Linotype" w:hAnsi="Palatino Linotype" w:cs="Palatino Linotype"/>
        </w:rPr>
        <w:t>Finalmente, existe un pronunciamiento que respecto de contratos de obras públicas y de servicios, de fecha uno de enero al veintinueve de febrero de dos mil veinticuatro, no se adjudicó contrato alguno de obra pública, teniendo por colmado el rubro de mérito en razón de los argumentos anteriormente vertidos, a saber: hecho negativo, dudar de la veracidad; que se tienen por reproducidos como si a la letra se insertase en obvio de repeticiones innecesarias.</w:t>
      </w:r>
    </w:p>
    <w:p w:rsidR="00E836C1" w:rsidRPr="00F137E5" w:rsidRDefault="00E836C1">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lastRenderedPageBreak/>
        <w:t xml:space="preserve">94. </w:t>
      </w:r>
      <w:r w:rsidRPr="00F137E5">
        <w:rPr>
          <w:rFonts w:ascii="Palatino Linotype" w:eastAsia="Palatino Linotype" w:hAnsi="Palatino Linotype" w:cs="Palatino Linotype"/>
        </w:rPr>
        <w:t xml:space="preserve">Ahora bien, en lo que respecta a la </w:t>
      </w:r>
      <w:r w:rsidRPr="00F137E5">
        <w:rPr>
          <w:rFonts w:ascii="Palatino Linotype" w:eastAsia="Palatino Linotype" w:hAnsi="Palatino Linotype" w:cs="Palatino Linotype"/>
          <w:b/>
        </w:rPr>
        <w:t xml:space="preserve">relación de obras, montos y forma de asignación de aquellas que se encuentran en curso y las proyectadas en el 2023, </w:t>
      </w:r>
      <w:r w:rsidRPr="00F137E5">
        <w:rPr>
          <w:rFonts w:ascii="Palatino Linotype" w:eastAsia="Palatino Linotype" w:hAnsi="Palatino Linotype" w:cs="Palatino Linotype"/>
        </w:rPr>
        <w:t>es necesario observar lo dispuesto por el Código Administrativo del Estado de México, específicamente en su artículo 12.15 que establece que corresponde a los Ayuntamientos formular los programas de obra pública o de servicios relacionados con la misma, con base en las políticas, objetivos y prioridades de la planeación del desarrollo del Municipio</w:t>
      </w:r>
      <w:r w:rsidRPr="00F137E5">
        <w:rPr>
          <w:rFonts w:ascii="Palatino Linotype" w:eastAsia="Palatino Linotype" w:hAnsi="Palatino Linotype" w:cs="Palatino Linotype"/>
          <w:vertAlign w:val="superscript"/>
        </w:rPr>
        <w:t>.</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95.</w:t>
      </w:r>
      <w:r w:rsidRPr="00F137E5">
        <w:rPr>
          <w:rFonts w:ascii="Palatino Linotype" w:eastAsia="Palatino Linotype" w:hAnsi="Palatino Linotype" w:cs="Palatino Linotype"/>
        </w:rPr>
        <w:t xml:space="preserve"> Aunado a lo anterior, el Manual para la Planeación, Programación y </w:t>
      </w:r>
      <w:proofErr w:type="spellStart"/>
      <w:r w:rsidRPr="00F137E5">
        <w:rPr>
          <w:rFonts w:ascii="Palatino Linotype" w:eastAsia="Palatino Linotype" w:hAnsi="Palatino Linotype" w:cs="Palatino Linotype"/>
        </w:rPr>
        <w:t>Presupuestación</w:t>
      </w:r>
      <w:proofErr w:type="spellEnd"/>
      <w:r w:rsidRPr="00F137E5">
        <w:rPr>
          <w:rFonts w:ascii="Palatino Linotype" w:eastAsia="Palatino Linotype" w:hAnsi="Palatino Linotype" w:cs="Palatino Linotype"/>
        </w:rPr>
        <w:t xml:space="preserve"> Municipal para el Ejercicio Fiscal el cual garantiza realizar la integración del proyecto de presupuesto de egresos municipal, que sustente programas y proyectos que se ejecutarán en el ejercicio fiscal, orientando éstos a la realización de acciones que den cumplimiento a objetivos preestablecidos en el Plan de Desarrollo Municipal (PDM), los cuales serán verificados a través de indicadores y metas previstas a alcanzar; además en el cual se determinan los formatos impresos que deben integrarse, como se ilustra a continuación:</w:t>
      </w:r>
    </w:p>
    <w:p w:rsidR="008C7D5C" w:rsidRPr="00F137E5" w:rsidRDefault="00074B8B">
      <w:pPr>
        <w:ind w:right="-592"/>
        <w:jc w:val="center"/>
        <w:rPr>
          <w:rFonts w:ascii="Palatino Linotype" w:eastAsia="Palatino Linotype" w:hAnsi="Palatino Linotype" w:cs="Palatino Linotype"/>
        </w:rPr>
      </w:pPr>
      <w:r w:rsidRPr="00F137E5">
        <w:rPr>
          <w:rFonts w:ascii="Palatino Linotype" w:eastAsia="Palatino Linotype" w:hAnsi="Palatino Linotype" w:cs="Palatino Linotype"/>
          <w:noProof/>
        </w:rPr>
        <w:lastRenderedPageBreak/>
        <w:drawing>
          <wp:inline distT="0" distB="0" distL="0" distR="0">
            <wp:extent cx="4314825" cy="3219450"/>
            <wp:effectExtent l="0" t="0" r="0" b="0"/>
            <wp:docPr id="203084307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l="32390" t="29802" r="30269" b="22104"/>
                    <a:stretch>
                      <a:fillRect/>
                    </a:stretch>
                  </pic:blipFill>
                  <pic:spPr>
                    <a:xfrm>
                      <a:off x="0" y="0"/>
                      <a:ext cx="4314825" cy="3219450"/>
                    </a:xfrm>
                    <a:prstGeom prst="rect">
                      <a:avLst/>
                    </a:prstGeom>
                    <a:ln/>
                  </pic:spPr>
                </pic:pic>
              </a:graphicData>
            </a:graphic>
          </wp:inline>
        </w:drawing>
      </w:r>
      <w:r w:rsidRPr="00F137E5">
        <w:rPr>
          <w:rFonts w:ascii="Palatino Linotype" w:hAnsi="Palatino Linotype"/>
          <w:noProof/>
        </w:rPr>
        <mc:AlternateContent>
          <mc:Choice Requires="wps">
            <w:drawing>
              <wp:anchor distT="0" distB="0" distL="114300" distR="114300" simplePos="0" relativeHeight="251659264" behindDoc="0" locked="0" layoutInCell="1" hidden="0" allowOverlap="1">
                <wp:simplePos x="0" y="0"/>
                <wp:positionH relativeFrom="column">
                  <wp:posOffset>863600</wp:posOffset>
                </wp:positionH>
                <wp:positionV relativeFrom="paragraph">
                  <wp:posOffset>2743200</wp:posOffset>
                </wp:positionV>
                <wp:extent cx="2814955" cy="297815"/>
                <wp:effectExtent l="0" t="0" r="0" b="0"/>
                <wp:wrapNone/>
                <wp:docPr id="2030843056" name="Rectángulo 2030843056"/>
                <wp:cNvGraphicFramePr/>
                <a:graphic xmlns:a="http://schemas.openxmlformats.org/drawingml/2006/main">
                  <a:graphicData uri="http://schemas.microsoft.com/office/word/2010/wordprocessingShape">
                    <wps:wsp>
                      <wps:cNvSpPr/>
                      <wps:spPr>
                        <a:xfrm>
                          <a:off x="3952810" y="3645698"/>
                          <a:ext cx="2786380" cy="268605"/>
                        </a:xfrm>
                        <a:prstGeom prst="rect">
                          <a:avLst/>
                        </a:prstGeom>
                        <a:noFill/>
                        <a:ln w="28575" cap="flat" cmpd="sng">
                          <a:solidFill>
                            <a:srgbClr val="FF0000"/>
                          </a:solidFill>
                          <a:prstDash val="solid"/>
                          <a:round/>
                          <a:headEnd type="none" w="sm" len="sm"/>
                          <a:tailEnd type="none" w="sm" len="sm"/>
                        </a:ln>
                      </wps:spPr>
                      <wps:txbx>
                        <w:txbxContent>
                          <w:p w:rsidR="000F76E9" w:rsidRDefault="000F76E9">
                            <w:pPr>
                              <w:textDirection w:val="btLr"/>
                            </w:pPr>
                          </w:p>
                        </w:txbxContent>
                      </wps:txbx>
                      <wps:bodyPr spcFirstLastPara="1" wrap="square" lIns="91425" tIns="91425" rIns="91425" bIns="91425" anchor="ctr" anchorCtr="0">
                        <a:noAutofit/>
                      </wps:bodyPr>
                    </wps:wsp>
                  </a:graphicData>
                </a:graphic>
              </wp:anchor>
            </w:drawing>
          </mc:Choice>
          <mc:Fallback>
            <w:pict>
              <v:rect id="Rectángulo 2030843056" o:spid="_x0000_s1027" style="position:absolute;left:0;text-align:left;margin-left:68pt;margin-top:3in;width:221.65pt;height:2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" filled="f" strokecolor="red" strokeweight="2.25pt">
                <v:stroke startarrowwidth="narrow" startarrowlength="short" endarrowwidth="narrow" endarrowlength="short" joinstyle="round"/>
                <v:textbox inset="2.53958mm,2.53958mm,2.53958mm,2.53958mm">
                  <w:txbxContent>
                    <w:p w:rsidR="000F76E9" w:rsidRDefault="000F76E9">
                      <w:pPr>
                        <w:textDirection w:val="btLr"/>
                      </w:pPr>
                    </w:p>
                  </w:txbxContent>
                </v:textbox>
              </v:rect>
            </w:pict>
          </mc:Fallback>
        </mc:AlternateContent>
      </w:r>
    </w:p>
    <w:p w:rsidR="008C7D5C" w:rsidRPr="00F137E5" w:rsidRDefault="008C7D5C">
      <w:pPr>
        <w:tabs>
          <w:tab w:val="left" w:pos="2552"/>
        </w:tabs>
        <w:spacing w:line="360" w:lineRule="auto"/>
        <w:ind w:right="-592"/>
        <w:jc w:val="both"/>
        <w:rPr>
          <w:rFonts w:ascii="Palatino Linotype" w:eastAsia="Palatino Linotype" w:hAnsi="Palatino Linotype" w:cs="Palatino Linotype"/>
        </w:rPr>
      </w:pPr>
    </w:p>
    <w:p w:rsidR="008C7D5C" w:rsidRPr="00F137E5" w:rsidRDefault="008C7D5C">
      <w:pPr>
        <w:tabs>
          <w:tab w:val="left" w:pos="2552"/>
        </w:tabs>
        <w:spacing w:line="360" w:lineRule="auto"/>
        <w:ind w:right="-592"/>
        <w:jc w:val="both"/>
        <w:rPr>
          <w:rFonts w:ascii="Palatino Linotype" w:eastAsia="Palatino Linotype" w:hAnsi="Palatino Linotype" w:cs="Palatino Linotype"/>
        </w:rPr>
      </w:pPr>
    </w:p>
    <w:p w:rsidR="008C7D5C" w:rsidRPr="00F137E5" w:rsidRDefault="008C7D5C">
      <w:pPr>
        <w:tabs>
          <w:tab w:val="left" w:pos="2552"/>
        </w:tabs>
        <w:spacing w:line="360" w:lineRule="auto"/>
        <w:ind w:right="-592"/>
        <w:jc w:val="both"/>
        <w:rPr>
          <w:rFonts w:ascii="Palatino Linotype" w:eastAsia="Palatino Linotype" w:hAnsi="Palatino Linotype" w:cs="Palatino Linotype"/>
        </w:rPr>
      </w:pPr>
    </w:p>
    <w:p w:rsidR="008C7D5C" w:rsidRPr="00F137E5" w:rsidRDefault="008C7D5C">
      <w:pPr>
        <w:tabs>
          <w:tab w:val="left" w:pos="2552"/>
        </w:tabs>
        <w:spacing w:line="360" w:lineRule="auto"/>
        <w:ind w:right="-592"/>
        <w:jc w:val="both"/>
        <w:rPr>
          <w:rFonts w:ascii="Palatino Linotype" w:eastAsia="Palatino Linotype" w:hAnsi="Palatino Linotype" w:cs="Palatino Linotype"/>
        </w:rPr>
      </w:pPr>
    </w:p>
    <w:p w:rsidR="008C7D5C" w:rsidRPr="00F137E5" w:rsidRDefault="008C7D5C">
      <w:pPr>
        <w:tabs>
          <w:tab w:val="left" w:pos="2552"/>
        </w:tabs>
        <w:spacing w:line="360" w:lineRule="auto"/>
        <w:ind w:right="-592"/>
        <w:jc w:val="both"/>
        <w:rPr>
          <w:rFonts w:ascii="Palatino Linotype" w:eastAsia="Palatino Linotype" w:hAnsi="Palatino Linotype" w:cs="Palatino Linotype"/>
        </w:rPr>
      </w:pPr>
    </w:p>
    <w:p w:rsidR="008C7D5C" w:rsidRPr="00F137E5" w:rsidRDefault="008C7D5C">
      <w:pPr>
        <w:tabs>
          <w:tab w:val="left" w:pos="2552"/>
        </w:tabs>
        <w:spacing w:line="360" w:lineRule="auto"/>
        <w:ind w:right="-592"/>
        <w:jc w:val="both"/>
        <w:rPr>
          <w:rFonts w:ascii="Palatino Linotype" w:eastAsia="Palatino Linotype" w:hAnsi="Palatino Linotype" w:cs="Palatino Linotype"/>
        </w:rPr>
      </w:pPr>
    </w:p>
    <w:p w:rsidR="008C7D5C" w:rsidRPr="00F137E5" w:rsidRDefault="008C7D5C">
      <w:pPr>
        <w:tabs>
          <w:tab w:val="left" w:pos="2552"/>
        </w:tabs>
        <w:spacing w:line="360" w:lineRule="auto"/>
        <w:ind w:right="-592"/>
        <w:jc w:val="both"/>
        <w:rPr>
          <w:rFonts w:ascii="Palatino Linotype" w:eastAsia="Palatino Linotype" w:hAnsi="Palatino Linotype" w:cs="Palatino Linotype"/>
        </w:rPr>
      </w:pPr>
    </w:p>
    <w:p w:rsidR="008C7D5C" w:rsidRPr="00F137E5" w:rsidRDefault="008C7D5C">
      <w:pPr>
        <w:tabs>
          <w:tab w:val="left" w:pos="2552"/>
        </w:tabs>
        <w:spacing w:line="360" w:lineRule="auto"/>
        <w:ind w:right="-592"/>
        <w:jc w:val="both"/>
        <w:rPr>
          <w:rFonts w:ascii="Palatino Linotype" w:eastAsia="Palatino Linotype" w:hAnsi="Palatino Linotype" w:cs="Palatino Linotype"/>
        </w:rPr>
      </w:pPr>
    </w:p>
    <w:p w:rsidR="008C7D5C" w:rsidRPr="00F137E5" w:rsidRDefault="008C7D5C">
      <w:pPr>
        <w:tabs>
          <w:tab w:val="left" w:pos="2552"/>
        </w:tabs>
        <w:spacing w:line="360" w:lineRule="auto"/>
        <w:ind w:right="-592"/>
        <w:jc w:val="both"/>
        <w:rPr>
          <w:rFonts w:ascii="Palatino Linotype" w:eastAsia="Palatino Linotype" w:hAnsi="Palatino Linotype" w:cs="Palatino Linotype"/>
        </w:rPr>
      </w:pPr>
    </w:p>
    <w:p w:rsidR="008C7D5C" w:rsidRPr="00F137E5" w:rsidRDefault="008C7D5C">
      <w:pPr>
        <w:tabs>
          <w:tab w:val="left" w:pos="2552"/>
        </w:tabs>
        <w:spacing w:line="360" w:lineRule="auto"/>
        <w:ind w:right="-592"/>
        <w:jc w:val="both"/>
        <w:rPr>
          <w:rFonts w:ascii="Palatino Linotype" w:eastAsia="Palatino Linotype" w:hAnsi="Palatino Linotype" w:cs="Palatino Linotype"/>
        </w:rPr>
      </w:pPr>
    </w:p>
    <w:p w:rsidR="008C7D5C" w:rsidRDefault="008C7D5C">
      <w:pPr>
        <w:tabs>
          <w:tab w:val="left" w:pos="2552"/>
        </w:tabs>
        <w:spacing w:line="360" w:lineRule="auto"/>
        <w:ind w:right="-592"/>
        <w:jc w:val="both"/>
        <w:rPr>
          <w:rFonts w:ascii="Palatino Linotype" w:eastAsia="Palatino Linotype" w:hAnsi="Palatino Linotype" w:cs="Palatino Linotype"/>
        </w:rPr>
      </w:pPr>
    </w:p>
    <w:p w:rsidR="005E654A" w:rsidRDefault="005E654A">
      <w:pPr>
        <w:tabs>
          <w:tab w:val="left" w:pos="2552"/>
        </w:tabs>
        <w:spacing w:line="360" w:lineRule="auto"/>
        <w:ind w:right="-592"/>
        <w:jc w:val="both"/>
        <w:rPr>
          <w:rFonts w:ascii="Palatino Linotype" w:eastAsia="Palatino Linotype" w:hAnsi="Palatino Linotype" w:cs="Palatino Linotype"/>
        </w:rPr>
      </w:pPr>
    </w:p>
    <w:p w:rsidR="005E654A" w:rsidRPr="00F137E5" w:rsidRDefault="005E654A">
      <w:pPr>
        <w:tabs>
          <w:tab w:val="left" w:pos="2552"/>
        </w:tabs>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lastRenderedPageBreak/>
        <w:t xml:space="preserve">96. </w:t>
      </w:r>
      <w:r w:rsidRPr="00F137E5">
        <w:rPr>
          <w:rFonts w:ascii="Palatino Linotype" w:eastAsia="Palatino Linotype" w:hAnsi="Palatino Linotype" w:cs="Palatino Linotype"/>
        </w:rPr>
        <w:t>Mismo que se maneja con el formato siguiente:</w:t>
      </w:r>
    </w:p>
    <w:p w:rsidR="008C7D5C" w:rsidRPr="00F137E5" w:rsidRDefault="00074B8B">
      <w:pPr>
        <w:spacing w:line="360" w:lineRule="auto"/>
        <w:ind w:right="-592"/>
        <w:jc w:val="center"/>
        <w:rPr>
          <w:rFonts w:ascii="Palatino Linotype" w:eastAsia="Palatino Linotype" w:hAnsi="Palatino Linotype" w:cs="Palatino Linotype"/>
        </w:rPr>
      </w:pPr>
      <w:r w:rsidRPr="00F137E5">
        <w:rPr>
          <w:rFonts w:ascii="Palatino Linotype" w:eastAsia="Palatino Linotype" w:hAnsi="Palatino Linotype" w:cs="Palatino Linotype"/>
          <w:noProof/>
        </w:rPr>
        <w:drawing>
          <wp:inline distT="0" distB="0" distL="0" distR="0">
            <wp:extent cx="4286250" cy="3086100"/>
            <wp:effectExtent l="0" t="0" r="0" b="0"/>
            <wp:docPr id="203084308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4286250" cy="3086100"/>
                    </a:xfrm>
                    <a:prstGeom prst="rect">
                      <a:avLst/>
                    </a:prstGeom>
                    <a:ln/>
                  </pic:spPr>
                </pic:pic>
              </a:graphicData>
            </a:graphic>
          </wp:inline>
        </w:drawing>
      </w:r>
    </w:p>
    <w:p w:rsidR="008C7D5C" w:rsidRPr="00F137E5" w:rsidRDefault="008C7D5C">
      <w:pPr>
        <w:spacing w:line="360" w:lineRule="auto"/>
        <w:ind w:right="-592"/>
        <w:jc w:val="center"/>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97. </w:t>
      </w:r>
      <w:r w:rsidRPr="00F137E5">
        <w:rPr>
          <w:rFonts w:ascii="Palatino Linotype" w:eastAsia="Palatino Linotype" w:hAnsi="Palatino Linotype" w:cs="Palatino Linotype"/>
        </w:rPr>
        <w:t>Como se ha expuesto en líneas anteriores, el Programa Anual de Obras, se encuentra vinculado con el Presupuesto de Egresos Municipal; para argumentar lo anterior, es indispensable citar lo ordenado por el artículo 125 de la Constitución Política del Estado Libre y Soberano de México, que en su penúltimo párrafo establece que el</w:t>
      </w:r>
      <w:r w:rsidRPr="00F137E5">
        <w:rPr>
          <w:rFonts w:ascii="Palatino Linotype" w:eastAsia="Palatino Linotype" w:hAnsi="Palatino Linotype" w:cs="Palatino Linotype"/>
          <w:b/>
          <w:i/>
        </w:rPr>
        <w:t xml:space="preserve"> </w:t>
      </w:r>
      <w:r w:rsidRPr="00F137E5">
        <w:rPr>
          <w:rFonts w:ascii="Palatino Linotype" w:eastAsia="Palatino Linotype" w:hAnsi="Palatino Linotype" w:cs="Palatino Linotype"/>
        </w:rPr>
        <w:t>Presidente Municipal, promulgará y publicará el Presupuesto de Egresos Municipal, a más tardar el día 25 de febrero de cada año debiendo enviarlo al Órgano Superior de Fiscalización en la misma fecha</w:t>
      </w:r>
      <w:r w:rsidRPr="00F137E5">
        <w:rPr>
          <w:rFonts w:ascii="Palatino Linotype" w:eastAsia="Palatino Linotype" w:hAnsi="Palatino Linotype" w:cs="Palatino Linotype"/>
          <w:b/>
          <w:i/>
        </w:rPr>
        <w:t xml:space="preserve">;  </w:t>
      </w:r>
      <w:r w:rsidRPr="00F137E5">
        <w:rPr>
          <w:rFonts w:ascii="Palatino Linotype" w:eastAsia="Palatino Linotype" w:hAnsi="Palatino Linotype" w:cs="Palatino Linotype"/>
        </w:rPr>
        <w:t xml:space="preserve">de lo cual se colige que deberá presentar la propuesta correspondiente, a fin de que el día veinticinco de febrero de cada año pueda llevarse a cabo su promulgación y publicación e informar al Órgano Superior de Fiscalización del Estado de México. </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lastRenderedPageBreak/>
        <w:t xml:space="preserve">98. </w:t>
      </w:r>
      <w:r w:rsidRPr="00F137E5">
        <w:rPr>
          <w:rFonts w:ascii="Palatino Linotype" w:eastAsia="Palatino Linotype" w:hAnsi="Palatino Linotype" w:cs="Palatino Linotype"/>
        </w:rPr>
        <w:t xml:space="preserve">Por otro lado, de conformidad con el Acuerdo del Secretario de Infraestructura por el que se Establece el índice de Expediente Único de Obra Pública e Instructivos de Llenado en las modalidades de Adjudicación Directa, Invitación Restringida y Licitación Pública, se establece que los expedientes deberán contener la siguiente información: </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noProof/>
        </w:rPr>
        <w:drawing>
          <wp:inline distT="0" distB="0" distL="0" distR="0">
            <wp:extent cx="5362575" cy="1419225"/>
            <wp:effectExtent l="0" t="0" r="0" b="0"/>
            <wp:docPr id="20308430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b="81361"/>
                    <a:stretch>
                      <a:fillRect/>
                    </a:stretch>
                  </pic:blipFill>
                  <pic:spPr>
                    <a:xfrm>
                      <a:off x="0" y="0"/>
                      <a:ext cx="5362575" cy="1419225"/>
                    </a:xfrm>
                    <a:prstGeom prst="rect">
                      <a:avLst/>
                    </a:prstGeom>
                    <a:ln/>
                  </pic:spPr>
                </pic:pic>
              </a:graphicData>
            </a:graphic>
          </wp:inline>
        </w:drawing>
      </w:r>
    </w:p>
    <w:p w:rsidR="008C7D5C" w:rsidRPr="00F137E5" w:rsidRDefault="00074B8B">
      <w:pPr>
        <w:spacing w:line="360" w:lineRule="auto"/>
        <w:ind w:right="-592"/>
        <w:jc w:val="center"/>
        <w:rPr>
          <w:rFonts w:ascii="Palatino Linotype" w:eastAsia="Palatino Linotype" w:hAnsi="Palatino Linotype" w:cs="Palatino Linotype"/>
        </w:rPr>
      </w:pPr>
      <w:r w:rsidRPr="00F137E5">
        <w:rPr>
          <w:rFonts w:ascii="Palatino Linotype" w:eastAsia="Palatino Linotype" w:hAnsi="Palatino Linotype" w:cs="Palatino Linotype"/>
          <w:noProof/>
        </w:rPr>
        <w:lastRenderedPageBreak/>
        <w:drawing>
          <wp:inline distT="0" distB="0" distL="0" distR="0">
            <wp:extent cx="5391150" cy="4629150"/>
            <wp:effectExtent l="0" t="0" r="0" b="0"/>
            <wp:docPr id="203084308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t="18639"/>
                    <a:stretch>
                      <a:fillRect/>
                    </a:stretch>
                  </pic:blipFill>
                  <pic:spPr>
                    <a:xfrm>
                      <a:off x="0" y="0"/>
                      <a:ext cx="5391150" cy="4629150"/>
                    </a:xfrm>
                    <a:prstGeom prst="rect">
                      <a:avLst/>
                    </a:prstGeom>
                    <a:ln/>
                  </pic:spPr>
                </pic:pic>
              </a:graphicData>
            </a:graphic>
          </wp:inline>
        </w:drawing>
      </w:r>
    </w:p>
    <w:p w:rsidR="008C7D5C" w:rsidRPr="00F137E5" w:rsidRDefault="00074B8B">
      <w:pPr>
        <w:spacing w:line="360" w:lineRule="auto"/>
        <w:ind w:left="567" w:right="-592"/>
        <w:jc w:val="center"/>
        <w:rPr>
          <w:rFonts w:ascii="Palatino Linotype" w:eastAsia="Palatino Linotype" w:hAnsi="Palatino Linotype" w:cs="Palatino Linotype"/>
        </w:rPr>
      </w:pPr>
      <w:r w:rsidRPr="00F137E5">
        <w:rPr>
          <w:rFonts w:ascii="Palatino Linotype" w:eastAsia="Palatino Linotype" w:hAnsi="Palatino Linotype" w:cs="Palatino Linotype"/>
          <w:noProof/>
        </w:rPr>
        <w:drawing>
          <wp:inline distT="0" distB="0" distL="0" distR="0">
            <wp:extent cx="4897988" cy="2421983"/>
            <wp:effectExtent l="0" t="0" r="0" b="0"/>
            <wp:docPr id="203084308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4897988" cy="2421983"/>
                    </a:xfrm>
                    <a:prstGeom prst="rect">
                      <a:avLst/>
                    </a:prstGeom>
                    <a:ln/>
                  </pic:spPr>
                </pic:pic>
              </a:graphicData>
            </a:graphic>
          </wp:inline>
        </w:drawing>
      </w:r>
    </w:p>
    <w:p w:rsidR="008C7D5C" w:rsidRPr="00F137E5" w:rsidRDefault="00074B8B">
      <w:pPr>
        <w:spacing w:line="360" w:lineRule="auto"/>
        <w:ind w:right="-592"/>
        <w:jc w:val="center"/>
        <w:rPr>
          <w:rFonts w:ascii="Palatino Linotype" w:eastAsia="Palatino Linotype" w:hAnsi="Palatino Linotype" w:cs="Palatino Linotype"/>
        </w:rPr>
      </w:pPr>
      <w:r w:rsidRPr="00F137E5">
        <w:rPr>
          <w:rFonts w:ascii="Palatino Linotype" w:eastAsia="Palatino Linotype" w:hAnsi="Palatino Linotype" w:cs="Palatino Linotype"/>
          <w:noProof/>
        </w:rPr>
        <w:lastRenderedPageBreak/>
        <w:drawing>
          <wp:inline distT="0" distB="0" distL="0" distR="0">
            <wp:extent cx="5219700" cy="6896100"/>
            <wp:effectExtent l="0" t="0" r="0" b="0"/>
            <wp:docPr id="203084308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219700" cy="6896100"/>
                    </a:xfrm>
                    <a:prstGeom prst="rect">
                      <a:avLst/>
                    </a:prstGeom>
                    <a:ln/>
                  </pic:spPr>
                </pic:pic>
              </a:graphicData>
            </a:graphic>
          </wp:inline>
        </w:drawing>
      </w:r>
    </w:p>
    <w:p w:rsidR="008C7D5C" w:rsidRPr="00F137E5" w:rsidRDefault="00074B8B">
      <w:pPr>
        <w:spacing w:line="360" w:lineRule="auto"/>
        <w:ind w:right="-592"/>
        <w:jc w:val="center"/>
        <w:rPr>
          <w:rFonts w:ascii="Palatino Linotype" w:eastAsia="Palatino Linotype" w:hAnsi="Palatino Linotype" w:cs="Palatino Linotype"/>
        </w:rPr>
      </w:pPr>
      <w:r w:rsidRPr="00F137E5">
        <w:rPr>
          <w:rFonts w:ascii="Palatino Linotype" w:eastAsia="Palatino Linotype" w:hAnsi="Palatino Linotype" w:cs="Palatino Linotype"/>
          <w:noProof/>
        </w:rPr>
        <w:lastRenderedPageBreak/>
        <w:drawing>
          <wp:inline distT="0" distB="0" distL="0" distR="0">
            <wp:extent cx="4933950" cy="3295650"/>
            <wp:effectExtent l="0" t="0" r="0" b="0"/>
            <wp:docPr id="203084308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4933950" cy="3295650"/>
                    </a:xfrm>
                    <a:prstGeom prst="rect">
                      <a:avLst/>
                    </a:prstGeom>
                    <a:ln/>
                  </pic:spPr>
                </pic:pic>
              </a:graphicData>
            </a:graphic>
          </wp:inline>
        </w:drawing>
      </w:r>
    </w:p>
    <w:p w:rsidR="008C7D5C" w:rsidRPr="00F137E5" w:rsidRDefault="00074B8B">
      <w:pPr>
        <w:spacing w:line="360" w:lineRule="auto"/>
        <w:ind w:right="-592"/>
        <w:jc w:val="center"/>
        <w:rPr>
          <w:rFonts w:ascii="Palatino Linotype" w:eastAsia="Palatino Linotype" w:hAnsi="Palatino Linotype" w:cs="Palatino Linotype"/>
        </w:rPr>
      </w:pPr>
      <w:r w:rsidRPr="00F137E5">
        <w:rPr>
          <w:rFonts w:ascii="Palatino Linotype" w:eastAsia="Palatino Linotype" w:hAnsi="Palatino Linotype" w:cs="Palatino Linotype"/>
          <w:noProof/>
        </w:rPr>
        <w:drawing>
          <wp:inline distT="0" distB="0" distL="0" distR="0">
            <wp:extent cx="5438775" cy="3590925"/>
            <wp:effectExtent l="0" t="0" r="0" b="0"/>
            <wp:docPr id="203084305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5438775" cy="3590925"/>
                    </a:xfrm>
                    <a:prstGeom prst="rect">
                      <a:avLst/>
                    </a:prstGeom>
                    <a:ln/>
                  </pic:spPr>
                </pic:pic>
              </a:graphicData>
            </a:graphic>
          </wp:inline>
        </w:drawing>
      </w:r>
    </w:p>
    <w:p w:rsidR="008C7D5C" w:rsidRPr="00F137E5" w:rsidRDefault="008C7D5C">
      <w:pPr>
        <w:spacing w:line="360" w:lineRule="auto"/>
        <w:ind w:right="-592"/>
        <w:jc w:val="center"/>
        <w:rPr>
          <w:rFonts w:ascii="Palatino Linotype" w:eastAsia="Palatino Linotype" w:hAnsi="Palatino Linotype" w:cs="Palatino Linotype"/>
        </w:rPr>
      </w:pPr>
    </w:p>
    <w:p w:rsidR="008C7D5C" w:rsidRPr="00F137E5" w:rsidRDefault="00074B8B">
      <w:pPr>
        <w:spacing w:line="360" w:lineRule="auto"/>
        <w:ind w:right="-592"/>
        <w:jc w:val="center"/>
        <w:rPr>
          <w:rFonts w:ascii="Palatino Linotype" w:eastAsia="Palatino Linotype" w:hAnsi="Palatino Linotype" w:cs="Palatino Linotype"/>
        </w:rPr>
      </w:pPr>
      <w:r w:rsidRPr="00F137E5">
        <w:rPr>
          <w:rFonts w:ascii="Palatino Linotype" w:eastAsia="Palatino Linotype" w:hAnsi="Palatino Linotype" w:cs="Palatino Linotype"/>
          <w:noProof/>
        </w:rPr>
        <w:lastRenderedPageBreak/>
        <w:drawing>
          <wp:inline distT="0" distB="0" distL="0" distR="0">
            <wp:extent cx="5210175" cy="6934200"/>
            <wp:effectExtent l="0" t="0" r="0" b="0"/>
            <wp:docPr id="203084306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5210175" cy="6934200"/>
                    </a:xfrm>
                    <a:prstGeom prst="rect">
                      <a:avLst/>
                    </a:prstGeom>
                    <a:ln/>
                  </pic:spPr>
                </pic:pic>
              </a:graphicData>
            </a:graphic>
          </wp:inline>
        </w:drawing>
      </w:r>
      <w:r w:rsidRPr="00F137E5">
        <w:rPr>
          <w:rFonts w:ascii="Palatino Linotype" w:hAnsi="Palatino Linotype"/>
          <w:noProof/>
        </w:rPr>
        <mc:AlternateContent>
          <mc:Choice Requires="wps">
            <w:drawing>
              <wp:anchor distT="0" distB="0" distL="114300" distR="114300" simplePos="0" relativeHeight="251660288" behindDoc="0" locked="0" layoutInCell="1" hidden="0" allowOverlap="1">
                <wp:simplePos x="0" y="0"/>
                <wp:positionH relativeFrom="column">
                  <wp:posOffset>139700</wp:posOffset>
                </wp:positionH>
                <wp:positionV relativeFrom="paragraph">
                  <wp:posOffset>723900</wp:posOffset>
                </wp:positionV>
                <wp:extent cx="5276850" cy="1257300"/>
                <wp:effectExtent l="0" t="0" r="0" b="0"/>
                <wp:wrapNone/>
                <wp:docPr id="2030843057" name="Rectángulo 2030843057"/>
                <wp:cNvGraphicFramePr/>
                <a:graphic xmlns:a="http://schemas.openxmlformats.org/drawingml/2006/main">
                  <a:graphicData uri="http://schemas.microsoft.com/office/word/2010/wordprocessingShape">
                    <wps:wsp>
                      <wps:cNvSpPr/>
                      <wps:spPr>
                        <a:xfrm>
                          <a:off x="2726625" y="3170400"/>
                          <a:ext cx="5238750" cy="1219200"/>
                        </a:xfrm>
                        <a:prstGeom prst="rect">
                          <a:avLst/>
                        </a:prstGeom>
                        <a:noFill/>
                        <a:ln w="38100" cap="flat" cmpd="sng">
                          <a:solidFill>
                            <a:srgbClr val="FF0000"/>
                          </a:solidFill>
                          <a:prstDash val="solid"/>
                          <a:miter lim="800000"/>
                          <a:headEnd type="none" w="sm" len="sm"/>
                          <a:tailEnd type="none" w="sm" len="sm"/>
                        </a:ln>
                      </wps:spPr>
                      <wps:txbx>
                        <w:txbxContent>
                          <w:p w:rsidR="000F76E9" w:rsidRDefault="000F76E9">
                            <w:pPr>
                              <w:textDirection w:val="btLr"/>
                            </w:pPr>
                          </w:p>
                        </w:txbxContent>
                      </wps:txbx>
                      <wps:bodyPr spcFirstLastPara="1" wrap="square" lIns="91425" tIns="91425" rIns="91425" bIns="91425" anchor="ctr" anchorCtr="0">
                        <a:noAutofit/>
                      </wps:bodyPr>
                    </wps:wsp>
                  </a:graphicData>
                </a:graphic>
              </wp:anchor>
            </w:drawing>
          </mc:Choice>
          <mc:Fallback>
            <w:pict>
              <v:rect id="Rectángulo 2030843057" o:spid="_x0000_s1028" style="position:absolute;left:0;text-align:left;margin-left:11pt;margin-top:57pt;width:415.5pt;height:9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" filled="f" strokecolor="red" strokeweight="3pt">
                <v:stroke startarrowwidth="narrow" startarrowlength="short" endarrowwidth="narrow" endarrowlength="short"/>
                <v:textbox inset="2.53958mm,2.53958mm,2.53958mm,2.53958mm">
                  <w:txbxContent>
                    <w:p w:rsidR="000F76E9" w:rsidRDefault="000F76E9">
                      <w:pPr>
                        <w:textDirection w:val="btLr"/>
                      </w:pPr>
                    </w:p>
                  </w:txbxContent>
                </v:textbox>
              </v:rect>
            </w:pict>
          </mc:Fallback>
        </mc:AlternateContent>
      </w: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lastRenderedPageBreak/>
        <w:t xml:space="preserve">99. </w:t>
      </w:r>
      <w:r w:rsidRPr="00F137E5">
        <w:rPr>
          <w:rFonts w:ascii="Palatino Linotype" w:eastAsia="Palatino Linotype" w:hAnsi="Palatino Linotype" w:cs="Palatino Linotype"/>
        </w:rPr>
        <w:t xml:space="preserve">De tal suerte que, con lo citado con antelación, se visualiza que dentro de los expedientes tanto de adjudicación como los únicos de obra, así como, los Programas Anuales de Obra, se pueden advertir las obras proyectadas anualmente, el monto de asignación y los contratos. </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numPr>
          <w:ilvl w:val="0"/>
          <w:numId w:val="3"/>
        </w:numPr>
        <w:spacing w:line="360" w:lineRule="auto"/>
        <w:ind w:left="567" w:right="-592"/>
        <w:jc w:val="both"/>
        <w:rPr>
          <w:rFonts w:ascii="Palatino Linotype" w:eastAsia="Palatino Linotype" w:hAnsi="Palatino Linotype" w:cs="Palatino Linotype"/>
          <w:b/>
          <w:color w:val="000000"/>
        </w:rPr>
      </w:pPr>
      <w:r w:rsidRPr="00F137E5">
        <w:rPr>
          <w:rFonts w:ascii="Palatino Linotype" w:eastAsia="Palatino Linotype" w:hAnsi="Palatino Linotype" w:cs="Palatino Linotype"/>
          <w:b/>
          <w:color w:val="000000"/>
        </w:rPr>
        <w:t xml:space="preserve">De las declaraciones de bienes y de intereses de los servidores públicos. </w:t>
      </w: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100. </w:t>
      </w:r>
      <w:r w:rsidRPr="00F137E5">
        <w:rPr>
          <w:rFonts w:ascii="Palatino Linotype" w:eastAsia="Palatino Linotype" w:hAnsi="Palatino Linotype" w:cs="Palatino Linotype"/>
        </w:rPr>
        <w:t>Mediante oficio signado por el Contralor Municipal, se informó que relativo a las declaraciones de bienes y de intereses del 1 de enero a diciembre de 2023 y en su caso modificaciones del año 2024 de los servidores públicos señalados en la solicitud de información, no se encuentran en los archivos del Órgano Interno de Control, siendo materialmente imposible.</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b/>
        </w:rPr>
      </w:pPr>
      <w:r w:rsidRPr="00F137E5">
        <w:rPr>
          <w:rFonts w:ascii="Palatino Linotype" w:eastAsia="Palatino Linotype" w:hAnsi="Palatino Linotype" w:cs="Palatino Linotype"/>
          <w:b/>
        </w:rPr>
        <w:t>101.</w:t>
      </w:r>
      <w:r w:rsidRPr="00F137E5">
        <w:rPr>
          <w:rFonts w:ascii="Palatino Linotype" w:eastAsia="Palatino Linotype" w:hAnsi="Palatino Linotype" w:cs="Palatino Linotype"/>
        </w:rPr>
        <w:t xml:space="preserve"> Luego entonces, resulta necesario traer a colación el contenido de los artículos 110, 111, 112, fracción XVI de la Ley Orgánica Municipal del Estado de México, los cuales disponen:</w:t>
      </w:r>
      <w:r w:rsidRPr="00F137E5">
        <w:rPr>
          <w:rFonts w:ascii="Palatino Linotype" w:eastAsia="Palatino Linotype" w:hAnsi="Palatino Linotype" w:cs="Palatino Linotype"/>
          <w:b/>
        </w:rPr>
        <w:t xml:space="preserve"> </w:t>
      </w:r>
    </w:p>
    <w:p w:rsidR="008C7D5C" w:rsidRPr="00F137E5" w:rsidRDefault="00074B8B">
      <w:pPr>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r w:rsidRPr="00F137E5">
        <w:rPr>
          <w:rFonts w:ascii="Palatino Linotype" w:eastAsia="Palatino Linotype" w:hAnsi="Palatino Linotype" w:cs="Palatino Linotype"/>
          <w:b/>
          <w:i/>
        </w:rPr>
        <w:t>Artículo 110.- Las funciones de contraloría interna estarán a cargo del órgano que establezca el Ayuntamiento.</w:t>
      </w:r>
      <w:r w:rsidRPr="00F137E5">
        <w:rPr>
          <w:rFonts w:ascii="Palatino Linotype" w:eastAsia="Palatino Linotype" w:hAnsi="Palatino Linotype" w:cs="Palatino Linotype"/>
          <w:i/>
        </w:rPr>
        <w:t xml:space="preserve"> </w:t>
      </w:r>
    </w:p>
    <w:p w:rsidR="008C7D5C" w:rsidRPr="00F137E5" w:rsidRDefault="008C7D5C">
      <w:pPr>
        <w:ind w:left="567" w:right="-25"/>
        <w:jc w:val="both"/>
        <w:rPr>
          <w:rFonts w:ascii="Palatino Linotype" w:eastAsia="Palatino Linotype" w:hAnsi="Palatino Linotype" w:cs="Palatino Linotype"/>
          <w:i/>
        </w:rPr>
      </w:pPr>
    </w:p>
    <w:p w:rsidR="008C7D5C" w:rsidRPr="00F137E5" w:rsidRDefault="00074B8B">
      <w:pPr>
        <w:ind w:left="567" w:right="-25"/>
        <w:jc w:val="both"/>
        <w:rPr>
          <w:rFonts w:ascii="Palatino Linotype" w:eastAsia="Palatino Linotype" w:hAnsi="Palatino Linotype" w:cs="Palatino Linotype"/>
          <w:b/>
          <w:i/>
        </w:rPr>
      </w:pPr>
      <w:r w:rsidRPr="00F137E5">
        <w:rPr>
          <w:rFonts w:ascii="Palatino Linotype" w:eastAsia="Palatino Linotype" w:hAnsi="Palatino Linotype" w:cs="Palatino Linotype"/>
          <w:b/>
          <w:i/>
        </w:rPr>
        <w:t xml:space="preserve">Artículo 111.- La contraloría municipal tendrá un titular denominado Contralor, quien será designado por el ayuntamiento a propuesta del presidente municipal. </w:t>
      </w:r>
    </w:p>
    <w:p w:rsidR="008C7D5C" w:rsidRPr="00F137E5" w:rsidRDefault="00074B8B">
      <w:pPr>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t>Artículo 112.</w:t>
      </w:r>
      <w:r w:rsidRPr="00F137E5">
        <w:rPr>
          <w:rFonts w:ascii="Palatino Linotype" w:eastAsia="Palatino Linotype" w:hAnsi="Palatino Linotype" w:cs="Palatino Linotype"/>
          <w:i/>
        </w:rPr>
        <w:t xml:space="preserve"> El órgano interno de control municipal, tendrá a su cargo las funciones siguientes:</w:t>
      </w:r>
    </w:p>
    <w:p w:rsidR="008C7D5C" w:rsidRPr="00F137E5" w:rsidRDefault="00074B8B">
      <w:pPr>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p>
    <w:p w:rsidR="008C7D5C" w:rsidRPr="00F137E5" w:rsidRDefault="00074B8B">
      <w:pPr>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t>XVI.</w:t>
      </w:r>
      <w:r w:rsidRPr="00F137E5">
        <w:rPr>
          <w:rFonts w:ascii="Palatino Linotype" w:eastAsia="Palatino Linotype" w:hAnsi="Palatino Linotype" w:cs="Palatino Linotype"/>
          <w:i/>
        </w:rPr>
        <w:t xml:space="preserve"> </w:t>
      </w:r>
      <w:r w:rsidRPr="00F137E5">
        <w:rPr>
          <w:rFonts w:ascii="Palatino Linotype" w:eastAsia="Palatino Linotype" w:hAnsi="Palatino Linotype" w:cs="Palatino Linotype"/>
          <w:b/>
          <w:i/>
        </w:rPr>
        <w:t>Verificar que los servidores públicos municipales cumplan con la obligación de presentar oportunamente la manifestación de bienes,</w:t>
      </w:r>
      <w:r w:rsidRPr="00F137E5">
        <w:rPr>
          <w:rFonts w:ascii="Palatino Linotype" w:eastAsia="Palatino Linotype" w:hAnsi="Palatino Linotype" w:cs="Palatino Linotype"/>
          <w:i/>
        </w:rPr>
        <w:t xml:space="preserve"> en términos de la Ley de Responsabilidades de los Servidores Públicos del Estado y Municipio…”</w:t>
      </w:r>
    </w:p>
    <w:p w:rsidR="008C7D5C" w:rsidRPr="00F137E5" w:rsidRDefault="008C7D5C">
      <w:pPr>
        <w:ind w:right="-592"/>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lastRenderedPageBreak/>
        <w:t xml:space="preserve">102. </w:t>
      </w:r>
      <w:r w:rsidRPr="00F137E5">
        <w:rPr>
          <w:rFonts w:ascii="Palatino Linotype" w:eastAsia="Palatino Linotype" w:hAnsi="Palatino Linotype" w:cs="Palatino Linotype"/>
        </w:rPr>
        <w:t>Preceptos legales, de los que se puede advertir que la Contraloría Municipal estará a cargo de un Contralor el cual entre sus funciones se encuentra la de verificar que los servidores públicos municipales cumplan con la obligación de presentar oportunamente la manifestación de bienes.</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103.</w:t>
      </w:r>
      <w:r w:rsidRPr="00F137E5">
        <w:rPr>
          <w:rFonts w:ascii="Palatino Linotype" w:eastAsia="Palatino Linotype" w:hAnsi="Palatino Linotype" w:cs="Palatino Linotype"/>
        </w:rPr>
        <w:t xml:space="preserve"> Con base en lo señalado previamente, podemos concretar que únicamente corresponde a la Contraloría Municipal el de verificar que los servidores públicos municipales cumplan con la obligación de presentar oportunamente la declaración de situación patrimonial; asimismo no se encuentra constreñido a tener disponible la información relacionada con las declaraciones de los servidores públicos, materia de la presente solicitud. </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104.</w:t>
      </w:r>
      <w:r w:rsidRPr="00F137E5">
        <w:rPr>
          <w:rFonts w:ascii="Palatino Linotype" w:eastAsia="Palatino Linotype" w:hAnsi="Palatino Linotype" w:cs="Palatino Linotype"/>
        </w:rPr>
        <w:t xml:space="preserve"> En este sentido, resulta aplicable el criterio 13/17 emitido por el Pleno del Instituto Nacional de Transparencia, Acceso a la Información y Protección de Datos Personales, el cual, para pronta referencia se reproduce a continuación:</w:t>
      </w:r>
    </w:p>
    <w:p w:rsidR="008C7D5C" w:rsidRPr="00F137E5" w:rsidRDefault="00074B8B">
      <w:pPr>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t>“Incompetencia. La incompetencia implica la ausencia de atribuciones del sujeto obligado para poseer la información solicitada</w:t>
      </w:r>
      <w:r w:rsidRPr="00F137E5">
        <w:rPr>
          <w:rFonts w:ascii="Palatino Linotype" w:eastAsia="Palatino Linotype" w:hAnsi="Palatino Linotype" w:cs="Palatino Linotype"/>
          <w:i/>
        </w:rPr>
        <w:t xml:space="preserve">; es decir, se trata de una cuestión de derecho, </w:t>
      </w:r>
      <w:r w:rsidRPr="00F137E5">
        <w:rPr>
          <w:rFonts w:ascii="Palatino Linotype" w:eastAsia="Palatino Linotype" w:hAnsi="Palatino Linotype" w:cs="Palatino Linotype"/>
          <w:b/>
          <w:i/>
        </w:rPr>
        <w:t>en tanto que no existan facultades para contar con lo requerido</w:t>
      </w:r>
      <w:r w:rsidRPr="00F137E5">
        <w:rPr>
          <w:rFonts w:ascii="Palatino Linotype" w:eastAsia="Palatino Linotype" w:hAnsi="Palatino Linotype" w:cs="Palatino Linotype"/>
          <w:i/>
        </w:rPr>
        <w:t>; por lo que la incompetencia es una cualidad atribuida al sujeto obligado que la declara.”</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105. </w:t>
      </w:r>
      <w:r w:rsidRPr="00F137E5">
        <w:rPr>
          <w:rFonts w:ascii="Palatino Linotype" w:eastAsia="Palatino Linotype" w:hAnsi="Palatino Linotype" w:cs="Palatino Linotype"/>
        </w:rPr>
        <w:t xml:space="preserve">En ese sentido, la Ley de Responsabilidades Administrativas del Estado de México y Municipios que entró en vigencia, a partir del treinta y uno de mayo de dos mil diecisiete, determina en el artículo 2 fracción VI, como uno de los objetivos de dicha Ley el de establecer las obligaciones y el procedimiento para la declaración de situación patrimonial, </w:t>
      </w:r>
      <w:r w:rsidRPr="00F137E5">
        <w:rPr>
          <w:rFonts w:ascii="Palatino Linotype" w:eastAsia="Palatino Linotype" w:hAnsi="Palatino Linotype" w:cs="Palatino Linotype"/>
        </w:rPr>
        <w:lastRenderedPageBreak/>
        <w:t>la declaración de intereses y la presentación de la constancia de declaración fiscal de los servidores públicos.</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106. </w:t>
      </w:r>
      <w:r w:rsidRPr="00F137E5">
        <w:rPr>
          <w:rFonts w:ascii="Palatino Linotype" w:eastAsia="Palatino Linotype" w:hAnsi="Palatino Linotype" w:cs="Palatino Linotype"/>
        </w:rPr>
        <w:t>Cabe señalar que de conformidad con los artículos 29 de la Ley General de Responsabilidades Administrativas y 30 de la Ley de Responsabilidades Administrativas del Estado de México y Municipios, las declaraciones patrimoniales serán públicas, salvo los rubros cuya publicidad puedan afectar la vida privada o los datos personales tutelados por la Constitución Federal y Local respectivamente,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r w:rsidRPr="00F137E5">
        <w:rPr>
          <w:rFonts w:ascii="Palatino Linotype" w:eastAsia="Palatino Linotype" w:hAnsi="Palatino Linotype" w:cs="Palatino Linotype"/>
          <w:b/>
          <w:i/>
        </w:rPr>
        <w:t>Artículo 29. Las declaraciones patrimoniales y de intereses serán públicas salvo los rubros cuya publicidad pueda afectar la vida privada o los datos personales protegidos por la Constitución.</w:t>
      </w:r>
      <w:r w:rsidRPr="00F137E5">
        <w:rPr>
          <w:rFonts w:ascii="Palatino Linotype" w:eastAsia="Palatino Linotype" w:hAnsi="Palatino Linotype" w:cs="Palatino Linotype"/>
          <w:i/>
        </w:rPr>
        <w:t xml:space="preserve"> Para tal efecto, el Comité Coordinador, a propuesta del Comité de Participación Ciudadana, emitirá los formatos respectivos, garantizando que los rubros que pudieran afectar los derechos aludidos queden en resguardo de las autoridades competentes.” </w:t>
      </w:r>
    </w:p>
    <w:p w:rsidR="008C7D5C" w:rsidRPr="00F137E5" w:rsidRDefault="00074B8B">
      <w:pPr>
        <w:spacing w:line="276" w:lineRule="auto"/>
        <w:ind w:left="567" w:right="-25"/>
        <w:jc w:val="both"/>
        <w:rPr>
          <w:rFonts w:ascii="Palatino Linotype" w:eastAsia="Palatino Linotype" w:hAnsi="Palatino Linotype" w:cs="Palatino Linotype"/>
          <w:b/>
          <w:i/>
        </w:rPr>
      </w:pPr>
      <w:r w:rsidRPr="00F137E5">
        <w:rPr>
          <w:rFonts w:ascii="Palatino Linotype" w:eastAsia="Palatino Linotype" w:hAnsi="Palatino Linotype" w:cs="Palatino Linotype"/>
          <w:i/>
        </w:rPr>
        <w:t>“</w:t>
      </w:r>
      <w:r w:rsidRPr="00F137E5">
        <w:rPr>
          <w:rFonts w:ascii="Palatino Linotype" w:eastAsia="Palatino Linotype" w:hAnsi="Palatino Linotype" w:cs="Palatino Linotype"/>
          <w:b/>
          <w:i/>
        </w:rPr>
        <w:t xml:space="preserve">Artículo 30. Las declaraciones patrimonial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 </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lastRenderedPageBreak/>
        <w:t xml:space="preserve">107. </w:t>
      </w:r>
      <w:r w:rsidRPr="00F137E5">
        <w:rPr>
          <w:rFonts w:ascii="Palatino Linotype" w:eastAsia="Palatino Linotype" w:hAnsi="Palatino Linotype" w:cs="Palatino Linotype"/>
        </w:rPr>
        <w:t>De los artículos citados se advierte que las declaraciones patrimoniales y de intereses serán públicas,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108.</w:t>
      </w:r>
      <w:r w:rsidRPr="00F137E5">
        <w:rPr>
          <w:rFonts w:ascii="Palatino Linotype" w:eastAsia="Palatino Linotype" w:hAnsi="Palatino Linotype" w:cs="Palatino Linotype"/>
        </w:rPr>
        <w:t xml:space="preserve"> Mientras que los artículos 33 y 34 de la Ley de Responsabilidades Administrativas del Estado de México y Municipios, establece que estarán obligados a presentar las declaraciones de situación patrimonial los servidores públicos estatales y municipales, las cuales deberán presentarse de la siguiente manera:</w:t>
      </w:r>
    </w:p>
    <w:p w:rsidR="008C7D5C" w:rsidRPr="00F137E5" w:rsidRDefault="00074B8B">
      <w:pPr>
        <w:numPr>
          <w:ilvl w:val="0"/>
          <w:numId w:val="4"/>
        </w:numPr>
        <w:spacing w:line="360" w:lineRule="auto"/>
        <w:ind w:right="-25"/>
        <w:jc w:val="both"/>
        <w:rPr>
          <w:rFonts w:ascii="Palatino Linotype" w:eastAsia="Palatino Linotype" w:hAnsi="Palatino Linotype" w:cs="Palatino Linotype"/>
          <w:b/>
        </w:rPr>
      </w:pPr>
      <w:r w:rsidRPr="00F137E5">
        <w:rPr>
          <w:rFonts w:ascii="Palatino Linotype" w:eastAsia="Palatino Linotype" w:hAnsi="Palatino Linotype" w:cs="Palatino Linotype"/>
          <w:b/>
        </w:rPr>
        <w:t xml:space="preserve">Inicial: </w:t>
      </w:r>
      <w:r w:rsidRPr="00F137E5">
        <w:rPr>
          <w:rFonts w:ascii="Palatino Linotype" w:eastAsia="Palatino Linotype" w:hAnsi="Palatino Linotype" w:cs="Palatino Linotype"/>
        </w:rPr>
        <w:t>Dentro de los sesenta días naturales siguientes al ingreso o reingreso al servicio público;</w:t>
      </w:r>
    </w:p>
    <w:p w:rsidR="008C7D5C" w:rsidRPr="00F137E5" w:rsidRDefault="00074B8B">
      <w:pPr>
        <w:numPr>
          <w:ilvl w:val="0"/>
          <w:numId w:val="4"/>
        </w:numPr>
        <w:spacing w:line="360" w:lineRule="auto"/>
        <w:ind w:right="-25"/>
        <w:jc w:val="both"/>
        <w:rPr>
          <w:rFonts w:ascii="Palatino Linotype" w:eastAsia="Palatino Linotype" w:hAnsi="Palatino Linotype" w:cs="Palatino Linotype"/>
          <w:b/>
        </w:rPr>
      </w:pPr>
      <w:r w:rsidRPr="00F137E5">
        <w:rPr>
          <w:rFonts w:ascii="Palatino Linotype" w:eastAsia="Palatino Linotype" w:hAnsi="Palatino Linotype" w:cs="Palatino Linotype"/>
          <w:b/>
        </w:rPr>
        <w:t xml:space="preserve">Modificación Patrimonial: </w:t>
      </w:r>
      <w:r w:rsidRPr="00F137E5">
        <w:rPr>
          <w:rFonts w:ascii="Palatino Linotype" w:eastAsia="Palatino Linotype" w:hAnsi="Palatino Linotype" w:cs="Palatino Linotype"/>
        </w:rPr>
        <w:t>Durante el mes de mayo de dos cada año, y</w:t>
      </w:r>
    </w:p>
    <w:p w:rsidR="008C7D5C" w:rsidRPr="00F137E5" w:rsidRDefault="00074B8B">
      <w:pPr>
        <w:numPr>
          <w:ilvl w:val="0"/>
          <w:numId w:val="4"/>
        </w:numPr>
        <w:spacing w:line="360" w:lineRule="auto"/>
        <w:ind w:right="-25"/>
        <w:jc w:val="both"/>
        <w:rPr>
          <w:rFonts w:ascii="Palatino Linotype" w:eastAsia="Palatino Linotype" w:hAnsi="Palatino Linotype" w:cs="Palatino Linotype"/>
          <w:b/>
        </w:rPr>
      </w:pPr>
      <w:r w:rsidRPr="00F137E5">
        <w:rPr>
          <w:rFonts w:ascii="Palatino Linotype" w:eastAsia="Palatino Linotype" w:hAnsi="Palatino Linotype" w:cs="Palatino Linotype"/>
          <w:b/>
        </w:rPr>
        <w:t xml:space="preserve">Conclusión: </w:t>
      </w:r>
      <w:r w:rsidRPr="00F137E5">
        <w:rPr>
          <w:rFonts w:ascii="Palatino Linotype" w:eastAsia="Palatino Linotype" w:hAnsi="Palatino Linotype" w:cs="Palatino Linotype"/>
        </w:rPr>
        <w:t>Dentro de los sesenta días naturales siguientes a la conclusión del cargo.</w:t>
      </w:r>
      <w:r w:rsidRPr="00F137E5">
        <w:rPr>
          <w:rFonts w:ascii="Palatino Linotype" w:eastAsia="Palatino Linotype" w:hAnsi="Palatino Linotype" w:cs="Palatino Linotype"/>
          <w:b/>
        </w:rPr>
        <w:t xml:space="preserve"> </w:t>
      </w:r>
    </w:p>
    <w:p w:rsidR="008C7D5C" w:rsidRPr="00F137E5" w:rsidRDefault="008C7D5C">
      <w:pPr>
        <w:spacing w:line="360" w:lineRule="auto"/>
        <w:ind w:left="720" w:right="-592"/>
        <w:jc w:val="both"/>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109.</w:t>
      </w:r>
      <w:r w:rsidRPr="00F137E5">
        <w:rPr>
          <w:rFonts w:ascii="Palatino Linotype" w:eastAsia="Palatino Linotype" w:hAnsi="Palatino Linotype" w:cs="Palatino Linotype"/>
        </w:rPr>
        <w:t xml:space="preserve"> Por su parte, el artículo 35 de la Ley de Responsabilidades Administrativas dispone que la declaración patrimonial debe presentarse a través de medios electrónicos, empleando medios de identificación electrónica, y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w:t>
      </w:r>
      <w:r w:rsidRPr="00F137E5">
        <w:rPr>
          <w:rFonts w:ascii="Palatino Linotype" w:eastAsia="Palatino Linotype" w:hAnsi="Palatino Linotype" w:cs="Palatino Linotype"/>
        </w:rPr>
        <w:lastRenderedPageBreak/>
        <w:t xml:space="preserve">incluir la información que corresponda en el sistema de evolución patrimonial, de declaración de intereses y presentación de la constancia de declaración fiscal, resaltando que </w:t>
      </w:r>
      <w:r w:rsidRPr="00F137E5">
        <w:rPr>
          <w:rFonts w:ascii="Palatino Linotype" w:eastAsia="Palatino Linotype" w:hAnsi="Palatino Linotype" w:cs="Palatino Linotype"/>
          <w:b/>
        </w:rPr>
        <w:t xml:space="preserve">la Secretaría de la Contraloría tendrá a su cargo el sistema de certificación de los medios de identificación electrónica que utilicen los servidores públicos y llevará el control de dicho medio, </w:t>
      </w:r>
      <w:r w:rsidRPr="00F137E5">
        <w:rPr>
          <w:rFonts w:ascii="Palatino Linotype" w:eastAsia="Palatino Linotype" w:hAnsi="Palatino Linotype" w:cs="Palatino Linotype"/>
        </w:rPr>
        <w:t>a saber:</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r w:rsidRPr="00F137E5">
        <w:rPr>
          <w:rFonts w:ascii="Palatino Linotype" w:eastAsia="Palatino Linotype" w:hAnsi="Palatino Linotype" w:cs="Palatino Linotype"/>
          <w:b/>
          <w:i/>
        </w:rPr>
        <w:t>Artículo 35</w:t>
      </w:r>
      <w:r w:rsidRPr="00F137E5">
        <w:rPr>
          <w:rFonts w:ascii="Palatino Linotype" w:eastAsia="Palatino Linotype" w:hAnsi="Palatino Linotype" w:cs="Palatino Linotype"/>
          <w:i/>
        </w:rPr>
        <w:t xml:space="preserve">. La declaración de situación patrimonial, deberá ser presentada a través de medios electrónicos, empleándose medios de identificación electrónica. </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 xml:space="preserve">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w:t>
      </w:r>
    </w:p>
    <w:p w:rsidR="008C7D5C" w:rsidRPr="00F137E5" w:rsidRDefault="00074B8B">
      <w:pPr>
        <w:spacing w:line="276" w:lineRule="auto"/>
        <w:ind w:left="567" w:right="-25"/>
        <w:jc w:val="both"/>
        <w:rPr>
          <w:rFonts w:ascii="Palatino Linotype" w:eastAsia="Palatino Linotype" w:hAnsi="Palatino Linotype" w:cs="Palatino Linotype"/>
          <w:b/>
          <w:i/>
        </w:rPr>
      </w:pPr>
      <w:r w:rsidRPr="00F137E5">
        <w:rPr>
          <w:rFonts w:ascii="Palatino Linotype" w:eastAsia="Palatino Linotype" w:hAnsi="Palatino Linotype" w:cs="Palatino Linotype"/>
          <w:i/>
        </w:rPr>
        <w:t xml:space="preserve">La </w:t>
      </w:r>
      <w:r w:rsidRPr="00F137E5">
        <w:rPr>
          <w:rFonts w:ascii="Palatino Linotype" w:eastAsia="Palatino Linotype" w:hAnsi="Palatino Linotype" w:cs="Palatino Linotype"/>
          <w:b/>
          <w:i/>
        </w:rPr>
        <w:t xml:space="preserve">Secretaría de la Contraloría tendrá a su cargo el sistema de certificación de los medios de identificación electrónica que utilicen los servidores públicos y llevará el control de dicho medio. </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 </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 xml:space="preserve">Para los efectos de los procedimientos penales que se deriven de la aplicación de las disposiciones del presente Título, 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 </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 xml:space="preserve">Los servidores públicos facultados para recabar la declaración de situación patrimonial, deberán resguardar la información a la que accedan observando lo dispuesto en la Ley de </w:t>
      </w:r>
      <w:r w:rsidRPr="00F137E5">
        <w:rPr>
          <w:rFonts w:ascii="Palatino Linotype" w:eastAsia="Palatino Linotype" w:hAnsi="Palatino Linotype" w:cs="Palatino Linotype"/>
          <w:i/>
        </w:rPr>
        <w:lastRenderedPageBreak/>
        <w:t>Transparencia y Acceso a la Información Pública del Estado de México y Municipios así como en la Ley de Protección de Datos Personales del Estado de México.”</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110. </w:t>
      </w:r>
      <w:r w:rsidRPr="00F137E5">
        <w:rPr>
          <w:rFonts w:ascii="Palatino Linotype" w:eastAsia="Palatino Linotype" w:hAnsi="Palatino Linotype" w:cs="Palatino Linotype"/>
        </w:rPr>
        <w:t xml:space="preserve">Por cuanto hace a las atribuciones de la Secretaría de la Contraloría, la fracción XVII del artículo 38 bis de la Ley Orgánica de la Administración Pública del Estado de México, le confiere la atribución de recibir y registrar la declaración de situación patrimonial de los servidores públicos de los municipios, como se lee enseguida: </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t>“Artículo 38 bis.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w:t>
      </w:r>
      <w:r w:rsidRPr="00F137E5">
        <w:rPr>
          <w:rFonts w:ascii="Palatino Linotype" w:eastAsia="Palatino Linotype" w:hAnsi="Palatino Linotype" w:cs="Palatino Linotype"/>
          <w:i/>
        </w:rPr>
        <w:t xml:space="preserve">, de intereses y constancia de presentación de la declaración fiscal, así como de la responsabilidad </w:t>
      </w:r>
      <w:r w:rsidRPr="00F137E5">
        <w:rPr>
          <w:rFonts w:ascii="Palatino Linotype" w:eastAsia="Palatino Linotype" w:hAnsi="Palatino Linotype" w:cs="Palatino Linotype"/>
          <w:b/>
          <w:i/>
        </w:rPr>
        <w:t>de los servidores públicos</w:t>
      </w:r>
      <w:r w:rsidRPr="00F137E5">
        <w:rPr>
          <w:rFonts w:ascii="Palatino Linotype" w:eastAsia="Palatino Linotype" w:hAnsi="Palatino Linotype" w:cs="Palatino Linotype"/>
          <w:i/>
        </w:rPr>
        <w:t>, en términos de lo que disponga la normatividad aplicable en la materia.</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t xml:space="preserve">XVII. </w:t>
      </w:r>
      <w:r w:rsidRPr="00F137E5">
        <w:rPr>
          <w:rFonts w:ascii="Palatino Linotype" w:eastAsia="Palatino Linotype" w:hAnsi="Palatino Linotype" w:cs="Palatino Linotype"/>
          <w:b/>
          <w:i/>
          <w:u w:val="single"/>
        </w:rPr>
        <w:t xml:space="preserve">Recibir y registrar la declaración de situación patrimonial, </w:t>
      </w:r>
      <w:r w:rsidRPr="00F137E5">
        <w:rPr>
          <w:rFonts w:ascii="Palatino Linotype" w:eastAsia="Palatino Linotype" w:hAnsi="Palatino Linotype" w:cs="Palatino Linotype"/>
          <w:i/>
        </w:rPr>
        <w:t xml:space="preserve">la declaración de intereses, la presentación de la constancia de declaración fiscal y determinar el Conflicto de Intereses </w:t>
      </w:r>
      <w:r w:rsidRPr="00F137E5">
        <w:rPr>
          <w:rFonts w:ascii="Palatino Linotype" w:eastAsia="Palatino Linotype" w:hAnsi="Palatino Linotype" w:cs="Palatino Linotype"/>
          <w:b/>
          <w:i/>
          <w:u w:val="single"/>
        </w:rPr>
        <w:t>de los servidores públicos del Estado y municipios</w:t>
      </w:r>
      <w:r w:rsidRPr="00F137E5">
        <w:rPr>
          <w:rFonts w:ascii="Palatino Linotype" w:eastAsia="Palatino Linotype" w:hAnsi="Palatino Linotype" w:cs="Palatino Linotype"/>
          <w:b/>
          <w:i/>
        </w:rPr>
        <w:t xml:space="preserve">, </w:t>
      </w:r>
      <w:r w:rsidRPr="00F137E5">
        <w:rPr>
          <w:rFonts w:ascii="Palatino Linotype" w:eastAsia="Palatino Linotype" w:hAnsi="Palatino Linotype" w:cs="Palatino Linotype"/>
          <w:i/>
        </w:rPr>
        <w:t xml:space="preserve">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 </w:t>
      </w:r>
    </w:p>
    <w:p w:rsidR="008C7D5C" w:rsidRPr="00F137E5" w:rsidRDefault="008C7D5C">
      <w:pPr>
        <w:spacing w:line="276" w:lineRule="auto"/>
        <w:ind w:left="567" w:right="-592"/>
        <w:jc w:val="both"/>
        <w:rPr>
          <w:rFonts w:ascii="Palatino Linotype" w:eastAsia="Palatino Linotype" w:hAnsi="Palatino Linotype" w:cs="Palatino Linotype"/>
          <w:b/>
          <w:i/>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111. </w:t>
      </w:r>
      <w:r w:rsidRPr="00F137E5">
        <w:rPr>
          <w:rFonts w:ascii="Palatino Linotype" w:eastAsia="Palatino Linotype" w:hAnsi="Palatino Linotype" w:cs="Palatino Linotype"/>
        </w:rPr>
        <w:t xml:space="preserve">Por su parte, el Reglamento Interior de la Secretaría de la Contraloría, señala en su artículo 24 fracciones VI y VII, que corresponde a la Dirección General de Responsabilidades Administrativas, entre otras atribuciones, la de recibir las declaraciones de situación patrimonial, de intereses y el acuse de la presentación de la declaración fiscal de los </w:t>
      </w:r>
      <w:r w:rsidRPr="00F137E5">
        <w:rPr>
          <w:rFonts w:ascii="Palatino Linotype" w:eastAsia="Palatino Linotype" w:hAnsi="Palatino Linotype" w:cs="Palatino Linotype"/>
        </w:rPr>
        <w:lastRenderedPageBreak/>
        <w:t>servidores públicos de la Administración Pública Estatal y Municipal, así como, llevar el registro y resguardo de las mismas, para su publicitación, precepto legal que a la letra dice:</w:t>
      </w:r>
    </w:p>
    <w:p w:rsidR="008C7D5C" w:rsidRPr="00F137E5" w:rsidRDefault="008C7D5C">
      <w:pPr>
        <w:spacing w:line="276" w:lineRule="auto"/>
        <w:ind w:left="567" w:right="-592"/>
        <w:jc w:val="both"/>
        <w:rPr>
          <w:rFonts w:ascii="Palatino Linotype" w:eastAsia="Palatino Linotype" w:hAnsi="Palatino Linotype" w:cs="Palatino Linotype"/>
          <w:i/>
        </w:rPr>
      </w:pP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r w:rsidRPr="00F137E5">
        <w:rPr>
          <w:rFonts w:ascii="Palatino Linotype" w:eastAsia="Palatino Linotype" w:hAnsi="Palatino Linotype" w:cs="Palatino Linotype"/>
          <w:b/>
          <w:i/>
        </w:rPr>
        <w:t>Artículo 24.</w:t>
      </w:r>
      <w:r w:rsidRPr="00F137E5">
        <w:rPr>
          <w:rFonts w:ascii="Palatino Linotype" w:eastAsia="Palatino Linotype" w:hAnsi="Palatino Linotype" w:cs="Palatino Linotype"/>
          <w:i/>
        </w:rPr>
        <w:t xml:space="preserve"> A la Dirección General de Responsabilidades Administrativas, corresponden las atribuciones siguientes: </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 xml:space="preserve">… </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t>VI.</w:t>
      </w:r>
      <w:r w:rsidRPr="00F137E5">
        <w:rPr>
          <w:rFonts w:ascii="Palatino Linotype" w:eastAsia="Palatino Linotype" w:hAnsi="Palatino Linotype" w:cs="Palatino Linotype"/>
          <w:i/>
        </w:rPr>
        <w:t xml:space="preserve"> Recibir las declaraciones de situación patrimonial, de intereses y el acuse de la presentación de la declaración fiscal de los servidores públicos de la Administración Pública Estatal y Municipal; </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t>VII.</w:t>
      </w:r>
      <w:r w:rsidRPr="00F137E5">
        <w:rPr>
          <w:rFonts w:ascii="Palatino Linotype" w:eastAsia="Palatino Linotype" w:hAnsi="Palatino Linotype" w:cs="Palatino Linotype"/>
          <w:i/>
        </w:rPr>
        <w:t xml:space="preserve"> Coordinar y llevar el registro y </w:t>
      </w:r>
      <w:r w:rsidRPr="00F137E5">
        <w:rPr>
          <w:rFonts w:ascii="Palatino Linotype" w:eastAsia="Palatino Linotype" w:hAnsi="Palatino Linotype" w:cs="Palatino Linotype"/>
          <w:b/>
          <w:i/>
        </w:rPr>
        <w:t>resguardo de las declaraciones de situación patrimonial, de intereses y el acuse de la presentación de la declaración fiscal de los servidores públicos de la Administración Pública Estatal y Municipal,</w:t>
      </w:r>
      <w:r w:rsidRPr="00F137E5">
        <w:rPr>
          <w:rFonts w:ascii="Palatino Linotype" w:eastAsia="Palatino Linotype" w:hAnsi="Palatino Linotype" w:cs="Palatino Linotype"/>
          <w:i/>
        </w:rPr>
        <w:t xml:space="preserve"> para su publicitación conforme a las disposiciones jurídicas aplicables, así como para suministrar la información correspondiente a la Plataforma Digital Nacional y Estatal del Sistema Nacional y Estatal Anticorrupción;”</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112.</w:t>
      </w:r>
      <w:r w:rsidRPr="00F137E5">
        <w:rPr>
          <w:rFonts w:ascii="Palatino Linotype" w:eastAsia="Palatino Linotype" w:hAnsi="Palatino Linotype" w:cs="Palatino Linotype"/>
        </w:rPr>
        <w:t xml:space="preserve"> En este sentido, se colige que la Secretaría de la Contraloría, a través de la</w:t>
      </w:r>
      <w:r w:rsidRPr="00F137E5">
        <w:rPr>
          <w:rFonts w:ascii="Palatino Linotype" w:eastAsia="Palatino Linotype" w:hAnsi="Palatino Linotype" w:cs="Palatino Linotype"/>
          <w:b/>
        </w:rPr>
        <w:t xml:space="preserve"> Dirección General de Responsabilidades Administrativas</w:t>
      </w:r>
      <w:r w:rsidRPr="00F137E5">
        <w:rPr>
          <w:rFonts w:ascii="Palatino Linotype" w:eastAsia="Palatino Linotype" w:hAnsi="Palatino Linotype" w:cs="Palatino Linotype"/>
        </w:rPr>
        <w:t>, es la entidad responsable de recibir, registrar y resguardar las declaraciones de situación patrimonial, de intereses, así como la presentación de la constancia de declaración fiscal de los servidores públicos de la Administración Pública Estatal y Municipal.</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113. </w:t>
      </w:r>
      <w:r w:rsidRPr="00F137E5">
        <w:rPr>
          <w:rFonts w:ascii="Palatino Linotype" w:eastAsia="Palatino Linotype" w:hAnsi="Palatino Linotype" w:cs="Palatino Linotype"/>
        </w:rPr>
        <w:t xml:space="preserve">Bajo esta línea de pensamiento resulta importante señalar, respecto de la Declaración Patrimonial, que este Instituto advirtió que en la página oficial de la Secretaría de la Contraloría, en el apartado de Declaración Patrimonial y de Intereses, consultada en la liga electrónica https://portal.secogem.gob.mx/declaranet, precisa que dicha dependencia ofrece </w:t>
      </w:r>
      <w:r w:rsidRPr="00F137E5">
        <w:rPr>
          <w:rFonts w:ascii="Palatino Linotype" w:eastAsia="Palatino Linotype" w:hAnsi="Palatino Linotype" w:cs="Palatino Linotype"/>
        </w:rPr>
        <w:lastRenderedPageBreak/>
        <w:t xml:space="preserve">el sistema </w:t>
      </w:r>
      <w:proofErr w:type="spellStart"/>
      <w:r w:rsidRPr="00F137E5">
        <w:rPr>
          <w:rFonts w:ascii="Palatino Linotype" w:eastAsia="Palatino Linotype" w:hAnsi="Palatino Linotype" w:cs="Palatino Linotype"/>
        </w:rPr>
        <w:t>Decl@raNET</w:t>
      </w:r>
      <w:proofErr w:type="spellEnd"/>
      <w:r w:rsidRPr="00F137E5">
        <w:rPr>
          <w:rFonts w:ascii="Palatino Linotype" w:eastAsia="Palatino Linotype" w:hAnsi="Palatino Linotype" w:cs="Palatino Linotype"/>
        </w:rPr>
        <w:t>, con la finalidad de facilitar a los servidores públicos del Estado de México, presenten su Declaración de Situación Patrimonial, Declaración de Intereses o Posible Conflicto de Intereses y presentación de Constancia de Declaración Fiscal.</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center"/>
        <w:rPr>
          <w:rFonts w:ascii="Palatino Linotype" w:eastAsia="Palatino Linotype" w:hAnsi="Palatino Linotype" w:cs="Palatino Linotype"/>
        </w:rPr>
      </w:pPr>
      <w:r w:rsidRPr="00F137E5">
        <w:rPr>
          <w:rFonts w:ascii="Palatino Linotype" w:eastAsia="Palatino Linotype" w:hAnsi="Palatino Linotype" w:cs="Palatino Linotype"/>
          <w:noProof/>
        </w:rPr>
        <w:drawing>
          <wp:inline distT="0" distB="0" distL="0" distR="0">
            <wp:extent cx="5038725" cy="2600325"/>
            <wp:effectExtent l="0" t="0" r="0" b="0"/>
            <wp:docPr id="20308430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b="2356"/>
                    <a:stretch>
                      <a:fillRect/>
                    </a:stretch>
                  </pic:blipFill>
                  <pic:spPr>
                    <a:xfrm>
                      <a:off x="0" y="0"/>
                      <a:ext cx="5038725" cy="2600325"/>
                    </a:xfrm>
                    <a:prstGeom prst="rect">
                      <a:avLst/>
                    </a:prstGeom>
                    <a:ln/>
                  </pic:spPr>
                </pic:pic>
              </a:graphicData>
            </a:graphic>
          </wp:inline>
        </w:drawing>
      </w: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114. </w:t>
      </w:r>
      <w:r w:rsidRPr="00F137E5">
        <w:rPr>
          <w:rFonts w:ascii="Palatino Linotype" w:eastAsia="Palatino Linotype" w:hAnsi="Palatino Linotype" w:cs="Palatino Linotype"/>
        </w:rPr>
        <w:t xml:space="preserve">Además, que en dicho portal se precisa que el sistema </w:t>
      </w:r>
      <w:proofErr w:type="spellStart"/>
      <w:r w:rsidRPr="00F137E5">
        <w:rPr>
          <w:rFonts w:ascii="Palatino Linotype" w:eastAsia="Palatino Linotype" w:hAnsi="Palatino Linotype" w:cs="Palatino Linotype"/>
        </w:rPr>
        <w:t>Decl@raNET</w:t>
      </w:r>
      <w:proofErr w:type="spellEnd"/>
      <w:r w:rsidRPr="00F137E5">
        <w:rPr>
          <w:rFonts w:ascii="Palatino Linotype" w:eastAsia="Palatino Linotype" w:hAnsi="Palatino Linotype" w:cs="Palatino Linotype"/>
        </w:rPr>
        <w:t>, es administrado por la Secretaría de la Contraloría, y cuyo fin es que los servidores públicos del Estado de México, presenten su Declaración de Situación Patrimonial, Declaración de Intereses o Posible Conflicto de Intereses y la Constancia de Declaración Fiscal.</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115.</w:t>
      </w:r>
      <w:r w:rsidRPr="00F137E5">
        <w:rPr>
          <w:rFonts w:ascii="Palatino Linotype" w:eastAsia="Palatino Linotype" w:hAnsi="Palatino Linotype" w:cs="Palatino Linotype"/>
        </w:rPr>
        <w:t xml:space="preserve"> En otras palabras, el Sistema </w:t>
      </w:r>
      <w:proofErr w:type="spellStart"/>
      <w:r w:rsidRPr="00F137E5">
        <w:rPr>
          <w:rFonts w:ascii="Palatino Linotype" w:eastAsia="Palatino Linotype" w:hAnsi="Palatino Linotype" w:cs="Palatino Linotype"/>
        </w:rPr>
        <w:t>Decl@raNET</w:t>
      </w:r>
      <w:proofErr w:type="spellEnd"/>
      <w:r w:rsidRPr="00F137E5">
        <w:rPr>
          <w:rFonts w:ascii="Palatino Linotype" w:eastAsia="Palatino Linotype" w:hAnsi="Palatino Linotype" w:cs="Palatino Linotype"/>
        </w:rPr>
        <w:t xml:space="preserve">, es operado únicamente por la Secretaría de la Contraloría, por lo que, es la única dependencia que tiene acceso a las declaraciones presentadas por dicha plataforma; situación que se robustece con el Manual General de Organización de la Secretaría de la Contraloría, que señala que dicha dependencia cuenta con diversas unidades administrativas para el ejercicio de sus funciones, entre las cuales se </w:t>
      </w:r>
      <w:r w:rsidRPr="00F137E5">
        <w:rPr>
          <w:rFonts w:ascii="Palatino Linotype" w:eastAsia="Palatino Linotype" w:hAnsi="Palatino Linotype" w:cs="Palatino Linotype"/>
        </w:rPr>
        <w:lastRenderedPageBreak/>
        <w:t xml:space="preserve">encuentra el </w:t>
      </w:r>
      <w:r w:rsidRPr="00F137E5">
        <w:rPr>
          <w:rFonts w:ascii="Palatino Linotype" w:eastAsia="Palatino Linotype" w:hAnsi="Palatino Linotype" w:cs="Palatino Linotype"/>
          <w:b/>
        </w:rPr>
        <w:t>Departamento de Recepción y Análisis de Manifestación de Bienes y Declaración de Intereses</w:t>
      </w:r>
      <w:r w:rsidRPr="00F137E5">
        <w:rPr>
          <w:rFonts w:ascii="Palatino Linotype" w:eastAsia="Palatino Linotype" w:hAnsi="Palatino Linotype" w:cs="Palatino Linotype"/>
        </w:rPr>
        <w:t>, encargado de realizar la recepción, registro y resguardo de las declaraciones de situación patrimonial de los servidores públicos de las Administraciones Públicas Estatal y Municipal.</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b/>
        </w:rPr>
      </w:pPr>
      <w:r w:rsidRPr="00F137E5">
        <w:rPr>
          <w:rFonts w:ascii="Palatino Linotype" w:eastAsia="Palatino Linotype" w:hAnsi="Palatino Linotype" w:cs="Palatino Linotype"/>
          <w:b/>
        </w:rPr>
        <w:t>116.</w:t>
      </w:r>
      <w:r w:rsidRPr="00F137E5">
        <w:rPr>
          <w:rFonts w:ascii="Palatino Linotype" w:eastAsia="Palatino Linotype" w:hAnsi="Palatino Linotype" w:cs="Palatino Linotype"/>
        </w:rPr>
        <w:t xml:space="preserve"> Atento a lo anterior, cabe recordar que los artículos 12 y 24 último párrafo de la Ley de Transparencia y Acceso a la Información Pública del Estado de México y Municipios, consagran la obligación de los Sujetos Obligados de hacer entrega de la información que en ejercicio de sus facultades, funciones y atribuciones, recopile, genere, o administre, por lo que </w:t>
      </w:r>
      <w:r w:rsidRPr="00F137E5">
        <w:rPr>
          <w:rFonts w:ascii="Palatino Linotype" w:eastAsia="Palatino Linotype" w:hAnsi="Palatino Linotype" w:cs="Palatino Linotype"/>
          <w:b/>
        </w:rPr>
        <w:t>al tenerse por acreditado que los Órganos Internos de Control únicamente verifican el cumplimiento de entrega de las declaraciones patrimoniales</w:t>
      </w:r>
      <w:r w:rsidRPr="00F137E5">
        <w:rPr>
          <w:rFonts w:ascii="Palatino Linotype" w:eastAsia="Palatino Linotype" w:hAnsi="Palatino Linotype" w:cs="Palatino Linotype"/>
        </w:rPr>
        <w:t xml:space="preserve">, sin que ellos funjan como intermediarios en la recepción y posterior entrega de las mismas ante la Secretaría de la Contraloría del Gobierno del Estado de México, </w:t>
      </w:r>
      <w:r w:rsidRPr="00F137E5">
        <w:rPr>
          <w:rFonts w:ascii="Palatino Linotype" w:eastAsia="Palatino Linotype" w:hAnsi="Palatino Linotype" w:cs="Palatino Linotype"/>
          <w:b/>
        </w:rPr>
        <w:t>es fácticamente imposible que el Sujeto Obligado, haga entrega de información que no genera, administra o posee al no tener  atribuciones</w:t>
      </w:r>
      <w:r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b/>
        </w:rPr>
        <w:t>para ello, siendo entonces procedente la respuesta emitida.</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117. </w:t>
      </w:r>
      <w:r w:rsidRPr="00F137E5">
        <w:rPr>
          <w:rFonts w:ascii="Palatino Linotype" w:eastAsia="Palatino Linotype" w:hAnsi="Palatino Linotype" w:cs="Palatino Linotype"/>
        </w:rPr>
        <w:t>A efecto de robustecer lo anterior es imprescindible mencionar que la fracción XIII del artículo 92 de la Ley de Transparencia y Acceso a la Información Pública del Estado de México y Municipios, establece como una obligación de transparencia la publicación en los medios electrónicos, la información relativa a las declaraciones patrimoniales y de intereses de los servidores públicos, en versión pública:</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rPr>
        <w:t>“</w:t>
      </w:r>
      <w:r w:rsidRPr="00F137E5">
        <w:rPr>
          <w:rFonts w:ascii="Palatino Linotype" w:eastAsia="Palatino Linotype" w:hAnsi="Palatino Linotype" w:cs="Palatino Linotype"/>
          <w:b/>
          <w:i/>
        </w:rPr>
        <w:t>Artículo 92.</w:t>
      </w:r>
      <w:r w:rsidRPr="00F137E5">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w:t>
      </w:r>
      <w:r w:rsidRPr="00F137E5">
        <w:rPr>
          <w:rFonts w:ascii="Palatino Linotype" w:eastAsia="Palatino Linotype" w:hAnsi="Palatino Linotype" w:cs="Palatino Linotype"/>
          <w:i/>
        </w:rPr>
        <w:lastRenderedPageBreak/>
        <w:t>según corresponda, la información, por lo menos, de los temas, documentos y políticas que a continuación se señalan:</w:t>
      </w:r>
    </w:p>
    <w:p w:rsidR="008C7D5C" w:rsidRPr="00F137E5" w:rsidRDefault="00074B8B">
      <w:pPr>
        <w:spacing w:line="276"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p>
    <w:p w:rsidR="008C7D5C" w:rsidRPr="00F137E5" w:rsidRDefault="00074B8B">
      <w:pPr>
        <w:spacing w:line="276" w:lineRule="auto"/>
        <w:ind w:left="567" w:right="-25"/>
        <w:jc w:val="both"/>
        <w:rPr>
          <w:rFonts w:ascii="Palatino Linotype" w:eastAsia="Palatino Linotype" w:hAnsi="Palatino Linotype" w:cs="Palatino Linotype"/>
        </w:rPr>
      </w:pPr>
      <w:r w:rsidRPr="00F137E5">
        <w:rPr>
          <w:rFonts w:ascii="Palatino Linotype" w:eastAsia="Palatino Linotype" w:hAnsi="Palatino Linotype" w:cs="Palatino Linotype"/>
          <w:b/>
          <w:i/>
        </w:rPr>
        <w:t>XIII. La información en versión pública de las declaraciones patrimoniales y de intereses de los servidores públicos que así lo determinen</w:t>
      </w:r>
      <w:r w:rsidRPr="00F137E5">
        <w:rPr>
          <w:rFonts w:ascii="Palatino Linotype" w:eastAsia="Palatino Linotype" w:hAnsi="Palatino Linotype" w:cs="Palatino Linotype"/>
          <w:i/>
        </w:rPr>
        <w:t>, en los sistemas habilitados para ello, de acuerdo a la normatividad aplicable;”</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118. </w:t>
      </w:r>
      <w:r w:rsidRPr="00F137E5">
        <w:rPr>
          <w:rFonts w:ascii="Palatino Linotype" w:eastAsia="Palatino Linotype" w:hAnsi="Palatino Linotype" w:cs="Palatino Linotype"/>
        </w:rPr>
        <w:t xml:space="preserve">Esta publicación deberá realizarse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bookmarkStart w:id="7" w:name="_heading=h.4d34og8" w:colFirst="0" w:colLast="0"/>
      <w:bookmarkEnd w:id="7"/>
      <w:r w:rsidRPr="00F137E5">
        <w:rPr>
          <w:rFonts w:ascii="Palatino Linotype" w:eastAsia="Palatino Linotype" w:hAnsi="Palatino Linotype" w:cs="Palatino Linotype"/>
          <w:b/>
        </w:rPr>
        <w:t xml:space="preserve">119. </w:t>
      </w:r>
      <w:r w:rsidRPr="00F137E5">
        <w:rPr>
          <w:rFonts w:ascii="Palatino Linotype" w:eastAsia="Palatino Linotype" w:hAnsi="Palatino Linotype" w:cs="Palatino Linotype"/>
        </w:rPr>
        <w:t>Como se logra observar, el ente recurrido es notoriamente incompetente para conocer de declaraciones patrimoniales  y de intereses de las personas referidas en la solicitud de acceso a la información pública, por lo que, se dejan a salvo los derechos de la parte Recurrente para realizar una nueva solicitud de información ante la Secretaría de la Contraloría.</w:t>
      </w:r>
    </w:p>
    <w:p w:rsidR="008C7D5C" w:rsidRPr="00F137E5" w:rsidRDefault="008C7D5C">
      <w:pPr>
        <w:spacing w:line="360" w:lineRule="auto"/>
        <w:ind w:right="-592"/>
        <w:jc w:val="both"/>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120. </w:t>
      </w:r>
      <w:r w:rsidRPr="00F137E5">
        <w:rPr>
          <w:rFonts w:ascii="Palatino Linotype" w:eastAsia="Palatino Linotype" w:hAnsi="Palatino Linotype" w:cs="Palatino Linotype"/>
        </w:rPr>
        <w:t xml:space="preserve">Por otro lado, es de señalar que, en la solicitud de información se advierte que la parte Recurrente requirió la misma vía </w:t>
      </w:r>
      <w:proofErr w:type="spellStart"/>
      <w:r w:rsidRPr="00F137E5">
        <w:rPr>
          <w:rFonts w:ascii="Palatino Linotype" w:eastAsia="Palatino Linotype" w:hAnsi="Palatino Linotype" w:cs="Palatino Linotype"/>
        </w:rPr>
        <w:t>Saimex</w:t>
      </w:r>
      <w:proofErr w:type="spellEnd"/>
      <w:r w:rsidRPr="00F137E5">
        <w:rPr>
          <w:rFonts w:ascii="Palatino Linotype" w:eastAsia="Palatino Linotype" w:hAnsi="Palatino Linotype" w:cs="Palatino Linotype"/>
        </w:rPr>
        <w:t>, en copias simples, certificadas en PDF, tal como se advierte a continuación:</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center"/>
        <w:rPr>
          <w:rFonts w:ascii="Palatino Linotype" w:eastAsia="Palatino Linotype" w:hAnsi="Palatino Linotype" w:cs="Palatino Linotype"/>
        </w:rPr>
      </w:pPr>
      <w:r w:rsidRPr="00F137E5">
        <w:rPr>
          <w:rFonts w:ascii="Palatino Linotype" w:eastAsia="Palatino Linotype" w:hAnsi="Palatino Linotype" w:cs="Palatino Linotype"/>
          <w:noProof/>
        </w:rPr>
        <w:lastRenderedPageBreak/>
        <w:drawing>
          <wp:inline distT="0" distB="0" distL="0" distR="0">
            <wp:extent cx="5610225" cy="723900"/>
            <wp:effectExtent l="0" t="0" r="0" b="0"/>
            <wp:docPr id="203084306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5610225" cy="723900"/>
                    </a:xfrm>
                    <a:prstGeom prst="rect">
                      <a:avLst/>
                    </a:prstGeom>
                    <a:ln/>
                  </pic:spPr>
                </pic:pic>
              </a:graphicData>
            </a:graphic>
          </wp:inline>
        </w:drawing>
      </w:r>
    </w:p>
    <w:p w:rsidR="008C7D5C" w:rsidRPr="00F137E5" w:rsidRDefault="008C7D5C">
      <w:pPr>
        <w:spacing w:line="360" w:lineRule="auto"/>
        <w:ind w:right="-592"/>
        <w:jc w:val="center"/>
        <w:rPr>
          <w:rFonts w:ascii="Palatino Linotype" w:eastAsia="Palatino Linotype" w:hAnsi="Palatino Linotype" w:cs="Palatino Linotype"/>
        </w:rPr>
      </w:pPr>
    </w:p>
    <w:p w:rsidR="008C7D5C" w:rsidRPr="00F137E5" w:rsidRDefault="00074B8B">
      <w:pPr>
        <w:spacing w:line="360" w:lineRule="auto"/>
        <w:ind w:right="-592"/>
        <w:jc w:val="center"/>
        <w:rPr>
          <w:rFonts w:ascii="Palatino Linotype" w:eastAsia="Palatino Linotype" w:hAnsi="Palatino Linotype" w:cs="Palatino Linotype"/>
        </w:rPr>
      </w:pPr>
      <w:r w:rsidRPr="00F137E5">
        <w:rPr>
          <w:rFonts w:ascii="Palatino Linotype" w:eastAsia="Palatino Linotype" w:hAnsi="Palatino Linotype" w:cs="Palatino Linotype"/>
          <w:noProof/>
        </w:rPr>
        <w:drawing>
          <wp:inline distT="0" distB="0" distL="0" distR="0">
            <wp:extent cx="5610225" cy="390525"/>
            <wp:effectExtent l="0" t="0" r="0" b="0"/>
            <wp:docPr id="20308430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610225" cy="390525"/>
                    </a:xfrm>
                    <a:prstGeom prst="rect">
                      <a:avLst/>
                    </a:prstGeom>
                    <a:ln/>
                  </pic:spPr>
                </pic:pic>
              </a:graphicData>
            </a:graphic>
          </wp:inline>
        </w:drawing>
      </w:r>
    </w:p>
    <w:p w:rsidR="008C7D5C" w:rsidRPr="00F137E5" w:rsidRDefault="008C7D5C">
      <w:pPr>
        <w:spacing w:line="360" w:lineRule="auto"/>
        <w:ind w:right="-592"/>
        <w:jc w:val="center"/>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121.</w:t>
      </w:r>
      <w:r w:rsidRPr="00F137E5">
        <w:rPr>
          <w:rFonts w:ascii="Palatino Linotype" w:eastAsia="Palatino Linotype" w:hAnsi="Palatino Linotype" w:cs="Palatino Linotype"/>
        </w:rPr>
        <w:t xml:space="preserve"> En ese sentido, en lo que corresponde a </w:t>
      </w:r>
      <w:r w:rsidRPr="00F137E5">
        <w:rPr>
          <w:rFonts w:ascii="Palatino Linotype" w:eastAsia="Palatino Linotype" w:hAnsi="Palatino Linotype" w:cs="Palatino Linotype"/>
          <w:i/>
        </w:rPr>
        <w:t xml:space="preserve">por escrito y en copias simples </w:t>
      </w:r>
      <w:r w:rsidRPr="00F137E5">
        <w:rPr>
          <w:rFonts w:ascii="Palatino Linotype" w:eastAsia="Palatino Linotype" w:hAnsi="Palatino Linotype" w:cs="Palatino Linotype"/>
        </w:rPr>
        <w:t xml:space="preserve">es información que se puede obtener a través de la entrega de la información vía SAIMEX, pues basta con que la parte Recurrente imprima la documentación que se le proporcione a través de este medio para obtener las copias simples. </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122.</w:t>
      </w:r>
      <w:r w:rsidRPr="00F137E5">
        <w:rPr>
          <w:rFonts w:ascii="Palatino Linotype" w:eastAsia="Palatino Linotype" w:hAnsi="Palatino Linotype" w:cs="Palatino Linotype"/>
        </w:rPr>
        <w:t xml:space="preserve"> En lo que respecta a las </w:t>
      </w:r>
      <w:r w:rsidRPr="00F137E5">
        <w:rPr>
          <w:rFonts w:ascii="Palatino Linotype" w:eastAsia="Palatino Linotype" w:hAnsi="Palatino Linotype" w:cs="Palatino Linotype"/>
          <w:b/>
        </w:rPr>
        <w:t>copias certificadas</w:t>
      </w:r>
      <w:r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color w:val="000000"/>
        </w:rPr>
        <w:t>es necesario señalar que dicha modalidad de entrega recae en el supuesto previsto en el artículo 174 fracciones I, III y párrafo segundo de la Ley de Transparencia y Acceso a la Información Pública del Estado de México y Municipios, a saber:</w:t>
      </w:r>
    </w:p>
    <w:p w:rsidR="008C7D5C" w:rsidRPr="00F137E5" w:rsidRDefault="00074B8B">
      <w:pPr>
        <w:tabs>
          <w:tab w:val="left" w:pos="1843"/>
          <w:tab w:val="left" w:pos="7088"/>
          <w:tab w:val="left" w:pos="7371"/>
          <w:tab w:val="left" w:pos="7513"/>
        </w:tabs>
        <w:spacing w:before="120" w:after="120"/>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t>“Artículo 174.</w:t>
      </w:r>
      <w:r w:rsidRPr="00F137E5">
        <w:rPr>
          <w:rFonts w:ascii="Palatino Linotype" w:eastAsia="Palatino Linotype" w:hAnsi="Palatino Linotype" w:cs="Palatino Linotype"/>
          <w:i/>
        </w:rPr>
        <w:t xml:space="preserve"> En caso de existir costos para obtener la información deberán cubrirse de manera previa a la entrega y no podrán ser superiores a la suma de: </w:t>
      </w:r>
    </w:p>
    <w:p w:rsidR="008C7D5C" w:rsidRPr="00F137E5" w:rsidRDefault="00074B8B">
      <w:pPr>
        <w:tabs>
          <w:tab w:val="left" w:pos="1843"/>
          <w:tab w:val="left" w:pos="7088"/>
          <w:tab w:val="left" w:pos="7371"/>
          <w:tab w:val="left" w:pos="7513"/>
        </w:tabs>
        <w:spacing w:before="120" w:after="120"/>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t>I.</w:t>
      </w:r>
      <w:r w:rsidRPr="00F137E5">
        <w:rPr>
          <w:rFonts w:ascii="Palatino Linotype" w:eastAsia="Palatino Linotype" w:hAnsi="Palatino Linotype" w:cs="Palatino Linotype"/>
          <w:i/>
        </w:rPr>
        <w:t xml:space="preserve"> El costo de los materiales utilizados en la reproducción de la información;</w:t>
      </w:r>
    </w:p>
    <w:p w:rsidR="008C7D5C" w:rsidRPr="00F137E5" w:rsidRDefault="00074B8B">
      <w:pPr>
        <w:tabs>
          <w:tab w:val="left" w:pos="1843"/>
          <w:tab w:val="left" w:pos="7088"/>
          <w:tab w:val="left" w:pos="7371"/>
          <w:tab w:val="left" w:pos="7513"/>
        </w:tabs>
        <w:spacing w:before="120" w:after="120"/>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p>
    <w:p w:rsidR="008C7D5C" w:rsidRPr="00F137E5" w:rsidRDefault="00074B8B">
      <w:pPr>
        <w:tabs>
          <w:tab w:val="left" w:pos="1843"/>
          <w:tab w:val="left" w:pos="7088"/>
          <w:tab w:val="left" w:pos="7371"/>
          <w:tab w:val="left" w:pos="7513"/>
        </w:tabs>
        <w:spacing w:before="120" w:after="120"/>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t>III.</w:t>
      </w:r>
      <w:r w:rsidRPr="00F137E5">
        <w:rPr>
          <w:rFonts w:ascii="Palatino Linotype" w:eastAsia="Palatino Linotype" w:hAnsi="Palatino Linotype" w:cs="Palatino Linotype"/>
          <w:i/>
        </w:rPr>
        <w:t xml:space="preserve"> El pago de la certificación de los documentos, cuando proceda.</w:t>
      </w:r>
    </w:p>
    <w:p w:rsidR="008C7D5C" w:rsidRPr="00F137E5" w:rsidRDefault="00074B8B">
      <w:pPr>
        <w:tabs>
          <w:tab w:val="left" w:pos="1843"/>
          <w:tab w:val="left" w:pos="7088"/>
          <w:tab w:val="left" w:pos="7371"/>
          <w:tab w:val="left" w:pos="7513"/>
        </w:tabs>
        <w:spacing w:before="120" w:after="120"/>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b/>
          <w:i/>
        </w:rPr>
        <w:t>.</w:t>
      </w:r>
      <w:r w:rsidRPr="00F137E5">
        <w:rPr>
          <w:rFonts w:ascii="Palatino Linotype" w:eastAsia="Palatino Linotype" w:hAnsi="Palatino Linotype" w:cs="Palatino Linotype"/>
          <w:i/>
        </w:rPr>
        <w:t>..</w:t>
      </w:r>
    </w:p>
    <w:p w:rsidR="008C7D5C" w:rsidRPr="00F137E5" w:rsidRDefault="00074B8B">
      <w:pPr>
        <w:tabs>
          <w:tab w:val="left" w:pos="1843"/>
          <w:tab w:val="left" w:pos="7088"/>
          <w:tab w:val="left" w:pos="7371"/>
          <w:tab w:val="left" w:pos="7513"/>
        </w:tabs>
        <w:spacing w:before="120" w:after="120"/>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 xml:space="preserve">La información deberá ser entregada sin costo, cuando implique la entrega de no más de veinte hojas simples. Las unidades de transparencia podrán exceptuar el pago de </w:t>
      </w:r>
      <w:r w:rsidRPr="00F137E5">
        <w:rPr>
          <w:rFonts w:ascii="Palatino Linotype" w:eastAsia="Palatino Linotype" w:hAnsi="Palatino Linotype" w:cs="Palatino Linotype"/>
          <w:i/>
        </w:rPr>
        <w:lastRenderedPageBreak/>
        <w:t>reproducción y envío atendiendo a las circunstancias socioeconómicas del solicitante, en términos de los lineamientos que expida el Instituto</w:t>
      </w:r>
      <w:r w:rsidRPr="00F137E5">
        <w:rPr>
          <w:rFonts w:ascii="Palatino Linotype" w:eastAsia="Palatino Linotype" w:hAnsi="Palatino Linotype" w:cs="Palatino Linotype"/>
        </w:rPr>
        <w:t>.</w:t>
      </w:r>
      <w:r w:rsidRPr="00F137E5">
        <w:rPr>
          <w:rFonts w:ascii="Palatino Linotype" w:eastAsia="Palatino Linotype" w:hAnsi="Palatino Linotype" w:cs="Palatino Linotype"/>
          <w:i/>
        </w:rPr>
        <w:t>”</w:t>
      </w:r>
    </w:p>
    <w:p w:rsidR="008C7D5C" w:rsidRPr="00F137E5" w:rsidRDefault="008C7D5C">
      <w:pPr>
        <w:spacing w:line="360" w:lineRule="auto"/>
        <w:ind w:right="-592"/>
        <w:jc w:val="both"/>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 xml:space="preserve">123. </w:t>
      </w:r>
      <w:r w:rsidRPr="00F137E5">
        <w:rPr>
          <w:rFonts w:ascii="Palatino Linotype" w:eastAsia="Palatino Linotype" w:hAnsi="Palatino Linotype" w:cs="Palatino Linotype"/>
          <w:color w:val="000000"/>
        </w:rPr>
        <w:t>Y, las cuotas de los derechos aplicables para la expedición de documentos solicitados en el ejercicio del derecho de acceso a la información pública, se encuentran previstas en el Código Financiero del Estado de México, el cual regula la actividad financiera estatal y municipal, entendiendo a dicha actividad la que comprende la obtención, administración y aplicación de los ingresos públicos, así como lo conducente a la transparencia y difusión de la información financiera relativa al presupuesto, ejercicio, evaluación y rendición de cuentas, en apego a las disposiciones aplicables en la materia.</w:t>
      </w:r>
    </w:p>
    <w:p w:rsidR="008C7D5C" w:rsidRPr="00F137E5" w:rsidRDefault="008C7D5C">
      <w:pPr>
        <w:spacing w:line="360" w:lineRule="auto"/>
        <w:ind w:right="-592"/>
        <w:jc w:val="both"/>
        <w:rPr>
          <w:rFonts w:ascii="Palatino Linotype" w:eastAsia="Palatino Linotype" w:hAnsi="Palatino Linotype" w:cs="Palatino Linotype"/>
          <w:b/>
          <w:color w:val="000000"/>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124. </w:t>
      </w:r>
      <w:r w:rsidRPr="00F137E5">
        <w:rPr>
          <w:rFonts w:ascii="Palatino Linotype" w:eastAsia="Palatino Linotype" w:hAnsi="Palatino Linotype" w:cs="Palatino Linotype"/>
        </w:rPr>
        <w:t xml:space="preserve">Por tanto, se tiene que el artículo 7, del Código referido establece que, para cubrir el gasto </w:t>
      </w:r>
      <w:r w:rsidRPr="00F137E5">
        <w:rPr>
          <w:rFonts w:ascii="Palatino Linotype" w:eastAsia="Palatino Linotype" w:hAnsi="Palatino Linotype" w:cs="Palatino Linotype"/>
          <w:color w:val="000000"/>
        </w:rPr>
        <w:t>público</w:t>
      </w:r>
      <w:r w:rsidRPr="00F137E5">
        <w:rPr>
          <w:rFonts w:ascii="Palatino Linotype" w:eastAsia="Palatino Linotype" w:hAnsi="Palatino Linotype" w:cs="Palatino Linotype"/>
        </w:rPr>
        <w:t xml:space="preserve">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w:t>
      </w:r>
    </w:p>
    <w:p w:rsidR="008C7D5C" w:rsidRPr="00F137E5" w:rsidRDefault="008C7D5C">
      <w:pPr>
        <w:pBdr>
          <w:top w:val="nil"/>
          <w:left w:val="nil"/>
          <w:bottom w:val="nil"/>
          <w:right w:val="nil"/>
          <w:between w:val="nil"/>
        </w:pBdr>
        <w:ind w:left="720" w:right="-592"/>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125. </w:t>
      </w:r>
      <w:r w:rsidRPr="00F137E5">
        <w:rPr>
          <w:rFonts w:ascii="Palatino Linotype" w:eastAsia="Palatino Linotype" w:hAnsi="Palatino Linotype" w:cs="Palatino Linotype"/>
        </w:rPr>
        <w:t>Asimismo, el artículo 9 en su fracción II define a los derechos como las contraprestaciones establecidas en este Código que deben pagar las personas físicas y jurídicas colectivas, por el uso o aprovechamiento de los bienes del dominio público de la Entidad, así como por recibir servicios que preste, el Estado, sus organismos y Municipios en funciones de derecho público.</w:t>
      </w:r>
    </w:p>
    <w:p w:rsidR="008C7D5C" w:rsidRPr="00F137E5" w:rsidRDefault="008C7D5C">
      <w:pPr>
        <w:spacing w:line="360" w:lineRule="auto"/>
        <w:ind w:right="-592" w:firstLine="1"/>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lastRenderedPageBreak/>
        <w:t>126.</w:t>
      </w:r>
      <w:r w:rsidRPr="00F137E5">
        <w:rPr>
          <w:rFonts w:ascii="Palatino Linotype" w:eastAsia="Palatino Linotype" w:hAnsi="Palatino Linotype" w:cs="Palatino Linotype"/>
        </w:rPr>
        <w:t xml:space="preserve"> Así, se tiene que el cobro por la certificación de los documentos a entregar, es un ingreso al que tienen derecho los municipios y su destino es cubrir el gasto público y demás obligaciones a su cargo, toda vez que es una ganancia lícita que se debe obtener con el cumplimiento de la obligación de la parte </w:t>
      </w:r>
      <w:r w:rsidRPr="00F137E5">
        <w:rPr>
          <w:rFonts w:ascii="Palatino Linotype" w:eastAsia="Palatino Linotype" w:hAnsi="Palatino Linotype" w:cs="Palatino Linotype"/>
          <w:b/>
        </w:rPr>
        <w:t>Recurrente</w:t>
      </w:r>
      <w:r w:rsidRPr="00F137E5">
        <w:rPr>
          <w:rFonts w:ascii="Palatino Linotype" w:eastAsia="Palatino Linotype" w:hAnsi="Palatino Linotype" w:cs="Palatino Linotype"/>
        </w:rPr>
        <w:t xml:space="preserve"> a realizar el pago establecido en el artículo 73 del Código Financiero. </w:t>
      </w:r>
    </w:p>
    <w:p w:rsidR="008C7D5C" w:rsidRPr="00F137E5" w:rsidRDefault="008C7D5C">
      <w:pPr>
        <w:spacing w:line="360" w:lineRule="auto"/>
        <w:ind w:right="-592" w:firstLine="1"/>
        <w:jc w:val="both"/>
        <w:rPr>
          <w:rFonts w:ascii="Palatino Linotype" w:eastAsia="Palatino Linotype" w:hAnsi="Palatino Linotype" w:cs="Palatino Linotype"/>
        </w:rPr>
      </w:pPr>
    </w:p>
    <w:p w:rsidR="008C7D5C" w:rsidRPr="00F137E5" w:rsidRDefault="00074B8B">
      <w:pPr>
        <w:spacing w:line="360" w:lineRule="auto"/>
        <w:ind w:right="-592" w:firstLine="1"/>
        <w:jc w:val="center"/>
        <w:rPr>
          <w:rFonts w:ascii="Palatino Linotype" w:eastAsia="Palatino Linotype" w:hAnsi="Palatino Linotype" w:cs="Palatino Linotype"/>
        </w:rPr>
      </w:pPr>
      <w:r w:rsidRPr="00F137E5">
        <w:rPr>
          <w:rFonts w:ascii="Palatino Linotype" w:eastAsia="Palatino Linotype" w:hAnsi="Palatino Linotype" w:cs="Palatino Linotype"/>
          <w:noProof/>
          <w:color w:val="000000"/>
        </w:rPr>
        <w:drawing>
          <wp:inline distT="0" distB="0" distL="0" distR="0">
            <wp:extent cx="5419725" cy="1000125"/>
            <wp:effectExtent l="0" t="0" r="0" b="0"/>
            <wp:docPr id="20308430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5419725" cy="1000125"/>
                    </a:xfrm>
                    <a:prstGeom prst="rect">
                      <a:avLst/>
                    </a:prstGeom>
                    <a:ln/>
                  </pic:spPr>
                </pic:pic>
              </a:graphicData>
            </a:graphic>
          </wp:inline>
        </w:drawing>
      </w:r>
      <w:r w:rsidRPr="00F137E5">
        <w:rPr>
          <w:rFonts w:ascii="Palatino Linotype" w:eastAsia="Palatino Linotype" w:hAnsi="Palatino Linotype" w:cs="Palatino Linotype"/>
          <w:noProof/>
          <w:color w:val="000000"/>
        </w:rPr>
        <w:drawing>
          <wp:inline distT="0" distB="0" distL="0" distR="0">
            <wp:extent cx="5210175" cy="1047750"/>
            <wp:effectExtent l="0" t="0" r="0" b="0"/>
            <wp:docPr id="20308430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210175" cy="1047750"/>
                    </a:xfrm>
                    <a:prstGeom prst="rect">
                      <a:avLst/>
                    </a:prstGeom>
                    <a:ln/>
                  </pic:spPr>
                </pic:pic>
              </a:graphicData>
            </a:graphic>
          </wp:inline>
        </w:drawing>
      </w:r>
    </w:p>
    <w:p w:rsidR="008C7D5C" w:rsidRPr="00F137E5" w:rsidRDefault="008C7D5C">
      <w:pPr>
        <w:spacing w:line="360" w:lineRule="auto"/>
        <w:ind w:right="-592" w:firstLine="1"/>
        <w:jc w:val="both"/>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127.</w:t>
      </w:r>
      <w:r w:rsidRPr="00F137E5">
        <w:rPr>
          <w:rFonts w:ascii="Palatino Linotype" w:eastAsia="Palatino Linotype" w:hAnsi="Palatino Linotype" w:cs="Palatino Linotype"/>
        </w:rPr>
        <w:t xml:space="preserve"> Como se advierte, los derechos por la certificación de la primera hoja, equivalen a $103 pesos mientras que los derechos para cada una de las subsecuentes equivalen a $50 pesos. </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128.</w:t>
      </w:r>
      <w:r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color w:val="000000"/>
        </w:rPr>
        <w:t>En este sentido, es evidente que la entrega de la información a la particular mediante copias certificadas, procederá una vez que se acredite el pago de derechos correspondiente.</w:t>
      </w:r>
    </w:p>
    <w:p w:rsidR="008C7D5C" w:rsidRPr="00F137E5" w:rsidRDefault="008C7D5C">
      <w:pPr>
        <w:spacing w:line="360" w:lineRule="auto"/>
        <w:ind w:right="-592"/>
        <w:jc w:val="both"/>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b/>
          <w:u w:val="single"/>
        </w:rPr>
      </w:pPr>
      <w:r w:rsidRPr="00F137E5">
        <w:rPr>
          <w:rFonts w:ascii="Palatino Linotype" w:eastAsia="Palatino Linotype" w:hAnsi="Palatino Linotype" w:cs="Palatino Linotype"/>
          <w:b/>
        </w:rPr>
        <w:t>129.</w:t>
      </w:r>
      <w:r w:rsidRPr="00F137E5">
        <w:rPr>
          <w:rFonts w:ascii="Palatino Linotype" w:eastAsia="Palatino Linotype" w:hAnsi="Palatino Linotype" w:cs="Palatino Linotype"/>
        </w:rPr>
        <w:t xml:space="preserve"> Asimismo, se precisa que para la entrega de la información certificada tal y como fue solicitada por el particular, debemos tener en cuenta que los Lineamientos para la Recepción, Trámite y Resolución de las Solicitudes de Acceso a la Información Pública, así </w:t>
      </w:r>
      <w:r w:rsidRPr="00F137E5">
        <w:rPr>
          <w:rFonts w:ascii="Palatino Linotype" w:eastAsia="Palatino Linotype" w:hAnsi="Palatino Linotype" w:cs="Palatino Linotype"/>
          <w:color w:val="000000"/>
        </w:rPr>
        <w:lastRenderedPageBreak/>
        <w:t>como</w:t>
      </w:r>
      <w:r w:rsidRPr="00F137E5">
        <w:rPr>
          <w:rFonts w:ascii="Palatino Linotype" w:eastAsia="Palatino Linotype" w:hAnsi="Palatino Linotype" w:cs="Palatino Linotype"/>
        </w:rPr>
        <w:t xml:space="preserve"> de los Recursos de Revisión que deberán observar los Sujetos Obligados por la Ley de Transparencia y Acceso a la Información Pública del Estado de México y Municipios; disponen en el numeral treinta y ocho, incisos e), f) y h), que en el caso de que la información se haya solicitado en una modalidad que sea técnicamente factible y que constituya un costo de reproducción, los Sujetos Obligados deberán hacer del conocimiento de los particulares</w:t>
      </w:r>
      <w:r w:rsidRPr="00F137E5">
        <w:rPr>
          <w:rFonts w:ascii="Palatino Linotype" w:eastAsia="Palatino Linotype" w:hAnsi="Palatino Linotype" w:cs="Palatino Linotype"/>
          <w:b/>
        </w:rPr>
        <w:t xml:space="preserve"> </w:t>
      </w:r>
      <w:r w:rsidRPr="00F137E5">
        <w:rPr>
          <w:rFonts w:ascii="Palatino Linotype" w:eastAsia="Palatino Linotype" w:hAnsi="Palatino Linotype" w:cs="Palatino Linotype"/>
        </w:rPr>
        <w:t>previamente</w:t>
      </w:r>
      <w:r w:rsidRPr="00F137E5">
        <w:rPr>
          <w:rFonts w:ascii="Palatino Linotype" w:eastAsia="Palatino Linotype" w:hAnsi="Palatino Linotype" w:cs="Palatino Linotype"/>
          <w:b/>
        </w:rPr>
        <w:t>, el costo total por la reproducción y certificación de la información requerida,</w:t>
      </w:r>
      <w:r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b/>
        </w:rPr>
        <w:t xml:space="preserve">así como el procedimiento para la entrega de la misma en el que se establezca: procedimiento para realizar el pago correspondiente, lugar, día y horarios en los que podrá presentarse a recoger las copias certificadas y el nombre del o los servidores públicos que le atenderán. </w:t>
      </w:r>
    </w:p>
    <w:p w:rsidR="008C7D5C" w:rsidRPr="00F137E5" w:rsidRDefault="008C7D5C">
      <w:pPr>
        <w:spacing w:line="360" w:lineRule="auto"/>
        <w:ind w:right="-592"/>
        <w:jc w:val="both"/>
        <w:rPr>
          <w:rFonts w:ascii="Palatino Linotype" w:eastAsia="Palatino Linotype" w:hAnsi="Palatino Linotype" w:cs="Palatino Linotype"/>
          <w:b/>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130. </w:t>
      </w:r>
      <w:r w:rsidRPr="00F137E5">
        <w:rPr>
          <w:rFonts w:ascii="Palatino Linotype" w:eastAsia="Palatino Linotype" w:hAnsi="Palatino Linotype" w:cs="Palatino Linotype"/>
        </w:rPr>
        <w:t>Asimismo, no debe perderse de vista el contenido del artículo 166 de la Ley de Transparencia y Acceso a la Información Pública del Estado de México y Municipios, que señala a la literalidad lo siguiente:</w:t>
      </w:r>
    </w:p>
    <w:p w:rsidR="008C7D5C" w:rsidRPr="00F137E5" w:rsidRDefault="00074B8B">
      <w:pPr>
        <w:spacing w:after="120"/>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r w:rsidRPr="00F137E5">
        <w:rPr>
          <w:rFonts w:ascii="Palatino Linotype" w:eastAsia="Palatino Linotype" w:hAnsi="Palatino Linotype" w:cs="Palatino Linotype"/>
          <w:b/>
          <w:i/>
        </w:rPr>
        <w:t>Artículo 166</w:t>
      </w:r>
      <w:r w:rsidRPr="00F137E5">
        <w:rPr>
          <w:rFonts w:ascii="Palatino Linotype" w:eastAsia="Palatino Linotype" w:hAnsi="Palatino Linotype" w:cs="Palatino Linotype"/>
          <w:i/>
        </w:rPr>
        <w:t xml:space="preserve">. La obligación de acceso a la información pública se tendrá por cumplida </w:t>
      </w:r>
      <w:r w:rsidRPr="00F137E5">
        <w:rPr>
          <w:rFonts w:ascii="Palatino Linotype" w:eastAsia="Palatino Linotype" w:hAnsi="Palatino Linotype" w:cs="Palatino Linotype"/>
          <w:b/>
          <w:i/>
        </w:rPr>
        <w:t xml:space="preserve">cuando el solicitante tenga a su disposición la información requerida, </w:t>
      </w:r>
      <w:r w:rsidRPr="00F137E5">
        <w:rPr>
          <w:rFonts w:ascii="Palatino Linotype" w:eastAsia="Palatino Linotype" w:hAnsi="Palatino Linotype" w:cs="Palatino Linotype"/>
          <w:i/>
        </w:rPr>
        <w:t>o cuando realice la consulta de la misma en el lugar en el que ésta se localice.</w:t>
      </w:r>
    </w:p>
    <w:p w:rsidR="008C7D5C" w:rsidRPr="00F137E5" w:rsidRDefault="00074B8B">
      <w:pPr>
        <w:spacing w:before="120" w:after="120"/>
        <w:ind w:left="851" w:right="-25"/>
        <w:jc w:val="both"/>
        <w:rPr>
          <w:rFonts w:ascii="Palatino Linotype" w:eastAsia="Palatino Linotype" w:hAnsi="Palatino Linotype" w:cs="Palatino Linotype"/>
          <w:b/>
          <w:i/>
        </w:rPr>
      </w:pPr>
      <w:r w:rsidRPr="00F137E5">
        <w:rPr>
          <w:rFonts w:ascii="Palatino Linotype" w:eastAsia="Palatino Linotype" w:hAnsi="Palatino Linotype" w:cs="Palatino Linotype"/>
          <w:b/>
          <w:i/>
          <w:u w:val="single"/>
        </w:rPr>
        <w:t>La Unidad de Transparencia tendrá disponible la información solicitada</w:t>
      </w:r>
      <w:r w:rsidRPr="00F137E5">
        <w:rPr>
          <w:rFonts w:ascii="Palatino Linotype" w:eastAsia="Palatino Linotype" w:hAnsi="Palatino Linotype" w:cs="Palatino Linotype"/>
          <w:b/>
          <w:i/>
        </w:rPr>
        <w:t>, durante un plazo mínimo de sesenta días hábiles, contado a partir de que el solicitante hubiere realizado, en su caso, el pago respectivo, el cual deberá efectuarse en un plazo no mayor a treinta días hábiles.</w:t>
      </w:r>
    </w:p>
    <w:p w:rsidR="008C7D5C" w:rsidRPr="00F137E5" w:rsidRDefault="00074B8B">
      <w:pPr>
        <w:spacing w:before="120" w:after="120"/>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Transcurridos dichos plazos, si los solicitantes no acuden a recibir la información requerida los sujetos obligados darán por concluida la solicitud y procederán, de ser el caso, a la destrucción del material en el que se reprodujo la información.</w:t>
      </w:r>
    </w:p>
    <w:p w:rsidR="008C7D5C" w:rsidRPr="00F137E5" w:rsidRDefault="00074B8B">
      <w:pPr>
        <w:spacing w:before="120" w:after="120"/>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lastRenderedPageBreak/>
        <w:t>Cuando el sujeto obligado no entregue la respuesta a la solicitud dentro del plazo previsto en la Ley, la solicitud se entenderá negada y el solicitante podrá interponer el recurso de revisión previsto en este ordenamiento.</w:t>
      </w:r>
    </w:p>
    <w:p w:rsidR="008C7D5C" w:rsidRPr="00F137E5" w:rsidRDefault="00074B8B">
      <w:pPr>
        <w:spacing w:before="120" w:after="120"/>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Una vez entregada la información, el solicitante acusará recibo por escrito, dándose por terminado el trámite de acceso a la información.”</w:t>
      </w:r>
    </w:p>
    <w:p w:rsidR="008C7D5C" w:rsidRPr="00F137E5" w:rsidRDefault="008C7D5C">
      <w:pPr>
        <w:spacing w:before="120" w:after="120"/>
        <w:ind w:left="851" w:right="-592"/>
        <w:jc w:val="both"/>
        <w:rPr>
          <w:rFonts w:ascii="Palatino Linotype" w:eastAsia="Palatino Linotype" w:hAnsi="Palatino Linotype" w:cs="Palatino Linotype"/>
          <w:i/>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131.</w:t>
      </w:r>
      <w:r w:rsidRPr="00F137E5">
        <w:rPr>
          <w:rFonts w:ascii="Palatino Linotype" w:eastAsia="Palatino Linotype" w:hAnsi="Palatino Linotype" w:cs="Palatino Linotype"/>
        </w:rPr>
        <w:t xml:space="preserve"> Razón por la cual,</w:t>
      </w:r>
      <w:r w:rsidRPr="00F137E5">
        <w:rPr>
          <w:rFonts w:ascii="Palatino Linotype" w:eastAsia="Palatino Linotype" w:hAnsi="Palatino Linotype" w:cs="Palatino Linotype"/>
          <w:b/>
        </w:rPr>
        <w:t xml:space="preserve"> </w:t>
      </w:r>
      <w:r w:rsidRPr="00F137E5">
        <w:rPr>
          <w:rFonts w:ascii="Palatino Linotype" w:eastAsia="Palatino Linotype" w:hAnsi="Palatino Linotype" w:cs="Palatino Linotype"/>
        </w:rPr>
        <w:t xml:space="preserve">para dar cumplimiento a la presente resolución, el </w:t>
      </w:r>
      <w:r w:rsidRPr="00F137E5">
        <w:rPr>
          <w:rFonts w:ascii="Palatino Linotype" w:eastAsia="Palatino Linotype" w:hAnsi="Palatino Linotype" w:cs="Palatino Linotype"/>
          <w:b/>
        </w:rPr>
        <w:t>SUJETO OBLIGADO</w:t>
      </w:r>
      <w:r w:rsidRPr="00F137E5">
        <w:rPr>
          <w:rFonts w:ascii="Palatino Linotype" w:eastAsia="Palatino Linotype" w:hAnsi="Palatino Linotype" w:cs="Palatino Linotype"/>
        </w:rPr>
        <w:t xml:space="preserve"> deberá hacer del conocimiento de la parte </w:t>
      </w:r>
      <w:r w:rsidRPr="00F137E5">
        <w:rPr>
          <w:rFonts w:ascii="Palatino Linotype" w:eastAsia="Palatino Linotype" w:hAnsi="Palatino Linotype" w:cs="Palatino Linotype"/>
          <w:b/>
        </w:rPr>
        <w:t>RECURRENTE</w:t>
      </w:r>
      <w:r w:rsidRPr="00F137E5">
        <w:rPr>
          <w:rFonts w:ascii="Palatino Linotype" w:eastAsia="Palatino Linotype" w:hAnsi="Palatino Linotype" w:cs="Palatino Linotype"/>
        </w:rPr>
        <w:t xml:space="preserve">, vía SAIMEX, </w:t>
      </w:r>
      <w:r w:rsidRPr="00F137E5">
        <w:rPr>
          <w:rFonts w:ascii="Palatino Linotype" w:eastAsia="Palatino Linotype" w:hAnsi="Palatino Linotype" w:cs="Palatino Linotype"/>
          <w:b/>
          <w:u w:val="single"/>
        </w:rPr>
        <w:t>el costo por la reproducción y certificación de la información requerida</w:t>
      </w:r>
      <w:r w:rsidRPr="00F137E5">
        <w:rPr>
          <w:rFonts w:ascii="Palatino Linotype" w:eastAsia="Palatino Linotype" w:hAnsi="Palatino Linotype" w:cs="Palatino Linotype"/>
        </w:rPr>
        <w:t>, así como el procedimiento para la entrega de la misma una vez que haya efectuado el pago por concepto de derechos, en el que se establezca: lugar, día y horarios en los que podrá presentarse a recoger las copias certificadas, así como el nombre del o los servidores públicos que le atenderán.</w:t>
      </w:r>
    </w:p>
    <w:p w:rsidR="008C7D5C" w:rsidRPr="00F137E5" w:rsidRDefault="008C7D5C">
      <w:pPr>
        <w:spacing w:after="40"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132.</w:t>
      </w:r>
      <w:r w:rsidRPr="00F137E5">
        <w:rPr>
          <w:rFonts w:ascii="Palatino Linotype" w:eastAsia="Palatino Linotype" w:hAnsi="Palatino Linotype" w:cs="Palatino Linotype"/>
        </w:rPr>
        <w:t xml:space="preserve"> Ahora bien, conviene señalar que si bien dicha modalidad de entrega en copias certificadas faculta a los servidores públicos para que expidan certificaciones de los documentos solicitados que obran en los archivos de las dependencias o entidades en copia simple u original según sea el caso; también lo es que, en materia de acceso a la información la certificación </w:t>
      </w:r>
      <w:r w:rsidRPr="00F137E5">
        <w:rPr>
          <w:rFonts w:ascii="Palatino Linotype" w:eastAsia="Palatino Linotype" w:hAnsi="Palatino Linotype" w:cs="Palatino Linotype"/>
          <w:b/>
        </w:rPr>
        <w:t>únicamente por efecto constata que la copia certificada que se entrega es una reproducción fiel del documento -original o copia simple- que obra en los archivos de la dependencia</w:t>
      </w:r>
      <w:r w:rsidRPr="00F137E5">
        <w:rPr>
          <w:rFonts w:ascii="Palatino Linotype" w:eastAsia="Palatino Linotype" w:hAnsi="Palatino Linotype" w:cs="Palatino Linotype"/>
        </w:rPr>
        <w:t xml:space="preserve"> o entidad requerida, en ese orden de ideas, </w:t>
      </w:r>
      <w:r w:rsidRPr="00F137E5">
        <w:rPr>
          <w:rFonts w:ascii="Palatino Linotype" w:eastAsia="Palatino Linotype" w:hAnsi="Palatino Linotype" w:cs="Palatino Linotype"/>
          <w:b/>
          <w:u w:val="single"/>
        </w:rPr>
        <w:t>la certificación, para efectos de acceso a la información, no tiene como propósito que el documento certificado haga las veces de un original,</w:t>
      </w:r>
      <w:r w:rsidRPr="00F137E5">
        <w:rPr>
          <w:rFonts w:ascii="Palatino Linotype" w:eastAsia="Palatino Linotype" w:hAnsi="Palatino Linotype" w:cs="Palatino Linotype"/>
        </w:rPr>
        <w:t xml:space="preserve"> sino dejar evidencia de que los documentos obran en los archivos </w:t>
      </w:r>
      <w:r w:rsidRPr="00F137E5">
        <w:rPr>
          <w:rFonts w:ascii="Palatino Linotype" w:eastAsia="Palatino Linotype" w:hAnsi="Palatino Linotype" w:cs="Palatino Linotype"/>
        </w:rPr>
        <w:lastRenderedPageBreak/>
        <w:t xml:space="preserve">de los sujetos obligados, tal cual se encuentran, lo cual deberá quedar precisado en la leyenda de certificación correspondiente. </w:t>
      </w:r>
    </w:p>
    <w:p w:rsidR="008C7D5C" w:rsidRPr="00F137E5" w:rsidRDefault="008C7D5C">
      <w:pPr>
        <w:pBdr>
          <w:top w:val="nil"/>
          <w:left w:val="nil"/>
          <w:bottom w:val="nil"/>
          <w:right w:val="nil"/>
          <w:between w:val="nil"/>
        </w:pBdr>
        <w:ind w:left="720" w:right="-592"/>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133.</w:t>
      </w:r>
      <w:r w:rsidRPr="00F137E5">
        <w:rPr>
          <w:rFonts w:ascii="Palatino Linotype" w:eastAsia="Palatino Linotype" w:hAnsi="Palatino Linotype" w:cs="Palatino Linotype"/>
        </w:rPr>
        <w:t xml:space="preserve"> Sirve de fundamentación a lo antes expresado, el criterio 06/2017 emitido por el Instituto Nacional de Transparencia, Acceso a la Información y Protección de Datos Personales: </w:t>
      </w:r>
    </w:p>
    <w:p w:rsidR="008C7D5C" w:rsidRPr="00F137E5" w:rsidRDefault="00074B8B">
      <w:pPr>
        <w:ind w:left="851" w:right="-25"/>
        <w:jc w:val="both"/>
        <w:rPr>
          <w:rFonts w:ascii="Palatino Linotype" w:eastAsia="Palatino Linotype" w:hAnsi="Palatino Linotype" w:cs="Palatino Linotype"/>
          <w:i/>
          <w:color w:val="000000"/>
        </w:rPr>
      </w:pPr>
      <w:r w:rsidRPr="00F137E5">
        <w:rPr>
          <w:rFonts w:ascii="Palatino Linotype" w:eastAsia="Palatino Linotype" w:hAnsi="Palatino Linotype" w:cs="Palatino Linotype"/>
          <w:b/>
          <w:i/>
        </w:rPr>
        <w:t xml:space="preserve">Copias certificadas, como modalidad de entrega en la Ley Federal de Transparencia y Acceso a la Información Pública corrobora que el documento es una copia fiel del que obra en los archivos del sujeto obligado. </w:t>
      </w:r>
      <w:r w:rsidRPr="00F137E5">
        <w:rPr>
          <w:rFonts w:ascii="Palatino Linotype" w:eastAsia="Palatino Linotype" w:hAnsi="Palatino Linotype" w:cs="Palatino Linotype"/>
          <w:i/>
        </w:rPr>
        <w:t>Los artículos 125, fracción V y 136 de la Ley Federal de Transparencia y Acceso a la Información Pública, prevén que el acceso a la información se dará en la modalidad de entrega elegida por los solicitantes, como lo es, en copia certificada.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w:t>
      </w:r>
    </w:p>
    <w:p w:rsidR="008C7D5C" w:rsidRPr="00F137E5" w:rsidRDefault="008C7D5C">
      <w:pPr>
        <w:ind w:left="851" w:right="-592"/>
        <w:jc w:val="both"/>
        <w:rPr>
          <w:rFonts w:ascii="Palatino Linotype" w:eastAsia="Palatino Linotype" w:hAnsi="Palatino Linotype" w:cs="Palatino Linotype"/>
          <w:i/>
          <w:color w:val="000000"/>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 xml:space="preserve">134. </w:t>
      </w:r>
      <w:r w:rsidRPr="00F137E5">
        <w:rPr>
          <w:rFonts w:ascii="Palatino Linotype" w:eastAsia="Palatino Linotype" w:hAnsi="Palatino Linotype" w:cs="Palatino Linotype"/>
          <w:color w:val="000000"/>
        </w:rPr>
        <w:t xml:space="preserve">Por las </w:t>
      </w:r>
      <w:r w:rsidRPr="00F137E5">
        <w:rPr>
          <w:rFonts w:ascii="Palatino Linotype" w:eastAsia="Palatino Linotype" w:hAnsi="Palatino Linotype" w:cs="Palatino Linotype"/>
        </w:rPr>
        <w:t>circunstancias</w:t>
      </w:r>
      <w:r w:rsidRPr="00F137E5">
        <w:rPr>
          <w:rFonts w:ascii="Palatino Linotype" w:eastAsia="Palatino Linotype" w:hAnsi="Palatino Linotype" w:cs="Palatino Linotype"/>
          <w:color w:val="000000"/>
        </w:rPr>
        <w:t xml:space="preserve"> específicas de haber sido solicitada la información de manera certificada, ésta tiene que ser entregada/remitida de manera física a efecto de satisfacer di</w:t>
      </w:r>
      <w:r w:rsidRPr="00F137E5">
        <w:rPr>
          <w:rFonts w:ascii="Palatino Linotype" w:eastAsia="Palatino Linotype" w:hAnsi="Palatino Linotype" w:cs="Palatino Linotype"/>
        </w:rPr>
        <w:t>c</w:t>
      </w:r>
      <w:r w:rsidRPr="00F137E5">
        <w:rPr>
          <w:rFonts w:ascii="Palatino Linotype" w:eastAsia="Palatino Linotype" w:hAnsi="Palatino Linotype" w:cs="Palatino Linotype"/>
          <w:color w:val="000000"/>
        </w:rPr>
        <w:t>ha modalidad.</w:t>
      </w:r>
    </w:p>
    <w:p w:rsidR="008C7D5C" w:rsidRPr="00F137E5" w:rsidRDefault="008C7D5C">
      <w:pPr>
        <w:spacing w:line="360" w:lineRule="auto"/>
        <w:ind w:right="-592"/>
        <w:jc w:val="both"/>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lastRenderedPageBreak/>
        <w:t>135.</w:t>
      </w:r>
      <w:r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color w:val="000000"/>
        </w:rPr>
        <w:t xml:space="preserve">En lo que respecta al tipo de formato “PDF”  es de mencionar que el Sujeto Obligado deberá hacer entrega de esta información no necesariamente en formato PDF, sino aquel en el que se haya generado. </w:t>
      </w:r>
    </w:p>
    <w:p w:rsidR="008C7D5C" w:rsidRPr="00F137E5" w:rsidRDefault="008C7D5C">
      <w:pPr>
        <w:spacing w:line="360" w:lineRule="auto"/>
        <w:ind w:right="-592"/>
        <w:jc w:val="both"/>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 xml:space="preserve">136. </w:t>
      </w:r>
      <w:r w:rsidRPr="00F137E5">
        <w:rPr>
          <w:rFonts w:ascii="Palatino Linotype" w:eastAsia="Palatino Linotype" w:hAnsi="Palatino Linotype" w:cs="Palatino Linotype"/>
          <w:color w:val="000000"/>
        </w:rPr>
        <w:t xml:space="preserve">De lo antes dicho se concluye que el Sujeto Obligado deberá hacer entrega de la información en formato PDF o aquel en que se haya generado, </w:t>
      </w:r>
      <w:r w:rsidRPr="00F137E5">
        <w:rPr>
          <w:rFonts w:ascii="Palatino Linotype" w:eastAsia="Palatino Linotype" w:hAnsi="Palatino Linotype" w:cs="Palatino Linotype"/>
          <w:b/>
          <w:color w:val="000000"/>
        </w:rPr>
        <w:t xml:space="preserve">a través de vía </w:t>
      </w:r>
      <w:proofErr w:type="spellStart"/>
      <w:r w:rsidRPr="00F137E5">
        <w:rPr>
          <w:rFonts w:ascii="Palatino Linotype" w:eastAsia="Palatino Linotype" w:hAnsi="Palatino Linotype" w:cs="Palatino Linotype"/>
          <w:b/>
          <w:color w:val="000000"/>
        </w:rPr>
        <w:t>Saimex</w:t>
      </w:r>
      <w:proofErr w:type="spellEnd"/>
      <w:r w:rsidRPr="00F137E5">
        <w:rPr>
          <w:rFonts w:ascii="Palatino Linotype" w:eastAsia="Palatino Linotype" w:hAnsi="Palatino Linotype" w:cs="Palatino Linotype"/>
          <w:b/>
          <w:color w:val="000000"/>
        </w:rPr>
        <w:t xml:space="preserve"> y copias certificadas con costo. </w:t>
      </w:r>
    </w:p>
    <w:p w:rsidR="008C7D5C" w:rsidRPr="00F137E5" w:rsidRDefault="008C7D5C">
      <w:pPr>
        <w:pBdr>
          <w:top w:val="nil"/>
          <w:left w:val="nil"/>
          <w:bottom w:val="nil"/>
          <w:right w:val="nil"/>
          <w:between w:val="nil"/>
        </w:pBdr>
        <w:ind w:left="720" w:right="-592"/>
        <w:rPr>
          <w:rFonts w:ascii="Palatino Linotype" w:eastAsia="Palatino Linotype" w:hAnsi="Palatino Linotype" w:cs="Palatino Linotype"/>
          <w:color w:val="000000"/>
        </w:rPr>
      </w:pPr>
    </w:p>
    <w:p w:rsidR="008C7D5C" w:rsidRPr="00F137E5" w:rsidRDefault="008C7D5C">
      <w:pPr>
        <w:pBdr>
          <w:top w:val="nil"/>
          <w:left w:val="nil"/>
          <w:bottom w:val="nil"/>
          <w:right w:val="nil"/>
          <w:between w:val="nil"/>
        </w:pBdr>
        <w:ind w:left="720" w:right="-592"/>
        <w:rPr>
          <w:rFonts w:ascii="Palatino Linotype" w:eastAsia="Palatino Linotype" w:hAnsi="Palatino Linotype" w:cs="Palatino Linotype"/>
          <w:color w:val="000000"/>
        </w:rPr>
      </w:pPr>
    </w:p>
    <w:p w:rsidR="008C7D5C" w:rsidRPr="00F137E5" w:rsidRDefault="00074B8B">
      <w:pPr>
        <w:pStyle w:val="Ttulo1"/>
        <w:spacing w:before="0" w:line="360" w:lineRule="auto"/>
        <w:ind w:right="-592"/>
        <w:rPr>
          <w:rFonts w:ascii="Palatino Linotype" w:eastAsia="Palatino Linotype" w:hAnsi="Palatino Linotype" w:cs="Palatino Linotype"/>
          <w:b/>
          <w:color w:val="000000"/>
          <w:sz w:val="24"/>
          <w:szCs w:val="24"/>
        </w:rPr>
      </w:pPr>
      <w:bookmarkStart w:id="8" w:name="_heading=h.2s8eyo1" w:colFirst="0" w:colLast="0"/>
      <w:bookmarkEnd w:id="8"/>
      <w:r w:rsidRPr="00F137E5">
        <w:rPr>
          <w:rFonts w:ascii="Palatino Linotype" w:eastAsia="Palatino Linotype" w:hAnsi="Palatino Linotype" w:cs="Palatino Linotype"/>
          <w:b/>
          <w:color w:val="000000"/>
          <w:sz w:val="24"/>
          <w:szCs w:val="24"/>
        </w:rPr>
        <w:t>QUINTO. De la versión pública.</w:t>
      </w: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137.</w:t>
      </w:r>
      <w:r w:rsidRPr="00F137E5">
        <w:rPr>
          <w:rFonts w:ascii="Palatino Linotype" w:eastAsia="Palatino Linotype" w:hAnsi="Palatino Linotype" w:cs="Palatino Linotype"/>
        </w:rPr>
        <w:t xml:space="preserve"> No pasa desapercibido que la información podría contener información susceptible de clasificar, por lo cual, dicha información debe ser clasificada para no vulnerar </w:t>
      </w:r>
      <w:r w:rsidRPr="00F137E5">
        <w:rPr>
          <w:rFonts w:ascii="Palatino Linotype" w:eastAsia="Palatino Linotype" w:hAnsi="Palatino Linotype" w:cs="Palatino Linotype"/>
          <w:color w:val="000000"/>
        </w:rPr>
        <w:t>un</w:t>
      </w:r>
      <w:r w:rsidRPr="00F137E5">
        <w:rPr>
          <w:rFonts w:ascii="Palatino Linotype" w:eastAsia="Palatino Linotype" w:hAnsi="Palatino Linotype" w:cs="Palatino Linotype"/>
        </w:rPr>
        <w:t xml:space="preserve"> derecho intangible. Aunado a que de ser en caso de contar con otra información consistente en datos personales, deberá generarse una versión pública, tal excepción a la </w:t>
      </w:r>
      <w:r w:rsidRPr="00F137E5">
        <w:rPr>
          <w:rFonts w:ascii="Palatino Linotype" w:eastAsia="Palatino Linotype" w:hAnsi="Palatino Linotype" w:cs="Palatino Linotype"/>
          <w:color w:val="000000"/>
        </w:rPr>
        <w:t>publicidad</w:t>
      </w:r>
      <w:r w:rsidRPr="00F137E5">
        <w:rPr>
          <w:rFonts w:ascii="Palatino Linotype" w:eastAsia="Palatino Linotype" w:hAnsi="Palatino Linotype" w:cs="Palatino Linotype"/>
        </w:rPr>
        <w:t>,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8C7D5C" w:rsidRPr="00F137E5" w:rsidRDefault="00074B8B">
      <w:pPr>
        <w:spacing w:line="360" w:lineRule="auto"/>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“Artículo 3. Para los efectos de la presente Ley se entenderá por:</w:t>
      </w:r>
    </w:p>
    <w:p w:rsidR="008C7D5C" w:rsidRPr="00F137E5" w:rsidRDefault="00074B8B">
      <w:pPr>
        <w:spacing w:line="360" w:lineRule="auto"/>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p>
    <w:p w:rsidR="008C7D5C" w:rsidRPr="00F137E5" w:rsidRDefault="00074B8B">
      <w:pPr>
        <w:spacing w:line="360" w:lineRule="auto"/>
        <w:ind w:left="851" w:right="-25"/>
        <w:jc w:val="both"/>
        <w:rPr>
          <w:rFonts w:ascii="Palatino Linotype" w:eastAsia="Palatino Linotype" w:hAnsi="Palatino Linotype" w:cs="Palatino Linotype"/>
          <w:b/>
          <w:i/>
        </w:rPr>
      </w:pPr>
      <w:r w:rsidRPr="00F137E5">
        <w:rPr>
          <w:rFonts w:ascii="Palatino Linotype" w:eastAsia="Palatino Linotype" w:hAnsi="Palatino Linotype" w:cs="Palatino Linotype"/>
          <w:b/>
          <w:i/>
          <w:u w:val="single"/>
        </w:rPr>
        <w:t>IX. Datos personales:</w:t>
      </w:r>
      <w:r w:rsidRPr="00F137E5">
        <w:rPr>
          <w:rFonts w:ascii="Palatino Linotype" w:eastAsia="Palatino Linotype" w:hAnsi="Palatino Linotype" w:cs="Palatino Linotype"/>
          <w:b/>
          <w:i/>
        </w:rPr>
        <w:t xml:space="preserve"> </w:t>
      </w:r>
      <w:r w:rsidRPr="00F137E5">
        <w:rPr>
          <w:rFonts w:ascii="Palatino Linotype" w:eastAsia="Palatino Linotype" w:hAnsi="Palatino Linotype" w:cs="Palatino Linotype"/>
          <w:i/>
        </w:rPr>
        <w:t>La información concerniente a una persona, identificada o identificable según lo dispuesto por la Ley de Protección de Datos Personales del Estado de México;</w:t>
      </w:r>
    </w:p>
    <w:p w:rsidR="008C7D5C" w:rsidRPr="00F137E5" w:rsidRDefault="00074B8B">
      <w:pPr>
        <w:spacing w:line="360" w:lineRule="auto"/>
        <w:ind w:left="851" w:right="-25"/>
        <w:jc w:val="both"/>
        <w:rPr>
          <w:rFonts w:ascii="Palatino Linotype" w:eastAsia="Palatino Linotype" w:hAnsi="Palatino Linotype" w:cs="Palatino Linotype"/>
          <w:b/>
          <w:i/>
        </w:rPr>
      </w:pPr>
      <w:r w:rsidRPr="00F137E5">
        <w:rPr>
          <w:rFonts w:ascii="Palatino Linotype" w:eastAsia="Palatino Linotype" w:hAnsi="Palatino Linotype" w:cs="Palatino Linotype"/>
          <w:b/>
          <w:i/>
        </w:rPr>
        <w:lastRenderedPageBreak/>
        <w:t>(…)</w:t>
      </w:r>
    </w:p>
    <w:p w:rsidR="008C7D5C" w:rsidRPr="00F137E5" w:rsidRDefault="00074B8B">
      <w:pPr>
        <w:spacing w:line="360" w:lineRule="auto"/>
        <w:ind w:left="851" w:right="-25"/>
        <w:jc w:val="both"/>
        <w:rPr>
          <w:rFonts w:ascii="Palatino Linotype" w:eastAsia="Palatino Linotype" w:hAnsi="Palatino Linotype" w:cs="Palatino Linotype"/>
          <w:b/>
          <w:i/>
        </w:rPr>
      </w:pPr>
      <w:r w:rsidRPr="00F137E5">
        <w:rPr>
          <w:rFonts w:ascii="Palatino Linotype" w:eastAsia="Palatino Linotype" w:hAnsi="Palatino Linotype" w:cs="Palatino Linotype"/>
          <w:b/>
          <w:i/>
          <w:u w:val="single"/>
        </w:rPr>
        <w:t>XLV. Versión pública:</w:t>
      </w:r>
      <w:r w:rsidRPr="00F137E5">
        <w:rPr>
          <w:rFonts w:ascii="Palatino Linotype" w:eastAsia="Palatino Linotype" w:hAnsi="Palatino Linotype" w:cs="Palatino Linotype"/>
          <w:b/>
          <w:i/>
        </w:rPr>
        <w:t xml:space="preserve"> </w:t>
      </w:r>
      <w:r w:rsidRPr="00F137E5">
        <w:rPr>
          <w:rFonts w:ascii="Palatino Linotype" w:eastAsia="Palatino Linotype" w:hAnsi="Palatino Linotype" w:cs="Palatino Linotype"/>
          <w:i/>
        </w:rPr>
        <w:t>Documento en el que se elimine, suprime o borra la información clasificada como reservada o confidencial para permitir su acceso.</w:t>
      </w:r>
    </w:p>
    <w:p w:rsidR="008C7D5C" w:rsidRPr="00F137E5" w:rsidRDefault="00074B8B">
      <w:pPr>
        <w:spacing w:line="360" w:lineRule="auto"/>
        <w:ind w:left="851" w:right="-25"/>
        <w:jc w:val="both"/>
        <w:rPr>
          <w:rFonts w:ascii="Palatino Linotype" w:eastAsia="Palatino Linotype" w:hAnsi="Palatino Linotype" w:cs="Palatino Linotype"/>
          <w:b/>
          <w:i/>
        </w:rPr>
      </w:pPr>
      <w:r w:rsidRPr="00F137E5">
        <w:rPr>
          <w:rFonts w:ascii="Palatino Linotype" w:eastAsia="Palatino Linotype" w:hAnsi="Palatino Linotype" w:cs="Palatino Linotype"/>
          <w:i/>
        </w:rPr>
        <w:t xml:space="preserve">Artículo 122. </w:t>
      </w:r>
      <w:r w:rsidRPr="00F137E5">
        <w:rPr>
          <w:rFonts w:ascii="Palatino Linotype" w:eastAsia="Palatino Linotype" w:hAnsi="Palatino Linotype" w:cs="Palatino Linotype"/>
          <w:b/>
          <w:i/>
          <w:u w:val="single"/>
        </w:rPr>
        <w:t xml:space="preserve">La clasificación es el proceso mediante el cual el sujeto obligado determina que la información en su poder </w:t>
      </w:r>
      <w:proofErr w:type="spellStart"/>
      <w:r w:rsidRPr="00F137E5">
        <w:rPr>
          <w:rFonts w:ascii="Palatino Linotype" w:eastAsia="Palatino Linotype" w:hAnsi="Palatino Linotype" w:cs="Palatino Linotype"/>
          <w:b/>
          <w:i/>
          <w:u w:val="single"/>
        </w:rPr>
        <w:t>actualiza</w:t>
      </w:r>
      <w:proofErr w:type="spellEnd"/>
      <w:r w:rsidRPr="00F137E5">
        <w:rPr>
          <w:rFonts w:ascii="Palatino Linotype" w:eastAsia="Palatino Linotype" w:hAnsi="Palatino Linotype" w:cs="Palatino Linotype"/>
          <w:b/>
          <w:i/>
          <w:u w:val="single"/>
        </w:rPr>
        <w:t xml:space="preserve"> alguno de los supuestos de reserva o confidencialidad, de conformidad con lo dispuesto en el presente título.</w:t>
      </w:r>
    </w:p>
    <w:p w:rsidR="008C7D5C" w:rsidRPr="00F137E5" w:rsidRDefault="00074B8B">
      <w:pPr>
        <w:spacing w:line="360" w:lineRule="auto"/>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p>
    <w:p w:rsidR="008C7D5C" w:rsidRPr="00F137E5" w:rsidRDefault="00074B8B">
      <w:pPr>
        <w:spacing w:line="360" w:lineRule="auto"/>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Artículo 132. La clasificación de la información se llevará a cabo en el momento en que:</w:t>
      </w:r>
    </w:p>
    <w:p w:rsidR="008C7D5C" w:rsidRPr="00F137E5" w:rsidRDefault="00074B8B">
      <w:pPr>
        <w:spacing w:line="360" w:lineRule="auto"/>
        <w:ind w:left="851"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p>
    <w:p w:rsidR="008C7D5C" w:rsidRPr="00F137E5" w:rsidRDefault="00074B8B">
      <w:pPr>
        <w:spacing w:line="360" w:lineRule="auto"/>
        <w:ind w:left="851" w:right="-25"/>
        <w:jc w:val="both"/>
        <w:rPr>
          <w:rFonts w:ascii="Palatino Linotype" w:eastAsia="Palatino Linotype" w:hAnsi="Palatino Linotype" w:cs="Palatino Linotype"/>
          <w:b/>
          <w:i/>
          <w:u w:val="single"/>
        </w:rPr>
      </w:pPr>
      <w:r w:rsidRPr="00F137E5">
        <w:rPr>
          <w:rFonts w:ascii="Palatino Linotype" w:eastAsia="Palatino Linotype" w:hAnsi="Palatino Linotype" w:cs="Palatino Linotype"/>
          <w:b/>
          <w:i/>
          <w:u w:val="single"/>
        </w:rPr>
        <w:t>II. Se determine mediante resolución de autoridad competente; o</w:t>
      </w:r>
    </w:p>
    <w:p w:rsidR="008C7D5C" w:rsidRPr="00F137E5" w:rsidRDefault="00074B8B">
      <w:pPr>
        <w:spacing w:line="360" w:lineRule="auto"/>
        <w:ind w:left="851" w:right="-25"/>
        <w:jc w:val="both"/>
        <w:rPr>
          <w:rFonts w:ascii="Palatino Linotype" w:eastAsia="Palatino Linotype" w:hAnsi="Palatino Linotype" w:cs="Palatino Linotype"/>
          <w:b/>
          <w:i/>
        </w:rPr>
      </w:pPr>
      <w:r w:rsidRPr="00F137E5">
        <w:rPr>
          <w:rFonts w:ascii="Palatino Linotype" w:eastAsia="Palatino Linotype" w:hAnsi="Palatino Linotype" w:cs="Palatino Linotype"/>
          <w:b/>
          <w:i/>
        </w:rPr>
        <w:t>(…)</w:t>
      </w:r>
    </w:p>
    <w:p w:rsidR="008C7D5C" w:rsidRPr="00F137E5" w:rsidRDefault="00074B8B">
      <w:pPr>
        <w:spacing w:line="360" w:lineRule="auto"/>
        <w:ind w:left="851" w:right="-25"/>
        <w:jc w:val="both"/>
        <w:rPr>
          <w:rFonts w:ascii="Palatino Linotype" w:eastAsia="Palatino Linotype" w:hAnsi="Palatino Linotype" w:cs="Palatino Linotype"/>
          <w:b/>
          <w:i/>
        </w:rPr>
      </w:pPr>
      <w:r w:rsidRPr="00F137E5">
        <w:rPr>
          <w:rFonts w:ascii="Palatino Linotype" w:eastAsia="Palatino Linotype" w:hAnsi="Palatino Linotype" w:cs="Palatino Linotype"/>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137E5">
        <w:rPr>
          <w:rFonts w:ascii="Palatino Linotype" w:eastAsia="Palatino Linotype" w:hAnsi="Palatino Linotype" w:cs="Palatino Linotype"/>
          <w:b/>
          <w:i/>
        </w:rPr>
        <w:t xml:space="preserve"> </w:t>
      </w:r>
      <w:r w:rsidRPr="00F137E5">
        <w:rPr>
          <w:rFonts w:ascii="Palatino Linotype" w:eastAsia="Palatino Linotype" w:hAnsi="Palatino Linotype" w:cs="Palatino Linotype"/>
          <w:b/>
          <w:i/>
          <w:u w:val="single"/>
        </w:rPr>
        <w:t xml:space="preserve">de manera genérica y fundando y motivando su clasificación.” </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138. </w:t>
      </w:r>
      <w:r w:rsidRPr="00F137E5">
        <w:rPr>
          <w:rFonts w:ascii="Palatino Linotype" w:eastAsia="Palatino Linotype" w:hAnsi="Palatino Linotype" w:cs="Palatino Linotype"/>
        </w:rPr>
        <w:t xml:space="preserve">En ese sentido al ordenarse la conciliación de nómina, evidentemente contempla a personal policial adscrito a la </w:t>
      </w:r>
      <w:r w:rsidRPr="00F137E5">
        <w:rPr>
          <w:rFonts w:ascii="Palatino Linotype" w:eastAsia="Palatino Linotype" w:hAnsi="Palatino Linotype" w:cs="Palatino Linotype"/>
          <w:b/>
        </w:rPr>
        <w:t>Dirección de Seguridad Pública Municipal de Aculco</w:t>
      </w:r>
      <w:r w:rsidRPr="00F137E5">
        <w:rPr>
          <w:rFonts w:ascii="Palatino Linotype" w:eastAsia="Palatino Linotype" w:hAnsi="Palatino Linotype" w:cs="Palatino Linotype"/>
        </w:rPr>
        <w:t xml:space="preserve">, </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 xml:space="preserve">139. </w:t>
      </w:r>
      <w:r w:rsidRPr="00F137E5">
        <w:rPr>
          <w:rFonts w:ascii="Palatino Linotype" w:eastAsia="Palatino Linotype" w:hAnsi="Palatino Linotype" w:cs="Palatino Linotype"/>
          <w:color w:val="000000"/>
        </w:rPr>
        <w:t xml:space="preserve">Al respecto, las Instituciones Policiales, se conforman del personal </w:t>
      </w:r>
      <w:r w:rsidRPr="00F137E5">
        <w:rPr>
          <w:rFonts w:ascii="Palatino Linotype" w:eastAsia="Palatino Linotype" w:hAnsi="Palatino Linotype" w:cs="Palatino Linotype"/>
        </w:rPr>
        <w:t>administrativo</w:t>
      </w:r>
      <w:r w:rsidRPr="00F137E5">
        <w:rPr>
          <w:rFonts w:ascii="Palatino Linotype" w:eastAsia="Palatino Linotype" w:hAnsi="Palatino Linotype" w:cs="Palatino Linotype"/>
          <w:color w:val="000000"/>
        </w:rPr>
        <w:t xml:space="preserve">, que son los trabajadores de apoyo (chofer, personal de mantenimiento, servicios generales y área </w:t>
      </w:r>
      <w:r w:rsidRPr="00F137E5">
        <w:rPr>
          <w:rFonts w:ascii="Palatino Linotype" w:eastAsia="Palatino Linotype" w:hAnsi="Palatino Linotype" w:cs="Palatino Linotype"/>
        </w:rPr>
        <w:lastRenderedPageBreak/>
        <w:t>secretaría</w:t>
      </w:r>
      <w:r w:rsidRPr="00F137E5">
        <w:rPr>
          <w:rFonts w:ascii="Palatino Linotype" w:eastAsia="Palatino Linotype" w:hAnsi="Palatino Linotype" w:cs="Palatino Linotype"/>
          <w:color w:val="000000"/>
        </w:rPr>
        <w:t>);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 xml:space="preserve">140. </w:t>
      </w:r>
      <w:r w:rsidRPr="00F137E5">
        <w:rPr>
          <w:rFonts w:ascii="Palatino Linotype" w:eastAsia="Palatino Linotype" w:hAnsi="Palatino Linotype" w:cs="Palatino Linotype"/>
          <w:color w:val="000000"/>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 xml:space="preserve">141. </w:t>
      </w:r>
      <w:r w:rsidRPr="00F137E5">
        <w:rPr>
          <w:rFonts w:ascii="Palatino Linotype" w:eastAsia="Palatino Linotype" w:hAnsi="Palatino Linotype" w:cs="Palatino Linotype"/>
          <w:color w:val="000000"/>
        </w:rPr>
        <w:t xml:space="preserve">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w:t>
      </w:r>
      <w:r w:rsidRPr="00F137E5">
        <w:rPr>
          <w:rFonts w:ascii="Palatino Linotype" w:eastAsia="Palatino Linotype" w:hAnsi="Palatino Linotype" w:cs="Palatino Linotype"/>
          <w:color w:val="000000"/>
        </w:rPr>
        <w:lastRenderedPageBreak/>
        <w:t>podrían amenazar o causarles algún daño, con el fin de entorpecer o disminuir la seguridad pública y aumentar la comisión de actos ilícitos.</w:t>
      </w:r>
    </w:p>
    <w:p w:rsidR="008C7D5C" w:rsidRPr="00F137E5" w:rsidRDefault="008C7D5C">
      <w:pPr>
        <w:pBdr>
          <w:top w:val="nil"/>
          <w:left w:val="nil"/>
          <w:bottom w:val="nil"/>
          <w:right w:val="nil"/>
          <w:between w:val="nil"/>
        </w:pBdr>
        <w:ind w:left="720" w:right="-592"/>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142.</w:t>
      </w:r>
      <w:r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color w:val="000000"/>
        </w:rPr>
        <w:t xml:space="preserve">Por tales consideraciones, </w:t>
      </w:r>
      <w:r w:rsidRPr="00F137E5">
        <w:rPr>
          <w:rFonts w:ascii="Palatino Linotype" w:eastAsia="Palatino Linotype" w:hAnsi="Palatino Linotype" w:cs="Palatino Linotype"/>
          <w:b/>
          <w:color w:val="000000"/>
        </w:rPr>
        <w:t>resulta procedente la reserva del nombre de los elementos operativos de la Dirección de Seguridad Pública Municipal</w:t>
      </w:r>
      <w:r w:rsidRPr="00F137E5">
        <w:rPr>
          <w:rFonts w:ascii="Palatino Linotype" w:eastAsia="Palatino Linotype" w:hAnsi="Palatino Linotype" w:cs="Palatino Linotype"/>
          <w:color w:val="000000"/>
        </w:rPr>
        <w:t xml:space="preserve">, en términos del artículo 140, fracción IV, </w:t>
      </w:r>
      <w:r w:rsidRPr="00F137E5">
        <w:rPr>
          <w:rFonts w:ascii="Palatino Linotype" w:eastAsia="Palatino Linotype" w:hAnsi="Palatino Linotype" w:cs="Palatino Linotype"/>
        </w:rPr>
        <w:t>de</w:t>
      </w:r>
      <w:r w:rsidRPr="00F137E5">
        <w:rPr>
          <w:rFonts w:ascii="Palatino Linotype" w:eastAsia="Palatino Linotype" w:hAnsi="Palatino Linotype" w:cs="Palatino Linotype"/>
          <w:color w:val="000000"/>
        </w:rPr>
        <w:t xml:space="preserve"> la Ley de Transparencia y Acceso a la Información Pública del Estado de México y Municipios.</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143. </w:t>
      </w:r>
      <w:r w:rsidRPr="00F137E5">
        <w:rPr>
          <w:rFonts w:ascii="Palatino Linotype" w:eastAsia="Palatino Linotype" w:hAnsi="Palatino Linotype" w:cs="Palatino Linotype"/>
        </w:rPr>
        <w:t xml:space="preserve">Por otro lado, relativo a las </w:t>
      </w:r>
      <w:r w:rsidRPr="00F137E5">
        <w:rPr>
          <w:rFonts w:ascii="Palatino Linotype" w:eastAsia="Palatino Linotype" w:hAnsi="Palatino Linotype" w:cs="Palatino Linotype"/>
          <w:b/>
        </w:rPr>
        <w:t>Cadenas Originales</w:t>
      </w:r>
      <w:r w:rsidRPr="00F137E5">
        <w:rPr>
          <w:rFonts w:ascii="Palatino Linotype" w:eastAsia="Palatino Linotype" w:hAnsi="Palatino Linotype" w:cs="Palatino Linotype"/>
        </w:rPr>
        <w:t xml:space="preserve"> y </w:t>
      </w:r>
      <w:r w:rsidRPr="00F137E5">
        <w:rPr>
          <w:rFonts w:ascii="Palatino Linotype" w:eastAsia="Palatino Linotype" w:hAnsi="Palatino Linotype" w:cs="Palatino Linotype"/>
          <w:b/>
        </w:rPr>
        <w:t>Sellos Digitales</w:t>
      </w:r>
      <w:r w:rsidRPr="00F137E5">
        <w:rPr>
          <w:rFonts w:ascii="Palatino Linotype" w:eastAsia="Palatino Linotype" w:hAnsi="Palatino Linotype" w:cs="Palatino Linotype"/>
        </w:rPr>
        <w:t xml:space="preserve">, forman parte del certificado de sello digital, los cuales son documentos electrónicos, mismos que de conformidad con el artículo 17-G y 29 del Código Fiscal de la Federación le permiten a la autoridad hacendaria federal garantizar una </w:t>
      </w:r>
      <w:r w:rsidRPr="00F137E5">
        <w:rPr>
          <w:rFonts w:ascii="Palatino Linotype" w:eastAsia="Palatino Linotype" w:hAnsi="Palatino Linotype" w:cs="Palatino Linotype"/>
          <w:b/>
        </w:rPr>
        <w:t>vinculación</w:t>
      </w:r>
      <w:r w:rsidRPr="00F137E5">
        <w:rPr>
          <w:rFonts w:ascii="Palatino Linotype" w:eastAsia="Palatino Linotype" w:hAnsi="Palatino Linotype" w:cs="Palatino Linotype"/>
        </w:rPr>
        <w:t xml:space="preserve"> entre la </w:t>
      </w:r>
      <w:r w:rsidRPr="00F137E5">
        <w:rPr>
          <w:rFonts w:ascii="Palatino Linotype" w:eastAsia="Palatino Linotype" w:hAnsi="Palatino Linotype" w:cs="Palatino Linotype"/>
          <w:b/>
        </w:rPr>
        <w:t>identidad de un sujeto o entidad</w:t>
      </w:r>
      <w:r w:rsidRPr="00F137E5">
        <w:rPr>
          <w:rFonts w:ascii="Palatino Linotype" w:eastAsia="Palatino Linotype" w:hAnsi="Palatino Linotype" w:cs="Palatino Linotype"/>
        </w:rPr>
        <w:t xml:space="preserve"> con su clave pública, lo que hace identificable a una persona o entidad, además de que dichos certificados tienen como finalidad o propósito específico firmar digitalmente las facturas electrónicas </w:t>
      </w:r>
      <w:r w:rsidRPr="00F137E5">
        <w:rPr>
          <w:rFonts w:ascii="Palatino Linotype" w:eastAsia="Palatino Linotype" w:hAnsi="Palatino Linotype" w:cs="Palatino Linotype"/>
          <w:b/>
        </w:rPr>
        <w:t>para acreditar la autoría de los comprobantes fiscales digitales</w:t>
      </w:r>
      <w:r w:rsidRPr="00F137E5">
        <w:rPr>
          <w:rFonts w:ascii="Palatino Linotype" w:eastAsia="Palatino Linotype" w:hAnsi="Palatino Linotype" w:cs="Palatino Linotype"/>
        </w:rPr>
        <w:t>. En ese tenor se transcriben los artículos señalados con antelación para mejor ilustración:</w:t>
      </w:r>
    </w:p>
    <w:p w:rsidR="008C7D5C" w:rsidRPr="00F137E5" w:rsidRDefault="00074B8B">
      <w:pPr>
        <w:pBdr>
          <w:top w:val="nil"/>
          <w:left w:val="nil"/>
          <w:bottom w:val="nil"/>
          <w:right w:val="nil"/>
          <w:between w:val="nil"/>
        </w:pBdr>
        <w:spacing w:line="276" w:lineRule="auto"/>
        <w:ind w:left="360" w:right="-25"/>
        <w:jc w:val="both"/>
        <w:rPr>
          <w:rFonts w:ascii="Palatino Linotype" w:eastAsia="Palatino Linotype" w:hAnsi="Palatino Linotype" w:cs="Palatino Linotype"/>
          <w:i/>
          <w:color w:val="000000"/>
        </w:rPr>
      </w:pPr>
      <w:r w:rsidRPr="00F137E5">
        <w:rPr>
          <w:rFonts w:ascii="Palatino Linotype" w:eastAsia="Palatino Linotype" w:hAnsi="Palatino Linotype" w:cs="Palatino Linotype"/>
          <w:i/>
          <w:color w:val="000000"/>
        </w:rPr>
        <w:t>“</w:t>
      </w:r>
      <w:r w:rsidRPr="00F137E5">
        <w:rPr>
          <w:rFonts w:ascii="Palatino Linotype" w:eastAsia="Palatino Linotype" w:hAnsi="Palatino Linotype" w:cs="Palatino Linotype"/>
          <w:b/>
          <w:i/>
          <w:color w:val="000000"/>
        </w:rPr>
        <w:t>Artículo 17-G.-</w:t>
      </w:r>
      <w:r w:rsidRPr="00F137E5">
        <w:rPr>
          <w:rFonts w:ascii="Palatino Linotype" w:eastAsia="Palatino Linotype" w:hAnsi="Palatino Linotype" w:cs="Palatino Linotype"/>
          <w:i/>
          <w:color w:val="000000"/>
        </w:rPr>
        <w:t xml:space="preserve"> Los certificados que emita el Servicio de Administración Tributaria para ser considerados válidos deberán contener los datos siguientes: </w:t>
      </w:r>
    </w:p>
    <w:p w:rsidR="008C7D5C" w:rsidRPr="00F137E5" w:rsidRDefault="00074B8B">
      <w:pPr>
        <w:pBdr>
          <w:top w:val="nil"/>
          <w:left w:val="nil"/>
          <w:bottom w:val="nil"/>
          <w:right w:val="nil"/>
          <w:between w:val="nil"/>
        </w:pBdr>
        <w:spacing w:line="276" w:lineRule="auto"/>
        <w:ind w:left="360" w:right="-25"/>
        <w:jc w:val="both"/>
        <w:rPr>
          <w:rFonts w:ascii="Palatino Linotype" w:eastAsia="Palatino Linotype" w:hAnsi="Palatino Linotype" w:cs="Palatino Linotype"/>
          <w:i/>
          <w:color w:val="000000"/>
        </w:rPr>
      </w:pPr>
      <w:r w:rsidRPr="00F137E5">
        <w:rPr>
          <w:rFonts w:ascii="Palatino Linotype" w:eastAsia="Palatino Linotype" w:hAnsi="Palatino Linotype" w:cs="Palatino Linotype"/>
          <w:b/>
          <w:i/>
          <w:color w:val="000000"/>
        </w:rPr>
        <w:t>I.</w:t>
      </w:r>
      <w:r w:rsidRPr="00F137E5">
        <w:rPr>
          <w:rFonts w:ascii="Palatino Linotype" w:eastAsia="Palatino Linotype" w:hAnsi="Palatino Linotype" w:cs="Palatino Linotype"/>
          <w:b/>
          <w:i/>
          <w:color w:val="000000"/>
        </w:rPr>
        <w:tab/>
      </w:r>
      <w:r w:rsidRPr="00F137E5">
        <w:rPr>
          <w:rFonts w:ascii="Palatino Linotype" w:eastAsia="Palatino Linotype" w:hAnsi="Palatino Linotype" w:cs="Palatino Linotype"/>
          <w:i/>
          <w:color w:val="000000"/>
        </w:rPr>
        <w:t>La mención de que se expiden como tales. Tratándose de certificados de sellos digitales, se deberán especificar las limitantes que tengan para su uso.</w:t>
      </w:r>
    </w:p>
    <w:p w:rsidR="008C7D5C" w:rsidRPr="00F137E5" w:rsidRDefault="008C7D5C">
      <w:pPr>
        <w:pBdr>
          <w:top w:val="nil"/>
          <w:left w:val="nil"/>
          <w:bottom w:val="nil"/>
          <w:right w:val="nil"/>
          <w:between w:val="nil"/>
        </w:pBdr>
        <w:spacing w:line="276" w:lineRule="auto"/>
        <w:ind w:left="360" w:right="-25"/>
        <w:jc w:val="both"/>
        <w:rPr>
          <w:rFonts w:ascii="Palatino Linotype" w:eastAsia="Palatino Linotype" w:hAnsi="Palatino Linotype" w:cs="Palatino Linotype"/>
          <w:i/>
          <w:color w:val="000000"/>
        </w:rPr>
      </w:pPr>
    </w:p>
    <w:p w:rsidR="008C7D5C" w:rsidRPr="00F137E5" w:rsidRDefault="00074B8B">
      <w:pPr>
        <w:pBdr>
          <w:top w:val="nil"/>
          <w:left w:val="nil"/>
          <w:bottom w:val="nil"/>
          <w:right w:val="nil"/>
          <w:between w:val="nil"/>
        </w:pBdr>
        <w:spacing w:line="276" w:lineRule="auto"/>
        <w:ind w:left="360" w:right="-25"/>
        <w:jc w:val="both"/>
        <w:rPr>
          <w:rFonts w:ascii="Palatino Linotype" w:eastAsia="Palatino Linotype" w:hAnsi="Palatino Linotype" w:cs="Palatino Linotype"/>
          <w:i/>
          <w:color w:val="000000"/>
        </w:rPr>
      </w:pPr>
      <w:r w:rsidRPr="00F137E5">
        <w:rPr>
          <w:rFonts w:ascii="Palatino Linotype" w:eastAsia="Palatino Linotype" w:hAnsi="Palatino Linotype" w:cs="Palatino Linotype"/>
          <w:b/>
          <w:i/>
          <w:color w:val="000000"/>
        </w:rPr>
        <w:t>Artículo 29.</w:t>
      </w:r>
      <w:r w:rsidRPr="00F137E5">
        <w:rPr>
          <w:rFonts w:ascii="Palatino Linotype" w:eastAsia="Palatino Linotype" w:hAnsi="Palatino Linotype" w:cs="Palatino Linotype"/>
          <w:i/>
          <w:color w:val="000000"/>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w:t>
      </w:r>
      <w:r w:rsidRPr="00F137E5">
        <w:rPr>
          <w:rFonts w:ascii="Palatino Linotype" w:eastAsia="Palatino Linotype" w:hAnsi="Palatino Linotype" w:cs="Palatino Linotype"/>
          <w:i/>
          <w:color w:val="000000"/>
        </w:rPr>
        <w:lastRenderedPageBreak/>
        <w:t>servicios o aquéllas a las que les hubieren retenido contribuciones deberán solicitar el comprobante fiscal digital por Internet respectivo.</w:t>
      </w:r>
    </w:p>
    <w:p w:rsidR="008C7D5C" w:rsidRPr="00F137E5" w:rsidRDefault="008C7D5C">
      <w:pPr>
        <w:pBdr>
          <w:top w:val="nil"/>
          <w:left w:val="nil"/>
          <w:bottom w:val="nil"/>
          <w:right w:val="nil"/>
          <w:between w:val="nil"/>
        </w:pBdr>
        <w:spacing w:line="276" w:lineRule="auto"/>
        <w:ind w:left="360" w:right="-25"/>
        <w:jc w:val="both"/>
        <w:rPr>
          <w:rFonts w:ascii="Palatino Linotype" w:eastAsia="Palatino Linotype" w:hAnsi="Palatino Linotype" w:cs="Palatino Linotype"/>
          <w:i/>
          <w:color w:val="000000"/>
        </w:rPr>
      </w:pPr>
    </w:p>
    <w:p w:rsidR="008C7D5C" w:rsidRPr="00F137E5" w:rsidRDefault="00074B8B">
      <w:pPr>
        <w:pBdr>
          <w:top w:val="nil"/>
          <w:left w:val="nil"/>
          <w:bottom w:val="nil"/>
          <w:right w:val="nil"/>
          <w:between w:val="nil"/>
        </w:pBdr>
        <w:spacing w:line="276" w:lineRule="auto"/>
        <w:ind w:left="360" w:right="-25"/>
        <w:jc w:val="both"/>
        <w:rPr>
          <w:rFonts w:ascii="Palatino Linotype" w:eastAsia="Palatino Linotype" w:hAnsi="Palatino Linotype" w:cs="Palatino Linotype"/>
          <w:i/>
          <w:color w:val="000000"/>
        </w:rPr>
      </w:pPr>
      <w:r w:rsidRPr="00F137E5">
        <w:rPr>
          <w:rFonts w:ascii="Palatino Linotype" w:eastAsia="Palatino Linotype" w:hAnsi="Palatino Linotype" w:cs="Palatino Linotype"/>
          <w:i/>
          <w:color w:val="000000"/>
        </w:rPr>
        <w:t>Los contribuyentes a que se refiere el párrafo anterior deberán cumplir con las obligaciones siguientes:</w:t>
      </w:r>
    </w:p>
    <w:p w:rsidR="008C7D5C" w:rsidRPr="00F137E5" w:rsidRDefault="008C7D5C">
      <w:pPr>
        <w:pBdr>
          <w:top w:val="nil"/>
          <w:left w:val="nil"/>
          <w:bottom w:val="nil"/>
          <w:right w:val="nil"/>
          <w:between w:val="nil"/>
        </w:pBdr>
        <w:spacing w:line="276" w:lineRule="auto"/>
        <w:ind w:left="360" w:right="-25"/>
        <w:jc w:val="both"/>
        <w:rPr>
          <w:rFonts w:ascii="Palatino Linotype" w:eastAsia="Palatino Linotype" w:hAnsi="Palatino Linotype" w:cs="Palatino Linotype"/>
          <w:i/>
          <w:color w:val="000000"/>
        </w:rPr>
      </w:pPr>
    </w:p>
    <w:p w:rsidR="008C7D5C" w:rsidRPr="00F137E5" w:rsidRDefault="00074B8B">
      <w:pPr>
        <w:pBdr>
          <w:top w:val="nil"/>
          <w:left w:val="nil"/>
          <w:bottom w:val="nil"/>
          <w:right w:val="nil"/>
          <w:between w:val="nil"/>
        </w:pBdr>
        <w:spacing w:line="276" w:lineRule="auto"/>
        <w:ind w:left="360" w:right="-25"/>
        <w:jc w:val="both"/>
        <w:rPr>
          <w:rFonts w:ascii="Palatino Linotype" w:eastAsia="Palatino Linotype" w:hAnsi="Palatino Linotype" w:cs="Palatino Linotype"/>
          <w:i/>
          <w:color w:val="000000"/>
        </w:rPr>
      </w:pPr>
      <w:proofErr w:type="gramStart"/>
      <w:r w:rsidRPr="00F137E5">
        <w:rPr>
          <w:rFonts w:ascii="Palatino Linotype" w:eastAsia="Palatino Linotype" w:hAnsi="Palatino Linotype" w:cs="Palatino Linotype"/>
          <w:b/>
          <w:i/>
          <w:color w:val="000000"/>
        </w:rPr>
        <w:t>I</w:t>
      </w:r>
      <w:r w:rsidRPr="00F137E5">
        <w:rPr>
          <w:rFonts w:ascii="Palatino Linotype" w:eastAsia="Palatino Linotype" w:hAnsi="Palatino Linotype" w:cs="Palatino Linotype"/>
          <w:i/>
          <w:color w:val="000000"/>
        </w:rPr>
        <w:t>.</w:t>
      </w:r>
      <w:proofErr w:type="gramEnd"/>
      <w:r w:rsidRPr="00F137E5">
        <w:rPr>
          <w:rFonts w:ascii="Palatino Linotype" w:eastAsia="Palatino Linotype" w:hAnsi="Palatino Linotype" w:cs="Palatino Linotype"/>
          <w:i/>
          <w:color w:val="000000"/>
        </w:rPr>
        <w:t xml:space="preserve">  (…)</w:t>
      </w:r>
    </w:p>
    <w:p w:rsidR="008C7D5C" w:rsidRPr="00F137E5" w:rsidRDefault="00074B8B">
      <w:pPr>
        <w:pBdr>
          <w:top w:val="nil"/>
          <w:left w:val="nil"/>
          <w:bottom w:val="nil"/>
          <w:right w:val="nil"/>
          <w:between w:val="nil"/>
        </w:pBdr>
        <w:spacing w:line="276" w:lineRule="auto"/>
        <w:ind w:left="360" w:right="-25"/>
        <w:jc w:val="both"/>
        <w:rPr>
          <w:rFonts w:ascii="Palatino Linotype" w:eastAsia="Palatino Linotype" w:hAnsi="Palatino Linotype" w:cs="Palatino Linotype"/>
          <w:i/>
          <w:color w:val="000000"/>
        </w:rPr>
      </w:pPr>
      <w:r w:rsidRPr="00F137E5">
        <w:rPr>
          <w:rFonts w:ascii="Palatino Linotype" w:eastAsia="Palatino Linotype" w:hAnsi="Palatino Linotype" w:cs="Palatino Linotype"/>
          <w:b/>
          <w:i/>
          <w:color w:val="000000"/>
        </w:rPr>
        <w:t>II.</w:t>
      </w:r>
      <w:r w:rsidRPr="00F137E5">
        <w:rPr>
          <w:rFonts w:ascii="Palatino Linotype" w:eastAsia="Palatino Linotype" w:hAnsi="Palatino Linotype" w:cs="Palatino Linotype"/>
          <w:i/>
          <w:color w:val="000000"/>
        </w:rPr>
        <w:t xml:space="preserve"> Tramitar ante el Servicio de Administración Tributaria el certificado para el uso de los sellos digitales.</w:t>
      </w:r>
    </w:p>
    <w:p w:rsidR="008C7D5C" w:rsidRPr="00F137E5" w:rsidRDefault="00074B8B">
      <w:pPr>
        <w:pBdr>
          <w:top w:val="nil"/>
          <w:left w:val="nil"/>
          <w:bottom w:val="nil"/>
          <w:right w:val="nil"/>
          <w:between w:val="nil"/>
        </w:pBdr>
        <w:spacing w:line="276" w:lineRule="auto"/>
        <w:ind w:left="360" w:right="-25"/>
        <w:jc w:val="both"/>
        <w:rPr>
          <w:rFonts w:ascii="Palatino Linotype" w:eastAsia="Palatino Linotype" w:hAnsi="Palatino Linotype" w:cs="Palatino Linotype"/>
          <w:i/>
          <w:color w:val="000000"/>
        </w:rPr>
      </w:pPr>
      <w:r w:rsidRPr="00F137E5">
        <w:rPr>
          <w:rFonts w:ascii="Palatino Linotype" w:eastAsia="Palatino Linotype" w:hAnsi="Palatino Linotype" w:cs="Palatino Linotype"/>
          <w:i/>
          <w:color w:val="000000"/>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8C7D5C" w:rsidRPr="00F137E5" w:rsidRDefault="008C7D5C">
      <w:pPr>
        <w:pBdr>
          <w:top w:val="nil"/>
          <w:left w:val="nil"/>
          <w:bottom w:val="nil"/>
          <w:right w:val="nil"/>
          <w:between w:val="nil"/>
        </w:pBdr>
        <w:spacing w:line="360" w:lineRule="auto"/>
        <w:ind w:left="360" w:right="-592"/>
        <w:jc w:val="both"/>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144. </w:t>
      </w:r>
      <w:r w:rsidRPr="00F137E5">
        <w:rPr>
          <w:rFonts w:ascii="Palatino Linotype" w:eastAsia="Palatino Linotype" w:hAnsi="Palatino Linotype" w:cs="Palatino Linotype"/>
        </w:rPr>
        <w:t xml:space="preserve">Por lo que hace a los </w:t>
      </w:r>
      <w:r w:rsidRPr="00F137E5">
        <w:rPr>
          <w:rFonts w:ascii="Palatino Linotype" w:eastAsia="Palatino Linotype" w:hAnsi="Palatino Linotype" w:cs="Palatino Linotype"/>
          <w:b/>
        </w:rPr>
        <w:t>Códigos Bidimensionales</w:t>
      </w:r>
      <w:r w:rsidRPr="00F137E5">
        <w:rPr>
          <w:rFonts w:ascii="Palatino Linotype" w:eastAsia="Palatino Linotype" w:hAnsi="Palatino Linotype" w:cs="Palatino Linotype"/>
        </w:rPr>
        <w:t xml:space="preserve"> y los denominados </w:t>
      </w:r>
      <w:r w:rsidRPr="00F137E5">
        <w:rPr>
          <w:rFonts w:ascii="Palatino Linotype" w:eastAsia="Palatino Linotype" w:hAnsi="Palatino Linotype" w:cs="Palatino Linotype"/>
          <w:b/>
        </w:rPr>
        <w:t>Códigos QR</w:t>
      </w:r>
      <w:r w:rsidRPr="00F137E5">
        <w:rPr>
          <w:rFonts w:ascii="Palatino Linotype" w:eastAsia="Palatino Linotype" w:hAnsi="Palatino Linotype" w:cs="Palatino Linotype"/>
        </w:rPr>
        <w:t>,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únicamente al tratarse de recibos de nómina, generalmente, corresponde a datos personales como lo son el Registro Federal de Contribuyentes (RFC) y la Clave Única de Registro de Población (CURP), por lo cual, deberán ser protegidos, caso contrario, deben dejarse visibles.</w:t>
      </w:r>
    </w:p>
    <w:p w:rsidR="008C7D5C" w:rsidRPr="00F137E5" w:rsidRDefault="008C7D5C">
      <w:pPr>
        <w:pBdr>
          <w:top w:val="nil"/>
          <w:left w:val="nil"/>
          <w:bottom w:val="nil"/>
          <w:right w:val="nil"/>
          <w:between w:val="nil"/>
        </w:pBdr>
        <w:spacing w:line="360" w:lineRule="auto"/>
        <w:ind w:left="360" w:right="-592"/>
        <w:jc w:val="both"/>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145. </w:t>
      </w:r>
      <w:r w:rsidRPr="00F137E5">
        <w:rPr>
          <w:rFonts w:ascii="Palatino Linotype" w:eastAsia="Palatino Linotype" w:hAnsi="Palatino Linotype" w:cs="Palatino Linotype"/>
        </w:rPr>
        <w:t xml:space="preserve">Ahora bien, por lo que hace Folio Fiscal, cabe precisar que conforme al ANEXO 20 de la Segunda Resolución de modificaciones a la Resolución Miscelánea Fiscal para dos mil </w:t>
      </w:r>
      <w:r w:rsidRPr="00F137E5">
        <w:rPr>
          <w:rFonts w:ascii="Palatino Linotype" w:eastAsia="Palatino Linotype" w:hAnsi="Palatino Linotype" w:cs="Palatino Linotype"/>
        </w:rPr>
        <w:lastRenderedPageBreak/>
        <w:t>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rsidR="008C7D5C" w:rsidRPr="00F137E5" w:rsidRDefault="008C7D5C">
      <w:pPr>
        <w:pBdr>
          <w:top w:val="nil"/>
          <w:left w:val="nil"/>
          <w:bottom w:val="nil"/>
          <w:right w:val="nil"/>
          <w:between w:val="nil"/>
        </w:pBdr>
        <w:spacing w:line="360" w:lineRule="auto"/>
        <w:ind w:left="360" w:right="-592"/>
        <w:jc w:val="both"/>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146. </w:t>
      </w:r>
      <w:r w:rsidRPr="00F137E5">
        <w:rPr>
          <w:rFonts w:ascii="Palatino Linotype" w:eastAsia="Palatino Linotype" w:hAnsi="Palatino Linotype" w:cs="Palatino Linotype"/>
        </w:rPr>
        <w:t>En ese contexto, de la misma manera que en los casos previamente analizados, el folio fiscal no contiene datos personales del emisor y tampoco permite que se pueda obtener información confidencial por sí mismo, pues solamente es un identificador del emisor, del cual su transparencia ayuda a legitimar que el documento cumple con todos los requisitos establecidos en la normatividad aplicable, sin que de esto se obtenga algún dato personal, por lo que, tampoco actualiza la clasificación, en términos del artículo 143, fracción I de la Ley de la materia.</w:t>
      </w:r>
    </w:p>
    <w:p w:rsidR="008C7D5C" w:rsidRPr="00F137E5" w:rsidRDefault="008C7D5C">
      <w:pPr>
        <w:ind w:right="-592"/>
        <w:rPr>
          <w:rFonts w:ascii="Palatino Linotype" w:eastAsia="Palatino Linotype" w:hAnsi="Palatino Linotype" w:cs="Palatino Linotype"/>
        </w:rPr>
      </w:pPr>
    </w:p>
    <w:p w:rsidR="008C7D5C" w:rsidRPr="00F137E5" w:rsidRDefault="008C7D5C">
      <w:pPr>
        <w:pBdr>
          <w:top w:val="nil"/>
          <w:left w:val="nil"/>
          <w:bottom w:val="nil"/>
          <w:right w:val="nil"/>
          <w:between w:val="nil"/>
        </w:pBdr>
        <w:ind w:left="720" w:right="-592"/>
        <w:rPr>
          <w:rFonts w:ascii="Palatino Linotype" w:eastAsia="Palatino Linotype" w:hAnsi="Palatino Linotype" w:cs="Palatino Linotype"/>
          <w:color w:val="000000"/>
        </w:rPr>
      </w:pPr>
      <w:bookmarkStart w:id="9" w:name="_heading=h.17dp8vu" w:colFirst="0" w:colLast="0"/>
      <w:bookmarkEnd w:id="9"/>
    </w:p>
    <w:p w:rsidR="008C7D5C" w:rsidRPr="00F137E5" w:rsidRDefault="00074B8B">
      <w:pPr>
        <w:numPr>
          <w:ilvl w:val="0"/>
          <w:numId w:val="7"/>
        </w:num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color w:val="000000"/>
        </w:rPr>
        <w:t>Datos Bancarios:</w:t>
      </w: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147. </w:t>
      </w:r>
      <w:r w:rsidRPr="00F137E5">
        <w:rPr>
          <w:rFonts w:ascii="Palatino Linotype" w:eastAsia="Palatino Linotype" w:hAnsi="Palatino Linotype" w:cs="Palatino Linotype"/>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la servidora pública, o bien, la </w:t>
      </w:r>
      <w:proofErr w:type="spellStart"/>
      <w:r w:rsidRPr="00F137E5">
        <w:rPr>
          <w:rFonts w:ascii="Palatino Linotype" w:eastAsia="Palatino Linotype" w:hAnsi="Palatino Linotype" w:cs="Palatino Linotype"/>
        </w:rPr>
        <w:t>clabe</w:t>
      </w:r>
      <w:proofErr w:type="spellEnd"/>
      <w:r w:rsidRPr="00F137E5">
        <w:rPr>
          <w:rFonts w:ascii="Palatino Linotype" w:eastAsia="Palatino Linotype" w:hAnsi="Palatino Linotype" w:cs="Palatino Linotype"/>
        </w:rPr>
        <w:t xml:space="preserve"> interbancaria; además, que con dicha información se podría obtener los recursos enviados a las órdenes de cargo, pago de nómina o a las transferencias electrónicas de fondos interbancarios, entre otros movimientos que sean utilizados exclusivamente en la cuenta señalada por el cliente y por lo tanto, los datos bancarios corresponden a información que se encuentra relacionada con </w:t>
      </w:r>
      <w:r w:rsidRPr="00F137E5">
        <w:rPr>
          <w:rFonts w:ascii="Palatino Linotype" w:eastAsia="Palatino Linotype" w:hAnsi="Palatino Linotype" w:cs="Palatino Linotype"/>
        </w:rPr>
        <w:lastRenderedPageBreak/>
        <w:t>el patrimonio de la persona titular de la cuenta, en el presente caso de la Titular de la Unidad de Transparencia, en su calidad de particular.</w:t>
      </w: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148. </w:t>
      </w:r>
      <w:r w:rsidRPr="00F137E5">
        <w:rPr>
          <w:rFonts w:ascii="Palatino Linotype" w:eastAsia="Palatino Linotype" w:hAnsi="Palatino Linotype" w:cs="Palatino Linotype"/>
        </w:rPr>
        <w:t>A mayor abundamiento, resulta necesario traer a colación el Criterio 10/17 emitido por el Instituto Nacional de Transparencia, Acceso a la Información y Protección de Datos Personales, mismo que establece lo siguiente:</w:t>
      </w:r>
    </w:p>
    <w:p w:rsidR="008C7D5C" w:rsidRPr="00F137E5" w:rsidRDefault="00074B8B">
      <w:pPr>
        <w:shd w:val="clear" w:color="auto" w:fill="FFFFFF"/>
        <w:spacing w:line="360" w:lineRule="auto"/>
        <w:ind w:left="567" w:right="-25"/>
        <w:jc w:val="both"/>
        <w:rPr>
          <w:rFonts w:ascii="Palatino Linotype" w:eastAsia="Palatino Linotype" w:hAnsi="Palatino Linotype" w:cs="Palatino Linotype"/>
          <w:i/>
        </w:rPr>
      </w:pPr>
      <w:r w:rsidRPr="00F137E5">
        <w:rPr>
          <w:rFonts w:ascii="Palatino Linotype" w:eastAsia="Palatino Linotype" w:hAnsi="Palatino Linotype" w:cs="Palatino Linotype"/>
          <w:i/>
        </w:rPr>
        <w:t>“</w:t>
      </w:r>
      <w:r w:rsidRPr="00F137E5">
        <w:rPr>
          <w:rFonts w:ascii="Palatino Linotype" w:eastAsia="Palatino Linotype" w:hAnsi="Palatino Linotype" w:cs="Palatino Linotype"/>
          <w:b/>
          <w:i/>
        </w:rPr>
        <w:t>Cuentas bancarias y/o CLABE interbancaria de personas físicas y morales privadas.</w:t>
      </w:r>
      <w:r w:rsidRPr="00F137E5">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8C7D5C" w:rsidRPr="00F137E5" w:rsidRDefault="008C7D5C">
      <w:pPr>
        <w:shd w:val="clear" w:color="auto" w:fill="FFFFFF"/>
        <w:spacing w:line="360" w:lineRule="auto"/>
        <w:ind w:left="567" w:right="-592"/>
        <w:jc w:val="both"/>
        <w:rPr>
          <w:rFonts w:ascii="Palatino Linotype" w:eastAsia="Palatino Linotype" w:hAnsi="Palatino Linotype" w:cs="Palatino Linotype"/>
          <w:i/>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149.</w:t>
      </w:r>
      <w:r w:rsidRPr="00F137E5">
        <w:rPr>
          <w:rFonts w:ascii="Palatino Linotype" w:eastAsia="Palatino Linotype" w:hAnsi="Palatino Linotype" w:cs="Palatino Linotype"/>
        </w:rPr>
        <w:t xml:space="preserve"> Por lo cual, se puede colegir que dichos datos no guardan relación con el servicio público ni con los recursos públicos, pues sólo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8C7D5C" w:rsidRPr="00F137E5" w:rsidRDefault="008C7D5C">
      <w:pPr>
        <w:tabs>
          <w:tab w:val="left" w:pos="284"/>
        </w:tabs>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 xml:space="preserve">150. </w:t>
      </w:r>
      <w:r w:rsidRPr="00F137E5">
        <w:rPr>
          <w:rFonts w:ascii="Palatino Linotype" w:eastAsia="Palatino Linotype" w:hAnsi="Palatino Linotype" w:cs="Palatino Linotype"/>
          <w:color w:val="000000"/>
        </w:rPr>
        <w:t xml:space="preserve">No pasa desapercibido para este Órgano Garante que los </w:t>
      </w:r>
      <w:r w:rsidRPr="00F137E5">
        <w:rPr>
          <w:rFonts w:ascii="Palatino Linotype" w:eastAsia="Palatino Linotype" w:hAnsi="Palatino Linotype" w:cs="Palatino Linotype"/>
          <w:b/>
          <w:color w:val="000000"/>
        </w:rPr>
        <w:t xml:space="preserve">Sujetos Obligados </w:t>
      </w:r>
      <w:r w:rsidRPr="00F137E5">
        <w:rPr>
          <w:rFonts w:ascii="Palatino Linotype" w:eastAsia="Palatino Linotype" w:hAnsi="Palatino Linotype" w:cs="Palatino Linotype"/>
          <w:color w:val="000000"/>
        </w:rPr>
        <w:t xml:space="preserve">serán responsables de los datos personales en su posesión y que, en caso de localizarse datos </w:t>
      </w:r>
      <w:r w:rsidRPr="00F137E5">
        <w:rPr>
          <w:rFonts w:ascii="Palatino Linotype" w:eastAsia="Palatino Linotype" w:hAnsi="Palatino Linotype" w:cs="Palatino Linotype"/>
        </w:rPr>
        <w:lastRenderedPageBreak/>
        <w:t>concernientes</w:t>
      </w:r>
      <w:r w:rsidRPr="00F137E5">
        <w:rPr>
          <w:rFonts w:ascii="Palatino Linotype" w:eastAsia="Palatino Linotype" w:hAnsi="Palatino Linotype" w:cs="Palatino Linotype"/>
          <w:color w:val="000000"/>
        </w:rPr>
        <w:t xml:space="preserve">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8C7D5C" w:rsidRPr="00F137E5" w:rsidRDefault="008C7D5C">
      <w:pPr>
        <w:tabs>
          <w:tab w:val="left" w:pos="284"/>
        </w:tabs>
        <w:spacing w:line="360" w:lineRule="auto"/>
        <w:ind w:right="-592"/>
        <w:jc w:val="both"/>
        <w:rPr>
          <w:rFonts w:ascii="Palatino Linotype" w:eastAsia="Palatino Linotype" w:hAnsi="Palatino Linotype" w:cs="Palatino Linotype"/>
          <w:color w:val="000000"/>
        </w:rPr>
      </w:pPr>
    </w:p>
    <w:tbl>
      <w:tblPr>
        <w:tblStyle w:val="a"/>
        <w:tblW w:w="97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0"/>
        <w:gridCol w:w="7710"/>
      </w:tblGrid>
      <w:tr w:rsidR="008C7D5C" w:rsidRPr="00F137E5">
        <w:tc>
          <w:tcPr>
            <w:tcW w:w="2040" w:type="dxa"/>
            <w:tcBorders>
              <w:top w:val="single" w:sz="4" w:space="0" w:color="000000"/>
              <w:left w:val="single" w:sz="4" w:space="0" w:color="000000"/>
              <w:bottom w:val="single" w:sz="4" w:space="0" w:color="000000"/>
              <w:right w:val="single" w:sz="4" w:space="0" w:color="000000"/>
            </w:tcBorders>
          </w:tcPr>
          <w:p w:rsidR="008C7D5C" w:rsidRPr="00F137E5" w:rsidRDefault="00074B8B">
            <w:pPr>
              <w:tabs>
                <w:tab w:val="left" w:pos="284"/>
              </w:tabs>
              <w:spacing w:line="360" w:lineRule="auto"/>
              <w:ind w:right="-42"/>
              <w:rPr>
                <w:rFonts w:ascii="Palatino Linotype" w:eastAsia="Palatino Linotype" w:hAnsi="Palatino Linotype" w:cs="Palatino Linotype"/>
              </w:rPr>
            </w:pPr>
            <w:r w:rsidRPr="00F137E5">
              <w:rPr>
                <w:rFonts w:ascii="Palatino Linotype" w:eastAsia="Palatino Linotype" w:hAnsi="Palatino Linotype" w:cs="Palatino Linotype"/>
              </w:rPr>
              <w:t>a) Requisitos previos.</w:t>
            </w:r>
          </w:p>
        </w:tc>
        <w:tc>
          <w:tcPr>
            <w:tcW w:w="7710" w:type="dxa"/>
            <w:tcBorders>
              <w:top w:val="single" w:sz="4" w:space="0" w:color="000000"/>
              <w:left w:val="single" w:sz="4" w:space="0" w:color="000000"/>
              <w:bottom w:val="single" w:sz="4" w:space="0" w:color="000000"/>
              <w:right w:val="single" w:sz="4" w:space="0" w:color="000000"/>
            </w:tcBorders>
          </w:tcPr>
          <w:p w:rsidR="008C7D5C" w:rsidRPr="00F137E5" w:rsidRDefault="00074B8B">
            <w:pPr>
              <w:tabs>
                <w:tab w:val="left" w:pos="284"/>
              </w:tabs>
              <w:spacing w:line="360" w:lineRule="auto"/>
              <w:ind w:right="-4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8C7D5C" w:rsidRPr="00F137E5" w:rsidRDefault="00074B8B">
            <w:pPr>
              <w:tabs>
                <w:tab w:val="left" w:pos="284"/>
              </w:tabs>
              <w:spacing w:line="360" w:lineRule="auto"/>
              <w:ind w:right="-4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Al hacerlo tienen que precisar de qué i</w:t>
            </w:r>
            <w:bookmarkStart w:id="10" w:name="_GoBack"/>
            <w:bookmarkEnd w:id="10"/>
            <w:r w:rsidRPr="00F137E5">
              <w:rPr>
                <w:rFonts w:ascii="Palatino Linotype" w:eastAsia="Palatino Linotype" w:hAnsi="Palatino Linotype" w:cs="Palatino Linotype"/>
                <w:color w:val="000000"/>
              </w:rPr>
              <w:t>nformación se trata, señalando el supuesto de clasificación (confidencialidad o reserva).</w:t>
            </w:r>
          </w:p>
          <w:p w:rsidR="008C7D5C" w:rsidRPr="00F137E5" w:rsidRDefault="00074B8B">
            <w:pPr>
              <w:tabs>
                <w:tab w:val="left" w:pos="284"/>
              </w:tabs>
              <w:spacing w:line="360" w:lineRule="auto"/>
              <w:ind w:right="-4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8C7D5C" w:rsidRPr="00F137E5" w:rsidRDefault="00074B8B">
            <w:pPr>
              <w:tabs>
                <w:tab w:val="left" w:pos="284"/>
              </w:tabs>
              <w:spacing w:line="360" w:lineRule="auto"/>
              <w:ind w:right="-42"/>
              <w:jc w:val="both"/>
              <w:rPr>
                <w:rFonts w:ascii="Palatino Linotype" w:eastAsia="Palatino Linotype" w:hAnsi="Palatino Linotype" w:cs="Palatino Linotype"/>
              </w:rPr>
            </w:pPr>
            <w:r w:rsidRPr="00F137E5">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F137E5">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F137E5">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8C7D5C" w:rsidRPr="00F137E5">
        <w:tc>
          <w:tcPr>
            <w:tcW w:w="2040" w:type="dxa"/>
            <w:tcBorders>
              <w:top w:val="single" w:sz="4" w:space="0" w:color="000000"/>
              <w:left w:val="single" w:sz="4" w:space="0" w:color="000000"/>
              <w:bottom w:val="single" w:sz="4" w:space="0" w:color="000000"/>
              <w:right w:val="single" w:sz="4" w:space="0" w:color="000000"/>
            </w:tcBorders>
          </w:tcPr>
          <w:p w:rsidR="008C7D5C" w:rsidRPr="00F137E5" w:rsidRDefault="00074B8B">
            <w:pPr>
              <w:tabs>
                <w:tab w:val="left" w:pos="284"/>
              </w:tabs>
              <w:spacing w:line="360" w:lineRule="auto"/>
              <w:ind w:right="-42"/>
              <w:rPr>
                <w:rFonts w:ascii="Palatino Linotype" w:eastAsia="Palatino Linotype" w:hAnsi="Palatino Linotype" w:cs="Palatino Linotype"/>
              </w:rPr>
            </w:pPr>
            <w:r w:rsidRPr="00F137E5">
              <w:rPr>
                <w:rFonts w:ascii="Palatino Linotype" w:eastAsia="Palatino Linotype" w:hAnsi="Palatino Linotype" w:cs="Palatino Linotype"/>
              </w:rPr>
              <w:t>b) Supuestos de clasificación.</w:t>
            </w:r>
          </w:p>
        </w:tc>
        <w:tc>
          <w:tcPr>
            <w:tcW w:w="7710" w:type="dxa"/>
            <w:tcBorders>
              <w:top w:val="single" w:sz="4" w:space="0" w:color="000000"/>
              <w:left w:val="single" w:sz="4" w:space="0" w:color="000000"/>
              <w:bottom w:val="single" w:sz="4" w:space="0" w:color="000000"/>
              <w:right w:val="single" w:sz="4" w:space="0" w:color="000000"/>
            </w:tcBorders>
          </w:tcPr>
          <w:p w:rsidR="008C7D5C" w:rsidRPr="00F137E5" w:rsidRDefault="00074B8B">
            <w:pPr>
              <w:tabs>
                <w:tab w:val="left" w:pos="284"/>
              </w:tabs>
              <w:spacing w:line="360" w:lineRule="auto"/>
              <w:ind w:right="-4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8C7D5C" w:rsidRPr="00F137E5" w:rsidRDefault="00074B8B">
            <w:pPr>
              <w:tabs>
                <w:tab w:val="left" w:pos="284"/>
              </w:tabs>
              <w:spacing w:line="360" w:lineRule="auto"/>
              <w:ind w:right="-4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8C7D5C" w:rsidRPr="00F137E5" w:rsidRDefault="00074B8B">
            <w:pPr>
              <w:tabs>
                <w:tab w:val="left" w:pos="284"/>
              </w:tabs>
              <w:spacing w:line="360" w:lineRule="auto"/>
              <w:ind w:right="-42"/>
              <w:jc w:val="both"/>
              <w:rPr>
                <w:rFonts w:ascii="Palatino Linotype" w:eastAsia="Palatino Linotype" w:hAnsi="Palatino Linotype" w:cs="Palatino Linotype"/>
              </w:rPr>
            </w:pPr>
            <w:r w:rsidRPr="00F137E5">
              <w:rPr>
                <w:rFonts w:ascii="Palatino Linotype" w:eastAsia="Palatino Linotype" w:hAnsi="Palatino Linotype" w:cs="Palatino Linotype"/>
                <w:color w:val="000000"/>
              </w:rPr>
              <w:t xml:space="preserve">El </w:t>
            </w:r>
            <w:r w:rsidRPr="00F137E5">
              <w:rPr>
                <w:rFonts w:ascii="Palatino Linotype" w:eastAsia="Palatino Linotype" w:hAnsi="Palatino Linotype" w:cs="Palatino Linotype"/>
                <w:b/>
                <w:color w:val="000000"/>
              </w:rPr>
              <w:t>Sujeto Obligado</w:t>
            </w:r>
            <w:r w:rsidRPr="00F137E5">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C7D5C" w:rsidRPr="00F137E5">
        <w:tc>
          <w:tcPr>
            <w:tcW w:w="2040" w:type="dxa"/>
            <w:tcBorders>
              <w:top w:val="single" w:sz="4" w:space="0" w:color="000000"/>
              <w:left w:val="single" w:sz="4" w:space="0" w:color="000000"/>
              <w:bottom w:val="single" w:sz="4" w:space="0" w:color="000000"/>
              <w:right w:val="single" w:sz="4" w:space="0" w:color="000000"/>
            </w:tcBorders>
          </w:tcPr>
          <w:p w:rsidR="008C7D5C" w:rsidRPr="00F137E5" w:rsidRDefault="00074B8B">
            <w:pPr>
              <w:tabs>
                <w:tab w:val="left" w:pos="284"/>
              </w:tabs>
              <w:spacing w:line="360" w:lineRule="auto"/>
              <w:ind w:right="-42"/>
              <w:rPr>
                <w:rFonts w:ascii="Palatino Linotype" w:eastAsia="Palatino Linotype" w:hAnsi="Palatino Linotype" w:cs="Palatino Linotype"/>
              </w:rPr>
            </w:pPr>
            <w:r w:rsidRPr="00F137E5">
              <w:rPr>
                <w:rFonts w:ascii="Palatino Linotype" w:eastAsia="Palatino Linotype" w:hAnsi="Palatino Linotype" w:cs="Palatino Linotype"/>
              </w:rPr>
              <w:lastRenderedPageBreak/>
              <w:t>c) Formalidades para emitir el acuerdo de clasificación.</w:t>
            </w:r>
          </w:p>
        </w:tc>
        <w:tc>
          <w:tcPr>
            <w:tcW w:w="7710" w:type="dxa"/>
            <w:tcBorders>
              <w:top w:val="single" w:sz="4" w:space="0" w:color="000000"/>
              <w:left w:val="single" w:sz="4" w:space="0" w:color="000000"/>
              <w:bottom w:val="single" w:sz="4" w:space="0" w:color="000000"/>
              <w:right w:val="single" w:sz="4" w:space="0" w:color="000000"/>
            </w:tcBorders>
          </w:tcPr>
          <w:p w:rsidR="008C7D5C" w:rsidRPr="00F137E5" w:rsidRDefault="00074B8B">
            <w:pPr>
              <w:tabs>
                <w:tab w:val="left" w:pos="284"/>
              </w:tabs>
              <w:spacing w:line="360" w:lineRule="auto"/>
              <w:ind w:right="-4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8C7D5C" w:rsidRPr="00F137E5" w:rsidRDefault="00074B8B">
            <w:pPr>
              <w:tabs>
                <w:tab w:val="left" w:pos="284"/>
              </w:tabs>
              <w:spacing w:line="360" w:lineRule="auto"/>
              <w:ind w:right="-4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Es necesario que </w:t>
            </w:r>
            <w:r w:rsidRPr="00F137E5">
              <w:rPr>
                <w:rFonts w:ascii="Palatino Linotype" w:eastAsia="Palatino Linotype" w:hAnsi="Palatino Linotype" w:cs="Palatino Linotype"/>
                <w:b/>
                <w:color w:val="000000"/>
                <w:u w:val="single"/>
              </w:rPr>
              <w:t>el acto reúna con los requisitos elementales</w:t>
            </w:r>
            <w:r w:rsidRPr="00F137E5">
              <w:rPr>
                <w:rFonts w:ascii="Palatino Linotype" w:eastAsia="Palatino Linotype" w:hAnsi="Palatino Linotype" w:cs="Palatino Linotype"/>
                <w:color w:val="000000"/>
              </w:rPr>
              <w:t>, entre ellos, que la autoridad que va a emitir el acto de autoridad sea la legalmente facultada para ello.</w:t>
            </w:r>
          </w:p>
          <w:p w:rsidR="008C7D5C" w:rsidRPr="00F137E5" w:rsidRDefault="00074B8B">
            <w:pPr>
              <w:tabs>
                <w:tab w:val="left" w:pos="284"/>
              </w:tabs>
              <w:spacing w:line="360" w:lineRule="auto"/>
              <w:ind w:right="-42"/>
              <w:jc w:val="both"/>
              <w:rPr>
                <w:rFonts w:ascii="Palatino Linotype" w:eastAsia="Palatino Linotype" w:hAnsi="Palatino Linotype" w:cs="Palatino Linotype"/>
              </w:rPr>
            </w:pPr>
            <w:r w:rsidRPr="00F137E5">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F137E5">
              <w:rPr>
                <w:rFonts w:ascii="Palatino Linotype" w:eastAsia="Palatino Linotype" w:hAnsi="Palatino Linotype" w:cs="Palatino Linotype"/>
              </w:rPr>
              <w:t>El área</w:t>
            </w:r>
            <w:r w:rsidRPr="00F137E5">
              <w:rPr>
                <w:rFonts w:ascii="Palatino Linotype" w:eastAsia="Palatino Linotype" w:hAnsi="Palatino Linotype" w:cs="Palatino Linotype"/>
                <w:color w:val="000000"/>
              </w:rPr>
              <w:t xml:space="preserve"> que administra la información, cuyo análisis debe </w:t>
            </w:r>
            <w:r w:rsidRPr="00F137E5">
              <w:rPr>
                <w:rFonts w:ascii="Palatino Linotype" w:eastAsia="Palatino Linotype" w:hAnsi="Palatino Linotype" w:cs="Palatino Linotype"/>
                <w:color w:val="000000"/>
              </w:rPr>
              <w:lastRenderedPageBreak/>
              <w:t>integrarse en la agenda de los asuntos a tratar en las sesiones, se insiste, a partir de las decisiones adoptadas previamente por los titulares de áreas y que son sujetas a control, en primera instancia, por el Comité de Transparencia.</w:t>
            </w:r>
          </w:p>
        </w:tc>
      </w:tr>
      <w:tr w:rsidR="008C7D5C" w:rsidRPr="00F137E5">
        <w:tc>
          <w:tcPr>
            <w:tcW w:w="2040" w:type="dxa"/>
            <w:tcBorders>
              <w:top w:val="single" w:sz="4" w:space="0" w:color="000000"/>
              <w:left w:val="single" w:sz="4" w:space="0" w:color="000000"/>
              <w:bottom w:val="single" w:sz="4" w:space="0" w:color="000000"/>
              <w:right w:val="single" w:sz="4" w:space="0" w:color="000000"/>
            </w:tcBorders>
          </w:tcPr>
          <w:p w:rsidR="008C7D5C" w:rsidRPr="00F137E5" w:rsidRDefault="008C7D5C">
            <w:pPr>
              <w:tabs>
                <w:tab w:val="left" w:pos="284"/>
              </w:tabs>
              <w:spacing w:line="360" w:lineRule="auto"/>
              <w:ind w:right="-42"/>
              <w:rPr>
                <w:rFonts w:ascii="Palatino Linotype" w:eastAsia="Palatino Linotype" w:hAnsi="Palatino Linotype" w:cs="Palatino Linotype"/>
              </w:rPr>
            </w:pPr>
          </w:p>
          <w:p w:rsidR="008C7D5C" w:rsidRPr="00F137E5" w:rsidRDefault="00074B8B">
            <w:pPr>
              <w:tabs>
                <w:tab w:val="left" w:pos="284"/>
              </w:tabs>
              <w:spacing w:line="360" w:lineRule="auto"/>
              <w:ind w:right="-42"/>
              <w:jc w:val="both"/>
              <w:rPr>
                <w:rFonts w:ascii="Palatino Linotype" w:eastAsia="Palatino Linotype" w:hAnsi="Palatino Linotype" w:cs="Palatino Linotype"/>
              </w:rPr>
            </w:pPr>
            <w:r w:rsidRPr="00F137E5">
              <w:rPr>
                <w:rFonts w:ascii="Palatino Linotype" w:eastAsia="Palatino Linotype" w:hAnsi="Palatino Linotype" w:cs="Palatino Linotype"/>
                <w:color w:val="000000"/>
              </w:rPr>
              <w:t xml:space="preserve">d) Requisitos de fondo del acuerdo de clasificación. </w:t>
            </w:r>
          </w:p>
        </w:tc>
        <w:tc>
          <w:tcPr>
            <w:tcW w:w="7710" w:type="dxa"/>
            <w:tcBorders>
              <w:top w:val="single" w:sz="4" w:space="0" w:color="000000"/>
              <w:left w:val="single" w:sz="4" w:space="0" w:color="000000"/>
              <w:bottom w:val="single" w:sz="4" w:space="0" w:color="000000"/>
              <w:right w:val="single" w:sz="4" w:space="0" w:color="000000"/>
            </w:tcBorders>
          </w:tcPr>
          <w:p w:rsidR="008C7D5C" w:rsidRPr="00F137E5" w:rsidRDefault="00074B8B">
            <w:pPr>
              <w:tabs>
                <w:tab w:val="left" w:pos="284"/>
              </w:tabs>
              <w:spacing w:line="360" w:lineRule="auto"/>
              <w:ind w:right="-4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137E5">
              <w:rPr>
                <w:rFonts w:ascii="Palatino Linotype" w:eastAsia="Palatino Linotype" w:hAnsi="Palatino Linotype" w:cs="Palatino Linotype"/>
                <w:b/>
                <w:color w:val="000000"/>
              </w:rPr>
              <w:t>Sujetos Obligados</w:t>
            </w:r>
            <w:r w:rsidRPr="00F137E5">
              <w:rPr>
                <w:rFonts w:ascii="Palatino Linotype" w:eastAsia="Palatino Linotype" w:hAnsi="Palatino Linotype" w:cs="Palatino Linotype"/>
                <w:color w:val="000000"/>
              </w:rPr>
              <w:t xml:space="preserve">, por lo que deberán fundar y motivar debidamente la clasificación. </w:t>
            </w:r>
          </w:p>
          <w:p w:rsidR="008C7D5C" w:rsidRPr="00F137E5" w:rsidRDefault="00074B8B">
            <w:pPr>
              <w:tabs>
                <w:tab w:val="left" w:pos="284"/>
              </w:tabs>
              <w:spacing w:line="360" w:lineRule="auto"/>
              <w:ind w:right="-4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De lo anterior, se desprende que para una correcta </w:t>
            </w:r>
            <w:r w:rsidRPr="00F137E5">
              <w:rPr>
                <w:rFonts w:ascii="Palatino Linotype" w:eastAsia="Palatino Linotype" w:hAnsi="Palatino Linotype" w:cs="Palatino Linotype"/>
                <w:b/>
                <w:color w:val="000000"/>
              </w:rPr>
              <w:t>clasificación total o parcial</w:t>
            </w:r>
            <w:r w:rsidRPr="00F137E5">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C7D5C" w:rsidRPr="00F137E5" w:rsidRDefault="00074B8B">
            <w:pPr>
              <w:tabs>
                <w:tab w:val="left" w:pos="284"/>
              </w:tabs>
              <w:spacing w:line="360" w:lineRule="auto"/>
              <w:ind w:right="-4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w:t>
            </w:r>
            <w:r w:rsidRPr="00F137E5">
              <w:rPr>
                <w:rFonts w:ascii="Palatino Linotype" w:eastAsia="Palatino Linotype" w:hAnsi="Palatino Linotype" w:cs="Palatino Linotype"/>
                <w:color w:val="000000"/>
              </w:rPr>
              <w:lastRenderedPageBreak/>
              <w:t>afectada pueda impugnar la decisión, permitiéndole una real y auténtica defensa.</w:t>
            </w:r>
          </w:p>
          <w:p w:rsidR="008C7D5C" w:rsidRPr="00F137E5" w:rsidRDefault="00074B8B">
            <w:pPr>
              <w:tabs>
                <w:tab w:val="left" w:pos="284"/>
              </w:tabs>
              <w:spacing w:line="360" w:lineRule="auto"/>
              <w:ind w:right="-4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8C7D5C" w:rsidRPr="00F137E5" w:rsidRDefault="00074B8B">
            <w:pPr>
              <w:tabs>
                <w:tab w:val="left" w:pos="284"/>
              </w:tabs>
              <w:spacing w:line="360" w:lineRule="auto"/>
              <w:ind w:right="-4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Ahora bien, </w:t>
            </w:r>
            <w:r w:rsidRPr="00F137E5">
              <w:rPr>
                <w:rFonts w:ascii="Palatino Linotype" w:eastAsia="Palatino Linotype" w:hAnsi="Palatino Linotype" w:cs="Palatino Linotype"/>
                <w:b/>
                <w:color w:val="000000"/>
                <w:u w:val="single"/>
              </w:rPr>
              <w:t>para cada caso además de fundar y motivar</w:t>
            </w:r>
            <w:r w:rsidRPr="00F137E5">
              <w:rPr>
                <w:rFonts w:ascii="Palatino Linotype" w:eastAsia="Palatino Linotype" w:hAnsi="Palatino Linotype" w:cs="Palatino Linotype"/>
                <w:color w:val="000000"/>
              </w:rPr>
              <w:t xml:space="preserve">, se debe identificar con claridad </w:t>
            </w:r>
            <w:r w:rsidRPr="00F137E5">
              <w:rPr>
                <w:rFonts w:ascii="Palatino Linotype" w:eastAsia="Palatino Linotype" w:hAnsi="Palatino Linotype" w:cs="Palatino Linotype"/>
              </w:rPr>
              <w:t>qué</w:t>
            </w:r>
            <w:r w:rsidRPr="00F137E5">
              <w:rPr>
                <w:rFonts w:ascii="Palatino Linotype" w:eastAsia="Palatino Linotype" w:hAnsi="Palatino Linotype" w:cs="Palatino Linotype"/>
                <w:color w:val="00000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C7D5C" w:rsidRPr="00F137E5">
        <w:tc>
          <w:tcPr>
            <w:tcW w:w="2040" w:type="dxa"/>
            <w:tcBorders>
              <w:top w:val="single" w:sz="4" w:space="0" w:color="000000"/>
              <w:left w:val="single" w:sz="4" w:space="0" w:color="000000"/>
              <w:bottom w:val="single" w:sz="4" w:space="0" w:color="000000"/>
              <w:right w:val="single" w:sz="4" w:space="0" w:color="000000"/>
            </w:tcBorders>
          </w:tcPr>
          <w:p w:rsidR="008C7D5C" w:rsidRPr="00F137E5" w:rsidRDefault="00074B8B">
            <w:pPr>
              <w:tabs>
                <w:tab w:val="left" w:pos="284"/>
              </w:tabs>
              <w:spacing w:line="360" w:lineRule="auto"/>
              <w:ind w:right="-42"/>
              <w:jc w:val="both"/>
              <w:rPr>
                <w:rFonts w:ascii="Palatino Linotype" w:eastAsia="Palatino Linotype" w:hAnsi="Palatino Linotype" w:cs="Palatino Linotype"/>
              </w:rPr>
            </w:pPr>
            <w:r w:rsidRPr="00F137E5">
              <w:rPr>
                <w:rFonts w:ascii="Palatino Linotype" w:eastAsia="Palatino Linotype" w:hAnsi="Palatino Linotype" w:cs="Palatino Linotype"/>
              </w:rPr>
              <w:lastRenderedPageBreak/>
              <w:t xml:space="preserve">e) Condiciones especiales de la clasificación de la información como confidencial. </w:t>
            </w:r>
          </w:p>
        </w:tc>
        <w:tc>
          <w:tcPr>
            <w:tcW w:w="7710" w:type="dxa"/>
            <w:tcBorders>
              <w:top w:val="single" w:sz="4" w:space="0" w:color="000000"/>
              <w:left w:val="single" w:sz="4" w:space="0" w:color="000000"/>
              <w:bottom w:val="single" w:sz="4" w:space="0" w:color="000000"/>
              <w:right w:val="single" w:sz="4" w:space="0" w:color="000000"/>
            </w:tcBorders>
          </w:tcPr>
          <w:p w:rsidR="008C7D5C" w:rsidRPr="00F137E5" w:rsidRDefault="00074B8B">
            <w:pPr>
              <w:tabs>
                <w:tab w:val="left" w:pos="284"/>
              </w:tabs>
              <w:spacing w:line="360" w:lineRule="auto"/>
              <w:ind w:right="-4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8C7D5C" w:rsidRPr="00F137E5" w:rsidRDefault="00074B8B">
            <w:pPr>
              <w:tabs>
                <w:tab w:val="left" w:pos="284"/>
              </w:tabs>
              <w:spacing w:line="360" w:lineRule="auto"/>
              <w:ind w:right="-4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C7D5C" w:rsidRPr="00F137E5" w:rsidRDefault="00074B8B">
            <w:pPr>
              <w:tabs>
                <w:tab w:val="left" w:pos="284"/>
              </w:tabs>
              <w:spacing w:line="360" w:lineRule="auto"/>
              <w:ind w:right="-42"/>
              <w:rPr>
                <w:rFonts w:ascii="Palatino Linotype" w:eastAsia="Palatino Linotype" w:hAnsi="Palatino Linotype" w:cs="Palatino Linotype"/>
              </w:rPr>
            </w:pPr>
            <w:r w:rsidRPr="00F137E5">
              <w:rPr>
                <w:rFonts w:ascii="Palatino Linotype" w:eastAsia="Palatino Linotype" w:hAnsi="Palatino Linotype" w:cs="Palatino Linotype"/>
                <w:color w:val="000000"/>
              </w:rPr>
              <w:t xml:space="preserve">Pero si la información que se pretende clasificar como confidencial no se encuentra en los supuestos de los artículos señalados y es posible, </w:t>
            </w:r>
            <w:r w:rsidRPr="00F137E5">
              <w:rPr>
                <w:rFonts w:ascii="Palatino Linotype" w:eastAsia="Palatino Linotype" w:hAnsi="Palatino Linotype" w:cs="Palatino Linotype"/>
                <w:color w:val="000000"/>
              </w:rPr>
              <w:lastRenderedPageBreak/>
              <w:t>se deberá consultar al titular de los datos si permite o no el acceso. De no ser posible, la realización de la consulta, procede, fundando y motivando, la clasificación.</w:t>
            </w:r>
          </w:p>
        </w:tc>
      </w:tr>
    </w:tbl>
    <w:p w:rsidR="008C7D5C" w:rsidRPr="00F137E5" w:rsidRDefault="008C7D5C">
      <w:pPr>
        <w:tabs>
          <w:tab w:val="left" w:pos="284"/>
        </w:tabs>
        <w:spacing w:line="360" w:lineRule="auto"/>
        <w:ind w:right="-592"/>
        <w:rPr>
          <w:rFonts w:ascii="Palatino Linotype" w:eastAsia="Palatino Linotype" w:hAnsi="Palatino Linotype" w:cs="Palatino Linotype"/>
          <w:color w:val="000000"/>
        </w:rPr>
      </w:pPr>
    </w:p>
    <w:p w:rsidR="008C7D5C" w:rsidRPr="00F137E5" w:rsidRDefault="00074B8B">
      <w:pP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b/>
        </w:rPr>
        <w:t xml:space="preserve">151. </w:t>
      </w:r>
      <w:r w:rsidRPr="00F137E5">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8C7D5C" w:rsidRPr="00F137E5" w:rsidRDefault="008C7D5C">
      <w:pPr>
        <w:spacing w:line="360" w:lineRule="auto"/>
        <w:ind w:right="-592"/>
        <w:jc w:val="both"/>
        <w:rPr>
          <w:rFonts w:ascii="Palatino Linotype" w:eastAsia="Palatino Linotype" w:hAnsi="Palatino Linotype" w:cs="Palatino Linotype"/>
          <w:b/>
          <w:color w:val="000000"/>
        </w:rPr>
      </w:pPr>
    </w:p>
    <w:p w:rsidR="008C7D5C" w:rsidRPr="00F137E5" w:rsidRDefault="00074B8B">
      <w:pPr>
        <w:tabs>
          <w:tab w:val="left" w:pos="426"/>
        </w:tabs>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152.</w:t>
      </w:r>
      <w:r w:rsidRPr="00F137E5">
        <w:rPr>
          <w:rFonts w:ascii="Palatino Linotype" w:eastAsia="Palatino Linotype" w:hAnsi="Palatino Linotype" w:cs="Palatino Linotype"/>
        </w:rPr>
        <w:t xml:space="preserve"> En consecuencia, una vez analizadas las constancias que integran el expediente electrónico, y en mérito de lo expuesto en líneas anteriores, resultan  fundadas las razones o motivos de inconformidad hechos valer por el </w:t>
      </w:r>
      <w:r w:rsidRPr="00F137E5">
        <w:rPr>
          <w:rFonts w:ascii="Palatino Linotype" w:eastAsia="Palatino Linotype" w:hAnsi="Palatino Linotype" w:cs="Palatino Linotype"/>
          <w:b/>
        </w:rPr>
        <w:t>RECURRENTE</w:t>
      </w:r>
      <w:r w:rsidRPr="00F137E5">
        <w:rPr>
          <w:rFonts w:ascii="Palatino Linotype" w:eastAsia="Palatino Linotype" w:hAnsi="Palatino Linotype" w:cs="Palatino Linotype"/>
        </w:rPr>
        <w:t xml:space="preserve"> dentro del recurso de revisión </w:t>
      </w:r>
      <w:r w:rsidRPr="00F137E5">
        <w:rPr>
          <w:rFonts w:ascii="Palatino Linotype" w:eastAsia="Palatino Linotype" w:hAnsi="Palatino Linotype" w:cs="Palatino Linotype"/>
          <w:b/>
        </w:rPr>
        <w:t>01713/INFOEM/IP/RR/2024</w:t>
      </w:r>
      <w:r w:rsidRPr="00F137E5">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F137E5">
        <w:rPr>
          <w:rFonts w:ascii="Palatino Linotype" w:eastAsia="Palatino Linotype" w:hAnsi="Palatino Linotype" w:cs="Palatino Linotype"/>
          <w:b/>
        </w:rPr>
        <w:t>MODIFICA</w:t>
      </w:r>
      <w:r w:rsidRPr="00F137E5">
        <w:rPr>
          <w:rFonts w:ascii="Palatino Linotype" w:eastAsia="Palatino Linotype" w:hAnsi="Palatino Linotype" w:cs="Palatino Linotype"/>
        </w:rPr>
        <w:t xml:space="preserve"> la respuesta del Sujeto Obligado. Por lo anteriormente expuesto y fundado, este </w:t>
      </w:r>
      <w:r w:rsidRPr="00F137E5">
        <w:rPr>
          <w:rFonts w:ascii="Palatino Linotype" w:eastAsia="Palatino Linotype" w:hAnsi="Palatino Linotype" w:cs="Palatino Linotype"/>
          <w:b/>
        </w:rPr>
        <w:t>ÓRGANO GARANTE</w:t>
      </w:r>
      <w:r w:rsidRPr="00F137E5">
        <w:rPr>
          <w:rFonts w:ascii="Palatino Linotype" w:eastAsia="Palatino Linotype" w:hAnsi="Palatino Linotype" w:cs="Palatino Linotype"/>
        </w:rPr>
        <w:t xml:space="preserve"> emite los siguientes:</w:t>
      </w:r>
    </w:p>
    <w:p w:rsidR="008C7D5C" w:rsidRPr="00F137E5" w:rsidRDefault="008C7D5C">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rsidR="008C7D5C" w:rsidRPr="00F137E5" w:rsidRDefault="00074B8B">
      <w:pPr>
        <w:keepNext/>
        <w:keepLines/>
        <w:spacing w:line="360" w:lineRule="auto"/>
        <w:ind w:right="-592"/>
        <w:jc w:val="center"/>
        <w:rPr>
          <w:rFonts w:ascii="Palatino Linotype" w:eastAsia="Palatino Linotype" w:hAnsi="Palatino Linotype" w:cs="Palatino Linotype"/>
          <w:b/>
          <w:color w:val="000000"/>
        </w:rPr>
      </w:pPr>
      <w:bookmarkStart w:id="11" w:name="_heading=h.3rdcrjn" w:colFirst="0" w:colLast="0"/>
      <w:bookmarkEnd w:id="11"/>
      <w:r w:rsidRPr="00F137E5">
        <w:rPr>
          <w:rFonts w:ascii="Palatino Linotype" w:eastAsia="Palatino Linotype" w:hAnsi="Palatino Linotype" w:cs="Palatino Linotype"/>
          <w:b/>
          <w:color w:val="000000"/>
        </w:rPr>
        <w:t>R E S O L U T I V O S</w:t>
      </w:r>
    </w:p>
    <w:p w:rsidR="008C7D5C" w:rsidRPr="00F137E5" w:rsidRDefault="008C7D5C">
      <w:pPr>
        <w:keepNext/>
        <w:keepLines/>
        <w:spacing w:line="360" w:lineRule="auto"/>
        <w:ind w:right="-592"/>
        <w:jc w:val="center"/>
        <w:rPr>
          <w:rFonts w:ascii="Palatino Linotype" w:eastAsia="Palatino Linotype" w:hAnsi="Palatino Linotype" w:cs="Palatino Linotype"/>
          <w:b/>
          <w:color w:val="000000"/>
        </w:rPr>
      </w:pPr>
    </w:p>
    <w:p w:rsidR="008C7D5C" w:rsidRPr="00F137E5" w:rsidRDefault="00074B8B">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PRIMERO. </w:t>
      </w:r>
      <w:r w:rsidRPr="00F137E5">
        <w:rPr>
          <w:rFonts w:ascii="Palatino Linotype" w:eastAsia="Palatino Linotype" w:hAnsi="Palatino Linotype" w:cs="Palatino Linotype"/>
        </w:rPr>
        <w:t>Resultan parcialmente fundadas las</w:t>
      </w:r>
      <w:r w:rsidRPr="00F137E5">
        <w:rPr>
          <w:rFonts w:ascii="Palatino Linotype" w:eastAsia="Palatino Linotype" w:hAnsi="Palatino Linotype" w:cs="Palatino Linotype"/>
          <w:b/>
        </w:rPr>
        <w:t xml:space="preserve"> </w:t>
      </w:r>
      <w:r w:rsidRPr="00F137E5">
        <w:rPr>
          <w:rFonts w:ascii="Palatino Linotype" w:eastAsia="Palatino Linotype" w:hAnsi="Palatino Linotype" w:cs="Palatino Linotype"/>
        </w:rPr>
        <w:t xml:space="preserve">razones o motivos de inconformidad hechos valer en el Recurso de Revisión </w:t>
      </w:r>
      <w:r w:rsidRPr="00F137E5">
        <w:rPr>
          <w:rFonts w:ascii="Palatino Linotype" w:eastAsia="Palatino Linotype" w:hAnsi="Palatino Linotype" w:cs="Palatino Linotype"/>
          <w:b/>
        </w:rPr>
        <w:t xml:space="preserve">01713/INFOEM/IP/RR/2024, </w:t>
      </w:r>
      <w:r w:rsidRPr="00F137E5">
        <w:rPr>
          <w:rFonts w:ascii="Palatino Linotype" w:eastAsia="Palatino Linotype" w:hAnsi="Palatino Linotype" w:cs="Palatino Linotype"/>
        </w:rPr>
        <w:t xml:space="preserve">en términos de los </w:t>
      </w:r>
      <w:r w:rsidRPr="00F137E5">
        <w:rPr>
          <w:rFonts w:ascii="Palatino Linotype" w:eastAsia="Palatino Linotype" w:hAnsi="Palatino Linotype" w:cs="Palatino Linotype"/>
          <w:b/>
        </w:rPr>
        <w:t>Considerandos</w:t>
      </w:r>
      <w:r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b/>
        </w:rPr>
        <w:t xml:space="preserve">CUARTO y QUINTO  </w:t>
      </w:r>
      <w:r w:rsidRPr="00F137E5">
        <w:rPr>
          <w:rFonts w:ascii="Palatino Linotype" w:eastAsia="Palatino Linotype" w:hAnsi="Palatino Linotype" w:cs="Palatino Linotype"/>
        </w:rPr>
        <w:t>de la presente Resolución.</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spacing w:line="360" w:lineRule="auto"/>
        <w:ind w:right="-592"/>
        <w:jc w:val="both"/>
        <w:rPr>
          <w:rFonts w:ascii="Palatino Linotype" w:eastAsia="Palatino Linotype" w:hAnsi="Palatino Linotype" w:cs="Palatino Linotype"/>
        </w:rPr>
      </w:pPr>
      <w:bookmarkStart w:id="12" w:name="_heading=h.26in1rg" w:colFirst="0" w:colLast="0"/>
      <w:bookmarkEnd w:id="12"/>
      <w:r w:rsidRPr="00F137E5">
        <w:rPr>
          <w:rFonts w:ascii="Palatino Linotype" w:eastAsia="Palatino Linotype" w:hAnsi="Palatino Linotype" w:cs="Palatino Linotype"/>
          <w:b/>
        </w:rPr>
        <w:lastRenderedPageBreak/>
        <w:t>SEGUNDO.</w:t>
      </w:r>
      <w:r w:rsidRPr="00F137E5">
        <w:rPr>
          <w:rFonts w:ascii="Palatino Linotype" w:eastAsia="Palatino Linotype" w:hAnsi="Palatino Linotype" w:cs="Palatino Linotype"/>
          <w:color w:val="2F5496"/>
        </w:rPr>
        <w:t xml:space="preserve"> </w:t>
      </w:r>
      <w:r w:rsidRPr="00F137E5">
        <w:rPr>
          <w:rFonts w:ascii="Palatino Linotype" w:eastAsia="Palatino Linotype" w:hAnsi="Palatino Linotype" w:cs="Palatino Linotype"/>
        </w:rPr>
        <w:t>Se</w:t>
      </w:r>
      <w:r w:rsidRPr="00F137E5">
        <w:rPr>
          <w:rFonts w:ascii="Palatino Linotype" w:eastAsia="Palatino Linotype" w:hAnsi="Palatino Linotype" w:cs="Palatino Linotype"/>
          <w:b/>
        </w:rPr>
        <w:t xml:space="preserve"> MODIFICA </w:t>
      </w:r>
      <w:r w:rsidRPr="00F137E5">
        <w:rPr>
          <w:rFonts w:ascii="Palatino Linotype" w:eastAsia="Palatino Linotype" w:hAnsi="Palatino Linotype" w:cs="Palatino Linotype"/>
        </w:rPr>
        <w:t xml:space="preserve">la respuesta emitida por el </w:t>
      </w:r>
      <w:r w:rsidRPr="00F137E5">
        <w:rPr>
          <w:rFonts w:ascii="Palatino Linotype" w:eastAsia="Palatino Linotype" w:hAnsi="Palatino Linotype" w:cs="Palatino Linotype"/>
          <w:b/>
        </w:rPr>
        <w:t xml:space="preserve">Ayuntamiento de Villa del Carbón </w:t>
      </w:r>
      <w:r w:rsidRPr="00F137E5">
        <w:rPr>
          <w:rFonts w:ascii="Palatino Linotype" w:eastAsia="Palatino Linotype" w:hAnsi="Palatino Linotype" w:cs="Palatino Linotype"/>
        </w:rPr>
        <w:t>y se</w:t>
      </w:r>
      <w:r w:rsidRPr="00F137E5">
        <w:rPr>
          <w:rFonts w:ascii="Palatino Linotype" w:eastAsia="Palatino Linotype" w:hAnsi="Palatino Linotype" w:cs="Palatino Linotype"/>
          <w:b/>
        </w:rPr>
        <w:t xml:space="preserve"> ORDENA </w:t>
      </w:r>
      <w:r w:rsidRPr="00F137E5">
        <w:rPr>
          <w:rFonts w:ascii="Palatino Linotype" w:eastAsia="Palatino Linotype" w:hAnsi="Palatino Linotype" w:cs="Palatino Linotype"/>
        </w:rPr>
        <w:t>entregar vía Sistema de Accesos a la Información Mexiquense (SAIMEX) y en copias certificadas con costo; en formato PDF o en el que se haya generado y, en versión pública, el soporte documental donde conste o se advierta la siguiente información:</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numPr>
          <w:ilvl w:val="0"/>
          <w:numId w:val="8"/>
        </w:num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Conciliación de nómina del año 2023 y, del 1 de enero al 29 de febrero del 2024;</w:t>
      </w:r>
    </w:p>
    <w:p w:rsidR="008C7D5C" w:rsidRPr="00F137E5" w:rsidRDefault="00074B8B">
      <w:pPr>
        <w:numPr>
          <w:ilvl w:val="0"/>
          <w:numId w:val="8"/>
        </w:num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Listas de raya, del 1 de junio </w:t>
      </w:r>
      <w:r w:rsidR="007948D0" w:rsidRPr="00F137E5">
        <w:rPr>
          <w:rFonts w:ascii="Palatino Linotype" w:eastAsia="Palatino Linotype" w:hAnsi="Palatino Linotype" w:cs="Palatino Linotype"/>
          <w:color w:val="000000"/>
        </w:rPr>
        <w:t xml:space="preserve">de 2023 </w:t>
      </w:r>
      <w:r w:rsidRPr="00F137E5">
        <w:rPr>
          <w:rFonts w:ascii="Palatino Linotype" w:eastAsia="Palatino Linotype" w:hAnsi="Palatino Linotype" w:cs="Palatino Linotype"/>
          <w:color w:val="000000"/>
        </w:rPr>
        <w:t>al 29 de febrero del año 202</w:t>
      </w:r>
      <w:r w:rsidR="007948D0" w:rsidRPr="00F137E5">
        <w:rPr>
          <w:rFonts w:ascii="Palatino Linotype" w:eastAsia="Palatino Linotype" w:hAnsi="Palatino Linotype" w:cs="Palatino Linotype"/>
          <w:color w:val="000000"/>
        </w:rPr>
        <w:t>4</w:t>
      </w:r>
      <w:r w:rsidRPr="00F137E5">
        <w:rPr>
          <w:rFonts w:ascii="Palatino Linotype" w:eastAsia="Palatino Linotype" w:hAnsi="Palatino Linotype" w:cs="Palatino Linotype"/>
          <w:color w:val="000000"/>
        </w:rPr>
        <w:t>;</w:t>
      </w:r>
    </w:p>
    <w:p w:rsidR="008C7D5C" w:rsidRPr="00F137E5" w:rsidRDefault="00074B8B">
      <w:pPr>
        <w:numPr>
          <w:ilvl w:val="0"/>
          <w:numId w:val="8"/>
        </w:num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Nombres, percepciones extraordinarias, y bonificaciones de los asesores adscritos a las</w:t>
      </w:r>
      <w:r w:rsidR="0068337E" w:rsidRPr="00F137E5">
        <w:rPr>
          <w:rFonts w:ascii="Palatino Linotype" w:eastAsia="Palatino Linotype" w:hAnsi="Palatino Linotype" w:cs="Palatino Linotype"/>
          <w:color w:val="000000"/>
        </w:rPr>
        <w:t xml:space="preserve"> áreas de Presidencia, Secretarí</w:t>
      </w:r>
      <w:r w:rsidRPr="00F137E5">
        <w:rPr>
          <w:rFonts w:ascii="Palatino Linotype" w:eastAsia="Palatino Linotype" w:hAnsi="Palatino Linotype" w:cs="Palatino Linotype"/>
          <w:color w:val="000000"/>
        </w:rPr>
        <w:t>a del Ayuntamiento, Sindicatura y áreas administrativas del año 2023 y, del 1 de enero al 29 de febrero del 2024;</w:t>
      </w:r>
    </w:p>
    <w:p w:rsidR="008C7D5C" w:rsidRPr="00F137E5" w:rsidRDefault="00074B8B">
      <w:pPr>
        <w:numPr>
          <w:ilvl w:val="0"/>
          <w:numId w:val="8"/>
        </w:num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Obras públicas (en curso o proyectadas), montos, contratos y forma de asignación, del año 2023, </w:t>
      </w:r>
    </w:p>
    <w:p w:rsidR="008C7D5C" w:rsidRPr="00F137E5" w:rsidRDefault="00074B8B">
      <w:pPr>
        <w:numPr>
          <w:ilvl w:val="0"/>
          <w:numId w:val="8"/>
        </w:num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Obras </w:t>
      </w:r>
      <w:r w:rsidRPr="00F137E5">
        <w:rPr>
          <w:rFonts w:ascii="Palatino Linotype" w:eastAsia="Palatino Linotype" w:hAnsi="Palatino Linotype" w:cs="Palatino Linotype"/>
        </w:rPr>
        <w:t>públicas</w:t>
      </w:r>
      <w:r w:rsidRPr="00F137E5">
        <w:rPr>
          <w:rFonts w:ascii="Palatino Linotype" w:eastAsia="Palatino Linotype" w:hAnsi="Palatino Linotype" w:cs="Palatino Linotype"/>
          <w:color w:val="000000"/>
        </w:rPr>
        <w:t xml:space="preserve"> proyectadas del 1 de enero al 29 de febrero del 2024;</w:t>
      </w:r>
    </w:p>
    <w:p w:rsidR="008C7D5C" w:rsidRPr="00F137E5" w:rsidRDefault="00074B8B">
      <w:pPr>
        <w:numPr>
          <w:ilvl w:val="0"/>
          <w:numId w:val="8"/>
        </w:num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Bonificaciones y gratificaciones de los integrantes del Ayuntamiento del 1 de enero de 2023 al 16 de febrero del 2024;</w:t>
      </w:r>
    </w:p>
    <w:p w:rsidR="008C7D5C" w:rsidRPr="00F137E5" w:rsidRDefault="00074B8B">
      <w:pPr>
        <w:numPr>
          <w:ilvl w:val="0"/>
          <w:numId w:val="8"/>
        </w:num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Nombres de proveedores, del 16 de febrero de 2023 al 15 de febrero de 2024;</w:t>
      </w:r>
    </w:p>
    <w:p w:rsidR="008C7D5C" w:rsidRPr="00F137E5" w:rsidRDefault="00074B8B">
      <w:pPr>
        <w:numPr>
          <w:ilvl w:val="0"/>
          <w:numId w:val="8"/>
        </w:num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 xml:space="preserve">Solicitudes y autorizaciones y/o permisos para hacer uso de plazas públicas, de bienes de uso común, calles o inmuebles del municipio del periodo 1 de enero </w:t>
      </w:r>
      <w:r w:rsidR="007948D0" w:rsidRPr="00F137E5">
        <w:rPr>
          <w:rFonts w:ascii="Palatino Linotype" w:eastAsia="Palatino Linotype" w:hAnsi="Palatino Linotype" w:cs="Palatino Linotype"/>
          <w:color w:val="000000"/>
        </w:rPr>
        <w:t>al 29 de febrero del 2024</w:t>
      </w:r>
      <w:r w:rsidRPr="00F137E5">
        <w:rPr>
          <w:rFonts w:ascii="Palatino Linotype" w:eastAsia="Palatino Linotype" w:hAnsi="Palatino Linotype" w:cs="Palatino Linotype"/>
          <w:color w:val="000000"/>
        </w:rPr>
        <w:t>;</w:t>
      </w:r>
    </w:p>
    <w:p w:rsidR="008C7D5C" w:rsidRPr="00F137E5" w:rsidRDefault="00074B8B">
      <w:pPr>
        <w:numPr>
          <w:ilvl w:val="0"/>
          <w:numId w:val="8"/>
        </w:num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Listado o relación de vehículos oficiales, del 1 de enero al 29 de febrero del 2024;</w:t>
      </w:r>
    </w:p>
    <w:p w:rsidR="008C7D5C" w:rsidRPr="00F137E5" w:rsidRDefault="00074B8B">
      <w:pPr>
        <w:numPr>
          <w:ilvl w:val="0"/>
          <w:numId w:val="8"/>
        </w:num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r w:rsidRPr="00F137E5">
        <w:rPr>
          <w:rFonts w:ascii="Palatino Linotype" w:eastAsia="Palatino Linotype" w:hAnsi="Palatino Linotype" w:cs="Palatino Linotype"/>
          <w:color w:val="000000"/>
        </w:rPr>
        <w:t>Bitácoras o registros de gastos y montos de gasto, incluido el de combustible, asignados a los vehículos oficiales, del 1 de enero al 29 de febrero del 2024;</w:t>
      </w:r>
    </w:p>
    <w:p w:rsidR="008C7D5C" w:rsidRPr="00F137E5" w:rsidRDefault="008C7D5C">
      <w:pPr>
        <w:spacing w:line="360" w:lineRule="auto"/>
        <w:ind w:right="-592"/>
        <w:jc w:val="both"/>
        <w:rPr>
          <w:rFonts w:ascii="Palatino Linotype" w:eastAsia="Palatino Linotype" w:hAnsi="Palatino Linotype" w:cs="Palatino Linotype"/>
          <w:strike/>
        </w:rPr>
      </w:pPr>
    </w:p>
    <w:p w:rsidR="008C7D5C" w:rsidRPr="00F137E5" w:rsidRDefault="00074B8B">
      <w:pPr>
        <w:spacing w:line="360" w:lineRule="auto"/>
        <w:ind w:right="-592"/>
        <w:jc w:val="both"/>
        <w:rPr>
          <w:rFonts w:ascii="Palatino Linotype" w:eastAsia="Palatino Linotype" w:hAnsi="Palatino Linotype" w:cs="Palatino Linotype"/>
          <w:color w:val="222222"/>
        </w:rPr>
      </w:pPr>
      <w:r w:rsidRPr="00F137E5">
        <w:rPr>
          <w:rFonts w:ascii="Palatino Linotype" w:eastAsia="Palatino Linotype" w:hAnsi="Palatino Linotype" w:cs="Palatino Linotype"/>
          <w:color w:val="222222"/>
        </w:rPr>
        <w:lastRenderedPageBreak/>
        <w:t xml:space="preserve">Asimismo se ordena al </w:t>
      </w:r>
      <w:r w:rsidRPr="00F137E5">
        <w:rPr>
          <w:rFonts w:ascii="Palatino Linotype" w:eastAsia="Palatino Linotype" w:hAnsi="Palatino Linotype" w:cs="Palatino Linotype"/>
          <w:b/>
          <w:color w:val="222222"/>
        </w:rPr>
        <w:t>SUJETO OBLIGADO</w:t>
      </w:r>
      <w:r w:rsidRPr="00F137E5">
        <w:rPr>
          <w:rFonts w:ascii="Palatino Linotype" w:eastAsia="Palatino Linotype" w:hAnsi="Palatino Linotype" w:cs="Palatino Linotype"/>
          <w:color w:val="222222"/>
        </w:rPr>
        <w:t xml:space="preserve"> que para la entrega de las copias certificadas con costo, haga del conocimiento del </w:t>
      </w:r>
      <w:r w:rsidRPr="00F137E5">
        <w:rPr>
          <w:rFonts w:ascii="Palatino Linotype" w:eastAsia="Palatino Linotype" w:hAnsi="Palatino Linotype" w:cs="Palatino Linotype"/>
          <w:b/>
          <w:color w:val="222222"/>
        </w:rPr>
        <w:t xml:space="preserve">RECURRENTE </w:t>
      </w:r>
      <w:r w:rsidRPr="00F137E5">
        <w:rPr>
          <w:rFonts w:ascii="Palatino Linotype" w:eastAsia="Palatino Linotype" w:hAnsi="Palatino Linotype" w:cs="Palatino Linotype"/>
          <w:color w:val="222222"/>
        </w:rPr>
        <w:t>vía</w:t>
      </w:r>
      <w:r w:rsidRPr="00F137E5">
        <w:rPr>
          <w:rFonts w:ascii="Palatino Linotype" w:eastAsia="Palatino Linotype" w:hAnsi="Palatino Linotype" w:cs="Palatino Linotype"/>
          <w:b/>
          <w:color w:val="222222"/>
        </w:rPr>
        <w:t xml:space="preserve"> SAIMEX</w:t>
      </w:r>
      <w:r w:rsidRPr="00F137E5">
        <w:rPr>
          <w:rFonts w:ascii="Palatino Linotype" w:eastAsia="Palatino Linotype" w:hAnsi="Palatino Linotype" w:cs="Palatino Linotype"/>
          <w:color w:val="222222"/>
        </w:rPr>
        <w:t>, el domicilio al cual deberá acudir, el nombre de la dependencia o área respectiva, los días y horarios de atención en los cuales se entregará la información, la forma y procedimiento a seguir, los costos, así como el periodo durante el cual quedará a su disposición la documentación conforme a lo dispuesto por el artículo 166 de la Ley de Transparencia y Acceso a la Información Pública del Estado de México y Municipios.  </w:t>
      </w:r>
    </w:p>
    <w:p w:rsidR="008C7D5C" w:rsidRPr="00F137E5" w:rsidRDefault="008C7D5C">
      <w:pPr>
        <w:spacing w:line="360" w:lineRule="auto"/>
        <w:ind w:right="-592"/>
        <w:jc w:val="both"/>
        <w:rPr>
          <w:rFonts w:ascii="Palatino Linotype" w:eastAsia="Palatino Linotype" w:hAnsi="Palatino Linotype" w:cs="Palatino Linotype"/>
          <w:color w:val="222222"/>
        </w:rPr>
      </w:pPr>
    </w:p>
    <w:p w:rsidR="008C7D5C" w:rsidRPr="00F137E5" w:rsidRDefault="00074B8B">
      <w:pPr>
        <w:tabs>
          <w:tab w:val="left" w:pos="8080"/>
        </w:tabs>
        <w:spacing w:line="360" w:lineRule="auto"/>
        <w:ind w:right="-592"/>
        <w:jc w:val="both"/>
        <w:rPr>
          <w:rFonts w:ascii="Palatino Linotype" w:eastAsia="Palatino Linotype" w:hAnsi="Palatino Linotype" w:cs="Palatino Linotype"/>
          <w:b/>
        </w:rPr>
      </w:pPr>
      <w:r w:rsidRPr="00F137E5">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F137E5">
        <w:rPr>
          <w:rFonts w:ascii="Palatino Linotype" w:eastAsia="Palatino Linotype" w:hAnsi="Palatino Linotype" w:cs="Palatino Linotype"/>
          <w:b/>
        </w:rPr>
        <w:t>RECURRENTE.</w:t>
      </w:r>
    </w:p>
    <w:p w:rsidR="008C7D5C" w:rsidRPr="00F137E5" w:rsidRDefault="008C7D5C">
      <w:pPr>
        <w:tabs>
          <w:tab w:val="left" w:pos="8080"/>
        </w:tabs>
        <w:spacing w:line="360" w:lineRule="auto"/>
        <w:ind w:right="-592"/>
        <w:jc w:val="both"/>
        <w:rPr>
          <w:rFonts w:ascii="Palatino Linotype" w:eastAsia="Palatino Linotype" w:hAnsi="Palatino Linotype" w:cs="Palatino Linotype"/>
          <w:b/>
        </w:rPr>
      </w:pPr>
    </w:p>
    <w:p w:rsidR="008C7D5C" w:rsidRPr="00F137E5" w:rsidRDefault="00074B8B">
      <w:pPr>
        <w:tabs>
          <w:tab w:val="left" w:pos="8080"/>
        </w:tabs>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rPr>
        <w:t xml:space="preserve">Para el caso de que el </w:t>
      </w:r>
      <w:r w:rsidRPr="00F137E5">
        <w:rPr>
          <w:rFonts w:ascii="Palatino Linotype" w:eastAsia="Palatino Linotype" w:hAnsi="Palatino Linotype" w:cs="Palatino Linotype"/>
          <w:b/>
        </w:rPr>
        <w:t>SUJETO OBLIGADO</w:t>
      </w:r>
      <w:r w:rsidRPr="00F137E5">
        <w:rPr>
          <w:rFonts w:ascii="Palatino Linotype" w:eastAsia="Palatino Linotype" w:hAnsi="Palatino Linotype" w:cs="Palatino Linotype"/>
        </w:rPr>
        <w:t xml:space="preserve"> no haya generado, poseído o administrado lo solicitado en los incisos </w:t>
      </w:r>
      <w:r w:rsidR="00020F63" w:rsidRPr="00F137E5">
        <w:rPr>
          <w:rFonts w:ascii="Palatino Linotype" w:eastAsia="Palatino Linotype" w:hAnsi="Palatino Linotype" w:cs="Palatino Linotype"/>
          <w:b/>
        </w:rPr>
        <w:t>b)</w:t>
      </w:r>
      <w:r w:rsidR="00020F63" w:rsidRPr="00F137E5">
        <w:rPr>
          <w:rFonts w:ascii="Palatino Linotype" w:eastAsia="Palatino Linotype" w:hAnsi="Palatino Linotype" w:cs="Palatino Linotype"/>
        </w:rPr>
        <w:t xml:space="preserve">, </w:t>
      </w:r>
      <w:r w:rsidRPr="00F137E5">
        <w:rPr>
          <w:rFonts w:ascii="Palatino Linotype" w:eastAsia="Palatino Linotype" w:hAnsi="Palatino Linotype" w:cs="Palatino Linotype"/>
          <w:b/>
        </w:rPr>
        <w:t>c)</w:t>
      </w:r>
      <w:r w:rsidRPr="00F137E5">
        <w:rPr>
          <w:rFonts w:ascii="Palatino Linotype" w:eastAsia="Palatino Linotype" w:hAnsi="Palatino Linotype" w:cs="Palatino Linotype"/>
        </w:rPr>
        <w:t xml:space="preserve"> y </w:t>
      </w:r>
      <w:r w:rsidRPr="00F137E5">
        <w:rPr>
          <w:rFonts w:ascii="Palatino Linotype" w:eastAsia="Palatino Linotype" w:hAnsi="Palatino Linotype" w:cs="Palatino Linotype"/>
          <w:b/>
        </w:rPr>
        <w:t>f)</w:t>
      </w:r>
      <w:r w:rsidRPr="00F137E5">
        <w:rPr>
          <w:rFonts w:ascii="Palatino Linotype" w:eastAsia="Palatino Linotype" w:hAnsi="Palatino Linotype" w:cs="Palatino Linotype"/>
        </w:rPr>
        <w:t xml:space="preserve"> en su parte relativa a bonificaciones, e inciso</w:t>
      </w:r>
      <w:r w:rsidRPr="00F137E5">
        <w:rPr>
          <w:rFonts w:ascii="Palatino Linotype" w:eastAsia="Palatino Linotype" w:hAnsi="Palatino Linotype" w:cs="Palatino Linotype"/>
          <w:b/>
        </w:rPr>
        <w:t xml:space="preserve"> h)</w:t>
      </w:r>
      <w:r w:rsidRPr="00F137E5">
        <w:rPr>
          <w:rFonts w:ascii="Palatino Linotype" w:eastAsia="Palatino Linotype" w:hAnsi="Palatino Linotype" w:cs="Palatino Linotype"/>
        </w:rPr>
        <w:t xml:space="preserve">, bastará que lo haga del conocimiento del </w:t>
      </w:r>
      <w:r w:rsidRPr="00F137E5">
        <w:rPr>
          <w:rFonts w:ascii="Palatino Linotype" w:eastAsia="Palatino Linotype" w:hAnsi="Palatino Linotype" w:cs="Palatino Linotype"/>
          <w:b/>
        </w:rPr>
        <w:t>RECURRENTE</w:t>
      </w:r>
      <w:r w:rsidRPr="00F137E5">
        <w:rPr>
          <w:rFonts w:ascii="Palatino Linotype" w:eastAsia="Palatino Linotype" w:hAnsi="Palatino Linotype" w:cs="Palatino Linotype"/>
        </w:rPr>
        <w:t xml:space="preserve"> al momento de dar cumplimiento a la presente Resolución en términos del artículo 19 segundo párrafo de la Ley de Transparencia y Acceso a la Información Pública del Estado de México y Municipios.</w:t>
      </w:r>
    </w:p>
    <w:p w:rsidR="008C7D5C" w:rsidRPr="00F137E5" w:rsidRDefault="008C7D5C">
      <w:pPr>
        <w:spacing w:line="360" w:lineRule="auto"/>
        <w:ind w:right="-592"/>
        <w:jc w:val="both"/>
        <w:rPr>
          <w:rFonts w:ascii="Palatino Linotype" w:eastAsia="Palatino Linotype" w:hAnsi="Palatino Linotype" w:cs="Palatino Linotype"/>
        </w:rPr>
      </w:pPr>
    </w:p>
    <w:p w:rsidR="008C7D5C" w:rsidRPr="00F137E5" w:rsidRDefault="00074B8B">
      <w:pPr>
        <w:tabs>
          <w:tab w:val="left" w:pos="8080"/>
        </w:tabs>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TERCERO. Notifíquese </w:t>
      </w:r>
      <w:r w:rsidRPr="00F137E5">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w:t>
      </w:r>
      <w:r w:rsidRPr="00F137E5">
        <w:rPr>
          <w:rFonts w:ascii="Palatino Linotype" w:eastAsia="Palatino Linotype" w:hAnsi="Palatino Linotype" w:cs="Palatino Linotype"/>
        </w:rPr>
        <w:lastRenderedPageBreak/>
        <w:t>segundo párrafo y 194 de la Ley de Transparencia y Acceso a la Información Pública del Estado de México y Municipios</w:t>
      </w:r>
      <w:r w:rsidRPr="00F137E5">
        <w:rPr>
          <w:rFonts w:ascii="Palatino Linotype" w:eastAsia="Palatino Linotype" w:hAnsi="Palatino Linotype" w:cs="Palatino Linotype"/>
          <w:b/>
        </w:rPr>
        <w:t xml:space="preserve"> dé cumplimiento a lo ordenado dentro del plazo de diez días hábiles,</w:t>
      </w:r>
      <w:r w:rsidRPr="00F137E5">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68337E" w:rsidRPr="00F137E5" w:rsidRDefault="0068337E">
      <w:pPr>
        <w:tabs>
          <w:tab w:val="left" w:pos="8080"/>
        </w:tabs>
        <w:spacing w:line="360" w:lineRule="auto"/>
        <w:ind w:right="-592"/>
        <w:jc w:val="both"/>
        <w:rPr>
          <w:rFonts w:ascii="Palatino Linotype" w:eastAsia="Palatino Linotype" w:hAnsi="Palatino Linotype" w:cs="Palatino Linotype"/>
        </w:rPr>
      </w:pPr>
    </w:p>
    <w:p w:rsidR="008C7D5C" w:rsidRPr="00F137E5" w:rsidRDefault="00074B8B">
      <w:pPr>
        <w:shd w:val="clear" w:color="auto" w:fill="FFFFFF"/>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CUARTO. Notifíquese al RECURRENTE</w:t>
      </w:r>
      <w:r w:rsidRPr="00F137E5">
        <w:rPr>
          <w:rFonts w:ascii="Palatino Linotype" w:eastAsia="Palatino Linotype" w:hAnsi="Palatino Linotype" w:cs="Palatino Linotype"/>
        </w:rPr>
        <w:t xml:space="preserve"> la presente resolución vía SAIMEX.</w:t>
      </w:r>
    </w:p>
    <w:p w:rsidR="0068337E" w:rsidRPr="00F137E5" w:rsidRDefault="0068337E">
      <w:pPr>
        <w:shd w:val="clear" w:color="auto" w:fill="FFFFFF"/>
        <w:spacing w:line="360" w:lineRule="auto"/>
        <w:ind w:right="-592"/>
        <w:jc w:val="both"/>
        <w:rPr>
          <w:rFonts w:ascii="Palatino Linotype" w:eastAsia="Palatino Linotype" w:hAnsi="Palatino Linotype" w:cs="Palatino Linotype"/>
        </w:rPr>
      </w:pPr>
    </w:p>
    <w:p w:rsidR="0068337E" w:rsidRPr="00F137E5" w:rsidRDefault="0068337E" w:rsidP="0068337E">
      <w:pPr>
        <w:spacing w:line="360" w:lineRule="auto"/>
        <w:ind w:right="-1071"/>
        <w:jc w:val="both"/>
        <w:rPr>
          <w:rFonts w:ascii="Palatino Linotype" w:eastAsia="Palatino Linotype" w:hAnsi="Palatino Linotype" w:cs="Palatino Linotype"/>
        </w:rPr>
      </w:pPr>
      <w:r w:rsidRPr="00F137E5">
        <w:rPr>
          <w:rFonts w:ascii="Palatino Linotype" w:eastAsia="Palatino Linotype" w:hAnsi="Palatino Linotype" w:cs="Palatino Linotype"/>
          <w:b/>
        </w:rPr>
        <w:t xml:space="preserve">QUINTO. </w:t>
      </w:r>
      <w:r w:rsidRPr="00F137E5">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F137E5">
        <w:rPr>
          <w:rFonts w:ascii="Palatino Linotype" w:eastAsia="Palatino Linotype" w:hAnsi="Palatino Linotype" w:cs="Palatino Linotype"/>
          <w:b/>
        </w:rPr>
        <w:t>SUJETO OBLIGADO</w:t>
      </w:r>
      <w:r w:rsidRPr="00F137E5">
        <w:rPr>
          <w:rFonts w:ascii="Palatino Linotype" w:eastAsia="Palatino Linotype" w:hAnsi="Palatino Linotype" w:cs="Palatino Linotype"/>
        </w:rPr>
        <w:t xml:space="preserve"> de manera fundada y motivada, podrá solicitar una ampliación de plazo para el cumplimiento de la presente resolución.</w:t>
      </w:r>
    </w:p>
    <w:p w:rsidR="008C7D5C" w:rsidRPr="00F137E5" w:rsidRDefault="008C7D5C">
      <w:pPr>
        <w:shd w:val="clear" w:color="auto" w:fill="FFFFFF"/>
        <w:spacing w:line="360" w:lineRule="auto"/>
        <w:ind w:right="-592"/>
        <w:jc w:val="both"/>
        <w:rPr>
          <w:rFonts w:ascii="Palatino Linotype" w:eastAsia="Palatino Linotype" w:hAnsi="Palatino Linotype" w:cs="Palatino Linotype"/>
          <w:b/>
          <w:color w:val="FF0000"/>
        </w:rPr>
      </w:pPr>
    </w:p>
    <w:p w:rsidR="008C7D5C" w:rsidRPr="00F137E5" w:rsidRDefault="0068337E">
      <w:pPr>
        <w:spacing w:line="360" w:lineRule="auto"/>
        <w:ind w:right="-592"/>
        <w:jc w:val="both"/>
        <w:rPr>
          <w:rFonts w:ascii="Palatino Linotype" w:eastAsia="Palatino Linotype" w:hAnsi="Palatino Linotype" w:cs="Palatino Linotype"/>
        </w:rPr>
      </w:pPr>
      <w:r w:rsidRPr="00F137E5">
        <w:rPr>
          <w:rFonts w:ascii="Palatino Linotype" w:eastAsia="Palatino Linotype" w:hAnsi="Palatino Linotype" w:cs="Palatino Linotype"/>
          <w:b/>
        </w:rPr>
        <w:t>SEXTO</w:t>
      </w:r>
      <w:r w:rsidR="00074B8B" w:rsidRPr="00F137E5">
        <w:rPr>
          <w:rFonts w:ascii="Palatino Linotype" w:eastAsia="Palatino Linotype" w:hAnsi="Palatino Linotype" w:cs="Palatino Linotype"/>
          <w:b/>
        </w:rPr>
        <w:t>.</w:t>
      </w:r>
      <w:r w:rsidR="00074B8B" w:rsidRPr="00F137E5">
        <w:rPr>
          <w:rFonts w:ascii="Palatino Linotype" w:eastAsia="Palatino Linotype" w:hAnsi="Palatino Linotype" w:cs="Palatino Linotype"/>
        </w:rPr>
        <w:t xml:space="preserve"> Se hace del conocimiento del </w:t>
      </w:r>
      <w:r w:rsidR="00074B8B" w:rsidRPr="00F137E5">
        <w:rPr>
          <w:rFonts w:ascii="Palatino Linotype" w:eastAsia="Palatino Linotype" w:hAnsi="Palatino Linotype" w:cs="Palatino Linotype"/>
          <w:b/>
        </w:rPr>
        <w:t>RECURRENTE</w:t>
      </w:r>
      <w:r w:rsidR="00074B8B" w:rsidRPr="00F137E5">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8C7D5C" w:rsidRPr="00F137E5" w:rsidRDefault="008C7D5C">
      <w:pPr>
        <w:shd w:val="clear" w:color="auto" w:fill="FFFFFF"/>
        <w:spacing w:line="360" w:lineRule="auto"/>
        <w:ind w:right="-592"/>
        <w:jc w:val="both"/>
        <w:rPr>
          <w:rFonts w:ascii="Palatino Linotype" w:eastAsia="Palatino Linotype" w:hAnsi="Palatino Linotype" w:cs="Palatino Linotype"/>
        </w:rPr>
      </w:pPr>
    </w:p>
    <w:p w:rsidR="0068337E" w:rsidRPr="00196085" w:rsidRDefault="0068337E" w:rsidP="00196085">
      <w:pPr>
        <w:widowControl w:val="0"/>
        <w:autoSpaceDE w:val="0"/>
        <w:autoSpaceDN w:val="0"/>
        <w:adjustRightInd w:val="0"/>
        <w:spacing w:after="200" w:line="276" w:lineRule="auto"/>
        <w:ind w:left="-142" w:right="-234"/>
        <w:jc w:val="both"/>
        <w:rPr>
          <w:rFonts w:ascii="Palatino Linotype" w:hAnsi="Palatino Linotype" w:cs="Calibri"/>
        </w:rPr>
      </w:pPr>
      <w:r w:rsidRPr="00F137E5">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F137E5">
        <w:rPr>
          <w:rFonts w:ascii="Palatino Linotype" w:hAnsi="Palatino Linotype"/>
        </w:rPr>
        <w:lastRenderedPageBreak/>
        <w:t>AYALA</w:t>
      </w:r>
      <w:r w:rsidR="00196085" w:rsidRPr="00F137E5">
        <w:rPr>
          <w:rFonts w:ascii="Palatino Linotype" w:hAnsi="Palatino Linotype"/>
        </w:rPr>
        <w:t xml:space="preserve"> </w:t>
      </w:r>
      <w:r w:rsidR="00196085" w:rsidRPr="00F137E5">
        <w:rPr>
          <w:rFonts w:ascii="Palatino Linotype" w:hAnsi="Palatino Linotype" w:cs="Calibri"/>
        </w:rPr>
        <w:t>EMITIENDO VOTO PARTICULAR</w:t>
      </w:r>
      <w:r w:rsidRPr="00F137E5">
        <w:rPr>
          <w:rFonts w:ascii="Palatino Linotype" w:hAnsi="Palatino Linotype"/>
        </w:rPr>
        <w:t xml:space="preserve">; SHARON CRISTINA MORALES MARTÍNEZ; LUIS GUSTAVO PARRA NORIEGA </w:t>
      </w:r>
      <w:r w:rsidR="00196085" w:rsidRPr="00F137E5">
        <w:rPr>
          <w:rFonts w:ascii="Palatino Linotype" w:hAnsi="Palatino Linotype" w:cs="Calibri"/>
        </w:rPr>
        <w:t>EMITIENDO VOTO PARTICULAR</w:t>
      </w:r>
      <w:r w:rsidR="00196085" w:rsidRPr="00F137E5">
        <w:rPr>
          <w:rFonts w:ascii="Palatino Linotype" w:hAnsi="Palatino Linotype"/>
        </w:rPr>
        <w:t xml:space="preserve"> </w:t>
      </w:r>
      <w:r w:rsidRPr="00F137E5">
        <w:rPr>
          <w:rFonts w:ascii="Palatino Linotype" w:hAnsi="Palatino Linotype"/>
        </w:rPr>
        <w:t>Y GUADALUPE RAMÍREZ PEÑA</w:t>
      </w:r>
      <w:r w:rsidR="00196085" w:rsidRPr="00F137E5">
        <w:rPr>
          <w:rFonts w:ascii="Palatino Linotype" w:hAnsi="Palatino Linotype"/>
        </w:rPr>
        <w:t xml:space="preserve"> </w:t>
      </w:r>
      <w:r w:rsidR="00196085" w:rsidRPr="00F137E5">
        <w:rPr>
          <w:rFonts w:ascii="Palatino Linotype" w:hAnsi="Palatino Linotype" w:cs="Calibri"/>
        </w:rPr>
        <w:t>EMITIENDO VOTO PARTICULAR</w:t>
      </w:r>
      <w:r w:rsidRPr="00F137E5">
        <w:rPr>
          <w:rFonts w:ascii="Palatino Linotype" w:hAnsi="Palatino Linotype"/>
        </w:rPr>
        <w:t>; EN LA OCTAVA SESIÓN ORDINARIA CELEBRADA EL SEIS (06) DE MARZO DE DOS MIL VEINTICINCO, ANTE EL SECRETARIO TÉCNICO DEL PLENO ALEXIS TAPIA RAMÍREZ.</w:t>
      </w:r>
      <w:r w:rsidRPr="003C7186">
        <w:rPr>
          <w:rFonts w:ascii="Palatino Linotype" w:hAnsi="Palatino Linotype"/>
        </w:rPr>
        <w:t xml:space="preserve"> </w:t>
      </w:r>
    </w:p>
    <w:p w:rsidR="008C7D5C" w:rsidRDefault="008C7D5C">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Default="00F137E5">
      <w:pPr>
        <w:ind w:right="-592"/>
        <w:rPr>
          <w:rFonts w:ascii="Palatino Linotype" w:eastAsia="Palatino Linotype" w:hAnsi="Palatino Linotype" w:cs="Palatino Linotype"/>
        </w:rPr>
      </w:pPr>
    </w:p>
    <w:p w:rsidR="00F137E5" w:rsidRPr="007C21C9" w:rsidRDefault="00F137E5">
      <w:pPr>
        <w:ind w:right="-592"/>
        <w:rPr>
          <w:rFonts w:ascii="Palatino Linotype" w:eastAsia="Palatino Linotype" w:hAnsi="Palatino Linotype" w:cs="Palatino Linotype"/>
        </w:rPr>
      </w:pPr>
    </w:p>
    <w:sectPr w:rsidR="00F137E5" w:rsidRPr="007C21C9">
      <w:headerReference w:type="even" r:id="rId33"/>
      <w:headerReference w:type="default" r:id="rId34"/>
      <w:footerReference w:type="default" r:id="rId35"/>
      <w:headerReference w:type="first" r:id="rId36"/>
      <w:footerReference w:type="first" r:id="rId37"/>
      <w:pgSz w:w="12240" w:h="15840"/>
      <w:pgMar w:top="80" w:right="1608" w:bottom="1843"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7D3" w:rsidRDefault="000C47D3">
      <w:r>
        <w:separator/>
      </w:r>
    </w:p>
  </w:endnote>
  <w:endnote w:type="continuationSeparator" w:id="0">
    <w:p w:rsidR="000C47D3" w:rsidRDefault="000C4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6E9" w:rsidRDefault="000F76E9">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5E654A">
      <w:rPr>
        <w:b/>
        <w:noProof/>
        <w:color w:val="000000"/>
      </w:rPr>
      <w:t>92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5E654A">
      <w:rPr>
        <w:b/>
        <w:noProof/>
        <w:color w:val="000000"/>
      </w:rPr>
      <w:t>92</w:t>
    </w:r>
    <w:r>
      <w:rPr>
        <w:b/>
        <w:color w:val="000000"/>
      </w:rPr>
      <w:fldChar w:fldCharType="end"/>
    </w:r>
  </w:p>
  <w:p w:rsidR="000F76E9" w:rsidRDefault="000F76E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6E9" w:rsidRDefault="000F76E9">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5E654A">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5E654A">
      <w:rPr>
        <w:b/>
        <w:noProof/>
        <w:color w:val="000000"/>
      </w:rPr>
      <w:t>92</w:t>
    </w:r>
    <w:r>
      <w:rPr>
        <w:b/>
        <w:color w:val="000000"/>
      </w:rPr>
      <w:fldChar w:fldCharType="end"/>
    </w:r>
  </w:p>
  <w:p w:rsidR="000F76E9" w:rsidRDefault="000F76E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7D3" w:rsidRDefault="000C47D3">
      <w:r>
        <w:separator/>
      </w:r>
    </w:p>
  </w:footnote>
  <w:footnote w:type="continuationSeparator" w:id="0">
    <w:p w:rsidR="000C47D3" w:rsidRDefault="000C47D3">
      <w:r>
        <w:continuationSeparator/>
      </w:r>
    </w:p>
  </w:footnote>
  <w:footnote w:id="1">
    <w:p w:rsidR="000F76E9" w:rsidRDefault="000F76E9">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hyperlink r:id="rId1">
        <w:r>
          <w:rPr>
            <w:rFonts w:ascii="Palatino Linotype" w:eastAsia="Palatino Linotype" w:hAnsi="Palatino Linotype" w:cs="Palatino Linotype"/>
            <w:color w:val="0563C1"/>
            <w:sz w:val="16"/>
            <w:szCs w:val="16"/>
            <w:u w:val="single"/>
          </w:rPr>
          <w:t>https://legislacion.edomex.gob.mx/sites/legislacion.edomex.gob.mx/files/files/pdf/gct/2024/marzo/mar201/mar201a.pdf</w:t>
        </w:r>
      </w:hyperlink>
      <w:r>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6E9" w:rsidRDefault="000C47D3">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89.8pt;height:768pt;z-index:-251657728;mso-position-horizontal:center;mso-position-horizontal-relative:margin;mso-position-vertical:center;mso-position-vertical-relative:margin">
          <v:imagedata r:id="rId1" o:title="image2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6E9" w:rsidRDefault="000F76E9">
    <w:pPr>
      <w:widowControl w:val="0"/>
      <w:pBdr>
        <w:top w:val="nil"/>
        <w:left w:val="nil"/>
        <w:bottom w:val="nil"/>
        <w:right w:val="nil"/>
        <w:between w:val="nil"/>
      </w:pBdr>
      <w:spacing w:line="276" w:lineRule="auto"/>
      <w:rPr>
        <w:color w:val="000000"/>
      </w:rPr>
    </w:pPr>
  </w:p>
  <w:tbl>
    <w:tblPr>
      <w:tblStyle w:val="a0"/>
      <w:tblW w:w="9214" w:type="dxa"/>
      <w:tblInd w:w="0" w:type="dxa"/>
      <w:tblLayout w:type="fixed"/>
      <w:tblLook w:val="0400" w:firstRow="0" w:lastRow="0" w:firstColumn="0" w:lastColumn="0" w:noHBand="0" w:noVBand="1"/>
    </w:tblPr>
    <w:tblGrid>
      <w:gridCol w:w="2268"/>
      <w:gridCol w:w="6946"/>
    </w:tblGrid>
    <w:tr w:rsidR="000F76E9">
      <w:trPr>
        <w:trHeight w:val="1435"/>
      </w:trPr>
      <w:tc>
        <w:tcPr>
          <w:tcW w:w="2268" w:type="dxa"/>
          <w:shd w:val="clear" w:color="auto" w:fill="auto"/>
        </w:tcPr>
        <w:p w:rsidR="000F76E9" w:rsidRDefault="000F76E9">
          <w:pPr>
            <w:tabs>
              <w:tab w:val="right" w:pos="4273"/>
            </w:tabs>
            <w:rPr>
              <w:rFonts w:ascii="Garamond" w:eastAsia="Garamond" w:hAnsi="Garamond" w:cs="Garamond"/>
              <w:sz w:val="16"/>
              <w:szCs w:val="16"/>
            </w:rPr>
          </w:pPr>
        </w:p>
      </w:tc>
      <w:tc>
        <w:tcPr>
          <w:tcW w:w="6946" w:type="dxa"/>
          <w:shd w:val="clear" w:color="auto" w:fill="auto"/>
        </w:tcPr>
        <w:p w:rsidR="000F76E9" w:rsidRDefault="000F76E9"/>
        <w:tbl>
          <w:tblPr>
            <w:tblStyle w:val="a1"/>
            <w:tblW w:w="6662" w:type="dxa"/>
            <w:tblInd w:w="40" w:type="dxa"/>
            <w:tblLayout w:type="fixed"/>
            <w:tblLook w:val="0400" w:firstRow="0" w:lastRow="0" w:firstColumn="0" w:lastColumn="0" w:noHBand="0" w:noVBand="1"/>
          </w:tblPr>
          <w:tblGrid>
            <w:gridCol w:w="2551"/>
            <w:gridCol w:w="4111"/>
          </w:tblGrid>
          <w:tr w:rsidR="000F76E9">
            <w:trPr>
              <w:trHeight w:val="150"/>
            </w:trPr>
            <w:tc>
              <w:tcPr>
                <w:tcW w:w="2551" w:type="dxa"/>
                <w:shd w:val="clear" w:color="auto" w:fill="auto"/>
              </w:tcPr>
              <w:p w:rsidR="000F76E9" w:rsidRDefault="000F76E9">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tcPr>
              <w:p w:rsidR="000F76E9" w:rsidRDefault="000F76E9">
                <w:pPr>
                  <w:tabs>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01713/INFOEM/IP/RR/2024</w:t>
                </w:r>
              </w:p>
            </w:tc>
          </w:tr>
          <w:tr w:rsidR="000F76E9">
            <w:trPr>
              <w:trHeight w:val="295"/>
            </w:trPr>
            <w:tc>
              <w:tcPr>
                <w:tcW w:w="2551" w:type="dxa"/>
                <w:shd w:val="clear" w:color="auto" w:fill="auto"/>
              </w:tcPr>
              <w:p w:rsidR="000F76E9" w:rsidRDefault="000F76E9">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tcPr>
              <w:p w:rsidR="000F76E9" w:rsidRDefault="000F76E9">
                <w:pPr>
                  <w:tabs>
                    <w:tab w:val="left" w:pos="2834"/>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Villa del Carbón</w:t>
                </w:r>
              </w:p>
            </w:tc>
          </w:tr>
          <w:tr w:rsidR="000F76E9">
            <w:trPr>
              <w:trHeight w:val="295"/>
            </w:trPr>
            <w:tc>
              <w:tcPr>
                <w:tcW w:w="2551" w:type="dxa"/>
                <w:shd w:val="clear" w:color="auto" w:fill="auto"/>
              </w:tcPr>
              <w:p w:rsidR="000F76E9" w:rsidRDefault="000F76E9">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tcPr>
              <w:p w:rsidR="000F76E9" w:rsidRDefault="000F76E9">
                <w:pPr>
                  <w:tabs>
                    <w:tab w:val="right" w:pos="8838"/>
                  </w:tabs>
                  <w:ind w:left="-10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0F76E9" w:rsidRDefault="000F76E9">
                <w:pPr>
                  <w:tabs>
                    <w:tab w:val="right" w:pos="8838"/>
                  </w:tabs>
                  <w:ind w:left="-108" w:right="171"/>
                  <w:jc w:val="both"/>
                  <w:rPr>
                    <w:rFonts w:ascii="Palatino Linotype" w:eastAsia="Palatino Linotype" w:hAnsi="Palatino Linotype" w:cs="Palatino Linotype"/>
                    <w:b/>
                    <w:sz w:val="22"/>
                    <w:szCs w:val="22"/>
                  </w:rPr>
                </w:pPr>
              </w:p>
            </w:tc>
          </w:tr>
        </w:tbl>
        <w:p w:rsidR="000F76E9" w:rsidRDefault="000F76E9">
          <w:pPr>
            <w:tabs>
              <w:tab w:val="right" w:pos="8838"/>
            </w:tabs>
            <w:ind w:left="-28"/>
            <w:jc w:val="both"/>
            <w:rPr>
              <w:rFonts w:ascii="Arial" w:eastAsia="Arial" w:hAnsi="Arial" w:cs="Arial"/>
              <w:b/>
              <w:sz w:val="22"/>
              <w:szCs w:val="22"/>
            </w:rPr>
          </w:pPr>
        </w:p>
      </w:tc>
    </w:tr>
  </w:tbl>
  <w:p w:rsidR="000F76E9" w:rsidRDefault="000C47D3">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29"/>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6E9" w:rsidRDefault="000F76E9">
    <w:pPr>
      <w:widowControl w:val="0"/>
      <w:pBdr>
        <w:top w:val="nil"/>
        <w:left w:val="nil"/>
        <w:bottom w:val="nil"/>
        <w:right w:val="nil"/>
        <w:between w:val="nil"/>
      </w:pBdr>
      <w:spacing w:line="276" w:lineRule="auto"/>
      <w:rPr>
        <w:color w:val="000000"/>
        <w:sz w:val="14"/>
        <w:szCs w:val="14"/>
      </w:rPr>
    </w:pPr>
  </w:p>
  <w:tbl>
    <w:tblPr>
      <w:tblStyle w:val="a2"/>
      <w:tblW w:w="9072" w:type="dxa"/>
      <w:tblInd w:w="0" w:type="dxa"/>
      <w:tblLayout w:type="fixed"/>
      <w:tblLook w:val="0400" w:firstRow="0" w:lastRow="0" w:firstColumn="0" w:lastColumn="0" w:noHBand="0" w:noVBand="1"/>
    </w:tblPr>
    <w:tblGrid>
      <w:gridCol w:w="2268"/>
      <w:gridCol w:w="6804"/>
    </w:tblGrid>
    <w:tr w:rsidR="000F76E9">
      <w:trPr>
        <w:trHeight w:val="1435"/>
      </w:trPr>
      <w:tc>
        <w:tcPr>
          <w:tcW w:w="2268" w:type="dxa"/>
          <w:shd w:val="clear" w:color="auto" w:fill="auto"/>
        </w:tcPr>
        <w:p w:rsidR="000F76E9" w:rsidRDefault="000F76E9">
          <w:pPr>
            <w:tabs>
              <w:tab w:val="right" w:pos="4273"/>
            </w:tabs>
            <w:rPr>
              <w:rFonts w:ascii="Garamond" w:eastAsia="Garamond" w:hAnsi="Garamond" w:cs="Garamond"/>
              <w:sz w:val="22"/>
              <w:szCs w:val="22"/>
            </w:rPr>
          </w:pPr>
        </w:p>
      </w:tc>
      <w:tc>
        <w:tcPr>
          <w:tcW w:w="6804" w:type="dxa"/>
          <w:shd w:val="clear" w:color="auto" w:fill="auto"/>
        </w:tcPr>
        <w:p w:rsidR="000F76E9" w:rsidRDefault="000F76E9">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3"/>
            <w:tblW w:w="6662" w:type="dxa"/>
            <w:tblInd w:w="40" w:type="dxa"/>
            <w:tblLayout w:type="fixed"/>
            <w:tblLook w:val="0400" w:firstRow="0" w:lastRow="0" w:firstColumn="0" w:lastColumn="0" w:noHBand="0" w:noVBand="1"/>
          </w:tblPr>
          <w:tblGrid>
            <w:gridCol w:w="2444"/>
            <w:gridCol w:w="4218"/>
          </w:tblGrid>
          <w:tr w:rsidR="000F76E9">
            <w:trPr>
              <w:trHeight w:val="144"/>
            </w:trPr>
            <w:tc>
              <w:tcPr>
                <w:tcW w:w="2444" w:type="dxa"/>
                <w:shd w:val="clear" w:color="auto" w:fill="auto"/>
              </w:tcPr>
              <w:p w:rsidR="000F76E9" w:rsidRDefault="000F76E9">
                <w:pPr>
                  <w:tabs>
                    <w:tab w:val="right" w:pos="8838"/>
                  </w:tabs>
                  <w:ind w:left="-264" w:right="-105" w:firstLine="19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18" w:type="dxa"/>
                <w:shd w:val="clear" w:color="auto" w:fill="auto"/>
              </w:tcPr>
              <w:p w:rsidR="000F76E9" w:rsidRDefault="000F76E9">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01713/INFOEM/IP/RR/2024</w:t>
                </w:r>
              </w:p>
            </w:tc>
          </w:tr>
          <w:tr w:rsidR="000F76E9">
            <w:trPr>
              <w:trHeight w:val="144"/>
            </w:trPr>
            <w:tc>
              <w:tcPr>
                <w:tcW w:w="2444" w:type="dxa"/>
                <w:shd w:val="clear" w:color="auto" w:fill="auto"/>
              </w:tcPr>
              <w:p w:rsidR="000F76E9" w:rsidRDefault="000F76E9">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18" w:type="dxa"/>
                <w:shd w:val="clear" w:color="auto" w:fill="auto"/>
              </w:tcPr>
              <w:p w:rsidR="000F76E9" w:rsidRDefault="000F76E9">
                <w:pPr>
                  <w:tabs>
                    <w:tab w:val="left" w:pos="3122"/>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XXXX</w:t>
                </w:r>
              </w:p>
            </w:tc>
          </w:tr>
          <w:tr w:rsidR="000F76E9">
            <w:trPr>
              <w:trHeight w:val="283"/>
            </w:trPr>
            <w:tc>
              <w:tcPr>
                <w:tcW w:w="2444" w:type="dxa"/>
                <w:shd w:val="clear" w:color="auto" w:fill="auto"/>
              </w:tcPr>
              <w:p w:rsidR="000F76E9" w:rsidRDefault="000F76E9">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18" w:type="dxa"/>
                <w:shd w:val="clear" w:color="auto" w:fill="auto"/>
              </w:tcPr>
              <w:p w:rsidR="000F76E9" w:rsidRDefault="000F76E9">
                <w:pPr>
                  <w:tabs>
                    <w:tab w:val="left" w:pos="2834"/>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Villa del Carbón</w:t>
                </w:r>
              </w:p>
            </w:tc>
          </w:tr>
          <w:tr w:rsidR="000F76E9">
            <w:trPr>
              <w:trHeight w:val="283"/>
            </w:trPr>
            <w:tc>
              <w:tcPr>
                <w:tcW w:w="2444" w:type="dxa"/>
                <w:shd w:val="clear" w:color="auto" w:fill="auto"/>
              </w:tcPr>
              <w:p w:rsidR="000F76E9" w:rsidRDefault="000F76E9">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18" w:type="dxa"/>
                <w:shd w:val="clear" w:color="auto" w:fill="auto"/>
              </w:tcPr>
              <w:p w:rsidR="000F76E9" w:rsidRDefault="000F76E9">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0F76E9" w:rsidRDefault="000F76E9">
                <w:pPr>
                  <w:tabs>
                    <w:tab w:val="right" w:pos="8838"/>
                  </w:tabs>
                  <w:ind w:left="-74" w:right="-105"/>
                  <w:jc w:val="both"/>
                  <w:rPr>
                    <w:rFonts w:ascii="Palatino Linotype" w:eastAsia="Palatino Linotype" w:hAnsi="Palatino Linotype" w:cs="Palatino Linotype"/>
                    <w:sz w:val="22"/>
                    <w:szCs w:val="22"/>
                  </w:rPr>
                </w:pPr>
              </w:p>
            </w:tc>
          </w:tr>
        </w:tbl>
        <w:p w:rsidR="000F76E9" w:rsidRDefault="000F76E9">
          <w:pPr>
            <w:tabs>
              <w:tab w:val="right" w:pos="8838"/>
            </w:tabs>
            <w:ind w:left="-28"/>
            <w:jc w:val="both"/>
            <w:rPr>
              <w:rFonts w:ascii="Arial" w:eastAsia="Arial" w:hAnsi="Arial" w:cs="Arial"/>
              <w:b/>
              <w:sz w:val="22"/>
              <w:szCs w:val="22"/>
            </w:rPr>
          </w:pPr>
        </w:p>
      </w:tc>
    </w:tr>
  </w:tbl>
  <w:p w:rsidR="000F76E9" w:rsidRDefault="000C47D3">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2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B1CE7"/>
    <w:multiLevelType w:val="multilevel"/>
    <w:tmpl w:val="E5E2D018"/>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CCC1673"/>
    <w:multiLevelType w:val="multilevel"/>
    <w:tmpl w:val="E72AC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0B06F6"/>
    <w:multiLevelType w:val="multilevel"/>
    <w:tmpl w:val="52FA9B84"/>
    <w:lvl w:ilvl="0">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BB55D81"/>
    <w:multiLevelType w:val="multilevel"/>
    <w:tmpl w:val="F6000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88681B"/>
    <w:multiLevelType w:val="multilevel"/>
    <w:tmpl w:val="3330213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46CF2CAF"/>
    <w:multiLevelType w:val="multilevel"/>
    <w:tmpl w:val="EE6EA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35031F0"/>
    <w:multiLevelType w:val="multilevel"/>
    <w:tmpl w:val="1E168216"/>
    <w:lvl w:ilvl="0">
      <w:numFmt w:val="bullet"/>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7" w15:restartNumberingAfterBreak="0">
    <w:nsid w:val="64B259CD"/>
    <w:multiLevelType w:val="multilevel"/>
    <w:tmpl w:val="CA9C819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355C94"/>
    <w:multiLevelType w:val="multilevel"/>
    <w:tmpl w:val="E3FCCBA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30B346A"/>
    <w:multiLevelType w:val="multilevel"/>
    <w:tmpl w:val="2DE40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0"/>
  </w:num>
  <w:num w:numId="3">
    <w:abstractNumId w:val="6"/>
  </w:num>
  <w:num w:numId="4">
    <w:abstractNumId w:val="9"/>
  </w:num>
  <w:num w:numId="5">
    <w:abstractNumId w:val="2"/>
  </w:num>
  <w:num w:numId="6">
    <w:abstractNumId w:val="4"/>
  </w:num>
  <w:num w:numId="7">
    <w:abstractNumId w:val="5"/>
  </w:num>
  <w:num w:numId="8">
    <w:abstractNumId w:val="7"/>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D5C"/>
    <w:rsid w:val="00020F63"/>
    <w:rsid w:val="00034490"/>
    <w:rsid w:val="00074B8B"/>
    <w:rsid w:val="000C47D3"/>
    <w:rsid w:val="000F76E9"/>
    <w:rsid w:val="00196085"/>
    <w:rsid w:val="001E2EA7"/>
    <w:rsid w:val="00217650"/>
    <w:rsid w:val="003C591C"/>
    <w:rsid w:val="005005D2"/>
    <w:rsid w:val="005B3A06"/>
    <w:rsid w:val="005E654A"/>
    <w:rsid w:val="0068337E"/>
    <w:rsid w:val="00714DDD"/>
    <w:rsid w:val="007948D0"/>
    <w:rsid w:val="007A5D34"/>
    <w:rsid w:val="007A7F16"/>
    <w:rsid w:val="007C21C9"/>
    <w:rsid w:val="008649E6"/>
    <w:rsid w:val="008C7D5C"/>
    <w:rsid w:val="00B90247"/>
    <w:rsid w:val="00E836C1"/>
    <w:rsid w:val="00F137E5"/>
    <w:rsid w:val="00FC6E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EACA31A-D7F5-4862-B05C-2E29F1655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785"/>
  </w:style>
  <w:style w:type="paragraph" w:styleId="Ttulo1">
    <w:name w:val="heading 1"/>
    <w:basedOn w:val="Normal"/>
    <w:next w:val="Normal"/>
    <w:link w:val="Ttulo1Car"/>
    <w:uiPriority w:val="1"/>
    <w:qFormat/>
    <w:rsid w:val="00A5078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A50785"/>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1"/>
    <w:rsid w:val="00A50785"/>
    <w:rPr>
      <w:rFonts w:asciiTheme="majorHAnsi" w:eastAsiaTheme="majorEastAsia" w:hAnsiTheme="majorHAnsi" w:cstheme="majorBidi"/>
      <w:color w:val="2E74B5" w:themeColor="accent1" w:themeShade="BF"/>
      <w:sz w:val="32"/>
      <w:szCs w:val="32"/>
      <w:lang w:eastAsia="es-MX"/>
    </w:rPr>
  </w:style>
  <w:style w:type="character" w:customStyle="1" w:styleId="Ttulo3Car">
    <w:name w:val="Título 3 Car"/>
    <w:basedOn w:val="Fuentedeprrafopredeter"/>
    <w:link w:val="Ttulo3"/>
    <w:uiPriority w:val="9"/>
    <w:rsid w:val="00A50785"/>
    <w:rPr>
      <w:rFonts w:asciiTheme="majorHAnsi" w:eastAsiaTheme="majorEastAsia" w:hAnsiTheme="majorHAnsi" w:cstheme="majorBidi"/>
      <w:color w:val="1F4D78" w:themeColor="accent1" w:themeShade="7F"/>
      <w:sz w:val="24"/>
      <w:szCs w:val="24"/>
      <w:lang w:val="es-ES_tradnl" w:eastAsia="es-ES"/>
    </w:rPr>
  </w:style>
  <w:style w:type="paragraph" w:styleId="Encabezado">
    <w:name w:val="header"/>
    <w:basedOn w:val="Normal"/>
    <w:link w:val="EncabezadoCar"/>
    <w:uiPriority w:val="99"/>
    <w:unhideWhenUsed/>
    <w:rsid w:val="00A50785"/>
    <w:pPr>
      <w:tabs>
        <w:tab w:val="center" w:pos="4419"/>
        <w:tab w:val="right" w:pos="8838"/>
      </w:tabs>
    </w:pPr>
  </w:style>
  <w:style w:type="character" w:customStyle="1" w:styleId="EncabezadoCar">
    <w:name w:val="Encabezado Car"/>
    <w:basedOn w:val="Fuentedeprrafopredeter"/>
    <w:link w:val="Encabezado"/>
    <w:uiPriority w:val="99"/>
    <w:rsid w:val="00A5078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A50785"/>
    <w:pPr>
      <w:tabs>
        <w:tab w:val="center" w:pos="4419"/>
        <w:tab w:val="right" w:pos="8838"/>
      </w:tabs>
    </w:pPr>
  </w:style>
  <w:style w:type="character" w:customStyle="1" w:styleId="PiedepginaCar">
    <w:name w:val="Pie de página Car"/>
    <w:basedOn w:val="Fuentedeprrafopredeter"/>
    <w:link w:val="Piedepgina"/>
    <w:uiPriority w:val="99"/>
    <w:rsid w:val="00A5078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078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A5078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A50785"/>
    <w:rPr>
      <w:color w:val="0563C1"/>
      <w:u w:val="single"/>
    </w:rPr>
  </w:style>
  <w:style w:type="table" w:styleId="Tabladecuadrcula6concolores">
    <w:name w:val="Grid Table 6 Colorful"/>
    <w:basedOn w:val="Tablanormal"/>
    <w:uiPriority w:val="51"/>
    <w:rsid w:val="00A5078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5078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5078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A50785"/>
    <w:rPr>
      <w:vertAlign w:val="superscript"/>
    </w:rPr>
  </w:style>
  <w:style w:type="paragraph" w:styleId="NormalWeb">
    <w:name w:val="Normal (Web)"/>
    <w:basedOn w:val="Normal"/>
    <w:uiPriority w:val="99"/>
    <w:unhideWhenUsed/>
    <w:rsid w:val="00A50785"/>
    <w:pPr>
      <w:spacing w:before="100" w:beforeAutospacing="1" w:after="100" w:afterAutospacing="1"/>
    </w:pPr>
  </w:style>
  <w:style w:type="table" w:customStyle="1" w:styleId="Tablaconcuadrcula1">
    <w:name w:val="Tabla con cuadrícula1"/>
    <w:basedOn w:val="Tablanormal"/>
    <w:next w:val="Tablaconcuadrcula"/>
    <w:uiPriority w:val="59"/>
    <w:rsid w:val="00A50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A50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1349D0"/>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customStyle="1" w:styleId="PuestoCar">
    <w:name w:val="Puesto Car"/>
    <w:aliases w:val="Cita textual Car"/>
    <w:basedOn w:val="Fuentedeprrafopredeter"/>
    <w:link w:val="Puesto"/>
    <w:uiPriority w:val="10"/>
    <w:rsid w:val="007C21C9"/>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transparenciapresupuestaria.gob.mx/es/PTP/Glosario"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partados.hacienda.gob.mx/contabilidad/documentos/informe_cuenta/1998/cuenta_publica/Glosario/n.htm"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24/marzo/mar201/mar201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p0qKGjvEym+iu63dakds0EyGcw==">CgMxLjAyCGguZ2pkZ3hzMgloLjMwajB6bGwyCWguMWZvYjl0ZTIJaC4zem55c2g3MgloLjJldDkycDAyCGgudHlqY3d0MgloLjNkeTZ2a20yCWguNGQzNG9nODIJaC4yczhleW8xMgloLjE3ZHA4dnUyCWguM3JkY3JqbjIJaC4yNmluMXJnOAByITFRSXBxY0xlWlRsZDlMX3lRZEZrcWtxX3ZPXzRfNG9zVQ==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92</Pages>
  <Words>18638</Words>
  <Characters>102513</Characters>
  <Application>Microsoft Office Word</Application>
  <DocSecurity>0</DocSecurity>
  <Lines>854</Lines>
  <Paragraphs>241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120910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13</cp:revision>
  <cp:lastPrinted>2025-03-07T17:49:00Z</cp:lastPrinted>
  <dcterms:created xsi:type="dcterms:W3CDTF">2025-03-05T00:04:00Z</dcterms:created>
  <dcterms:modified xsi:type="dcterms:W3CDTF">2025-03-31T17:26:00Z</dcterms:modified>
</cp:coreProperties>
</file>