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AA6C3C" w14:textId="4E5E0C06" w:rsidR="00702D6B" w:rsidRDefault="00702D6B" w:rsidP="00702D6B">
      <w:pPr>
        <w:spacing w:before="240" w:line="360" w:lineRule="auto"/>
        <w:jc w:val="both"/>
        <w:rPr>
          <w:rFonts w:ascii="Palatino Linotype" w:eastAsia="Times New Roman" w:hAnsi="Palatino Linotype" w:cs="Arial"/>
          <w:color w:val="000000"/>
          <w:sz w:val="24"/>
          <w:szCs w:val="24"/>
          <w:lang w:eastAsia="es-MX"/>
        </w:rPr>
      </w:pPr>
      <w:bookmarkStart w:id="0" w:name="_Hlk58427858"/>
      <w:bookmarkEnd w:id="0"/>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513251">
        <w:rPr>
          <w:rFonts w:ascii="Palatino Linotype" w:eastAsia="Times New Roman" w:hAnsi="Palatino Linotype" w:cs="Arial"/>
          <w:color w:val="000000"/>
          <w:sz w:val="24"/>
          <w:szCs w:val="24"/>
          <w:lang w:eastAsia="es-MX"/>
        </w:rPr>
        <w:t xml:space="preserve">, a </w:t>
      </w:r>
      <w:r>
        <w:rPr>
          <w:rFonts w:ascii="Palatino Linotype" w:eastAsia="Times New Roman" w:hAnsi="Palatino Linotype" w:cs="Arial"/>
          <w:color w:val="000000"/>
          <w:sz w:val="24"/>
          <w:szCs w:val="24"/>
          <w:lang w:eastAsia="es-MX"/>
        </w:rPr>
        <w:t xml:space="preserve">treinta de abril de dos mil veinticinco.   </w:t>
      </w:r>
    </w:p>
    <w:p w14:paraId="6384E5E5" w14:textId="0BDEEA66" w:rsidR="00702D6B" w:rsidRPr="00702D6B" w:rsidRDefault="00702D6B" w:rsidP="00702D6B">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w:t>
      </w:r>
      <w:bookmarkStart w:id="1" w:name="_GoBack"/>
      <w:bookmarkEnd w:id="1"/>
      <w:r w:rsidRPr="00D336C5">
        <w:rPr>
          <w:rFonts w:ascii="Palatino Linotype" w:hAnsi="Palatino Linotype" w:cs="Arial"/>
          <w:sz w:val="24"/>
        </w:rPr>
        <w:t xml:space="preserve">urso de revisión número </w:t>
      </w:r>
      <w:r>
        <w:rPr>
          <w:rFonts w:ascii="Palatino Linotype" w:hAnsi="Palatino Linotype" w:cs="Arial"/>
          <w:b/>
          <w:bCs/>
          <w:sz w:val="24"/>
        </w:rPr>
        <w:t xml:space="preserve">03645/INFOEM/IP/RR/2025, </w:t>
      </w:r>
      <w:r>
        <w:rPr>
          <w:rFonts w:ascii="Palatino Linotype" w:hAnsi="Palatino Linotype" w:cs="Arial"/>
          <w:sz w:val="24"/>
        </w:rPr>
        <w:t xml:space="preserve">interpuesto por el </w:t>
      </w:r>
      <w:r>
        <w:rPr>
          <w:rFonts w:ascii="Palatino Linotype" w:hAnsi="Palatino Linotype" w:cs="Arial"/>
          <w:b/>
          <w:bCs/>
          <w:sz w:val="24"/>
        </w:rPr>
        <w:t xml:space="preserve">C. </w:t>
      </w:r>
      <w:r w:rsidR="00D96519">
        <w:rPr>
          <w:rFonts w:ascii="Palatino Linotype" w:hAnsi="Palatino Linotype" w:cs="Arial"/>
          <w:b/>
          <w:bCs/>
          <w:sz w:val="24"/>
        </w:rPr>
        <w:t>XXXXXXXXXXXXX</w:t>
      </w:r>
      <w:r>
        <w:rPr>
          <w:rFonts w:ascii="Palatino Linotype" w:hAnsi="Palatino Linotype" w:cs="Arial"/>
          <w:b/>
          <w:bCs/>
          <w:sz w:val="24"/>
        </w:rPr>
        <w:t xml:space="preserve">, </w:t>
      </w:r>
      <w:r>
        <w:rPr>
          <w:rFonts w:ascii="Palatino Linotype" w:hAnsi="Palatino Linotype" w:cs="Arial"/>
          <w:sz w:val="24"/>
        </w:rPr>
        <w:t xml:space="preserve">en lo sucesivo </w:t>
      </w:r>
      <w:r>
        <w:rPr>
          <w:rFonts w:ascii="Palatino Linotype" w:hAnsi="Palatino Linotype" w:cs="Arial"/>
          <w:b/>
          <w:bCs/>
          <w:sz w:val="24"/>
        </w:rPr>
        <w:t xml:space="preserve">El Recurrente, </w:t>
      </w:r>
      <w:r>
        <w:rPr>
          <w:rFonts w:ascii="Palatino Linotype" w:hAnsi="Palatino Linotype" w:cs="Arial"/>
          <w:sz w:val="24"/>
        </w:rPr>
        <w:t xml:space="preserve">en contra de la falta de respuesta del </w:t>
      </w:r>
      <w:r>
        <w:rPr>
          <w:rFonts w:ascii="Palatino Linotype" w:hAnsi="Palatino Linotype" w:cs="Arial"/>
          <w:b/>
          <w:bCs/>
          <w:sz w:val="24"/>
        </w:rPr>
        <w:t xml:space="preserve">Ayuntamiento de Toluca, </w:t>
      </w:r>
      <w:r>
        <w:rPr>
          <w:rFonts w:ascii="Palatino Linotype" w:hAnsi="Palatino Linotype" w:cs="Arial"/>
          <w:sz w:val="24"/>
        </w:rPr>
        <w:t xml:space="preserve">en lo subsecuente </w:t>
      </w:r>
      <w:r>
        <w:rPr>
          <w:rFonts w:ascii="Palatino Linotype" w:hAnsi="Palatino Linotype" w:cs="Arial"/>
          <w:b/>
          <w:bCs/>
          <w:sz w:val="24"/>
        </w:rPr>
        <w:t xml:space="preserve">El Sujeto Obligado, </w:t>
      </w:r>
      <w:r>
        <w:rPr>
          <w:rFonts w:ascii="Palatino Linotype" w:hAnsi="Palatino Linotype" w:cs="Arial"/>
          <w:sz w:val="24"/>
        </w:rPr>
        <w:t xml:space="preserve">se procede a dictar la presente resolución. </w:t>
      </w:r>
    </w:p>
    <w:p w14:paraId="7D86C4BD" w14:textId="77777777" w:rsidR="00702D6B" w:rsidRDefault="00702D6B" w:rsidP="00702D6B">
      <w:pPr>
        <w:tabs>
          <w:tab w:val="left" w:pos="1701"/>
        </w:tabs>
        <w:spacing w:after="0" w:line="360" w:lineRule="auto"/>
        <w:jc w:val="both"/>
        <w:rPr>
          <w:rFonts w:ascii="Palatino Linotype" w:eastAsia="Palatino Linotype" w:hAnsi="Palatino Linotype" w:cs="Palatino Linotype"/>
          <w:b/>
          <w:bCs/>
          <w:color w:val="000000"/>
          <w:sz w:val="24"/>
          <w:szCs w:val="24"/>
        </w:rPr>
      </w:pPr>
    </w:p>
    <w:p w14:paraId="363685D0" w14:textId="77777777" w:rsidR="00702D6B" w:rsidRPr="007947A9" w:rsidRDefault="00702D6B" w:rsidP="00702D6B">
      <w:pPr>
        <w:spacing w:after="0" w:line="360" w:lineRule="auto"/>
        <w:jc w:val="center"/>
        <w:rPr>
          <w:rFonts w:ascii="Palatino Linotype" w:hAnsi="Palatino Linotype" w:cs="Arial"/>
          <w:b/>
          <w:sz w:val="24"/>
          <w:szCs w:val="24"/>
        </w:rPr>
      </w:pPr>
      <w:r w:rsidRPr="007947A9">
        <w:rPr>
          <w:rFonts w:ascii="Palatino Linotype" w:hAnsi="Palatino Linotype" w:cs="Arial"/>
          <w:b/>
          <w:sz w:val="24"/>
          <w:szCs w:val="24"/>
        </w:rPr>
        <w:t>A N T E C E D E N T E S</w:t>
      </w:r>
    </w:p>
    <w:p w14:paraId="64B85FD7" w14:textId="77777777" w:rsidR="00702D6B" w:rsidRPr="007947A9" w:rsidRDefault="00702D6B" w:rsidP="00702D6B">
      <w:pPr>
        <w:spacing w:after="0" w:line="360" w:lineRule="auto"/>
        <w:rPr>
          <w:rFonts w:ascii="Palatino Linotype" w:hAnsi="Palatino Linotype" w:cs="Arial"/>
          <w:b/>
          <w:sz w:val="24"/>
          <w:szCs w:val="24"/>
        </w:rPr>
      </w:pPr>
    </w:p>
    <w:p w14:paraId="1041AECC" w14:textId="77777777" w:rsidR="00702D6B" w:rsidRPr="00D0707C" w:rsidRDefault="00702D6B" w:rsidP="00702D6B">
      <w:pPr>
        <w:spacing w:after="0" w:line="360" w:lineRule="auto"/>
        <w:jc w:val="both"/>
        <w:rPr>
          <w:rFonts w:ascii="Palatino Linotype" w:hAnsi="Palatino Linotype" w:cs="Arial"/>
          <w:b/>
          <w:sz w:val="28"/>
          <w:szCs w:val="28"/>
        </w:rPr>
      </w:pPr>
      <w:r w:rsidRPr="00D0707C">
        <w:rPr>
          <w:rFonts w:ascii="Palatino Linotype" w:hAnsi="Palatino Linotype" w:cs="Arial"/>
          <w:b/>
          <w:sz w:val="28"/>
          <w:szCs w:val="28"/>
        </w:rPr>
        <w:t xml:space="preserve">PRIMERO. </w:t>
      </w:r>
      <w:r w:rsidRPr="00D0707C">
        <w:rPr>
          <w:rFonts w:ascii="Palatino Linotype" w:eastAsia="Palatino Linotype" w:hAnsi="Palatino Linotype" w:cs="Palatino Linotype"/>
          <w:b/>
          <w:color w:val="000000"/>
          <w:sz w:val="28"/>
          <w:szCs w:val="28"/>
          <w:lang w:val="es-ES_tradnl"/>
        </w:rPr>
        <w:t>De la solicitud de información</w:t>
      </w:r>
    </w:p>
    <w:p w14:paraId="7F645A93" w14:textId="2FCBB36F" w:rsidR="00702D6B" w:rsidRDefault="00702D6B" w:rsidP="00702D6B">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Pr>
          <w:rFonts w:ascii="Palatino Linotype" w:hAnsi="Palatino Linotype" w:cs="Arial"/>
          <w:b/>
          <w:bCs/>
          <w:sz w:val="24"/>
        </w:rPr>
        <w:t xml:space="preserve">cuatro de marzo de dos mil veinticinco, El Recurrente, </w:t>
      </w:r>
      <w:r w:rsidRPr="00415E43">
        <w:rPr>
          <w:rFonts w:ascii="Palatino Linotype" w:hAnsi="Palatino Linotype" w:cs="Arial"/>
          <w:sz w:val="24"/>
        </w:rPr>
        <w:t>presentó a través del Sistema de Acceso a la Información Mexiquense (</w:t>
      </w:r>
      <w:r w:rsidRPr="00415E43">
        <w:rPr>
          <w:rFonts w:ascii="Palatino Linotype" w:hAnsi="Palatino Linotype" w:cs="Arial"/>
          <w:b/>
          <w:sz w:val="24"/>
        </w:rPr>
        <w:t>SAIMEX)</w:t>
      </w:r>
      <w:r w:rsidRPr="00415E43">
        <w:rPr>
          <w:rFonts w:ascii="Palatino Linotype" w:hAnsi="Palatino Linotype" w:cs="Arial"/>
          <w:sz w:val="24"/>
        </w:rPr>
        <w:t xml:space="preserve"> ante </w:t>
      </w:r>
      <w:r w:rsidRPr="00415E43">
        <w:rPr>
          <w:rFonts w:ascii="Palatino Linotype" w:hAnsi="Palatino Linotype" w:cs="Arial"/>
          <w:b/>
          <w:sz w:val="24"/>
        </w:rPr>
        <w:t>El Sujeto Obligado</w:t>
      </w:r>
      <w:r w:rsidRPr="00415E43">
        <w:rPr>
          <w:rFonts w:ascii="Palatino Linotype" w:hAnsi="Palatino Linotype" w:cs="Arial"/>
          <w:sz w:val="24"/>
        </w:rPr>
        <w:t>, la</w:t>
      </w:r>
      <w:r>
        <w:rPr>
          <w:rFonts w:ascii="Palatino Linotype" w:hAnsi="Palatino Linotype" w:cs="Arial"/>
          <w:sz w:val="24"/>
        </w:rPr>
        <w:t xml:space="preserve"> solicitud de acceso a la información pública, registrada bajo el número </w:t>
      </w:r>
      <w:r>
        <w:rPr>
          <w:rFonts w:ascii="Palatino Linotype" w:hAnsi="Palatino Linotype" w:cs="Arial"/>
          <w:b/>
          <w:bCs/>
          <w:sz w:val="24"/>
        </w:rPr>
        <w:t xml:space="preserve">01284/TOLUCA/IP/2025, </w:t>
      </w:r>
      <w:r>
        <w:rPr>
          <w:rFonts w:ascii="Palatino Linotype" w:hAnsi="Palatino Linotype" w:cs="Arial"/>
          <w:sz w:val="24"/>
        </w:rPr>
        <w:t>mediante la cual solicitó información en el tenor siguiente:</w:t>
      </w:r>
    </w:p>
    <w:p w14:paraId="4B1421C4" w14:textId="36BE4F29" w:rsidR="00702D6B" w:rsidRPr="00702D6B" w:rsidRDefault="00702D6B" w:rsidP="00702D6B">
      <w:pPr>
        <w:pStyle w:val="Citas"/>
        <w:rPr>
          <w:b/>
          <w:bCs/>
        </w:rPr>
      </w:pPr>
      <w:r>
        <w:t>“</w:t>
      </w:r>
      <w:r w:rsidRPr="00702D6B">
        <w:t>Los acuerdo y minuta de trabajo de la reunión con Cataluña el pasado febrero</w:t>
      </w:r>
      <w:r>
        <w:t xml:space="preserve">” </w:t>
      </w:r>
      <w:r>
        <w:rPr>
          <w:b/>
          <w:bCs/>
        </w:rPr>
        <w:t>(Sic)</w:t>
      </w:r>
    </w:p>
    <w:p w14:paraId="71204A47" w14:textId="77777777" w:rsidR="00702D6B"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4"/>
          <w:szCs w:val="24"/>
          <w:lang w:val="es-ES_tradnl"/>
        </w:rPr>
      </w:pPr>
      <w:r w:rsidRPr="00280F31">
        <w:rPr>
          <w:rFonts w:ascii="Palatino Linotype" w:eastAsia="Palatino Linotype" w:hAnsi="Palatino Linotype" w:cs="Palatino Linotype"/>
          <w:b/>
          <w:bCs/>
          <w:color w:val="000000"/>
          <w:sz w:val="24"/>
          <w:szCs w:val="24"/>
          <w:lang w:val="es-ES_tradnl"/>
        </w:rPr>
        <w:t>Modalidad de entrega:</w:t>
      </w:r>
      <w:r w:rsidRPr="00883102">
        <w:rPr>
          <w:rFonts w:ascii="Palatino Linotype" w:eastAsia="Palatino Linotype" w:hAnsi="Palatino Linotype" w:cs="Palatino Linotype"/>
          <w:color w:val="000000"/>
          <w:sz w:val="24"/>
          <w:szCs w:val="24"/>
          <w:lang w:val="es-ES_tradnl"/>
        </w:rPr>
        <w:t xml:space="preserve"> </w:t>
      </w:r>
      <w:r>
        <w:rPr>
          <w:rFonts w:ascii="Palatino Linotype" w:eastAsia="Palatino Linotype" w:hAnsi="Palatino Linotype" w:cs="Palatino Linotype"/>
          <w:color w:val="000000"/>
          <w:sz w:val="24"/>
          <w:szCs w:val="24"/>
          <w:lang w:val="es-ES_tradnl"/>
        </w:rPr>
        <w:t xml:space="preserve">A través del SAIMEX. </w:t>
      </w:r>
    </w:p>
    <w:p w14:paraId="7ECE84A5" w14:textId="77777777" w:rsidR="00702D6B" w:rsidRDefault="00702D6B" w:rsidP="00702D6B">
      <w:pPr>
        <w:spacing w:after="0" w:line="360" w:lineRule="auto"/>
        <w:jc w:val="both"/>
        <w:rPr>
          <w:rFonts w:ascii="Palatino Linotype" w:eastAsia="Times New Roman" w:hAnsi="Palatino Linotype" w:cs="Times New Roman"/>
          <w:sz w:val="24"/>
          <w:szCs w:val="24"/>
          <w:lang w:val="es-ES_tradnl" w:eastAsia="es-ES"/>
        </w:rPr>
      </w:pPr>
    </w:p>
    <w:p w14:paraId="53C39BB6" w14:textId="77777777" w:rsidR="00702D6B" w:rsidRPr="007947A9" w:rsidRDefault="00702D6B" w:rsidP="00702D6B">
      <w:pPr>
        <w:spacing w:after="0" w:line="360" w:lineRule="auto"/>
        <w:jc w:val="both"/>
        <w:rPr>
          <w:rFonts w:ascii="Palatino Linotype" w:eastAsia="Times New Roman" w:hAnsi="Palatino Linotype" w:cs="Times New Roman"/>
          <w:sz w:val="24"/>
          <w:szCs w:val="24"/>
          <w:lang w:val="es-ES_tradnl" w:eastAsia="es-ES"/>
        </w:rPr>
      </w:pPr>
    </w:p>
    <w:p w14:paraId="12397301" w14:textId="77777777" w:rsidR="00702D6B" w:rsidRPr="00D0707C"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color w:val="000000"/>
          <w:sz w:val="28"/>
          <w:szCs w:val="28"/>
          <w:lang w:val="es-ES_tradnl"/>
        </w:rPr>
      </w:pPr>
      <w:r w:rsidRPr="00D0707C">
        <w:rPr>
          <w:rFonts w:ascii="Palatino Linotype" w:eastAsia="Palatino Linotype" w:hAnsi="Palatino Linotype" w:cs="Palatino Linotype"/>
          <w:b/>
          <w:color w:val="000000"/>
          <w:sz w:val="28"/>
          <w:szCs w:val="28"/>
        </w:rPr>
        <w:t xml:space="preserve">SEGUNDO. </w:t>
      </w:r>
      <w:r w:rsidRPr="00D0707C">
        <w:rPr>
          <w:rFonts w:ascii="Palatino Linotype" w:eastAsia="Palatino Linotype" w:hAnsi="Palatino Linotype" w:cs="Palatino Linotype"/>
          <w:b/>
          <w:color w:val="000000"/>
          <w:sz w:val="28"/>
          <w:szCs w:val="28"/>
          <w:lang w:val="es-ES_tradnl"/>
        </w:rPr>
        <w:t>De la falta de respuesta del Sujeto Obligado.</w:t>
      </w:r>
    </w:p>
    <w:p w14:paraId="40FDB7B1" w14:textId="77777777" w:rsidR="00702D6B" w:rsidRPr="007947A9"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rPr>
      </w:pPr>
      <w:r w:rsidRPr="007947A9">
        <w:rPr>
          <w:rFonts w:ascii="Palatino Linotype" w:eastAsia="Palatino Linotype" w:hAnsi="Palatino Linotype" w:cs="Palatino Linotype"/>
          <w:bCs/>
          <w:color w:val="000000"/>
          <w:sz w:val="24"/>
          <w:szCs w:val="24"/>
          <w:lang w:val="es-ES_tradnl"/>
        </w:rPr>
        <w:lastRenderedPageBreak/>
        <w:t>E</w:t>
      </w:r>
      <w:r w:rsidRPr="007947A9">
        <w:rPr>
          <w:rFonts w:ascii="Palatino Linotype" w:hAnsi="Palatino Linotype" w:cs="Arial"/>
          <w:bCs/>
          <w:sz w:val="24"/>
          <w:szCs w:val="24"/>
        </w:rPr>
        <w:t xml:space="preserve">l </w:t>
      </w:r>
      <w:r w:rsidRPr="007947A9">
        <w:rPr>
          <w:rFonts w:ascii="Palatino Linotype" w:hAnsi="Palatino Linotype" w:cs="Arial"/>
          <w:b/>
          <w:sz w:val="24"/>
          <w:szCs w:val="24"/>
        </w:rPr>
        <w:t>Sujeto Obligado</w:t>
      </w:r>
      <w:r w:rsidRPr="007947A9">
        <w:rPr>
          <w:rFonts w:ascii="Palatino Linotype" w:hAnsi="Palatino Linotype" w:cs="Arial"/>
          <w:sz w:val="24"/>
          <w:szCs w:val="24"/>
        </w:rPr>
        <w:t xml:space="preserve"> no proporcionó respuesta a la solicitud de información </w:t>
      </w:r>
      <w:r w:rsidRPr="007947A9">
        <w:rPr>
          <w:rFonts w:ascii="Palatino Linotype" w:eastAsia="Palatino Linotype" w:hAnsi="Palatino Linotype" w:cs="Palatino Linotype"/>
          <w:color w:val="000000"/>
          <w:sz w:val="24"/>
          <w:szCs w:val="24"/>
        </w:rPr>
        <w:t>dentro del plazo de quince días establecido en el artículo 163 de la Ley de Transparencia y Acceso a la Información Pública del Estado de México y Municipios.</w:t>
      </w:r>
    </w:p>
    <w:p w14:paraId="607CE255" w14:textId="77777777" w:rsidR="00702D6B" w:rsidRPr="007947A9" w:rsidRDefault="00702D6B" w:rsidP="00702D6B">
      <w:pPr>
        <w:pBdr>
          <w:top w:val="nil"/>
          <w:left w:val="nil"/>
          <w:bottom w:val="nil"/>
          <w:right w:val="nil"/>
          <w:between w:val="nil"/>
        </w:pBdr>
        <w:spacing w:after="0" w:line="360" w:lineRule="auto"/>
        <w:contextualSpacing/>
        <w:jc w:val="both"/>
        <w:rPr>
          <w:rFonts w:ascii="Palatino Linotype" w:hAnsi="Palatino Linotype" w:cs="Arial"/>
          <w:sz w:val="24"/>
          <w:szCs w:val="24"/>
        </w:rPr>
      </w:pPr>
    </w:p>
    <w:p w14:paraId="3203B956" w14:textId="77777777" w:rsidR="00702D6B" w:rsidRPr="007947A9"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s-ES_tradnl"/>
        </w:rPr>
      </w:pPr>
      <w:r w:rsidRPr="00D0707C">
        <w:rPr>
          <w:rFonts w:ascii="Palatino Linotype" w:hAnsi="Palatino Linotype" w:cs="Arial"/>
          <w:b/>
          <w:sz w:val="28"/>
          <w:szCs w:val="28"/>
        </w:rPr>
        <w:t xml:space="preserve">TERCERO. </w:t>
      </w:r>
      <w:r w:rsidRPr="00D0707C">
        <w:rPr>
          <w:rFonts w:ascii="Palatino Linotype" w:eastAsia="Palatino Linotype" w:hAnsi="Palatino Linotype" w:cs="Palatino Linotype"/>
          <w:b/>
          <w:color w:val="000000"/>
          <w:sz w:val="28"/>
          <w:szCs w:val="28"/>
          <w:lang w:val="es-ES_tradnl"/>
        </w:rPr>
        <w:t>Del recurso de revisión</w:t>
      </w:r>
      <w:r w:rsidRPr="007947A9">
        <w:rPr>
          <w:rFonts w:ascii="Palatino Linotype" w:eastAsia="Palatino Linotype" w:hAnsi="Palatino Linotype" w:cs="Palatino Linotype"/>
          <w:b/>
          <w:color w:val="000000"/>
          <w:sz w:val="24"/>
          <w:szCs w:val="24"/>
          <w:lang w:val="es-ES_tradnl"/>
        </w:rPr>
        <w:t>.</w:t>
      </w:r>
    </w:p>
    <w:p w14:paraId="306E005E" w14:textId="1D31374B" w:rsidR="00702D6B" w:rsidRPr="00702D6B" w:rsidRDefault="00702D6B" w:rsidP="00702D6B">
      <w:pPr>
        <w:spacing w:after="0" w:line="360" w:lineRule="auto"/>
        <w:jc w:val="both"/>
        <w:rPr>
          <w:rFonts w:ascii="Palatino Linotype" w:hAnsi="Palatino Linotype" w:cs="Arial"/>
          <w:sz w:val="24"/>
          <w:szCs w:val="24"/>
        </w:rPr>
      </w:pPr>
      <w:r w:rsidRPr="007947A9">
        <w:rPr>
          <w:rFonts w:ascii="Palatino Linotype" w:hAnsi="Palatino Linotype" w:cs="Arial"/>
          <w:bCs/>
          <w:sz w:val="24"/>
          <w:szCs w:val="24"/>
        </w:rPr>
        <w:t>Ante la falta de respuesta</w:t>
      </w:r>
      <w:r w:rsidRPr="007947A9">
        <w:rPr>
          <w:rFonts w:ascii="Palatino Linotype" w:hAnsi="Palatino Linotype" w:cs="Arial"/>
          <w:b/>
          <w:sz w:val="24"/>
          <w:szCs w:val="24"/>
        </w:rPr>
        <w:t xml:space="preserve"> </w:t>
      </w:r>
      <w:r w:rsidRPr="007947A9">
        <w:rPr>
          <w:rFonts w:ascii="Palatino Linotype" w:hAnsi="Palatino Linotype" w:cs="Arial"/>
          <w:sz w:val="24"/>
          <w:szCs w:val="24"/>
        </w:rPr>
        <w:t xml:space="preserve">del </w:t>
      </w:r>
      <w:r w:rsidRPr="007947A9">
        <w:rPr>
          <w:rFonts w:ascii="Palatino Linotype" w:hAnsi="Palatino Linotype" w:cs="Arial"/>
          <w:b/>
          <w:sz w:val="24"/>
          <w:szCs w:val="24"/>
        </w:rPr>
        <w:t>Sujeto Obligado</w:t>
      </w:r>
      <w:r w:rsidRPr="007947A9">
        <w:rPr>
          <w:rFonts w:ascii="Palatino Linotype" w:hAnsi="Palatino Linotype" w:cs="Arial"/>
          <w:sz w:val="24"/>
          <w:szCs w:val="24"/>
        </w:rPr>
        <w:t xml:space="preserve">, la parte </w:t>
      </w:r>
      <w:r w:rsidRPr="007947A9">
        <w:rPr>
          <w:rFonts w:ascii="Palatino Linotype" w:hAnsi="Palatino Linotype" w:cs="Arial"/>
          <w:b/>
          <w:sz w:val="24"/>
          <w:szCs w:val="24"/>
        </w:rPr>
        <w:t>Recurrente</w:t>
      </w:r>
      <w:r w:rsidRPr="007947A9">
        <w:rPr>
          <w:rFonts w:ascii="Palatino Linotype" w:hAnsi="Palatino Linotype" w:cs="Arial"/>
          <w:sz w:val="24"/>
          <w:szCs w:val="24"/>
        </w:rPr>
        <w:t xml:space="preserve"> interpuso su recurso de revisión el</w:t>
      </w:r>
      <w:r>
        <w:rPr>
          <w:rFonts w:ascii="Palatino Linotype" w:hAnsi="Palatino Linotype" w:cs="Arial"/>
          <w:sz w:val="24"/>
          <w:szCs w:val="24"/>
        </w:rPr>
        <w:t xml:space="preserve"> </w:t>
      </w:r>
      <w:r>
        <w:rPr>
          <w:rFonts w:ascii="Palatino Linotype" w:hAnsi="Palatino Linotype" w:cs="Arial"/>
          <w:b/>
          <w:bCs/>
          <w:sz w:val="24"/>
          <w:szCs w:val="24"/>
        </w:rPr>
        <w:t xml:space="preserve">veintisiete de marzo de dos mil veinticinco, </w:t>
      </w:r>
      <w:r>
        <w:rPr>
          <w:rFonts w:ascii="Palatino Linotype" w:hAnsi="Palatino Linotype" w:cs="Arial"/>
          <w:sz w:val="24"/>
          <w:szCs w:val="24"/>
        </w:rPr>
        <w:t xml:space="preserve">registrado en el sistema </w:t>
      </w:r>
      <w:r>
        <w:rPr>
          <w:rFonts w:ascii="Palatino Linotype" w:hAnsi="Palatino Linotype" w:cs="Arial"/>
          <w:b/>
          <w:bCs/>
          <w:sz w:val="24"/>
          <w:szCs w:val="24"/>
        </w:rPr>
        <w:t xml:space="preserve">SAIMEX </w:t>
      </w:r>
      <w:r>
        <w:rPr>
          <w:rFonts w:ascii="Palatino Linotype" w:hAnsi="Palatino Linotype" w:cs="Arial"/>
          <w:sz w:val="24"/>
          <w:szCs w:val="24"/>
        </w:rPr>
        <w:t xml:space="preserve">con el número de expediente </w:t>
      </w:r>
      <w:r>
        <w:rPr>
          <w:rFonts w:ascii="Palatino Linotype" w:hAnsi="Palatino Linotype" w:cs="Arial"/>
          <w:b/>
          <w:bCs/>
          <w:sz w:val="24"/>
          <w:szCs w:val="24"/>
        </w:rPr>
        <w:t xml:space="preserve">03645/INFOEM/IP/RR/2025, </w:t>
      </w:r>
      <w:r>
        <w:rPr>
          <w:rFonts w:ascii="Palatino Linotype" w:hAnsi="Palatino Linotype" w:cs="Arial"/>
          <w:sz w:val="24"/>
          <w:szCs w:val="24"/>
        </w:rPr>
        <w:t xml:space="preserve">señalando lo siguiente: </w:t>
      </w:r>
    </w:p>
    <w:p w14:paraId="4F1BB6C5" w14:textId="77777777" w:rsidR="00702D6B" w:rsidRDefault="00702D6B" w:rsidP="00702D6B">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Acto impugnado:</w:t>
      </w:r>
    </w:p>
    <w:p w14:paraId="753F7682" w14:textId="6B83B438" w:rsidR="00702D6B" w:rsidRDefault="00702D6B" w:rsidP="00702D6B">
      <w:pPr>
        <w:pStyle w:val="Citas"/>
        <w:rPr>
          <w:b/>
          <w:bCs/>
        </w:rPr>
      </w:pPr>
      <w:r>
        <w:t>“</w:t>
      </w:r>
      <w:r w:rsidRPr="00702D6B">
        <w:t>No dio respuesta</w:t>
      </w:r>
      <w:r>
        <w:t xml:space="preserve">” </w:t>
      </w:r>
      <w:r>
        <w:rPr>
          <w:b/>
          <w:bCs/>
        </w:rPr>
        <w:t>(Sic)</w:t>
      </w:r>
    </w:p>
    <w:p w14:paraId="1EB25C5A" w14:textId="77777777" w:rsidR="00702D6B" w:rsidRDefault="00702D6B" w:rsidP="00702D6B">
      <w:pPr>
        <w:spacing w:after="0" w:line="360" w:lineRule="auto"/>
        <w:jc w:val="both"/>
        <w:rPr>
          <w:rFonts w:ascii="Palatino Linotype" w:hAnsi="Palatino Linotype" w:cs="Arial"/>
          <w:b/>
          <w:bCs/>
          <w:sz w:val="24"/>
          <w:szCs w:val="24"/>
        </w:rPr>
      </w:pPr>
      <w:r>
        <w:rPr>
          <w:rFonts w:ascii="Palatino Linotype" w:hAnsi="Palatino Linotype" w:cs="Arial"/>
          <w:b/>
          <w:bCs/>
          <w:sz w:val="24"/>
          <w:szCs w:val="24"/>
        </w:rPr>
        <w:t xml:space="preserve">Razones o motivos de la inconformidad: </w:t>
      </w:r>
    </w:p>
    <w:p w14:paraId="3B8DBDBD" w14:textId="45B293FD" w:rsidR="00702D6B" w:rsidRPr="002D1691" w:rsidRDefault="00702D6B" w:rsidP="00702D6B">
      <w:pPr>
        <w:pStyle w:val="Citas"/>
        <w:rPr>
          <w:b/>
          <w:bCs/>
        </w:rPr>
      </w:pPr>
      <w:r>
        <w:t>“</w:t>
      </w:r>
      <w:r w:rsidRPr="00702D6B">
        <w:t>La falta de respuesta</w:t>
      </w:r>
      <w:r>
        <w:t xml:space="preserve">” </w:t>
      </w:r>
      <w:r>
        <w:rPr>
          <w:b/>
          <w:bCs/>
        </w:rPr>
        <w:t>(Sic)</w:t>
      </w:r>
    </w:p>
    <w:p w14:paraId="47B4DBB8" w14:textId="77777777" w:rsidR="00702D6B" w:rsidRDefault="00702D6B" w:rsidP="00702D6B">
      <w:pPr>
        <w:spacing w:after="0" w:line="360" w:lineRule="auto"/>
        <w:jc w:val="both"/>
        <w:rPr>
          <w:rFonts w:ascii="Palatino Linotype" w:hAnsi="Palatino Linotype" w:cs="Arial"/>
          <w:sz w:val="24"/>
          <w:szCs w:val="24"/>
        </w:rPr>
      </w:pPr>
    </w:p>
    <w:p w14:paraId="005DF671" w14:textId="77777777" w:rsidR="00702D6B"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4"/>
          <w:szCs w:val="24"/>
          <w:lang w:val="es-ES_tradnl"/>
        </w:rPr>
      </w:pPr>
    </w:p>
    <w:p w14:paraId="2FC4034D" w14:textId="77777777" w:rsidR="00702D6B" w:rsidRPr="00D0707C"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D0707C">
        <w:rPr>
          <w:rFonts w:ascii="Palatino Linotype" w:eastAsia="Palatino Linotype" w:hAnsi="Palatino Linotype" w:cs="Palatino Linotype"/>
          <w:b/>
          <w:color w:val="000000"/>
          <w:sz w:val="28"/>
          <w:szCs w:val="28"/>
          <w:lang w:val="es-ES_tradnl"/>
        </w:rPr>
        <w:t>CUARTO. Del turno y admisión del recurso de revisión.</w:t>
      </w:r>
    </w:p>
    <w:p w14:paraId="0DBF67EF" w14:textId="03B91854" w:rsidR="00702D6B" w:rsidRPr="007947A9" w:rsidRDefault="00702D6B" w:rsidP="00702D6B">
      <w:pPr>
        <w:pBdr>
          <w:top w:val="nil"/>
          <w:left w:val="nil"/>
          <w:bottom w:val="nil"/>
          <w:right w:val="nil"/>
          <w:between w:val="nil"/>
        </w:pBdr>
        <w:tabs>
          <w:tab w:val="left" w:pos="284"/>
        </w:tabs>
        <w:spacing w:after="0" w:line="360" w:lineRule="auto"/>
        <w:jc w:val="both"/>
        <w:rPr>
          <w:rFonts w:ascii="Palatino Linotype" w:hAnsi="Palatino Linotype"/>
          <w:sz w:val="24"/>
          <w:szCs w:val="24"/>
        </w:rPr>
      </w:pPr>
      <w:r w:rsidRPr="007947A9">
        <w:rPr>
          <w:rFonts w:ascii="Palatino Linotype" w:eastAsia="Palatino Linotype" w:hAnsi="Palatino Linotype" w:cs="Palatino Linotype"/>
          <w:color w:val="000000"/>
          <w:sz w:val="24"/>
          <w:szCs w:val="24"/>
          <w:lang w:val="es-ES_tradnl"/>
        </w:rPr>
        <w:t xml:space="preserve">De conformidad con lo dispuesto en el artículo 185 fracciones I y II de la Ley de Transparencia y Acceso a la Información Pública del Estado de México y Municipios el recurso de revisión fue turnado al </w:t>
      </w:r>
      <w:r w:rsidRPr="007947A9">
        <w:rPr>
          <w:rFonts w:ascii="Palatino Linotype" w:eastAsia="Palatino Linotype" w:hAnsi="Palatino Linotype" w:cs="Palatino Linotype"/>
          <w:b/>
          <w:bCs/>
          <w:color w:val="000000"/>
          <w:sz w:val="24"/>
          <w:szCs w:val="24"/>
          <w:lang w:val="es-ES_tradnl"/>
        </w:rPr>
        <w:t>Comisionado Presidente J</w:t>
      </w:r>
      <w:r w:rsidRPr="007947A9">
        <w:rPr>
          <w:rFonts w:ascii="Palatino Linotype" w:eastAsia="Palatino Linotype" w:hAnsi="Palatino Linotype" w:cs="Palatino Linotype"/>
          <w:b/>
          <w:color w:val="000000"/>
          <w:sz w:val="24"/>
          <w:szCs w:val="24"/>
          <w:lang w:val="es-ES_tradnl"/>
        </w:rPr>
        <w:t>osé Martínez Vilchis</w:t>
      </w:r>
      <w:r w:rsidRPr="007947A9">
        <w:rPr>
          <w:rFonts w:ascii="Palatino Linotype" w:eastAsia="Palatino Linotype" w:hAnsi="Palatino Linotype" w:cs="Palatino Linotype"/>
          <w:color w:val="000000"/>
          <w:sz w:val="24"/>
          <w:szCs w:val="24"/>
          <w:lang w:val="es-ES_tradnl"/>
        </w:rPr>
        <w:t xml:space="preserve"> para su revisión y análisis sobre la admisión o desechamiento, por lo que el</w:t>
      </w:r>
      <w:r>
        <w:rPr>
          <w:rFonts w:ascii="Palatino Linotype" w:eastAsia="Palatino Linotype" w:hAnsi="Palatino Linotype" w:cs="Palatino Linotype"/>
          <w:color w:val="000000"/>
          <w:sz w:val="24"/>
          <w:szCs w:val="24"/>
          <w:lang w:val="es-ES_tradnl"/>
        </w:rPr>
        <w:t xml:space="preserve"> </w:t>
      </w:r>
      <w:r>
        <w:rPr>
          <w:rFonts w:ascii="Palatino Linotype" w:eastAsia="Palatino Linotype" w:hAnsi="Palatino Linotype" w:cs="Palatino Linotype"/>
          <w:b/>
          <w:bCs/>
          <w:color w:val="000000"/>
          <w:sz w:val="24"/>
          <w:szCs w:val="24"/>
          <w:lang w:val="es-ES_tradnl"/>
        </w:rPr>
        <w:t xml:space="preserve">uno de abril de dos mil veinticinco, </w:t>
      </w:r>
      <w:r>
        <w:rPr>
          <w:rFonts w:ascii="Palatino Linotype" w:eastAsia="Palatino Linotype" w:hAnsi="Palatino Linotype" w:cs="Palatino Linotype"/>
          <w:color w:val="000000"/>
          <w:sz w:val="24"/>
          <w:szCs w:val="24"/>
          <w:lang w:val="es-ES_tradnl"/>
        </w:rPr>
        <w:t xml:space="preserve">el </w:t>
      </w:r>
      <w:r w:rsidRPr="007947A9">
        <w:rPr>
          <w:rFonts w:ascii="Palatino Linotype" w:eastAsia="Palatino Linotype" w:hAnsi="Palatino Linotype" w:cs="Palatino Linotype"/>
          <w:color w:val="000000"/>
          <w:sz w:val="24"/>
          <w:szCs w:val="24"/>
          <w:lang w:val="es-ES_tradnl"/>
        </w:rPr>
        <w:t xml:space="preserve">recurso de revisión fue admitido y se puso a </w:t>
      </w:r>
      <w:r w:rsidRPr="007947A9">
        <w:rPr>
          <w:rFonts w:ascii="Palatino Linotype" w:hAnsi="Palatino Linotype"/>
          <w:sz w:val="24"/>
          <w:szCs w:val="24"/>
        </w:rPr>
        <w:t xml:space="preserve">a </w:t>
      </w:r>
      <w:r w:rsidRPr="007947A9">
        <w:rPr>
          <w:rFonts w:ascii="Palatino Linotype" w:hAnsi="Palatino Linotype"/>
          <w:sz w:val="24"/>
          <w:szCs w:val="24"/>
        </w:rPr>
        <w:lastRenderedPageBreak/>
        <w:t>disposición de las partes, para que, en un plazo máximo de siete días hábiles, manifiesten lo que a su derecho convenga.</w:t>
      </w:r>
    </w:p>
    <w:p w14:paraId="27A3D1E1" w14:textId="77777777" w:rsidR="00EB4BF4" w:rsidRDefault="00EB4BF4"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p>
    <w:p w14:paraId="24DF34E9" w14:textId="18419953" w:rsidR="00702D6B" w:rsidRPr="00D0707C"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D0707C">
        <w:rPr>
          <w:rFonts w:ascii="Palatino Linotype" w:eastAsia="Palatino Linotype" w:hAnsi="Palatino Linotype" w:cs="Palatino Linotype"/>
          <w:b/>
          <w:color w:val="000000"/>
          <w:sz w:val="28"/>
          <w:szCs w:val="28"/>
          <w:lang w:val="es-ES_tradnl"/>
        </w:rPr>
        <w:t>QUINTO. De la etapa de instrucción.</w:t>
      </w:r>
    </w:p>
    <w:p w14:paraId="3B55CEAA" w14:textId="4CB98618" w:rsidR="00702D6B" w:rsidRPr="00CF0EC0" w:rsidRDefault="00702D6B" w:rsidP="00702D6B">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Pr>
          <w:rFonts w:ascii="Palatino Linotype" w:hAnsi="Palatino Linotype" w:cs="Arial"/>
          <w:sz w:val="24"/>
          <w:szCs w:val="24"/>
        </w:rPr>
        <w:t xml:space="preserve">rindió su informe justificado en fecha </w:t>
      </w:r>
      <w:r w:rsidR="00CF0EC0">
        <w:rPr>
          <w:rFonts w:ascii="Palatino Linotype" w:hAnsi="Palatino Linotype" w:cs="Arial"/>
          <w:b/>
          <w:bCs/>
          <w:sz w:val="24"/>
          <w:szCs w:val="24"/>
        </w:rPr>
        <w:t xml:space="preserve">diez de abril, </w:t>
      </w:r>
      <w:r w:rsidR="00CF0EC0">
        <w:rPr>
          <w:rFonts w:ascii="Palatino Linotype" w:hAnsi="Palatino Linotype" w:cs="Arial"/>
          <w:sz w:val="24"/>
          <w:szCs w:val="24"/>
        </w:rPr>
        <w:t xml:space="preserve">mismo que fue puesto a la vista el </w:t>
      </w:r>
      <w:r w:rsidR="00CF0EC0">
        <w:rPr>
          <w:rFonts w:ascii="Palatino Linotype" w:hAnsi="Palatino Linotype" w:cs="Arial"/>
          <w:b/>
          <w:bCs/>
          <w:sz w:val="24"/>
          <w:szCs w:val="24"/>
        </w:rPr>
        <w:t xml:space="preserve">veintiuno de abril, ambos de dos mil veinticinco. </w:t>
      </w:r>
    </w:p>
    <w:p w14:paraId="479D7DDC" w14:textId="77777777" w:rsidR="00702D6B" w:rsidRDefault="00702D6B" w:rsidP="00702D6B">
      <w:pPr>
        <w:spacing w:after="0" w:line="360" w:lineRule="auto"/>
        <w:jc w:val="both"/>
        <w:rPr>
          <w:rFonts w:ascii="Palatino Linotype" w:hAnsi="Palatino Linotype" w:cs="Arial"/>
          <w:sz w:val="24"/>
          <w:szCs w:val="24"/>
        </w:rPr>
      </w:pPr>
    </w:p>
    <w:p w14:paraId="369B8A4A" w14:textId="77777777" w:rsidR="00702D6B" w:rsidRPr="00D0707C" w:rsidRDefault="00702D6B" w:rsidP="00702D6B">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_tradnl"/>
        </w:rPr>
      </w:pPr>
      <w:r w:rsidRPr="00D0707C">
        <w:rPr>
          <w:rFonts w:ascii="Palatino Linotype" w:eastAsia="Palatino Linotype" w:hAnsi="Palatino Linotype" w:cs="Palatino Linotype"/>
          <w:b/>
          <w:color w:val="000000"/>
          <w:sz w:val="28"/>
          <w:szCs w:val="28"/>
          <w:lang w:val="es-ES_tradnl"/>
        </w:rPr>
        <w:t>SEXTO. Del cierre de instrucción.</w:t>
      </w:r>
    </w:p>
    <w:p w14:paraId="08150A1C" w14:textId="38EE8C45" w:rsidR="00702D6B" w:rsidRPr="007947A9" w:rsidRDefault="00702D6B" w:rsidP="00702D6B">
      <w:pPr>
        <w:spacing w:line="360" w:lineRule="auto"/>
        <w:jc w:val="both"/>
        <w:rPr>
          <w:rFonts w:ascii="Palatino Linotype" w:eastAsia="Palatino Linotype" w:hAnsi="Palatino Linotype" w:cs="Palatino Linotype"/>
          <w:sz w:val="24"/>
          <w:szCs w:val="24"/>
        </w:rPr>
      </w:pPr>
      <w:r w:rsidRPr="007947A9">
        <w:rPr>
          <w:rFonts w:ascii="Palatino Linotype" w:eastAsia="Palatino Linotype" w:hAnsi="Palatino Linotype" w:cs="Palatino Linotype"/>
          <w:color w:val="000000"/>
          <w:sz w:val="24"/>
          <w:szCs w:val="24"/>
          <w:lang w:val="es-ES_tradnl"/>
        </w:rPr>
        <w:t xml:space="preserve">En términos del artículo 185 fracciones VI y VIII de la Ley de Transparencia y Acceso a la Información Pública del Estado de México y Municipios, </w:t>
      </w:r>
      <w:r w:rsidRPr="00C46F12">
        <w:rPr>
          <w:rFonts w:ascii="Palatino Linotype" w:eastAsia="Palatino Linotype" w:hAnsi="Palatino Linotype" w:cs="Palatino Linotype"/>
          <w:b/>
          <w:bCs/>
          <w:color w:val="000000"/>
          <w:sz w:val="24"/>
          <w:szCs w:val="24"/>
          <w:lang w:val="es-ES_tradnl"/>
        </w:rPr>
        <w:t xml:space="preserve">el </w:t>
      </w:r>
      <w:r w:rsidR="00CF0EC0">
        <w:rPr>
          <w:rFonts w:ascii="Palatino Linotype" w:eastAsia="Palatino Linotype" w:hAnsi="Palatino Linotype" w:cs="Palatino Linotype"/>
          <w:b/>
          <w:bCs/>
          <w:color w:val="000000"/>
          <w:sz w:val="24"/>
          <w:szCs w:val="24"/>
          <w:lang w:val="es-ES_tradnl"/>
        </w:rPr>
        <w:t xml:space="preserve">veinticinco de abril de dos mil veinticinco, </w:t>
      </w:r>
      <w:r w:rsidR="00CF0EC0">
        <w:rPr>
          <w:rFonts w:ascii="Palatino Linotype" w:eastAsia="Palatino Linotype" w:hAnsi="Palatino Linotype" w:cs="Palatino Linotype"/>
          <w:color w:val="000000"/>
          <w:sz w:val="24"/>
          <w:szCs w:val="24"/>
          <w:lang w:val="es-ES_tradnl"/>
        </w:rPr>
        <w:t xml:space="preserve">se decretó el cierre de instrucción, y se </w:t>
      </w:r>
      <w:r w:rsidRPr="007947A9">
        <w:rPr>
          <w:rFonts w:ascii="Palatino Linotype" w:eastAsia="Palatino Linotype" w:hAnsi="Palatino Linotype" w:cs="Palatino Linotype"/>
          <w:sz w:val="24"/>
          <w:szCs w:val="24"/>
        </w:rPr>
        <w:t xml:space="preserve">ordenó la Resolución que conforme a Derecho proceda, de acuerdo con los siguientes: </w:t>
      </w:r>
    </w:p>
    <w:p w14:paraId="4B368BFF" w14:textId="77777777" w:rsidR="00702D6B" w:rsidRDefault="00702D6B" w:rsidP="00702D6B">
      <w:pPr>
        <w:spacing w:before="240" w:line="360" w:lineRule="auto"/>
        <w:jc w:val="both"/>
        <w:rPr>
          <w:rFonts w:ascii="Palatino Linotype" w:hAnsi="Palatino Linotype" w:cs="Arial"/>
          <w:sz w:val="24"/>
          <w:szCs w:val="24"/>
        </w:rPr>
      </w:pPr>
    </w:p>
    <w:p w14:paraId="06A5A0CA" w14:textId="77777777" w:rsidR="00702D6B" w:rsidRDefault="00702D6B" w:rsidP="00702D6B">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14:paraId="1B160F1F" w14:textId="77777777" w:rsidR="00702D6B" w:rsidRDefault="00702D6B" w:rsidP="00702D6B">
      <w:pPr>
        <w:spacing w:before="240" w:line="360" w:lineRule="auto"/>
        <w:jc w:val="both"/>
        <w:rPr>
          <w:rFonts w:ascii="Palatino Linotype" w:hAnsi="Palatino Linotype" w:cs="Arial"/>
          <w:sz w:val="24"/>
        </w:rPr>
      </w:pPr>
      <w:r w:rsidRPr="00C43323">
        <w:rPr>
          <w:rFonts w:ascii="Palatino Linotype" w:hAnsi="Palatino Linotype" w:cs="Arial"/>
          <w:b/>
          <w:sz w:val="28"/>
        </w:rPr>
        <w:t>PRIMERO.</w:t>
      </w:r>
      <w:r w:rsidRPr="00D24A52">
        <w:rPr>
          <w:rFonts w:ascii="Palatino Linotype" w:hAnsi="Palatino Linotype" w:cs="Arial"/>
          <w:b/>
        </w:rPr>
        <w:t xml:space="preserve"> </w:t>
      </w:r>
      <w:r w:rsidRPr="0087163A">
        <w:rPr>
          <w:rFonts w:ascii="Palatino Linotype" w:hAnsi="Palatino Linotype" w:cs="Arial"/>
          <w:b/>
          <w:sz w:val="28"/>
          <w:szCs w:val="28"/>
        </w:rPr>
        <w:t>De la competencia</w:t>
      </w:r>
      <w:r w:rsidRPr="0087163A">
        <w:rPr>
          <w:rFonts w:ascii="Palatino Linotype" w:hAnsi="Palatino Linotype" w:cs="Arial"/>
          <w:sz w:val="28"/>
          <w:szCs w:val="28"/>
        </w:rPr>
        <w:t>.</w:t>
      </w:r>
    </w:p>
    <w:p w14:paraId="384ED268" w14:textId="77777777" w:rsidR="00702D6B" w:rsidRPr="008A2022" w:rsidRDefault="00702D6B" w:rsidP="00702D6B">
      <w:pPr>
        <w:spacing w:line="360" w:lineRule="auto"/>
        <w:jc w:val="both"/>
        <w:rPr>
          <w:rFonts w:ascii="Palatino Linotype" w:hAnsi="Palatino Linotype"/>
          <w:sz w:val="24"/>
          <w:szCs w:val="24"/>
        </w:rPr>
      </w:pPr>
      <w:r w:rsidRPr="008A2022">
        <w:rPr>
          <w:rFonts w:ascii="Palatino Linotype" w:hAnsi="Palatino Linotype"/>
          <w:sz w:val="24"/>
          <w:szCs w:val="24"/>
        </w:rPr>
        <w:t xml:space="preserve">Este Instituto de Transparencia, Acceso a la Información Pública y Protección de Datos Personales del Estado de México y Municipios es </w:t>
      </w:r>
      <w:r w:rsidRPr="004C380A">
        <w:rPr>
          <w:rFonts w:ascii="Palatino Linotype" w:hAnsi="Palatino Linotype"/>
          <w:sz w:val="24"/>
          <w:szCs w:val="24"/>
        </w:rPr>
        <w:t>competente para conocer y resolver el presente Recurso de Revisión, conforme a lo dispuesto en el artículo 5, párrafos trigésimo séptimo, trigésimo octavo y trigésimo noveno fracciones IV y V de la Constitución Política del Estado Libre y Soberano de México;</w:t>
      </w:r>
      <w:r w:rsidRPr="008A2022">
        <w:rPr>
          <w:rFonts w:ascii="Palatino Linotype" w:hAnsi="Palatino Linotype"/>
          <w:sz w:val="24"/>
          <w:szCs w:val="24"/>
        </w:rPr>
        <w:t xml:space="preserve"> ordinal 2, fracción II, 13, </w:t>
      </w:r>
      <w:r w:rsidRPr="008A2022">
        <w:rPr>
          <w:rFonts w:ascii="Palatino Linotype" w:hAnsi="Palatino Linotype"/>
          <w:sz w:val="24"/>
          <w:szCs w:val="24"/>
        </w:rPr>
        <w:lastRenderedPageBreak/>
        <w:t>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Pr>
          <w:rFonts w:ascii="Palatino Linotype" w:hAnsi="Palatino Linotype"/>
          <w:sz w:val="24"/>
          <w:szCs w:val="24"/>
        </w:rPr>
        <w:t xml:space="preserve">. </w:t>
      </w:r>
    </w:p>
    <w:p w14:paraId="42EAB7D2" w14:textId="77777777" w:rsidR="00702D6B" w:rsidRDefault="00702D6B" w:rsidP="00702D6B">
      <w:pPr>
        <w:pStyle w:val="Prrafodelista"/>
        <w:autoSpaceDE w:val="0"/>
        <w:autoSpaceDN w:val="0"/>
        <w:adjustRightInd w:val="0"/>
        <w:spacing w:before="240" w:after="160" w:line="360" w:lineRule="auto"/>
        <w:ind w:left="0"/>
        <w:jc w:val="both"/>
        <w:rPr>
          <w:rFonts w:ascii="Palatino Linotype" w:hAnsi="Palatino Linotype" w:cs="Arial"/>
          <w:bCs/>
          <w:lang w:val="es-MX"/>
        </w:rPr>
      </w:pPr>
    </w:p>
    <w:p w14:paraId="1C2F2C06" w14:textId="77777777" w:rsidR="00702D6B" w:rsidRPr="004D1393" w:rsidRDefault="00702D6B" w:rsidP="00702D6B">
      <w:pPr>
        <w:autoSpaceDE w:val="0"/>
        <w:autoSpaceDN w:val="0"/>
        <w:adjustRightInd w:val="0"/>
        <w:spacing w:after="0" w:line="360" w:lineRule="auto"/>
        <w:jc w:val="both"/>
        <w:rPr>
          <w:rFonts w:ascii="Palatino Linotype" w:eastAsia="Palatino Linotype" w:hAnsi="Palatino Linotype" w:cs="Palatino Linotype"/>
          <w:sz w:val="28"/>
          <w:szCs w:val="28"/>
        </w:rPr>
      </w:pPr>
      <w:r w:rsidRPr="004D1393">
        <w:rPr>
          <w:rFonts w:ascii="Palatino Linotype" w:hAnsi="Palatino Linotype" w:cs="Arial"/>
          <w:b/>
          <w:sz w:val="28"/>
          <w:szCs w:val="28"/>
        </w:rPr>
        <w:t xml:space="preserve">SEGUNDO. De la </w:t>
      </w:r>
      <w:r w:rsidRPr="004D1393">
        <w:rPr>
          <w:rFonts w:ascii="Palatino Linotype" w:eastAsia="Palatino Linotype" w:hAnsi="Palatino Linotype" w:cs="Palatino Linotype"/>
          <w:b/>
          <w:sz w:val="28"/>
          <w:szCs w:val="28"/>
        </w:rPr>
        <w:t>Oportunidad y Procedencia del Recurso de Revisión</w:t>
      </w:r>
      <w:r w:rsidRPr="004D1393">
        <w:rPr>
          <w:rFonts w:ascii="Palatino Linotype" w:eastAsia="Palatino Linotype" w:hAnsi="Palatino Linotype" w:cs="Palatino Linotype"/>
          <w:sz w:val="28"/>
          <w:szCs w:val="28"/>
        </w:rPr>
        <w:t>.</w:t>
      </w:r>
    </w:p>
    <w:p w14:paraId="58B89428" w14:textId="77777777" w:rsidR="00702D6B" w:rsidRPr="007947A9" w:rsidRDefault="00702D6B" w:rsidP="00702D6B">
      <w:pPr>
        <w:autoSpaceDE w:val="0"/>
        <w:autoSpaceDN w:val="0"/>
        <w:adjustRightInd w:val="0"/>
        <w:spacing w:after="0" w:line="360" w:lineRule="auto"/>
        <w:jc w:val="both"/>
        <w:rPr>
          <w:rFonts w:ascii="Palatino Linotype" w:hAnsi="Palatino Linotype" w:cs="Arial"/>
          <w:b/>
          <w:sz w:val="24"/>
          <w:szCs w:val="24"/>
        </w:rPr>
      </w:pPr>
      <w:r w:rsidRPr="007947A9">
        <w:rPr>
          <w:rFonts w:ascii="Palatino Linotype" w:hAnsi="Palatino Linotype" w:cs="Arial"/>
          <w:sz w:val="24"/>
          <w:szCs w:val="24"/>
        </w:rPr>
        <w:t xml:space="preserve">El artículo 178 de la Ley de Transparencia y Acceso a la Información Pública del Estado de México y Municipios establece que </w:t>
      </w:r>
      <w:r w:rsidRPr="007947A9">
        <w:rPr>
          <w:rFonts w:ascii="Palatino Linotype" w:hAnsi="Palatino Linotype"/>
          <w:sz w:val="24"/>
          <w:szCs w:val="24"/>
        </w:rPr>
        <w:t xml:space="preserve">el solicitante podrá́ interponer, por sí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y que ante la falta de respuesta del sujeto obligado, dentro de los plazos establecidos en la Ley de Transparencia Local, a una solicitud de acceso a la información pública, el recurso podrá́ ser interpuesto en cualquier momento, </w:t>
      </w:r>
      <w:r w:rsidRPr="007947A9">
        <w:rPr>
          <w:rFonts w:ascii="Palatino Linotype" w:hAnsi="Palatino Linotype" w:cs="Arial"/>
          <w:sz w:val="24"/>
          <w:szCs w:val="24"/>
        </w:rPr>
        <w:t>por lo que la interposición del presente recurso de revisión resulta oportuna.</w:t>
      </w:r>
    </w:p>
    <w:p w14:paraId="3C18A24A" w14:textId="77777777" w:rsidR="00702D6B" w:rsidRPr="007947A9" w:rsidRDefault="00702D6B" w:rsidP="00702D6B">
      <w:pPr>
        <w:autoSpaceDE w:val="0"/>
        <w:autoSpaceDN w:val="0"/>
        <w:adjustRightInd w:val="0"/>
        <w:spacing w:after="0" w:line="360" w:lineRule="auto"/>
        <w:jc w:val="both"/>
        <w:rPr>
          <w:rFonts w:ascii="Palatino Linotype" w:hAnsi="Palatino Linotype" w:cs="Arial"/>
          <w:sz w:val="24"/>
          <w:szCs w:val="24"/>
        </w:rPr>
      </w:pPr>
    </w:p>
    <w:p w14:paraId="1816CFF8" w14:textId="77777777" w:rsidR="00702D6B" w:rsidRPr="007947A9" w:rsidRDefault="00702D6B" w:rsidP="00702D6B">
      <w:pPr>
        <w:autoSpaceDE w:val="0"/>
        <w:autoSpaceDN w:val="0"/>
        <w:adjustRightInd w:val="0"/>
        <w:spacing w:after="0" w:line="360" w:lineRule="auto"/>
        <w:jc w:val="both"/>
        <w:rPr>
          <w:rFonts w:ascii="Palatino Linotype" w:eastAsia="Palatino Linotype" w:hAnsi="Palatino Linotype" w:cs="Palatino Linotype"/>
          <w:sz w:val="24"/>
          <w:szCs w:val="24"/>
        </w:rPr>
      </w:pPr>
      <w:r w:rsidRPr="007947A9">
        <w:rPr>
          <w:rFonts w:ascii="Palatino Linotype" w:hAnsi="Palatino Linotype" w:cs="Arial"/>
          <w:sz w:val="24"/>
          <w:szCs w:val="24"/>
        </w:rPr>
        <w:t xml:space="preserve">El artículo 180 de la Ley de Transparencia y Acceso a la Información Pública del Estado de México y Municipios, señala los requisitos que deberán contener los recursos de revisión, como lo es, el nombre del solicitante que recurre; sin embargo, </w:t>
      </w:r>
      <w:r w:rsidRPr="007947A9">
        <w:rPr>
          <w:rFonts w:ascii="Palatino Linotype" w:eastAsia="Palatino Linotype" w:hAnsi="Palatino Linotype" w:cs="Palatino Linotype"/>
          <w:sz w:val="24"/>
          <w:szCs w:val="24"/>
        </w:rPr>
        <w:t xml:space="preserve">en su último párrafo establece que cuando el recurso se interponga de manera electrónica, no será indispensable que contenga determinados requisitos, entre ellos, el nombre de la parte </w:t>
      </w:r>
      <w:r w:rsidRPr="007947A9">
        <w:rPr>
          <w:rFonts w:ascii="Palatino Linotype" w:eastAsia="Palatino Linotype" w:hAnsi="Palatino Linotype" w:cs="Palatino Linotype"/>
          <w:b/>
          <w:sz w:val="24"/>
          <w:szCs w:val="24"/>
        </w:rPr>
        <w:lastRenderedPageBreak/>
        <w:t>Recurrente</w:t>
      </w:r>
      <w:r w:rsidRPr="007947A9">
        <w:rPr>
          <w:rFonts w:ascii="Palatino Linotype" w:eastAsia="Palatino Linotype" w:hAnsi="Palatino Linotype" w:cs="Palatino Linotype"/>
          <w:sz w:val="24"/>
          <w:szCs w:val="24"/>
        </w:rPr>
        <w:t xml:space="preserve">, por lo que, en el presente caso, al haber sido presentado el recurso de revisión vía </w:t>
      </w:r>
      <w:r w:rsidRPr="007947A9">
        <w:rPr>
          <w:rFonts w:ascii="Palatino Linotype" w:eastAsia="Palatino Linotype" w:hAnsi="Palatino Linotype" w:cs="Palatino Linotype"/>
          <w:b/>
          <w:sz w:val="24"/>
          <w:szCs w:val="24"/>
        </w:rPr>
        <w:t>SAIMEX</w:t>
      </w:r>
      <w:r w:rsidRPr="007947A9">
        <w:rPr>
          <w:rFonts w:ascii="Palatino Linotype" w:eastAsia="Palatino Linotype" w:hAnsi="Palatino Linotype" w:cs="Palatino Linotype"/>
          <w:sz w:val="24"/>
          <w:szCs w:val="24"/>
        </w:rPr>
        <w:t>, dicho requisito resulta innecesario.</w:t>
      </w:r>
    </w:p>
    <w:p w14:paraId="3E3523D4" w14:textId="77777777" w:rsidR="00702D6B" w:rsidRPr="007947A9" w:rsidRDefault="00702D6B" w:rsidP="00702D6B">
      <w:pPr>
        <w:autoSpaceDE w:val="0"/>
        <w:autoSpaceDN w:val="0"/>
        <w:adjustRightInd w:val="0"/>
        <w:spacing w:after="0" w:line="360" w:lineRule="auto"/>
        <w:jc w:val="both"/>
        <w:rPr>
          <w:rFonts w:ascii="Palatino Linotype" w:hAnsi="Palatino Linotype" w:cs="Arial"/>
          <w:sz w:val="24"/>
          <w:szCs w:val="24"/>
        </w:rPr>
      </w:pPr>
    </w:p>
    <w:p w14:paraId="17AC417A" w14:textId="77777777" w:rsidR="00702D6B" w:rsidRPr="007947A9" w:rsidRDefault="00702D6B" w:rsidP="00702D6B">
      <w:pPr>
        <w:spacing w:before="240" w:after="240" w:line="360" w:lineRule="auto"/>
        <w:jc w:val="both"/>
        <w:rPr>
          <w:rFonts w:ascii="Palatino Linotype" w:eastAsia="Palatino Linotype" w:hAnsi="Palatino Linotype" w:cs="Palatino Linotype"/>
          <w:i/>
          <w:sz w:val="24"/>
          <w:szCs w:val="24"/>
        </w:rPr>
      </w:pPr>
      <w:r w:rsidRPr="007947A9">
        <w:rPr>
          <w:rFonts w:ascii="Palatino Linotype" w:eastAsia="Palatino Linotype" w:hAnsi="Palatino Linotype" w:cs="Palatino Linotype"/>
          <w:sz w:val="24"/>
          <w:szCs w:val="24"/>
        </w:rPr>
        <w:t xml:space="preserve">El artículo 179 fracción VII de la Ley de Transparencia y Acceso a la Información Pública del Estado de México y Municipios establece como supuesto de procedencia del recurso de revisión, la falta de respuesta a una solicitud de información por el </w:t>
      </w:r>
      <w:r w:rsidRPr="007947A9">
        <w:rPr>
          <w:rFonts w:ascii="Palatino Linotype" w:eastAsia="Palatino Linotype" w:hAnsi="Palatino Linotype" w:cs="Palatino Linotype"/>
          <w:b/>
          <w:sz w:val="24"/>
          <w:szCs w:val="24"/>
        </w:rPr>
        <w:t>Sujeto Obligado</w:t>
      </w:r>
      <w:r w:rsidRPr="007947A9">
        <w:rPr>
          <w:rFonts w:ascii="Palatino Linotype" w:eastAsia="Palatino Linotype" w:hAnsi="Palatino Linotype" w:cs="Palatino Linotype"/>
          <w:sz w:val="24"/>
          <w:szCs w:val="24"/>
        </w:rPr>
        <w:t xml:space="preserve">, hipótesis jurídica que se actualiza en este caso, aunado a que la parte </w:t>
      </w:r>
      <w:r w:rsidRPr="007947A9">
        <w:rPr>
          <w:rFonts w:ascii="Palatino Linotype" w:eastAsia="Palatino Linotype" w:hAnsi="Palatino Linotype" w:cs="Palatino Linotype"/>
          <w:b/>
          <w:sz w:val="24"/>
          <w:szCs w:val="24"/>
        </w:rPr>
        <w:t>Recurrente</w:t>
      </w:r>
      <w:r w:rsidRPr="007947A9">
        <w:rPr>
          <w:rFonts w:ascii="Palatino Linotype" w:eastAsia="Palatino Linotype" w:hAnsi="Palatino Linotype" w:cs="Palatino Linotype"/>
          <w:sz w:val="24"/>
          <w:szCs w:val="24"/>
        </w:rPr>
        <w:t xml:space="preserve"> combate falta de trámite por el </w:t>
      </w:r>
      <w:r w:rsidRPr="007947A9">
        <w:rPr>
          <w:rFonts w:ascii="Palatino Linotype" w:eastAsia="Palatino Linotype" w:hAnsi="Palatino Linotype" w:cs="Palatino Linotype"/>
          <w:b/>
          <w:sz w:val="24"/>
          <w:szCs w:val="24"/>
        </w:rPr>
        <w:t>Sujeto Obligado</w:t>
      </w:r>
      <w:r w:rsidRPr="007947A9">
        <w:rPr>
          <w:rFonts w:ascii="Palatino Linotype" w:eastAsia="Palatino Linotype" w:hAnsi="Palatino Linotype" w:cs="Palatino Linotype"/>
          <w:sz w:val="24"/>
          <w:szCs w:val="24"/>
        </w:rPr>
        <w:t xml:space="preserve"> y expresa motivos de inconformidad en contra de dicha circunstancia.</w:t>
      </w:r>
    </w:p>
    <w:p w14:paraId="4658A768" w14:textId="77777777" w:rsidR="00702D6B" w:rsidRPr="007947A9" w:rsidRDefault="00702D6B" w:rsidP="00702D6B">
      <w:pPr>
        <w:autoSpaceDE w:val="0"/>
        <w:autoSpaceDN w:val="0"/>
        <w:adjustRightInd w:val="0"/>
        <w:spacing w:after="0" w:line="360" w:lineRule="auto"/>
        <w:jc w:val="both"/>
        <w:rPr>
          <w:rFonts w:ascii="Palatino Linotype" w:hAnsi="Palatino Linotype" w:cs="Arial"/>
          <w:sz w:val="24"/>
          <w:szCs w:val="24"/>
        </w:rPr>
      </w:pPr>
    </w:p>
    <w:p w14:paraId="521B2290" w14:textId="77777777" w:rsidR="00702D6B" w:rsidRPr="007947A9" w:rsidRDefault="00702D6B" w:rsidP="00702D6B">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7947A9">
        <w:rPr>
          <w:rFonts w:ascii="Palatino Linotype" w:eastAsia="Times New Roman" w:hAnsi="Palatino Linotype" w:cs="Arial"/>
          <w:sz w:val="24"/>
          <w:szCs w:val="24"/>
          <w:lang w:val="es-ES" w:eastAsia="es-ES"/>
        </w:rPr>
        <w:t>Asimismo,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procedimentales para atender el fondo del asunto, en los términos del considerando posterior.</w:t>
      </w:r>
    </w:p>
    <w:p w14:paraId="7609C9B9" w14:textId="77777777" w:rsidR="00702D6B" w:rsidRDefault="00702D6B" w:rsidP="00702D6B">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4173C65" w14:textId="77777777" w:rsidR="00CF0EC0" w:rsidRDefault="00CF0EC0" w:rsidP="00CF0EC0">
      <w:pPr>
        <w:tabs>
          <w:tab w:val="left" w:pos="709"/>
        </w:tabs>
        <w:spacing w:before="240" w:line="360" w:lineRule="auto"/>
        <w:ind w:right="51"/>
        <w:jc w:val="both"/>
        <w:rPr>
          <w:rFonts w:ascii="Palatino Linotype" w:hAnsi="Palatino Linotype"/>
          <w:b/>
          <w:sz w:val="28"/>
          <w:szCs w:val="28"/>
        </w:rPr>
      </w:pPr>
      <w:r>
        <w:rPr>
          <w:rFonts w:ascii="Palatino Linotype" w:hAnsi="Palatino Linotype"/>
          <w:b/>
          <w:sz w:val="28"/>
          <w:szCs w:val="28"/>
        </w:rPr>
        <w:t>TERCERO</w:t>
      </w:r>
      <w:r w:rsidRPr="007D15EF">
        <w:rPr>
          <w:rFonts w:ascii="Palatino Linotype" w:hAnsi="Palatino Linotype"/>
          <w:b/>
          <w:sz w:val="28"/>
          <w:szCs w:val="28"/>
        </w:rPr>
        <w:t xml:space="preserve">. </w:t>
      </w:r>
      <w:r w:rsidRPr="009510B5">
        <w:rPr>
          <w:rFonts w:ascii="Palatino Linotype" w:hAnsi="Palatino Linotype" w:cs="Arial"/>
          <w:b/>
          <w:sz w:val="28"/>
          <w:szCs w:val="28"/>
        </w:rPr>
        <w:t>Del estudio de las causas de improcedencia y sobreseimiento</w:t>
      </w:r>
    </w:p>
    <w:p w14:paraId="7A74AD8E" w14:textId="77777777" w:rsidR="00CF0EC0" w:rsidRDefault="00CF0EC0" w:rsidP="00CF0EC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w:t>
      </w:r>
      <w:r>
        <w:rPr>
          <w:rFonts w:ascii="Palatino Linotype" w:hAnsi="Palatino Linotype" w:cs="Arial"/>
        </w:rPr>
        <w:lastRenderedPageBreak/>
        <w:t xml:space="preserve">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693309A2" w14:textId="77777777" w:rsidR="00CF0EC0" w:rsidRDefault="00CF0EC0" w:rsidP="00CF0EC0">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66057F2A" w14:textId="77777777" w:rsidR="00CF0EC0" w:rsidRDefault="00CF0EC0" w:rsidP="00CF0EC0">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 xml:space="preserve">revisión ante </w:t>
      </w:r>
      <w:r w:rsidRPr="00552846">
        <w:rPr>
          <w:rFonts w:ascii="Palatino Linotype" w:hAnsi="Palatino Linotype" w:cs="Arial"/>
          <w:sz w:val="24"/>
          <w:szCs w:val="24"/>
        </w:rPr>
        <w:lastRenderedPageBreak/>
        <w:t>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7BEC5D00" w14:textId="77777777" w:rsidR="00CF0EC0" w:rsidRDefault="00CF0EC0" w:rsidP="00CF0EC0">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 xml:space="preserve">Ya que el planteamiento del problema es de toral importancia, a efecto de determinar la intención o voluntad </w:t>
      </w:r>
      <w:r>
        <w:rPr>
          <w:rFonts w:ascii="Palatino Linotype" w:hAnsi="Palatino Linotype" w:cs="Arial"/>
          <w:sz w:val="24"/>
          <w:szCs w:val="24"/>
        </w:rPr>
        <w:t>del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35B8B4AC" w14:textId="77777777" w:rsidR="00CF0EC0" w:rsidRPr="006B413D" w:rsidRDefault="00CF0EC0" w:rsidP="00CF0EC0">
      <w:pPr>
        <w:spacing w:line="360" w:lineRule="auto"/>
        <w:jc w:val="both"/>
        <w:rPr>
          <w:rFonts w:ascii="Palatino Linotype" w:hAnsi="Palatino Linotype"/>
          <w:sz w:val="24"/>
          <w:szCs w:val="24"/>
        </w:rPr>
      </w:pPr>
      <w:r w:rsidRPr="006B413D">
        <w:rPr>
          <w:rFonts w:ascii="Palatino Linotype" w:hAnsi="Palatino Linotype"/>
          <w:sz w:val="24"/>
          <w:szCs w:val="24"/>
        </w:rPr>
        <w:t xml:space="preserve">Antes del entrar al estudio, cabe precisar que </w:t>
      </w:r>
      <w:r w:rsidRPr="006B413D">
        <w:rPr>
          <w:rFonts w:ascii="Palatino Linotype" w:hAnsi="Palatino Linotype"/>
          <w:b/>
          <w:sz w:val="24"/>
          <w:szCs w:val="24"/>
        </w:rPr>
        <w:t>El Sujeto Obligado</w:t>
      </w:r>
      <w:r w:rsidRPr="006B413D">
        <w:rPr>
          <w:rFonts w:ascii="Palatino Linotype" w:hAnsi="Palatino Linotype"/>
          <w:sz w:val="24"/>
          <w:szCs w:val="24"/>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 en las fracciones I y VII, del artículo 179, de la Ley de Transparencia y Acceso a la Información Pública del Estado de México y Municipios,</w:t>
      </w:r>
      <w:r w:rsidRPr="006B413D">
        <w:rPr>
          <w:rFonts w:ascii="Palatino Linotype" w:hAnsi="Palatino Linotype"/>
          <w:b/>
          <w:sz w:val="24"/>
          <w:szCs w:val="24"/>
        </w:rPr>
        <w:t xml:space="preserve"> </w:t>
      </w:r>
      <w:r w:rsidRPr="006B413D">
        <w:rPr>
          <w:rFonts w:ascii="Palatino Linotype" w:hAnsi="Palatino Linotype"/>
          <w:sz w:val="24"/>
          <w:szCs w:val="24"/>
        </w:rPr>
        <w:t>resultando procedente la interposición del recurso de revisión cuando no se dé respuesta a una solicitud de información.</w:t>
      </w:r>
    </w:p>
    <w:p w14:paraId="09F80514" w14:textId="77777777" w:rsidR="00CF0EC0" w:rsidRPr="006B413D" w:rsidRDefault="00CF0EC0" w:rsidP="00CF0EC0">
      <w:pPr>
        <w:spacing w:line="360" w:lineRule="auto"/>
        <w:jc w:val="both"/>
        <w:rPr>
          <w:rFonts w:ascii="Palatino Linotype" w:hAnsi="Palatino Linotype"/>
          <w:sz w:val="24"/>
          <w:szCs w:val="24"/>
        </w:rPr>
      </w:pPr>
      <w:r w:rsidRPr="006B413D">
        <w:rPr>
          <w:rFonts w:ascii="Palatino Linotype" w:hAnsi="Palatino Linotype"/>
          <w:sz w:val="24"/>
          <w:szCs w:val="24"/>
        </w:rPr>
        <w:lastRenderedPageBreak/>
        <w:t xml:space="preserve">Así las cosas, ante la omisión del Sujeto Obligado para dar respuesta al </w:t>
      </w:r>
      <w:r w:rsidRPr="006B413D">
        <w:rPr>
          <w:rFonts w:ascii="Palatino Linotype" w:hAnsi="Palatino Linotype"/>
          <w:b/>
          <w:sz w:val="24"/>
          <w:szCs w:val="24"/>
        </w:rPr>
        <w:t>Recurrente</w:t>
      </w:r>
      <w:r w:rsidRPr="006B413D">
        <w:rPr>
          <w:rFonts w:ascii="Palatino Linotype" w:hAnsi="Palatino Linotype"/>
          <w:sz w:val="24"/>
          <w:szCs w:val="24"/>
        </w:rPr>
        <w:t xml:space="preserve">, se advierte lo que en la doctrina se le conoce como </w:t>
      </w:r>
      <w:r w:rsidRPr="006B413D">
        <w:rPr>
          <w:rFonts w:ascii="Palatino Linotype" w:hAnsi="Palatino Linotype"/>
          <w:b/>
          <w:i/>
          <w:sz w:val="24"/>
          <w:szCs w:val="24"/>
        </w:rPr>
        <w:t>negativa ficta</w:t>
      </w:r>
      <w:r w:rsidRPr="006B413D">
        <w:rPr>
          <w:rFonts w:ascii="Palatino Linotype" w:hAnsi="Palatino Linotype"/>
          <w:sz w:val="24"/>
          <w:szCs w:val="24"/>
        </w:rPr>
        <w:t>, figura jurídica cuya esencia consiste en atribuir un efecto negativo al silencio de la autoridad administrativa frente a las instancias y solicitudes que hagan los particulares.</w:t>
      </w:r>
    </w:p>
    <w:p w14:paraId="0AE77489" w14:textId="77777777" w:rsidR="00CF0EC0" w:rsidRPr="006B413D" w:rsidRDefault="00CF0EC0" w:rsidP="00CF0EC0">
      <w:pPr>
        <w:spacing w:line="360" w:lineRule="auto"/>
        <w:jc w:val="both"/>
        <w:rPr>
          <w:rFonts w:ascii="Palatino Linotype" w:hAnsi="Palatino Linotype"/>
          <w:sz w:val="24"/>
          <w:szCs w:val="24"/>
        </w:rPr>
      </w:pPr>
      <w:r w:rsidRPr="006B413D">
        <w:rPr>
          <w:rFonts w:ascii="Palatino Linotype" w:hAnsi="Palatino Linotype"/>
          <w:sz w:val="24"/>
          <w:szCs w:val="24"/>
        </w:rPr>
        <w:t xml:space="preserve">En este sentido la </w:t>
      </w:r>
      <w:r w:rsidRPr="006B413D">
        <w:rPr>
          <w:rFonts w:ascii="Palatino Linotype" w:hAnsi="Palatino Linotype"/>
          <w:i/>
          <w:sz w:val="24"/>
          <w:szCs w:val="24"/>
        </w:rPr>
        <w:t>negativa ficta</w:t>
      </w:r>
      <w:r w:rsidRPr="006B413D">
        <w:rPr>
          <w:rFonts w:ascii="Palatino Linotype" w:hAnsi="Palatino Linotype"/>
          <w:sz w:val="24"/>
          <w:szCs w:val="24"/>
        </w:rPr>
        <w:t xml:space="preserve"> constituye una presunción legal, en el entendido de que donde no hubo respuesta por parte del Sujeto Obligado</w:t>
      </w:r>
      <w:r w:rsidRPr="006B413D">
        <w:rPr>
          <w:rFonts w:ascii="Palatino Linotype" w:hAnsi="Palatino Linotype"/>
          <w:b/>
          <w:sz w:val="24"/>
          <w:szCs w:val="24"/>
        </w:rPr>
        <w:t xml:space="preserve"> </w:t>
      </w:r>
      <w:r w:rsidRPr="006B413D">
        <w:rPr>
          <w:rFonts w:ascii="Palatino Linotype" w:hAnsi="Palatino Linotype"/>
          <w:sz w:val="24"/>
          <w:szCs w:val="24"/>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6B413D">
        <w:rPr>
          <w:rFonts w:ascii="Palatino Linotype" w:hAnsi="Palatino Linotype"/>
          <w:i/>
          <w:sz w:val="24"/>
          <w:szCs w:val="24"/>
        </w:rPr>
        <w:t>Estado de Derecho</w:t>
      </w:r>
      <w:r w:rsidRPr="006B413D">
        <w:rPr>
          <w:rFonts w:ascii="Palatino Linotype" w:hAnsi="Palatino Linotype"/>
          <w:sz w:val="24"/>
          <w:szCs w:val="24"/>
        </w:rPr>
        <w:t xml:space="preserve"> en el que, el particular, tiene siempre una vía de defensa.</w:t>
      </w:r>
    </w:p>
    <w:p w14:paraId="6C6E5BF2" w14:textId="77777777" w:rsidR="00CF0EC0" w:rsidRPr="006B413D" w:rsidRDefault="00CF0EC0" w:rsidP="00CF0EC0">
      <w:pPr>
        <w:spacing w:line="360" w:lineRule="auto"/>
        <w:jc w:val="both"/>
        <w:rPr>
          <w:rFonts w:ascii="Palatino Linotype" w:hAnsi="Palatino Linotype"/>
          <w:sz w:val="24"/>
          <w:szCs w:val="24"/>
        </w:rPr>
      </w:pPr>
      <w:r w:rsidRPr="006B413D">
        <w:rPr>
          <w:rFonts w:ascii="Palatino Linotype" w:hAnsi="Palatino Linotype"/>
          <w:sz w:val="24"/>
          <w:szCs w:val="24"/>
        </w:rPr>
        <w:t xml:space="preserve">En tal tesitura en el marco del derecho de acceso a la información pública, la figura de la </w:t>
      </w:r>
      <w:r w:rsidRPr="006B413D">
        <w:rPr>
          <w:rFonts w:ascii="Palatino Linotype" w:hAnsi="Palatino Linotype"/>
          <w:i/>
          <w:sz w:val="24"/>
          <w:szCs w:val="24"/>
        </w:rPr>
        <w:t>negativa ficta</w:t>
      </w:r>
      <w:r w:rsidRPr="006B413D">
        <w:rPr>
          <w:rFonts w:ascii="Palatino Linotype" w:hAnsi="Palatino Linotype"/>
          <w:sz w:val="24"/>
          <w:szCs w:val="24"/>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60CA4B3F" w14:textId="77777777" w:rsidR="00CF0EC0" w:rsidRPr="00CF0F1D" w:rsidRDefault="00CF0EC0" w:rsidP="00CF0EC0">
      <w:pPr>
        <w:pStyle w:val="Citas"/>
      </w:pPr>
      <w:r>
        <w:rPr>
          <w:b/>
        </w:rPr>
        <w:t>“</w:t>
      </w:r>
      <w:r w:rsidRPr="00CF0F1D">
        <w:rPr>
          <w:b/>
        </w:rPr>
        <w:t>Artículo 4.</w:t>
      </w:r>
      <w:r w:rsidRPr="00CF0F1D">
        <w:t xml:space="preserve"> El derecho humano de acceso a la información pública es la prerrogativa de las personas para buscar, difundir, investigar, recabar, recibir y solicitar información pública, sin necesidad de acreditar personalidad ni interés jurídico.</w:t>
      </w:r>
    </w:p>
    <w:p w14:paraId="4BB5A54D" w14:textId="77777777" w:rsidR="00CF0EC0" w:rsidRPr="00CF0F1D" w:rsidRDefault="00CF0EC0" w:rsidP="00CF0EC0">
      <w:pPr>
        <w:pStyle w:val="Citas"/>
      </w:pPr>
      <w:r w:rsidRPr="00CF0F1D">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29346A7" w14:textId="77777777" w:rsidR="00CF0EC0" w:rsidRPr="00CF0F1D" w:rsidRDefault="00CF0EC0" w:rsidP="00CF0EC0">
      <w:pPr>
        <w:pStyle w:val="Citas"/>
      </w:pPr>
      <w:r w:rsidRPr="00CF0F1D">
        <w:t>Los sujetos obligados deben poner en práctica, políticas y programas de acceso a la información que se apeguen a criterios de publicidad, veracidad, oportunidad, precisión y suficiencia en beneficio de los solicitantes.</w:t>
      </w:r>
    </w:p>
    <w:p w14:paraId="370A39AE" w14:textId="77777777" w:rsidR="00CF0EC0" w:rsidRPr="00CF0F1D" w:rsidRDefault="00CF0EC0" w:rsidP="00CF0EC0">
      <w:pPr>
        <w:pStyle w:val="Citas"/>
      </w:pPr>
      <w:r w:rsidRPr="00CF0F1D">
        <w:rPr>
          <w:b/>
        </w:rPr>
        <w:t>Artículo 12.</w:t>
      </w:r>
      <w:r w:rsidRPr="00CF0F1D">
        <w:t xml:space="preserve"> Quienes generen, recopilen, administren, manejen, procesen, archiven o conserven información pública serán responsables de la misma en los términos de las disposiciones jurídicas aplicables.</w:t>
      </w:r>
    </w:p>
    <w:p w14:paraId="1E5386DA" w14:textId="77777777" w:rsidR="00CF0EC0" w:rsidRPr="00CF0F1D" w:rsidRDefault="00CF0EC0" w:rsidP="00CF0EC0">
      <w:pPr>
        <w:pStyle w:val="Citas"/>
      </w:pPr>
      <w:r w:rsidRPr="00CF0F1D">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5692D58" w14:textId="77777777" w:rsidR="00CF0EC0" w:rsidRPr="00CF0F1D" w:rsidRDefault="00CF0EC0" w:rsidP="00CF0EC0">
      <w:pPr>
        <w:pStyle w:val="Citas"/>
      </w:pPr>
      <w:r w:rsidRPr="00CF0F1D">
        <w:t>(…)</w:t>
      </w:r>
    </w:p>
    <w:p w14:paraId="2EFD3BC6" w14:textId="77777777" w:rsidR="00CF0EC0" w:rsidRPr="00CF0F1D" w:rsidRDefault="00CF0EC0" w:rsidP="00CF0EC0">
      <w:pPr>
        <w:pStyle w:val="Citas"/>
        <w:rPr>
          <w:b/>
        </w:rPr>
      </w:pPr>
      <w:r w:rsidRPr="00CF0F1D">
        <w:rPr>
          <w:b/>
        </w:rPr>
        <w:t xml:space="preserve">Artículo 24. </w:t>
      </w:r>
    </w:p>
    <w:p w14:paraId="43EAD440" w14:textId="77777777" w:rsidR="00CF0EC0" w:rsidRPr="00CF0F1D" w:rsidRDefault="00CF0EC0" w:rsidP="00CF0EC0">
      <w:pPr>
        <w:pStyle w:val="Citas"/>
      </w:pPr>
      <w:r w:rsidRPr="00CF0F1D">
        <w:t>(…)</w:t>
      </w:r>
    </w:p>
    <w:p w14:paraId="22DD735E" w14:textId="77777777" w:rsidR="00CF0EC0" w:rsidRPr="00CF0F1D" w:rsidRDefault="00CF0EC0" w:rsidP="00CF0EC0">
      <w:pPr>
        <w:pStyle w:val="Citas"/>
      </w:pPr>
      <w:r w:rsidRPr="00CF0F1D">
        <w:lastRenderedPageBreak/>
        <w:t>Los sujetos obligados solo proporcionarán la información pública que generen, administren o posean en el ejercicio de sus atribuciones.”</w:t>
      </w:r>
    </w:p>
    <w:p w14:paraId="249FA801" w14:textId="77777777" w:rsidR="00CF0EC0" w:rsidRPr="00CF0F1D" w:rsidRDefault="00CF0EC0" w:rsidP="00CF0EC0">
      <w:pPr>
        <w:pStyle w:val="Citas"/>
      </w:pPr>
      <w:r w:rsidRPr="00CF0F1D">
        <w:t>(…)</w:t>
      </w:r>
    </w:p>
    <w:p w14:paraId="1BFCF373" w14:textId="77777777" w:rsidR="00CF0EC0" w:rsidRPr="00CF0F1D" w:rsidRDefault="00CF0EC0" w:rsidP="00CF0EC0">
      <w:pPr>
        <w:pStyle w:val="Citas"/>
      </w:pPr>
      <w:r w:rsidRPr="00CF0F1D">
        <w:rPr>
          <w:b/>
        </w:rPr>
        <w:t>Artículo 160.</w:t>
      </w:r>
      <w:r w:rsidRPr="00CF0F1D">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2144863" w14:textId="77777777" w:rsidR="00CF0EC0" w:rsidRPr="004F14BE" w:rsidRDefault="00CF0EC0" w:rsidP="00CF0EC0">
      <w:pPr>
        <w:pStyle w:val="Citas"/>
        <w:rPr>
          <w:b/>
          <w:bCs/>
        </w:rPr>
      </w:pPr>
      <w:r w:rsidRPr="00CF0F1D">
        <w:t>En caso que la información solicitada consista en bases de datos se deberá privilegiar la entrega de la misma en formatos abiertos.</w:t>
      </w:r>
      <w:r>
        <w:t xml:space="preserve">” </w:t>
      </w:r>
      <w:r>
        <w:rPr>
          <w:b/>
          <w:bCs/>
        </w:rPr>
        <w:t>(Sic)</w:t>
      </w:r>
    </w:p>
    <w:p w14:paraId="6F29CDFC" w14:textId="77777777" w:rsidR="00CF0EC0" w:rsidRPr="00CF0F1D" w:rsidRDefault="00CF0EC0" w:rsidP="00CF0EC0">
      <w:pPr>
        <w:spacing w:line="360" w:lineRule="auto"/>
        <w:jc w:val="both"/>
        <w:rPr>
          <w:rFonts w:ascii="Palatino Linotype" w:hAnsi="Palatino Linotype"/>
        </w:rPr>
      </w:pPr>
    </w:p>
    <w:p w14:paraId="31D03C73" w14:textId="77777777" w:rsidR="00CF0EC0" w:rsidRPr="006B413D" w:rsidRDefault="00CF0EC0" w:rsidP="00CF0EC0">
      <w:pPr>
        <w:spacing w:line="360" w:lineRule="auto"/>
        <w:jc w:val="both"/>
        <w:rPr>
          <w:rFonts w:ascii="Palatino Linotype" w:hAnsi="Palatino Linotype"/>
          <w:sz w:val="24"/>
          <w:szCs w:val="24"/>
        </w:rPr>
      </w:pPr>
      <w:r w:rsidRPr="006B413D">
        <w:rPr>
          <w:rFonts w:ascii="Palatino Linotype" w:hAnsi="Palatino Linotype"/>
          <w:sz w:val="24"/>
          <w:szCs w:val="24"/>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B413D">
        <w:rPr>
          <w:rFonts w:ascii="Palatino Linotype" w:hAnsi="Palatino Linotype"/>
          <w:bCs/>
          <w:sz w:val="24"/>
          <w:szCs w:val="24"/>
        </w:rPr>
        <w:t>de la Ley local en la materia, que se reproduce de la siguiente forma</w:t>
      </w:r>
      <w:r w:rsidRPr="006B413D">
        <w:rPr>
          <w:rFonts w:ascii="Palatino Linotype" w:hAnsi="Palatino Linotype"/>
          <w:sz w:val="24"/>
          <w:szCs w:val="24"/>
        </w:rPr>
        <w:t>:</w:t>
      </w:r>
    </w:p>
    <w:p w14:paraId="1CABE404" w14:textId="77777777" w:rsidR="00CF0EC0" w:rsidRPr="00BD6BE1" w:rsidRDefault="00CF0EC0" w:rsidP="00CF0EC0">
      <w:pPr>
        <w:pStyle w:val="Citas"/>
        <w:rPr>
          <w:b/>
          <w:bCs/>
        </w:rPr>
      </w:pPr>
      <w:r>
        <w:rPr>
          <w:b/>
        </w:rPr>
        <w:t>“</w:t>
      </w:r>
      <w:r w:rsidRPr="00CF0F1D">
        <w:rPr>
          <w:b/>
        </w:rPr>
        <w:t>Artículo 166.</w:t>
      </w:r>
      <w:r w:rsidRPr="00CF0F1D">
        <w:t xml:space="preserve"> La obligación de acceso a la información pública se tendrá por cumplida cuando el solicitante tenga a su disposición la información requerida, o cuando realice la consulta de la misma en el lugar en el que ésta se localice.</w:t>
      </w:r>
      <w:r>
        <w:t xml:space="preserve">” </w:t>
      </w:r>
      <w:r>
        <w:rPr>
          <w:b/>
          <w:bCs/>
        </w:rPr>
        <w:t>(Sic)</w:t>
      </w:r>
    </w:p>
    <w:p w14:paraId="095737EF" w14:textId="77777777" w:rsidR="00CF0EC0" w:rsidRPr="00CF0F1D" w:rsidRDefault="00CF0EC0" w:rsidP="00CF0EC0">
      <w:pPr>
        <w:spacing w:line="360" w:lineRule="auto"/>
        <w:jc w:val="both"/>
        <w:rPr>
          <w:rFonts w:ascii="Palatino Linotype" w:hAnsi="Palatino Linotype"/>
        </w:rPr>
      </w:pPr>
    </w:p>
    <w:p w14:paraId="7209946D" w14:textId="77777777" w:rsidR="00CF0EC0" w:rsidRPr="006B413D" w:rsidRDefault="00CF0EC0" w:rsidP="00CF0EC0">
      <w:pPr>
        <w:spacing w:line="360" w:lineRule="auto"/>
        <w:jc w:val="both"/>
        <w:rPr>
          <w:rFonts w:ascii="Palatino Linotype" w:hAnsi="Palatino Linotype"/>
          <w:sz w:val="24"/>
          <w:szCs w:val="24"/>
        </w:rPr>
      </w:pPr>
      <w:r w:rsidRPr="006B413D">
        <w:rPr>
          <w:rFonts w:ascii="Palatino Linotype" w:hAnsi="Palatino Linotype"/>
          <w:sz w:val="24"/>
          <w:szCs w:val="24"/>
        </w:rPr>
        <w:t xml:space="preserve">De lo anterior, conforme a las acciones del </w:t>
      </w:r>
      <w:r w:rsidRPr="00EB55AB">
        <w:rPr>
          <w:rFonts w:ascii="Palatino Linotype" w:hAnsi="Palatino Linotype"/>
          <w:b/>
          <w:bCs/>
          <w:sz w:val="24"/>
          <w:szCs w:val="24"/>
        </w:rPr>
        <w:t>Sujeto Obligado,</w:t>
      </w:r>
      <w:r w:rsidRPr="006B413D">
        <w:rPr>
          <w:rFonts w:ascii="Palatino Linotype" w:hAnsi="Palatino Linotype"/>
          <w:sz w:val="24"/>
          <w:szCs w:val="24"/>
        </w:rPr>
        <w:t xml:space="preserve"> se establece que éste vulnera el derecho de acceso a la información pública </w:t>
      </w:r>
      <w:r>
        <w:rPr>
          <w:rFonts w:ascii="Palatino Linotype" w:hAnsi="Palatino Linotype"/>
          <w:sz w:val="24"/>
          <w:szCs w:val="24"/>
        </w:rPr>
        <w:t>del</w:t>
      </w:r>
      <w:r w:rsidRPr="00EB55AB">
        <w:rPr>
          <w:rFonts w:ascii="Palatino Linotype" w:hAnsi="Palatino Linotype"/>
          <w:b/>
          <w:bCs/>
          <w:sz w:val="24"/>
          <w:szCs w:val="24"/>
        </w:rPr>
        <w:t xml:space="preserve"> Recurrente, </w:t>
      </w:r>
      <w:r w:rsidRPr="006B413D">
        <w:rPr>
          <w:rFonts w:ascii="Palatino Linotype" w:hAnsi="Palatino Linotype"/>
          <w:sz w:val="24"/>
          <w:szCs w:val="24"/>
        </w:rPr>
        <w:t xml:space="preserve">toda vez que no </w:t>
      </w:r>
      <w:r w:rsidRPr="006B413D">
        <w:rPr>
          <w:rFonts w:ascii="Palatino Linotype" w:hAnsi="Palatino Linotype"/>
          <w:sz w:val="24"/>
          <w:szCs w:val="24"/>
        </w:rPr>
        <w:lastRenderedPageBreak/>
        <w:t>entrega respuesta a la solicitud de información presentada, de conformidad a lo establecido en los artículos 24 fracción XI, y 166, de la ley local en la materia, y que señalan:</w:t>
      </w:r>
    </w:p>
    <w:p w14:paraId="74901A2C" w14:textId="77777777" w:rsidR="00CF0EC0" w:rsidRPr="00CF0F1D" w:rsidRDefault="00CF0EC0" w:rsidP="00CF0EC0">
      <w:pPr>
        <w:pStyle w:val="Citas"/>
      </w:pPr>
      <w:r>
        <w:rPr>
          <w:b/>
        </w:rPr>
        <w:t>“</w:t>
      </w:r>
      <w:r w:rsidRPr="00CF0F1D">
        <w:rPr>
          <w:b/>
        </w:rPr>
        <w:t>A</w:t>
      </w:r>
      <w:r w:rsidRPr="00CF0F1D">
        <w:rPr>
          <w:b/>
          <w:bCs/>
        </w:rPr>
        <w:t>rtículo 24.</w:t>
      </w:r>
      <w:r w:rsidRPr="00CF0F1D">
        <w:rPr>
          <w:bCs/>
        </w:rPr>
        <w:t xml:space="preserve"> </w:t>
      </w:r>
      <w:r w:rsidRPr="00CF0F1D">
        <w:t>Para el cumplimiento de los objetivos de esta Ley, los sujetos obligados deberán cumplir con las siguientes obligaciones, según corresponda, de acuerdo a su naturaleza:</w:t>
      </w:r>
    </w:p>
    <w:p w14:paraId="5748FE7F" w14:textId="77777777" w:rsidR="00CF0EC0" w:rsidRPr="00CF0F1D" w:rsidRDefault="00CF0EC0" w:rsidP="00CF0EC0">
      <w:pPr>
        <w:pStyle w:val="Citas"/>
      </w:pPr>
      <w:r w:rsidRPr="00CF0F1D">
        <w:rPr>
          <w:bCs/>
        </w:rPr>
        <w:t>(..</w:t>
      </w:r>
      <w:r w:rsidRPr="00CF0F1D">
        <w:t>.)</w:t>
      </w:r>
    </w:p>
    <w:p w14:paraId="2658395C" w14:textId="77777777" w:rsidR="00CF0EC0" w:rsidRPr="00BD6BE1" w:rsidRDefault="00CF0EC0" w:rsidP="00CF0EC0">
      <w:pPr>
        <w:pStyle w:val="Citas"/>
        <w:rPr>
          <w:b/>
        </w:rPr>
      </w:pPr>
      <w:r w:rsidRPr="00CF0F1D">
        <w:rPr>
          <w:bCs/>
        </w:rPr>
        <w:t>XI. Dar acceso a la información pública que le sea requerida, en los términos de la Ley General, esta Ley y demás disposiciones jurídicas aplicables;</w:t>
      </w:r>
      <w:r>
        <w:rPr>
          <w:bCs/>
        </w:rPr>
        <w:t xml:space="preserve">” </w:t>
      </w:r>
      <w:r>
        <w:rPr>
          <w:b/>
        </w:rPr>
        <w:t>(Sic)</w:t>
      </w:r>
    </w:p>
    <w:p w14:paraId="219D557E" w14:textId="77777777" w:rsidR="00CF0EC0" w:rsidRPr="00CF0F1D" w:rsidRDefault="00CF0EC0" w:rsidP="00CF0EC0">
      <w:pPr>
        <w:pStyle w:val="Prrafodelista"/>
        <w:autoSpaceDE w:val="0"/>
        <w:autoSpaceDN w:val="0"/>
        <w:adjustRightInd w:val="0"/>
        <w:spacing w:line="360" w:lineRule="auto"/>
        <w:ind w:left="0"/>
        <w:jc w:val="both"/>
        <w:rPr>
          <w:rFonts w:ascii="Palatino Linotype" w:hAnsi="Palatino Linotype" w:cs="Arial"/>
        </w:rPr>
      </w:pPr>
    </w:p>
    <w:p w14:paraId="2BE578CC" w14:textId="77777777" w:rsidR="00CF0EC0" w:rsidRPr="00CF0F1D" w:rsidRDefault="00CF0EC0" w:rsidP="00CF0EC0">
      <w:pPr>
        <w:pStyle w:val="Prrafodelista"/>
        <w:autoSpaceDE w:val="0"/>
        <w:autoSpaceDN w:val="0"/>
        <w:adjustRightInd w:val="0"/>
        <w:spacing w:line="360" w:lineRule="auto"/>
        <w:ind w:left="0"/>
        <w:jc w:val="both"/>
        <w:rPr>
          <w:rFonts w:ascii="Palatino Linotype" w:hAnsi="Palatino Linotype" w:cs="Arial"/>
        </w:rPr>
      </w:pPr>
      <w:r w:rsidRPr="00CF0F1D">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1D580287" w14:textId="77777777" w:rsidR="00CF0EC0" w:rsidRDefault="00CF0EC0" w:rsidP="00CF0EC0">
      <w:pPr>
        <w:pStyle w:val="Sinespaciado"/>
        <w:spacing w:line="360" w:lineRule="auto"/>
        <w:jc w:val="both"/>
        <w:rPr>
          <w:rFonts w:ascii="Palatino Linotype" w:hAnsi="Palatino Linotype"/>
        </w:rPr>
      </w:pPr>
    </w:p>
    <w:p w14:paraId="080B4879" w14:textId="0175D1E7" w:rsidR="00CF0EC0" w:rsidRDefault="00CF0EC0" w:rsidP="00CF0EC0">
      <w:pPr>
        <w:pStyle w:val="Sinespaciado"/>
        <w:spacing w:line="360" w:lineRule="auto"/>
        <w:jc w:val="both"/>
        <w:rPr>
          <w:rFonts w:ascii="Palatino Linotype" w:hAnsi="Palatino Linotype"/>
        </w:rPr>
      </w:pPr>
      <w:r w:rsidRPr="004614C3">
        <w:rPr>
          <w:rFonts w:ascii="Palatino Linotype" w:hAnsi="Palatino Linotype"/>
        </w:rPr>
        <w:t xml:space="preserve">Ahora bien, en una aproximación inicial, con relación a </w:t>
      </w:r>
      <w:r>
        <w:rPr>
          <w:rFonts w:ascii="Palatino Linotype" w:hAnsi="Palatino Linotype"/>
        </w:rPr>
        <w:t xml:space="preserve">la solicitud de información </w:t>
      </w:r>
      <w:r>
        <w:rPr>
          <w:rFonts w:ascii="Palatino Linotype" w:hAnsi="Palatino Linotype"/>
          <w:b/>
          <w:bCs/>
        </w:rPr>
        <w:t xml:space="preserve">01284/TOLUCA/IP/2025, </w:t>
      </w:r>
      <w:r>
        <w:rPr>
          <w:rFonts w:ascii="Palatino Linotype" w:hAnsi="Palatino Linotype"/>
        </w:rPr>
        <w:t>se desprende que fue requerida la siguiente información:</w:t>
      </w:r>
    </w:p>
    <w:p w14:paraId="66D572C7" w14:textId="4F479ABC" w:rsidR="00CF0EC0" w:rsidRPr="00CF0EC0" w:rsidRDefault="00CF0EC0" w:rsidP="00CF0EC0">
      <w:pPr>
        <w:pStyle w:val="Citas"/>
        <w:rPr>
          <w:b/>
          <w:bCs/>
        </w:rPr>
      </w:pPr>
      <w:r>
        <w:t>“</w:t>
      </w:r>
      <w:r w:rsidRPr="00CF0EC0">
        <w:t>Los acuerdo y minuta de trabajo de la reunión con Cataluña el pasado febrero</w:t>
      </w:r>
      <w:r>
        <w:t xml:space="preserve">” </w:t>
      </w:r>
      <w:r>
        <w:rPr>
          <w:b/>
          <w:bCs/>
        </w:rPr>
        <w:t>(Sic)</w:t>
      </w:r>
    </w:p>
    <w:p w14:paraId="306CA99D" w14:textId="77777777" w:rsidR="00CF0EC0" w:rsidRPr="008D038F" w:rsidRDefault="00CF0EC0" w:rsidP="00CF0EC0">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Bajo este contexto, a efecto de identificar las unidades administrativas competentes e ilustrar sus atribuciones, resulta oportuno traer a colación </w:t>
      </w:r>
      <w:r w:rsidRPr="008D038F">
        <w:rPr>
          <w:rFonts w:ascii="Palatino Linotype" w:hAnsi="Palatino Linotype" w:cs="Arial"/>
          <w:sz w:val="24"/>
          <w:szCs w:val="24"/>
        </w:rPr>
        <w:t xml:space="preserve">los artículos 24, fracción XII y 92, fracción II de la Ley de Transparencia y Acceso a la Información Pública del Estado de México y Municipios, dispositivos jurídicos que disponen a la literalidad lo siguiente: </w:t>
      </w:r>
    </w:p>
    <w:p w14:paraId="53B3B17E" w14:textId="77777777" w:rsidR="00CF0EC0" w:rsidRPr="008B4658" w:rsidRDefault="00CF0EC0" w:rsidP="00CF0EC0">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24. Para el cumplimiento de los objetivos de esta Ley, los sujetos obligados deberán cumplir con las siguientes obligaciones, según corresponda, de acuerdo a su naturaleza:</w:t>
      </w:r>
    </w:p>
    <w:p w14:paraId="2FAD173A" w14:textId="77777777" w:rsidR="00CF0EC0" w:rsidRPr="008B4658" w:rsidRDefault="00CF0EC0" w:rsidP="00CF0EC0">
      <w:pPr>
        <w:autoSpaceDE w:val="0"/>
        <w:autoSpaceDN w:val="0"/>
        <w:adjustRightInd w:val="0"/>
        <w:spacing w:before="240" w:line="360" w:lineRule="auto"/>
        <w:ind w:left="851" w:right="851"/>
        <w:jc w:val="both"/>
        <w:rPr>
          <w:rFonts w:ascii="Palatino Linotype" w:hAnsi="Palatino Linotype" w:cs="Arial"/>
          <w:i/>
          <w:iCs/>
        </w:rPr>
      </w:pPr>
      <w:r w:rsidRPr="008B4658">
        <w:rPr>
          <w:rFonts w:ascii="Palatino Linotype" w:hAnsi="Palatino Linotype"/>
          <w:i/>
          <w:iCs/>
        </w:rPr>
        <w:t>XII. Publicar y mantener actualizada la información relativa a las obligaciones generales de transparencia previstas en la presente Ley o determinadas así por el Instituto, y en general aquella que sea de interés público;</w:t>
      </w:r>
    </w:p>
    <w:p w14:paraId="1E60C77E" w14:textId="77777777" w:rsidR="00CF0EC0" w:rsidRDefault="00CF0EC0" w:rsidP="00CF0EC0">
      <w:pPr>
        <w:autoSpaceDE w:val="0"/>
        <w:autoSpaceDN w:val="0"/>
        <w:adjustRightInd w:val="0"/>
        <w:spacing w:before="240" w:line="360" w:lineRule="auto"/>
        <w:ind w:left="851" w:right="851"/>
        <w:jc w:val="both"/>
        <w:rPr>
          <w:rFonts w:ascii="Palatino Linotype" w:hAnsi="Palatino Linotype"/>
          <w:i/>
          <w:iCs/>
        </w:rPr>
      </w:pPr>
      <w:r>
        <w:rPr>
          <w:rFonts w:ascii="Palatino Linotype" w:hAnsi="Palatino Linotype"/>
          <w:i/>
          <w:iCs/>
        </w:rPr>
        <w:t>(…)</w:t>
      </w:r>
    </w:p>
    <w:p w14:paraId="01D1E1D4" w14:textId="77777777" w:rsidR="00CF0EC0" w:rsidRDefault="00CF0EC0" w:rsidP="00CF0EC0">
      <w:pPr>
        <w:autoSpaceDE w:val="0"/>
        <w:autoSpaceDN w:val="0"/>
        <w:adjustRightInd w:val="0"/>
        <w:spacing w:before="240" w:line="360" w:lineRule="auto"/>
        <w:ind w:left="851" w:right="851"/>
        <w:jc w:val="both"/>
        <w:rPr>
          <w:rFonts w:ascii="Palatino Linotype" w:hAnsi="Palatino Linotype"/>
          <w:i/>
          <w:iCs/>
        </w:rPr>
      </w:pPr>
      <w:r w:rsidRPr="008B4658">
        <w:rPr>
          <w:rFonts w:ascii="Palatino Linotype" w:hAnsi="Palatino Linotype"/>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6BD12634" w14:textId="77777777" w:rsidR="00CF0EC0" w:rsidRPr="008B4658" w:rsidRDefault="00CF0EC0" w:rsidP="00CF0EC0">
      <w:pPr>
        <w:autoSpaceDE w:val="0"/>
        <w:autoSpaceDN w:val="0"/>
        <w:adjustRightInd w:val="0"/>
        <w:spacing w:before="240" w:line="360" w:lineRule="auto"/>
        <w:ind w:left="851" w:right="851"/>
        <w:jc w:val="both"/>
        <w:rPr>
          <w:rFonts w:ascii="Palatino Linotype" w:hAnsi="Palatino Linotype"/>
          <w:i/>
          <w:iCs/>
        </w:rPr>
      </w:pPr>
      <w:r>
        <w:rPr>
          <w:rFonts w:ascii="Palatino Linotype" w:hAnsi="Palatino Linotype"/>
          <w:i/>
          <w:iCs/>
        </w:rPr>
        <w:t>(…)</w:t>
      </w:r>
    </w:p>
    <w:p w14:paraId="51B38ED4" w14:textId="77777777" w:rsidR="00CF0EC0" w:rsidRPr="008B4658" w:rsidRDefault="00CF0EC0" w:rsidP="00CF0EC0">
      <w:pPr>
        <w:autoSpaceDE w:val="0"/>
        <w:autoSpaceDN w:val="0"/>
        <w:adjustRightInd w:val="0"/>
        <w:spacing w:before="240" w:line="360" w:lineRule="auto"/>
        <w:ind w:left="851" w:right="851"/>
        <w:jc w:val="both"/>
        <w:rPr>
          <w:rFonts w:ascii="Palatino Linotype" w:hAnsi="Palatino Linotype"/>
          <w:b/>
          <w:bCs/>
          <w:i/>
          <w:iCs/>
          <w:u w:val="single"/>
        </w:rPr>
      </w:pPr>
      <w:r w:rsidRPr="008B4658">
        <w:rPr>
          <w:rFonts w:ascii="Palatino Linotype" w:hAnsi="Palatino Linotype"/>
          <w:b/>
          <w:bCs/>
          <w:i/>
          <w:iCs/>
          <w:u w:val="single"/>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07B482F" w14:textId="77777777" w:rsidR="00CF0EC0" w:rsidRPr="006E31E6" w:rsidRDefault="00CF0EC0" w:rsidP="00CF0EC0">
      <w:pPr>
        <w:autoSpaceDE w:val="0"/>
        <w:autoSpaceDN w:val="0"/>
        <w:adjustRightInd w:val="0"/>
        <w:spacing w:before="240" w:line="360" w:lineRule="auto"/>
        <w:ind w:left="851" w:right="851"/>
        <w:jc w:val="both"/>
        <w:rPr>
          <w:rFonts w:ascii="Palatino Linotype" w:hAnsi="Palatino Linotype"/>
          <w:b/>
          <w:bCs/>
          <w:i/>
          <w:iCs/>
        </w:rPr>
      </w:pPr>
      <w:r w:rsidRPr="008B4658">
        <w:rPr>
          <w:rFonts w:ascii="Palatino Linotype" w:hAnsi="Palatino Linotype"/>
          <w:i/>
          <w:iCs/>
        </w:rPr>
        <w:lastRenderedPageBreak/>
        <w:t xml:space="preserve">(…)” </w:t>
      </w:r>
      <w:r>
        <w:rPr>
          <w:rFonts w:ascii="Palatino Linotype" w:hAnsi="Palatino Linotype"/>
          <w:b/>
          <w:bCs/>
          <w:i/>
          <w:iCs/>
        </w:rPr>
        <w:t>(Sic)</w:t>
      </w:r>
    </w:p>
    <w:p w14:paraId="647FC570" w14:textId="77777777" w:rsidR="00EB4BF4" w:rsidRDefault="00EB4BF4" w:rsidP="00CF0EC0">
      <w:pPr>
        <w:pStyle w:val="Sinespaciado"/>
        <w:spacing w:line="360" w:lineRule="auto"/>
        <w:jc w:val="both"/>
        <w:rPr>
          <w:rFonts w:ascii="Palatino Linotype" w:hAnsi="Palatino Linotype" w:cs="Arial"/>
        </w:rPr>
      </w:pPr>
    </w:p>
    <w:p w14:paraId="49A40420" w14:textId="52B77E94" w:rsidR="00CF0EC0" w:rsidRDefault="00CF0EC0" w:rsidP="00CF0EC0">
      <w:pPr>
        <w:pStyle w:val="Sinespaciado"/>
        <w:spacing w:line="360" w:lineRule="auto"/>
        <w:jc w:val="both"/>
        <w:rPr>
          <w:rFonts w:ascii="Palatino Linotype" w:hAnsi="Palatino Linotype" w:cs="Arial"/>
          <w:b/>
          <w:bCs/>
        </w:rPr>
      </w:pPr>
      <w:r w:rsidRPr="00CA2E97">
        <w:rPr>
          <w:rFonts w:ascii="Palatino Linotype" w:hAnsi="Palatino Linotype" w:cs="Arial"/>
        </w:rPr>
        <w:t xml:space="preserve">A mayor abundamiento, en alusión a la normatividad previamente plasmada, sirven de sustento las siguientes imágenes ilustrativas, correspondientes al organigrama del </w:t>
      </w:r>
      <w:r w:rsidRPr="00CA2E97">
        <w:rPr>
          <w:rFonts w:ascii="Palatino Linotype" w:hAnsi="Palatino Linotype" w:cs="Arial"/>
          <w:b/>
          <w:bCs/>
        </w:rPr>
        <w:t>Sujeto Obligado</w:t>
      </w:r>
      <w:r>
        <w:rPr>
          <w:rFonts w:ascii="Palatino Linotype" w:hAnsi="Palatino Linotype" w:cs="Arial"/>
          <w:b/>
          <w:bCs/>
        </w:rPr>
        <w:t>:</w:t>
      </w:r>
    </w:p>
    <w:p w14:paraId="74EBAE73" w14:textId="77777777" w:rsidR="00CF0EC0" w:rsidRDefault="00CF0EC0" w:rsidP="00CF0EC0">
      <w:pPr>
        <w:pStyle w:val="Sinespaciado"/>
        <w:spacing w:line="360" w:lineRule="auto"/>
        <w:jc w:val="both"/>
        <w:rPr>
          <w:rFonts w:ascii="Palatino Linotype" w:hAnsi="Palatino Linotype" w:cs="Arial"/>
          <w:b/>
          <w:bCs/>
        </w:rPr>
      </w:pPr>
    </w:p>
    <w:p w14:paraId="5465B568" w14:textId="78F50F56" w:rsidR="00CF0EC0" w:rsidRDefault="00CF0EC0" w:rsidP="00CF0EC0">
      <w:pPr>
        <w:pStyle w:val="Sinespaciado"/>
        <w:spacing w:line="360" w:lineRule="auto"/>
        <w:jc w:val="both"/>
        <w:rPr>
          <w:rFonts w:ascii="Palatino Linotype" w:hAnsi="Palatino Linotype"/>
        </w:rPr>
      </w:pPr>
      <w:r>
        <w:rPr>
          <w:i/>
          <w:iCs/>
          <w:noProof/>
          <w:lang w:eastAsia="es-MX"/>
        </w:rPr>
        <w:drawing>
          <wp:anchor distT="0" distB="0" distL="114300" distR="114300" simplePos="0" relativeHeight="251848693" behindDoc="0" locked="0" layoutInCell="1" allowOverlap="1" wp14:anchorId="3A2EDDC2" wp14:editId="6C5A5ED6">
            <wp:simplePos x="0" y="0"/>
            <wp:positionH relativeFrom="page">
              <wp:posOffset>1080135</wp:posOffset>
            </wp:positionH>
            <wp:positionV relativeFrom="paragraph">
              <wp:posOffset>329565</wp:posOffset>
            </wp:positionV>
            <wp:extent cx="5760720" cy="3502660"/>
            <wp:effectExtent l="19050" t="19050" r="11430" b="21590"/>
            <wp:wrapThrough wrapText="bothSides">
              <wp:wrapPolygon edited="0">
                <wp:start x="-71" y="-117"/>
                <wp:lineTo x="-71" y="21616"/>
                <wp:lineTo x="21571" y="21616"/>
                <wp:lineTo x="21571" y="-117"/>
                <wp:lineTo x="-71" y="-117"/>
              </wp:wrapPolygon>
            </wp:wrapThrough>
            <wp:docPr id="192937787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5026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Palatino Linotype" w:hAnsi="Palatino Linotype"/>
        </w:rPr>
        <w:tab/>
      </w:r>
    </w:p>
    <w:p w14:paraId="43233A76" w14:textId="77777777" w:rsidR="00702D6B" w:rsidRPr="00CF0EC0" w:rsidRDefault="00702D6B" w:rsidP="00B667E5">
      <w:pPr>
        <w:spacing w:before="240" w:line="360" w:lineRule="auto"/>
        <w:jc w:val="both"/>
        <w:rPr>
          <w:rFonts w:ascii="Palatino Linotype" w:eastAsia="Times New Roman" w:hAnsi="Palatino Linotype" w:cs="Arial"/>
          <w:color w:val="000000"/>
          <w:sz w:val="24"/>
          <w:szCs w:val="24"/>
          <w:lang w:eastAsia="es-MX"/>
        </w:rPr>
      </w:pPr>
    </w:p>
    <w:p w14:paraId="7CF81744" w14:textId="77777777" w:rsidR="00702D6B" w:rsidRDefault="00702D6B" w:rsidP="00B667E5">
      <w:pPr>
        <w:spacing w:before="240" w:line="360" w:lineRule="auto"/>
        <w:jc w:val="both"/>
        <w:rPr>
          <w:rFonts w:ascii="Palatino Linotype" w:eastAsia="Times New Roman" w:hAnsi="Palatino Linotype" w:cs="Arial"/>
          <w:color w:val="000000"/>
          <w:sz w:val="24"/>
          <w:szCs w:val="24"/>
          <w:lang w:eastAsia="es-MX"/>
        </w:rPr>
      </w:pPr>
    </w:p>
    <w:p w14:paraId="53E01C45" w14:textId="77777777" w:rsidR="00702D6B" w:rsidRDefault="00702D6B" w:rsidP="00B667E5">
      <w:pPr>
        <w:spacing w:before="240" w:line="360" w:lineRule="auto"/>
        <w:jc w:val="both"/>
        <w:rPr>
          <w:rFonts w:ascii="Palatino Linotype" w:eastAsia="Times New Roman" w:hAnsi="Palatino Linotype" w:cs="Arial"/>
          <w:color w:val="000000"/>
          <w:sz w:val="24"/>
          <w:szCs w:val="24"/>
          <w:lang w:eastAsia="es-MX"/>
        </w:rPr>
      </w:pPr>
    </w:p>
    <w:p w14:paraId="186F15AB" w14:textId="68A03A79" w:rsidR="00702D6B" w:rsidRDefault="00EB4BF4" w:rsidP="00B667E5">
      <w:pPr>
        <w:spacing w:before="240" w:line="360" w:lineRule="auto"/>
        <w:jc w:val="both"/>
        <w:rPr>
          <w:rFonts w:ascii="Palatino Linotype" w:eastAsia="Times New Roman" w:hAnsi="Palatino Linotype" w:cs="Arial"/>
          <w:color w:val="000000"/>
          <w:sz w:val="24"/>
          <w:szCs w:val="24"/>
          <w:lang w:eastAsia="es-MX"/>
        </w:rPr>
      </w:pPr>
      <w:r>
        <w:rPr>
          <w:rFonts w:ascii="Palatino Linotype" w:eastAsia="Times New Roman" w:hAnsi="Palatino Linotype" w:cs="Arial"/>
          <w:noProof/>
          <w:color w:val="000000"/>
          <w:sz w:val="24"/>
          <w:szCs w:val="24"/>
          <w:lang w:eastAsia="es-MX"/>
        </w:rPr>
        <w:lastRenderedPageBreak/>
        <w:drawing>
          <wp:anchor distT="0" distB="0" distL="114300" distR="114300" simplePos="0" relativeHeight="251849717" behindDoc="0" locked="0" layoutInCell="1" allowOverlap="1" wp14:anchorId="403F859A" wp14:editId="65F02D44">
            <wp:simplePos x="0" y="0"/>
            <wp:positionH relativeFrom="page">
              <wp:align>center</wp:align>
            </wp:positionH>
            <wp:positionV relativeFrom="paragraph">
              <wp:posOffset>19050</wp:posOffset>
            </wp:positionV>
            <wp:extent cx="5760720" cy="3494405"/>
            <wp:effectExtent l="19050" t="19050" r="11430" b="10795"/>
            <wp:wrapThrough wrapText="bothSides">
              <wp:wrapPolygon edited="0">
                <wp:start x="-71" y="-118"/>
                <wp:lineTo x="-71" y="21549"/>
                <wp:lineTo x="21571" y="21549"/>
                <wp:lineTo x="21571" y="-118"/>
                <wp:lineTo x="-71" y="-118"/>
              </wp:wrapPolygon>
            </wp:wrapThrough>
            <wp:docPr id="27366588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4944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D82D21" w14:textId="00B64872" w:rsidR="00EB0C4D" w:rsidRDefault="00EB0C4D" w:rsidP="00EB0C4D">
      <w:pPr>
        <w:spacing w:before="240" w:line="360" w:lineRule="auto"/>
        <w:jc w:val="both"/>
        <w:rPr>
          <w:rFonts w:ascii="Palatino Linotype" w:hAnsi="Palatino Linotype"/>
          <w:sz w:val="24"/>
          <w:szCs w:val="24"/>
        </w:rPr>
      </w:pPr>
      <w:r w:rsidRPr="00B86B44">
        <w:rPr>
          <w:rFonts w:ascii="Palatino Linotype" w:hAnsi="Palatino Linotype"/>
          <w:sz w:val="24"/>
          <w:szCs w:val="24"/>
        </w:rPr>
        <w:t xml:space="preserve">De lo expuesto con anterioridad, se desprende que </w:t>
      </w:r>
      <w:r w:rsidRPr="00B86B44">
        <w:rPr>
          <w:rFonts w:ascii="Palatino Linotype" w:hAnsi="Palatino Linotype"/>
          <w:b/>
          <w:sz w:val="24"/>
          <w:szCs w:val="24"/>
        </w:rPr>
        <w:t xml:space="preserve">El Sujeto Obligado </w:t>
      </w:r>
      <w:r w:rsidRPr="00B86B44">
        <w:rPr>
          <w:rFonts w:ascii="Palatino Linotype" w:hAnsi="Palatino Linotype"/>
          <w:sz w:val="24"/>
          <w:szCs w:val="24"/>
        </w:rPr>
        <w:t xml:space="preserve">se auxilia de diversas Direcciones, Subdirecciones, Departamentos y Unidades Administrativas para cumplir con sus fines y objetivos, resultando de nuestro más amplio interés </w:t>
      </w:r>
      <w:r>
        <w:rPr>
          <w:rFonts w:ascii="Palatino Linotype" w:hAnsi="Palatino Linotype"/>
          <w:sz w:val="24"/>
          <w:szCs w:val="24"/>
        </w:rPr>
        <w:t xml:space="preserve">la Dirección General de Educación, Cultura y Turismo.  </w:t>
      </w:r>
    </w:p>
    <w:p w14:paraId="38A70725" w14:textId="4F65875E" w:rsidR="00EB0C4D" w:rsidRDefault="00EB0C4D" w:rsidP="00EB0C4D">
      <w:pPr>
        <w:spacing w:after="0" w:line="360" w:lineRule="auto"/>
        <w:jc w:val="both"/>
        <w:rPr>
          <w:rFonts w:ascii="Palatino Linotype" w:hAnsi="Palatino Linotype"/>
          <w:iCs/>
          <w:sz w:val="24"/>
          <w:szCs w:val="24"/>
        </w:rPr>
      </w:pPr>
      <w:r w:rsidRPr="00F551DE">
        <w:rPr>
          <w:rFonts w:ascii="Palatino Linotype" w:hAnsi="Palatino Linotype"/>
          <w:iCs/>
          <w:sz w:val="24"/>
          <w:szCs w:val="24"/>
        </w:rPr>
        <w:t xml:space="preserve">De manera complementaria, a efecto de ilustrar la esfera competencial de </w:t>
      </w:r>
      <w:r>
        <w:rPr>
          <w:rFonts w:ascii="Palatino Linotype" w:hAnsi="Palatino Linotype"/>
          <w:iCs/>
          <w:sz w:val="24"/>
          <w:szCs w:val="24"/>
        </w:rPr>
        <w:t xml:space="preserve">la unidad administrativa en cita, resulta oportuno traer a colación el artículo 92 del Bando Municipal de Toluca; así como el </w:t>
      </w:r>
      <w:r w:rsidR="00951D08">
        <w:rPr>
          <w:rFonts w:ascii="Palatino Linotype" w:hAnsi="Palatino Linotype"/>
          <w:iCs/>
          <w:sz w:val="24"/>
          <w:szCs w:val="24"/>
        </w:rPr>
        <w:t xml:space="preserve">numeral 3.8 del Código Reglamentario de Toluca, porciones normativas que disponen a la literalidad lo siguiente: </w:t>
      </w:r>
    </w:p>
    <w:p w14:paraId="7A12274F" w14:textId="77777777" w:rsidR="00EB0C4D" w:rsidRDefault="00EB0C4D" w:rsidP="00EB0C4D">
      <w:pPr>
        <w:spacing w:after="0" w:line="360" w:lineRule="auto"/>
        <w:jc w:val="both"/>
        <w:rPr>
          <w:rFonts w:ascii="Palatino Linotype" w:hAnsi="Palatino Linotype"/>
          <w:iCs/>
          <w:sz w:val="24"/>
          <w:szCs w:val="24"/>
        </w:rPr>
      </w:pPr>
    </w:p>
    <w:p w14:paraId="4C38B820" w14:textId="77777777" w:rsidR="00EB4BF4" w:rsidRDefault="00EB4BF4" w:rsidP="00EB0C4D">
      <w:pPr>
        <w:spacing w:after="0" w:line="360" w:lineRule="auto"/>
        <w:jc w:val="both"/>
        <w:rPr>
          <w:rFonts w:ascii="Palatino Linotype" w:hAnsi="Palatino Linotype"/>
          <w:iCs/>
          <w:sz w:val="24"/>
          <w:szCs w:val="24"/>
        </w:rPr>
      </w:pPr>
    </w:p>
    <w:p w14:paraId="30D511F4" w14:textId="7A77F257" w:rsidR="00EB0C4D" w:rsidRPr="00EB0C4D" w:rsidRDefault="00EB0C4D" w:rsidP="00EB0C4D">
      <w:pPr>
        <w:pStyle w:val="Citas"/>
        <w:jc w:val="center"/>
        <w:rPr>
          <w:b/>
          <w:bCs/>
          <w:i w:val="0"/>
          <w:iCs/>
        </w:rPr>
      </w:pPr>
      <w:r w:rsidRPr="00EB0C4D">
        <w:rPr>
          <w:b/>
          <w:bCs/>
          <w:i w:val="0"/>
          <w:iCs/>
        </w:rPr>
        <w:lastRenderedPageBreak/>
        <w:t>BANDO MUNICIPAL DE TOLUCA 2025</w:t>
      </w:r>
    </w:p>
    <w:p w14:paraId="650CB238" w14:textId="46561E4F" w:rsidR="00EB0C4D" w:rsidRDefault="00951D08" w:rsidP="00EB0C4D">
      <w:pPr>
        <w:pStyle w:val="Citas"/>
      </w:pPr>
      <w:r>
        <w:t>“</w:t>
      </w:r>
      <w:r w:rsidR="00EB0C4D" w:rsidRPr="00EB0C4D">
        <w:t>Artículo 92. La administración pública municipal será centralizada, descentralizada y</w:t>
      </w:r>
      <w:r w:rsidR="00EB0C4D">
        <w:t xml:space="preserve"> </w:t>
      </w:r>
      <w:r w:rsidR="00EB0C4D" w:rsidRPr="00EB0C4D">
        <w:t>autónoma. Para el ejercicio del poder público municipal, las personas titulares de las</w:t>
      </w:r>
      <w:r w:rsidR="00EB0C4D">
        <w:t xml:space="preserve"> </w:t>
      </w:r>
      <w:r w:rsidR="00EB0C4D" w:rsidRPr="00EB0C4D">
        <w:t>Direcciones Generales, los Organismos Descentralizados y el Órgano Autónomo tendrán</w:t>
      </w:r>
      <w:r w:rsidR="00EB0C4D">
        <w:t xml:space="preserve"> </w:t>
      </w:r>
      <w:r w:rsidR="00EB0C4D" w:rsidRPr="00EB0C4D">
        <w:t>las atribuciones y facultades que le otorguen las disposiciones legales aplicables a su</w:t>
      </w:r>
      <w:r w:rsidR="00EB0C4D">
        <w:t xml:space="preserve"> </w:t>
      </w:r>
      <w:r w:rsidR="00EB0C4D" w:rsidRPr="00EB0C4D">
        <w:t>campo de actuación y las que este Bando y el Código Reglamentario les confiera</w:t>
      </w:r>
      <w:r w:rsidR="00EB0C4D">
        <w:t>.</w:t>
      </w:r>
    </w:p>
    <w:p w14:paraId="359E451D" w14:textId="41C759CE" w:rsidR="00EB0C4D" w:rsidRDefault="00EB0C4D" w:rsidP="00EB0C4D">
      <w:pPr>
        <w:pStyle w:val="Citas"/>
      </w:pPr>
      <w:r>
        <w:t>(…)</w:t>
      </w:r>
    </w:p>
    <w:p w14:paraId="2E4811E7" w14:textId="462AEAE1" w:rsidR="00EB0C4D" w:rsidRPr="00951D08" w:rsidRDefault="00EB0C4D" w:rsidP="00EB0C4D">
      <w:pPr>
        <w:pStyle w:val="Citas"/>
        <w:rPr>
          <w:b/>
          <w:bCs/>
        </w:rPr>
      </w:pPr>
      <w:r w:rsidRPr="00EB0C4D">
        <w:t>XIII. La persona titular de la Dirección General de Educación, Cultura y Turismo es</w:t>
      </w:r>
      <w:r>
        <w:t xml:space="preserve"> </w:t>
      </w:r>
      <w:r w:rsidRPr="00EB0C4D">
        <w:t>la encargada de planear, desarrollar, ejecutar y evaluar los programas, acciones</w:t>
      </w:r>
      <w:r>
        <w:t xml:space="preserve"> </w:t>
      </w:r>
      <w:r w:rsidRPr="00EB0C4D">
        <w:t>y políticas públicas orientados a promover, de manera permanente e integral, la</w:t>
      </w:r>
      <w:r>
        <w:t xml:space="preserve"> </w:t>
      </w:r>
      <w:r w:rsidRPr="00EB0C4D">
        <w:t>creación artística, la realización de actividades culturales y fomentar la educación</w:t>
      </w:r>
      <w:r>
        <w:t xml:space="preserve"> </w:t>
      </w:r>
      <w:r w:rsidRPr="00EB0C4D">
        <w:t>que permitan el involucramiento de la participación en comunidad. Asimismo, le</w:t>
      </w:r>
      <w:r>
        <w:t xml:space="preserve"> </w:t>
      </w:r>
      <w:r w:rsidRPr="00EB0C4D">
        <w:t>corresponde preservar y promover las tradiciones e identidad cultural, como un</w:t>
      </w:r>
      <w:r>
        <w:t xml:space="preserve"> </w:t>
      </w:r>
      <w:r w:rsidRPr="00EB0C4D">
        <w:t>eje transversal en la administración pública municipal. Su propósito es fortalecer</w:t>
      </w:r>
      <w:r>
        <w:t xml:space="preserve"> </w:t>
      </w:r>
      <w:r w:rsidRPr="00EB0C4D">
        <w:t>el tejido social mediante un proyecto ciudadano que reactive espacios y fomente</w:t>
      </w:r>
      <w:r>
        <w:t xml:space="preserve"> </w:t>
      </w:r>
      <w:r w:rsidRPr="00EB0C4D">
        <w:t>el arte, turismo y programas enfocados en diversos segmentos como ecoturismo</w:t>
      </w:r>
      <w:r>
        <w:t xml:space="preserve"> </w:t>
      </w:r>
      <w:r w:rsidRPr="00EB0C4D">
        <w:t>y gastronómico. Sus atribuciones incluyen garantizar el acceso equitativo</w:t>
      </w:r>
      <w:r>
        <w:t xml:space="preserve"> </w:t>
      </w:r>
      <w:r w:rsidRPr="00EB0C4D">
        <w:t>a actividades culturales, coordinar colaboraciones con instituciones para</w:t>
      </w:r>
      <w:r>
        <w:t xml:space="preserve"> </w:t>
      </w:r>
      <w:r w:rsidRPr="00EB0C4D">
        <w:t>enriquecer la identidad y creatividad local, difundir el patrimonio cultural a través</w:t>
      </w:r>
      <w:r>
        <w:t xml:space="preserve"> </w:t>
      </w:r>
      <w:r w:rsidRPr="00EB0C4D">
        <w:t>de diversos medios y promover la cooperación entre agentes para generar puntos</w:t>
      </w:r>
      <w:r>
        <w:t xml:space="preserve"> </w:t>
      </w:r>
      <w:r w:rsidRPr="00EB0C4D">
        <w:t>de encuentro, movilidad y esparcimiento cultural en beneficio de la comunidad</w:t>
      </w:r>
      <w:r w:rsidR="00951D08">
        <w:t xml:space="preserve">” </w:t>
      </w:r>
      <w:r w:rsidR="00951D08">
        <w:rPr>
          <w:b/>
          <w:bCs/>
        </w:rPr>
        <w:t>(Sic)</w:t>
      </w:r>
    </w:p>
    <w:p w14:paraId="24A31B0E" w14:textId="77777777" w:rsidR="00EB0C4D" w:rsidRDefault="00EB0C4D" w:rsidP="00EB0C4D">
      <w:pPr>
        <w:spacing w:after="0" w:line="360" w:lineRule="auto"/>
        <w:jc w:val="both"/>
        <w:rPr>
          <w:rFonts w:ascii="Palatino Linotype" w:hAnsi="Palatino Linotype"/>
          <w:iCs/>
          <w:sz w:val="24"/>
          <w:szCs w:val="24"/>
        </w:rPr>
      </w:pPr>
    </w:p>
    <w:p w14:paraId="23D7502E" w14:textId="77777777" w:rsidR="00EB0C4D" w:rsidRDefault="00EB0C4D" w:rsidP="00EB0C4D">
      <w:pPr>
        <w:spacing w:after="0" w:line="360" w:lineRule="auto"/>
        <w:jc w:val="both"/>
        <w:rPr>
          <w:rFonts w:ascii="Palatino Linotype" w:hAnsi="Palatino Linotype"/>
          <w:iCs/>
          <w:sz w:val="24"/>
          <w:szCs w:val="24"/>
        </w:rPr>
      </w:pPr>
    </w:p>
    <w:p w14:paraId="2CBB325E" w14:textId="0B35016F" w:rsidR="00EB0C4D" w:rsidRPr="00951D08" w:rsidRDefault="00951D08" w:rsidP="00951D08">
      <w:pPr>
        <w:pStyle w:val="Citas"/>
        <w:jc w:val="center"/>
        <w:rPr>
          <w:b/>
          <w:bCs/>
          <w:i w:val="0"/>
          <w:iCs/>
        </w:rPr>
      </w:pPr>
      <w:r>
        <w:rPr>
          <w:b/>
          <w:bCs/>
          <w:i w:val="0"/>
          <w:iCs/>
        </w:rPr>
        <w:lastRenderedPageBreak/>
        <w:t>CÓDIGO</w:t>
      </w:r>
      <w:r w:rsidRPr="00951D08">
        <w:rPr>
          <w:b/>
          <w:bCs/>
          <w:i w:val="0"/>
          <w:iCs/>
        </w:rPr>
        <w:t xml:space="preserve"> REGLAMENTARIO DE TOLUCA</w:t>
      </w:r>
    </w:p>
    <w:p w14:paraId="07BBE8EE" w14:textId="32B02388" w:rsidR="00951D08" w:rsidRDefault="00951D08" w:rsidP="00951D08">
      <w:pPr>
        <w:pStyle w:val="Citas"/>
      </w:pPr>
      <w:r>
        <w:t>“</w:t>
      </w:r>
      <w:r w:rsidRPr="00951D08">
        <w:t>Artículo 3.8. Corresponde a las o los titulares de las dependencias, el ejercicio de las</w:t>
      </w:r>
      <w:r>
        <w:t xml:space="preserve"> </w:t>
      </w:r>
      <w:r w:rsidRPr="00951D08">
        <w:t>siguientes atribuciones genéricas:</w:t>
      </w:r>
    </w:p>
    <w:p w14:paraId="68D82123" w14:textId="63341DFC" w:rsidR="00951D08" w:rsidRDefault="00951D08" w:rsidP="00951D08">
      <w:pPr>
        <w:pStyle w:val="Citas"/>
      </w:pPr>
      <w:r>
        <w:t>(…)</w:t>
      </w:r>
    </w:p>
    <w:p w14:paraId="68014FD8" w14:textId="789742B4" w:rsidR="00951D08" w:rsidRPr="00951D08" w:rsidRDefault="00951D08" w:rsidP="00951D08">
      <w:pPr>
        <w:pStyle w:val="Citas"/>
        <w:rPr>
          <w:b/>
          <w:bCs/>
          <w:u w:val="single"/>
        </w:rPr>
      </w:pPr>
      <w:r w:rsidRPr="00951D08">
        <w:rPr>
          <w:b/>
          <w:bCs/>
          <w:u w:val="single"/>
        </w:rPr>
        <w:t>XX. Proponer al presidente municipal la celebración de convenios y contratos con los demás ámbitos de gobierno, así como con organizaciones de la sociedad civil y la iniciativa privada en los temas que sean materia de su competencia; y</w:t>
      </w:r>
    </w:p>
    <w:p w14:paraId="028D59B5" w14:textId="7C9B0850" w:rsidR="00951D08" w:rsidRDefault="00951D08" w:rsidP="00951D08">
      <w:pPr>
        <w:pStyle w:val="Citas"/>
      </w:pPr>
      <w:r w:rsidRPr="00951D08">
        <w:t>XXI. Las demás que le señalen expresamente el Ayuntamiento, el presidente</w:t>
      </w:r>
      <w:r>
        <w:t xml:space="preserve"> </w:t>
      </w:r>
      <w:r w:rsidRPr="00951D08">
        <w:t>municipal, las leyes, reglamentos y disposiciones jurídicas aplicables.</w:t>
      </w:r>
    </w:p>
    <w:p w14:paraId="544882FC" w14:textId="5B5FAAED" w:rsidR="00951D08" w:rsidRPr="00951D08" w:rsidRDefault="00951D08" w:rsidP="00951D08">
      <w:pPr>
        <w:pStyle w:val="Citas"/>
        <w:rPr>
          <w:b/>
          <w:bCs/>
        </w:rPr>
      </w:pPr>
      <w:r w:rsidRPr="00951D08">
        <w:t>Para el cumplimiento de sus atribuciones, las o los titulares se auxiliarán de los</w:t>
      </w:r>
      <w:r>
        <w:t xml:space="preserve"> </w:t>
      </w:r>
      <w:r w:rsidRPr="00951D08">
        <w:t>directores de área, coordinadores y jefes de departamento que conformen la</w:t>
      </w:r>
      <w:r>
        <w:t xml:space="preserve"> </w:t>
      </w:r>
      <w:r w:rsidRPr="00951D08">
        <w:t>dependencia</w:t>
      </w:r>
      <w:r>
        <w:t xml:space="preserve">” </w:t>
      </w:r>
      <w:r>
        <w:rPr>
          <w:b/>
          <w:bCs/>
        </w:rPr>
        <w:t>(Sic)</w:t>
      </w:r>
    </w:p>
    <w:p w14:paraId="312DD43A" w14:textId="77777777" w:rsidR="00951D08" w:rsidRDefault="00951D08" w:rsidP="00EB0C4D">
      <w:pPr>
        <w:spacing w:after="0" w:line="360" w:lineRule="auto"/>
        <w:jc w:val="both"/>
        <w:rPr>
          <w:rFonts w:ascii="Palatino Linotype" w:hAnsi="Palatino Linotype"/>
          <w:iCs/>
          <w:sz w:val="24"/>
          <w:szCs w:val="24"/>
        </w:rPr>
      </w:pPr>
    </w:p>
    <w:p w14:paraId="1459D096" w14:textId="77777777" w:rsidR="00EB0C4D" w:rsidRDefault="00EB0C4D" w:rsidP="00EB0C4D">
      <w:pPr>
        <w:spacing w:after="0" w:line="360" w:lineRule="auto"/>
        <w:jc w:val="both"/>
        <w:rPr>
          <w:rFonts w:ascii="Palatino Linotype" w:hAnsi="Palatino Linotype"/>
          <w:iCs/>
          <w:sz w:val="24"/>
          <w:szCs w:val="24"/>
        </w:rPr>
      </w:pPr>
    </w:p>
    <w:p w14:paraId="68AEB12D" w14:textId="2F855800" w:rsidR="00951D08" w:rsidRDefault="00951D08" w:rsidP="00951D08">
      <w:pPr>
        <w:spacing w:line="360" w:lineRule="auto"/>
        <w:jc w:val="both"/>
        <w:rPr>
          <w:rFonts w:ascii="Palatino Linotype" w:hAnsi="Palatino Linotype"/>
          <w:bCs/>
          <w:sz w:val="24"/>
          <w:szCs w:val="24"/>
        </w:rPr>
      </w:pPr>
      <w:r>
        <w:rPr>
          <w:rFonts w:ascii="Palatino Linotype" w:hAnsi="Palatino Linotype"/>
          <w:bCs/>
          <w:sz w:val="24"/>
          <w:szCs w:val="24"/>
        </w:rPr>
        <w:t xml:space="preserve">De ahí que deba arribarse a la premisa de que la </w:t>
      </w:r>
      <w:r>
        <w:rPr>
          <w:rFonts w:ascii="Palatino Linotype" w:hAnsi="Palatino Linotype"/>
          <w:sz w:val="24"/>
          <w:szCs w:val="24"/>
        </w:rPr>
        <w:t xml:space="preserve">Dirección General de Educación, Cultura y Turismo tiene reservado un amplio catalogo de funciones especificas y genéricas, resaltando la relativa a proponer al presidente municipal la celebración de contratos y convenios con los demás ámbitos de gobierno, organizaciones de la sociedad civil o incluso la iniciativa privada. </w:t>
      </w:r>
    </w:p>
    <w:p w14:paraId="183B3331" w14:textId="77777777" w:rsidR="00951D08" w:rsidRDefault="00951D08" w:rsidP="00951D08">
      <w:pPr>
        <w:spacing w:line="360" w:lineRule="auto"/>
        <w:jc w:val="both"/>
        <w:rPr>
          <w:rFonts w:ascii="Palatino Linotype" w:hAnsi="Palatino Linotype"/>
          <w:bCs/>
          <w:sz w:val="24"/>
          <w:szCs w:val="24"/>
        </w:rPr>
      </w:pPr>
    </w:p>
    <w:p w14:paraId="5A126AE4" w14:textId="037F51E3" w:rsidR="00E47F81" w:rsidRPr="003721AF" w:rsidRDefault="00E47F81" w:rsidP="0078025C">
      <w:pPr>
        <w:pStyle w:val="Sinespaciado"/>
        <w:spacing w:line="360" w:lineRule="auto"/>
        <w:jc w:val="both"/>
        <w:rPr>
          <w:rFonts w:ascii="Palatino Linotype" w:hAnsi="Palatino Linotype" w:cs="Arial"/>
        </w:rPr>
      </w:pPr>
      <w:r>
        <w:rPr>
          <w:rFonts w:ascii="Palatino Linotype" w:hAnsi="Palatino Linotype" w:cs="Arial"/>
        </w:rPr>
        <w:lastRenderedPageBreak/>
        <w:t>Se quiere con ello significar</w:t>
      </w:r>
      <w:r w:rsidRPr="00EC5B60">
        <w:rPr>
          <w:rFonts w:ascii="Palatino Linotype" w:hAnsi="Palatino Linotype" w:cs="Arial"/>
        </w:rPr>
        <w:t>, en términos de los</w:t>
      </w:r>
      <w:r w:rsidRPr="003721AF">
        <w:rPr>
          <w:rFonts w:ascii="Palatino Linotype" w:hAnsi="Palatino Linotype" w:cs="Arial"/>
        </w:rPr>
        <w:t xml:space="preserve">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0F9B99DA" w14:textId="77777777" w:rsidR="00E47F81" w:rsidRPr="003721AF" w:rsidRDefault="00E47F81" w:rsidP="00E47F81">
      <w:pPr>
        <w:pStyle w:val="Citas"/>
      </w:pPr>
      <w:r w:rsidRPr="003721AF">
        <w:t xml:space="preserve">“Artículo 18. Los sujetos obligados deberán documentar todo acto que derive del ejercicio de sus facultades, competencias o funciones, considerando desde su origen la eventual publicidad y reutilización de la información que generen. </w:t>
      </w:r>
    </w:p>
    <w:p w14:paraId="5F69FEAF" w14:textId="77777777" w:rsidR="00E47F81" w:rsidRPr="003721AF" w:rsidRDefault="00E47F81" w:rsidP="00E47F81">
      <w:pPr>
        <w:pStyle w:val="Citas"/>
      </w:pPr>
      <w:r w:rsidRPr="003721AF">
        <w:t xml:space="preserve">Artículo 19. Se presume que la información debe existir si se refiere a las facultades, competencias y funciones que los ordenamientos jurídicos aplicables otorgan a los sujetos obligados. </w:t>
      </w:r>
    </w:p>
    <w:p w14:paraId="005C6C26" w14:textId="77777777" w:rsidR="00E47F81" w:rsidRPr="003721AF" w:rsidRDefault="00E47F81" w:rsidP="00E47F81">
      <w:pPr>
        <w:pStyle w:val="Citas"/>
      </w:pPr>
      <w:r w:rsidRPr="003721AF">
        <w:t xml:space="preserve">En los casos en que ciertas facultades, competencias o funciones no se hayan ejercido, se debe motivar la respuesta en función de las causas que motiven tal circunstancia. </w:t>
      </w:r>
    </w:p>
    <w:p w14:paraId="74ADA8D8" w14:textId="77777777" w:rsidR="00E47F81" w:rsidRPr="003721AF" w:rsidRDefault="00E47F81" w:rsidP="00E47F81">
      <w:pPr>
        <w:pStyle w:val="Citas"/>
        <w:rPr>
          <w:b/>
          <w:bCs/>
          <w:sz w:val="24"/>
          <w:szCs w:val="24"/>
        </w:rPr>
      </w:pPr>
      <w:r w:rsidRPr="003721AF">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3721AF">
        <w:rPr>
          <w:b/>
          <w:bCs/>
        </w:rPr>
        <w:t>(Sic)</w:t>
      </w:r>
    </w:p>
    <w:p w14:paraId="45336BC5" w14:textId="77777777" w:rsidR="00E47F81" w:rsidRDefault="00E47F81" w:rsidP="00E47F81">
      <w:pPr>
        <w:spacing w:before="240" w:line="360" w:lineRule="auto"/>
        <w:jc w:val="both"/>
        <w:rPr>
          <w:rFonts w:ascii="Palatino Linotype" w:hAnsi="Palatino Linotype"/>
          <w:sz w:val="24"/>
          <w:szCs w:val="24"/>
        </w:rPr>
      </w:pPr>
    </w:p>
    <w:p w14:paraId="7BA86D6A" w14:textId="0E3DFD3A" w:rsidR="008200B2" w:rsidRPr="0078025C" w:rsidRDefault="00E47F81" w:rsidP="0078025C">
      <w:pPr>
        <w:spacing w:before="240" w:line="360" w:lineRule="auto"/>
        <w:jc w:val="both"/>
        <w:rPr>
          <w:rFonts w:ascii="Palatino Linotype" w:hAnsi="Palatino Linotype"/>
          <w:sz w:val="24"/>
          <w:szCs w:val="24"/>
        </w:rPr>
      </w:pPr>
      <w:r w:rsidRPr="0078025C">
        <w:rPr>
          <w:rFonts w:ascii="Palatino Linotype" w:hAnsi="Palatino Linotype"/>
          <w:sz w:val="24"/>
          <w:szCs w:val="24"/>
        </w:rPr>
        <w:t xml:space="preserve">Una vez sentado lo anterior, como se mencionó en el antecedente segundo, </w:t>
      </w:r>
      <w:r w:rsidRPr="0078025C">
        <w:rPr>
          <w:rFonts w:ascii="Palatino Linotype" w:hAnsi="Palatino Linotype"/>
          <w:b/>
          <w:bCs/>
          <w:sz w:val="24"/>
          <w:szCs w:val="24"/>
        </w:rPr>
        <w:t xml:space="preserve">El Sujeto Obligado </w:t>
      </w:r>
      <w:r w:rsidR="008200B2" w:rsidRPr="0078025C">
        <w:rPr>
          <w:rFonts w:ascii="Palatino Linotype" w:hAnsi="Palatino Linotype"/>
          <w:sz w:val="24"/>
          <w:szCs w:val="24"/>
        </w:rPr>
        <w:t xml:space="preserve">fue omiso en rendir respuesta a </w:t>
      </w:r>
      <w:r w:rsidR="00951D08">
        <w:rPr>
          <w:rFonts w:ascii="Palatino Linotype" w:hAnsi="Palatino Linotype"/>
          <w:sz w:val="24"/>
          <w:szCs w:val="24"/>
        </w:rPr>
        <w:t xml:space="preserve">la solicitud de información. En este tenor, resulta evidente que las razones o motivos de inconformidad hechos valer por </w:t>
      </w:r>
      <w:r w:rsidR="00951D08">
        <w:rPr>
          <w:rFonts w:ascii="Palatino Linotype" w:hAnsi="Palatino Linotype"/>
          <w:b/>
          <w:bCs/>
          <w:sz w:val="24"/>
          <w:szCs w:val="24"/>
        </w:rPr>
        <w:t xml:space="preserve">El Recurrente, </w:t>
      </w:r>
      <w:r w:rsidR="00951D08">
        <w:rPr>
          <w:rFonts w:ascii="Palatino Linotype" w:hAnsi="Palatino Linotype"/>
          <w:sz w:val="24"/>
          <w:szCs w:val="24"/>
        </w:rPr>
        <w:t xml:space="preserve">resultan fundados y procedentes, </w:t>
      </w:r>
      <w:r w:rsidR="008200B2" w:rsidRPr="0078025C">
        <w:rPr>
          <w:rFonts w:ascii="Palatino Linotype" w:hAnsi="Palatino Linotype" w:cs="Arial"/>
          <w:sz w:val="24"/>
          <w:szCs w:val="24"/>
        </w:rPr>
        <w:t xml:space="preserve">en virtud de que, como consta en el </w:t>
      </w:r>
      <w:r w:rsidR="008200B2" w:rsidRPr="0078025C">
        <w:rPr>
          <w:rFonts w:ascii="Palatino Linotype" w:hAnsi="Palatino Linotype" w:cs="Arial"/>
          <w:sz w:val="24"/>
          <w:szCs w:val="24"/>
        </w:rPr>
        <w:lastRenderedPageBreak/>
        <w:t xml:space="preserve">expediente electrónico del </w:t>
      </w:r>
      <w:r w:rsidR="008200B2" w:rsidRPr="0078025C">
        <w:rPr>
          <w:rFonts w:ascii="Palatino Linotype" w:hAnsi="Palatino Linotype" w:cs="Arial"/>
          <w:b/>
          <w:sz w:val="24"/>
          <w:szCs w:val="24"/>
        </w:rPr>
        <w:t xml:space="preserve">SAIMEX, </w:t>
      </w:r>
      <w:r w:rsidR="008200B2" w:rsidRPr="0078025C">
        <w:rPr>
          <w:rFonts w:ascii="Palatino Linotype" w:hAnsi="Palatino Linotype" w:cs="Arial"/>
          <w:sz w:val="24"/>
          <w:szCs w:val="24"/>
        </w:rPr>
        <w:t xml:space="preserve">se acredita que </w:t>
      </w:r>
      <w:r w:rsidR="008200B2" w:rsidRPr="0078025C">
        <w:rPr>
          <w:rFonts w:ascii="Palatino Linotype" w:hAnsi="Palatino Linotype" w:cs="Arial"/>
          <w:b/>
          <w:sz w:val="24"/>
          <w:szCs w:val="24"/>
        </w:rPr>
        <w:t xml:space="preserve">El Sujeto Obligado </w:t>
      </w:r>
      <w:r w:rsidR="008200B2" w:rsidRPr="0078025C">
        <w:rPr>
          <w:rFonts w:ascii="Palatino Linotype" w:hAnsi="Palatino Linotype" w:cs="Arial"/>
          <w:sz w:val="24"/>
          <w:szCs w:val="24"/>
        </w:rPr>
        <w:t xml:space="preserve">fue omiso en responder la solicitud de información hecha por </w:t>
      </w:r>
      <w:r w:rsidR="008200B2" w:rsidRPr="0078025C">
        <w:rPr>
          <w:rFonts w:ascii="Palatino Linotype" w:hAnsi="Palatino Linotype" w:cs="Arial"/>
          <w:b/>
          <w:bCs/>
          <w:sz w:val="24"/>
          <w:szCs w:val="24"/>
        </w:rPr>
        <w:t>El Recurrente</w:t>
      </w:r>
      <w:r w:rsidR="00EB4BF4">
        <w:rPr>
          <w:rFonts w:ascii="Palatino Linotype" w:hAnsi="Palatino Linotype" w:cs="Arial"/>
          <w:b/>
          <w:bCs/>
          <w:sz w:val="24"/>
          <w:szCs w:val="24"/>
        </w:rPr>
        <w:t>.</w:t>
      </w:r>
      <w:r w:rsidR="008200B2" w:rsidRPr="0078025C">
        <w:rPr>
          <w:rFonts w:ascii="Palatino Linotype" w:hAnsi="Palatino Linotype" w:cstheme="minorHAnsi"/>
          <w:bCs/>
          <w:sz w:val="24"/>
          <w:szCs w:val="24"/>
          <w:lang w:val="es-ES_tradnl"/>
        </w:rPr>
        <w:t xml:space="preserve">  </w:t>
      </w:r>
    </w:p>
    <w:p w14:paraId="077A64B6" w14:textId="77777777" w:rsidR="008200B2" w:rsidRDefault="008200B2" w:rsidP="008200B2">
      <w:pPr>
        <w:pStyle w:val="Prrafodelista"/>
        <w:autoSpaceDE w:val="0"/>
        <w:autoSpaceDN w:val="0"/>
        <w:adjustRightInd w:val="0"/>
        <w:spacing w:line="360" w:lineRule="auto"/>
        <w:ind w:left="0"/>
        <w:jc w:val="both"/>
        <w:rPr>
          <w:rFonts w:ascii="Palatino Linotype" w:hAnsi="Palatino Linotype" w:cs="Arial"/>
        </w:rPr>
      </w:pPr>
    </w:p>
    <w:p w14:paraId="7D764E7D" w14:textId="77777777" w:rsidR="008200B2" w:rsidRPr="00CF0F1D" w:rsidRDefault="008200B2" w:rsidP="008200B2">
      <w:pPr>
        <w:pStyle w:val="Prrafodelista"/>
        <w:autoSpaceDE w:val="0"/>
        <w:autoSpaceDN w:val="0"/>
        <w:adjustRightInd w:val="0"/>
        <w:spacing w:line="360" w:lineRule="auto"/>
        <w:ind w:left="0"/>
        <w:jc w:val="both"/>
        <w:rPr>
          <w:rFonts w:ascii="Palatino Linotype" w:hAnsi="Palatino Linotype" w:cs="Arial"/>
        </w:rPr>
      </w:pPr>
      <w:r w:rsidRPr="00CF0F1D">
        <w:rPr>
          <w:rFonts w:ascii="Palatino Linotype" w:hAnsi="Palatino Linotype" w:cs="Arial"/>
        </w:rPr>
        <w:t xml:space="preserve">Por otra parte, al referirnos al acto impugnado por </w:t>
      </w:r>
      <w:r>
        <w:rPr>
          <w:rFonts w:ascii="Palatino Linotype" w:hAnsi="Palatino Linotype" w:cs="Arial"/>
          <w:b/>
        </w:rPr>
        <w:t>El</w:t>
      </w:r>
      <w:r w:rsidRPr="00CF0F1D">
        <w:rPr>
          <w:rFonts w:ascii="Palatino Linotype" w:hAnsi="Palatino Linotype" w:cs="Arial"/>
          <w:b/>
        </w:rPr>
        <w:t xml:space="preserve"> Recurrente</w:t>
      </w:r>
      <w:r w:rsidRPr="00CF0F1D">
        <w:rPr>
          <w:rFonts w:ascii="Palatino Linotype" w:hAnsi="Palatino Linotype" w:cs="Arial"/>
        </w:rPr>
        <w:t xml:space="preserve">, </w:t>
      </w:r>
      <w:r w:rsidRPr="009F5B38">
        <w:rPr>
          <w:rFonts w:ascii="Palatino Linotype" w:hAnsi="Palatino Linotype" w:cs="Arial"/>
        </w:rPr>
        <w:t>concatenado con los motivos o razones de inconformidad emitidos</w:t>
      </w:r>
      <w:r>
        <w:rPr>
          <w:rFonts w:ascii="Palatino Linotype" w:hAnsi="Palatino Linotype" w:cs="Arial"/>
        </w:rPr>
        <w:t>,</w:t>
      </w:r>
      <w:r w:rsidRPr="009F5B38">
        <w:rPr>
          <w:rFonts w:ascii="Palatino Linotype" w:hAnsi="Palatino Linotype" w:cs="Arial"/>
        </w:rPr>
        <w:t xml:space="preserve"> </w:t>
      </w:r>
      <w:r w:rsidRPr="00CF0F1D">
        <w:rPr>
          <w:rFonts w:ascii="Palatino Linotype" w:hAnsi="Palatino Linotype" w:cs="Arial"/>
        </w:rPr>
        <w:t>se distingue que se adolece, de forma toral, de la falta de respuesta a la solicitud de acceso a la información pública, actualizando con ello lo establecido en la fracción VII, del artículo 179, de la Ley de Transparencia y Acceso a la Información Pública del Estado de México y Municipios, el cual a la letra reza:</w:t>
      </w:r>
    </w:p>
    <w:p w14:paraId="3EAE1057" w14:textId="77777777" w:rsidR="008200B2" w:rsidRPr="00CF0F1D" w:rsidRDefault="008200B2" w:rsidP="008200B2">
      <w:pPr>
        <w:pStyle w:val="Citas"/>
      </w:pPr>
      <w:r w:rsidRPr="00CF0F1D">
        <w:rPr>
          <w:b/>
          <w:bCs/>
        </w:rPr>
        <w:t xml:space="preserve">“Artículo 179. </w:t>
      </w:r>
      <w:r w:rsidRPr="00CF0F1D">
        <w:t>El recurso de revisión es un medio de protección que la Ley otorga a los particulares, para hacer valer su derecho de acceso a la información pública, y procederá en contra de las siguientes causas:</w:t>
      </w:r>
    </w:p>
    <w:p w14:paraId="36B5A80E" w14:textId="77777777" w:rsidR="008200B2" w:rsidRPr="00CF0F1D" w:rsidRDefault="008200B2" w:rsidP="008200B2">
      <w:pPr>
        <w:pStyle w:val="Citas"/>
      </w:pPr>
      <w:r w:rsidRPr="00CF0F1D">
        <w:rPr>
          <w:b/>
          <w:bCs/>
        </w:rPr>
        <w:t>(…</w:t>
      </w:r>
      <w:r w:rsidRPr="00CF0F1D">
        <w:t>)</w:t>
      </w:r>
    </w:p>
    <w:p w14:paraId="71FD01BE" w14:textId="77777777" w:rsidR="008200B2" w:rsidRPr="00CF0F1D" w:rsidRDefault="008200B2" w:rsidP="008200B2">
      <w:pPr>
        <w:pStyle w:val="Citas"/>
      </w:pPr>
      <w:r w:rsidRPr="00CF0F1D">
        <w:rPr>
          <w:b/>
          <w:bCs/>
        </w:rPr>
        <w:t xml:space="preserve">VII. </w:t>
      </w:r>
      <w:r w:rsidRPr="00CF0F1D">
        <w:t>La falta de respuesta a una solicitud de acceso a la información</w:t>
      </w:r>
    </w:p>
    <w:p w14:paraId="1238BC01" w14:textId="77777777" w:rsidR="008200B2" w:rsidRPr="00CF0F1D" w:rsidRDefault="008200B2" w:rsidP="008200B2">
      <w:pPr>
        <w:pStyle w:val="Citas"/>
        <w:rPr>
          <w:b/>
        </w:rPr>
      </w:pPr>
      <w:r w:rsidRPr="00CF0F1D">
        <w:rPr>
          <w:b/>
        </w:rPr>
        <w:t>(…)”</w:t>
      </w:r>
      <w:r w:rsidRPr="00CF0F1D">
        <w:t xml:space="preserve"> </w:t>
      </w:r>
      <w:r>
        <w:rPr>
          <w:b/>
        </w:rPr>
        <w:t>(Sic)</w:t>
      </w:r>
    </w:p>
    <w:p w14:paraId="7C45DAFB" w14:textId="77777777" w:rsidR="008200B2" w:rsidRDefault="008200B2" w:rsidP="00E47F81">
      <w:pPr>
        <w:spacing w:before="240" w:line="360" w:lineRule="auto"/>
        <w:jc w:val="both"/>
        <w:rPr>
          <w:rFonts w:ascii="Palatino Linotype" w:hAnsi="Palatino Linotype"/>
          <w:sz w:val="24"/>
          <w:szCs w:val="24"/>
        </w:rPr>
      </w:pPr>
    </w:p>
    <w:p w14:paraId="50039C42" w14:textId="53FC404F" w:rsidR="00951D08" w:rsidRDefault="008200B2" w:rsidP="008200B2">
      <w:pPr>
        <w:pStyle w:val="Prrafodelista"/>
        <w:autoSpaceDE w:val="0"/>
        <w:autoSpaceDN w:val="0"/>
        <w:adjustRightInd w:val="0"/>
        <w:spacing w:line="360" w:lineRule="auto"/>
        <w:ind w:left="0"/>
        <w:jc w:val="both"/>
        <w:rPr>
          <w:rFonts w:ascii="Palatino Linotype" w:hAnsi="Palatino Linotype" w:cs="Arial"/>
          <w:color w:val="000000"/>
          <w:lang w:val="es-ES_tradnl"/>
        </w:rPr>
      </w:pPr>
      <w:r>
        <w:rPr>
          <w:rFonts w:ascii="Palatino Linotype" w:hAnsi="Palatino Linotype" w:cs="Arial"/>
        </w:rPr>
        <w:t xml:space="preserve">En contraste, </w:t>
      </w:r>
      <w:r>
        <w:rPr>
          <w:rFonts w:ascii="Palatino Linotype" w:hAnsi="Palatino Linotype" w:cs="Arial"/>
          <w:color w:val="000000"/>
          <w:lang w:val="es-ES_tradnl"/>
        </w:rPr>
        <w:t xml:space="preserve">conforme fue mencionado en el antecedente quinto, </w:t>
      </w:r>
      <w:r>
        <w:rPr>
          <w:rFonts w:ascii="Palatino Linotype" w:hAnsi="Palatino Linotype" w:cs="Arial"/>
          <w:b/>
          <w:color w:val="000000"/>
          <w:lang w:val="es-ES_tradnl"/>
        </w:rPr>
        <w:t xml:space="preserve">El Sujeto Obligado </w:t>
      </w:r>
      <w:r>
        <w:rPr>
          <w:rFonts w:ascii="Palatino Linotype" w:hAnsi="Palatino Linotype" w:cs="Arial"/>
          <w:color w:val="000000"/>
          <w:lang w:val="es-ES_tradnl"/>
        </w:rPr>
        <w:t>rindió su</w:t>
      </w:r>
      <w:r w:rsidR="00951D08">
        <w:rPr>
          <w:rFonts w:ascii="Palatino Linotype" w:hAnsi="Palatino Linotype" w:cs="Arial"/>
          <w:color w:val="000000"/>
          <w:lang w:val="es-ES_tradnl"/>
        </w:rPr>
        <w:t xml:space="preserve"> informe justificado en los siguientes términos:</w:t>
      </w:r>
    </w:p>
    <w:p w14:paraId="0C92ACC3" w14:textId="2CB79381" w:rsidR="00951D08" w:rsidRPr="00951D08" w:rsidRDefault="00951D08" w:rsidP="00D96519">
      <w:pPr>
        <w:pStyle w:val="Prrafodelista"/>
        <w:numPr>
          <w:ilvl w:val="0"/>
          <w:numId w:val="3"/>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“2. Modifica RR-3645-2025.pdf”: </w:t>
      </w:r>
      <w:r>
        <w:rPr>
          <w:rFonts w:ascii="Palatino Linotype" w:hAnsi="Palatino Linotype" w:cs="Arial"/>
          <w:color w:val="000000"/>
          <w:lang w:val="es-ES_tradnl"/>
        </w:rPr>
        <w:t xml:space="preserve">Oficio sin número emitido por el titular de la unidad de transparencia, dirigido al comisionado ponente, de fecha diez de abril de dos mil veinticinco, en términos generales refiere que turnó la solicitud </w:t>
      </w:r>
      <w:r>
        <w:rPr>
          <w:rFonts w:ascii="Palatino Linotype" w:hAnsi="Palatino Linotype" w:cs="Arial"/>
          <w:color w:val="000000"/>
          <w:lang w:val="es-ES_tradnl"/>
        </w:rPr>
        <w:lastRenderedPageBreak/>
        <w:t xml:space="preserve">de información a la Dirección General de Educación, Cultura y Turismo, la cual remitió una minuta de trabajo que contiene los acuerdos de la reunión con Cataluña en el mes de febrero de dos mil veinticinco. </w:t>
      </w:r>
    </w:p>
    <w:p w14:paraId="09C6B510" w14:textId="77777777" w:rsidR="00951D08" w:rsidRDefault="00951D08" w:rsidP="00951D08">
      <w:pPr>
        <w:pStyle w:val="Prrafodelista"/>
        <w:autoSpaceDE w:val="0"/>
        <w:autoSpaceDN w:val="0"/>
        <w:adjustRightInd w:val="0"/>
        <w:spacing w:line="360" w:lineRule="auto"/>
        <w:ind w:left="720"/>
        <w:jc w:val="both"/>
        <w:rPr>
          <w:rFonts w:ascii="Palatino Linotype" w:hAnsi="Palatino Linotype" w:cs="Arial"/>
          <w:b/>
          <w:bCs/>
          <w:color w:val="000000"/>
          <w:lang w:val="es-ES_tradnl"/>
        </w:rPr>
      </w:pPr>
    </w:p>
    <w:p w14:paraId="3C4F0FB9" w14:textId="6E052CFA" w:rsidR="00D67A40" w:rsidRPr="00D67A40" w:rsidRDefault="00951D08" w:rsidP="00D96519">
      <w:pPr>
        <w:pStyle w:val="Prrafodelista"/>
        <w:numPr>
          <w:ilvl w:val="0"/>
          <w:numId w:val="3"/>
        </w:numPr>
        <w:autoSpaceDE w:val="0"/>
        <w:autoSpaceDN w:val="0"/>
        <w:adjustRightInd w:val="0"/>
        <w:spacing w:line="360" w:lineRule="auto"/>
        <w:jc w:val="both"/>
        <w:rPr>
          <w:rFonts w:ascii="Palatino Linotype" w:hAnsi="Palatino Linotype" w:cs="Arial"/>
          <w:b/>
          <w:bCs/>
          <w:color w:val="000000"/>
          <w:lang w:val="es-ES_tradnl"/>
        </w:rPr>
      </w:pPr>
      <w:r>
        <w:rPr>
          <w:rFonts w:ascii="Palatino Linotype" w:hAnsi="Palatino Linotype" w:cs="Arial"/>
          <w:b/>
          <w:bCs/>
          <w:color w:val="000000"/>
          <w:lang w:val="es-ES_tradnl"/>
        </w:rPr>
        <w:t xml:space="preserve">“A. RR-3645-2025.pdf”: </w:t>
      </w:r>
      <w:r w:rsidR="00D67A40">
        <w:rPr>
          <w:rFonts w:ascii="Palatino Linotype" w:hAnsi="Palatino Linotype" w:cs="Arial"/>
          <w:color w:val="000000"/>
          <w:lang w:val="es-ES_tradnl"/>
        </w:rPr>
        <w:t xml:space="preserve">Minuta de trabajo derivada de la reunión con el delegado del gobierno de Cataluña en México y Centroamérica, de fecha veinticinco de febrero de dos mil veinticinco, refleja apartados relativos a los asistentes, resumen de temas abordados, propuesta de colaboración (acuerdos), así como evidencia fotográfica. </w:t>
      </w:r>
    </w:p>
    <w:p w14:paraId="401AF410" w14:textId="77777777" w:rsidR="00D67A40" w:rsidRPr="00D67A40" w:rsidRDefault="00D67A40" w:rsidP="00D67A40">
      <w:pPr>
        <w:pStyle w:val="Prrafodelista"/>
        <w:rPr>
          <w:rFonts w:ascii="Palatino Linotype" w:hAnsi="Palatino Linotype" w:cs="Arial"/>
          <w:color w:val="000000"/>
          <w:lang w:val="es-ES_tradnl"/>
        </w:rPr>
      </w:pPr>
    </w:p>
    <w:p w14:paraId="167AC32C" w14:textId="77777777" w:rsidR="00D67A40" w:rsidRDefault="00D67A40" w:rsidP="00D67A40">
      <w:pPr>
        <w:pStyle w:val="Prrafodelista"/>
        <w:autoSpaceDE w:val="0"/>
        <w:autoSpaceDN w:val="0"/>
        <w:adjustRightInd w:val="0"/>
        <w:spacing w:line="360" w:lineRule="auto"/>
        <w:ind w:left="720"/>
        <w:jc w:val="both"/>
        <w:rPr>
          <w:rFonts w:ascii="Palatino Linotype" w:hAnsi="Palatino Linotype" w:cs="Arial"/>
          <w:color w:val="000000"/>
          <w:lang w:val="es-ES_tradnl"/>
        </w:rPr>
      </w:pPr>
      <w:r>
        <w:rPr>
          <w:rFonts w:ascii="Palatino Linotype" w:hAnsi="Palatino Linotype" w:cs="Arial"/>
          <w:color w:val="000000"/>
          <w:lang w:val="es-ES_tradnl"/>
        </w:rPr>
        <w:t>A manera de ejemplo, sirve de sustento la siguiente imagen ilustrativa:</w:t>
      </w:r>
    </w:p>
    <w:p w14:paraId="173A70E6" w14:textId="0132F29C" w:rsidR="00D67A40" w:rsidRDefault="00D67A40" w:rsidP="00D67A40">
      <w:pPr>
        <w:pStyle w:val="Prrafodelista"/>
        <w:autoSpaceDE w:val="0"/>
        <w:autoSpaceDN w:val="0"/>
        <w:adjustRightInd w:val="0"/>
        <w:spacing w:line="360" w:lineRule="auto"/>
        <w:ind w:left="720"/>
        <w:jc w:val="both"/>
        <w:rPr>
          <w:rFonts w:ascii="Palatino Linotype" w:hAnsi="Palatino Linotype" w:cs="Arial"/>
          <w:color w:val="000000"/>
          <w:lang w:val="es-ES_tradnl"/>
        </w:rPr>
      </w:pPr>
      <w:r>
        <w:rPr>
          <w:rFonts w:ascii="Palatino Linotype" w:hAnsi="Palatino Linotype" w:cs="Arial"/>
          <w:noProof/>
          <w:color w:val="000000"/>
          <w:lang w:val="es-MX" w:eastAsia="es-MX"/>
        </w:rPr>
        <mc:AlternateContent>
          <mc:Choice Requires="wps">
            <w:drawing>
              <wp:anchor distT="0" distB="0" distL="114300" distR="114300" simplePos="0" relativeHeight="251851765" behindDoc="0" locked="0" layoutInCell="1" allowOverlap="1" wp14:anchorId="1A91FA67" wp14:editId="1147533B">
                <wp:simplePos x="0" y="0"/>
                <wp:positionH relativeFrom="column">
                  <wp:posOffset>-146685</wp:posOffset>
                </wp:positionH>
                <wp:positionV relativeFrom="paragraph">
                  <wp:posOffset>254635</wp:posOffset>
                </wp:positionV>
                <wp:extent cx="6140450" cy="3911600"/>
                <wp:effectExtent l="0" t="0" r="31750" b="31750"/>
                <wp:wrapNone/>
                <wp:docPr id="120015050" name="Conector recto 6"/>
                <wp:cNvGraphicFramePr/>
                <a:graphic xmlns:a="http://schemas.openxmlformats.org/drawingml/2006/main">
                  <a:graphicData uri="http://schemas.microsoft.com/office/word/2010/wordprocessingShape">
                    <wps:wsp>
                      <wps:cNvCnPr/>
                      <wps:spPr>
                        <a:xfrm>
                          <a:off x="0" y="0"/>
                          <a:ext cx="6140450" cy="391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E2C904" id="Conector recto 6" o:spid="_x0000_s1026" style="position:absolute;z-index:2518517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5pt,20.05pt" to="471.95pt,3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" strokecolor="#5b9bd5 [3204]" strokeweight=".5pt">
                <v:stroke joinstyle="miter"/>
              </v:line>
            </w:pict>
          </mc:Fallback>
        </mc:AlternateContent>
      </w:r>
    </w:p>
    <w:p w14:paraId="6F6EF931" w14:textId="77777777" w:rsidR="00D67A40" w:rsidRDefault="00D67A40" w:rsidP="00D67A40">
      <w:pPr>
        <w:pStyle w:val="Prrafodelista"/>
        <w:autoSpaceDE w:val="0"/>
        <w:autoSpaceDN w:val="0"/>
        <w:adjustRightInd w:val="0"/>
        <w:spacing w:line="360" w:lineRule="auto"/>
        <w:ind w:left="720"/>
        <w:jc w:val="both"/>
        <w:rPr>
          <w:rFonts w:ascii="Palatino Linotype" w:hAnsi="Palatino Linotype" w:cs="Arial"/>
          <w:color w:val="000000"/>
          <w:lang w:val="es-ES_tradnl"/>
        </w:rPr>
      </w:pPr>
    </w:p>
    <w:p w14:paraId="29E4AC33" w14:textId="77777777" w:rsidR="00D67A40" w:rsidRDefault="00D67A40" w:rsidP="00D67A40">
      <w:pPr>
        <w:pStyle w:val="Prrafodelista"/>
        <w:autoSpaceDE w:val="0"/>
        <w:autoSpaceDN w:val="0"/>
        <w:adjustRightInd w:val="0"/>
        <w:spacing w:line="360" w:lineRule="auto"/>
        <w:ind w:left="720"/>
        <w:jc w:val="both"/>
        <w:rPr>
          <w:rFonts w:ascii="Palatino Linotype" w:hAnsi="Palatino Linotype" w:cs="Arial"/>
          <w:color w:val="000000"/>
          <w:lang w:val="es-ES_tradnl"/>
        </w:rPr>
      </w:pPr>
    </w:p>
    <w:p w14:paraId="02895638" w14:textId="77777777" w:rsidR="00D67A40" w:rsidRDefault="00D67A40" w:rsidP="00D67A40">
      <w:pPr>
        <w:pStyle w:val="Prrafodelista"/>
        <w:autoSpaceDE w:val="0"/>
        <w:autoSpaceDN w:val="0"/>
        <w:adjustRightInd w:val="0"/>
        <w:spacing w:line="360" w:lineRule="auto"/>
        <w:ind w:left="720"/>
        <w:jc w:val="both"/>
        <w:rPr>
          <w:rFonts w:ascii="Palatino Linotype" w:hAnsi="Palatino Linotype" w:cs="Arial"/>
          <w:color w:val="000000"/>
          <w:lang w:val="es-ES_tradnl"/>
        </w:rPr>
      </w:pPr>
    </w:p>
    <w:p w14:paraId="207540C0" w14:textId="77777777" w:rsidR="00D67A40" w:rsidRDefault="00D67A40" w:rsidP="00D67A40">
      <w:pPr>
        <w:pStyle w:val="Prrafodelista"/>
        <w:autoSpaceDE w:val="0"/>
        <w:autoSpaceDN w:val="0"/>
        <w:adjustRightInd w:val="0"/>
        <w:spacing w:line="360" w:lineRule="auto"/>
        <w:ind w:left="720"/>
        <w:jc w:val="both"/>
        <w:rPr>
          <w:rFonts w:ascii="Palatino Linotype" w:hAnsi="Palatino Linotype" w:cs="Arial"/>
          <w:color w:val="000000"/>
          <w:lang w:val="es-ES_tradnl"/>
        </w:rPr>
      </w:pPr>
    </w:p>
    <w:p w14:paraId="6E013104" w14:textId="77777777" w:rsidR="00D67A40" w:rsidRDefault="00D67A40" w:rsidP="00D67A40">
      <w:pPr>
        <w:pStyle w:val="Prrafodelista"/>
        <w:autoSpaceDE w:val="0"/>
        <w:autoSpaceDN w:val="0"/>
        <w:adjustRightInd w:val="0"/>
        <w:spacing w:line="360" w:lineRule="auto"/>
        <w:ind w:left="720"/>
        <w:jc w:val="both"/>
        <w:rPr>
          <w:rFonts w:ascii="Palatino Linotype" w:hAnsi="Palatino Linotype" w:cs="Arial"/>
          <w:color w:val="000000"/>
          <w:lang w:val="es-ES_tradnl"/>
        </w:rPr>
      </w:pPr>
    </w:p>
    <w:p w14:paraId="3F79745A" w14:textId="77777777" w:rsidR="00D67A40" w:rsidRDefault="00D67A40" w:rsidP="00D67A40">
      <w:pPr>
        <w:pStyle w:val="Prrafodelista"/>
        <w:autoSpaceDE w:val="0"/>
        <w:autoSpaceDN w:val="0"/>
        <w:adjustRightInd w:val="0"/>
        <w:spacing w:line="360" w:lineRule="auto"/>
        <w:ind w:left="720"/>
        <w:jc w:val="both"/>
        <w:rPr>
          <w:rFonts w:ascii="Palatino Linotype" w:hAnsi="Palatino Linotype" w:cs="Arial"/>
          <w:color w:val="000000"/>
          <w:lang w:val="es-ES_tradnl"/>
        </w:rPr>
      </w:pPr>
    </w:p>
    <w:p w14:paraId="69B308B9" w14:textId="77777777" w:rsidR="00D67A40" w:rsidRDefault="00D67A40" w:rsidP="00D67A40">
      <w:pPr>
        <w:pStyle w:val="Prrafodelista"/>
        <w:autoSpaceDE w:val="0"/>
        <w:autoSpaceDN w:val="0"/>
        <w:adjustRightInd w:val="0"/>
        <w:spacing w:line="360" w:lineRule="auto"/>
        <w:ind w:left="720"/>
        <w:jc w:val="both"/>
        <w:rPr>
          <w:rFonts w:ascii="Palatino Linotype" w:hAnsi="Palatino Linotype" w:cs="Arial"/>
          <w:color w:val="000000"/>
          <w:lang w:val="es-ES_tradnl"/>
        </w:rPr>
      </w:pPr>
    </w:p>
    <w:p w14:paraId="254D3C89" w14:textId="07571781" w:rsidR="00D67A40" w:rsidRDefault="00D67A40" w:rsidP="00D67A40">
      <w:pPr>
        <w:pStyle w:val="Prrafodelista"/>
        <w:autoSpaceDE w:val="0"/>
        <w:autoSpaceDN w:val="0"/>
        <w:adjustRightInd w:val="0"/>
        <w:spacing w:line="360" w:lineRule="auto"/>
        <w:ind w:left="720"/>
        <w:jc w:val="both"/>
        <w:rPr>
          <w:rFonts w:ascii="Palatino Linotype" w:hAnsi="Palatino Linotype" w:cs="Arial"/>
          <w:color w:val="000000"/>
          <w:lang w:val="es-ES_tradnl"/>
        </w:rPr>
      </w:pPr>
      <w:r>
        <w:rPr>
          <w:rFonts w:ascii="Palatino Linotype" w:hAnsi="Palatino Linotype" w:cs="Arial"/>
          <w:noProof/>
          <w:color w:val="000000"/>
          <w:lang w:val="es-MX" w:eastAsia="es-MX"/>
        </w:rPr>
        <w:lastRenderedPageBreak/>
        <w:drawing>
          <wp:anchor distT="0" distB="0" distL="114300" distR="114300" simplePos="0" relativeHeight="251850741" behindDoc="0" locked="0" layoutInCell="1" allowOverlap="1" wp14:anchorId="4B704654" wp14:editId="1FD5F16C">
            <wp:simplePos x="0" y="0"/>
            <wp:positionH relativeFrom="page">
              <wp:align>center</wp:align>
            </wp:positionH>
            <wp:positionV relativeFrom="paragraph">
              <wp:posOffset>19473</wp:posOffset>
            </wp:positionV>
            <wp:extent cx="5691505" cy="7431405"/>
            <wp:effectExtent l="19050" t="19050" r="23495" b="17145"/>
            <wp:wrapThrough wrapText="bothSides">
              <wp:wrapPolygon edited="0">
                <wp:start x="-72" y="-55"/>
                <wp:lineTo x="-72" y="21594"/>
                <wp:lineTo x="21617" y="21594"/>
                <wp:lineTo x="21617" y="-55"/>
                <wp:lineTo x="-72" y="-55"/>
              </wp:wrapPolygon>
            </wp:wrapThrough>
            <wp:docPr id="104098714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2638" cy="743309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CA83664" w14:textId="7D50F4DB" w:rsidR="0078025C" w:rsidRPr="00FE30F4" w:rsidRDefault="0078025C" w:rsidP="0078025C">
      <w:pPr>
        <w:spacing w:before="100" w:beforeAutospacing="1" w:after="100" w:afterAutospacing="1" w:line="360" w:lineRule="auto"/>
        <w:jc w:val="both"/>
        <w:rPr>
          <w:rFonts w:ascii="Palatino Linotype" w:hAnsi="Palatino Linotype"/>
          <w:iCs/>
          <w:sz w:val="24"/>
          <w:szCs w:val="24"/>
        </w:rPr>
      </w:pPr>
      <w:r>
        <w:rPr>
          <w:rFonts w:ascii="Palatino Linotype" w:hAnsi="Palatino Linotype"/>
          <w:sz w:val="24"/>
          <w:szCs w:val="24"/>
        </w:rPr>
        <w:lastRenderedPageBreak/>
        <w:t xml:space="preserve">En las generalizaciones anteriores, </w:t>
      </w:r>
      <w:r w:rsidR="00D67A40">
        <w:rPr>
          <w:rFonts w:ascii="Palatino Linotype" w:hAnsi="Palatino Linotype"/>
          <w:sz w:val="24"/>
          <w:szCs w:val="24"/>
        </w:rPr>
        <w:t xml:space="preserve">con relación al contenido de la minuta remitida mediante informe justificado, se destaca que </w:t>
      </w:r>
      <w:r w:rsidRPr="00FE30F4">
        <w:rPr>
          <w:rFonts w:ascii="Palatino Linotype" w:hAnsi="Palatino Linotype"/>
          <w:sz w:val="24"/>
          <w:szCs w:val="24"/>
        </w:rPr>
        <w:t>este</w:t>
      </w:r>
      <w:r w:rsidRPr="00FE30F4">
        <w:rPr>
          <w:rFonts w:ascii="Palatino Linotype" w:hAnsi="Palatino Linotype"/>
          <w:iCs/>
          <w:sz w:val="24"/>
          <w:szCs w:val="24"/>
        </w:rPr>
        <w:t xml:space="preserv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4F5CD96E" w14:textId="77777777" w:rsidR="00D67A40" w:rsidRPr="00043ADE" w:rsidRDefault="00D67A40" w:rsidP="00D67A40">
      <w:pPr>
        <w:spacing w:after="0" w:line="360" w:lineRule="auto"/>
        <w:contextualSpacing/>
        <w:jc w:val="both"/>
        <w:rPr>
          <w:rFonts w:ascii="Palatino Linotype" w:hAnsi="Palatino Linotype"/>
          <w:iCs/>
          <w:sz w:val="24"/>
          <w:szCs w:val="24"/>
        </w:rPr>
      </w:pPr>
      <w:r w:rsidRPr="00043ADE">
        <w:rPr>
          <w:rFonts w:ascii="Palatino Linotype" w:hAnsi="Palatino Linotype" w:cs="Arial"/>
          <w:bCs/>
          <w:sz w:val="24"/>
          <w:szCs w:val="24"/>
        </w:rPr>
        <w:t xml:space="preserve">De forma complementaria, se comprende que el </w:t>
      </w:r>
      <w:r w:rsidRPr="00043ADE">
        <w:rPr>
          <w:rFonts w:ascii="Palatino Linotype" w:hAnsi="Palatino Linotype"/>
          <w:iCs/>
          <w:sz w:val="24"/>
          <w:szCs w:val="24"/>
        </w:rPr>
        <w:t xml:space="preserve">derecho de acceso a la información excluye la obligación de generar, documentos, procesar información o incluso generar soportes documentales encauzados a atender la pretensión de los particulares, es decir no tiene obligación de documentos para colmar la pretensión del particular. </w:t>
      </w:r>
    </w:p>
    <w:p w14:paraId="380E3657" w14:textId="77777777" w:rsidR="00D67A40" w:rsidRPr="001831B2" w:rsidRDefault="00D67A40" w:rsidP="00D67A40">
      <w:pPr>
        <w:spacing w:after="0" w:line="360" w:lineRule="auto"/>
        <w:contextualSpacing/>
        <w:jc w:val="both"/>
        <w:rPr>
          <w:rFonts w:ascii="Palatino Linotype" w:hAnsi="Palatino Linotype"/>
          <w:i/>
          <w:iCs/>
          <w:sz w:val="24"/>
          <w:szCs w:val="24"/>
        </w:rPr>
      </w:pPr>
    </w:p>
    <w:p w14:paraId="1447783B" w14:textId="77777777" w:rsidR="00D67A40" w:rsidRPr="00341174" w:rsidRDefault="00D67A40" w:rsidP="00D67A40">
      <w:pPr>
        <w:spacing w:line="360" w:lineRule="auto"/>
        <w:jc w:val="both"/>
        <w:rPr>
          <w:sz w:val="24"/>
          <w:szCs w:val="24"/>
          <w:lang w:val="es-ES_tradnl"/>
        </w:rPr>
      </w:pPr>
      <w:r w:rsidRPr="00341174">
        <w:rPr>
          <w:rFonts w:ascii="Palatino Linotype" w:hAnsi="Palatino Linotype"/>
          <w:iCs/>
          <w:sz w:val="24"/>
          <w:szCs w:val="24"/>
        </w:rPr>
        <w:t xml:space="preserve">Robustece lo anterior, el criterio </w:t>
      </w:r>
      <w:r>
        <w:rPr>
          <w:rFonts w:ascii="Palatino Linotype" w:hAnsi="Palatino Linotype"/>
          <w:iCs/>
          <w:sz w:val="24"/>
          <w:szCs w:val="24"/>
        </w:rPr>
        <w:t xml:space="preserve">orientador </w:t>
      </w:r>
      <w:r w:rsidRPr="00341174">
        <w:rPr>
          <w:rFonts w:ascii="Palatino Linotype" w:hAnsi="Palatino Linotype" w:cs="Arial"/>
          <w:color w:val="000000"/>
          <w:sz w:val="24"/>
          <w:szCs w:val="24"/>
          <w:lang w:val="es-ES_tradnl"/>
        </w:rPr>
        <w:t xml:space="preserve">03-17, emitido por </w:t>
      </w:r>
      <w:r w:rsidRPr="00341174">
        <w:rPr>
          <w:rFonts w:ascii="Palatino Linotype" w:eastAsia="Arial Unicode MS" w:hAnsi="Palatino Linotype" w:cs="Arial"/>
          <w:color w:val="000000"/>
          <w:sz w:val="24"/>
          <w:szCs w:val="24"/>
          <w:lang w:val="es-ES_tradnl"/>
        </w:rPr>
        <w:t xml:space="preserve">el </w:t>
      </w:r>
      <w:r>
        <w:rPr>
          <w:rFonts w:ascii="Palatino Linotype" w:eastAsia="Arial Unicode MS" w:hAnsi="Palatino Linotype" w:cs="Arial"/>
          <w:color w:val="000000"/>
          <w:sz w:val="24"/>
          <w:szCs w:val="24"/>
          <w:lang w:val="es-ES_tradnl"/>
        </w:rPr>
        <w:t xml:space="preserve">entonces </w:t>
      </w:r>
      <w:r w:rsidRPr="00341174">
        <w:rPr>
          <w:rFonts w:ascii="Palatino Linotype" w:eastAsia="Arial Unicode MS" w:hAnsi="Palatino Linotype" w:cs="Arial"/>
          <w:color w:val="000000"/>
          <w:sz w:val="24"/>
          <w:szCs w:val="24"/>
          <w:lang w:val="es-ES_tradnl"/>
        </w:rPr>
        <w:t xml:space="preserve">Instituto Nacional de Transparencia, Acceso a la Información y Protección de Datos Personales cuyo rubro y texto dispone a la literalidad los siguiente: </w:t>
      </w:r>
    </w:p>
    <w:p w14:paraId="14DC33FF" w14:textId="77777777" w:rsidR="00D67A40" w:rsidRPr="00341174" w:rsidRDefault="00D67A40" w:rsidP="00D67A40">
      <w:pPr>
        <w:pStyle w:val="Citas"/>
        <w:rPr>
          <w:b/>
          <w:spacing w:val="18"/>
        </w:rPr>
      </w:pPr>
      <w:r w:rsidRPr="00341174">
        <w:rPr>
          <w:b/>
        </w:rPr>
        <w:t xml:space="preserve">“NO EXISTE OBLIGACIÓN DE ELABORAR </w:t>
      </w:r>
      <w:r w:rsidRPr="00341174">
        <w:rPr>
          <w:b/>
          <w:spacing w:val="-3"/>
        </w:rPr>
        <w:t>D</w:t>
      </w:r>
      <w:r w:rsidRPr="00341174">
        <w:rPr>
          <w:b/>
        </w:rPr>
        <w:t>OCUM</w:t>
      </w:r>
      <w:r w:rsidRPr="00341174">
        <w:rPr>
          <w:b/>
          <w:spacing w:val="1"/>
        </w:rPr>
        <w:t>E</w:t>
      </w:r>
      <w:r w:rsidRPr="00341174">
        <w:rPr>
          <w:b/>
        </w:rPr>
        <w:t>N</w:t>
      </w:r>
      <w:r w:rsidRPr="00341174">
        <w:rPr>
          <w:b/>
          <w:spacing w:val="-1"/>
        </w:rPr>
        <w:t>T</w:t>
      </w:r>
      <w:r w:rsidRPr="00341174">
        <w:rPr>
          <w:b/>
        </w:rPr>
        <w:t>OS</w:t>
      </w:r>
      <w:r w:rsidRPr="00341174">
        <w:rPr>
          <w:b/>
          <w:spacing w:val="14"/>
        </w:rPr>
        <w:t xml:space="preserve"> </w:t>
      </w:r>
      <w:r w:rsidRPr="00341174">
        <w:rPr>
          <w:b/>
          <w:spacing w:val="-1"/>
        </w:rPr>
        <w:t xml:space="preserve">AD </w:t>
      </w:r>
      <w:r w:rsidRPr="00341174">
        <w:rPr>
          <w:b/>
        </w:rPr>
        <w:t>HOC</w:t>
      </w:r>
      <w:r w:rsidRPr="00341174">
        <w:rPr>
          <w:b/>
          <w:spacing w:val="11"/>
        </w:rPr>
        <w:t xml:space="preserve"> </w:t>
      </w:r>
      <w:r w:rsidRPr="00341174">
        <w:rPr>
          <w:b/>
        </w:rPr>
        <w:t>PARA</w:t>
      </w:r>
      <w:r w:rsidRPr="00341174">
        <w:rPr>
          <w:b/>
          <w:spacing w:val="10"/>
        </w:rPr>
        <w:t xml:space="preserve"> </w:t>
      </w:r>
      <w:r w:rsidRPr="00341174">
        <w:rPr>
          <w:b/>
        </w:rPr>
        <w:t>ATENDER LAS SOL</w:t>
      </w:r>
      <w:r w:rsidRPr="00341174">
        <w:rPr>
          <w:b/>
          <w:spacing w:val="-2"/>
        </w:rPr>
        <w:t>I</w:t>
      </w:r>
      <w:r w:rsidRPr="00341174">
        <w:rPr>
          <w:b/>
          <w:spacing w:val="1"/>
        </w:rPr>
        <w:t>C</w:t>
      </w:r>
      <w:r w:rsidRPr="00341174">
        <w:rPr>
          <w:b/>
        </w:rPr>
        <w:t>ITUDES</w:t>
      </w:r>
      <w:r w:rsidRPr="00341174">
        <w:rPr>
          <w:b/>
          <w:spacing w:val="10"/>
        </w:rPr>
        <w:t xml:space="preserve"> </w:t>
      </w:r>
      <w:r w:rsidRPr="00341174">
        <w:rPr>
          <w:b/>
        </w:rPr>
        <w:t>DE</w:t>
      </w:r>
      <w:r w:rsidRPr="00341174">
        <w:rPr>
          <w:b/>
          <w:spacing w:val="9"/>
        </w:rPr>
        <w:t xml:space="preserve"> </w:t>
      </w:r>
      <w:r w:rsidRPr="00341174">
        <w:rPr>
          <w:b/>
          <w:spacing w:val="1"/>
        </w:rPr>
        <w:t>AC</w:t>
      </w:r>
      <w:r w:rsidRPr="00341174">
        <w:rPr>
          <w:b/>
          <w:spacing w:val="-1"/>
        </w:rPr>
        <w:t>C</w:t>
      </w:r>
      <w:r w:rsidRPr="00341174">
        <w:rPr>
          <w:b/>
          <w:spacing w:val="1"/>
        </w:rPr>
        <w:t>ES</w:t>
      </w:r>
      <w:r w:rsidRPr="00341174">
        <w:rPr>
          <w:b/>
        </w:rPr>
        <w:t>O</w:t>
      </w:r>
      <w:r w:rsidRPr="00341174">
        <w:rPr>
          <w:b/>
          <w:spacing w:val="11"/>
        </w:rPr>
        <w:t xml:space="preserve"> </w:t>
      </w:r>
      <w:r w:rsidRPr="00341174">
        <w:rPr>
          <w:b/>
        </w:rPr>
        <w:t>A</w:t>
      </w:r>
      <w:r w:rsidRPr="00341174">
        <w:rPr>
          <w:b/>
          <w:spacing w:val="9"/>
        </w:rPr>
        <w:t xml:space="preserve"> </w:t>
      </w:r>
      <w:r w:rsidRPr="00341174">
        <w:rPr>
          <w:b/>
        </w:rPr>
        <w:t>LA</w:t>
      </w:r>
      <w:r w:rsidRPr="00341174">
        <w:rPr>
          <w:b/>
          <w:spacing w:val="10"/>
        </w:rPr>
        <w:t xml:space="preserve"> </w:t>
      </w:r>
      <w:r w:rsidRPr="00341174">
        <w:rPr>
          <w:b/>
        </w:rPr>
        <w:t>INFORMA</w:t>
      </w:r>
      <w:r w:rsidRPr="00341174">
        <w:rPr>
          <w:b/>
          <w:spacing w:val="1"/>
        </w:rPr>
        <w:t>C</w:t>
      </w:r>
      <w:r w:rsidRPr="00341174">
        <w:rPr>
          <w:b/>
        </w:rPr>
        <w:t>IÓ</w:t>
      </w:r>
      <w:r w:rsidRPr="00341174">
        <w:rPr>
          <w:b/>
          <w:spacing w:val="-2"/>
        </w:rPr>
        <w:t>N</w:t>
      </w:r>
      <w:r w:rsidRPr="00341174">
        <w:rPr>
          <w:b/>
        </w:rPr>
        <w:t>.</w:t>
      </w:r>
      <w:r w:rsidRPr="00341174">
        <w:rPr>
          <w:b/>
          <w:spacing w:val="18"/>
        </w:rPr>
        <w:t xml:space="preserve"> </w:t>
      </w:r>
    </w:p>
    <w:p w14:paraId="5EC378D4" w14:textId="77777777" w:rsidR="00D67A40" w:rsidRPr="00341174" w:rsidRDefault="00D67A40" w:rsidP="00D67A40">
      <w:pPr>
        <w:pStyle w:val="Citas"/>
      </w:pPr>
      <w:r w:rsidRPr="00341174">
        <w:rPr>
          <w:spacing w:val="18"/>
        </w:rPr>
        <w:t>L</w:t>
      </w:r>
      <w:r w:rsidRPr="00341174">
        <w:rPr>
          <w:spacing w:val="-1"/>
        </w:rPr>
        <w:t xml:space="preserve">os </w:t>
      </w:r>
      <w:r w:rsidRPr="00341174">
        <w:rPr>
          <w:spacing w:val="1"/>
        </w:rPr>
        <w:t>a</w:t>
      </w:r>
      <w:r w:rsidRPr="00341174">
        <w:t>rt</w:t>
      </w:r>
      <w:r w:rsidRPr="00341174">
        <w:rPr>
          <w:spacing w:val="-2"/>
        </w:rPr>
        <w:t>í</w:t>
      </w:r>
      <w:r w:rsidRPr="00341174">
        <w:t>c</w:t>
      </w:r>
      <w:r w:rsidRPr="00341174">
        <w:rPr>
          <w:spacing w:val="1"/>
        </w:rPr>
        <w:t>u</w:t>
      </w:r>
      <w:r w:rsidRPr="00341174">
        <w:t>los</w:t>
      </w:r>
      <w:r w:rsidRPr="00341174">
        <w:rPr>
          <w:spacing w:val="8"/>
        </w:rPr>
        <w:t xml:space="preserve"> 129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General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y </w:t>
      </w:r>
      <w:r w:rsidRPr="00341174">
        <w:rPr>
          <w:spacing w:val="8"/>
        </w:rPr>
        <w:t xml:space="preserve">130, párrafo cuarto, </w:t>
      </w:r>
      <w:r w:rsidRPr="00341174">
        <w:rPr>
          <w:spacing w:val="1"/>
        </w:rPr>
        <w:t>d</w:t>
      </w:r>
      <w:r w:rsidRPr="00341174">
        <w:t>e</w:t>
      </w:r>
      <w:r w:rsidRPr="00341174">
        <w:rPr>
          <w:spacing w:val="9"/>
        </w:rPr>
        <w:t xml:space="preserve"> </w:t>
      </w:r>
      <w:r w:rsidRPr="00341174">
        <w:t>la</w:t>
      </w:r>
      <w:r w:rsidRPr="00341174">
        <w:rPr>
          <w:spacing w:val="10"/>
        </w:rPr>
        <w:t xml:space="preserve"> </w:t>
      </w:r>
      <w:r w:rsidRPr="00341174">
        <w:rPr>
          <w:spacing w:val="-1"/>
        </w:rPr>
        <w:t>L</w:t>
      </w:r>
      <w:r w:rsidRPr="00341174">
        <w:rPr>
          <w:spacing w:val="1"/>
        </w:rPr>
        <w:t>e</w:t>
      </w:r>
      <w:r w:rsidRPr="00341174">
        <w:t>y</w:t>
      </w:r>
      <w:r w:rsidRPr="00341174">
        <w:rPr>
          <w:spacing w:val="8"/>
        </w:rPr>
        <w:t xml:space="preserve"> </w:t>
      </w:r>
      <w:r w:rsidRPr="00341174">
        <w:t>Fe</w:t>
      </w:r>
      <w:r w:rsidRPr="00341174">
        <w:rPr>
          <w:spacing w:val="1"/>
        </w:rPr>
        <w:t>de</w:t>
      </w:r>
      <w:r w:rsidRPr="00341174">
        <w:t>ral</w:t>
      </w:r>
      <w:r w:rsidRPr="00341174">
        <w:rPr>
          <w:spacing w:val="10"/>
        </w:rPr>
        <w:t xml:space="preserve"> </w:t>
      </w:r>
      <w:r w:rsidRPr="00341174">
        <w:rPr>
          <w:spacing w:val="-1"/>
        </w:rPr>
        <w:t>d</w:t>
      </w:r>
      <w:r w:rsidRPr="00341174">
        <w:t>e</w:t>
      </w:r>
      <w:r w:rsidRPr="00341174">
        <w:rPr>
          <w:spacing w:val="9"/>
        </w:rPr>
        <w:t xml:space="preserve"> </w:t>
      </w:r>
      <w:r w:rsidRPr="00341174">
        <w:rPr>
          <w:spacing w:val="2"/>
        </w:rPr>
        <w:t>T</w:t>
      </w:r>
      <w:r w:rsidRPr="00341174">
        <w:t>r</w:t>
      </w:r>
      <w:r w:rsidRPr="00341174">
        <w:rPr>
          <w:spacing w:val="-2"/>
        </w:rPr>
        <w:t>a</w:t>
      </w:r>
      <w:r w:rsidRPr="00341174">
        <w:rPr>
          <w:spacing w:val="1"/>
        </w:rPr>
        <w:t>n</w:t>
      </w:r>
      <w:r w:rsidRPr="00341174">
        <w:t>s</w:t>
      </w:r>
      <w:r w:rsidRPr="00341174">
        <w:rPr>
          <w:spacing w:val="1"/>
        </w:rPr>
        <w:t>pa</w:t>
      </w:r>
      <w:r w:rsidRPr="00341174">
        <w:t>r</w:t>
      </w:r>
      <w:r w:rsidRPr="00341174">
        <w:rPr>
          <w:spacing w:val="-2"/>
        </w:rPr>
        <w:t>e</w:t>
      </w:r>
      <w:r w:rsidRPr="00341174">
        <w:rPr>
          <w:spacing w:val="1"/>
        </w:rPr>
        <w:t>n</w:t>
      </w:r>
      <w:r w:rsidRPr="00341174">
        <w:t>cia y Acc</w:t>
      </w:r>
      <w:r w:rsidRPr="00341174">
        <w:rPr>
          <w:spacing w:val="1"/>
        </w:rPr>
        <w:t>e</w:t>
      </w:r>
      <w:r w:rsidRPr="00341174">
        <w:t>so</w:t>
      </w:r>
      <w:r w:rsidRPr="00341174">
        <w:rPr>
          <w:spacing w:val="3"/>
        </w:rPr>
        <w:t xml:space="preserve"> </w:t>
      </w:r>
      <w:r w:rsidRPr="00341174">
        <w:t>a</w:t>
      </w:r>
      <w:r w:rsidRPr="00341174">
        <w:rPr>
          <w:spacing w:val="1"/>
        </w:rPr>
        <w:t xml:space="preserve"> </w:t>
      </w:r>
      <w:r w:rsidRPr="00341174">
        <w:t>la I</w:t>
      </w:r>
      <w:r w:rsidRPr="00341174">
        <w:rPr>
          <w:spacing w:val="-1"/>
        </w:rPr>
        <w:t>n</w:t>
      </w:r>
      <w:r w:rsidRPr="00341174">
        <w:t>f</w:t>
      </w:r>
      <w:r w:rsidRPr="00341174">
        <w:rPr>
          <w:spacing w:val="1"/>
        </w:rPr>
        <w:t>o</w:t>
      </w:r>
      <w:r w:rsidRPr="00341174">
        <w:rPr>
          <w:spacing w:val="-3"/>
        </w:rPr>
        <w:t>r</w:t>
      </w:r>
      <w:r w:rsidRPr="00341174">
        <w:rPr>
          <w:spacing w:val="1"/>
        </w:rPr>
        <w:t>ma</w:t>
      </w:r>
      <w:r w:rsidRPr="00341174">
        <w:t>ci</w:t>
      </w:r>
      <w:r w:rsidRPr="00341174">
        <w:rPr>
          <w:spacing w:val="-2"/>
        </w:rPr>
        <w:t>ó</w:t>
      </w:r>
      <w:r w:rsidRPr="00341174">
        <w:t>n</w:t>
      </w:r>
      <w:r w:rsidRPr="00341174">
        <w:rPr>
          <w:spacing w:val="6"/>
        </w:rPr>
        <w:t xml:space="preserve"> </w:t>
      </w:r>
      <w:r w:rsidRPr="00341174">
        <w:rPr>
          <w:spacing w:val="-2"/>
        </w:rPr>
        <w:t>P</w:t>
      </w:r>
      <w:r w:rsidRPr="00341174">
        <w:rPr>
          <w:spacing w:val="1"/>
        </w:rPr>
        <w:t>úb</w:t>
      </w:r>
      <w:r w:rsidRPr="00341174">
        <w:t>l</w:t>
      </w:r>
      <w:r w:rsidRPr="00341174">
        <w:rPr>
          <w:spacing w:val="-1"/>
        </w:rPr>
        <w:t>i</w:t>
      </w:r>
      <w:r w:rsidRPr="00341174">
        <w:t xml:space="preserve">ca, </w:t>
      </w:r>
      <w:r w:rsidRPr="00341174">
        <w:rPr>
          <w:spacing w:val="-1"/>
        </w:rPr>
        <w:t>señalan</w:t>
      </w:r>
      <w:r w:rsidRPr="00341174">
        <w:rPr>
          <w:spacing w:val="1"/>
        </w:rPr>
        <w:t xml:space="preserve"> </w:t>
      </w:r>
      <w:r w:rsidRPr="00341174">
        <w:rPr>
          <w:spacing w:val="-1"/>
        </w:rPr>
        <w:t>q</w:t>
      </w:r>
      <w:r w:rsidRPr="00341174">
        <w:rPr>
          <w:spacing w:val="1"/>
        </w:rPr>
        <w:t>u</w:t>
      </w:r>
      <w:r w:rsidRPr="00341174">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w:t>
      </w:r>
      <w:r w:rsidRPr="00341174">
        <w:lastRenderedPageBreak/>
        <w:t>que la misma obre en sus archivos;</w:t>
      </w:r>
      <w:r w:rsidRPr="00341174">
        <w:rPr>
          <w:spacing w:val="-1"/>
        </w:rPr>
        <w:t xml:space="preserve"> sin necesidad de</w:t>
      </w:r>
      <w:r w:rsidRPr="00341174">
        <w:rPr>
          <w:spacing w:val="1"/>
        </w:rPr>
        <w:t xml:space="preserve"> e</w:t>
      </w:r>
      <w:r w:rsidRPr="00341174">
        <w:t>la</w:t>
      </w:r>
      <w:r w:rsidRPr="00341174">
        <w:rPr>
          <w:spacing w:val="1"/>
        </w:rPr>
        <w:t>bo</w:t>
      </w:r>
      <w:r w:rsidRPr="00341174">
        <w:t xml:space="preserve">rar </w:t>
      </w:r>
      <w:r w:rsidRPr="00341174">
        <w:rPr>
          <w:spacing w:val="1"/>
        </w:rPr>
        <w:t>do</w:t>
      </w:r>
      <w:r w:rsidRPr="00341174">
        <w:rPr>
          <w:spacing w:val="-2"/>
        </w:rPr>
        <w:t>c</w:t>
      </w:r>
      <w:r w:rsidRPr="00341174">
        <w:rPr>
          <w:spacing w:val="1"/>
        </w:rPr>
        <w:t>u</w:t>
      </w:r>
      <w:r w:rsidRPr="00341174">
        <w:rPr>
          <w:spacing w:val="-1"/>
        </w:rPr>
        <w:t>m</w:t>
      </w:r>
      <w:r w:rsidRPr="00341174">
        <w:rPr>
          <w:spacing w:val="1"/>
        </w:rPr>
        <w:t>en</w:t>
      </w:r>
      <w:r w:rsidRPr="00341174">
        <w:rPr>
          <w:spacing w:val="-2"/>
        </w:rPr>
        <w:t>t</w:t>
      </w:r>
      <w:r w:rsidRPr="00341174">
        <w:rPr>
          <w:spacing w:val="1"/>
        </w:rPr>
        <w:t>o</w:t>
      </w:r>
      <w:r w:rsidRPr="00341174">
        <w:t>s</w:t>
      </w:r>
      <w:r w:rsidRPr="00341174">
        <w:rPr>
          <w:spacing w:val="3"/>
        </w:rPr>
        <w:t xml:space="preserve"> </w:t>
      </w:r>
      <w:r w:rsidRPr="00341174">
        <w:rPr>
          <w:spacing w:val="1"/>
        </w:rPr>
        <w:t>a</w:t>
      </w:r>
      <w:r w:rsidRPr="00341174">
        <w:t>d</w:t>
      </w:r>
      <w:r w:rsidRPr="00341174">
        <w:rPr>
          <w:spacing w:val="1"/>
        </w:rPr>
        <w:t xml:space="preserve"> ho</w:t>
      </w:r>
      <w:r w:rsidRPr="00341174">
        <w:t>c</w:t>
      </w:r>
      <w:r w:rsidRPr="00341174">
        <w:rPr>
          <w:spacing w:val="2"/>
        </w:rPr>
        <w:t xml:space="preserve"> </w:t>
      </w:r>
      <w:r w:rsidRPr="00341174">
        <w:rPr>
          <w:spacing w:val="1"/>
        </w:rPr>
        <w:t>pa</w:t>
      </w:r>
      <w:r w:rsidRPr="00341174">
        <w:t xml:space="preserve">ra </w:t>
      </w:r>
      <w:r w:rsidRPr="00341174">
        <w:rPr>
          <w:spacing w:val="1"/>
        </w:rPr>
        <w:t>a</w:t>
      </w:r>
      <w:r w:rsidRPr="00341174">
        <w:t>t</w:t>
      </w:r>
      <w:r w:rsidRPr="00341174">
        <w:rPr>
          <w:spacing w:val="-1"/>
        </w:rPr>
        <w:t>e</w:t>
      </w:r>
      <w:r w:rsidRPr="00341174">
        <w:rPr>
          <w:spacing w:val="1"/>
        </w:rPr>
        <w:t>n</w:t>
      </w:r>
      <w:r w:rsidRPr="00341174">
        <w:rPr>
          <w:spacing w:val="-1"/>
        </w:rPr>
        <w:t>d</w:t>
      </w:r>
      <w:r w:rsidRPr="00341174">
        <w:rPr>
          <w:spacing w:val="1"/>
        </w:rPr>
        <w:t>e</w:t>
      </w:r>
      <w:r w:rsidRPr="00341174">
        <w:t>r</w:t>
      </w:r>
      <w:r w:rsidRPr="00341174">
        <w:rPr>
          <w:spacing w:val="2"/>
        </w:rPr>
        <w:t xml:space="preserve"> </w:t>
      </w:r>
      <w:r w:rsidRPr="00341174">
        <w:t>l</w:t>
      </w:r>
      <w:r w:rsidRPr="00341174">
        <w:rPr>
          <w:spacing w:val="-2"/>
        </w:rPr>
        <w:t>a</w:t>
      </w:r>
      <w:r w:rsidRPr="00341174">
        <w:t>s</w:t>
      </w:r>
      <w:r w:rsidRPr="00341174">
        <w:rPr>
          <w:spacing w:val="2"/>
        </w:rPr>
        <w:t xml:space="preserve"> </w:t>
      </w:r>
      <w:r w:rsidRPr="00341174">
        <w:t>s</w:t>
      </w:r>
      <w:r w:rsidRPr="00341174">
        <w:rPr>
          <w:spacing w:val="1"/>
        </w:rPr>
        <w:t>o</w:t>
      </w:r>
      <w:r w:rsidRPr="00341174">
        <w:t>l</w:t>
      </w:r>
      <w:r w:rsidRPr="00341174">
        <w:rPr>
          <w:spacing w:val="-1"/>
        </w:rPr>
        <w:t>i</w:t>
      </w:r>
      <w:r w:rsidRPr="00341174">
        <w:t>cit</w:t>
      </w:r>
      <w:r w:rsidRPr="00341174">
        <w:rPr>
          <w:spacing w:val="1"/>
        </w:rPr>
        <w:t>ude</w:t>
      </w:r>
      <w:r w:rsidRPr="00341174">
        <w:t>s</w:t>
      </w:r>
      <w:r w:rsidRPr="00341174">
        <w:rPr>
          <w:spacing w:val="4"/>
        </w:rPr>
        <w:t xml:space="preserve"> </w:t>
      </w:r>
      <w:r w:rsidRPr="00341174">
        <w:rPr>
          <w:spacing w:val="-1"/>
        </w:rPr>
        <w:t>d</w:t>
      </w:r>
      <w:r w:rsidRPr="00341174">
        <w:t>e</w:t>
      </w:r>
      <w:r w:rsidRPr="00341174">
        <w:rPr>
          <w:spacing w:val="3"/>
        </w:rPr>
        <w:t xml:space="preserve"> </w:t>
      </w:r>
      <w:r w:rsidRPr="00341174">
        <w:t>i</w:t>
      </w:r>
      <w:r w:rsidRPr="00341174">
        <w:rPr>
          <w:spacing w:val="-2"/>
        </w:rPr>
        <w:t>n</w:t>
      </w:r>
      <w:r w:rsidRPr="00341174">
        <w:t>f</w:t>
      </w:r>
      <w:r w:rsidRPr="00341174">
        <w:rPr>
          <w:spacing w:val="1"/>
        </w:rPr>
        <w:t>o</w:t>
      </w:r>
      <w:r w:rsidRPr="00341174">
        <w:t>r</w:t>
      </w:r>
      <w:r w:rsidRPr="00341174">
        <w:rPr>
          <w:spacing w:val="-1"/>
        </w:rPr>
        <w:t>m</w:t>
      </w:r>
      <w:r w:rsidRPr="00341174">
        <w:rPr>
          <w:spacing w:val="1"/>
        </w:rPr>
        <w:t>a</w:t>
      </w:r>
      <w:r w:rsidRPr="00341174">
        <w:t>ció</w:t>
      </w:r>
      <w:r w:rsidRPr="00341174">
        <w:rPr>
          <w:spacing w:val="1"/>
        </w:rPr>
        <w:t>n</w:t>
      </w:r>
      <w:r w:rsidRPr="00341174">
        <w:t>.</w:t>
      </w:r>
    </w:p>
    <w:p w14:paraId="0BFF49E4" w14:textId="77777777" w:rsidR="00D67A40" w:rsidRPr="00341174" w:rsidRDefault="00D67A40" w:rsidP="00D67A40">
      <w:pPr>
        <w:pStyle w:val="Citas"/>
        <w:rPr>
          <w:b/>
        </w:rPr>
      </w:pPr>
      <w:r w:rsidRPr="00341174">
        <w:rPr>
          <w:b/>
        </w:rPr>
        <w:t>Resoluciones:</w:t>
      </w:r>
    </w:p>
    <w:p w14:paraId="5BC26061" w14:textId="77777777" w:rsidR="00D67A40" w:rsidRPr="00341174" w:rsidRDefault="00D67A40" w:rsidP="00D67A40">
      <w:pPr>
        <w:pStyle w:val="Citas"/>
      </w:pPr>
      <w:r w:rsidRPr="00341174">
        <w:rPr>
          <w:b/>
        </w:rPr>
        <w:t>RRA 0050/16.</w:t>
      </w:r>
      <w:r w:rsidRPr="00341174">
        <w:t xml:space="preserve"> Instituto Nacional para la Evaluación de la Educación. 13 julio de 2016. Por unanimidad. Comisionado Ponente: Francisco Javier Acuña Llamas.</w:t>
      </w:r>
    </w:p>
    <w:p w14:paraId="4AF85E0D" w14:textId="77777777" w:rsidR="00D67A40" w:rsidRPr="00341174" w:rsidRDefault="00D67A40" w:rsidP="00D67A40">
      <w:pPr>
        <w:pStyle w:val="Citas"/>
        <w:rPr>
          <w:rFonts w:ascii="Times New Roman" w:hAnsi="Times New Roman" w:cs="Times New Roman"/>
        </w:rPr>
      </w:pPr>
      <w:r w:rsidRPr="00341174">
        <w:rPr>
          <w:b/>
        </w:rPr>
        <w:t xml:space="preserve">RRA 0310/16. </w:t>
      </w:r>
      <w:r w:rsidRPr="00341174">
        <w:t>Instituto Nacional de Transparencia, Acceso a la Información y Protección de Datos Personales. 10 de agosto de 2016. Por unanimidad. Comisionada Ponente. Areli Cano Guadiana.</w:t>
      </w:r>
    </w:p>
    <w:p w14:paraId="353CF962" w14:textId="77777777" w:rsidR="00D67A40" w:rsidRPr="00341174" w:rsidRDefault="00D67A40" w:rsidP="00D67A40">
      <w:pPr>
        <w:pStyle w:val="Citas"/>
        <w:rPr>
          <w:b/>
        </w:rPr>
      </w:pPr>
      <w:r w:rsidRPr="00341174">
        <w:rPr>
          <w:b/>
        </w:rPr>
        <w:t xml:space="preserve">RRA 1889/16. </w:t>
      </w:r>
      <w:r w:rsidRPr="00341174">
        <w:t xml:space="preserve">Secretaría de Hacienda y Crédito Público. 05 de octubre de 2016. Por unanimidad. Comisionada Ponente. Ximena Puente de la Mora” </w:t>
      </w:r>
      <w:r w:rsidRPr="00341174">
        <w:rPr>
          <w:b/>
        </w:rPr>
        <w:t>[Sic]</w:t>
      </w:r>
    </w:p>
    <w:p w14:paraId="37C25563" w14:textId="77777777" w:rsidR="00D67A40" w:rsidRDefault="00D67A40" w:rsidP="005B686E">
      <w:pPr>
        <w:spacing w:line="360" w:lineRule="auto"/>
        <w:jc w:val="both"/>
        <w:rPr>
          <w:rFonts w:ascii="Palatino Linotype" w:hAnsi="Palatino Linotype"/>
          <w:bCs/>
          <w:sz w:val="24"/>
          <w:szCs w:val="24"/>
        </w:rPr>
      </w:pPr>
    </w:p>
    <w:p w14:paraId="494D63BE" w14:textId="41F42B24" w:rsidR="005B686E" w:rsidRPr="00B77713" w:rsidRDefault="005B686E" w:rsidP="005B686E">
      <w:pPr>
        <w:spacing w:line="360" w:lineRule="auto"/>
        <w:jc w:val="both"/>
        <w:rPr>
          <w:rFonts w:ascii="Palatino Linotype" w:hAnsi="Palatino Linotype" w:cs="Arial"/>
          <w:sz w:val="24"/>
          <w:szCs w:val="24"/>
        </w:rPr>
      </w:pPr>
      <w:r w:rsidRPr="0011400D">
        <w:rPr>
          <w:rFonts w:ascii="Palatino Linotype" w:hAnsi="Palatino Linotype"/>
          <w:bCs/>
          <w:sz w:val="24"/>
          <w:szCs w:val="24"/>
        </w:rPr>
        <w:t xml:space="preserve">Bajo este contexto, con relación al recurso de revisión </w:t>
      </w:r>
      <w:r w:rsidR="00ED5A50">
        <w:rPr>
          <w:rFonts w:ascii="Palatino Linotype" w:hAnsi="Palatino Linotype"/>
          <w:b/>
          <w:sz w:val="24"/>
          <w:szCs w:val="24"/>
        </w:rPr>
        <w:t>03645</w:t>
      </w:r>
      <w:r w:rsidRPr="0011400D">
        <w:rPr>
          <w:rFonts w:ascii="Palatino Linotype" w:hAnsi="Palatino Linotype"/>
          <w:b/>
          <w:sz w:val="24"/>
          <w:szCs w:val="24"/>
        </w:rPr>
        <w:t>/INFOEM/IP/RR/202</w:t>
      </w:r>
      <w:r w:rsidR="00ED5A50">
        <w:rPr>
          <w:rFonts w:ascii="Palatino Linotype" w:hAnsi="Palatino Linotype"/>
          <w:b/>
          <w:sz w:val="24"/>
          <w:szCs w:val="24"/>
        </w:rPr>
        <w:t>5</w:t>
      </w:r>
      <w:r w:rsidRPr="0011400D">
        <w:rPr>
          <w:rFonts w:ascii="Palatino Linotype" w:hAnsi="Palatino Linotype"/>
          <w:b/>
          <w:sz w:val="24"/>
          <w:szCs w:val="24"/>
        </w:rPr>
        <w:t xml:space="preserve"> </w:t>
      </w:r>
      <w:r w:rsidRPr="0011400D">
        <w:rPr>
          <w:rFonts w:ascii="Palatino Linotype" w:hAnsi="Palatino Linotype" w:cs="Arial"/>
          <w:sz w:val="24"/>
          <w:szCs w:val="24"/>
        </w:rPr>
        <w:t>por lo que hace a las causas de sobreseimiento contenidas en el artículo 192 de la Ley de Transparencia y Acceso a la Información Pública del Estado de</w:t>
      </w:r>
      <w:r w:rsidRPr="00B77713">
        <w:rPr>
          <w:rFonts w:ascii="Palatino Linotype" w:hAnsi="Palatino Linotype" w:cs="Arial"/>
          <w:sz w:val="24"/>
          <w:szCs w:val="24"/>
        </w:rPr>
        <w:t xml:space="preserve"> México y Municipios, es oportuno señalar que estos requisitos privilegian la existencia de elementos de fondo, tales como el desistimiento o fallecimiento del </w:t>
      </w:r>
      <w:r w:rsidRPr="00B77713">
        <w:rPr>
          <w:rFonts w:ascii="Palatino Linotype" w:hAnsi="Palatino Linotype" w:cs="Arial"/>
          <w:b/>
          <w:sz w:val="24"/>
          <w:szCs w:val="24"/>
        </w:rPr>
        <w:t xml:space="preserve">Recurrente </w:t>
      </w:r>
      <w:r w:rsidRPr="00B77713">
        <w:rPr>
          <w:rFonts w:ascii="Palatino Linotype" w:hAnsi="Palatino Linotype" w:cs="Arial"/>
          <w:sz w:val="24"/>
          <w:szCs w:val="24"/>
        </w:rPr>
        <w:t xml:space="preserve">o que </w:t>
      </w:r>
      <w:r w:rsidRPr="00B77713">
        <w:rPr>
          <w:rFonts w:ascii="Palatino Linotype" w:hAnsi="Palatino Linotype" w:cs="Arial"/>
          <w:b/>
          <w:sz w:val="24"/>
          <w:szCs w:val="24"/>
          <w:u w:val="single"/>
        </w:rPr>
        <w:t xml:space="preserve">por cualquier motivo quede sin materia el recurso; </w:t>
      </w:r>
      <w:r w:rsidRPr="00B77713">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38F85182" w14:textId="77777777" w:rsidR="005B686E" w:rsidRPr="00E5738E" w:rsidRDefault="005B686E" w:rsidP="005B686E">
      <w:pPr>
        <w:spacing w:line="360" w:lineRule="auto"/>
        <w:jc w:val="both"/>
        <w:rPr>
          <w:rFonts w:ascii="Palatino Linotype" w:hAnsi="Palatino Linotype" w:cs="Arial"/>
          <w:sz w:val="24"/>
          <w:szCs w:val="24"/>
        </w:rPr>
      </w:pPr>
      <w:r w:rsidRPr="00E5738E">
        <w:rPr>
          <w:rFonts w:ascii="Palatino Linotype" w:hAnsi="Palatino Linotype" w:cs="Arial"/>
          <w:sz w:val="24"/>
          <w:szCs w:val="24"/>
        </w:rPr>
        <w:t xml:space="preserve">Por otra parte, la doctrina del sobreseimiento provoca que un procedimiento se suspenda o se resuelva en definitiva sin que se entre al estudio de los agravios o motivos de inconformidad. Este mismo criterio es compartido por el más alto tribunal </w:t>
      </w:r>
      <w:r w:rsidRPr="00E5738E">
        <w:rPr>
          <w:rFonts w:ascii="Palatino Linotype" w:hAnsi="Palatino Linotype" w:cs="Arial"/>
          <w:sz w:val="24"/>
          <w:szCs w:val="24"/>
        </w:rPr>
        <w:lastRenderedPageBreak/>
        <w:t>del país en múltiples jurisprudencias, por lo que a continuación se agrega una de ellas que sirve como orientador en esta resolución:</w:t>
      </w:r>
    </w:p>
    <w:p w14:paraId="295BA7C4" w14:textId="77777777" w:rsidR="005B686E" w:rsidRPr="0004467E" w:rsidRDefault="005B686E" w:rsidP="005B686E">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3C3FE53E" w14:textId="77777777" w:rsidR="005B686E" w:rsidRPr="0004467E" w:rsidRDefault="005B686E" w:rsidP="005B686E">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7A4A4998" w14:textId="77777777" w:rsidR="005B686E" w:rsidRPr="0004467E" w:rsidRDefault="005B686E" w:rsidP="005B686E">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0EF656C4" w14:textId="77777777" w:rsidR="005B686E" w:rsidRPr="0004467E" w:rsidRDefault="005B686E" w:rsidP="005B686E">
      <w:pPr>
        <w:spacing w:line="36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1B6B4B23" w14:textId="77777777" w:rsidR="005B686E" w:rsidRPr="0004467E" w:rsidRDefault="005B686E" w:rsidP="005B686E">
      <w:pPr>
        <w:ind w:right="141"/>
        <w:jc w:val="both"/>
        <w:rPr>
          <w:rFonts w:ascii="Palatino Linotype" w:hAnsi="Palatino Linotype" w:cs="Arial"/>
        </w:rPr>
      </w:pPr>
    </w:p>
    <w:p w14:paraId="7E2E3E73" w14:textId="77777777" w:rsidR="005B686E" w:rsidRPr="0004467E" w:rsidRDefault="005B686E" w:rsidP="005B686E">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w:t>
      </w:r>
      <w:r w:rsidRPr="0004467E">
        <w:rPr>
          <w:rFonts w:ascii="Palatino Linotype" w:hAnsi="Palatino Linotype" w:cs="Arial"/>
          <w:b/>
          <w:sz w:val="24"/>
          <w:szCs w:val="24"/>
        </w:rPr>
        <w:lastRenderedPageBreak/>
        <w:t xml:space="preserve">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4F1EBF95" w14:textId="77777777" w:rsidR="005B686E" w:rsidRPr="00E460AC" w:rsidRDefault="005B686E" w:rsidP="005B686E">
      <w:pPr>
        <w:spacing w:line="360" w:lineRule="auto"/>
        <w:jc w:val="both"/>
        <w:rPr>
          <w:rFonts w:ascii="Palatino Linotype" w:hAnsi="Palatino Linotype" w:cs="Arial"/>
          <w:b/>
          <w:sz w:val="24"/>
          <w:szCs w:val="24"/>
          <w:u w:val="single"/>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w:t>
      </w:r>
      <w:r>
        <w:rPr>
          <w:rFonts w:ascii="Palatino Linotype" w:hAnsi="Palatino Linotype" w:cs="Arial"/>
          <w:b/>
          <w:sz w:val="24"/>
          <w:szCs w:val="24"/>
        </w:rPr>
        <w:t xml:space="preserve">V </w:t>
      </w:r>
      <w:r>
        <w:rPr>
          <w:rFonts w:ascii="Palatino Linotype" w:hAnsi="Palatino Linotype" w:cs="Arial"/>
          <w:sz w:val="24"/>
          <w:szCs w:val="24"/>
        </w:rPr>
        <w:t xml:space="preserve">de la disposición legal transcrita. Así, procede el sobreseimiento del recurso de revisión cuando por </w:t>
      </w:r>
      <w:r>
        <w:rPr>
          <w:rFonts w:ascii="Palatino Linotype" w:hAnsi="Palatino Linotype" w:cs="Arial"/>
          <w:b/>
          <w:sz w:val="24"/>
          <w:szCs w:val="24"/>
          <w:u w:val="single"/>
        </w:rPr>
        <w:t xml:space="preserve">cualquier motivo quede sin materia el recurso. </w:t>
      </w:r>
    </w:p>
    <w:p w14:paraId="69A89011" w14:textId="4F27DA9F" w:rsidR="005B686E" w:rsidRPr="0004467E" w:rsidRDefault="005B686E" w:rsidP="005B686E">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w:t>
      </w:r>
      <w:r>
        <w:rPr>
          <w:rFonts w:ascii="Palatino Linotype" w:hAnsi="Palatino Linotype" w:cs="Arial"/>
          <w:sz w:val="24"/>
          <w:szCs w:val="24"/>
        </w:rPr>
        <w:t>este motivo</w:t>
      </w:r>
      <w:r w:rsidRPr="0004467E">
        <w:rPr>
          <w:rFonts w:ascii="Palatino Linotype" w:hAnsi="Palatino Linotype" w:cs="Arial"/>
          <w:sz w:val="24"/>
          <w:szCs w:val="24"/>
        </w:rPr>
        <w:t xml:space="preserve">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porque se hizo la entreg</w:t>
      </w:r>
      <w:r>
        <w:rPr>
          <w:rFonts w:ascii="Palatino Linotype" w:hAnsi="Palatino Linotype" w:cs="Arial"/>
          <w:sz w:val="24"/>
          <w:szCs w:val="24"/>
        </w:rPr>
        <w:t xml:space="preserve">a de la información solicitada. </w:t>
      </w:r>
    </w:p>
    <w:p w14:paraId="2DF4BEB7" w14:textId="77777777" w:rsidR="005B686E" w:rsidRPr="00B94987" w:rsidRDefault="005B686E" w:rsidP="005B686E">
      <w:pPr>
        <w:spacing w:line="360" w:lineRule="auto"/>
        <w:jc w:val="both"/>
        <w:rPr>
          <w:rFonts w:ascii="Palatino Linotype" w:hAnsi="Palatino Linotype" w:cs="Arial"/>
          <w:bCs/>
          <w:sz w:val="24"/>
          <w:szCs w:val="24"/>
        </w:rPr>
      </w:pPr>
      <w:r w:rsidRPr="00B94987">
        <w:rPr>
          <w:rFonts w:ascii="Palatino Linotype" w:hAnsi="Palatino Linotype" w:cs="Arial"/>
          <w:bCs/>
          <w:sz w:val="24"/>
          <w:szCs w:val="24"/>
        </w:rPr>
        <w:t xml:space="preserve">En este tenor, se advierte que </w:t>
      </w:r>
      <w:r w:rsidRPr="00ED5A50">
        <w:rPr>
          <w:rFonts w:ascii="Palatino Linotype" w:hAnsi="Palatino Linotype" w:cs="Arial"/>
          <w:b/>
          <w:sz w:val="24"/>
          <w:szCs w:val="24"/>
        </w:rPr>
        <w:t>El Sujeto Obligado</w:t>
      </w:r>
      <w:r w:rsidRPr="00B94987">
        <w:rPr>
          <w:rFonts w:ascii="Palatino Linotype" w:hAnsi="Palatino Linotype" w:cs="Arial"/>
          <w:bCs/>
          <w:sz w:val="24"/>
          <w:szCs w:val="24"/>
        </w:rPr>
        <w:t xml:space="preserve"> fue omiso en dar respuesta al derecho de acceso a la información pública ejercido por el particular, sin embargo, con la información enviada a este Órgano Garante mediante informe justificado correspondiente al recurso de revisión</w:t>
      </w:r>
      <w:r w:rsidRPr="00B94987">
        <w:rPr>
          <w:rFonts w:ascii="Palatino Linotype" w:hAnsi="Palatino Linotype" w:cs="Arial"/>
          <w:bCs/>
        </w:rPr>
        <w:t xml:space="preserve"> </w:t>
      </w:r>
      <w:r w:rsidRPr="00B94987">
        <w:rPr>
          <w:rFonts w:ascii="Palatino Linotype" w:hAnsi="Palatino Linotype" w:cs="Arial"/>
          <w:bCs/>
          <w:sz w:val="24"/>
          <w:szCs w:val="24"/>
        </w:rPr>
        <w:t xml:space="preserve">propició que el mismo quede sin materia, actualizándose de este modo, la hipótesis V del artículo 192 de la Ley de Transparencia local. </w:t>
      </w:r>
    </w:p>
    <w:p w14:paraId="21453B50" w14:textId="77777777" w:rsidR="005B686E" w:rsidRDefault="005B686E" w:rsidP="005B686E">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11A70E5A" w14:textId="780134D1" w:rsidR="00B8224B" w:rsidRDefault="00B8224B" w:rsidP="005B686E">
      <w:pPr>
        <w:pStyle w:val="Prrafodelista"/>
        <w:autoSpaceDE w:val="0"/>
        <w:autoSpaceDN w:val="0"/>
        <w:adjustRightInd w:val="0"/>
        <w:spacing w:line="360" w:lineRule="auto"/>
        <w:ind w:left="0"/>
        <w:jc w:val="both"/>
        <w:rPr>
          <w:rFonts w:ascii="Palatino Linotype" w:hAnsi="Palatino Linotype" w:cs="Arial"/>
          <w:b/>
          <w:color w:val="000000"/>
          <w:lang w:val="es-MX"/>
        </w:rPr>
      </w:pPr>
    </w:p>
    <w:p w14:paraId="2E1CCF2B" w14:textId="203B4044" w:rsidR="005B686E" w:rsidRDefault="005B686E" w:rsidP="005B686E">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lastRenderedPageBreak/>
        <w:t>E</w:t>
      </w:r>
      <w:r w:rsidRPr="00FB59FD">
        <w:rPr>
          <w:rFonts w:ascii="Palatino Linotype" w:hAnsi="Palatino Linotype" w:cs="Arial"/>
          <w:sz w:val="24"/>
          <w:szCs w:val="24"/>
        </w:rPr>
        <w:t xml:space="preserve">n mérito de lo expuesto en líneas anteriores, </w:t>
      </w:r>
      <w:r w:rsidRPr="002E3488">
        <w:rPr>
          <w:rFonts w:ascii="Palatino Linotype" w:hAnsi="Palatino Linotype" w:cs="Arial"/>
          <w:sz w:val="24"/>
          <w:szCs w:val="24"/>
        </w:rPr>
        <w:t xml:space="preserve">resultan </w:t>
      </w:r>
      <w:r>
        <w:rPr>
          <w:rFonts w:ascii="Palatino Linotype" w:hAnsi="Palatino Linotype" w:cs="Arial"/>
          <w:sz w:val="24"/>
          <w:szCs w:val="24"/>
        </w:rPr>
        <w:t xml:space="preserve">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fuera materia de estudio, por ello con fundamento en el artículo 186 fracción I, en concordancia con el 192 fracción V de la Ley de Transparencia y Acceso a la Información Pública del Estado de México y Municipios, se </w:t>
      </w:r>
      <w:r>
        <w:rPr>
          <w:rFonts w:ascii="Palatino Linotype" w:hAnsi="Palatino Linotype" w:cs="Arial"/>
          <w:b/>
          <w:sz w:val="24"/>
          <w:szCs w:val="24"/>
        </w:rPr>
        <w:t xml:space="preserve">SOBRESEE </w:t>
      </w:r>
      <w:r>
        <w:rPr>
          <w:rFonts w:ascii="Palatino Linotype" w:hAnsi="Palatino Linotype" w:cs="Arial"/>
          <w:sz w:val="24"/>
          <w:szCs w:val="24"/>
        </w:rPr>
        <w:t>el recurso de revisión</w:t>
      </w:r>
      <w:r w:rsidR="00C420B6">
        <w:rPr>
          <w:rFonts w:ascii="Palatino Linotype" w:hAnsi="Palatino Linotype" w:cs="Arial"/>
          <w:sz w:val="24"/>
          <w:szCs w:val="24"/>
        </w:rPr>
        <w:t xml:space="preserve"> </w:t>
      </w:r>
      <w:r w:rsidR="00C420B6">
        <w:rPr>
          <w:rFonts w:ascii="Palatino Linotype" w:hAnsi="Palatino Linotype" w:cs="Arial"/>
          <w:b/>
          <w:bCs/>
          <w:sz w:val="24"/>
          <w:szCs w:val="24"/>
        </w:rPr>
        <w:t xml:space="preserve">03645/INFOEM/IP/RR/2025 </w:t>
      </w:r>
      <w:r>
        <w:rPr>
          <w:rFonts w:ascii="Palatino Linotype" w:hAnsi="Palatino Linotype" w:cs="Arial"/>
          <w:sz w:val="24"/>
          <w:szCs w:val="24"/>
        </w:rPr>
        <w:t xml:space="preserve">que ha sido materia del presente fallo. </w:t>
      </w:r>
    </w:p>
    <w:p w14:paraId="21D26B47" w14:textId="1C1D4719" w:rsidR="005B686E" w:rsidRDefault="005B686E" w:rsidP="005B686E">
      <w:pPr>
        <w:pStyle w:val="Prrafodelista"/>
        <w:spacing w:before="240" w:after="240" w:line="360" w:lineRule="auto"/>
        <w:ind w:left="0"/>
        <w:jc w:val="both"/>
        <w:rPr>
          <w:rFonts w:ascii="Palatino Linotype" w:hAnsi="Palatino Linotype"/>
        </w:rPr>
      </w:pPr>
      <w:r w:rsidRPr="00D5257A">
        <w:rPr>
          <w:rFonts w:ascii="Palatino Linotype" w:hAnsi="Palatino Linotype"/>
        </w:rPr>
        <w:t>Por lo antes expuesto y fundado es de resolverse y,</w:t>
      </w:r>
      <w:r w:rsidRPr="00F458CF">
        <w:rPr>
          <w:rFonts w:ascii="Palatino Linotype" w:hAnsi="Palatino Linotype"/>
        </w:rPr>
        <w:t xml:space="preserve"> </w:t>
      </w:r>
    </w:p>
    <w:p w14:paraId="4B90B9A9" w14:textId="77777777" w:rsidR="005B686E" w:rsidRPr="005B686E" w:rsidRDefault="005B686E" w:rsidP="005B686E">
      <w:pPr>
        <w:tabs>
          <w:tab w:val="left" w:pos="709"/>
        </w:tabs>
        <w:spacing w:before="240" w:line="360" w:lineRule="auto"/>
        <w:ind w:right="51"/>
        <w:jc w:val="both"/>
        <w:rPr>
          <w:rFonts w:ascii="Palatino Linotype" w:hAnsi="Palatino Linotype"/>
          <w:iCs/>
          <w:sz w:val="24"/>
          <w:szCs w:val="24"/>
          <w:lang w:val="es-ES_tradnl"/>
        </w:rPr>
      </w:pPr>
    </w:p>
    <w:p w14:paraId="406EBD5C" w14:textId="77777777" w:rsidR="005B686E" w:rsidRPr="00FB59FD" w:rsidRDefault="005B686E" w:rsidP="005B686E">
      <w:pPr>
        <w:spacing w:after="0" w:line="360" w:lineRule="auto"/>
        <w:ind w:left="426"/>
        <w:jc w:val="center"/>
        <w:rPr>
          <w:rFonts w:ascii="Palatino Linotype" w:eastAsia="Times New Roman" w:hAnsi="Palatino Linotype" w:cs="Times New Roman"/>
          <w:b/>
          <w:color w:val="000000"/>
          <w:sz w:val="28"/>
          <w:szCs w:val="24"/>
          <w:lang w:val="es-ES" w:eastAsia="es-ES"/>
        </w:rPr>
      </w:pPr>
      <w:r w:rsidRPr="00FB59FD">
        <w:rPr>
          <w:rFonts w:ascii="Palatino Linotype" w:eastAsia="Times New Roman" w:hAnsi="Palatino Linotype" w:cs="Times New Roman"/>
          <w:b/>
          <w:color w:val="000000"/>
          <w:sz w:val="28"/>
          <w:szCs w:val="24"/>
          <w:lang w:val="es-ES" w:eastAsia="es-ES"/>
        </w:rPr>
        <w:t>SE    RESUELVE</w:t>
      </w:r>
    </w:p>
    <w:p w14:paraId="736345E4" w14:textId="77777777" w:rsidR="005B686E" w:rsidRDefault="005B686E" w:rsidP="005B686E">
      <w:pPr>
        <w:spacing w:after="0" w:line="360" w:lineRule="auto"/>
        <w:ind w:left="426"/>
        <w:jc w:val="center"/>
        <w:rPr>
          <w:rFonts w:ascii="Palatino Linotype" w:eastAsia="Times New Roman" w:hAnsi="Palatino Linotype" w:cs="Times New Roman"/>
          <w:b/>
          <w:color w:val="000000"/>
          <w:sz w:val="28"/>
          <w:szCs w:val="24"/>
          <w:lang w:val="es-ES" w:eastAsia="es-ES"/>
        </w:rPr>
      </w:pPr>
    </w:p>
    <w:p w14:paraId="43678289" w14:textId="666672CD" w:rsidR="005B686E" w:rsidRPr="00D81F5A" w:rsidRDefault="00C420B6" w:rsidP="00436B30">
      <w:pPr>
        <w:tabs>
          <w:tab w:val="left" w:pos="8647"/>
        </w:tabs>
        <w:spacing w:line="360" w:lineRule="auto"/>
        <w:ind w:right="51"/>
        <w:jc w:val="both"/>
        <w:rPr>
          <w:rFonts w:ascii="Palatino Linotype" w:hAnsi="Palatino Linotype" w:cs="Arial"/>
          <w:sz w:val="24"/>
          <w:szCs w:val="24"/>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Pr>
          <w:rFonts w:ascii="Palatino Linotype" w:eastAsiaTheme="minorEastAsia" w:hAnsi="Palatino Linotype" w:cs="Arial"/>
          <w:b/>
          <w:sz w:val="24"/>
          <w:szCs w:val="24"/>
          <w:lang w:val="es-ES_tradnl" w:eastAsia="es-ES"/>
        </w:rPr>
        <w:t xml:space="preserve"> </w:t>
      </w:r>
      <w:r w:rsidR="00436B30">
        <w:rPr>
          <w:rFonts w:ascii="Palatino Linotype" w:eastAsiaTheme="minorEastAsia" w:hAnsi="Palatino Linotype" w:cs="Arial"/>
          <w:bCs/>
          <w:sz w:val="24"/>
          <w:szCs w:val="24"/>
          <w:lang w:val="es-ES_tradnl" w:eastAsia="es-ES"/>
        </w:rPr>
        <w:t xml:space="preserve">el recurso de revisión </w:t>
      </w:r>
      <w:r w:rsidR="00436B30">
        <w:rPr>
          <w:rFonts w:ascii="Palatino Linotype" w:eastAsiaTheme="minorEastAsia" w:hAnsi="Palatino Linotype" w:cs="Arial"/>
          <w:b/>
          <w:sz w:val="24"/>
          <w:szCs w:val="24"/>
          <w:lang w:val="es-ES_tradnl" w:eastAsia="es-ES"/>
        </w:rPr>
        <w:t xml:space="preserve">03645/INFOEM/IP/RR/2025 </w:t>
      </w:r>
      <w:r w:rsidR="00436B30">
        <w:rPr>
          <w:rFonts w:ascii="Palatino Linotype" w:eastAsiaTheme="minorEastAsia" w:hAnsi="Palatino Linotype" w:cs="Arial"/>
          <w:bCs/>
          <w:sz w:val="24"/>
          <w:szCs w:val="24"/>
          <w:lang w:val="es-ES_tradnl" w:eastAsia="es-ES"/>
        </w:rPr>
        <w:t xml:space="preserve">por quedar sin materia, conforme al </w:t>
      </w:r>
      <w:r w:rsidR="005B686E">
        <w:rPr>
          <w:rFonts w:ascii="Palatino Linotype" w:hAnsi="Palatino Linotype" w:cs="Arial"/>
          <w:sz w:val="24"/>
          <w:szCs w:val="24"/>
        </w:rPr>
        <w:t xml:space="preserve">artículo 192, fracción V de la Ley de </w:t>
      </w:r>
      <w:r w:rsidR="005B686E" w:rsidRPr="00C40C29">
        <w:rPr>
          <w:rFonts w:ascii="Palatino Linotype" w:eastAsiaTheme="minorEastAsia" w:hAnsi="Palatino Linotype" w:cs="Arial"/>
          <w:sz w:val="24"/>
          <w:szCs w:val="24"/>
          <w:lang w:val="es-ES_tradnl" w:eastAsia="es-ES"/>
        </w:rPr>
        <w:t>Transparencia y Acceso a la Información Pública del Estado de México y Municipios</w:t>
      </w:r>
      <w:r w:rsidR="005B686E">
        <w:rPr>
          <w:rFonts w:ascii="Palatino Linotype" w:eastAsiaTheme="minorEastAsia" w:hAnsi="Palatino Linotype" w:cs="Arial"/>
          <w:sz w:val="24"/>
          <w:szCs w:val="24"/>
          <w:lang w:val="es-ES_tradnl" w:eastAsia="es-ES"/>
        </w:rPr>
        <w:t xml:space="preserve">, en términos del </w:t>
      </w:r>
      <w:r w:rsidR="005B686E">
        <w:rPr>
          <w:rFonts w:ascii="Palatino Linotype" w:eastAsiaTheme="minorEastAsia" w:hAnsi="Palatino Linotype" w:cs="Arial"/>
          <w:b/>
          <w:bCs/>
          <w:sz w:val="24"/>
          <w:szCs w:val="24"/>
          <w:lang w:val="es-ES_tradnl" w:eastAsia="es-ES"/>
        </w:rPr>
        <w:t xml:space="preserve">Considerando </w:t>
      </w:r>
      <w:r w:rsidR="00436B30">
        <w:rPr>
          <w:rFonts w:ascii="Palatino Linotype" w:eastAsiaTheme="minorEastAsia" w:hAnsi="Palatino Linotype" w:cs="Arial"/>
          <w:b/>
          <w:bCs/>
          <w:sz w:val="24"/>
          <w:szCs w:val="24"/>
          <w:lang w:val="es-ES_tradnl" w:eastAsia="es-ES"/>
        </w:rPr>
        <w:t>TERCERO</w:t>
      </w:r>
      <w:r w:rsidR="005B686E">
        <w:rPr>
          <w:rFonts w:ascii="Palatino Linotype" w:eastAsiaTheme="minorEastAsia" w:hAnsi="Palatino Linotype" w:cs="Arial"/>
          <w:b/>
          <w:bCs/>
          <w:sz w:val="24"/>
          <w:szCs w:val="24"/>
          <w:lang w:val="es-ES_tradnl" w:eastAsia="es-ES"/>
        </w:rPr>
        <w:t xml:space="preserve"> </w:t>
      </w:r>
      <w:r w:rsidR="005B686E">
        <w:rPr>
          <w:rFonts w:ascii="Palatino Linotype" w:eastAsiaTheme="minorEastAsia" w:hAnsi="Palatino Linotype" w:cs="Arial"/>
          <w:sz w:val="24"/>
          <w:szCs w:val="24"/>
          <w:lang w:val="es-ES_tradnl" w:eastAsia="es-ES"/>
        </w:rPr>
        <w:t xml:space="preserve">de la presente resolución. </w:t>
      </w:r>
    </w:p>
    <w:p w14:paraId="0466DA6B" w14:textId="77777777" w:rsidR="005B686E" w:rsidRDefault="005B686E" w:rsidP="005B686E">
      <w:pPr>
        <w:tabs>
          <w:tab w:val="left" w:pos="709"/>
        </w:tabs>
        <w:spacing w:before="240" w:line="360" w:lineRule="auto"/>
        <w:ind w:right="51"/>
        <w:jc w:val="both"/>
        <w:rPr>
          <w:rFonts w:ascii="Palatino Linotype" w:hAnsi="Palatino Linotype"/>
          <w:iCs/>
          <w:sz w:val="24"/>
          <w:szCs w:val="24"/>
        </w:rPr>
      </w:pPr>
    </w:p>
    <w:p w14:paraId="05BE0F6E" w14:textId="77777777" w:rsidR="00436B30" w:rsidRDefault="00436B30" w:rsidP="00436B30">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sidRPr="00793F86">
        <w:rPr>
          <w:rFonts w:ascii="Palatino Linotype" w:hAnsi="Palatino Linotype" w:cs="Arial"/>
          <w:b/>
          <w:sz w:val="28"/>
          <w:szCs w:val="28"/>
        </w:rPr>
        <w:t>SEGUNDO.</w:t>
      </w:r>
      <w:r w:rsidRPr="00793F86">
        <w:rPr>
          <w:rFonts w:ascii="Palatino Linotype" w:hAnsi="Palatino Linotype"/>
          <w:b/>
          <w:lang w:eastAsia="es-ES_tradnl"/>
        </w:rPr>
        <w:t xml:space="preserve"> </w:t>
      </w:r>
      <w:r w:rsidRPr="00793F86">
        <w:rPr>
          <w:rFonts w:ascii="Palatino Linotype" w:hAnsi="Palatino Linotype"/>
          <w:b/>
          <w:sz w:val="24"/>
          <w:szCs w:val="24"/>
        </w:rPr>
        <w:t xml:space="preserve">Notifíquese </w:t>
      </w:r>
      <w:r w:rsidRPr="00793F86">
        <w:rPr>
          <w:rFonts w:ascii="Palatino Linotype" w:eastAsia="Times New Roman" w:hAnsi="Palatino Linotype" w:cs="Arial"/>
          <w:b/>
          <w:sz w:val="24"/>
          <w:szCs w:val="24"/>
          <w:lang w:eastAsia="es-ES"/>
        </w:rPr>
        <w:t xml:space="preserve">vía </w:t>
      </w:r>
      <w:r w:rsidRPr="00793F86">
        <w:rPr>
          <w:rFonts w:ascii="Palatino Linotype" w:hAnsi="Palatino Linotype" w:cs="Arial"/>
          <w:sz w:val="24"/>
          <w:szCs w:val="24"/>
        </w:rPr>
        <w:t xml:space="preserve">Sistema de Acceso a la Información Mexiquense </w:t>
      </w:r>
      <w:r w:rsidRPr="00793F86">
        <w:rPr>
          <w:rFonts w:ascii="Palatino Linotype" w:hAnsi="Palatino Linotype" w:cs="Arial"/>
          <w:b/>
          <w:sz w:val="24"/>
          <w:szCs w:val="24"/>
        </w:rPr>
        <w:t xml:space="preserve">(SAIMEX) </w:t>
      </w:r>
      <w:r w:rsidRPr="00793F86">
        <w:rPr>
          <w:rFonts w:ascii="Palatino Linotype" w:hAnsi="Palatino Linotype"/>
          <w:sz w:val="24"/>
          <w:szCs w:val="24"/>
        </w:rPr>
        <w:t>la presente resolución</w:t>
      </w:r>
      <w:r w:rsidRPr="00793F86">
        <w:rPr>
          <w:rFonts w:ascii="Palatino Linotype" w:hAnsi="Palatino Linotype"/>
          <w:b/>
          <w:sz w:val="24"/>
          <w:szCs w:val="24"/>
        </w:rPr>
        <w:t xml:space="preserve"> </w:t>
      </w:r>
      <w:r w:rsidRPr="00793F86">
        <w:rPr>
          <w:rFonts w:ascii="Palatino Linotype" w:hAnsi="Palatino Linotype"/>
          <w:sz w:val="24"/>
          <w:szCs w:val="24"/>
        </w:rPr>
        <w:t>al Titular</w:t>
      </w:r>
      <w:r w:rsidRPr="00044C07">
        <w:rPr>
          <w:rFonts w:ascii="Palatino Linotype" w:hAnsi="Palatino Linotype"/>
          <w:sz w:val="24"/>
          <w:szCs w:val="24"/>
        </w:rPr>
        <w:t xml:space="preserve"> de la Unidad</w:t>
      </w:r>
      <w:r>
        <w:rPr>
          <w:rFonts w:ascii="Palatino Linotype" w:hAnsi="Palatino Linotype"/>
          <w:sz w:val="24"/>
          <w:szCs w:val="24"/>
          <w:shd w:val="clear" w:color="auto" w:fill="FFFFFF"/>
        </w:rPr>
        <w:t xml:space="preserve"> de Transparencia del</w:t>
      </w:r>
      <w:r>
        <w:rPr>
          <w:rStyle w:val="apple-converted-space"/>
          <w:rFonts w:ascii="Palatino Linotype" w:hAnsi="Palatino Linotype"/>
          <w:sz w:val="24"/>
          <w:szCs w:val="24"/>
          <w:shd w:val="clear" w:color="auto" w:fill="FFFFFF"/>
        </w:rPr>
        <w:t> </w:t>
      </w:r>
      <w:r>
        <w:rPr>
          <w:rFonts w:ascii="Palatino Linotype" w:hAnsi="Palatino Linotype"/>
          <w:b/>
          <w:sz w:val="24"/>
          <w:szCs w:val="24"/>
          <w:shd w:val="clear" w:color="auto" w:fill="FFFFFF"/>
        </w:rPr>
        <w:t>SUJETO OBLIGADO</w:t>
      </w:r>
      <w:r>
        <w:rPr>
          <w:rFonts w:ascii="Palatino Linotype" w:hAnsi="Palatino Linotype"/>
          <w:sz w:val="24"/>
          <w:szCs w:val="24"/>
          <w:shd w:val="clear" w:color="auto" w:fill="FFFFFF"/>
        </w:rPr>
        <w:t xml:space="preserve">. </w:t>
      </w:r>
    </w:p>
    <w:p w14:paraId="67629699" w14:textId="77777777" w:rsidR="00436B30" w:rsidRDefault="00436B30" w:rsidP="00436B30">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p>
    <w:p w14:paraId="4C3848CB" w14:textId="77777777" w:rsidR="00436B30" w:rsidRDefault="00436B30" w:rsidP="00436B30">
      <w:pPr>
        <w:spacing w:before="240" w:after="240" w:line="360" w:lineRule="auto"/>
        <w:jc w:val="both"/>
        <w:rPr>
          <w:rFonts w:ascii="Palatino Linotype" w:hAnsi="Palatino Linotype" w:cs="Arial"/>
          <w:sz w:val="24"/>
          <w:szCs w:val="24"/>
          <w:lang w:val="es-ES_tradnl"/>
        </w:rPr>
      </w:pPr>
      <w:r>
        <w:rPr>
          <w:rFonts w:ascii="Palatino Linotype" w:hAnsi="Palatino Linotype" w:cs="Arial"/>
          <w:b/>
          <w:sz w:val="28"/>
          <w:szCs w:val="24"/>
          <w:lang w:val="es-ES_tradnl"/>
        </w:rPr>
        <w:lastRenderedPageBreak/>
        <w:t xml:space="preserve">TERCERO. </w:t>
      </w:r>
      <w:r>
        <w:rPr>
          <w:rFonts w:ascii="Palatino Linotype" w:hAnsi="Palatino Linotype" w:cs="Arial"/>
          <w:b/>
          <w:sz w:val="24"/>
          <w:szCs w:val="24"/>
          <w:lang w:val="es-ES_tradnl"/>
        </w:rPr>
        <w:t>NOTIFÍQUESE</w:t>
      </w:r>
      <w:r>
        <w:rPr>
          <w:rFonts w:ascii="Palatino Linotype" w:hAnsi="Palatino Linotype" w:cs="Arial"/>
          <w:sz w:val="24"/>
          <w:szCs w:val="24"/>
          <w:lang w:val="es-ES_tradnl"/>
        </w:rPr>
        <w:t xml:space="preserve"> al</w:t>
      </w:r>
      <w:r>
        <w:rPr>
          <w:rFonts w:ascii="Palatino Linotype" w:hAnsi="Palatino Linotype" w:cs="Arial"/>
          <w:b/>
          <w:bCs/>
          <w:sz w:val="24"/>
          <w:szCs w:val="24"/>
          <w:lang w:val="es-ES_tradnl"/>
        </w:rPr>
        <w:t xml:space="preserve"> </w:t>
      </w:r>
      <w:r>
        <w:rPr>
          <w:rFonts w:ascii="Palatino Linotype" w:hAnsi="Palatino Linotype" w:cs="Arial"/>
          <w:b/>
          <w:sz w:val="24"/>
          <w:szCs w:val="24"/>
          <w:lang w:val="es-ES_tradnl"/>
        </w:rPr>
        <w:t>RECURRENTE</w:t>
      </w:r>
      <w:r>
        <w:rPr>
          <w:rFonts w:ascii="Palatino Linotype" w:hAnsi="Palatino Linotype" w:cs="Arial"/>
          <w:sz w:val="24"/>
          <w:szCs w:val="24"/>
          <w:lang w:val="es-ES_tradnl"/>
        </w:rPr>
        <w:t xml:space="preserve"> la presente resolución </w:t>
      </w:r>
      <w:r>
        <w:rPr>
          <w:rFonts w:ascii="Palatino Linotype" w:eastAsia="Times New Roman" w:hAnsi="Palatino Linotype" w:cs="Arial"/>
          <w:b/>
          <w:sz w:val="24"/>
          <w:szCs w:val="24"/>
          <w:lang w:eastAsia="es-ES"/>
        </w:rPr>
        <w:t xml:space="preserve">vía </w:t>
      </w:r>
      <w:r>
        <w:rPr>
          <w:rFonts w:ascii="Palatino Linotype" w:hAnsi="Palatino Linotype" w:cs="Arial"/>
          <w:sz w:val="24"/>
          <w:szCs w:val="24"/>
        </w:rPr>
        <w:t xml:space="preserve">Sistema de Acceso a la Información Mexiquense </w:t>
      </w:r>
      <w:r>
        <w:rPr>
          <w:rFonts w:ascii="Palatino Linotype" w:hAnsi="Palatino Linotype" w:cs="Arial"/>
          <w:b/>
          <w:sz w:val="24"/>
          <w:szCs w:val="24"/>
        </w:rPr>
        <w:t>(SAIMEX)</w:t>
      </w:r>
      <w:r>
        <w:rPr>
          <w:rFonts w:ascii="Palatino Linotype" w:hAnsi="Palatino Linotype" w:cs="Arial"/>
          <w:sz w:val="24"/>
          <w:szCs w:val="24"/>
          <w:lang w:val="es-ES_tradnl"/>
        </w:rPr>
        <w:t>, y hágase de su conocimiento que en caso de que considere que le cause algún perjuicio, podrá promover el Juicio de Amparo en los términos de las leyes aplicables, de acuerdo con lo estipulado por el artículo 196, de la Ley de Transparencia y Acceso a la Información Pública del Estado de México y Municipios.</w:t>
      </w:r>
    </w:p>
    <w:p w14:paraId="6073E8B9" w14:textId="77777777" w:rsidR="00436B30" w:rsidRPr="00436B30" w:rsidRDefault="00436B30" w:rsidP="005B686E">
      <w:pPr>
        <w:tabs>
          <w:tab w:val="left" w:pos="709"/>
        </w:tabs>
        <w:spacing w:before="240" w:line="360" w:lineRule="auto"/>
        <w:ind w:right="51"/>
        <w:jc w:val="both"/>
        <w:rPr>
          <w:rFonts w:ascii="Palatino Linotype" w:hAnsi="Palatino Linotype"/>
          <w:iCs/>
          <w:sz w:val="24"/>
          <w:szCs w:val="24"/>
          <w:lang w:val="es-ES_tradnl"/>
        </w:rPr>
      </w:pPr>
    </w:p>
    <w:p w14:paraId="626BBF26" w14:textId="3522841F" w:rsidR="00216D2B" w:rsidRPr="00AA7E8A" w:rsidRDefault="00216D2B" w:rsidP="00216D2B">
      <w:pPr>
        <w:pStyle w:val="Prrafodelista"/>
        <w:autoSpaceDE w:val="0"/>
        <w:autoSpaceDN w:val="0"/>
        <w:adjustRightInd w:val="0"/>
        <w:spacing w:before="240" w:after="160" w:line="360" w:lineRule="auto"/>
        <w:ind w:left="0"/>
        <w:jc w:val="both"/>
        <w:rPr>
          <w:rFonts w:ascii="Palatino Linotype" w:hAnsi="Palatino Linotype" w:cs="Arial"/>
        </w:rPr>
      </w:pPr>
      <w:r w:rsidRPr="00AA7E8A">
        <w:rPr>
          <w:rFonts w:ascii="Palatino Linotype" w:hAnsi="Palatino Linotype" w:cs="Arial"/>
        </w:rPr>
        <w:t>ASÍ LO ACORDÓ, POR UNANIMIDAD DE VOTOS, EL PLENO DEL</w:t>
      </w:r>
      <w:r w:rsidRPr="00AA7E8A">
        <w:rPr>
          <w:rFonts w:ascii="Palatino Linotype" w:eastAsia="Arial Unicode MS" w:hAnsi="Palatino Linotype" w:cs="Arial"/>
        </w:rPr>
        <w:t xml:space="preserve"> INSTITUTO DE TRANSPARENCIA, ACCESO A LA INFORMACIÓN PÚBLICA Y PROTECCIÓN DE DATOS PERSONALES DEL ESTADO DE MÉXICO Y MUNICIPIOS</w:t>
      </w:r>
      <w:r w:rsidRPr="00AA7E8A">
        <w:rPr>
          <w:rFonts w:ascii="Palatino Linotype" w:hAnsi="Palatino Linotype" w:cs="Arial"/>
        </w:rPr>
        <w:t xml:space="preserve">, CONFORMADO POR LOS COMISIONADOS JOSÉ MARTÍNEZ </w:t>
      </w:r>
      <w:r w:rsidR="00436B30" w:rsidRPr="00AA7E8A">
        <w:rPr>
          <w:rFonts w:ascii="Palatino Linotype" w:hAnsi="Palatino Linotype" w:cs="Arial"/>
        </w:rPr>
        <w:t>VILCHIS, MARÍA DEL ROSARIO MEJÍA AYALA, SHARON CRISTINA MORALES MARTÍNEZ, LUIS GUSTAVO PARRA NORIEGA Y GUADALUPE RAMÍREZ PEÑA</w:t>
      </w:r>
      <w:r w:rsidR="00436B30">
        <w:rPr>
          <w:rFonts w:ascii="Palatino Linotype" w:hAnsi="Palatino Linotype" w:cs="Arial"/>
        </w:rPr>
        <w:t xml:space="preserve">; </w:t>
      </w:r>
      <w:r w:rsidR="00436B30" w:rsidRPr="00AA7E8A">
        <w:rPr>
          <w:rFonts w:ascii="Palatino Linotype" w:hAnsi="Palatino Linotype" w:cs="Arial"/>
        </w:rPr>
        <w:t xml:space="preserve">EN LA </w:t>
      </w:r>
      <w:r w:rsidR="00436B30">
        <w:rPr>
          <w:rFonts w:ascii="Palatino Linotype" w:hAnsi="Palatino Linotype" w:cs="Arial"/>
        </w:rPr>
        <w:t xml:space="preserve">DECIMA QUINTA SESIÓN ORDINARIA, CELEBRADA EL TREINTA DE ABRIL DE DOS MIL VEINTICINCO, </w:t>
      </w:r>
      <w:r>
        <w:rPr>
          <w:rFonts w:ascii="Palatino Linotype" w:hAnsi="Palatino Linotype" w:cs="Arial"/>
        </w:rPr>
        <w:t xml:space="preserve">ANTE EL </w:t>
      </w:r>
      <w:r w:rsidRPr="00AA7E8A">
        <w:rPr>
          <w:rFonts w:ascii="Palatino Linotype" w:hAnsi="Palatino Linotype" w:cs="Arial"/>
        </w:rPr>
        <w:t xml:space="preserve">SECRETARIO TÉCNICO DEL PLENO, ALEXIS TAPIA RAMÍREZ. </w:t>
      </w:r>
    </w:p>
    <w:p w14:paraId="5A9105CC" w14:textId="77777777" w:rsidR="00216D2B" w:rsidRDefault="00216D2B" w:rsidP="00216D2B">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3FCFB8E7" w14:textId="083375CD" w:rsidR="005B686E" w:rsidRDefault="005B686E" w:rsidP="005B686E">
      <w:pPr>
        <w:tabs>
          <w:tab w:val="left" w:pos="709"/>
        </w:tabs>
        <w:spacing w:before="240" w:line="360" w:lineRule="auto"/>
        <w:ind w:right="51"/>
        <w:jc w:val="both"/>
        <w:rPr>
          <w:rFonts w:ascii="Palatino Linotype" w:hAnsi="Palatino Linotype"/>
          <w:iCs/>
          <w:sz w:val="24"/>
          <w:szCs w:val="24"/>
        </w:rPr>
      </w:pPr>
    </w:p>
    <w:p w14:paraId="154927F5"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254E073C"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4A5687F6"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566D76FA"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2AA1D7F7"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D76B1C5"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2318938"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47545E6C"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319A09B"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BF72C64"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7AE908A2"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04B535D2"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0B2DED57"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4737D889"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p w14:paraId="361DDCD0" w14:textId="77777777" w:rsidR="00216D2B" w:rsidRDefault="00216D2B" w:rsidP="005B686E">
      <w:pPr>
        <w:tabs>
          <w:tab w:val="left" w:pos="709"/>
        </w:tabs>
        <w:spacing w:before="240" w:line="360" w:lineRule="auto"/>
        <w:ind w:right="51"/>
        <w:jc w:val="both"/>
        <w:rPr>
          <w:rFonts w:ascii="Palatino Linotype" w:hAnsi="Palatino Linotype"/>
          <w:iCs/>
          <w:sz w:val="24"/>
          <w:szCs w:val="24"/>
        </w:rPr>
      </w:pPr>
    </w:p>
    <w:sectPr w:rsidR="00216D2B" w:rsidSect="00193BE6">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704D3E" w14:textId="77777777" w:rsidR="00A70B69" w:rsidRDefault="00A70B69" w:rsidP="006168E4">
      <w:pPr>
        <w:spacing w:after="0" w:line="240" w:lineRule="auto"/>
      </w:pPr>
      <w:r>
        <w:separator/>
      </w:r>
    </w:p>
  </w:endnote>
  <w:endnote w:type="continuationSeparator" w:id="0">
    <w:p w14:paraId="41769A8E" w14:textId="77777777" w:rsidR="00A70B69" w:rsidRDefault="00A70B69"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6519">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96519">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37770" w:rsidRPr="000B69FA" w:rsidRDefault="00F3777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9651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D96519">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F3F82A" w14:textId="77777777" w:rsidR="00A70B69" w:rsidRDefault="00A70B69" w:rsidP="006168E4">
      <w:pPr>
        <w:spacing w:after="0" w:line="240" w:lineRule="auto"/>
      </w:pPr>
      <w:r>
        <w:separator/>
      </w:r>
    </w:p>
  </w:footnote>
  <w:footnote w:type="continuationSeparator" w:id="0">
    <w:p w14:paraId="6C7E47E8" w14:textId="77777777" w:rsidR="00A70B69" w:rsidRDefault="00A70B69" w:rsidP="006168E4">
      <w:pPr>
        <w:spacing w:after="0" w:line="240" w:lineRule="auto"/>
      </w:pPr>
      <w:r>
        <w:continuationSeparator/>
      </w:r>
    </w:p>
  </w:footnote>
  <w:footnote w:id="1">
    <w:p w14:paraId="5CED31BE" w14:textId="77777777" w:rsidR="00CF0EC0" w:rsidRPr="00911081" w:rsidRDefault="00CF0EC0" w:rsidP="00CF0EC0">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129A337F" w14:textId="77777777" w:rsidR="00CF0EC0" w:rsidRPr="00911081" w:rsidRDefault="00CF0EC0" w:rsidP="00CF0EC0">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37770" w14:paraId="17981A04" w14:textId="77777777" w:rsidTr="00417FC0">
      <w:trPr>
        <w:trHeight w:val="227"/>
      </w:trPr>
      <w:tc>
        <w:tcPr>
          <w:tcW w:w="5529" w:type="dxa"/>
          <w:hideMark/>
        </w:tcPr>
        <w:p w14:paraId="0E414BC5" w14:textId="75B4D793"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2E4905A6" w:rsidR="00F37770" w:rsidRPr="00B4142F" w:rsidRDefault="00A6191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02D6B">
            <w:rPr>
              <w:rFonts w:ascii="Palatino Linotype" w:hAnsi="Palatino Linotype" w:cs="Arial"/>
              <w:bCs/>
              <w:sz w:val="24"/>
              <w:lang w:eastAsia="es-MX"/>
            </w:rPr>
            <w:t>3645</w:t>
          </w:r>
          <w:r w:rsidR="00F37770">
            <w:rPr>
              <w:rFonts w:ascii="Palatino Linotype" w:hAnsi="Palatino Linotype" w:cs="Arial"/>
              <w:bCs/>
              <w:sz w:val="24"/>
              <w:lang w:eastAsia="es-MX"/>
            </w:rPr>
            <w:t>/INFOEM/IP/RR/202</w:t>
          </w:r>
          <w:r w:rsidR="00702D6B">
            <w:rPr>
              <w:rFonts w:ascii="Palatino Linotype" w:hAnsi="Palatino Linotype" w:cs="Arial"/>
              <w:bCs/>
              <w:sz w:val="24"/>
              <w:lang w:eastAsia="es-MX"/>
            </w:rPr>
            <w:t>5</w:t>
          </w:r>
        </w:p>
      </w:tc>
    </w:tr>
    <w:tr w:rsidR="00F37770" w14:paraId="637042F0" w14:textId="77777777" w:rsidTr="00417FC0">
      <w:trPr>
        <w:trHeight w:val="242"/>
      </w:trPr>
      <w:tc>
        <w:tcPr>
          <w:tcW w:w="5529" w:type="dxa"/>
          <w:hideMark/>
        </w:tcPr>
        <w:p w14:paraId="412AD568" w14:textId="582E7AD7" w:rsidR="00F37770" w:rsidRDefault="00F3777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62DBEE7B" w:rsidR="00F37770" w:rsidRPr="00F06FED" w:rsidRDefault="00702D6B" w:rsidP="001B1CE0">
          <w:pPr>
            <w:spacing w:after="120" w:line="256" w:lineRule="auto"/>
            <w:ind w:left="639" w:right="214"/>
            <w:jc w:val="both"/>
            <w:rPr>
              <w:rFonts w:ascii="Palatino Linotype" w:hAnsi="Palatino Linotype" w:cs="Arial"/>
            </w:rPr>
          </w:pPr>
          <w:r>
            <w:rPr>
              <w:rFonts w:ascii="Palatino Linotype" w:hAnsi="Palatino Linotype" w:cs="Arial"/>
            </w:rPr>
            <w:t>Ayuntamiento de Toluca</w:t>
          </w:r>
        </w:p>
      </w:tc>
    </w:tr>
    <w:tr w:rsidR="00F37770" w14:paraId="21BFE746" w14:textId="77777777" w:rsidTr="00417FC0">
      <w:trPr>
        <w:trHeight w:val="342"/>
      </w:trPr>
      <w:tc>
        <w:tcPr>
          <w:tcW w:w="5529" w:type="dxa"/>
          <w:hideMark/>
        </w:tcPr>
        <w:p w14:paraId="64C4E314" w14:textId="1C66F8DB" w:rsidR="00F37770" w:rsidRDefault="00F3777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37770" w:rsidRDefault="00F3777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37770" w:rsidRDefault="00F3777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37770" w14:paraId="385FD437" w14:textId="77777777" w:rsidTr="00417FC0">
      <w:trPr>
        <w:trHeight w:val="227"/>
      </w:trPr>
      <w:tc>
        <w:tcPr>
          <w:tcW w:w="5529" w:type="dxa"/>
          <w:hideMark/>
        </w:tcPr>
        <w:p w14:paraId="272860E8" w14:textId="23375EDF"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0829C68D" w:rsidR="00F37770" w:rsidRPr="00B4142F" w:rsidRDefault="00A6191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702D6B">
            <w:rPr>
              <w:rFonts w:ascii="Palatino Linotype" w:hAnsi="Palatino Linotype" w:cs="Arial"/>
              <w:bCs/>
              <w:sz w:val="24"/>
              <w:lang w:eastAsia="es-MX"/>
            </w:rPr>
            <w:t>3645</w:t>
          </w:r>
          <w:r w:rsidR="00F37770">
            <w:rPr>
              <w:rFonts w:ascii="Palatino Linotype" w:hAnsi="Palatino Linotype" w:cs="Arial"/>
              <w:bCs/>
              <w:sz w:val="24"/>
              <w:lang w:eastAsia="es-MX"/>
            </w:rPr>
            <w:t>/INFOEM/IP/RR/202</w:t>
          </w:r>
          <w:r w:rsidR="00702D6B">
            <w:rPr>
              <w:rFonts w:ascii="Palatino Linotype" w:hAnsi="Palatino Linotype" w:cs="Arial"/>
              <w:bCs/>
              <w:sz w:val="24"/>
              <w:lang w:eastAsia="es-MX"/>
            </w:rPr>
            <w:t>5</w:t>
          </w:r>
          <w:r w:rsidR="00F37770">
            <w:rPr>
              <w:rFonts w:ascii="Palatino Linotype" w:hAnsi="Palatino Linotype" w:cs="Arial"/>
              <w:bCs/>
              <w:sz w:val="24"/>
              <w:lang w:eastAsia="es-MX"/>
            </w:rPr>
            <w:t xml:space="preserve"> </w:t>
          </w:r>
        </w:p>
      </w:tc>
    </w:tr>
    <w:tr w:rsidR="00F37770" w14:paraId="33FC5097" w14:textId="77777777" w:rsidTr="00417FC0">
      <w:trPr>
        <w:trHeight w:val="196"/>
      </w:trPr>
      <w:tc>
        <w:tcPr>
          <w:tcW w:w="5529" w:type="dxa"/>
          <w:hideMark/>
        </w:tcPr>
        <w:p w14:paraId="4F5D01E5"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68D52DAD" w:rsidR="00F37770" w:rsidRPr="00E93E68" w:rsidRDefault="00F37770" w:rsidP="00D96519">
          <w:pPr>
            <w:spacing w:after="120" w:line="256" w:lineRule="auto"/>
            <w:ind w:right="214"/>
            <w:jc w:val="both"/>
            <w:rPr>
              <w:rFonts w:ascii="Palatino Linotype" w:hAnsi="Palatino Linotype" w:cs="Arial"/>
            </w:rPr>
          </w:pPr>
          <w:r>
            <w:rPr>
              <w:rFonts w:ascii="Palatino Linotype" w:hAnsi="Palatino Linotype" w:cs="Arial"/>
            </w:rPr>
            <w:t xml:space="preserve">            </w:t>
          </w:r>
          <w:r w:rsidR="00D96519">
            <w:rPr>
              <w:rFonts w:ascii="Palatino Linotype" w:hAnsi="Palatino Linotype" w:cs="Arial"/>
            </w:rPr>
            <w:t>XXXXXXXXXXXX</w:t>
          </w:r>
        </w:p>
      </w:tc>
    </w:tr>
    <w:tr w:rsidR="00F37770" w14:paraId="178280DE" w14:textId="77777777" w:rsidTr="00417FC0">
      <w:trPr>
        <w:trHeight w:val="242"/>
      </w:trPr>
      <w:tc>
        <w:tcPr>
          <w:tcW w:w="5529" w:type="dxa"/>
          <w:hideMark/>
        </w:tcPr>
        <w:p w14:paraId="71AC708B" w14:textId="77777777" w:rsidR="00F37770" w:rsidRDefault="00F3777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0A66215B" w:rsidR="00F37770" w:rsidRDefault="00702D6B"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Toluca</w:t>
          </w:r>
        </w:p>
      </w:tc>
    </w:tr>
    <w:tr w:rsidR="00F37770" w14:paraId="0518978B" w14:textId="77777777" w:rsidTr="00417FC0">
      <w:trPr>
        <w:trHeight w:val="342"/>
      </w:trPr>
      <w:tc>
        <w:tcPr>
          <w:tcW w:w="5529" w:type="dxa"/>
          <w:hideMark/>
        </w:tcPr>
        <w:p w14:paraId="04968A43" w14:textId="5F7729A7" w:rsidR="00F37770" w:rsidRDefault="00F3777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37770" w:rsidRDefault="00F3777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37770" w:rsidRDefault="00F3777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F541AF"/>
    <w:multiLevelType w:val="hybridMultilevel"/>
    <w:tmpl w:val="E61094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2"/>
  </w:num>
  <w:num w:numId="2">
    <w:abstractNumId w:val="1"/>
  </w:num>
  <w:num w:numId="3">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FA5"/>
    <w:rsid w:val="0000484E"/>
    <w:rsid w:val="00004BE2"/>
    <w:rsid w:val="000054D0"/>
    <w:rsid w:val="000056BB"/>
    <w:rsid w:val="00005B85"/>
    <w:rsid w:val="00010643"/>
    <w:rsid w:val="000115F8"/>
    <w:rsid w:val="0001366A"/>
    <w:rsid w:val="00013C75"/>
    <w:rsid w:val="000143F3"/>
    <w:rsid w:val="000146DE"/>
    <w:rsid w:val="00015141"/>
    <w:rsid w:val="000158D2"/>
    <w:rsid w:val="000171B7"/>
    <w:rsid w:val="00020C6B"/>
    <w:rsid w:val="00020E74"/>
    <w:rsid w:val="000240C8"/>
    <w:rsid w:val="0002560B"/>
    <w:rsid w:val="000306A7"/>
    <w:rsid w:val="000308B6"/>
    <w:rsid w:val="000316DC"/>
    <w:rsid w:val="00031B3B"/>
    <w:rsid w:val="00032762"/>
    <w:rsid w:val="00032896"/>
    <w:rsid w:val="000329BE"/>
    <w:rsid w:val="00037EBF"/>
    <w:rsid w:val="0004186E"/>
    <w:rsid w:val="000420E2"/>
    <w:rsid w:val="00044D01"/>
    <w:rsid w:val="000451BE"/>
    <w:rsid w:val="00045379"/>
    <w:rsid w:val="00045CB8"/>
    <w:rsid w:val="0005080D"/>
    <w:rsid w:val="000508FA"/>
    <w:rsid w:val="0005171D"/>
    <w:rsid w:val="000518AC"/>
    <w:rsid w:val="00051AD7"/>
    <w:rsid w:val="00053936"/>
    <w:rsid w:val="00055224"/>
    <w:rsid w:val="000569A5"/>
    <w:rsid w:val="00056D2A"/>
    <w:rsid w:val="00057E37"/>
    <w:rsid w:val="000612BD"/>
    <w:rsid w:val="00061821"/>
    <w:rsid w:val="000623F9"/>
    <w:rsid w:val="00062908"/>
    <w:rsid w:val="00063035"/>
    <w:rsid w:val="00063A10"/>
    <w:rsid w:val="00064EA6"/>
    <w:rsid w:val="000662F8"/>
    <w:rsid w:val="00066E86"/>
    <w:rsid w:val="00070E99"/>
    <w:rsid w:val="000720CA"/>
    <w:rsid w:val="00073321"/>
    <w:rsid w:val="00073E78"/>
    <w:rsid w:val="00073FC2"/>
    <w:rsid w:val="000740DB"/>
    <w:rsid w:val="00076AE0"/>
    <w:rsid w:val="0007756F"/>
    <w:rsid w:val="0008151E"/>
    <w:rsid w:val="000821BF"/>
    <w:rsid w:val="0008548C"/>
    <w:rsid w:val="00085EA6"/>
    <w:rsid w:val="00086AF1"/>
    <w:rsid w:val="00086BE9"/>
    <w:rsid w:val="00087AC4"/>
    <w:rsid w:val="00090174"/>
    <w:rsid w:val="00091552"/>
    <w:rsid w:val="00091C3A"/>
    <w:rsid w:val="000944B9"/>
    <w:rsid w:val="00095CD4"/>
    <w:rsid w:val="00096C6C"/>
    <w:rsid w:val="0009704F"/>
    <w:rsid w:val="000A18F1"/>
    <w:rsid w:val="000A2E75"/>
    <w:rsid w:val="000A3486"/>
    <w:rsid w:val="000A3612"/>
    <w:rsid w:val="000A369F"/>
    <w:rsid w:val="000A4601"/>
    <w:rsid w:val="000A46EB"/>
    <w:rsid w:val="000A5195"/>
    <w:rsid w:val="000A535D"/>
    <w:rsid w:val="000A5980"/>
    <w:rsid w:val="000A79DA"/>
    <w:rsid w:val="000B03E0"/>
    <w:rsid w:val="000B1C4F"/>
    <w:rsid w:val="000B313F"/>
    <w:rsid w:val="000B43A0"/>
    <w:rsid w:val="000B4B51"/>
    <w:rsid w:val="000B5864"/>
    <w:rsid w:val="000B6250"/>
    <w:rsid w:val="000B6D61"/>
    <w:rsid w:val="000B7158"/>
    <w:rsid w:val="000C0B33"/>
    <w:rsid w:val="000C2602"/>
    <w:rsid w:val="000C2A35"/>
    <w:rsid w:val="000C5B8B"/>
    <w:rsid w:val="000C7ED3"/>
    <w:rsid w:val="000D0F48"/>
    <w:rsid w:val="000D1A4E"/>
    <w:rsid w:val="000D1B50"/>
    <w:rsid w:val="000D1B55"/>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9B4"/>
    <w:rsid w:val="000F3F8D"/>
    <w:rsid w:val="000F6D5B"/>
    <w:rsid w:val="00100C19"/>
    <w:rsid w:val="00100F8E"/>
    <w:rsid w:val="0010154B"/>
    <w:rsid w:val="00104A18"/>
    <w:rsid w:val="00104B9D"/>
    <w:rsid w:val="00105A17"/>
    <w:rsid w:val="00105F91"/>
    <w:rsid w:val="00106372"/>
    <w:rsid w:val="001108D8"/>
    <w:rsid w:val="00111DCD"/>
    <w:rsid w:val="00112C29"/>
    <w:rsid w:val="0011400D"/>
    <w:rsid w:val="00114965"/>
    <w:rsid w:val="00114CF9"/>
    <w:rsid w:val="00116FA7"/>
    <w:rsid w:val="00120642"/>
    <w:rsid w:val="001228AB"/>
    <w:rsid w:val="001233A3"/>
    <w:rsid w:val="001235C3"/>
    <w:rsid w:val="00124807"/>
    <w:rsid w:val="00124855"/>
    <w:rsid w:val="001254F5"/>
    <w:rsid w:val="00125561"/>
    <w:rsid w:val="001311AB"/>
    <w:rsid w:val="001341CF"/>
    <w:rsid w:val="0013496D"/>
    <w:rsid w:val="001351F2"/>
    <w:rsid w:val="00135E00"/>
    <w:rsid w:val="00136FAD"/>
    <w:rsid w:val="0013704D"/>
    <w:rsid w:val="00137D60"/>
    <w:rsid w:val="00137F01"/>
    <w:rsid w:val="00140557"/>
    <w:rsid w:val="001408A0"/>
    <w:rsid w:val="00142F1F"/>
    <w:rsid w:val="0014385C"/>
    <w:rsid w:val="001439C9"/>
    <w:rsid w:val="00144BC1"/>
    <w:rsid w:val="001464A3"/>
    <w:rsid w:val="00146F0A"/>
    <w:rsid w:val="00147361"/>
    <w:rsid w:val="00151373"/>
    <w:rsid w:val="0015205D"/>
    <w:rsid w:val="001522E7"/>
    <w:rsid w:val="00152AB2"/>
    <w:rsid w:val="00152C2B"/>
    <w:rsid w:val="001552AB"/>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80B9F"/>
    <w:rsid w:val="001810FF"/>
    <w:rsid w:val="00181CC5"/>
    <w:rsid w:val="001829BE"/>
    <w:rsid w:val="001831C5"/>
    <w:rsid w:val="00183BE1"/>
    <w:rsid w:val="00184E8E"/>
    <w:rsid w:val="001854E1"/>
    <w:rsid w:val="0018577F"/>
    <w:rsid w:val="00185D2C"/>
    <w:rsid w:val="0018644A"/>
    <w:rsid w:val="00192661"/>
    <w:rsid w:val="00193784"/>
    <w:rsid w:val="00193BE6"/>
    <w:rsid w:val="001957A3"/>
    <w:rsid w:val="00196DCE"/>
    <w:rsid w:val="001A02EC"/>
    <w:rsid w:val="001A169E"/>
    <w:rsid w:val="001A1756"/>
    <w:rsid w:val="001A1FDD"/>
    <w:rsid w:val="001A30F5"/>
    <w:rsid w:val="001A4643"/>
    <w:rsid w:val="001A5140"/>
    <w:rsid w:val="001A5630"/>
    <w:rsid w:val="001A565B"/>
    <w:rsid w:val="001A577E"/>
    <w:rsid w:val="001A659C"/>
    <w:rsid w:val="001A7216"/>
    <w:rsid w:val="001A7C9B"/>
    <w:rsid w:val="001B05B9"/>
    <w:rsid w:val="001B18A5"/>
    <w:rsid w:val="001B1CE0"/>
    <w:rsid w:val="001B3222"/>
    <w:rsid w:val="001B37B1"/>
    <w:rsid w:val="001B7B88"/>
    <w:rsid w:val="001B7FA2"/>
    <w:rsid w:val="001C166A"/>
    <w:rsid w:val="001C1CAF"/>
    <w:rsid w:val="001C2ECC"/>
    <w:rsid w:val="001C3EE0"/>
    <w:rsid w:val="001C50EE"/>
    <w:rsid w:val="001C588A"/>
    <w:rsid w:val="001C64DF"/>
    <w:rsid w:val="001C7319"/>
    <w:rsid w:val="001C7D87"/>
    <w:rsid w:val="001D23B4"/>
    <w:rsid w:val="001D2949"/>
    <w:rsid w:val="001D3E11"/>
    <w:rsid w:val="001D3E87"/>
    <w:rsid w:val="001D491D"/>
    <w:rsid w:val="001D49A2"/>
    <w:rsid w:val="001D627A"/>
    <w:rsid w:val="001D6B60"/>
    <w:rsid w:val="001E07F4"/>
    <w:rsid w:val="001E0C3F"/>
    <w:rsid w:val="001E220F"/>
    <w:rsid w:val="001E5063"/>
    <w:rsid w:val="001E58D8"/>
    <w:rsid w:val="001E5CBD"/>
    <w:rsid w:val="001E78AA"/>
    <w:rsid w:val="001F2101"/>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307F"/>
    <w:rsid w:val="002138D5"/>
    <w:rsid w:val="0021501E"/>
    <w:rsid w:val="00215192"/>
    <w:rsid w:val="00216628"/>
    <w:rsid w:val="00216D2B"/>
    <w:rsid w:val="002205C0"/>
    <w:rsid w:val="00220EA5"/>
    <w:rsid w:val="002214A5"/>
    <w:rsid w:val="00221889"/>
    <w:rsid w:val="002227C6"/>
    <w:rsid w:val="002248AC"/>
    <w:rsid w:val="00224F20"/>
    <w:rsid w:val="00225FB3"/>
    <w:rsid w:val="00226AF5"/>
    <w:rsid w:val="00230F7C"/>
    <w:rsid w:val="002315A1"/>
    <w:rsid w:val="002317D3"/>
    <w:rsid w:val="0023373D"/>
    <w:rsid w:val="00233904"/>
    <w:rsid w:val="0023423C"/>
    <w:rsid w:val="002363F6"/>
    <w:rsid w:val="002417A0"/>
    <w:rsid w:val="002420E3"/>
    <w:rsid w:val="002432D3"/>
    <w:rsid w:val="002448CB"/>
    <w:rsid w:val="00245C21"/>
    <w:rsid w:val="0024633A"/>
    <w:rsid w:val="0024703B"/>
    <w:rsid w:val="00252232"/>
    <w:rsid w:val="002525C7"/>
    <w:rsid w:val="002526E7"/>
    <w:rsid w:val="00252DBE"/>
    <w:rsid w:val="00254BA9"/>
    <w:rsid w:val="00254FD8"/>
    <w:rsid w:val="002563D7"/>
    <w:rsid w:val="0025690D"/>
    <w:rsid w:val="002577FE"/>
    <w:rsid w:val="0026055B"/>
    <w:rsid w:val="00261125"/>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567"/>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319"/>
    <w:rsid w:val="002A5409"/>
    <w:rsid w:val="002A56AE"/>
    <w:rsid w:val="002A597E"/>
    <w:rsid w:val="002B0DF5"/>
    <w:rsid w:val="002B113A"/>
    <w:rsid w:val="002B19E0"/>
    <w:rsid w:val="002B1A1F"/>
    <w:rsid w:val="002B466A"/>
    <w:rsid w:val="002B4A7B"/>
    <w:rsid w:val="002B5DBD"/>
    <w:rsid w:val="002B710C"/>
    <w:rsid w:val="002B7AC8"/>
    <w:rsid w:val="002C07C4"/>
    <w:rsid w:val="002C18E1"/>
    <w:rsid w:val="002C1B76"/>
    <w:rsid w:val="002C254D"/>
    <w:rsid w:val="002C2C20"/>
    <w:rsid w:val="002C4FD2"/>
    <w:rsid w:val="002C64CF"/>
    <w:rsid w:val="002C64E9"/>
    <w:rsid w:val="002C705E"/>
    <w:rsid w:val="002C72D2"/>
    <w:rsid w:val="002D08E3"/>
    <w:rsid w:val="002D2391"/>
    <w:rsid w:val="002D30CB"/>
    <w:rsid w:val="002D310D"/>
    <w:rsid w:val="002D338B"/>
    <w:rsid w:val="002D44B4"/>
    <w:rsid w:val="002D6995"/>
    <w:rsid w:val="002D6CD7"/>
    <w:rsid w:val="002D7003"/>
    <w:rsid w:val="002E002A"/>
    <w:rsid w:val="002E140D"/>
    <w:rsid w:val="002E2D7B"/>
    <w:rsid w:val="002E3B1F"/>
    <w:rsid w:val="002E54CE"/>
    <w:rsid w:val="002E588D"/>
    <w:rsid w:val="002E5E6A"/>
    <w:rsid w:val="002F098B"/>
    <w:rsid w:val="002F14AA"/>
    <w:rsid w:val="002F2198"/>
    <w:rsid w:val="002F37BE"/>
    <w:rsid w:val="002F3F85"/>
    <w:rsid w:val="002F4577"/>
    <w:rsid w:val="002F4E06"/>
    <w:rsid w:val="002F6424"/>
    <w:rsid w:val="00300966"/>
    <w:rsid w:val="00300D0B"/>
    <w:rsid w:val="003034C0"/>
    <w:rsid w:val="00303522"/>
    <w:rsid w:val="00304D88"/>
    <w:rsid w:val="003056A2"/>
    <w:rsid w:val="00306096"/>
    <w:rsid w:val="00306FB6"/>
    <w:rsid w:val="003107AB"/>
    <w:rsid w:val="003111C0"/>
    <w:rsid w:val="003116EE"/>
    <w:rsid w:val="003154F2"/>
    <w:rsid w:val="0031645D"/>
    <w:rsid w:val="00317A04"/>
    <w:rsid w:val="00317A10"/>
    <w:rsid w:val="00320A67"/>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5126E"/>
    <w:rsid w:val="003551AD"/>
    <w:rsid w:val="00355A06"/>
    <w:rsid w:val="003618D7"/>
    <w:rsid w:val="00361B9C"/>
    <w:rsid w:val="003622D5"/>
    <w:rsid w:val="003640B1"/>
    <w:rsid w:val="00365C45"/>
    <w:rsid w:val="00370146"/>
    <w:rsid w:val="00373F33"/>
    <w:rsid w:val="00374444"/>
    <w:rsid w:val="003746F5"/>
    <w:rsid w:val="00374E41"/>
    <w:rsid w:val="00376114"/>
    <w:rsid w:val="00376B5B"/>
    <w:rsid w:val="00376CEC"/>
    <w:rsid w:val="00376E2A"/>
    <w:rsid w:val="00377B46"/>
    <w:rsid w:val="003806DC"/>
    <w:rsid w:val="00380758"/>
    <w:rsid w:val="00381742"/>
    <w:rsid w:val="003827B4"/>
    <w:rsid w:val="00383C82"/>
    <w:rsid w:val="00386BBB"/>
    <w:rsid w:val="00386D84"/>
    <w:rsid w:val="00387363"/>
    <w:rsid w:val="00391324"/>
    <w:rsid w:val="0039245A"/>
    <w:rsid w:val="0039324E"/>
    <w:rsid w:val="00393376"/>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4B5F"/>
    <w:rsid w:val="003B4EC8"/>
    <w:rsid w:val="003B5455"/>
    <w:rsid w:val="003B58C0"/>
    <w:rsid w:val="003B5FFE"/>
    <w:rsid w:val="003B63C0"/>
    <w:rsid w:val="003C2632"/>
    <w:rsid w:val="003C2A8E"/>
    <w:rsid w:val="003C564A"/>
    <w:rsid w:val="003C7873"/>
    <w:rsid w:val="003C78F7"/>
    <w:rsid w:val="003C7C12"/>
    <w:rsid w:val="003D0226"/>
    <w:rsid w:val="003D153C"/>
    <w:rsid w:val="003D65C9"/>
    <w:rsid w:val="003D70D4"/>
    <w:rsid w:val="003E0BC5"/>
    <w:rsid w:val="003E16E1"/>
    <w:rsid w:val="003E2624"/>
    <w:rsid w:val="003E34C9"/>
    <w:rsid w:val="003E4B54"/>
    <w:rsid w:val="003E53AC"/>
    <w:rsid w:val="003E7555"/>
    <w:rsid w:val="003E7FD3"/>
    <w:rsid w:val="003F0EB3"/>
    <w:rsid w:val="003F332C"/>
    <w:rsid w:val="003F3E41"/>
    <w:rsid w:val="003F6008"/>
    <w:rsid w:val="003F659A"/>
    <w:rsid w:val="0040083E"/>
    <w:rsid w:val="00400A2B"/>
    <w:rsid w:val="00400E16"/>
    <w:rsid w:val="004012CF"/>
    <w:rsid w:val="004012E1"/>
    <w:rsid w:val="004028F5"/>
    <w:rsid w:val="00402FF3"/>
    <w:rsid w:val="00403116"/>
    <w:rsid w:val="00404445"/>
    <w:rsid w:val="00404627"/>
    <w:rsid w:val="00404750"/>
    <w:rsid w:val="0040546E"/>
    <w:rsid w:val="00405D9B"/>
    <w:rsid w:val="00405EAB"/>
    <w:rsid w:val="004069EB"/>
    <w:rsid w:val="0041002B"/>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3507"/>
    <w:rsid w:val="004335F1"/>
    <w:rsid w:val="00434F13"/>
    <w:rsid w:val="00434FFC"/>
    <w:rsid w:val="00435A16"/>
    <w:rsid w:val="0043695E"/>
    <w:rsid w:val="00436AC7"/>
    <w:rsid w:val="00436B30"/>
    <w:rsid w:val="00437A0E"/>
    <w:rsid w:val="00443B76"/>
    <w:rsid w:val="00444B4C"/>
    <w:rsid w:val="004460C0"/>
    <w:rsid w:val="00447ABE"/>
    <w:rsid w:val="00447DF5"/>
    <w:rsid w:val="004502F1"/>
    <w:rsid w:val="004516EB"/>
    <w:rsid w:val="00451E27"/>
    <w:rsid w:val="004529B6"/>
    <w:rsid w:val="00453DBD"/>
    <w:rsid w:val="00454CE6"/>
    <w:rsid w:val="00456FFF"/>
    <w:rsid w:val="00457A9F"/>
    <w:rsid w:val="0046133D"/>
    <w:rsid w:val="00462881"/>
    <w:rsid w:val="00462B0D"/>
    <w:rsid w:val="004642A1"/>
    <w:rsid w:val="0046475C"/>
    <w:rsid w:val="004653BB"/>
    <w:rsid w:val="004702BF"/>
    <w:rsid w:val="00470F88"/>
    <w:rsid w:val="00472649"/>
    <w:rsid w:val="00474273"/>
    <w:rsid w:val="00475574"/>
    <w:rsid w:val="00475F48"/>
    <w:rsid w:val="00477430"/>
    <w:rsid w:val="00477CC2"/>
    <w:rsid w:val="0048180A"/>
    <w:rsid w:val="00481C7A"/>
    <w:rsid w:val="004821D4"/>
    <w:rsid w:val="004836B3"/>
    <w:rsid w:val="0048464D"/>
    <w:rsid w:val="00484F88"/>
    <w:rsid w:val="00485906"/>
    <w:rsid w:val="0048626A"/>
    <w:rsid w:val="004867DB"/>
    <w:rsid w:val="00487713"/>
    <w:rsid w:val="0049063B"/>
    <w:rsid w:val="004906C8"/>
    <w:rsid w:val="00491A1C"/>
    <w:rsid w:val="00491BAB"/>
    <w:rsid w:val="00493252"/>
    <w:rsid w:val="00493A00"/>
    <w:rsid w:val="0049459B"/>
    <w:rsid w:val="00495252"/>
    <w:rsid w:val="004964B5"/>
    <w:rsid w:val="0049675F"/>
    <w:rsid w:val="004967E2"/>
    <w:rsid w:val="00496CDA"/>
    <w:rsid w:val="0049718E"/>
    <w:rsid w:val="0049785D"/>
    <w:rsid w:val="004A290F"/>
    <w:rsid w:val="004A5FFD"/>
    <w:rsid w:val="004A7195"/>
    <w:rsid w:val="004A7CE2"/>
    <w:rsid w:val="004B12AF"/>
    <w:rsid w:val="004B13CF"/>
    <w:rsid w:val="004B376D"/>
    <w:rsid w:val="004B51FA"/>
    <w:rsid w:val="004B53C1"/>
    <w:rsid w:val="004B5DEC"/>
    <w:rsid w:val="004B7F32"/>
    <w:rsid w:val="004C0FAC"/>
    <w:rsid w:val="004C1207"/>
    <w:rsid w:val="004C17CE"/>
    <w:rsid w:val="004C18A7"/>
    <w:rsid w:val="004C1DF1"/>
    <w:rsid w:val="004C2ED8"/>
    <w:rsid w:val="004C3D8C"/>
    <w:rsid w:val="004C4E77"/>
    <w:rsid w:val="004C537E"/>
    <w:rsid w:val="004C61C2"/>
    <w:rsid w:val="004D021D"/>
    <w:rsid w:val="004D08EB"/>
    <w:rsid w:val="004D1393"/>
    <w:rsid w:val="004D1FB9"/>
    <w:rsid w:val="004D2D13"/>
    <w:rsid w:val="004D6029"/>
    <w:rsid w:val="004D647B"/>
    <w:rsid w:val="004E0679"/>
    <w:rsid w:val="004E0B32"/>
    <w:rsid w:val="004E1E0C"/>
    <w:rsid w:val="004E2371"/>
    <w:rsid w:val="004E59D7"/>
    <w:rsid w:val="004E5A14"/>
    <w:rsid w:val="004E60EE"/>
    <w:rsid w:val="004E680D"/>
    <w:rsid w:val="004E6BE9"/>
    <w:rsid w:val="004E78B8"/>
    <w:rsid w:val="004E79A4"/>
    <w:rsid w:val="004F26CF"/>
    <w:rsid w:val="004F3071"/>
    <w:rsid w:val="004F41DA"/>
    <w:rsid w:val="004F4792"/>
    <w:rsid w:val="004F4DF1"/>
    <w:rsid w:val="004F6476"/>
    <w:rsid w:val="004F698D"/>
    <w:rsid w:val="004F76FC"/>
    <w:rsid w:val="00500601"/>
    <w:rsid w:val="00500BA6"/>
    <w:rsid w:val="0050182F"/>
    <w:rsid w:val="00502F50"/>
    <w:rsid w:val="00503655"/>
    <w:rsid w:val="0050375C"/>
    <w:rsid w:val="00503CA0"/>
    <w:rsid w:val="00504408"/>
    <w:rsid w:val="00505759"/>
    <w:rsid w:val="0050578D"/>
    <w:rsid w:val="0051107C"/>
    <w:rsid w:val="005115C9"/>
    <w:rsid w:val="0051235E"/>
    <w:rsid w:val="005124EC"/>
    <w:rsid w:val="00513CB3"/>
    <w:rsid w:val="00514187"/>
    <w:rsid w:val="00515090"/>
    <w:rsid w:val="00517889"/>
    <w:rsid w:val="005178ED"/>
    <w:rsid w:val="00521E57"/>
    <w:rsid w:val="00523DDF"/>
    <w:rsid w:val="0052735A"/>
    <w:rsid w:val="00527EBC"/>
    <w:rsid w:val="005305EA"/>
    <w:rsid w:val="00530E3E"/>
    <w:rsid w:val="005311BB"/>
    <w:rsid w:val="005314E4"/>
    <w:rsid w:val="00532258"/>
    <w:rsid w:val="00532AEC"/>
    <w:rsid w:val="005366C6"/>
    <w:rsid w:val="005371E7"/>
    <w:rsid w:val="005402C2"/>
    <w:rsid w:val="00540538"/>
    <w:rsid w:val="00540775"/>
    <w:rsid w:val="00540C92"/>
    <w:rsid w:val="00541143"/>
    <w:rsid w:val="00542BC6"/>
    <w:rsid w:val="005478DE"/>
    <w:rsid w:val="0055176C"/>
    <w:rsid w:val="005520FE"/>
    <w:rsid w:val="0055211D"/>
    <w:rsid w:val="00552FA7"/>
    <w:rsid w:val="00553E92"/>
    <w:rsid w:val="00554927"/>
    <w:rsid w:val="005559F5"/>
    <w:rsid w:val="00556513"/>
    <w:rsid w:val="00560D4A"/>
    <w:rsid w:val="00560D8E"/>
    <w:rsid w:val="00562653"/>
    <w:rsid w:val="0056468F"/>
    <w:rsid w:val="0056558A"/>
    <w:rsid w:val="00566E4B"/>
    <w:rsid w:val="00567001"/>
    <w:rsid w:val="00567F9A"/>
    <w:rsid w:val="005705E2"/>
    <w:rsid w:val="005714B9"/>
    <w:rsid w:val="00571A7B"/>
    <w:rsid w:val="00572C64"/>
    <w:rsid w:val="005733EB"/>
    <w:rsid w:val="005754D2"/>
    <w:rsid w:val="00576C2F"/>
    <w:rsid w:val="005771DE"/>
    <w:rsid w:val="00577C71"/>
    <w:rsid w:val="00580802"/>
    <w:rsid w:val="00581064"/>
    <w:rsid w:val="00581A22"/>
    <w:rsid w:val="005833A8"/>
    <w:rsid w:val="00583431"/>
    <w:rsid w:val="0058483E"/>
    <w:rsid w:val="00585740"/>
    <w:rsid w:val="0058661B"/>
    <w:rsid w:val="00586CD3"/>
    <w:rsid w:val="00593E91"/>
    <w:rsid w:val="00595600"/>
    <w:rsid w:val="0059597D"/>
    <w:rsid w:val="00596DC4"/>
    <w:rsid w:val="00597589"/>
    <w:rsid w:val="00597A23"/>
    <w:rsid w:val="005A0B49"/>
    <w:rsid w:val="005A13CC"/>
    <w:rsid w:val="005A2394"/>
    <w:rsid w:val="005A52D9"/>
    <w:rsid w:val="005A5A6E"/>
    <w:rsid w:val="005A694B"/>
    <w:rsid w:val="005A6D57"/>
    <w:rsid w:val="005A6D6E"/>
    <w:rsid w:val="005B0424"/>
    <w:rsid w:val="005B0575"/>
    <w:rsid w:val="005B37EF"/>
    <w:rsid w:val="005B451E"/>
    <w:rsid w:val="005B5B70"/>
    <w:rsid w:val="005B5F05"/>
    <w:rsid w:val="005B60F5"/>
    <w:rsid w:val="005B686E"/>
    <w:rsid w:val="005B6D44"/>
    <w:rsid w:val="005B77A6"/>
    <w:rsid w:val="005B79E7"/>
    <w:rsid w:val="005C2999"/>
    <w:rsid w:val="005C35A8"/>
    <w:rsid w:val="005C3E35"/>
    <w:rsid w:val="005C40CB"/>
    <w:rsid w:val="005C4991"/>
    <w:rsid w:val="005C6982"/>
    <w:rsid w:val="005D08BD"/>
    <w:rsid w:val="005D0901"/>
    <w:rsid w:val="005D14EB"/>
    <w:rsid w:val="005D16DD"/>
    <w:rsid w:val="005D197C"/>
    <w:rsid w:val="005D1E9D"/>
    <w:rsid w:val="005D1EDA"/>
    <w:rsid w:val="005D2B59"/>
    <w:rsid w:val="005D2B99"/>
    <w:rsid w:val="005D2CEF"/>
    <w:rsid w:val="005D362F"/>
    <w:rsid w:val="005D370F"/>
    <w:rsid w:val="005D5217"/>
    <w:rsid w:val="005D5E8C"/>
    <w:rsid w:val="005D68F0"/>
    <w:rsid w:val="005E482F"/>
    <w:rsid w:val="005E4D7C"/>
    <w:rsid w:val="005E4EB4"/>
    <w:rsid w:val="005E4ED7"/>
    <w:rsid w:val="005E7A49"/>
    <w:rsid w:val="005F048E"/>
    <w:rsid w:val="005F1408"/>
    <w:rsid w:val="005F18FF"/>
    <w:rsid w:val="005F1E0B"/>
    <w:rsid w:val="005F4648"/>
    <w:rsid w:val="005F57F0"/>
    <w:rsid w:val="005F661E"/>
    <w:rsid w:val="005F7424"/>
    <w:rsid w:val="005F7D10"/>
    <w:rsid w:val="00600FB9"/>
    <w:rsid w:val="00602223"/>
    <w:rsid w:val="0060242C"/>
    <w:rsid w:val="00603C36"/>
    <w:rsid w:val="00603FB8"/>
    <w:rsid w:val="00606FDA"/>
    <w:rsid w:val="00607414"/>
    <w:rsid w:val="0061042F"/>
    <w:rsid w:val="00612CE5"/>
    <w:rsid w:val="0061459B"/>
    <w:rsid w:val="00615562"/>
    <w:rsid w:val="006168E4"/>
    <w:rsid w:val="00616943"/>
    <w:rsid w:val="006214B9"/>
    <w:rsid w:val="00621940"/>
    <w:rsid w:val="00624380"/>
    <w:rsid w:val="006246D1"/>
    <w:rsid w:val="00625866"/>
    <w:rsid w:val="00625F2D"/>
    <w:rsid w:val="0062656C"/>
    <w:rsid w:val="0063265C"/>
    <w:rsid w:val="00633079"/>
    <w:rsid w:val="0063387F"/>
    <w:rsid w:val="0063429D"/>
    <w:rsid w:val="00634E08"/>
    <w:rsid w:val="00635020"/>
    <w:rsid w:val="006355D4"/>
    <w:rsid w:val="00635846"/>
    <w:rsid w:val="0063607E"/>
    <w:rsid w:val="00637512"/>
    <w:rsid w:val="0064055F"/>
    <w:rsid w:val="006408ED"/>
    <w:rsid w:val="00640EE4"/>
    <w:rsid w:val="0064168D"/>
    <w:rsid w:val="00643161"/>
    <w:rsid w:val="0064576A"/>
    <w:rsid w:val="00645D17"/>
    <w:rsid w:val="00645FB2"/>
    <w:rsid w:val="006466F5"/>
    <w:rsid w:val="006468D6"/>
    <w:rsid w:val="00646A16"/>
    <w:rsid w:val="00650800"/>
    <w:rsid w:val="006529A5"/>
    <w:rsid w:val="00655372"/>
    <w:rsid w:val="00655735"/>
    <w:rsid w:val="00660203"/>
    <w:rsid w:val="00661404"/>
    <w:rsid w:val="00661753"/>
    <w:rsid w:val="006620CA"/>
    <w:rsid w:val="006646AC"/>
    <w:rsid w:val="00664D5B"/>
    <w:rsid w:val="0066569D"/>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DA2"/>
    <w:rsid w:val="00696B2F"/>
    <w:rsid w:val="00697281"/>
    <w:rsid w:val="00697EB4"/>
    <w:rsid w:val="006A2C7F"/>
    <w:rsid w:val="006A3E53"/>
    <w:rsid w:val="006A4322"/>
    <w:rsid w:val="006A4575"/>
    <w:rsid w:val="006A5961"/>
    <w:rsid w:val="006A6FF3"/>
    <w:rsid w:val="006B03E9"/>
    <w:rsid w:val="006B1953"/>
    <w:rsid w:val="006B1BF1"/>
    <w:rsid w:val="006B1C95"/>
    <w:rsid w:val="006B26E3"/>
    <w:rsid w:val="006B2A6C"/>
    <w:rsid w:val="006B32E4"/>
    <w:rsid w:val="006B3302"/>
    <w:rsid w:val="006B37EA"/>
    <w:rsid w:val="006B3A2B"/>
    <w:rsid w:val="006B3B00"/>
    <w:rsid w:val="006B43DF"/>
    <w:rsid w:val="006B503F"/>
    <w:rsid w:val="006B53AB"/>
    <w:rsid w:val="006B63ED"/>
    <w:rsid w:val="006B7444"/>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785D"/>
    <w:rsid w:val="006F1B61"/>
    <w:rsid w:val="006F1BFE"/>
    <w:rsid w:val="006F2478"/>
    <w:rsid w:val="006F25F4"/>
    <w:rsid w:val="006F53A9"/>
    <w:rsid w:val="006F5A35"/>
    <w:rsid w:val="006F610D"/>
    <w:rsid w:val="006F6E0E"/>
    <w:rsid w:val="00701033"/>
    <w:rsid w:val="007024E8"/>
    <w:rsid w:val="00702D6B"/>
    <w:rsid w:val="0070368E"/>
    <w:rsid w:val="0070371E"/>
    <w:rsid w:val="00703BAE"/>
    <w:rsid w:val="00704AB7"/>
    <w:rsid w:val="00705F8F"/>
    <w:rsid w:val="007064F6"/>
    <w:rsid w:val="007078A3"/>
    <w:rsid w:val="00711536"/>
    <w:rsid w:val="00712203"/>
    <w:rsid w:val="007129C0"/>
    <w:rsid w:val="007142B5"/>
    <w:rsid w:val="00714663"/>
    <w:rsid w:val="00714C96"/>
    <w:rsid w:val="00716BFE"/>
    <w:rsid w:val="00721B80"/>
    <w:rsid w:val="007234D1"/>
    <w:rsid w:val="00724441"/>
    <w:rsid w:val="00725B1D"/>
    <w:rsid w:val="0072666C"/>
    <w:rsid w:val="00731428"/>
    <w:rsid w:val="0073157A"/>
    <w:rsid w:val="00731690"/>
    <w:rsid w:val="007338D5"/>
    <w:rsid w:val="00735209"/>
    <w:rsid w:val="007444E2"/>
    <w:rsid w:val="00744D68"/>
    <w:rsid w:val="00744E29"/>
    <w:rsid w:val="00744EEF"/>
    <w:rsid w:val="007517D1"/>
    <w:rsid w:val="0075229E"/>
    <w:rsid w:val="007524CA"/>
    <w:rsid w:val="00753476"/>
    <w:rsid w:val="00754B44"/>
    <w:rsid w:val="00754CAE"/>
    <w:rsid w:val="00756CE9"/>
    <w:rsid w:val="00757992"/>
    <w:rsid w:val="00761B5E"/>
    <w:rsid w:val="007622D6"/>
    <w:rsid w:val="00763FEE"/>
    <w:rsid w:val="0076467C"/>
    <w:rsid w:val="007658D5"/>
    <w:rsid w:val="0076643D"/>
    <w:rsid w:val="00767724"/>
    <w:rsid w:val="00772BA8"/>
    <w:rsid w:val="007736D6"/>
    <w:rsid w:val="00774266"/>
    <w:rsid w:val="0078025C"/>
    <w:rsid w:val="0078028A"/>
    <w:rsid w:val="007806CB"/>
    <w:rsid w:val="007816FD"/>
    <w:rsid w:val="00781C64"/>
    <w:rsid w:val="007829AF"/>
    <w:rsid w:val="007848FB"/>
    <w:rsid w:val="007851D5"/>
    <w:rsid w:val="00785698"/>
    <w:rsid w:val="0078693A"/>
    <w:rsid w:val="00790164"/>
    <w:rsid w:val="007933A7"/>
    <w:rsid w:val="00793670"/>
    <w:rsid w:val="00794153"/>
    <w:rsid w:val="0079486A"/>
    <w:rsid w:val="00794D7E"/>
    <w:rsid w:val="00794E74"/>
    <w:rsid w:val="00794F80"/>
    <w:rsid w:val="0079620D"/>
    <w:rsid w:val="0079666D"/>
    <w:rsid w:val="00796CA6"/>
    <w:rsid w:val="00797118"/>
    <w:rsid w:val="00797B4F"/>
    <w:rsid w:val="007A139A"/>
    <w:rsid w:val="007A1C9E"/>
    <w:rsid w:val="007A21C7"/>
    <w:rsid w:val="007A312D"/>
    <w:rsid w:val="007A3BB5"/>
    <w:rsid w:val="007A4967"/>
    <w:rsid w:val="007A7354"/>
    <w:rsid w:val="007B2C77"/>
    <w:rsid w:val="007B34C6"/>
    <w:rsid w:val="007B7A6F"/>
    <w:rsid w:val="007C2C6B"/>
    <w:rsid w:val="007C368A"/>
    <w:rsid w:val="007C520E"/>
    <w:rsid w:val="007C7F7F"/>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20AC"/>
    <w:rsid w:val="007F43BD"/>
    <w:rsid w:val="007F53D4"/>
    <w:rsid w:val="00800927"/>
    <w:rsid w:val="00800F46"/>
    <w:rsid w:val="008016F1"/>
    <w:rsid w:val="008028E9"/>
    <w:rsid w:val="00802C56"/>
    <w:rsid w:val="00803A88"/>
    <w:rsid w:val="00803F88"/>
    <w:rsid w:val="00804BD9"/>
    <w:rsid w:val="00805270"/>
    <w:rsid w:val="00810845"/>
    <w:rsid w:val="008111EB"/>
    <w:rsid w:val="00811205"/>
    <w:rsid w:val="00811D16"/>
    <w:rsid w:val="00812C48"/>
    <w:rsid w:val="008146F9"/>
    <w:rsid w:val="00814D55"/>
    <w:rsid w:val="00816506"/>
    <w:rsid w:val="008170EF"/>
    <w:rsid w:val="00817BFB"/>
    <w:rsid w:val="008200B2"/>
    <w:rsid w:val="008230AE"/>
    <w:rsid w:val="00823267"/>
    <w:rsid w:val="0082382A"/>
    <w:rsid w:val="00824DCD"/>
    <w:rsid w:val="00824DDB"/>
    <w:rsid w:val="008257A6"/>
    <w:rsid w:val="00831346"/>
    <w:rsid w:val="00831D3F"/>
    <w:rsid w:val="00832986"/>
    <w:rsid w:val="00833DB5"/>
    <w:rsid w:val="00833FA4"/>
    <w:rsid w:val="00834BBB"/>
    <w:rsid w:val="00834E50"/>
    <w:rsid w:val="00834EFA"/>
    <w:rsid w:val="00835692"/>
    <w:rsid w:val="008419A8"/>
    <w:rsid w:val="008436AD"/>
    <w:rsid w:val="00844569"/>
    <w:rsid w:val="00846539"/>
    <w:rsid w:val="008468AD"/>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C65"/>
    <w:rsid w:val="008F66C9"/>
    <w:rsid w:val="0090060E"/>
    <w:rsid w:val="00901E77"/>
    <w:rsid w:val="009020E0"/>
    <w:rsid w:val="0090233A"/>
    <w:rsid w:val="00903410"/>
    <w:rsid w:val="0090429A"/>
    <w:rsid w:val="009050EF"/>
    <w:rsid w:val="00905422"/>
    <w:rsid w:val="00905BEF"/>
    <w:rsid w:val="00906374"/>
    <w:rsid w:val="00906E60"/>
    <w:rsid w:val="009104EB"/>
    <w:rsid w:val="00910B4E"/>
    <w:rsid w:val="009130C0"/>
    <w:rsid w:val="00913133"/>
    <w:rsid w:val="00913283"/>
    <w:rsid w:val="00915791"/>
    <w:rsid w:val="00916B04"/>
    <w:rsid w:val="00917869"/>
    <w:rsid w:val="009179B9"/>
    <w:rsid w:val="00917BDD"/>
    <w:rsid w:val="0092113F"/>
    <w:rsid w:val="00921DB9"/>
    <w:rsid w:val="00921FC1"/>
    <w:rsid w:val="00922358"/>
    <w:rsid w:val="00923DBE"/>
    <w:rsid w:val="0092403D"/>
    <w:rsid w:val="00932888"/>
    <w:rsid w:val="009331C2"/>
    <w:rsid w:val="00936DCF"/>
    <w:rsid w:val="009402DB"/>
    <w:rsid w:val="00941190"/>
    <w:rsid w:val="0094145F"/>
    <w:rsid w:val="0094160B"/>
    <w:rsid w:val="00943F2E"/>
    <w:rsid w:val="00944355"/>
    <w:rsid w:val="00944898"/>
    <w:rsid w:val="009449B8"/>
    <w:rsid w:val="00944DC9"/>
    <w:rsid w:val="00946C4B"/>
    <w:rsid w:val="0094795E"/>
    <w:rsid w:val="00951D08"/>
    <w:rsid w:val="00951D52"/>
    <w:rsid w:val="00952187"/>
    <w:rsid w:val="00952A32"/>
    <w:rsid w:val="00954916"/>
    <w:rsid w:val="0095704B"/>
    <w:rsid w:val="00960A6D"/>
    <w:rsid w:val="00960A7F"/>
    <w:rsid w:val="009611E0"/>
    <w:rsid w:val="00963CEB"/>
    <w:rsid w:val="0096447C"/>
    <w:rsid w:val="0096451F"/>
    <w:rsid w:val="00964749"/>
    <w:rsid w:val="00964B89"/>
    <w:rsid w:val="00965FEE"/>
    <w:rsid w:val="0096643B"/>
    <w:rsid w:val="009706B5"/>
    <w:rsid w:val="00970926"/>
    <w:rsid w:val="00970CE3"/>
    <w:rsid w:val="009718BF"/>
    <w:rsid w:val="009721A5"/>
    <w:rsid w:val="00972BDF"/>
    <w:rsid w:val="0097390F"/>
    <w:rsid w:val="009772A0"/>
    <w:rsid w:val="0098182D"/>
    <w:rsid w:val="009845ED"/>
    <w:rsid w:val="00985C4C"/>
    <w:rsid w:val="0098704B"/>
    <w:rsid w:val="0099059B"/>
    <w:rsid w:val="00991E43"/>
    <w:rsid w:val="00993821"/>
    <w:rsid w:val="00994280"/>
    <w:rsid w:val="009970B5"/>
    <w:rsid w:val="009A0D0A"/>
    <w:rsid w:val="009A0FAE"/>
    <w:rsid w:val="009A1D94"/>
    <w:rsid w:val="009A200B"/>
    <w:rsid w:val="009A2418"/>
    <w:rsid w:val="009A5659"/>
    <w:rsid w:val="009A64BD"/>
    <w:rsid w:val="009A686F"/>
    <w:rsid w:val="009A6ACC"/>
    <w:rsid w:val="009B1636"/>
    <w:rsid w:val="009B33A8"/>
    <w:rsid w:val="009B3487"/>
    <w:rsid w:val="009B3978"/>
    <w:rsid w:val="009B4510"/>
    <w:rsid w:val="009B5F5A"/>
    <w:rsid w:val="009B7C61"/>
    <w:rsid w:val="009C0DC9"/>
    <w:rsid w:val="009C1104"/>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C4B"/>
    <w:rsid w:val="00A03DF1"/>
    <w:rsid w:val="00A04C52"/>
    <w:rsid w:val="00A06819"/>
    <w:rsid w:val="00A075FB"/>
    <w:rsid w:val="00A07627"/>
    <w:rsid w:val="00A10583"/>
    <w:rsid w:val="00A11AE6"/>
    <w:rsid w:val="00A12205"/>
    <w:rsid w:val="00A20062"/>
    <w:rsid w:val="00A21876"/>
    <w:rsid w:val="00A22E00"/>
    <w:rsid w:val="00A24194"/>
    <w:rsid w:val="00A26994"/>
    <w:rsid w:val="00A27C95"/>
    <w:rsid w:val="00A30B55"/>
    <w:rsid w:val="00A30C44"/>
    <w:rsid w:val="00A328AE"/>
    <w:rsid w:val="00A33460"/>
    <w:rsid w:val="00A355A6"/>
    <w:rsid w:val="00A36F3E"/>
    <w:rsid w:val="00A40DDC"/>
    <w:rsid w:val="00A4131E"/>
    <w:rsid w:val="00A41694"/>
    <w:rsid w:val="00A419D1"/>
    <w:rsid w:val="00A42233"/>
    <w:rsid w:val="00A42784"/>
    <w:rsid w:val="00A43501"/>
    <w:rsid w:val="00A44343"/>
    <w:rsid w:val="00A453DC"/>
    <w:rsid w:val="00A45E71"/>
    <w:rsid w:val="00A46BDA"/>
    <w:rsid w:val="00A477E9"/>
    <w:rsid w:val="00A503DF"/>
    <w:rsid w:val="00A535E3"/>
    <w:rsid w:val="00A540E1"/>
    <w:rsid w:val="00A560C7"/>
    <w:rsid w:val="00A570A7"/>
    <w:rsid w:val="00A572E9"/>
    <w:rsid w:val="00A57B77"/>
    <w:rsid w:val="00A6191B"/>
    <w:rsid w:val="00A625E2"/>
    <w:rsid w:val="00A62AA3"/>
    <w:rsid w:val="00A62B55"/>
    <w:rsid w:val="00A64C80"/>
    <w:rsid w:val="00A65143"/>
    <w:rsid w:val="00A67EF9"/>
    <w:rsid w:val="00A70411"/>
    <w:rsid w:val="00A70B69"/>
    <w:rsid w:val="00A72465"/>
    <w:rsid w:val="00A7406D"/>
    <w:rsid w:val="00A802CB"/>
    <w:rsid w:val="00A80C92"/>
    <w:rsid w:val="00A80F08"/>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F04"/>
    <w:rsid w:val="00A9277F"/>
    <w:rsid w:val="00A931BF"/>
    <w:rsid w:val="00A95083"/>
    <w:rsid w:val="00A953BA"/>
    <w:rsid w:val="00A95A9B"/>
    <w:rsid w:val="00A96232"/>
    <w:rsid w:val="00A96E60"/>
    <w:rsid w:val="00A97130"/>
    <w:rsid w:val="00A97225"/>
    <w:rsid w:val="00A97D27"/>
    <w:rsid w:val="00AA1687"/>
    <w:rsid w:val="00AA1F1C"/>
    <w:rsid w:val="00AA285C"/>
    <w:rsid w:val="00AA327E"/>
    <w:rsid w:val="00AA4542"/>
    <w:rsid w:val="00AA5D62"/>
    <w:rsid w:val="00AA6C23"/>
    <w:rsid w:val="00AB14BD"/>
    <w:rsid w:val="00AB1D6A"/>
    <w:rsid w:val="00AB252B"/>
    <w:rsid w:val="00AB3710"/>
    <w:rsid w:val="00AB4B0F"/>
    <w:rsid w:val="00AB4FA1"/>
    <w:rsid w:val="00AB50BC"/>
    <w:rsid w:val="00AB6BF9"/>
    <w:rsid w:val="00AB6C3B"/>
    <w:rsid w:val="00AC0516"/>
    <w:rsid w:val="00AC0D96"/>
    <w:rsid w:val="00AC1266"/>
    <w:rsid w:val="00AC48E0"/>
    <w:rsid w:val="00AC7C82"/>
    <w:rsid w:val="00AD1553"/>
    <w:rsid w:val="00AD1580"/>
    <w:rsid w:val="00AD25F0"/>
    <w:rsid w:val="00AD2EBD"/>
    <w:rsid w:val="00AD41B6"/>
    <w:rsid w:val="00AD461A"/>
    <w:rsid w:val="00AD529C"/>
    <w:rsid w:val="00AD57A9"/>
    <w:rsid w:val="00AD6EAA"/>
    <w:rsid w:val="00AD78F8"/>
    <w:rsid w:val="00AE008F"/>
    <w:rsid w:val="00AE04E8"/>
    <w:rsid w:val="00AE0D01"/>
    <w:rsid w:val="00AE2056"/>
    <w:rsid w:val="00AE3724"/>
    <w:rsid w:val="00AE3AAC"/>
    <w:rsid w:val="00AF16C8"/>
    <w:rsid w:val="00AF2A22"/>
    <w:rsid w:val="00AF516B"/>
    <w:rsid w:val="00AF5638"/>
    <w:rsid w:val="00AF6F51"/>
    <w:rsid w:val="00AF74DA"/>
    <w:rsid w:val="00B006A9"/>
    <w:rsid w:val="00B00C72"/>
    <w:rsid w:val="00B01443"/>
    <w:rsid w:val="00B047AD"/>
    <w:rsid w:val="00B04CF0"/>
    <w:rsid w:val="00B06912"/>
    <w:rsid w:val="00B070A2"/>
    <w:rsid w:val="00B1020A"/>
    <w:rsid w:val="00B10E49"/>
    <w:rsid w:val="00B116EE"/>
    <w:rsid w:val="00B11E08"/>
    <w:rsid w:val="00B13A39"/>
    <w:rsid w:val="00B145FA"/>
    <w:rsid w:val="00B14814"/>
    <w:rsid w:val="00B14D24"/>
    <w:rsid w:val="00B160F4"/>
    <w:rsid w:val="00B163D5"/>
    <w:rsid w:val="00B2037B"/>
    <w:rsid w:val="00B20F15"/>
    <w:rsid w:val="00B23274"/>
    <w:rsid w:val="00B246DA"/>
    <w:rsid w:val="00B25262"/>
    <w:rsid w:val="00B272A6"/>
    <w:rsid w:val="00B30856"/>
    <w:rsid w:val="00B31395"/>
    <w:rsid w:val="00B32CD3"/>
    <w:rsid w:val="00B3475C"/>
    <w:rsid w:val="00B34866"/>
    <w:rsid w:val="00B34CA9"/>
    <w:rsid w:val="00B35797"/>
    <w:rsid w:val="00B35A93"/>
    <w:rsid w:val="00B3672D"/>
    <w:rsid w:val="00B40656"/>
    <w:rsid w:val="00B4069D"/>
    <w:rsid w:val="00B40F8A"/>
    <w:rsid w:val="00B426D4"/>
    <w:rsid w:val="00B4300B"/>
    <w:rsid w:val="00B4669F"/>
    <w:rsid w:val="00B4710D"/>
    <w:rsid w:val="00B4745C"/>
    <w:rsid w:val="00B47BB2"/>
    <w:rsid w:val="00B5000A"/>
    <w:rsid w:val="00B50AAA"/>
    <w:rsid w:val="00B51461"/>
    <w:rsid w:val="00B51940"/>
    <w:rsid w:val="00B52EAB"/>
    <w:rsid w:val="00B530EE"/>
    <w:rsid w:val="00B537E8"/>
    <w:rsid w:val="00B544D9"/>
    <w:rsid w:val="00B56B5D"/>
    <w:rsid w:val="00B576A9"/>
    <w:rsid w:val="00B57E3B"/>
    <w:rsid w:val="00B61DC9"/>
    <w:rsid w:val="00B658D4"/>
    <w:rsid w:val="00B667E5"/>
    <w:rsid w:val="00B66C9E"/>
    <w:rsid w:val="00B705ED"/>
    <w:rsid w:val="00B70E50"/>
    <w:rsid w:val="00B73C99"/>
    <w:rsid w:val="00B75A2C"/>
    <w:rsid w:val="00B75E7F"/>
    <w:rsid w:val="00B77811"/>
    <w:rsid w:val="00B80129"/>
    <w:rsid w:val="00B80734"/>
    <w:rsid w:val="00B813AC"/>
    <w:rsid w:val="00B8224B"/>
    <w:rsid w:val="00B8376C"/>
    <w:rsid w:val="00B84260"/>
    <w:rsid w:val="00B8655B"/>
    <w:rsid w:val="00B8738D"/>
    <w:rsid w:val="00B90248"/>
    <w:rsid w:val="00B90F23"/>
    <w:rsid w:val="00B91B89"/>
    <w:rsid w:val="00B91F0B"/>
    <w:rsid w:val="00B9223B"/>
    <w:rsid w:val="00B9263F"/>
    <w:rsid w:val="00B929F0"/>
    <w:rsid w:val="00B92D47"/>
    <w:rsid w:val="00B94987"/>
    <w:rsid w:val="00B961A5"/>
    <w:rsid w:val="00BA1133"/>
    <w:rsid w:val="00BA18D5"/>
    <w:rsid w:val="00BA32E9"/>
    <w:rsid w:val="00BA46EE"/>
    <w:rsid w:val="00BA49CC"/>
    <w:rsid w:val="00BA4D1F"/>
    <w:rsid w:val="00BA7AD1"/>
    <w:rsid w:val="00BA7E0C"/>
    <w:rsid w:val="00BB0B9D"/>
    <w:rsid w:val="00BB1CC2"/>
    <w:rsid w:val="00BB2250"/>
    <w:rsid w:val="00BB4107"/>
    <w:rsid w:val="00BB4F63"/>
    <w:rsid w:val="00BB5BB7"/>
    <w:rsid w:val="00BB744D"/>
    <w:rsid w:val="00BB7708"/>
    <w:rsid w:val="00BC0FDD"/>
    <w:rsid w:val="00BC114F"/>
    <w:rsid w:val="00BC22E0"/>
    <w:rsid w:val="00BC3AAD"/>
    <w:rsid w:val="00BC4AA7"/>
    <w:rsid w:val="00BC5852"/>
    <w:rsid w:val="00BD0B09"/>
    <w:rsid w:val="00BD1B09"/>
    <w:rsid w:val="00BD5425"/>
    <w:rsid w:val="00BD5EAE"/>
    <w:rsid w:val="00BD618E"/>
    <w:rsid w:val="00BD6F2F"/>
    <w:rsid w:val="00BD705F"/>
    <w:rsid w:val="00BD7854"/>
    <w:rsid w:val="00BE0EBA"/>
    <w:rsid w:val="00BE17E0"/>
    <w:rsid w:val="00BE27E5"/>
    <w:rsid w:val="00BE28ED"/>
    <w:rsid w:val="00BE3AFC"/>
    <w:rsid w:val="00BE4E6A"/>
    <w:rsid w:val="00BE54B8"/>
    <w:rsid w:val="00BE55D6"/>
    <w:rsid w:val="00BE71D7"/>
    <w:rsid w:val="00BE734B"/>
    <w:rsid w:val="00BF2ABC"/>
    <w:rsid w:val="00BF2EA1"/>
    <w:rsid w:val="00BF3B35"/>
    <w:rsid w:val="00BF4805"/>
    <w:rsid w:val="00BF4CC6"/>
    <w:rsid w:val="00BF5321"/>
    <w:rsid w:val="00BF543F"/>
    <w:rsid w:val="00BF5918"/>
    <w:rsid w:val="00BF6902"/>
    <w:rsid w:val="00BF7421"/>
    <w:rsid w:val="00C01E2A"/>
    <w:rsid w:val="00C024E0"/>
    <w:rsid w:val="00C03536"/>
    <w:rsid w:val="00C03793"/>
    <w:rsid w:val="00C06E2B"/>
    <w:rsid w:val="00C07650"/>
    <w:rsid w:val="00C104DD"/>
    <w:rsid w:val="00C1331F"/>
    <w:rsid w:val="00C15275"/>
    <w:rsid w:val="00C15B88"/>
    <w:rsid w:val="00C15E31"/>
    <w:rsid w:val="00C16479"/>
    <w:rsid w:val="00C2058D"/>
    <w:rsid w:val="00C233EF"/>
    <w:rsid w:val="00C25084"/>
    <w:rsid w:val="00C250CB"/>
    <w:rsid w:val="00C261C7"/>
    <w:rsid w:val="00C26216"/>
    <w:rsid w:val="00C2768B"/>
    <w:rsid w:val="00C27ABF"/>
    <w:rsid w:val="00C31122"/>
    <w:rsid w:val="00C316A8"/>
    <w:rsid w:val="00C322F2"/>
    <w:rsid w:val="00C32F80"/>
    <w:rsid w:val="00C337F9"/>
    <w:rsid w:val="00C34705"/>
    <w:rsid w:val="00C35EE4"/>
    <w:rsid w:val="00C36DCE"/>
    <w:rsid w:val="00C3746F"/>
    <w:rsid w:val="00C3768A"/>
    <w:rsid w:val="00C37D9D"/>
    <w:rsid w:val="00C4139D"/>
    <w:rsid w:val="00C420B6"/>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055"/>
    <w:rsid w:val="00C615BE"/>
    <w:rsid w:val="00C659E1"/>
    <w:rsid w:val="00C667D8"/>
    <w:rsid w:val="00C7039A"/>
    <w:rsid w:val="00C718A8"/>
    <w:rsid w:val="00C71CD1"/>
    <w:rsid w:val="00C73143"/>
    <w:rsid w:val="00C7536A"/>
    <w:rsid w:val="00C76C40"/>
    <w:rsid w:val="00C77685"/>
    <w:rsid w:val="00C77815"/>
    <w:rsid w:val="00C80ED6"/>
    <w:rsid w:val="00C82277"/>
    <w:rsid w:val="00C82D1D"/>
    <w:rsid w:val="00C83209"/>
    <w:rsid w:val="00C83E62"/>
    <w:rsid w:val="00C85259"/>
    <w:rsid w:val="00C85378"/>
    <w:rsid w:val="00C86808"/>
    <w:rsid w:val="00C87238"/>
    <w:rsid w:val="00C9240B"/>
    <w:rsid w:val="00C9297C"/>
    <w:rsid w:val="00C92FE0"/>
    <w:rsid w:val="00C9361E"/>
    <w:rsid w:val="00C961E8"/>
    <w:rsid w:val="00C967A3"/>
    <w:rsid w:val="00C96AB8"/>
    <w:rsid w:val="00CA00C0"/>
    <w:rsid w:val="00CA0CA2"/>
    <w:rsid w:val="00CA190D"/>
    <w:rsid w:val="00CA1C79"/>
    <w:rsid w:val="00CA30DB"/>
    <w:rsid w:val="00CA3159"/>
    <w:rsid w:val="00CA491B"/>
    <w:rsid w:val="00CA5081"/>
    <w:rsid w:val="00CA6D58"/>
    <w:rsid w:val="00CA6FDA"/>
    <w:rsid w:val="00CA764C"/>
    <w:rsid w:val="00CA7E48"/>
    <w:rsid w:val="00CB3B6F"/>
    <w:rsid w:val="00CB3D57"/>
    <w:rsid w:val="00CB427A"/>
    <w:rsid w:val="00CB4843"/>
    <w:rsid w:val="00CB72F4"/>
    <w:rsid w:val="00CC0C5F"/>
    <w:rsid w:val="00CC156B"/>
    <w:rsid w:val="00CC1C06"/>
    <w:rsid w:val="00CC24B0"/>
    <w:rsid w:val="00CC2788"/>
    <w:rsid w:val="00CC29A7"/>
    <w:rsid w:val="00CC2F3D"/>
    <w:rsid w:val="00CC5FF3"/>
    <w:rsid w:val="00CC7586"/>
    <w:rsid w:val="00CD3D8E"/>
    <w:rsid w:val="00CD4C2B"/>
    <w:rsid w:val="00CD559A"/>
    <w:rsid w:val="00CD6714"/>
    <w:rsid w:val="00CD7015"/>
    <w:rsid w:val="00CD7024"/>
    <w:rsid w:val="00CD7178"/>
    <w:rsid w:val="00CE00F0"/>
    <w:rsid w:val="00CE13CE"/>
    <w:rsid w:val="00CE16FE"/>
    <w:rsid w:val="00CE1708"/>
    <w:rsid w:val="00CE2ADF"/>
    <w:rsid w:val="00CE33FC"/>
    <w:rsid w:val="00CE410A"/>
    <w:rsid w:val="00CE4B84"/>
    <w:rsid w:val="00CE68C7"/>
    <w:rsid w:val="00CE74B0"/>
    <w:rsid w:val="00CE74DF"/>
    <w:rsid w:val="00CF00DE"/>
    <w:rsid w:val="00CF0213"/>
    <w:rsid w:val="00CF052D"/>
    <w:rsid w:val="00CF0EC0"/>
    <w:rsid w:val="00CF181D"/>
    <w:rsid w:val="00CF1D7D"/>
    <w:rsid w:val="00CF3998"/>
    <w:rsid w:val="00CF4273"/>
    <w:rsid w:val="00CF45D3"/>
    <w:rsid w:val="00CF4D04"/>
    <w:rsid w:val="00CF4E1C"/>
    <w:rsid w:val="00CF52BD"/>
    <w:rsid w:val="00CF6B6C"/>
    <w:rsid w:val="00CF7B6B"/>
    <w:rsid w:val="00D0069F"/>
    <w:rsid w:val="00D00804"/>
    <w:rsid w:val="00D00C58"/>
    <w:rsid w:val="00D01094"/>
    <w:rsid w:val="00D01EA5"/>
    <w:rsid w:val="00D02978"/>
    <w:rsid w:val="00D031F5"/>
    <w:rsid w:val="00D03A57"/>
    <w:rsid w:val="00D03F5E"/>
    <w:rsid w:val="00D042BB"/>
    <w:rsid w:val="00D04D9F"/>
    <w:rsid w:val="00D06321"/>
    <w:rsid w:val="00D0642F"/>
    <w:rsid w:val="00D06CA0"/>
    <w:rsid w:val="00D06DB7"/>
    <w:rsid w:val="00D0707C"/>
    <w:rsid w:val="00D07E06"/>
    <w:rsid w:val="00D108E6"/>
    <w:rsid w:val="00D11ED7"/>
    <w:rsid w:val="00D123AA"/>
    <w:rsid w:val="00D12F56"/>
    <w:rsid w:val="00D1312A"/>
    <w:rsid w:val="00D13159"/>
    <w:rsid w:val="00D13814"/>
    <w:rsid w:val="00D1412C"/>
    <w:rsid w:val="00D14390"/>
    <w:rsid w:val="00D14BA9"/>
    <w:rsid w:val="00D17789"/>
    <w:rsid w:val="00D21565"/>
    <w:rsid w:val="00D228B8"/>
    <w:rsid w:val="00D2737E"/>
    <w:rsid w:val="00D274A9"/>
    <w:rsid w:val="00D27F98"/>
    <w:rsid w:val="00D30750"/>
    <w:rsid w:val="00D32644"/>
    <w:rsid w:val="00D3357A"/>
    <w:rsid w:val="00D33619"/>
    <w:rsid w:val="00D3586F"/>
    <w:rsid w:val="00D40C02"/>
    <w:rsid w:val="00D427A6"/>
    <w:rsid w:val="00D42AFE"/>
    <w:rsid w:val="00D45390"/>
    <w:rsid w:val="00D46323"/>
    <w:rsid w:val="00D47571"/>
    <w:rsid w:val="00D475A2"/>
    <w:rsid w:val="00D5015D"/>
    <w:rsid w:val="00D52355"/>
    <w:rsid w:val="00D52AC7"/>
    <w:rsid w:val="00D53360"/>
    <w:rsid w:val="00D54CA9"/>
    <w:rsid w:val="00D5571D"/>
    <w:rsid w:val="00D55EA9"/>
    <w:rsid w:val="00D563D9"/>
    <w:rsid w:val="00D6188C"/>
    <w:rsid w:val="00D61959"/>
    <w:rsid w:val="00D62168"/>
    <w:rsid w:val="00D632A4"/>
    <w:rsid w:val="00D6340F"/>
    <w:rsid w:val="00D63705"/>
    <w:rsid w:val="00D64BDF"/>
    <w:rsid w:val="00D6781D"/>
    <w:rsid w:val="00D67A40"/>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998"/>
    <w:rsid w:val="00D95C7F"/>
    <w:rsid w:val="00D96519"/>
    <w:rsid w:val="00D969C9"/>
    <w:rsid w:val="00DA0DAE"/>
    <w:rsid w:val="00DA1A98"/>
    <w:rsid w:val="00DA2E2B"/>
    <w:rsid w:val="00DA3DE4"/>
    <w:rsid w:val="00DA69DE"/>
    <w:rsid w:val="00DB1083"/>
    <w:rsid w:val="00DB1F2D"/>
    <w:rsid w:val="00DB322C"/>
    <w:rsid w:val="00DB4BB7"/>
    <w:rsid w:val="00DB5C0A"/>
    <w:rsid w:val="00DB6DAF"/>
    <w:rsid w:val="00DB7500"/>
    <w:rsid w:val="00DC0AF1"/>
    <w:rsid w:val="00DC1B90"/>
    <w:rsid w:val="00DC20B8"/>
    <w:rsid w:val="00DC2393"/>
    <w:rsid w:val="00DC2414"/>
    <w:rsid w:val="00DC588B"/>
    <w:rsid w:val="00DC64BF"/>
    <w:rsid w:val="00DD13E2"/>
    <w:rsid w:val="00DD2FA4"/>
    <w:rsid w:val="00DD6CBE"/>
    <w:rsid w:val="00DD7977"/>
    <w:rsid w:val="00DE07ED"/>
    <w:rsid w:val="00DE34FF"/>
    <w:rsid w:val="00DE3CE4"/>
    <w:rsid w:val="00DE5F24"/>
    <w:rsid w:val="00DF003C"/>
    <w:rsid w:val="00DF00D4"/>
    <w:rsid w:val="00DF270F"/>
    <w:rsid w:val="00DF34F5"/>
    <w:rsid w:val="00DF3BEE"/>
    <w:rsid w:val="00DF4501"/>
    <w:rsid w:val="00DF7233"/>
    <w:rsid w:val="00DF7781"/>
    <w:rsid w:val="00DF78AE"/>
    <w:rsid w:val="00E033F2"/>
    <w:rsid w:val="00E0462A"/>
    <w:rsid w:val="00E04A8B"/>
    <w:rsid w:val="00E04DB7"/>
    <w:rsid w:val="00E04F5E"/>
    <w:rsid w:val="00E06616"/>
    <w:rsid w:val="00E07CC2"/>
    <w:rsid w:val="00E10093"/>
    <w:rsid w:val="00E10D00"/>
    <w:rsid w:val="00E11E2E"/>
    <w:rsid w:val="00E125A7"/>
    <w:rsid w:val="00E125CA"/>
    <w:rsid w:val="00E129EF"/>
    <w:rsid w:val="00E134EE"/>
    <w:rsid w:val="00E14B17"/>
    <w:rsid w:val="00E14EAE"/>
    <w:rsid w:val="00E16394"/>
    <w:rsid w:val="00E20027"/>
    <w:rsid w:val="00E2053B"/>
    <w:rsid w:val="00E22571"/>
    <w:rsid w:val="00E238A2"/>
    <w:rsid w:val="00E25156"/>
    <w:rsid w:val="00E2518F"/>
    <w:rsid w:val="00E25242"/>
    <w:rsid w:val="00E25AAC"/>
    <w:rsid w:val="00E2730D"/>
    <w:rsid w:val="00E279B9"/>
    <w:rsid w:val="00E301D0"/>
    <w:rsid w:val="00E30CA9"/>
    <w:rsid w:val="00E31B09"/>
    <w:rsid w:val="00E31D0F"/>
    <w:rsid w:val="00E33AAA"/>
    <w:rsid w:val="00E33CB8"/>
    <w:rsid w:val="00E33F0E"/>
    <w:rsid w:val="00E3619E"/>
    <w:rsid w:val="00E368E3"/>
    <w:rsid w:val="00E36C8F"/>
    <w:rsid w:val="00E371EC"/>
    <w:rsid w:val="00E379D8"/>
    <w:rsid w:val="00E37EB7"/>
    <w:rsid w:val="00E37F6B"/>
    <w:rsid w:val="00E40095"/>
    <w:rsid w:val="00E404C5"/>
    <w:rsid w:val="00E40A10"/>
    <w:rsid w:val="00E41CCA"/>
    <w:rsid w:val="00E4238A"/>
    <w:rsid w:val="00E42DA5"/>
    <w:rsid w:val="00E4736B"/>
    <w:rsid w:val="00E47558"/>
    <w:rsid w:val="00E47F81"/>
    <w:rsid w:val="00E51EF9"/>
    <w:rsid w:val="00E52087"/>
    <w:rsid w:val="00E52965"/>
    <w:rsid w:val="00E53400"/>
    <w:rsid w:val="00E538D1"/>
    <w:rsid w:val="00E54816"/>
    <w:rsid w:val="00E5512E"/>
    <w:rsid w:val="00E55E60"/>
    <w:rsid w:val="00E56594"/>
    <w:rsid w:val="00E578DF"/>
    <w:rsid w:val="00E57D18"/>
    <w:rsid w:val="00E605C2"/>
    <w:rsid w:val="00E60761"/>
    <w:rsid w:val="00E6129C"/>
    <w:rsid w:val="00E644A0"/>
    <w:rsid w:val="00E662D7"/>
    <w:rsid w:val="00E667D2"/>
    <w:rsid w:val="00E67395"/>
    <w:rsid w:val="00E67549"/>
    <w:rsid w:val="00E67670"/>
    <w:rsid w:val="00E71FCE"/>
    <w:rsid w:val="00E7206B"/>
    <w:rsid w:val="00E72707"/>
    <w:rsid w:val="00E72AE3"/>
    <w:rsid w:val="00E7349C"/>
    <w:rsid w:val="00E73B51"/>
    <w:rsid w:val="00E75790"/>
    <w:rsid w:val="00E80180"/>
    <w:rsid w:val="00E8129E"/>
    <w:rsid w:val="00E814CD"/>
    <w:rsid w:val="00E8178E"/>
    <w:rsid w:val="00E81A2B"/>
    <w:rsid w:val="00E81C84"/>
    <w:rsid w:val="00E81DE2"/>
    <w:rsid w:val="00E81E42"/>
    <w:rsid w:val="00E82187"/>
    <w:rsid w:val="00E848DB"/>
    <w:rsid w:val="00E86140"/>
    <w:rsid w:val="00E86936"/>
    <w:rsid w:val="00E86D59"/>
    <w:rsid w:val="00E87407"/>
    <w:rsid w:val="00E91243"/>
    <w:rsid w:val="00E9258F"/>
    <w:rsid w:val="00E93E68"/>
    <w:rsid w:val="00E944BC"/>
    <w:rsid w:val="00E958D7"/>
    <w:rsid w:val="00E97312"/>
    <w:rsid w:val="00E97676"/>
    <w:rsid w:val="00EA1CE1"/>
    <w:rsid w:val="00EA1F89"/>
    <w:rsid w:val="00EA44B5"/>
    <w:rsid w:val="00EA5439"/>
    <w:rsid w:val="00EA72C0"/>
    <w:rsid w:val="00EA7A5C"/>
    <w:rsid w:val="00EB008E"/>
    <w:rsid w:val="00EB08A0"/>
    <w:rsid w:val="00EB0C4D"/>
    <w:rsid w:val="00EB117B"/>
    <w:rsid w:val="00EB2E85"/>
    <w:rsid w:val="00EB4095"/>
    <w:rsid w:val="00EB40D6"/>
    <w:rsid w:val="00EB49F7"/>
    <w:rsid w:val="00EB4BF4"/>
    <w:rsid w:val="00EB5F75"/>
    <w:rsid w:val="00EB685E"/>
    <w:rsid w:val="00EB74D1"/>
    <w:rsid w:val="00EB7852"/>
    <w:rsid w:val="00EB79CD"/>
    <w:rsid w:val="00EC060D"/>
    <w:rsid w:val="00EC2174"/>
    <w:rsid w:val="00EC2525"/>
    <w:rsid w:val="00EC3E9E"/>
    <w:rsid w:val="00EC4481"/>
    <w:rsid w:val="00EC49A4"/>
    <w:rsid w:val="00ED31FA"/>
    <w:rsid w:val="00ED4BC1"/>
    <w:rsid w:val="00ED50C1"/>
    <w:rsid w:val="00ED5A50"/>
    <w:rsid w:val="00ED5DF8"/>
    <w:rsid w:val="00ED6A44"/>
    <w:rsid w:val="00EE066D"/>
    <w:rsid w:val="00EE0713"/>
    <w:rsid w:val="00EE07A6"/>
    <w:rsid w:val="00EE0F2E"/>
    <w:rsid w:val="00EE2A41"/>
    <w:rsid w:val="00EE3337"/>
    <w:rsid w:val="00EE4E10"/>
    <w:rsid w:val="00EE520C"/>
    <w:rsid w:val="00EE525B"/>
    <w:rsid w:val="00EE633C"/>
    <w:rsid w:val="00EE7287"/>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3B6A"/>
    <w:rsid w:val="00F04089"/>
    <w:rsid w:val="00F05B66"/>
    <w:rsid w:val="00F05C2F"/>
    <w:rsid w:val="00F06275"/>
    <w:rsid w:val="00F06472"/>
    <w:rsid w:val="00F068E1"/>
    <w:rsid w:val="00F07362"/>
    <w:rsid w:val="00F1169F"/>
    <w:rsid w:val="00F123EC"/>
    <w:rsid w:val="00F15FB1"/>
    <w:rsid w:val="00F16331"/>
    <w:rsid w:val="00F20198"/>
    <w:rsid w:val="00F22566"/>
    <w:rsid w:val="00F22963"/>
    <w:rsid w:val="00F2436E"/>
    <w:rsid w:val="00F25862"/>
    <w:rsid w:val="00F310D2"/>
    <w:rsid w:val="00F31705"/>
    <w:rsid w:val="00F31A1A"/>
    <w:rsid w:val="00F35C78"/>
    <w:rsid w:val="00F35EB1"/>
    <w:rsid w:val="00F36FD9"/>
    <w:rsid w:val="00F37770"/>
    <w:rsid w:val="00F378B2"/>
    <w:rsid w:val="00F403EA"/>
    <w:rsid w:val="00F40B51"/>
    <w:rsid w:val="00F40E4D"/>
    <w:rsid w:val="00F40FD8"/>
    <w:rsid w:val="00F417E1"/>
    <w:rsid w:val="00F42499"/>
    <w:rsid w:val="00F42753"/>
    <w:rsid w:val="00F42B2A"/>
    <w:rsid w:val="00F46CE7"/>
    <w:rsid w:val="00F510DB"/>
    <w:rsid w:val="00F5260F"/>
    <w:rsid w:val="00F546CD"/>
    <w:rsid w:val="00F5595C"/>
    <w:rsid w:val="00F5694B"/>
    <w:rsid w:val="00F571D4"/>
    <w:rsid w:val="00F604E0"/>
    <w:rsid w:val="00F6442C"/>
    <w:rsid w:val="00F6463E"/>
    <w:rsid w:val="00F64A83"/>
    <w:rsid w:val="00F64E3D"/>
    <w:rsid w:val="00F6501E"/>
    <w:rsid w:val="00F66D27"/>
    <w:rsid w:val="00F70615"/>
    <w:rsid w:val="00F716FA"/>
    <w:rsid w:val="00F71969"/>
    <w:rsid w:val="00F72722"/>
    <w:rsid w:val="00F727B0"/>
    <w:rsid w:val="00F72E08"/>
    <w:rsid w:val="00F74DC9"/>
    <w:rsid w:val="00F7575C"/>
    <w:rsid w:val="00F7598B"/>
    <w:rsid w:val="00F761B1"/>
    <w:rsid w:val="00F76CC5"/>
    <w:rsid w:val="00F81BD5"/>
    <w:rsid w:val="00F82098"/>
    <w:rsid w:val="00F83C01"/>
    <w:rsid w:val="00F85EFE"/>
    <w:rsid w:val="00F87ADD"/>
    <w:rsid w:val="00F87D1E"/>
    <w:rsid w:val="00F907A0"/>
    <w:rsid w:val="00F914FD"/>
    <w:rsid w:val="00F9164E"/>
    <w:rsid w:val="00F952BF"/>
    <w:rsid w:val="00F95515"/>
    <w:rsid w:val="00F974AA"/>
    <w:rsid w:val="00FA103A"/>
    <w:rsid w:val="00FA2545"/>
    <w:rsid w:val="00FA2729"/>
    <w:rsid w:val="00FA4C7E"/>
    <w:rsid w:val="00FA7CFC"/>
    <w:rsid w:val="00FB03BA"/>
    <w:rsid w:val="00FB097C"/>
    <w:rsid w:val="00FB21C2"/>
    <w:rsid w:val="00FB39ED"/>
    <w:rsid w:val="00FB3DE5"/>
    <w:rsid w:val="00FB4AAD"/>
    <w:rsid w:val="00FB4E3D"/>
    <w:rsid w:val="00FB55F3"/>
    <w:rsid w:val="00FB5A22"/>
    <w:rsid w:val="00FB5F2A"/>
    <w:rsid w:val="00FB62A3"/>
    <w:rsid w:val="00FB6639"/>
    <w:rsid w:val="00FB69F5"/>
    <w:rsid w:val="00FC1407"/>
    <w:rsid w:val="00FC22E1"/>
    <w:rsid w:val="00FC2C8C"/>
    <w:rsid w:val="00FC4F9B"/>
    <w:rsid w:val="00FC5068"/>
    <w:rsid w:val="00FC59F0"/>
    <w:rsid w:val="00FC5F82"/>
    <w:rsid w:val="00FD01CA"/>
    <w:rsid w:val="00FD21A8"/>
    <w:rsid w:val="00FD4599"/>
    <w:rsid w:val="00FD4784"/>
    <w:rsid w:val="00FD4FE7"/>
    <w:rsid w:val="00FD65FE"/>
    <w:rsid w:val="00FD6B22"/>
    <w:rsid w:val="00FD725C"/>
    <w:rsid w:val="00FD7FAE"/>
    <w:rsid w:val="00FE0FAF"/>
    <w:rsid w:val="00FE35B1"/>
    <w:rsid w:val="00FE3C36"/>
    <w:rsid w:val="00FE427F"/>
    <w:rsid w:val="00FE45DB"/>
    <w:rsid w:val="00FE72EA"/>
    <w:rsid w:val="00FF0402"/>
    <w:rsid w:val="00FF0483"/>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
    <w:name w:val="Unresolved Mention"/>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
    <w:name w:val="Unresolved Mention2"/>
    <w:basedOn w:val="Fuentedeprrafopredeter"/>
    <w:uiPriority w:val="99"/>
    <w:semiHidden/>
    <w:unhideWhenUsed/>
    <w:rsid w:val="00415B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38991">
      <w:bodyDiv w:val="1"/>
      <w:marLeft w:val="0"/>
      <w:marRight w:val="0"/>
      <w:marTop w:val="0"/>
      <w:marBottom w:val="0"/>
      <w:divBdr>
        <w:top w:val="none" w:sz="0" w:space="0" w:color="auto"/>
        <w:left w:val="none" w:sz="0" w:space="0" w:color="auto"/>
        <w:bottom w:val="none" w:sz="0" w:space="0" w:color="auto"/>
        <w:right w:val="none" w:sz="0" w:space="0" w:color="auto"/>
      </w:divBdr>
    </w:div>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573517264">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902C5-0AD6-4BED-8E75-07DA0B0D7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27</Pages>
  <Words>5000</Words>
  <Characters>27502</Characters>
  <Application>Microsoft Office Word</Application>
  <DocSecurity>0</DocSecurity>
  <Lines>229</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8</cp:revision>
  <cp:lastPrinted>2018-12-04T20:35:00Z</cp:lastPrinted>
  <dcterms:created xsi:type="dcterms:W3CDTF">2025-04-21T15:45:00Z</dcterms:created>
  <dcterms:modified xsi:type="dcterms:W3CDTF">2025-05-13T18:58:00Z</dcterms:modified>
</cp:coreProperties>
</file>