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427D6" w14:textId="77777777" w:rsidR="0072148B" w:rsidRPr="00CC3D1B" w:rsidRDefault="00A077F4" w:rsidP="00BC6E92">
      <w:pPr>
        <w:tabs>
          <w:tab w:val="left" w:pos="3465"/>
        </w:tabs>
        <w:spacing w:line="360" w:lineRule="auto"/>
        <w:jc w:val="both"/>
        <w:rPr>
          <w:rFonts w:ascii="Palatino Linotype" w:eastAsia="Palatino Linotype" w:hAnsi="Palatino Linotype" w:cs="Palatino Linotype"/>
        </w:rPr>
      </w:pPr>
      <w:bookmarkStart w:id="0" w:name="_GoBack"/>
      <w:bookmarkEnd w:id="0"/>
      <w:r w:rsidRPr="00CC3D1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CC3D1B">
        <w:rPr>
          <w:rFonts w:ascii="Palatino Linotype" w:eastAsia="Palatino Linotype" w:hAnsi="Palatino Linotype" w:cs="Palatino Linotype"/>
          <w:b/>
        </w:rPr>
        <w:t xml:space="preserve">de fecha </w:t>
      </w:r>
      <w:r w:rsidR="00C85467" w:rsidRPr="00CC3D1B">
        <w:rPr>
          <w:rFonts w:ascii="Palatino Linotype" w:eastAsia="Palatino Linotype" w:hAnsi="Palatino Linotype" w:cs="Palatino Linotype"/>
          <w:b/>
        </w:rPr>
        <w:t>veintisiete (27</w:t>
      </w:r>
      <w:r w:rsidR="00BD6DC1" w:rsidRPr="00CC3D1B">
        <w:rPr>
          <w:rFonts w:ascii="Palatino Linotype" w:eastAsia="Palatino Linotype" w:hAnsi="Palatino Linotype" w:cs="Palatino Linotype"/>
          <w:b/>
        </w:rPr>
        <w:t>) de agosto</w:t>
      </w:r>
      <w:r w:rsidRPr="00CC3D1B">
        <w:rPr>
          <w:rFonts w:ascii="Palatino Linotype" w:eastAsia="Palatino Linotype" w:hAnsi="Palatino Linotype" w:cs="Palatino Linotype"/>
          <w:b/>
        </w:rPr>
        <w:t xml:space="preserve"> de dos mil veinticinco</w:t>
      </w:r>
      <w:r w:rsidRPr="00CC3D1B">
        <w:rPr>
          <w:rFonts w:ascii="Palatino Linotype" w:eastAsia="Palatino Linotype" w:hAnsi="Palatino Linotype" w:cs="Palatino Linotype"/>
        </w:rPr>
        <w:t>.</w:t>
      </w:r>
    </w:p>
    <w:p w14:paraId="620907E5" w14:textId="77777777" w:rsidR="0072148B" w:rsidRPr="00CC3D1B" w:rsidRDefault="0072148B" w:rsidP="00BC6E92">
      <w:pPr>
        <w:tabs>
          <w:tab w:val="left" w:pos="3465"/>
        </w:tabs>
        <w:spacing w:line="360" w:lineRule="auto"/>
        <w:jc w:val="both"/>
        <w:rPr>
          <w:rFonts w:ascii="Palatino Linotype" w:eastAsia="Palatino Linotype" w:hAnsi="Palatino Linotype" w:cs="Palatino Linotype"/>
        </w:rPr>
      </w:pPr>
    </w:p>
    <w:p w14:paraId="0F80BD27" w14:textId="745A380C" w:rsidR="0072148B" w:rsidRPr="00CC3D1B" w:rsidRDefault="00A077F4" w:rsidP="00BC6E92">
      <w:pPr>
        <w:spacing w:line="360" w:lineRule="auto"/>
        <w:jc w:val="both"/>
        <w:rPr>
          <w:rFonts w:ascii="Palatino Linotype" w:eastAsia="Palatino Linotype" w:hAnsi="Palatino Linotype" w:cs="Palatino Linotype"/>
        </w:rPr>
      </w:pPr>
      <w:r w:rsidRPr="00CC3D1B">
        <w:rPr>
          <w:rFonts w:ascii="Palatino Linotype" w:eastAsia="Palatino Linotype" w:hAnsi="Palatino Linotype" w:cs="Palatino Linotype"/>
          <w:b/>
        </w:rPr>
        <w:t xml:space="preserve">VISTAS </w:t>
      </w:r>
      <w:r w:rsidRPr="00CC3D1B">
        <w:rPr>
          <w:rFonts w:ascii="Palatino Linotype" w:eastAsia="Palatino Linotype" w:hAnsi="Palatino Linotype" w:cs="Palatino Linotype"/>
        </w:rPr>
        <w:t xml:space="preserve">las constancias para resolver </w:t>
      </w:r>
      <w:r w:rsidR="002C4BEC" w:rsidRPr="00CC3D1B">
        <w:rPr>
          <w:rFonts w:ascii="Palatino Linotype" w:eastAsia="Palatino Linotype" w:hAnsi="Palatino Linotype" w:cs="Palatino Linotype"/>
          <w:color w:val="000000"/>
        </w:rPr>
        <w:t>el Recurso</w:t>
      </w:r>
      <w:r w:rsidRPr="00CC3D1B">
        <w:rPr>
          <w:rFonts w:ascii="Palatino Linotype" w:eastAsia="Palatino Linotype" w:hAnsi="Palatino Linotype" w:cs="Palatino Linotype"/>
          <w:color w:val="000000"/>
        </w:rPr>
        <w:t xml:space="preserve"> de Revisión </w:t>
      </w:r>
      <w:r w:rsidR="006C1B33" w:rsidRPr="00CC3D1B">
        <w:rPr>
          <w:rFonts w:ascii="Palatino Linotype" w:eastAsia="Palatino Linotype" w:hAnsi="Palatino Linotype" w:cs="Palatino Linotype"/>
          <w:b/>
          <w:color w:val="000000"/>
        </w:rPr>
        <w:t>03813</w:t>
      </w:r>
      <w:r w:rsidRPr="00CC3D1B">
        <w:rPr>
          <w:rFonts w:ascii="Palatino Linotype" w:eastAsia="Palatino Linotype" w:hAnsi="Palatino Linotype" w:cs="Palatino Linotype"/>
          <w:b/>
          <w:color w:val="000000"/>
        </w:rPr>
        <w:t>/INFOEM/IP/RR/2025</w:t>
      </w:r>
      <w:r w:rsidR="002C4BEC" w:rsidRPr="00CC3D1B">
        <w:rPr>
          <w:rFonts w:ascii="Palatino Linotype" w:eastAsia="Palatino Linotype" w:hAnsi="Palatino Linotype" w:cs="Palatino Linotype"/>
          <w:color w:val="000000"/>
        </w:rPr>
        <w:t>, promovido</w:t>
      </w:r>
      <w:r w:rsidRPr="00CC3D1B">
        <w:rPr>
          <w:rFonts w:ascii="Palatino Linotype" w:eastAsia="Palatino Linotype" w:hAnsi="Palatino Linotype" w:cs="Palatino Linotype"/>
          <w:color w:val="000000"/>
        </w:rPr>
        <w:t xml:space="preserve"> por </w:t>
      </w:r>
      <w:r w:rsidR="008A012C">
        <w:rPr>
          <w:rFonts w:ascii="Palatino Linotype" w:eastAsia="Palatino Linotype" w:hAnsi="Palatino Linotype" w:cs="Palatino Linotype"/>
          <w:b/>
          <w:bCs/>
          <w:color w:val="000000"/>
        </w:rPr>
        <w:t>XXXX</w:t>
      </w:r>
      <w:r w:rsidRPr="00CC3D1B">
        <w:rPr>
          <w:rFonts w:ascii="Palatino Linotype" w:eastAsia="Palatino Linotype" w:hAnsi="Palatino Linotype" w:cs="Palatino Linotype"/>
          <w:color w:val="000000"/>
        </w:rPr>
        <w:t>,</w:t>
      </w:r>
      <w:r w:rsidRPr="00CC3D1B">
        <w:rPr>
          <w:rFonts w:ascii="Palatino Linotype" w:eastAsia="Palatino Linotype" w:hAnsi="Palatino Linotype" w:cs="Palatino Linotype"/>
        </w:rPr>
        <w:t xml:space="preserve"> en lo sucesivo </w:t>
      </w:r>
      <w:r w:rsidRPr="00CC3D1B">
        <w:rPr>
          <w:rFonts w:ascii="Palatino Linotype" w:eastAsia="Palatino Linotype" w:hAnsi="Palatino Linotype" w:cs="Palatino Linotype"/>
          <w:b/>
        </w:rPr>
        <w:t>EL RECURRENTE</w:t>
      </w:r>
      <w:r w:rsidRPr="00CC3D1B">
        <w:rPr>
          <w:rFonts w:ascii="Palatino Linotype" w:eastAsia="Palatino Linotype" w:hAnsi="Palatino Linotype" w:cs="Palatino Linotype"/>
        </w:rPr>
        <w:t>, en contr</w:t>
      </w:r>
      <w:r w:rsidR="002C4BEC" w:rsidRPr="00CC3D1B">
        <w:rPr>
          <w:rFonts w:ascii="Palatino Linotype" w:eastAsia="Palatino Linotype" w:hAnsi="Palatino Linotype" w:cs="Palatino Linotype"/>
        </w:rPr>
        <w:t>a de la respuesta otorgada a la solicitud</w:t>
      </w:r>
      <w:r w:rsidRPr="00CC3D1B">
        <w:rPr>
          <w:rFonts w:ascii="Palatino Linotype" w:eastAsia="Palatino Linotype" w:hAnsi="Palatino Linotype" w:cs="Palatino Linotype"/>
        </w:rPr>
        <w:t xml:space="preserve"> de información </w:t>
      </w:r>
      <w:r w:rsidR="006C1B33" w:rsidRPr="00CC3D1B">
        <w:rPr>
          <w:rFonts w:ascii="Palatino Linotype" w:eastAsia="Palatino Linotype" w:hAnsi="Palatino Linotype" w:cs="Palatino Linotype"/>
          <w:b/>
        </w:rPr>
        <w:t>00147/OTZOLOTE/IP/2025</w:t>
      </w:r>
      <w:r w:rsidRPr="00CC3D1B">
        <w:rPr>
          <w:rFonts w:ascii="Palatino Linotype" w:eastAsia="Palatino Linotype" w:hAnsi="Palatino Linotype" w:cs="Palatino Linotype"/>
        </w:rPr>
        <w:t xml:space="preserve">, por parte del </w:t>
      </w:r>
      <w:r w:rsidR="00385C23" w:rsidRPr="00CC3D1B">
        <w:rPr>
          <w:rFonts w:ascii="Palatino Linotype" w:eastAsia="Palatino Linotype" w:hAnsi="Palatino Linotype" w:cs="Palatino Linotype"/>
          <w:b/>
        </w:rPr>
        <w:t xml:space="preserve">Ayuntamiento de </w:t>
      </w:r>
      <w:r w:rsidR="006C1B33" w:rsidRPr="00CC3D1B">
        <w:rPr>
          <w:rFonts w:ascii="Palatino Linotype" w:eastAsia="Palatino Linotype" w:hAnsi="Palatino Linotype" w:cs="Palatino Linotype"/>
          <w:b/>
        </w:rPr>
        <w:t>Otzolotepec</w:t>
      </w:r>
      <w:r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rPr>
        <w:t xml:space="preserve">en adelante el </w:t>
      </w:r>
      <w:r w:rsidRPr="00CC3D1B">
        <w:rPr>
          <w:rFonts w:ascii="Palatino Linotype" w:eastAsia="Palatino Linotype" w:hAnsi="Palatino Linotype" w:cs="Palatino Linotype"/>
          <w:b/>
        </w:rPr>
        <w:t>SUJETO OBLIGADO</w:t>
      </w:r>
      <w:r w:rsidRPr="00CC3D1B">
        <w:rPr>
          <w:rFonts w:ascii="Palatino Linotype" w:eastAsia="Palatino Linotype" w:hAnsi="Palatino Linotype" w:cs="Palatino Linotype"/>
        </w:rPr>
        <w:t>, se emite la presente resolución con base en los siguientes:</w:t>
      </w:r>
    </w:p>
    <w:p w14:paraId="58E5364A" w14:textId="77777777" w:rsidR="0072148B" w:rsidRPr="00CC3D1B" w:rsidRDefault="0072148B" w:rsidP="00BC6E92">
      <w:pPr>
        <w:spacing w:line="360" w:lineRule="auto"/>
        <w:jc w:val="both"/>
        <w:rPr>
          <w:rFonts w:ascii="Palatino Linotype" w:eastAsia="Palatino Linotype" w:hAnsi="Palatino Linotype" w:cs="Palatino Linotype"/>
        </w:rPr>
      </w:pPr>
    </w:p>
    <w:p w14:paraId="6C60ACC4" w14:textId="77777777" w:rsidR="0072148B" w:rsidRPr="00CC3D1B" w:rsidRDefault="00A077F4" w:rsidP="00BC6E92">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CC3D1B">
        <w:rPr>
          <w:rFonts w:ascii="Palatino Linotype" w:eastAsia="Palatino Linotype" w:hAnsi="Palatino Linotype" w:cs="Palatino Linotype"/>
          <w:b/>
          <w:color w:val="000000"/>
          <w:sz w:val="24"/>
          <w:szCs w:val="24"/>
        </w:rPr>
        <w:t>A N T E C E D E N T E S</w:t>
      </w:r>
    </w:p>
    <w:p w14:paraId="53D0CD05" w14:textId="77777777" w:rsidR="0072148B" w:rsidRPr="00CC3D1B" w:rsidRDefault="0072148B" w:rsidP="00BC6E92">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p>
    <w:p w14:paraId="0C560F5D" w14:textId="77777777" w:rsidR="0072148B" w:rsidRPr="00CC3D1B" w:rsidRDefault="00A077F4" w:rsidP="00BC6E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 xml:space="preserve">El </w:t>
      </w:r>
      <w:r w:rsidR="006C1B33" w:rsidRPr="00CC3D1B">
        <w:rPr>
          <w:rFonts w:ascii="Palatino Linotype" w:eastAsia="Palatino Linotype" w:hAnsi="Palatino Linotype" w:cs="Palatino Linotype"/>
          <w:b/>
          <w:color w:val="000000"/>
        </w:rPr>
        <w:t>diecinueve</w:t>
      </w:r>
      <w:r w:rsidR="00CD3296" w:rsidRPr="00CC3D1B">
        <w:rPr>
          <w:rFonts w:ascii="Palatino Linotype" w:eastAsia="Palatino Linotype" w:hAnsi="Palatino Linotype" w:cs="Palatino Linotype"/>
          <w:b/>
          <w:color w:val="000000"/>
        </w:rPr>
        <w:t xml:space="preserve"> de marzo</w:t>
      </w:r>
      <w:r w:rsidRPr="00CC3D1B">
        <w:rPr>
          <w:rFonts w:ascii="Palatino Linotype" w:eastAsia="Palatino Linotype" w:hAnsi="Palatino Linotype" w:cs="Palatino Linotype"/>
          <w:b/>
          <w:color w:val="000000"/>
        </w:rPr>
        <w:t xml:space="preserve"> de dos mil veinticinco</w:t>
      </w:r>
      <w:r w:rsidRPr="00CC3D1B">
        <w:rPr>
          <w:rFonts w:ascii="Palatino Linotype" w:eastAsia="Palatino Linotype" w:hAnsi="Palatino Linotype" w:cs="Palatino Linotype"/>
          <w:color w:val="000000"/>
        </w:rPr>
        <w:t>,</w:t>
      </w:r>
      <w:r w:rsidRPr="00CC3D1B">
        <w:rPr>
          <w:rFonts w:ascii="Palatino Linotype" w:eastAsia="Palatino Linotype" w:hAnsi="Palatino Linotype" w:cs="Palatino Linotype"/>
          <w:b/>
          <w:color w:val="000000"/>
        </w:rPr>
        <w:t xml:space="preserve"> </w:t>
      </w:r>
      <w:r w:rsidRPr="00CC3D1B">
        <w:rPr>
          <w:rFonts w:ascii="Palatino Linotype" w:eastAsia="Palatino Linotype" w:hAnsi="Palatino Linotype" w:cs="Palatino Linotype"/>
          <w:color w:val="000000"/>
        </w:rPr>
        <w:t>se presentó ante el Sujeto Obligado vía Sistema de Acceso a la Información Mex</w:t>
      </w:r>
      <w:r w:rsidR="002C4BEC" w:rsidRPr="00CC3D1B">
        <w:rPr>
          <w:rFonts w:ascii="Palatino Linotype" w:eastAsia="Palatino Linotype" w:hAnsi="Palatino Linotype" w:cs="Palatino Linotype"/>
          <w:color w:val="000000"/>
        </w:rPr>
        <w:t xml:space="preserve">iquense, en adelante SAIMEX, la siguiente </w:t>
      </w:r>
      <w:r w:rsidR="002C4BEC" w:rsidRPr="00CC3D1B">
        <w:rPr>
          <w:rFonts w:ascii="Palatino Linotype" w:eastAsia="Palatino Linotype" w:hAnsi="Palatino Linotype" w:cs="Palatino Linotype"/>
          <w:b/>
          <w:color w:val="000000"/>
        </w:rPr>
        <w:t xml:space="preserve">solicitud </w:t>
      </w:r>
      <w:r w:rsidRPr="00CC3D1B">
        <w:rPr>
          <w:rFonts w:ascii="Palatino Linotype" w:eastAsia="Palatino Linotype" w:hAnsi="Palatino Linotype" w:cs="Palatino Linotype"/>
          <w:b/>
          <w:color w:val="000000"/>
        </w:rPr>
        <w:t>de información pública</w:t>
      </w:r>
      <w:r w:rsidRPr="00CC3D1B">
        <w:rPr>
          <w:rFonts w:ascii="Palatino Linotype" w:eastAsia="Palatino Linotype" w:hAnsi="Palatino Linotype" w:cs="Palatino Linotype"/>
          <w:color w:val="000000"/>
        </w:rPr>
        <w:t>:</w:t>
      </w:r>
    </w:p>
    <w:p w14:paraId="5C980E64" w14:textId="77777777" w:rsidR="0072148B" w:rsidRPr="00CC3D1B" w:rsidRDefault="0072148B" w:rsidP="00BC6E92">
      <w:pPr>
        <w:pBdr>
          <w:top w:val="nil"/>
          <w:left w:val="nil"/>
          <w:bottom w:val="nil"/>
          <w:right w:val="nil"/>
          <w:between w:val="nil"/>
        </w:pBdr>
        <w:jc w:val="both"/>
        <w:rPr>
          <w:rFonts w:ascii="Palatino Linotype" w:eastAsia="Palatino Linotype" w:hAnsi="Palatino Linotype" w:cs="Palatino Linotype"/>
          <w:color w:val="000000"/>
        </w:rPr>
      </w:pPr>
    </w:p>
    <w:p w14:paraId="506D0797" w14:textId="77777777" w:rsidR="0072148B" w:rsidRPr="00CC3D1B" w:rsidRDefault="002C4BEC" w:rsidP="00BC6E92">
      <w:pPr>
        <w:pBdr>
          <w:top w:val="nil"/>
          <w:left w:val="nil"/>
          <w:bottom w:val="nil"/>
          <w:right w:val="nil"/>
          <w:between w:val="nil"/>
        </w:pBd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t xml:space="preserve"> </w:t>
      </w:r>
      <w:r w:rsidR="00223B24" w:rsidRPr="00CC3D1B">
        <w:rPr>
          <w:rFonts w:ascii="Palatino Linotype" w:eastAsia="Palatino Linotype" w:hAnsi="Palatino Linotype" w:cs="Palatino Linotype"/>
          <w:i/>
          <w:color w:val="000000"/>
        </w:rPr>
        <w:t>“</w:t>
      </w:r>
      <w:r w:rsidR="006C1B33" w:rsidRPr="00CC3D1B">
        <w:rPr>
          <w:rFonts w:ascii="Palatino Linotype" w:eastAsia="Palatino Linotype" w:hAnsi="Palatino Linotype" w:cs="Palatino Linotype"/>
          <w:i/>
          <w:color w:val="000000"/>
        </w:rPr>
        <w:t>Solicito el nombre de los proveedores y contratistas con los que se tenga convenio con el ayuntamiento de la administración 2025-2027</w:t>
      </w:r>
      <w:r w:rsidR="00223B24" w:rsidRPr="00CC3D1B">
        <w:rPr>
          <w:rFonts w:ascii="Palatino Linotype" w:eastAsia="Palatino Linotype" w:hAnsi="Palatino Linotype" w:cs="Palatino Linotype"/>
          <w:i/>
          <w:color w:val="000000"/>
        </w:rPr>
        <w:t>” (Sic)</w:t>
      </w:r>
    </w:p>
    <w:p w14:paraId="01C90FF7" w14:textId="77777777" w:rsidR="00223B24" w:rsidRDefault="00223B24" w:rsidP="00BC6E92">
      <w:pPr>
        <w:pBdr>
          <w:top w:val="nil"/>
          <w:left w:val="nil"/>
          <w:bottom w:val="nil"/>
          <w:right w:val="nil"/>
          <w:between w:val="nil"/>
        </w:pBdr>
        <w:jc w:val="both"/>
        <w:rPr>
          <w:rFonts w:ascii="Palatino Linotype" w:eastAsia="Palatino Linotype" w:hAnsi="Palatino Linotype" w:cs="Palatino Linotype"/>
          <w:i/>
          <w:color w:val="000000"/>
        </w:rPr>
      </w:pPr>
    </w:p>
    <w:p w14:paraId="6F576943" w14:textId="77777777" w:rsidR="00731575" w:rsidRPr="00CC3D1B" w:rsidRDefault="00731575" w:rsidP="00BC6E92">
      <w:pPr>
        <w:pBdr>
          <w:top w:val="nil"/>
          <w:left w:val="nil"/>
          <w:bottom w:val="nil"/>
          <w:right w:val="nil"/>
          <w:between w:val="nil"/>
        </w:pBdr>
        <w:jc w:val="both"/>
        <w:rPr>
          <w:rFonts w:ascii="Palatino Linotype" w:eastAsia="Palatino Linotype" w:hAnsi="Palatino Linotype" w:cs="Palatino Linotype"/>
          <w:i/>
          <w:color w:val="000000"/>
        </w:rPr>
      </w:pPr>
    </w:p>
    <w:p w14:paraId="19761D9F" w14:textId="77777777" w:rsidR="0072148B" w:rsidRPr="00CC3D1B" w:rsidRDefault="00A077F4" w:rsidP="008A01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 xml:space="preserve">Se eligió como modalidad de entrega de la información: A través del </w:t>
      </w:r>
      <w:r w:rsidRPr="00CC3D1B">
        <w:rPr>
          <w:rFonts w:ascii="Palatino Linotype" w:eastAsia="Palatino Linotype" w:hAnsi="Palatino Linotype" w:cs="Palatino Linotype"/>
          <w:b/>
          <w:color w:val="000000"/>
        </w:rPr>
        <w:t>SAIMEX.</w:t>
      </w:r>
    </w:p>
    <w:p w14:paraId="635B1AA7" w14:textId="77777777" w:rsidR="00A87A67" w:rsidRPr="00CC3D1B" w:rsidRDefault="00A87A67" w:rsidP="00BC6E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91A6ADC" w14:textId="77777777" w:rsidR="003E1C35" w:rsidRPr="00CC3D1B" w:rsidRDefault="00A077F4" w:rsidP="00BC6E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El</w:t>
      </w:r>
      <w:r w:rsidRPr="00CC3D1B">
        <w:rPr>
          <w:rFonts w:ascii="Palatino Linotype" w:eastAsia="Palatino Linotype" w:hAnsi="Palatino Linotype" w:cs="Palatino Linotype"/>
          <w:b/>
          <w:color w:val="000000"/>
        </w:rPr>
        <w:t xml:space="preserve"> </w:t>
      </w:r>
      <w:r w:rsidR="00B6379E" w:rsidRPr="00CC3D1B">
        <w:rPr>
          <w:rFonts w:ascii="Palatino Linotype" w:eastAsia="Palatino Linotype" w:hAnsi="Palatino Linotype" w:cs="Palatino Linotype"/>
          <w:b/>
          <w:color w:val="000000"/>
        </w:rPr>
        <w:t>veintiséis</w:t>
      </w:r>
      <w:r w:rsidR="006E390C" w:rsidRPr="00CC3D1B">
        <w:rPr>
          <w:rFonts w:ascii="Palatino Linotype" w:eastAsia="Palatino Linotype" w:hAnsi="Palatino Linotype" w:cs="Palatino Linotype"/>
          <w:b/>
          <w:color w:val="000000"/>
        </w:rPr>
        <w:t xml:space="preserve"> de marzo</w:t>
      </w:r>
      <w:r w:rsidRPr="00CC3D1B">
        <w:rPr>
          <w:rFonts w:ascii="Palatino Linotype" w:eastAsia="Palatino Linotype" w:hAnsi="Palatino Linotype" w:cs="Palatino Linotype"/>
          <w:b/>
          <w:color w:val="000000"/>
        </w:rPr>
        <w:t xml:space="preserve"> de dos mil veinticinco</w:t>
      </w:r>
      <w:r w:rsidRPr="00CC3D1B">
        <w:rPr>
          <w:rFonts w:ascii="Palatino Linotype" w:eastAsia="Palatino Linotype" w:hAnsi="Palatino Linotype" w:cs="Palatino Linotype"/>
          <w:color w:val="000000"/>
        </w:rPr>
        <w:t>, el Sujeto Obligado</w:t>
      </w:r>
      <w:r w:rsidRPr="00CC3D1B">
        <w:rPr>
          <w:rFonts w:ascii="Palatino Linotype" w:eastAsia="Palatino Linotype" w:hAnsi="Palatino Linotype" w:cs="Palatino Linotype"/>
          <w:b/>
          <w:color w:val="000000"/>
        </w:rPr>
        <w:t>,</w:t>
      </w:r>
      <w:r w:rsidRPr="00CC3D1B">
        <w:rPr>
          <w:rFonts w:ascii="Palatino Linotype" w:eastAsia="Palatino Linotype" w:hAnsi="Palatino Linotype" w:cs="Palatino Linotype"/>
          <w:color w:val="000000"/>
        </w:rPr>
        <w:t xml:space="preserve"> dio </w:t>
      </w:r>
      <w:r w:rsidRPr="00CC3D1B">
        <w:rPr>
          <w:rFonts w:ascii="Palatino Linotype" w:eastAsia="Palatino Linotype" w:hAnsi="Palatino Linotype" w:cs="Palatino Linotype"/>
          <w:b/>
          <w:color w:val="000000"/>
        </w:rPr>
        <w:t>respuesta</w:t>
      </w:r>
      <w:r w:rsidRPr="00CC3D1B">
        <w:rPr>
          <w:rFonts w:ascii="Palatino Linotype" w:eastAsia="Palatino Linotype" w:hAnsi="Palatino Linotype" w:cs="Palatino Linotype"/>
          <w:color w:val="000000"/>
        </w:rPr>
        <w:t xml:space="preserve"> a través </w:t>
      </w:r>
      <w:r w:rsidR="00CD3296" w:rsidRPr="00CC3D1B">
        <w:rPr>
          <w:rFonts w:ascii="Palatino Linotype" w:eastAsia="Palatino Linotype" w:hAnsi="Palatino Linotype" w:cs="Palatino Linotype"/>
          <w:color w:val="000000"/>
        </w:rPr>
        <w:t>del siguiente archivo electrónico</w:t>
      </w:r>
      <w:r w:rsidRPr="00CC3D1B">
        <w:rPr>
          <w:rFonts w:ascii="Palatino Linotype" w:eastAsia="Palatino Linotype" w:hAnsi="Palatino Linotype" w:cs="Palatino Linotype"/>
          <w:b/>
          <w:i/>
          <w:color w:val="000000"/>
        </w:rPr>
        <w:t>:</w:t>
      </w:r>
    </w:p>
    <w:p w14:paraId="69C7E006" w14:textId="77777777" w:rsidR="008A012C" w:rsidRDefault="008A012C" w:rsidP="00BC6E92">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14:paraId="33EA40FD" w14:textId="77777777" w:rsidR="008A012C" w:rsidRDefault="008A012C" w:rsidP="00BC6E92">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14:paraId="3CCBF896" w14:textId="77777777" w:rsidR="008A012C" w:rsidRDefault="008A012C" w:rsidP="00BC6E92">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14:paraId="45824CDE" w14:textId="77777777" w:rsidR="00B6379E" w:rsidRPr="00CC3D1B" w:rsidRDefault="00B6379E" w:rsidP="00BC6E92">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CC3D1B">
        <w:rPr>
          <w:rFonts w:ascii="Palatino Linotype" w:eastAsia="Palatino Linotype" w:hAnsi="Palatino Linotype" w:cs="Palatino Linotype"/>
          <w:b/>
          <w:i/>
          <w:color w:val="000000"/>
        </w:rPr>
        <w:lastRenderedPageBreak/>
        <w:t>RESPUETA DE LA SOLO 00147.pdf</w:t>
      </w:r>
    </w:p>
    <w:p w14:paraId="32CBBD69" w14:textId="77777777" w:rsidR="00FF1572" w:rsidRPr="00CC3D1B" w:rsidRDefault="00B6379E" w:rsidP="00BC6E92">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 xml:space="preserve">Oficio No.:/DOP/085/2025 de fecha 20 de marzo de 2025, firmado por el Director de Obras Públicas a través del cual refiere que al día de la fecha en esa Dirección </w:t>
      </w:r>
      <w:r w:rsidRPr="00CC3D1B">
        <w:rPr>
          <w:rFonts w:ascii="Palatino Linotype" w:eastAsia="Palatino Linotype" w:hAnsi="Palatino Linotype" w:cs="Palatino Linotype"/>
          <w:b/>
          <w:color w:val="000000"/>
        </w:rPr>
        <w:t>no se cuenta con los datos solicitados</w:t>
      </w:r>
      <w:r w:rsidRPr="00CC3D1B">
        <w:rPr>
          <w:rFonts w:ascii="Palatino Linotype" w:eastAsia="Palatino Linotype" w:hAnsi="Palatino Linotype" w:cs="Palatino Linotype"/>
          <w:color w:val="000000"/>
        </w:rPr>
        <w:t>.</w:t>
      </w:r>
    </w:p>
    <w:p w14:paraId="4D2E3A0A" w14:textId="77777777" w:rsidR="00A87A67" w:rsidRPr="00CC3D1B" w:rsidRDefault="00A87A67" w:rsidP="00BC6E92">
      <w:pPr>
        <w:pBdr>
          <w:top w:val="nil"/>
          <w:left w:val="nil"/>
          <w:bottom w:val="nil"/>
          <w:right w:val="nil"/>
          <w:between w:val="nil"/>
        </w:pBdr>
        <w:tabs>
          <w:tab w:val="left" w:pos="567"/>
        </w:tabs>
        <w:jc w:val="both"/>
        <w:rPr>
          <w:rFonts w:ascii="Palatino Linotype" w:eastAsia="Palatino Linotype" w:hAnsi="Palatino Linotype" w:cs="Palatino Linotype"/>
          <w:b/>
        </w:rPr>
      </w:pPr>
    </w:p>
    <w:p w14:paraId="017563C2" w14:textId="77777777" w:rsidR="0072148B" w:rsidRPr="00CC3D1B" w:rsidRDefault="00A077F4" w:rsidP="00BC6E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El</w:t>
      </w:r>
      <w:r w:rsidRPr="00CC3D1B">
        <w:rPr>
          <w:rFonts w:ascii="Palatino Linotype" w:eastAsia="Palatino Linotype" w:hAnsi="Palatino Linotype" w:cs="Palatino Linotype"/>
          <w:b/>
          <w:color w:val="000000"/>
        </w:rPr>
        <w:t xml:space="preserve"> </w:t>
      </w:r>
      <w:r w:rsidR="00B961D9" w:rsidRPr="00CC3D1B">
        <w:rPr>
          <w:rFonts w:ascii="Palatino Linotype" w:eastAsia="Palatino Linotype" w:hAnsi="Palatino Linotype" w:cs="Palatino Linotype"/>
          <w:b/>
          <w:color w:val="000000"/>
        </w:rPr>
        <w:t>uno de abril</w:t>
      </w:r>
      <w:r w:rsidRPr="00CC3D1B">
        <w:rPr>
          <w:rFonts w:ascii="Palatino Linotype" w:eastAsia="Palatino Linotype" w:hAnsi="Palatino Linotype" w:cs="Palatino Linotype"/>
          <w:b/>
          <w:color w:val="000000"/>
        </w:rPr>
        <w:t xml:space="preserve"> de dos mil veinticinco</w:t>
      </w:r>
      <w:r w:rsidRPr="00CC3D1B">
        <w:rPr>
          <w:rFonts w:ascii="Palatino Linotype" w:eastAsia="Palatino Linotype" w:hAnsi="Palatino Linotype" w:cs="Palatino Linotype"/>
          <w:color w:val="000000"/>
        </w:rPr>
        <w:t xml:space="preserve">, el particular interpuso </w:t>
      </w:r>
      <w:r w:rsidR="00E30A06" w:rsidRPr="00CC3D1B">
        <w:rPr>
          <w:rFonts w:ascii="Palatino Linotype" w:eastAsia="Palatino Linotype" w:hAnsi="Palatino Linotype" w:cs="Palatino Linotype"/>
          <w:color w:val="000000"/>
        </w:rPr>
        <w:t xml:space="preserve">el </w:t>
      </w:r>
      <w:r w:rsidR="00E30A06" w:rsidRPr="00CC3D1B">
        <w:rPr>
          <w:rFonts w:ascii="Palatino Linotype" w:eastAsia="Palatino Linotype" w:hAnsi="Palatino Linotype" w:cs="Palatino Linotype"/>
          <w:b/>
          <w:color w:val="000000"/>
        </w:rPr>
        <w:t>recurso</w:t>
      </w:r>
      <w:r w:rsidRPr="00CC3D1B">
        <w:rPr>
          <w:rFonts w:ascii="Palatino Linotype" w:eastAsia="Palatino Linotype" w:hAnsi="Palatino Linotype" w:cs="Palatino Linotype"/>
          <w:b/>
          <w:color w:val="000000"/>
        </w:rPr>
        <w:t xml:space="preserve"> de revisión</w:t>
      </w:r>
      <w:r w:rsidRPr="00CC3D1B">
        <w:rPr>
          <w:rFonts w:ascii="Palatino Linotype" w:eastAsia="Palatino Linotype" w:hAnsi="Palatino Linotype" w:cs="Palatino Linotype"/>
          <w:color w:val="000000"/>
        </w:rPr>
        <w:t xml:space="preserve"> a</w:t>
      </w:r>
      <w:r w:rsidR="00E30A06" w:rsidRPr="00CC3D1B">
        <w:rPr>
          <w:rFonts w:ascii="Palatino Linotype" w:eastAsia="Palatino Linotype" w:hAnsi="Palatino Linotype" w:cs="Palatino Linotype"/>
          <w:color w:val="000000"/>
        </w:rPr>
        <w:t>l</w:t>
      </w:r>
      <w:r w:rsidRPr="00CC3D1B">
        <w:rPr>
          <w:rFonts w:ascii="Palatino Linotype" w:eastAsia="Palatino Linotype" w:hAnsi="Palatino Linotype" w:cs="Palatino Linotype"/>
          <w:color w:val="000000"/>
        </w:rPr>
        <w:t xml:space="preserve"> </w:t>
      </w:r>
      <w:r w:rsidR="00E30A06" w:rsidRPr="00CC3D1B">
        <w:rPr>
          <w:rFonts w:ascii="Palatino Linotype" w:eastAsia="Palatino Linotype" w:hAnsi="Palatino Linotype" w:cs="Palatino Linotype"/>
          <w:color w:val="000000"/>
        </w:rPr>
        <w:t>que se le</w:t>
      </w:r>
      <w:r w:rsidRPr="00CC3D1B">
        <w:rPr>
          <w:rFonts w:ascii="Palatino Linotype" w:eastAsia="Palatino Linotype" w:hAnsi="Palatino Linotype" w:cs="Palatino Linotype"/>
          <w:color w:val="000000"/>
        </w:rPr>
        <w:t xml:space="preserve"> </w:t>
      </w:r>
      <w:r w:rsidR="00E30A06" w:rsidRPr="00CC3D1B">
        <w:rPr>
          <w:rFonts w:ascii="Palatino Linotype" w:eastAsia="Palatino Linotype" w:hAnsi="Palatino Linotype" w:cs="Palatino Linotype"/>
          <w:color w:val="000000"/>
        </w:rPr>
        <w:t>asignó</w:t>
      </w:r>
      <w:r w:rsidRPr="00CC3D1B">
        <w:rPr>
          <w:rFonts w:ascii="Palatino Linotype" w:eastAsia="Palatino Linotype" w:hAnsi="Palatino Linotype" w:cs="Palatino Linotype"/>
          <w:color w:val="000000"/>
        </w:rPr>
        <w:t xml:space="preserve"> </w:t>
      </w:r>
      <w:r w:rsidR="00E30A06" w:rsidRPr="00CC3D1B">
        <w:rPr>
          <w:rFonts w:ascii="Palatino Linotype" w:eastAsia="Palatino Linotype" w:hAnsi="Palatino Linotype" w:cs="Palatino Linotype"/>
          <w:color w:val="000000"/>
        </w:rPr>
        <w:t>el folio</w:t>
      </w:r>
      <w:r w:rsidRPr="00CC3D1B">
        <w:rPr>
          <w:rFonts w:ascii="Palatino Linotype" w:eastAsia="Palatino Linotype" w:hAnsi="Palatino Linotype" w:cs="Palatino Linotype"/>
          <w:color w:val="000000"/>
        </w:rPr>
        <w:t xml:space="preserve"> </w:t>
      </w:r>
      <w:r w:rsidR="00B961D9" w:rsidRPr="00CC3D1B">
        <w:rPr>
          <w:rFonts w:ascii="Palatino Linotype" w:eastAsia="Palatino Linotype" w:hAnsi="Palatino Linotype" w:cs="Palatino Linotype"/>
          <w:b/>
          <w:color w:val="000000"/>
        </w:rPr>
        <w:t>03813</w:t>
      </w:r>
      <w:r w:rsidR="00E30A06" w:rsidRPr="00CC3D1B">
        <w:rPr>
          <w:rFonts w:ascii="Palatino Linotype" w:eastAsia="Palatino Linotype" w:hAnsi="Palatino Linotype" w:cs="Palatino Linotype"/>
          <w:b/>
          <w:color w:val="000000"/>
        </w:rPr>
        <w:t>/INFOEM/IP/RR/2025</w:t>
      </w:r>
      <w:r w:rsidRPr="00CC3D1B">
        <w:rPr>
          <w:rFonts w:ascii="Palatino Linotype" w:eastAsia="Palatino Linotype" w:hAnsi="Palatino Linotype" w:cs="Palatino Linotype"/>
          <w:b/>
          <w:color w:val="000000"/>
        </w:rPr>
        <w:t xml:space="preserve"> </w:t>
      </w:r>
      <w:r w:rsidRPr="00CC3D1B">
        <w:rPr>
          <w:rFonts w:ascii="Palatino Linotype" w:eastAsia="Palatino Linotype" w:hAnsi="Palatino Linotype" w:cs="Palatino Linotype"/>
          <w:color w:val="000000"/>
        </w:rPr>
        <w:t xml:space="preserve">en contra de </w:t>
      </w:r>
      <w:r w:rsidR="00E30A06" w:rsidRPr="00CC3D1B">
        <w:rPr>
          <w:rFonts w:ascii="Palatino Linotype" w:eastAsia="Palatino Linotype" w:hAnsi="Palatino Linotype" w:cs="Palatino Linotype"/>
          <w:color w:val="000000"/>
        </w:rPr>
        <w:t>la respuesta emitida</w:t>
      </w:r>
      <w:r w:rsidRPr="00CC3D1B">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14:paraId="0F80BFF4" w14:textId="77777777" w:rsidR="0033402D" w:rsidRPr="00CC3D1B" w:rsidRDefault="0033402D" w:rsidP="00BC6E92">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5950A924" w14:textId="77777777" w:rsidR="0072148B" w:rsidRPr="00731575" w:rsidRDefault="00A077F4" w:rsidP="00731575">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i/>
          <w:color w:val="000000"/>
        </w:rPr>
      </w:pPr>
      <w:bookmarkStart w:id="2" w:name="_heading=h.30j0zll" w:colFirst="0" w:colLast="0"/>
      <w:bookmarkEnd w:id="2"/>
      <w:r w:rsidRPr="00731575">
        <w:rPr>
          <w:rFonts w:ascii="Palatino Linotype" w:eastAsia="Palatino Linotype" w:hAnsi="Palatino Linotype" w:cs="Palatino Linotype"/>
          <w:b/>
          <w:color w:val="000000"/>
        </w:rPr>
        <w:t xml:space="preserve">Acto impugnado: </w:t>
      </w:r>
      <w:r w:rsidRPr="00731575">
        <w:rPr>
          <w:rFonts w:ascii="Palatino Linotype" w:eastAsia="Palatino Linotype" w:hAnsi="Palatino Linotype" w:cs="Palatino Linotype"/>
          <w:i/>
          <w:color w:val="000000"/>
        </w:rPr>
        <w:t>“</w:t>
      </w:r>
      <w:r w:rsidR="00B961D9" w:rsidRPr="00731575">
        <w:rPr>
          <w:rFonts w:ascii="Palatino Linotype" w:eastAsia="Palatino Linotype" w:hAnsi="Palatino Linotype" w:cs="Palatino Linotype"/>
          <w:i/>
          <w:color w:val="000000"/>
        </w:rPr>
        <w:t>No proporciona la información solicitada escudándose en el artículo 12 de la Ley de Transparencia y acceso a la información pública del estado de México y municipios</w:t>
      </w:r>
      <w:r w:rsidRPr="00731575">
        <w:rPr>
          <w:rFonts w:ascii="Palatino Linotype" w:eastAsia="Palatino Linotype" w:hAnsi="Palatino Linotype" w:cs="Palatino Linotype"/>
          <w:i/>
          <w:color w:val="000000"/>
        </w:rPr>
        <w:t>” (Sic)</w:t>
      </w:r>
    </w:p>
    <w:p w14:paraId="0675A395" w14:textId="77777777" w:rsidR="0072148B" w:rsidRPr="00CC3D1B" w:rsidRDefault="0072148B" w:rsidP="00BC6E92">
      <w:pPr>
        <w:pBdr>
          <w:top w:val="nil"/>
          <w:left w:val="nil"/>
          <w:bottom w:val="nil"/>
          <w:right w:val="nil"/>
          <w:between w:val="nil"/>
        </w:pBdr>
        <w:jc w:val="both"/>
        <w:rPr>
          <w:rFonts w:ascii="Palatino Linotype" w:eastAsia="Palatino Linotype" w:hAnsi="Palatino Linotype" w:cs="Palatino Linotype"/>
          <w:i/>
          <w:color w:val="000000"/>
        </w:rPr>
      </w:pPr>
    </w:p>
    <w:p w14:paraId="6A1150A9" w14:textId="77777777" w:rsidR="0072148B" w:rsidRPr="00731575" w:rsidRDefault="00A077F4" w:rsidP="00731575">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i/>
          <w:color w:val="000000"/>
        </w:rPr>
      </w:pPr>
      <w:bookmarkStart w:id="3" w:name="_heading=h.1fob9te" w:colFirst="0" w:colLast="0"/>
      <w:bookmarkEnd w:id="3"/>
      <w:r w:rsidRPr="00731575">
        <w:rPr>
          <w:rFonts w:ascii="Palatino Linotype" w:eastAsia="Palatino Linotype" w:hAnsi="Palatino Linotype" w:cs="Palatino Linotype"/>
          <w:b/>
          <w:color w:val="000000"/>
        </w:rPr>
        <w:t xml:space="preserve">Razones o Motivos de inconformidad: </w:t>
      </w:r>
      <w:r w:rsidRPr="00731575">
        <w:rPr>
          <w:rFonts w:ascii="Palatino Linotype" w:eastAsia="Palatino Linotype" w:hAnsi="Palatino Linotype" w:cs="Palatino Linotype"/>
          <w:i/>
          <w:color w:val="000000"/>
        </w:rPr>
        <w:t>“</w:t>
      </w:r>
      <w:r w:rsidR="001C0C56" w:rsidRPr="00731575">
        <w:rPr>
          <w:rFonts w:ascii="Palatino Linotype" w:eastAsia="Palatino Linotype" w:hAnsi="Palatino Linotype" w:cs="Palatino Linotype"/>
          <w:i/>
          <w:color w:val="000000"/>
        </w:rPr>
        <w:t>Resulta increíble que no se tengan convenios o contratos según declaratoria del director de obras públi.cas, por otra parte la Titular de transparenci a debe de redireccionar la solicitud a las otras áreas que también sustentan información concerniente con la solicitud en comento</w:t>
      </w:r>
      <w:r w:rsidRPr="00731575">
        <w:rPr>
          <w:rFonts w:ascii="Palatino Linotype" w:eastAsia="Palatino Linotype" w:hAnsi="Palatino Linotype" w:cs="Palatino Linotype"/>
          <w:i/>
          <w:color w:val="000000"/>
        </w:rPr>
        <w:t xml:space="preserve">” </w:t>
      </w:r>
      <w:r w:rsidRPr="00731575">
        <w:rPr>
          <w:rFonts w:ascii="Palatino Linotype" w:eastAsia="Palatino Linotype" w:hAnsi="Palatino Linotype" w:cs="Palatino Linotype"/>
          <w:color w:val="000000"/>
        </w:rPr>
        <w:t>(Sic)</w:t>
      </w:r>
    </w:p>
    <w:p w14:paraId="355052D0" w14:textId="77777777" w:rsidR="0072148B" w:rsidRPr="00CC3D1B" w:rsidRDefault="0072148B" w:rsidP="00BC6E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14:paraId="6585D339" w14:textId="77777777" w:rsidR="0072148B" w:rsidRPr="00CC3D1B" w:rsidRDefault="006C72E8" w:rsidP="00BC6E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La Comisionada Ponente</w:t>
      </w:r>
      <w:r w:rsidR="00A077F4" w:rsidRPr="00CC3D1B">
        <w:rPr>
          <w:rFonts w:ascii="Palatino Linotype" w:eastAsia="Palatino Linotype" w:hAnsi="Palatino Linotype" w:cs="Palatino Linotype"/>
          <w:color w:val="000000"/>
        </w:rPr>
        <w:t xml:space="preserve"> con fundamento en lo dispuesto por el artículo 185, fracción II, de la ley de la materia, a través </w:t>
      </w:r>
      <w:r w:rsidRPr="00CC3D1B">
        <w:rPr>
          <w:rFonts w:ascii="Palatino Linotype" w:eastAsia="Palatino Linotype" w:hAnsi="Palatino Linotype" w:cs="Palatino Linotype"/>
          <w:color w:val="000000"/>
        </w:rPr>
        <w:t>del</w:t>
      </w:r>
      <w:r w:rsidR="00A077F4" w:rsidRPr="00CC3D1B">
        <w:rPr>
          <w:rFonts w:ascii="Palatino Linotype" w:eastAsia="Palatino Linotype" w:hAnsi="Palatino Linotype" w:cs="Palatino Linotype"/>
          <w:color w:val="000000"/>
        </w:rPr>
        <w:t xml:space="preserve"> </w:t>
      </w:r>
      <w:r w:rsidRPr="00CC3D1B">
        <w:rPr>
          <w:rFonts w:ascii="Palatino Linotype" w:eastAsia="Palatino Linotype" w:hAnsi="Palatino Linotype" w:cs="Palatino Linotype"/>
          <w:b/>
          <w:color w:val="000000"/>
        </w:rPr>
        <w:t>acuerdo</w:t>
      </w:r>
      <w:r w:rsidR="00A077F4" w:rsidRPr="00CC3D1B">
        <w:rPr>
          <w:rFonts w:ascii="Palatino Linotype" w:eastAsia="Palatino Linotype" w:hAnsi="Palatino Linotype" w:cs="Palatino Linotype"/>
          <w:b/>
          <w:color w:val="000000"/>
        </w:rPr>
        <w:t xml:space="preserve"> de admisión </w:t>
      </w:r>
      <w:r w:rsidRPr="00CC3D1B">
        <w:rPr>
          <w:rFonts w:ascii="Palatino Linotype" w:eastAsia="Palatino Linotype" w:hAnsi="Palatino Linotype" w:cs="Palatino Linotype"/>
          <w:color w:val="000000"/>
        </w:rPr>
        <w:t>de fecha</w:t>
      </w:r>
      <w:r w:rsidR="00A077F4" w:rsidRPr="00CC3D1B">
        <w:rPr>
          <w:rFonts w:ascii="Palatino Linotype" w:eastAsia="Palatino Linotype" w:hAnsi="Palatino Linotype" w:cs="Palatino Linotype"/>
          <w:color w:val="000000"/>
        </w:rPr>
        <w:t xml:space="preserve"> </w:t>
      </w:r>
      <w:r w:rsidR="0032673B" w:rsidRPr="00CC3D1B">
        <w:rPr>
          <w:rFonts w:ascii="Palatino Linotype" w:eastAsia="Palatino Linotype" w:hAnsi="Palatino Linotype" w:cs="Palatino Linotype"/>
          <w:b/>
          <w:color w:val="000000"/>
        </w:rPr>
        <w:t>tres</w:t>
      </w:r>
      <w:r w:rsidR="00FC5083" w:rsidRPr="00CC3D1B">
        <w:rPr>
          <w:rFonts w:ascii="Palatino Linotype" w:eastAsia="Palatino Linotype" w:hAnsi="Palatino Linotype" w:cs="Palatino Linotype"/>
          <w:b/>
          <w:color w:val="000000"/>
        </w:rPr>
        <w:t xml:space="preserve"> de abril</w:t>
      </w:r>
      <w:r w:rsidR="00A077F4" w:rsidRPr="00CC3D1B">
        <w:rPr>
          <w:rFonts w:ascii="Palatino Linotype" w:eastAsia="Palatino Linotype" w:hAnsi="Palatino Linotype" w:cs="Palatino Linotype"/>
          <w:b/>
          <w:color w:val="000000"/>
        </w:rPr>
        <w:t xml:space="preserve"> dos mil veinticinco, </w:t>
      </w:r>
      <w:r w:rsidRPr="00CC3D1B">
        <w:rPr>
          <w:rFonts w:ascii="Palatino Linotype" w:eastAsia="Palatino Linotype" w:hAnsi="Palatino Linotype" w:cs="Palatino Linotype"/>
          <w:color w:val="000000"/>
        </w:rPr>
        <w:t>puso</w:t>
      </w:r>
      <w:r w:rsidR="00A077F4" w:rsidRPr="00CC3D1B">
        <w:rPr>
          <w:rFonts w:ascii="Palatino Linotype" w:eastAsia="Palatino Linotype" w:hAnsi="Palatino Linotype" w:cs="Palatino Linotype"/>
          <w:color w:val="000000"/>
        </w:rPr>
        <w:t xml:space="preserve"> a disposición de las partes el expediente electrónico vía SAIMEX a efecto de que en un plazo máximo de siete días </w:t>
      </w:r>
      <w:r w:rsidR="00A077F4" w:rsidRPr="00CC3D1B">
        <w:rPr>
          <w:rFonts w:ascii="Palatino Linotype" w:eastAsia="Palatino Linotype" w:hAnsi="Palatino Linotype" w:cs="Palatino Linotype"/>
        </w:rPr>
        <w:t>manifestara</w:t>
      </w:r>
      <w:r w:rsidR="00A077F4" w:rsidRPr="00CC3D1B">
        <w:rPr>
          <w:rFonts w:ascii="Palatino Linotype" w:eastAsia="Palatino Linotype" w:hAnsi="Palatino Linotype" w:cs="Palatino Linotype"/>
          <w:color w:val="000000"/>
        </w:rPr>
        <w:t xml:space="preserve"> lo que a su derecho conviniera, </w:t>
      </w:r>
      <w:r w:rsidR="00A077F4" w:rsidRPr="00CC3D1B">
        <w:rPr>
          <w:rFonts w:ascii="Palatino Linotype" w:eastAsia="Palatino Linotype" w:hAnsi="Palatino Linotype" w:cs="Palatino Linotype"/>
        </w:rPr>
        <w:t>ofreciera</w:t>
      </w:r>
      <w:r w:rsidR="00A077F4" w:rsidRPr="00CC3D1B">
        <w:rPr>
          <w:rFonts w:ascii="Palatino Linotype" w:eastAsia="Palatino Linotype" w:hAnsi="Palatino Linotype" w:cs="Palatino Linotype"/>
          <w:color w:val="000000"/>
        </w:rPr>
        <w:t xml:space="preserve"> pruebas y alegatos según corresponda al caso concreto, de esta forma para que el </w:t>
      </w:r>
      <w:r w:rsidR="00A077F4" w:rsidRPr="00CC3D1B">
        <w:rPr>
          <w:rFonts w:ascii="Palatino Linotype" w:eastAsia="Palatino Linotype" w:hAnsi="Palatino Linotype" w:cs="Palatino Linotype"/>
          <w:b/>
          <w:color w:val="000000"/>
        </w:rPr>
        <w:t xml:space="preserve">SUJETO OBLIGADO </w:t>
      </w:r>
      <w:r w:rsidR="00A077F4" w:rsidRPr="00CC3D1B">
        <w:rPr>
          <w:rFonts w:ascii="Palatino Linotype" w:eastAsia="Palatino Linotype" w:hAnsi="Palatino Linotype" w:cs="Palatino Linotype"/>
        </w:rPr>
        <w:t>presentara</w:t>
      </w:r>
      <w:r w:rsidR="00A077F4" w:rsidRPr="00CC3D1B">
        <w:rPr>
          <w:rFonts w:ascii="Palatino Linotype" w:eastAsia="Palatino Linotype" w:hAnsi="Palatino Linotype" w:cs="Palatino Linotype"/>
          <w:color w:val="000000"/>
        </w:rPr>
        <w:t xml:space="preserve"> el Informe Justificado procedente.</w:t>
      </w:r>
    </w:p>
    <w:p w14:paraId="5A050D7E" w14:textId="77777777" w:rsidR="004E0AFD" w:rsidRPr="00CC3D1B" w:rsidRDefault="004E0AFD" w:rsidP="00BC6E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0EE3882C" w14:textId="77777777" w:rsidR="004E0AFD" w:rsidRPr="00CC3D1B" w:rsidRDefault="004E0AFD" w:rsidP="00BC6E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El Recurrente</w:t>
      </w:r>
      <w:r w:rsidRPr="00CC3D1B">
        <w:rPr>
          <w:rFonts w:ascii="Palatino Linotype" w:eastAsia="Palatino Linotype" w:hAnsi="Palatino Linotype" w:cs="Palatino Linotype"/>
          <w:b/>
          <w:color w:val="000000"/>
        </w:rPr>
        <w:t xml:space="preserve"> </w:t>
      </w:r>
      <w:r w:rsidRPr="00CC3D1B">
        <w:rPr>
          <w:rFonts w:ascii="Palatino Linotype" w:eastAsia="Palatino Linotype" w:hAnsi="Palatino Linotype" w:cs="Palatino Linotype"/>
          <w:color w:val="000000"/>
        </w:rPr>
        <w:t>dejó de realizar manifestaciones que a su derecho conviniera y asistiera. Por su parte, el Sujeto Obligado,</w:t>
      </w:r>
      <w:r w:rsidRPr="00CC3D1B">
        <w:rPr>
          <w:rFonts w:ascii="Palatino Linotype" w:eastAsia="Palatino Linotype" w:hAnsi="Palatino Linotype" w:cs="Palatino Linotype"/>
          <w:b/>
          <w:color w:val="000000"/>
        </w:rPr>
        <w:t xml:space="preserve"> </w:t>
      </w:r>
      <w:r w:rsidRPr="00CC3D1B">
        <w:rPr>
          <w:rFonts w:ascii="Palatino Linotype" w:eastAsia="Palatino Linotype" w:hAnsi="Palatino Linotype" w:cs="Palatino Linotype"/>
          <w:color w:val="000000"/>
        </w:rPr>
        <w:t>el</w:t>
      </w:r>
      <w:r w:rsidRPr="00CC3D1B">
        <w:rPr>
          <w:rFonts w:ascii="Palatino Linotype" w:eastAsia="Palatino Linotype" w:hAnsi="Palatino Linotype" w:cs="Palatino Linotype"/>
          <w:b/>
          <w:color w:val="000000"/>
        </w:rPr>
        <w:t xml:space="preserve"> </w:t>
      </w:r>
      <w:r w:rsidR="0032673B" w:rsidRPr="00CC3D1B">
        <w:rPr>
          <w:rFonts w:ascii="Palatino Linotype" w:eastAsia="Palatino Linotype" w:hAnsi="Palatino Linotype" w:cs="Palatino Linotype"/>
          <w:b/>
          <w:color w:val="000000"/>
        </w:rPr>
        <w:t>veintitrés de mayo</w:t>
      </w:r>
      <w:r w:rsidRPr="00CC3D1B">
        <w:rPr>
          <w:rFonts w:ascii="Palatino Linotype" w:eastAsia="Palatino Linotype" w:hAnsi="Palatino Linotype" w:cs="Palatino Linotype"/>
          <w:b/>
          <w:color w:val="000000"/>
        </w:rPr>
        <w:t xml:space="preserve"> de dos mil veinticinco </w:t>
      </w:r>
      <w:r w:rsidR="00F26E84" w:rsidRPr="00CC3D1B">
        <w:rPr>
          <w:rFonts w:ascii="Palatino Linotype" w:eastAsia="Palatino Linotype" w:hAnsi="Palatino Linotype" w:cs="Palatino Linotype"/>
          <w:color w:val="000000"/>
        </w:rPr>
        <w:t>presentó informe</w:t>
      </w:r>
      <w:r w:rsidR="00BB0B24" w:rsidRPr="00CC3D1B">
        <w:rPr>
          <w:rFonts w:ascii="Palatino Linotype" w:eastAsia="Palatino Linotype" w:hAnsi="Palatino Linotype" w:cs="Palatino Linotype"/>
          <w:color w:val="000000"/>
        </w:rPr>
        <w:t xml:space="preserve"> justificado</w:t>
      </w:r>
      <w:r w:rsidR="000A0F74" w:rsidRPr="00CC3D1B">
        <w:rPr>
          <w:rFonts w:ascii="Palatino Linotype" w:eastAsia="Palatino Linotype" w:hAnsi="Palatino Linotype" w:cs="Palatino Linotype"/>
          <w:color w:val="000000"/>
        </w:rPr>
        <w:t xml:space="preserve"> a través del archivo digital </w:t>
      </w:r>
      <w:r w:rsidRPr="00CC3D1B">
        <w:rPr>
          <w:rFonts w:ascii="Palatino Linotype" w:eastAsia="Palatino Linotype" w:hAnsi="Palatino Linotype" w:cs="Palatino Linotype"/>
          <w:color w:val="000000"/>
        </w:rPr>
        <w:t xml:space="preserve">siguiente: </w:t>
      </w:r>
    </w:p>
    <w:p w14:paraId="736FFA9B" w14:textId="77777777" w:rsidR="00451CF4" w:rsidRPr="00CC3D1B" w:rsidRDefault="007F1CC8" w:rsidP="00BC6E92">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CC3D1B">
        <w:rPr>
          <w:rFonts w:ascii="Palatino Linotype" w:eastAsia="Palatino Linotype" w:hAnsi="Palatino Linotype" w:cs="Palatino Linotype"/>
          <w:b/>
          <w:i/>
          <w:color w:val="000000"/>
        </w:rPr>
        <w:lastRenderedPageBreak/>
        <w:tab/>
      </w:r>
      <w:r w:rsidR="0032673B" w:rsidRPr="00CC3D1B">
        <w:rPr>
          <w:rFonts w:ascii="Palatino Linotype" w:eastAsia="Palatino Linotype" w:hAnsi="Palatino Linotype" w:cs="Palatino Linotype"/>
          <w:b/>
          <w:i/>
          <w:color w:val="000000"/>
        </w:rPr>
        <w:t>RECURSE REVICION SOL 03813 147.pdf</w:t>
      </w:r>
    </w:p>
    <w:p w14:paraId="29EDEF97" w14:textId="77777777" w:rsidR="00360D7F" w:rsidRPr="00CC3D1B" w:rsidRDefault="00360D7F" w:rsidP="00BC6E92">
      <w:pPr>
        <w:pBdr>
          <w:top w:val="nil"/>
          <w:left w:val="nil"/>
          <w:bottom w:val="nil"/>
          <w:right w:val="nil"/>
          <w:between w:val="nil"/>
        </w:pBdr>
        <w:ind w:firstLine="10"/>
        <w:jc w:val="both"/>
        <w:rPr>
          <w:rFonts w:ascii="Palatino Linotype" w:eastAsia="Palatino Linotype" w:hAnsi="Palatino Linotype" w:cs="Palatino Linotype"/>
          <w:b/>
          <w:i/>
          <w:color w:val="000000"/>
        </w:rPr>
      </w:pPr>
    </w:p>
    <w:p w14:paraId="280D4142" w14:textId="77777777" w:rsidR="00360D7F" w:rsidRPr="00CC3D1B" w:rsidRDefault="00360D7F" w:rsidP="00BC6E92">
      <w:pPr>
        <w:pBdr>
          <w:top w:val="nil"/>
          <w:left w:val="nil"/>
          <w:bottom w:val="nil"/>
          <w:right w:val="nil"/>
          <w:between w:val="nil"/>
        </w:pBdr>
        <w:ind w:firstLine="1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 Oficio No.: OTZ/DOP/156/2025 de fecha 22 de mayo de 2025, firmado por el Director de Obras Públicas a través del cual ratifica su respuesta inicial refiriendo que la información que solicita no se encuentra en el archivo después de una búsqueda exhaustiva de la Dirección de Obras Públicas.</w:t>
      </w:r>
    </w:p>
    <w:p w14:paraId="1F8D4CCE" w14:textId="77777777" w:rsidR="00790F83" w:rsidRPr="00CC3D1B" w:rsidRDefault="00790F83" w:rsidP="00BC6E92">
      <w:pPr>
        <w:pBdr>
          <w:top w:val="nil"/>
          <w:left w:val="nil"/>
          <w:bottom w:val="nil"/>
          <w:right w:val="nil"/>
          <w:between w:val="nil"/>
        </w:pBdr>
        <w:ind w:firstLine="10"/>
        <w:jc w:val="both"/>
        <w:rPr>
          <w:rFonts w:ascii="Palatino Linotype" w:eastAsia="Palatino Linotype" w:hAnsi="Palatino Linotype" w:cs="Palatino Linotype"/>
          <w:color w:val="000000"/>
        </w:rPr>
      </w:pPr>
    </w:p>
    <w:p w14:paraId="0AC84DC9" w14:textId="77777777" w:rsidR="00360D7F" w:rsidRPr="00CC3D1B" w:rsidRDefault="00360D7F" w:rsidP="00BC6E92">
      <w:pPr>
        <w:pBdr>
          <w:top w:val="nil"/>
          <w:left w:val="nil"/>
          <w:bottom w:val="nil"/>
          <w:right w:val="nil"/>
          <w:between w:val="nil"/>
        </w:pBdr>
        <w:ind w:firstLine="1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 Oficio OTZ/D. ADMÓN./194/2025 de fecha 22 de mayo de 2025, firmado por el Director de Administración, a través del cual, en aras de dar atención al medio de impugnación, adjunta la información solicitada.</w:t>
      </w:r>
    </w:p>
    <w:p w14:paraId="415CCE6B" w14:textId="77777777" w:rsidR="00360D7F" w:rsidRPr="00CC3D1B" w:rsidRDefault="00360D7F" w:rsidP="00BC6E92">
      <w:pPr>
        <w:pBdr>
          <w:top w:val="nil"/>
          <w:left w:val="nil"/>
          <w:bottom w:val="nil"/>
          <w:right w:val="nil"/>
          <w:between w:val="nil"/>
        </w:pBdr>
        <w:ind w:firstLine="10"/>
        <w:jc w:val="both"/>
        <w:rPr>
          <w:rFonts w:ascii="Palatino Linotype" w:eastAsia="Palatino Linotype" w:hAnsi="Palatino Linotype" w:cs="Palatino Linotype"/>
          <w:color w:val="000000"/>
        </w:rPr>
      </w:pPr>
    </w:p>
    <w:p w14:paraId="2067B3C4" w14:textId="77777777" w:rsidR="00360D7F" w:rsidRPr="00CC3D1B" w:rsidRDefault="00360D7F" w:rsidP="00BC6E92">
      <w:pPr>
        <w:pBdr>
          <w:top w:val="nil"/>
          <w:left w:val="nil"/>
          <w:bottom w:val="nil"/>
          <w:right w:val="nil"/>
          <w:between w:val="nil"/>
        </w:pBdr>
        <w:ind w:firstLine="1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Se adjunta una relación denominada LISTADO DE PROVEEDORES en donde se puede apreciar una columna con el nombre de los mismos.</w:t>
      </w:r>
    </w:p>
    <w:p w14:paraId="45683853" w14:textId="77777777" w:rsidR="00360D7F" w:rsidRDefault="00360D7F" w:rsidP="00BC6E92">
      <w:pPr>
        <w:pBdr>
          <w:top w:val="nil"/>
          <w:left w:val="nil"/>
          <w:bottom w:val="nil"/>
          <w:right w:val="nil"/>
          <w:between w:val="nil"/>
        </w:pBdr>
        <w:ind w:firstLine="10"/>
        <w:jc w:val="both"/>
        <w:rPr>
          <w:rFonts w:ascii="Palatino Linotype" w:eastAsia="Palatino Linotype" w:hAnsi="Palatino Linotype" w:cs="Palatino Linotype"/>
          <w:color w:val="000000"/>
        </w:rPr>
      </w:pPr>
    </w:p>
    <w:p w14:paraId="4E9B6082" w14:textId="77777777" w:rsidR="00731575" w:rsidRPr="00CC3D1B" w:rsidRDefault="00731575" w:rsidP="00BC6E92">
      <w:pPr>
        <w:pBdr>
          <w:top w:val="nil"/>
          <w:left w:val="nil"/>
          <w:bottom w:val="nil"/>
          <w:right w:val="nil"/>
          <w:between w:val="nil"/>
        </w:pBdr>
        <w:ind w:firstLine="10"/>
        <w:jc w:val="both"/>
        <w:rPr>
          <w:rFonts w:ascii="Palatino Linotype" w:eastAsia="Palatino Linotype" w:hAnsi="Palatino Linotype" w:cs="Palatino Linotype"/>
          <w:color w:val="000000"/>
        </w:rPr>
      </w:pPr>
    </w:p>
    <w:p w14:paraId="4A45A4FD" w14:textId="77777777" w:rsidR="00084793" w:rsidRPr="00CC3D1B" w:rsidRDefault="00084793" w:rsidP="00BC6E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CC3D1B">
        <w:rPr>
          <w:rFonts w:ascii="Palatino Linotype" w:eastAsia="Palatino Linotype" w:hAnsi="Palatino Linotype" w:cs="Palatino Linotype"/>
          <w:color w:val="000000"/>
        </w:rPr>
        <w:t>En fecha</w:t>
      </w:r>
      <w:r w:rsidRPr="00CC3D1B">
        <w:rPr>
          <w:rFonts w:ascii="Palatino Linotype" w:eastAsia="Palatino Linotype" w:hAnsi="Palatino Linotype" w:cs="Palatino Linotype"/>
          <w:b/>
          <w:color w:val="000000"/>
        </w:rPr>
        <w:t xml:space="preserve"> </w:t>
      </w:r>
      <w:r w:rsidR="005E34F9" w:rsidRPr="00CC3D1B">
        <w:rPr>
          <w:rFonts w:ascii="Palatino Linotype" w:eastAsia="Palatino Linotype" w:hAnsi="Palatino Linotype" w:cs="Palatino Linotype"/>
          <w:b/>
          <w:color w:val="000000"/>
        </w:rPr>
        <w:t>veintitrés</w:t>
      </w:r>
      <w:r w:rsidR="009845A2" w:rsidRPr="00CC3D1B">
        <w:rPr>
          <w:rFonts w:ascii="Palatino Linotype" w:eastAsia="Palatino Linotype" w:hAnsi="Palatino Linotype" w:cs="Palatino Linotype"/>
          <w:b/>
          <w:color w:val="000000"/>
        </w:rPr>
        <w:t xml:space="preserve"> de mayo</w:t>
      </w:r>
      <w:r w:rsidRPr="00CC3D1B">
        <w:rPr>
          <w:rFonts w:ascii="Palatino Linotype" w:eastAsia="Palatino Linotype" w:hAnsi="Palatino Linotype" w:cs="Palatino Linotype"/>
          <w:b/>
          <w:color w:val="000000"/>
        </w:rPr>
        <w:t xml:space="preserve"> de dos mil veinticinco</w:t>
      </w:r>
      <w:r w:rsidRPr="00CC3D1B">
        <w:rPr>
          <w:rFonts w:ascii="Palatino Linotype" w:eastAsia="Palatino Linotype" w:hAnsi="Palatino Linotype" w:cs="Palatino Linotype"/>
          <w:color w:val="000000"/>
        </w:rPr>
        <w:t>, se acordó ampliar el pazo para resolver el presente Recurso de Revisión.</w:t>
      </w:r>
    </w:p>
    <w:p w14:paraId="6CD759C5" w14:textId="77777777" w:rsidR="00084793" w:rsidRPr="00CC3D1B" w:rsidRDefault="00084793" w:rsidP="00BC6E9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1C9BCEEF" w14:textId="77777777" w:rsidR="0072148B" w:rsidRPr="00CC3D1B" w:rsidRDefault="00A077F4" w:rsidP="00BC6E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C3D1B">
        <w:rPr>
          <w:rFonts w:ascii="Palatino Linotype" w:eastAsia="Palatino Linotype" w:hAnsi="Palatino Linotype" w:cs="Palatino Linotype"/>
          <w:color w:val="000000"/>
        </w:rPr>
        <w:t xml:space="preserve">Seguidamente, en fecha </w:t>
      </w:r>
      <w:r w:rsidR="000F1593" w:rsidRPr="00CC3D1B">
        <w:rPr>
          <w:rFonts w:ascii="Palatino Linotype" w:eastAsia="Palatino Linotype" w:hAnsi="Palatino Linotype" w:cs="Palatino Linotype"/>
          <w:b/>
          <w:color w:val="000000"/>
        </w:rPr>
        <w:t>veintisiete</w:t>
      </w:r>
      <w:r w:rsidR="005E34F9" w:rsidRPr="00CC3D1B">
        <w:rPr>
          <w:rFonts w:ascii="Palatino Linotype" w:eastAsia="Palatino Linotype" w:hAnsi="Palatino Linotype" w:cs="Palatino Linotype"/>
          <w:b/>
          <w:color w:val="000000"/>
        </w:rPr>
        <w:t xml:space="preserve"> de agosto</w:t>
      </w:r>
      <w:r w:rsidRPr="00CC3D1B">
        <w:rPr>
          <w:rFonts w:ascii="Palatino Linotype" w:eastAsia="Palatino Linotype" w:hAnsi="Palatino Linotype" w:cs="Palatino Linotype"/>
          <w:b/>
          <w:color w:val="000000"/>
        </w:rPr>
        <w:t xml:space="preserve"> de dos mil veinticinco</w:t>
      </w:r>
      <w:r w:rsidRPr="00CC3D1B">
        <w:rPr>
          <w:rFonts w:ascii="Palatino Linotype" w:eastAsia="Palatino Linotype" w:hAnsi="Palatino Linotype" w:cs="Palatino Linotype"/>
          <w:color w:val="000000"/>
        </w:rPr>
        <w:t xml:space="preserve">, la Comisionada Ponente dictó el </w:t>
      </w:r>
      <w:r w:rsidRPr="00CC3D1B">
        <w:rPr>
          <w:rFonts w:ascii="Palatino Linotype" w:eastAsia="Palatino Linotype" w:hAnsi="Palatino Linotype" w:cs="Palatino Linotype"/>
          <w:b/>
          <w:color w:val="000000"/>
        </w:rPr>
        <w:t>cierre del periodo de instrucción</w:t>
      </w:r>
      <w:r w:rsidRPr="00CC3D1B">
        <w:rPr>
          <w:rFonts w:ascii="Palatino Linotype" w:eastAsia="Palatino Linotype" w:hAnsi="Palatino Linotype" w:cs="Palatino Linotype"/>
          <w:color w:val="000000"/>
        </w:rPr>
        <w:t xml:space="preserve"> y, ordenó la resolución</w:t>
      </w:r>
      <w:r w:rsidR="00A42940" w:rsidRPr="00CC3D1B">
        <w:rPr>
          <w:rFonts w:ascii="Palatino Linotype" w:eastAsia="Palatino Linotype" w:hAnsi="Palatino Linotype" w:cs="Palatino Linotype"/>
          <w:color w:val="000000"/>
        </w:rPr>
        <w:t xml:space="preserve"> que conforme a Derecho proceda</w:t>
      </w:r>
      <w:r w:rsidRPr="00CC3D1B">
        <w:rPr>
          <w:rFonts w:ascii="Palatino Linotype" w:eastAsia="Palatino Linotype" w:hAnsi="Palatino Linotype" w:cs="Palatino Linotype"/>
          <w:color w:val="000000"/>
        </w:rPr>
        <w:t>:</w:t>
      </w:r>
    </w:p>
    <w:p w14:paraId="205E5DC0" w14:textId="77777777" w:rsidR="0072148B" w:rsidRPr="00CC3D1B" w:rsidRDefault="0072148B" w:rsidP="00BC6E92">
      <w:pPr>
        <w:pBdr>
          <w:top w:val="nil"/>
          <w:left w:val="nil"/>
          <w:bottom w:val="nil"/>
          <w:right w:val="nil"/>
          <w:between w:val="nil"/>
        </w:pBdr>
        <w:rPr>
          <w:rFonts w:ascii="Palatino Linotype" w:eastAsia="Palatino Linotype" w:hAnsi="Palatino Linotype" w:cs="Palatino Linotype"/>
          <w:b/>
          <w:color w:val="000000"/>
        </w:rPr>
      </w:pPr>
    </w:p>
    <w:p w14:paraId="5F3F47B2" w14:textId="77777777" w:rsidR="00A42940" w:rsidRPr="00CC3D1B" w:rsidRDefault="00A42940" w:rsidP="00BC6E92">
      <w:pPr>
        <w:keepNext/>
        <w:keepLines/>
        <w:spacing w:line="360" w:lineRule="auto"/>
        <w:jc w:val="center"/>
        <w:rPr>
          <w:rFonts w:ascii="Palatino Linotype" w:eastAsia="Palatino Linotype" w:hAnsi="Palatino Linotype" w:cs="Palatino Linotype"/>
          <w:b/>
        </w:rPr>
      </w:pPr>
      <w:r w:rsidRPr="00CC3D1B">
        <w:rPr>
          <w:rFonts w:ascii="Palatino Linotype" w:eastAsia="Palatino Linotype" w:hAnsi="Palatino Linotype" w:cs="Palatino Linotype"/>
          <w:b/>
        </w:rPr>
        <w:t>C</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O</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N</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S</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I</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D</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E</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R</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A</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N</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D</w:t>
      </w:r>
      <w:r w:rsidR="00555394"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b/>
        </w:rPr>
        <w:t xml:space="preserve">O </w:t>
      </w:r>
    </w:p>
    <w:p w14:paraId="19AE534E" w14:textId="77777777" w:rsidR="00A42940" w:rsidRPr="00CC3D1B" w:rsidRDefault="00A42940" w:rsidP="00BC6E92">
      <w:pPr>
        <w:spacing w:line="360" w:lineRule="auto"/>
        <w:rPr>
          <w:rFonts w:ascii="Palatino Linotype" w:eastAsia="Palatino Linotype" w:hAnsi="Palatino Linotype" w:cs="Palatino Linotype"/>
        </w:rPr>
      </w:pPr>
    </w:p>
    <w:p w14:paraId="4FBE906E" w14:textId="77777777" w:rsidR="00A42940" w:rsidRPr="00CC3D1B" w:rsidRDefault="00A42940" w:rsidP="00BC6E92">
      <w:pPr>
        <w:keepNext/>
        <w:keepLines/>
        <w:spacing w:line="360" w:lineRule="auto"/>
        <w:rPr>
          <w:rFonts w:ascii="Palatino Linotype" w:eastAsia="Palatino Linotype" w:hAnsi="Palatino Linotype" w:cs="Palatino Linotype"/>
          <w:b/>
        </w:rPr>
      </w:pPr>
      <w:r w:rsidRPr="00CC3D1B">
        <w:rPr>
          <w:rFonts w:ascii="Palatino Linotype" w:eastAsia="Palatino Linotype" w:hAnsi="Palatino Linotype" w:cs="Palatino Linotype"/>
          <w:b/>
        </w:rPr>
        <w:t>PRIMERO. De la competencia</w:t>
      </w:r>
    </w:p>
    <w:p w14:paraId="5CB7B589" w14:textId="77777777" w:rsidR="00A42940" w:rsidRPr="00CC3D1B" w:rsidRDefault="00A42940" w:rsidP="00BC6E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63714C" w:rsidRPr="00CC3D1B">
        <w:rPr>
          <w:rFonts w:ascii="Palatino Linotype" w:eastAsia="Palatino Linotype" w:hAnsi="Palatino Linotype" w:cs="Palatino Linotype"/>
          <w:color w:val="000000"/>
          <w:lang w:val="es-MX"/>
        </w:rPr>
        <w:t>párrafos trigésimo séptimo, trigésimo octavo y trigésimo noveno fracciones IV y V</w:t>
      </w:r>
      <w:r w:rsidRPr="00CC3D1B">
        <w:rPr>
          <w:rFonts w:ascii="Palatino Linotype" w:eastAsia="Palatino Linotype" w:hAnsi="Palatino Linotype" w:cs="Palatino Linotype"/>
          <w:color w:val="000000"/>
        </w:rPr>
        <w:t xml:space="preserve">, de la </w:t>
      </w:r>
      <w:r w:rsidRPr="00CC3D1B">
        <w:rPr>
          <w:rFonts w:ascii="Palatino Linotype" w:eastAsia="Palatino Linotype" w:hAnsi="Palatino Linotype" w:cs="Palatino Linotype"/>
          <w:color w:val="000000"/>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EBC1FFD" w14:textId="77777777" w:rsidR="00A42940" w:rsidRPr="00CC3D1B" w:rsidRDefault="00A42940" w:rsidP="00BC6E92">
      <w:pPr>
        <w:tabs>
          <w:tab w:val="left" w:pos="426"/>
        </w:tabs>
        <w:spacing w:line="360" w:lineRule="auto"/>
        <w:jc w:val="both"/>
        <w:rPr>
          <w:rFonts w:ascii="Palatino Linotype" w:eastAsia="Palatino Linotype" w:hAnsi="Palatino Linotype" w:cs="Palatino Linotype"/>
          <w:color w:val="000000"/>
        </w:rPr>
      </w:pPr>
    </w:p>
    <w:p w14:paraId="6223F0DE" w14:textId="77777777" w:rsidR="00A42940" w:rsidRPr="00CC3D1B" w:rsidRDefault="00A42940" w:rsidP="00BC6E92">
      <w:pPr>
        <w:keepNext/>
        <w:keepLines/>
        <w:spacing w:line="360" w:lineRule="auto"/>
        <w:rPr>
          <w:rFonts w:ascii="Palatino Linotype" w:eastAsia="Palatino Linotype" w:hAnsi="Palatino Linotype" w:cs="Palatino Linotype"/>
          <w:b/>
        </w:rPr>
      </w:pPr>
      <w:r w:rsidRPr="00CC3D1B">
        <w:rPr>
          <w:rFonts w:ascii="Palatino Linotype" w:eastAsia="Palatino Linotype" w:hAnsi="Palatino Linotype" w:cs="Palatino Linotype"/>
          <w:b/>
        </w:rPr>
        <w:t>SEGUNDO. De la oportunidad y procedencia.</w:t>
      </w:r>
    </w:p>
    <w:p w14:paraId="17DC6B30" w14:textId="77777777" w:rsidR="00A42940" w:rsidRPr="00CC3D1B" w:rsidRDefault="00A42940" w:rsidP="00BC6E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El medio de impugnación fue presentado a través del </w:t>
      </w:r>
      <w:r w:rsidRPr="00CC3D1B">
        <w:rPr>
          <w:rFonts w:ascii="Palatino Linotype" w:eastAsia="Palatino Linotype" w:hAnsi="Palatino Linotype" w:cs="Palatino Linotype"/>
          <w:b/>
        </w:rPr>
        <w:t>SAIMEX,</w:t>
      </w:r>
      <w:r w:rsidRPr="00CC3D1B">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CC3D1B">
        <w:rPr>
          <w:rFonts w:ascii="Palatino Linotype" w:eastAsia="Palatino Linotype" w:hAnsi="Palatino Linotype" w:cs="Palatino Linotype"/>
          <w:b/>
        </w:rPr>
        <w:t>SUJETO OBLIGADO</w:t>
      </w:r>
      <w:r w:rsidRPr="00CC3D1B">
        <w:rPr>
          <w:rFonts w:ascii="Palatino Linotype" w:eastAsia="Palatino Linotype" w:hAnsi="Palatino Linotype" w:cs="Palatino Linotype"/>
        </w:rPr>
        <w:t xml:space="preserve"> entregó respuesta el </w:t>
      </w:r>
      <w:r w:rsidR="00B165F6" w:rsidRPr="00CC3D1B">
        <w:rPr>
          <w:rFonts w:ascii="Palatino Linotype" w:eastAsia="Palatino Linotype" w:hAnsi="Palatino Linotype" w:cs="Palatino Linotype"/>
          <w:b/>
        </w:rPr>
        <w:t>veinticinco</w:t>
      </w:r>
      <w:r w:rsidRPr="00CC3D1B">
        <w:rPr>
          <w:rFonts w:ascii="Palatino Linotype" w:eastAsia="Palatino Linotype" w:hAnsi="Palatino Linotype" w:cs="Palatino Linotype"/>
          <w:b/>
        </w:rPr>
        <w:t xml:space="preserve"> de marzo de dos mil veinticinco</w:t>
      </w:r>
      <w:r w:rsidRPr="00CC3D1B">
        <w:rPr>
          <w:rFonts w:ascii="Palatino Linotype" w:eastAsia="Palatino Linotype" w:hAnsi="Palatino Linotype" w:cs="Palatino Linotype"/>
        </w:rPr>
        <w:t xml:space="preserve">, de tal forma que el plazo para interponer el recurso transcurrió del </w:t>
      </w:r>
      <w:r w:rsidR="00B165F6" w:rsidRPr="00CC3D1B">
        <w:rPr>
          <w:rFonts w:ascii="Palatino Linotype" w:eastAsia="Palatino Linotype" w:hAnsi="Palatino Linotype" w:cs="Palatino Linotype"/>
          <w:b/>
        </w:rPr>
        <w:t>veintiséis de marzo al veintidós</w:t>
      </w:r>
      <w:r w:rsidRPr="00CC3D1B">
        <w:rPr>
          <w:rFonts w:ascii="Palatino Linotype" w:eastAsia="Palatino Linotype" w:hAnsi="Palatino Linotype" w:cs="Palatino Linotype"/>
          <w:b/>
        </w:rPr>
        <w:t xml:space="preserve"> de abril de dos mil veinticinco, </w:t>
      </w:r>
      <w:r w:rsidRPr="00CC3D1B">
        <w:rPr>
          <w:rFonts w:ascii="Palatino Linotype" w:eastAsia="Palatino Linotype" w:hAnsi="Palatino Linotype" w:cs="Palatino Linotype"/>
        </w:rPr>
        <w:t xml:space="preserve">en consecuencia, si el </w:t>
      </w:r>
      <w:r w:rsidRPr="00CC3D1B">
        <w:rPr>
          <w:rFonts w:ascii="Palatino Linotype" w:eastAsia="Palatino Linotype" w:hAnsi="Palatino Linotype" w:cs="Palatino Linotype"/>
          <w:b/>
        </w:rPr>
        <w:t>PARTICULAR</w:t>
      </w:r>
      <w:r w:rsidRPr="00CC3D1B">
        <w:rPr>
          <w:rFonts w:ascii="Palatino Linotype" w:eastAsia="Palatino Linotype" w:hAnsi="Palatino Linotype" w:cs="Palatino Linotype"/>
        </w:rPr>
        <w:t xml:space="preserve"> presentó su inconformidad el </w:t>
      </w:r>
      <w:r w:rsidR="002A3C2C" w:rsidRPr="00CC3D1B">
        <w:rPr>
          <w:rFonts w:ascii="Palatino Linotype" w:eastAsia="Palatino Linotype" w:hAnsi="Palatino Linotype" w:cs="Palatino Linotype"/>
          <w:b/>
        </w:rPr>
        <w:t>veintiocho</w:t>
      </w:r>
      <w:r w:rsidRPr="00CC3D1B">
        <w:rPr>
          <w:rFonts w:ascii="Palatino Linotype" w:eastAsia="Palatino Linotype" w:hAnsi="Palatino Linotype" w:cs="Palatino Linotype"/>
          <w:b/>
        </w:rPr>
        <w:t xml:space="preserve"> de marzo de dos mil veinticinco</w:t>
      </w:r>
      <w:r w:rsidRPr="00CC3D1B">
        <w:rPr>
          <w:rFonts w:ascii="Palatino Linotype" w:eastAsia="Palatino Linotype" w:hAnsi="Palatino Linotype" w:cs="Palatino Linotype"/>
        </w:rPr>
        <w:t xml:space="preserve">, este  se encuentra dentro de los márgenes temporales previstos en el artículo 178 de la </w:t>
      </w:r>
      <w:r w:rsidRPr="00CC3D1B">
        <w:rPr>
          <w:rFonts w:ascii="Palatino Linotype" w:eastAsia="Palatino Linotype" w:hAnsi="Palatino Linotype" w:cs="Palatino Linotype"/>
          <w:b/>
        </w:rPr>
        <w:t xml:space="preserve">Ley de Transparencia y Acceso a la Información Pública del Estado de México y Municipios </w:t>
      </w:r>
      <w:r w:rsidRPr="00CC3D1B">
        <w:rPr>
          <w:rFonts w:ascii="Palatino Linotype" w:eastAsia="Palatino Linotype" w:hAnsi="Palatino Linotype" w:cs="Palatino Linotype"/>
        </w:rPr>
        <w:t xml:space="preserve">vigente. </w:t>
      </w:r>
    </w:p>
    <w:p w14:paraId="7E08D18C" w14:textId="77777777" w:rsidR="00A42940" w:rsidRPr="00CC3D1B" w:rsidRDefault="00A42940" w:rsidP="00BC6E92">
      <w:pPr>
        <w:spacing w:line="360" w:lineRule="auto"/>
        <w:jc w:val="both"/>
        <w:rPr>
          <w:rFonts w:ascii="Palatino Linotype" w:eastAsia="Palatino Linotype" w:hAnsi="Palatino Linotype" w:cs="Palatino Linotype"/>
        </w:rPr>
      </w:pPr>
      <w:bookmarkStart w:id="5" w:name="_heading=h.2et92p0" w:colFirst="0" w:colLast="0"/>
      <w:bookmarkEnd w:id="5"/>
    </w:p>
    <w:p w14:paraId="335BE225" w14:textId="77777777" w:rsidR="00A42940" w:rsidRPr="00CC3D1B" w:rsidRDefault="00A42940" w:rsidP="00BC6E92">
      <w:pPr>
        <w:pStyle w:val="Ttulo2"/>
        <w:rPr>
          <w:rFonts w:ascii="Palatino Linotype" w:eastAsia="Palatino Linotype" w:hAnsi="Palatino Linotype" w:cs="Palatino Linotype"/>
          <w:b/>
          <w:i/>
          <w:color w:val="000000"/>
          <w:sz w:val="24"/>
          <w:szCs w:val="24"/>
        </w:rPr>
      </w:pPr>
      <w:r w:rsidRPr="00CC3D1B">
        <w:rPr>
          <w:rFonts w:ascii="Palatino Linotype" w:eastAsia="Palatino Linotype" w:hAnsi="Palatino Linotype" w:cs="Palatino Linotype"/>
          <w:b/>
          <w:color w:val="000000"/>
          <w:sz w:val="24"/>
          <w:szCs w:val="24"/>
        </w:rPr>
        <w:t xml:space="preserve">TERCERO. Del planteamiento de la </w:t>
      </w:r>
      <w:r w:rsidRPr="00CC3D1B">
        <w:rPr>
          <w:rFonts w:ascii="Palatino Linotype" w:eastAsia="Palatino Linotype" w:hAnsi="Palatino Linotype" w:cs="Palatino Linotype"/>
          <w:b/>
          <w:i/>
          <w:color w:val="000000"/>
          <w:sz w:val="24"/>
          <w:szCs w:val="24"/>
        </w:rPr>
        <w:t>Litis.</w:t>
      </w:r>
    </w:p>
    <w:p w14:paraId="66FF69B3" w14:textId="77777777" w:rsidR="002B7A1B" w:rsidRPr="00CC3D1B" w:rsidRDefault="002B7A1B" w:rsidP="00BC6E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rPr>
        <w:t>Se</w:t>
      </w:r>
      <w:r w:rsidRPr="00CC3D1B">
        <w:rPr>
          <w:rFonts w:ascii="Palatino Linotype" w:eastAsia="Palatino Linotype" w:hAnsi="Palatino Linotype" w:cs="Palatino Linotype"/>
          <w:color w:val="000000"/>
        </w:rPr>
        <w:t xml:space="preserve"> solicitó tener acceso, a la información que a continuación se simplifica:</w:t>
      </w:r>
    </w:p>
    <w:p w14:paraId="6F86E412" w14:textId="77777777" w:rsidR="002B7A1B" w:rsidRPr="00CC3D1B" w:rsidRDefault="000038CB" w:rsidP="00731575">
      <w:pPr>
        <w:pStyle w:val="Prrafodelista"/>
        <w:numPr>
          <w:ilvl w:val="1"/>
          <w:numId w:val="2"/>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t>Nombre de los proveedores y contratistas con los que se tenga convenio con el ayuntamiento de la administración 2025-2027.</w:t>
      </w:r>
    </w:p>
    <w:p w14:paraId="24E883E5" w14:textId="77777777" w:rsidR="002B7A1B" w:rsidRDefault="002B7A1B" w:rsidP="00BC6E92">
      <w:pPr>
        <w:pStyle w:val="Prrafodelista"/>
        <w:ind w:left="0"/>
        <w:jc w:val="both"/>
        <w:rPr>
          <w:rFonts w:ascii="Palatino Linotype" w:eastAsia="Palatino Linotype" w:hAnsi="Palatino Linotype" w:cs="Palatino Linotype"/>
        </w:rPr>
      </w:pPr>
    </w:p>
    <w:p w14:paraId="07154080" w14:textId="77777777" w:rsidR="00731575" w:rsidRPr="00CC3D1B" w:rsidRDefault="00731575" w:rsidP="00BC6E92">
      <w:pPr>
        <w:pStyle w:val="Prrafodelista"/>
        <w:ind w:left="0"/>
        <w:jc w:val="both"/>
        <w:rPr>
          <w:rFonts w:ascii="Palatino Linotype" w:eastAsia="Palatino Linotype" w:hAnsi="Palatino Linotype" w:cs="Palatino Linotype"/>
        </w:rPr>
      </w:pPr>
    </w:p>
    <w:p w14:paraId="0718BDB0" w14:textId="77777777" w:rsidR="002B7A1B" w:rsidRPr="00CC3D1B" w:rsidRDefault="002B7A1B" w:rsidP="00BC6E92">
      <w:pPr>
        <w:numPr>
          <w:ilvl w:val="0"/>
          <w:numId w:val="2"/>
        </w:numPr>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rPr>
        <w:t>En respuesta, el Sujeto Obligado</w:t>
      </w:r>
      <w:r w:rsidRPr="00CC3D1B">
        <w:rPr>
          <w:rFonts w:ascii="Palatino Linotype" w:eastAsia="Palatino Linotype" w:hAnsi="Palatino Linotype" w:cs="Palatino Linotype"/>
          <w:b/>
        </w:rPr>
        <w:t xml:space="preserve"> </w:t>
      </w:r>
      <w:r w:rsidRPr="00CC3D1B">
        <w:rPr>
          <w:rFonts w:ascii="Palatino Linotype" w:eastAsia="Palatino Linotype" w:hAnsi="Palatino Linotype" w:cs="Palatino Linotype"/>
        </w:rPr>
        <w:t xml:space="preserve">remitió </w:t>
      </w:r>
      <w:r w:rsidR="00FA778F" w:rsidRPr="00CC3D1B">
        <w:rPr>
          <w:rFonts w:ascii="Palatino Linotype" w:eastAsia="Palatino Linotype" w:hAnsi="Palatino Linotype" w:cs="Palatino Linotype"/>
        </w:rPr>
        <w:t xml:space="preserve">el archivo </w:t>
      </w:r>
      <w:r w:rsidR="00876526" w:rsidRPr="00CC3D1B">
        <w:rPr>
          <w:rFonts w:ascii="Palatino Linotype" w:eastAsia="Palatino Linotype" w:hAnsi="Palatino Linotype" w:cs="Palatino Linotype"/>
        </w:rPr>
        <w:t>ya de</w:t>
      </w:r>
      <w:r w:rsidR="009027AB" w:rsidRPr="00CC3D1B">
        <w:rPr>
          <w:rFonts w:ascii="Palatino Linotype" w:eastAsia="Palatino Linotype" w:hAnsi="Palatino Linotype" w:cs="Palatino Linotype"/>
        </w:rPr>
        <w:t>scritos en el anterior párrafo 2</w:t>
      </w:r>
      <w:r w:rsidRPr="00CC3D1B">
        <w:rPr>
          <w:rFonts w:ascii="Palatino Linotype" w:eastAsia="Palatino Linotype" w:hAnsi="Palatino Linotype" w:cs="Palatino Linotype"/>
        </w:rPr>
        <w:t>, inconforme con la</w:t>
      </w:r>
      <w:r w:rsidR="00FA778F" w:rsidRPr="00CC3D1B">
        <w:rPr>
          <w:rFonts w:ascii="Palatino Linotype" w:eastAsia="Palatino Linotype" w:hAnsi="Palatino Linotype" w:cs="Palatino Linotype"/>
        </w:rPr>
        <w:t xml:space="preserve"> respuesta</w:t>
      </w:r>
      <w:r w:rsidRPr="00CC3D1B">
        <w:rPr>
          <w:rFonts w:ascii="Palatino Linotype" w:eastAsia="Palatino Linotype" w:hAnsi="Palatino Linotype" w:cs="Palatino Linotype"/>
        </w:rPr>
        <w:t xml:space="preserve">, se interpuso recurso de revisión argumentando sustancialmente </w:t>
      </w:r>
      <w:r w:rsidR="00FA778F" w:rsidRPr="00CC3D1B">
        <w:rPr>
          <w:rFonts w:ascii="Palatino Linotype" w:eastAsia="Palatino Linotype" w:hAnsi="Palatino Linotype" w:cs="Palatino Linotype"/>
        </w:rPr>
        <w:t>la negativa de la información</w:t>
      </w:r>
      <w:r w:rsidRPr="00CC3D1B">
        <w:rPr>
          <w:rFonts w:ascii="Palatino Linotype" w:eastAsia="Palatino Linotype" w:hAnsi="Palatino Linotype" w:cs="Palatino Linotype"/>
        </w:rPr>
        <w:t>.</w:t>
      </w:r>
    </w:p>
    <w:p w14:paraId="1F88CF80" w14:textId="77777777" w:rsidR="002B7A1B" w:rsidRPr="00CC3D1B" w:rsidRDefault="002B7A1B"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lastRenderedPageBreak/>
        <w:t xml:space="preserve">En dichas condiciones, la controversia a resolver en el presente proveído, corresponde a determinar si se actualiza la causal de procedencia prevista en el </w:t>
      </w:r>
      <w:r w:rsidRPr="00CC3D1B">
        <w:rPr>
          <w:rFonts w:ascii="Palatino Linotype" w:eastAsia="Palatino Linotype" w:hAnsi="Palatino Linotype" w:cs="Palatino Linotype"/>
          <w:b/>
        </w:rPr>
        <w:t xml:space="preserve">artículo 179, </w:t>
      </w:r>
      <w:r w:rsidR="00895953" w:rsidRPr="00CC3D1B">
        <w:rPr>
          <w:rFonts w:ascii="Palatino Linotype" w:eastAsia="Palatino Linotype" w:hAnsi="Palatino Linotype" w:cs="Palatino Linotype"/>
          <w:b/>
        </w:rPr>
        <w:t>fracción</w:t>
      </w:r>
      <w:r w:rsidRPr="00CC3D1B">
        <w:rPr>
          <w:rFonts w:ascii="Palatino Linotype" w:eastAsia="Palatino Linotype" w:hAnsi="Palatino Linotype" w:cs="Palatino Linotype"/>
          <w:b/>
        </w:rPr>
        <w:t xml:space="preserve"> </w:t>
      </w:r>
      <w:r w:rsidR="004F1783" w:rsidRPr="00CC3D1B">
        <w:rPr>
          <w:rFonts w:ascii="Palatino Linotype" w:eastAsia="Palatino Linotype" w:hAnsi="Palatino Linotype" w:cs="Palatino Linotype"/>
          <w:b/>
        </w:rPr>
        <w:t>I</w:t>
      </w:r>
      <w:r w:rsidRPr="00CC3D1B">
        <w:rPr>
          <w:rFonts w:ascii="Palatino Linotype" w:eastAsia="Palatino Linotype" w:hAnsi="Palatino Linotype" w:cs="Palatino Linotype"/>
          <w:b/>
        </w:rPr>
        <w:t>, de la Ley de Transparencia y Acceso a la Información Pública del Estado de México y Municipios</w:t>
      </w:r>
      <w:r w:rsidRPr="00CC3D1B">
        <w:rPr>
          <w:rFonts w:ascii="Palatino Linotype" w:eastAsia="Palatino Linotype" w:hAnsi="Palatino Linotype" w:cs="Palatino Linotype"/>
        </w:rPr>
        <w:t xml:space="preserve">; </w:t>
      </w:r>
      <w:r w:rsidR="00895953" w:rsidRPr="00CC3D1B">
        <w:rPr>
          <w:rFonts w:ascii="Palatino Linotype" w:eastAsia="Palatino Linotype" w:hAnsi="Palatino Linotype" w:cs="Palatino Linotype"/>
          <w:color w:val="000000"/>
        </w:rPr>
        <w:t>fracción</w:t>
      </w:r>
      <w:r w:rsidRPr="00CC3D1B">
        <w:rPr>
          <w:rFonts w:ascii="Palatino Linotype" w:eastAsia="Palatino Linotype" w:hAnsi="Palatino Linotype" w:cs="Palatino Linotype"/>
          <w:color w:val="000000"/>
        </w:rPr>
        <w:t xml:space="preserve"> que determina la </w:t>
      </w:r>
      <w:r w:rsidRPr="00CC3D1B">
        <w:rPr>
          <w:rFonts w:ascii="Palatino Linotype" w:eastAsia="Palatino Linotype" w:hAnsi="Palatino Linotype" w:cs="Palatino Linotype"/>
          <w:b/>
          <w:color w:val="000000"/>
        </w:rPr>
        <w:t xml:space="preserve">hipótesis relativa a la </w:t>
      </w:r>
      <w:r w:rsidR="004F1783" w:rsidRPr="00CC3D1B">
        <w:rPr>
          <w:rFonts w:ascii="Palatino Linotype" w:eastAsia="Palatino Linotype" w:hAnsi="Palatino Linotype" w:cs="Palatino Linotype"/>
          <w:b/>
          <w:color w:val="000000"/>
        </w:rPr>
        <w:t>negativa a la información solicitada</w:t>
      </w:r>
      <w:r w:rsidRPr="00CC3D1B">
        <w:rPr>
          <w:rFonts w:ascii="Palatino Linotype" w:eastAsia="Palatino Linotype" w:hAnsi="Palatino Linotype" w:cs="Palatino Linotype"/>
          <w:color w:val="000000"/>
        </w:rPr>
        <w:t xml:space="preserve">; </w:t>
      </w:r>
      <w:r w:rsidRPr="00CC3D1B">
        <w:rPr>
          <w:rFonts w:ascii="Palatino Linotype" w:eastAsia="Palatino Linotype" w:hAnsi="Palatino Linotype" w:cs="Palatino Linotype"/>
        </w:rPr>
        <w:t>contexto del cual se dolió el Recurrente al momento de interponer su inconformidad.</w:t>
      </w:r>
      <w:r w:rsidRPr="00CC3D1B">
        <w:rPr>
          <w:rFonts w:ascii="Palatino Linotype" w:eastAsia="Palatino Linotype" w:hAnsi="Palatino Linotype" w:cs="Palatino Linotype"/>
          <w:color w:val="000000"/>
        </w:rPr>
        <w:t xml:space="preserve"> De modo tal que el presente recurso de revisión se </w:t>
      </w:r>
      <w:r w:rsidRPr="00CC3D1B">
        <w:rPr>
          <w:rFonts w:ascii="Palatino Linotype" w:eastAsia="Palatino Linotype" w:hAnsi="Palatino Linotype" w:cs="Palatino Linotype"/>
        </w:rPr>
        <w:t>abocará</w:t>
      </w:r>
      <w:r w:rsidRPr="00CC3D1B">
        <w:rPr>
          <w:rFonts w:ascii="Palatino Linotype" w:eastAsia="Palatino Linotype" w:hAnsi="Palatino Linotype" w:cs="Palatino Linotype"/>
          <w:color w:val="000000"/>
        </w:rPr>
        <w:t xml:space="preserve"> en determinar si el Sujeto Obligado con su respuesta ciertamente actualiza la causal de procedencia</w:t>
      </w:r>
      <w:r w:rsidRPr="00CC3D1B">
        <w:rPr>
          <w:rFonts w:ascii="Palatino Linotype" w:eastAsia="Palatino Linotype" w:hAnsi="Palatino Linotype" w:cs="Palatino Linotype"/>
          <w:b/>
          <w:color w:val="000000"/>
        </w:rPr>
        <w:t xml:space="preserve"> </w:t>
      </w:r>
      <w:r w:rsidRPr="00CC3D1B">
        <w:rPr>
          <w:rFonts w:ascii="Palatino Linotype" w:eastAsia="Palatino Linotype" w:hAnsi="Palatino Linotype" w:cs="Palatino Linotype"/>
          <w:color w:val="000000"/>
        </w:rPr>
        <w:t xml:space="preserve">señalada. </w:t>
      </w:r>
    </w:p>
    <w:p w14:paraId="5E8D19FF" w14:textId="77777777" w:rsidR="002B7A1B" w:rsidRPr="00CC3D1B" w:rsidRDefault="002B7A1B" w:rsidP="00BC6E92">
      <w:pPr>
        <w:spacing w:line="360" w:lineRule="auto"/>
        <w:rPr>
          <w:rFonts w:ascii="Palatino Linotype" w:eastAsia="Palatino Linotype" w:hAnsi="Palatino Linotype" w:cs="Palatino Linotype"/>
        </w:rPr>
      </w:pPr>
    </w:p>
    <w:p w14:paraId="662B23D3" w14:textId="77777777" w:rsidR="00846BB7" w:rsidRPr="00CC3D1B" w:rsidRDefault="00846BB7" w:rsidP="00BC6E92">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CC3D1B">
        <w:rPr>
          <w:rFonts w:ascii="Palatino Linotype" w:eastAsia="Palatino Linotype" w:hAnsi="Palatino Linotype" w:cs="Palatino Linotype"/>
          <w:b/>
          <w:color w:val="000000"/>
          <w:sz w:val="24"/>
          <w:szCs w:val="24"/>
        </w:rPr>
        <w:t>CUARTO. Del estudio y resolución del asunto.</w:t>
      </w:r>
    </w:p>
    <w:p w14:paraId="200A4DD7" w14:textId="77777777" w:rsidR="002B7A1B" w:rsidRPr="00CC3D1B" w:rsidRDefault="002B7A1B"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4658F211" w14:textId="77777777" w:rsidR="002B7A1B" w:rsidRPr="00CC3D1B" w:rsidRDefault="002B7A1B" w:rsidP="00BC6E92">
      <w:pPr>
        <w:spacing w:line="360" w:lineRule="auto"/>
        <w:jc w:val="both"/>
        <w:rPr>
          <w:rFonts w:ascii="Palatino Linotype" w:eastAsia="Palatino Linotype" w:hAnsi="Palatino Linotype" w:cs="Palatino Linotype"/>
        </w:rPr>
      </w:pPr>
    </w:p>
    <w:p w14:paraId="5D4B6285" w14:textId="77777777" w:rsidR="002B7A1B" w:rsidRPr="00CC3D1B" w:rsidRDefault="002B7A1B"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CF57F02" w14:textId="77777777" w:rsidR="002B7A1B" w:rsidRPr="00CC3D1B" w:rsidRDefault="002B7A1B"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51164DC3" w14:textId="77777777" w:rsidR="00FA778F" w:rsidRPr="00CC3D1B" w:rsidRDefault="00FA778F" w:rsidP="00BC6E92">
      <w:pPr>
        <w:spacing w:line="360" w:lineRule="auto"/>
        <w:jc w:val="both"/>
        <w:rPr>
          <w:rFonts w:ascii="Palatino Linotype" w:eastAsia="Palatino Linotype" w:hAnsi="Palatino Linotype" w:cs="Palatino Linotype"/>
          <w:color w:val="000000"/>
        </w:rPr>
      </w:pPr>
    </w:p>
    <w:p w14:paraId="5FB20A1B" w14:textId="77777777" w:rsidR="00FA778F" w:rsidRPr="00CC3D1B" w:rsidRDefault="00FA778F"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C4A7EC9" w14:textId="77777777" w:rsidR="00FA778F" w:rsidRPr="00CC3D1B" w:rsidRDefault="00FA778F" w:rsidP="00BC6E92">
      <w:pP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t>“</w:t>
      </w:r>
      <w:r w:rsidRPr="00CC3D1B">
        <w:rPr>
          <w:rFonts w:ascii="Palatino Linotype" w:eastAsia="Palatino Linotype" w:hAnsi="Palatino Linotype" w:cs="Palatino Linotype"/>
          <w:b/>
          <w:i/>
          <w:color w:val="000000"/>
        </w:rPr>
        <w:t xml:space="preserve">Artículo 3. </w:t>
      </w:r>
      <w:r w:rsidRPr="00CC3D1B">
        <w:rPr>
          <w:rFonts w:ascii="Palatino Linotype" w:eastAsia="Palatino Linotype" w:hAnsi="Palatino Linotype" w:cs="Palatino Linotype"/>
          <w:i/>
          <w:color w:val="000000"/>
        </w:rPr>
        <w:t>Para los efectos de la presente Ley se entenderá por:</w:t>
      </w:r>
    </w:p>
    <w:p w14:paraId="50EED1BD" w14:textId="77777777" w:rsidR="00FA778F" w:rsidRPr="00CC3D1B" w:rsidRDefault="00FA778F" w:rsidP="00BC6E92">
      <w:pP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t>(…)</w:t>
      </w:r>
    </w:p>
    <w:p w14:paraId="74F12F13" w14:textId="77777777" w:rsidR="00FA778F" w:rsidRPr="00CC3D1B" w:rsidRDefault="00FA778F" w:rsidP="00BC6E92">
      <w:pP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b/>
          <w:i/>
          <w:color w:val="000000"/>
        </w:rPr>
        <w:t>XI. Documento:</w:t>
      </w:r>
      <w:r w:rsidRPr="00CC3D1B">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w:t>
      </w:r>
      <w:r w:rsidRPr="00CC3D1B">
        <w:rPr>
          <w:rFonts w:ascii="Palatino Linotype" w:eastAsia="Palatino Linotype" w:hAnsi="Palatino Linotype" w:cs="Palatino Linotype"/>
          <w:i/>
          <w:color w:val="000000"/>
        </w:rPr>
        <w:lastRenderedPageBreak/>
        <w:t>fecha de elaboración. Los documentos podrán estar en cualquier medio, sea escrito, impreso, sonoro, visual, electrónico, informático u holográfico;</w:t>
      </w:r>
    </w:p>
    <w:p w14:paraId="63A7EFED" w14:textId="77777777" w:rsidR="00FA778F" w:rsidRPr="00CC3D1B" w:rsidRDefault="00FA778F" w:rsidP="00BC6E92">
      <w:pPr>
        <w:spacing w:line="360" w:lineRule="auto"/>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t>(…)”</w:t>
      </w:r>
    </w:p>
    <w:p w14:paraId="3CAC3309" w14:textId="77777777" w:rsidR="00FA778F" w:rsidRPr="00CC3D1B" w:rsidRDefault="00FA778F" w:rsidP="00BC6E92">
      <w:pPr>
        <w:jc w:val="both"/>
        <w:rPr>
          <w:rFonts w:ascii="Palatino Linotype" w:eastAsia="Palatino Linotype" w:hAnsi="Palatino Linotype" w:cs="Palatino Linotype"/>
        </w:rPr>
      </w:pPr>
    </w:p>
    <w:p w14:paraId="352EB53D" w14:textId="77777777" w:rsidR="00FA778F" w:rsidRPr="00CC3D1B" w:rsidRDefault="00FA778F"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BEBBE40" w14:textId="77777777" w:rsidR="00FA778F" w:rsidRPr="00CC3D1B" w:rsidRDefault="00FA778F" w:rsidP="00BC6E92">
      <w:pPr>
        <w:jc w:val="both"/>
        <w:rPr>
          <w:rFonts w:ascii="Palatino Linotype" w:eastAsia="Palatino Linotype" w:hAnsi="Palatino Linotype" w:cs="Palatino Linotype"/>
          <w:b/>
          <w:i/>
        </w:rPr>
      </w:pPr>
      <w:r w:rsidRPr="00CC3D1B">
        <w:rPr>
          <w:rFonts w:ascii="Palatino Linotype" w:eastAsia="Palatino Linotype" w:hAnsi="Palatino Linotype" w:cs="Palatino Linotype"/>
          <w:b/>
        </w:rPr>
        <w:t>“</w:t>
      </w:r>
      <w:r w:rsidRPr="00CC3D1B">
        <w:rPr>
          <w:rFonts w:ascii="Palatino Linotype" w:eastAsia="Palatino Linotype" w:hAnsi="Palatino Linotype" w:cs="Palatino Linotype"/>
          <w:b/>
          <w:i/>
        </w:rPr>
        <w:t>CRITERIO 0002-11</w:t>
      </w:r>
    </w:p>
    <w:p w14:paraId="7DEE75F6" w14:textId="77777777" w:rsidR="00FA778F" w:rsidRPr="00CC3D1B" w:rsidRDefault="00FA778F"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C3D1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3060F8" w14:textId="77777777" w:rsidR="00FA778F" w:rsidRPr="00CC3D1B" w:rsidRDefault="00FA778F"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En consecuencia el acceso a la información se refiere a que se cumplan cualquiera de los siguientes tres supuestos:</w:t>
      </w:r>
    </w:p>
    <w:p w14:paraId="1B04D4A6" w14:textId="77777777" w:rsidR="00FA778F" w:rsidRPr="00CC3D1B" w:rsidRDefault="00FA778F" w:rsidP="00BC6E92">
      <w:pPr>
        <w:jc w:val="both"/>
        <w:rPr>
          <w:rFonts w:ascii="Palatino Linotype" w:eastAsia="Palatino Linotype" w:hAnsi="Palatino Linotype" w:cs="Palatino Linotype"/>
          <w:b/>
          <w:i/>
        </w:rPr>
      </w:pPr>
      <w:r w:rsidRPr="00CC3D1B">
        <w:rPr>
          <w:rFonts w:ascii="Palatino Linotype" w:eastAsia="Palatino Linotype" w:hAnsi="Palatino Linotype" w:cs="Palatino Linotype"/>
          <w:b/>
          <w:i/>
        </w:rPr>
        <w:t xml:space="preserve">1) </w:t>
      </w:r>
      <w:r w:rsidRPr="00CC3D1B">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235EB3E1" w14:textId="77777777" w:rsidR="00FA778F" w:rsidRPr="00CC3D1B" w:rsidRDefault="00FA778F"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32794D6" w14:textId="77777777" w:rsidR="00FA778F" w:rsidRPr="00CC3D1B" w:rsidRDefault="00FA778F"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20857DE8" w14:textId="77777777" w:rsidR="00FA778F" w:rsidRPr="00CC3D1B" w:rsidRDefault="00FA778F" w:rsidP="00BC6E92">
      <w:pPr>
        <w:tabs>
          <w:tab w:val="left" w:pos="851"/>
        </w:tabs>
        <w:spacing w:line="360" w:lineRule="auto"/>
        <w:rPr>
          <w:rFonts w:ascii="Palatino Linotype" w:eastAsia="Palatino Linotype" w:hAnsi="Palatino Linotype" w:cs="Palatino Linotype"/>
        </w:rPr>
      </w:pPr>
      <w:r w:rsidRPr="00CC3D1B">
        <w:rPr>
          <w:rFonts w:ascii="Palatino Linotype" w:eastAsia="Palatino Linotype" w:hAnsi="Palatino Linotype" w:cs="Palatino Linotype"/>
        </w:rPr>
        <w:t>(Énfasis Añadido)</w:t>
      </w:r>
    </w:p>
    <w:p w14:paraId="3C3BEE8C" w14:textId="77777777" w:rsidR="00FA778F" w:rsidRPr="00CC3D1B" w:rsidRDefault="00FA778F" w:rsidP="00BC6E92">
      <w:pPr>
        <w:pBdr>
          <w:top w:val="nil"/>
          <w:left w:val="nil"/>
          <w:bottom w:val="nil"/>
          <w:right w:val="nil"/>
          <w:between w:val="nil"/>
        </w:pBdr>
        <w:jc w:val="both"/>
        <w:rPr>
          <w:rFonts w:ascii="Palatino Linotype" w:eastAsia="Palatino Linotype" w:hAnsi="Palatino Linotype" w:cs="Palatino Linotype"/>
          <w:color w:val="000000"/>
        </w:rPr>
      </w:pPr>
    </w:p>
    <w:p w14:paraId="623B435B" w14:textId="77777777" w:rsidR="00FA778F" w:rsidRPr="00CC3D1B" w:rsidRDefault="00FA778F"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Por su parte los artículos 160 y 166, de la Ley local en la materia, que se reproduce de la siguiente forma:</w:t>
      </w:r>
    </w:p>
    <w:p w14:paraId="1693D360" w14:textId="77777777" w:rsidR="00FA778F" w:rsidRPr="00CC3D1B" w:rsidRDefault="00FA778F"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w:t>
      </w:r>
      <w:r w:rsidRPr="00CC3D1B">
        <w:rPr>
          <w:rFonts w:ascii="Palatino Linotype" w:eastAsia="Palatino Linotype" w:hAnsi="Palatino Linotype" w:cs="Palatino Linotype"/>
          <w:b/>
          <w:i/>
        </w:rPr>
        <w:t>Artículo 160.</w:t>
      </w:r>
      <w:r w:rsidRPr="00CC3D1B">
        <w:rPr>
          <w:rFonts w:ascii="Palatino Linotype" w:eastAsia="Palatino Linotype" w:hAnsi="Palatino Linotype" w:cs="Palatino Linotype"/>
          <w:i/>
        </w:rPr>
        <w:t xml:space="preserve"> </w:t>
      </w:r>
      <w:r w:rsidRPr="00CC3D1B">
        <w:rPr>
          <w:rFonts w:ascii="Palatino Linotype" w:eastAsia="Palatino Linotype" w:hAnsi="Palatino Linotype" w:cs="Palatino Linotype"/>
          <w:i/>
          <w:u w:val="single"/>
        </w:rPr>
        <w:t xml:space="preserve">Los sujetos obligados deberán otorgar acceso a los documentos que se encuentren en sus archivos o que estén obligados a documentar de acuerdo con sus facultades, competencias o </w:t>
      </w:r>
      <w:r w:rsidRPr="00CC3D1B">
        <w:rPr>
          <w:rFonts w:ascii="Palatino Linotype" w:eastAsia="Palatino Linotype" w:hAnsi="Palatino Linotype" w:cs="Palatino Linotype"/>
          <w:i/>
          <w:u w:val="single"/>
        </w:rPr>
        <w:lastRenderedPageBreak/>
        <w:t>funciones en el formato que el solicitante manifieste, de entre aquellos formatos existentes, conforme a las características físicas de la información o del lugar donde se encuentre así lo permita</w:t>
      </w:r>
      <w:r w:rsidRPr="00CC3D1B">
        <w:rPr>
          <w:rFonts w:ascii="Palatino Linotype" w:eastAsia="Palatino Linotype" w:hAnsi="Palatino Linotype" w:cs="Palatino Linotype"/>
          <w:i/>
        </w:rPr>
        <w:t>.</w:t>
      </w:r>
    </w:p>
    <w:p w14:paraId="4020D122" w14:textId="77777777" w:rsidR="00FA778F" w:rsidRPr="00CC3D1B" w:rsidRDefault="00FA778F" w:rsidP="00BC6E92">
      <w:pPr>
        <w:jc w:val="both"/>
        <w:rPr>
          <w:rFonts w:ascii="Palatino Linotype" w:eastAsia="Palatino Linotype" w:hAnsi="Palatino Linotype" w:cs="Palatino Linotype"/>
          <w:i/>
        </w:rPr>
      </w:pPr>
    </w:p>
    <w:p w14:paraId="4603D53A" w14:textId="77777777" w:rsidR="00FA778F" w:rsidRPr="00CC3D1B" w:rsidRDefault="00FA778F"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En caso que la información solicitada consista en bases de datos se deberá privilegiar la entrega de la misma en formatos abiertos.</w:t>
      </w:r>
    </w:p>
    <w:p w14:paraId="1C17DDAD" w14:textId="77777777" w:rsidR="00FA778F" w:rsidRPr="00CC3D1B" w:rsidRDefault="00FA778F" w:rsidP="00BC6E92">
      <w:pPr>
        <w:jc w:val="both"/>
        <w:rPr>
          <w:rFonts w:ascii="Palatino Linotype" w:eastAsia="Palatino Linotype" w:hAnsi="Palatino Linotype" w:cs="Palatino Linotype"/>
          <w:i/>
          <w:u w:val="single"/>
        </w:rPr>
      </w:pPr>
      <w:r w:rsidRPr="00CC3D1B">
        <w:rPr>
          <w:rFonts w:ascii="Palatino Linotype" w:eastAsia="Palatino Linotype" w:hAnsi="Palatino Linotype" w:cs="Palatino Linotype"/>
          <w:b/>
          <w:i/>
        </w:rPr>
        <w:t>Artículo 166.</w:t>
      </w:r>
      <w:r w:rsidRPr="00CC3D1B">
        <w:rPr>
          <w:rFonts w:ascii="Palatino Linotype" w:eastAsia="Palatino Linotype" w:hAnsi="Palatino Linotype" w:cs="Palatino Linotype"/>
          <w:i/>
        </w:rPr>
        <w:t xml:space="preserve"> </w:t>
      </w:r>
      <w:r w:rsidRPr="00CC3D1B">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14:paraId="5A9FF3E3" w14:textId="77777777" w:rsidR="00FA778F" w:rsidRPr="00CC3D1B" w:rsidRDefault="00FA778F" w:rsidP="00BC6E92">
      <w:pPr>
        <w:spacing w:line="360" w:lineRule="auto"/>
        <w:jc w:val="both"/>
        <w:rPr>
          <w:rFonts w:ascii="Palatino Linotype" w:eastAsia="Palatino Linotype" w:hAnsi="Palatino Linotype" w:cs="Palatino Linotype"/>
        </w:rPr>
      </w:pPr>
      <w:r w:rsidRPr="00CC3D1B">
        <w:rPr>
          <w:rFonts w:ascii="Palatino Linotype" w:eastAsia="Palatino Linotype" w:hAnsi="Palatino Linotype" w:cs="Palatino Linotype"/>
        </w:rPr>
        <w:t>(Énfasis añadido)</w:t>
      </w:r>
    </w:p>
    <w:p w14:paraId="455C3497" w14:textId="77777777" w:rsidR="00FA778F" w:rsidRPr="00CC3D1B" w:rsidRDefault="00FA778F" w:rsidP="00BC6E92">
      <w:pPr>
        <w:jc w:val="both"/>
        <w:rPr>
          <w:rFonts w:ascii="Palatino Linotype" w:eastAsia="Palatino Linotype" w:hAnsi="Palatino Linotype" w:cs="Palatino Linotype"/>
        </w:rPr>
      </w:pPr>
    </w:p>
    <w:p w14:paraId="7D5A589F" w14:textId="77777777" w:rsidR="00FA778F" w:rsidRPr="00CC3D1B" w:rsidRDefault="00FA778F"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0E06CED1" w14:textId="77777777" w:rsidR="00CC5B0C" w:rsidRPr="00CC3D1B" w:rsidRDefault="00CC5B0C" w:rsidP="00BC6E92">
      <w:pPr>
        <w:pBdr>
          <w:top w:val="nil"/>
          <w:left w:val="nil"/>
          <w:bottom w:val="nil"/>
          <w:right w:val="nil"/>
          <w:between w:val="nil"/>
        </w:pBdr>
        <w:spacing w:before="120" w:after="120"/>
        <w:jc w:val="both"/>
        <w:rPr>
          <w:rFonts w:ascii="Palatino Linotype" w:eastAsia="Palatino Linotype" w:hAnsi="Palatino Linotype" w:cs="Palatino Linotype"/>
          <w:i/>
          <w:color w:val="000000"/>
        </w:rPr>
      </w:pPr>
    </w:p>
    <w:p w14:paraId="3638CF90" w14:textId="77777777" w:rsidR="00A43E68" w:rsidRPr="00CC3D1B" w:rsidRDefault="00A43E68" w:rsidP="00731575">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rPr>
      </w:pPr>
      <w:r w:rsidRPr="00CC3D1B">
        <w:rPr>
          <w:rFonts w:ascii="Palatino Linotype" w:eastAsia="Palatino Linotype" w:hAnsi="Palatino Linotype" w:cs="Palatino Linotype"/>
          <w:b/>
          <w:color w:val="000000"/>
        </w:rPr>
        <w:t>Del Sujeto Obligado.</w:t>
      </w:r>
    </w:p>
    <w:p w14:paraId="3C7FA486" w14:textId="77777777" w:rsidR="00A43E68" w:rsidRPr="00CC3D1B" w:rsidRDefault="00D97E4A" w:rsidP="00BC6E92">
      <w:pPr>
        <w:numPr>
          <w:ilvl w:val="0"/>
          <w:numId w:val="2"/>
        </w:numPr>
        <w:spacing w:line="360" w:lineRule="auto"/>
        <w:ind w:left="0" w:firstLine="0"/>
        <w:jc w:val="both"/>
        <w:rPr>
          <w:rFonts w:ascii="Palatino Linotype" w:hAnsi="Palatino Linotype"/>
        </w:rPr>
      </w:pPr>
      <w:r w:rsidRPr="00CC3D1B">
        <w:rPr>
          <w:rFonts w:ascii="Palatino Linotype" w:eastAsia="Palatino Linotype" w:hAnsi="Palatino Linotype" w:cs="Palatino Linotype"/>
        </w:rPr>
        <w:t>Para atender los asuntos de la competencia del Ayuntamiento, el ejecutivo municipal propondrá, para su aprobación en sesión de cabildo, la creación de las dependencias de la administración pública necesarias para el cumplimiento de sus fines</w:t>
      </w:r>
      <w:r w:rsidR="00A43E68" w:rsidRPr="00CC3D1B">
        <w:rPr>
          <w:rFonts w:ascii="Palatino Linotype" w:eastAsia="Palatino Linotype" w:hAnsi="Palatino Linotype" w:cs="Palatino Linotype"/>
        </w:rPr>
        <w:t xml:space="preserve">, tal como lo señala el Bando Municipal 2025 en su artículo </w:t>
      </w:r>
      <w:r w:rsidRPr="00CC3D1B">
        <w:rPr>
          <w:rFonts w:ascii="Palatino Linotype" w:eastAsia="Palatino Linotype" w:hAnsi="Palatino Linotype" w:cs="Palatino Linotype"/>
        </w:rPr>
        <w:t>45</w:t>
      </w:r>
      <w:r w:rsidR="00A43E68" w:rsidRPr="00CC3D1B">
        <w:rPr>
          <w:rFonts w:ascii="Palatino Linotype" w:eastAsia="Palatino Linotype" w:hAnsi="Palatino Linotype" w:cs="Palatino Linotype"/>
        </w:rPr>
        <w:t>:</w:t>
      </w:r>
    </w:p>
    <w:p w14:paraId="07D78106" w14:textId="77777777" w:rsidR="00A43E68" w:rsidRPr="00CC3D1B" w:rsidRDefault="00A43E68" w:rsidP="00BC6E92">
      <w:pPr>
        <w:jc w:val="center"/>
        <w:rPr>
          <w:rFonts w:ascii="Palatino Linotype" w:eastAsia="Palatino Linotype" w:hAnsi="Palatino Linotype" w:cs="Palatino Linotype"/>
          <w:b/>
          <w:i/>
        </w:rPr>
      </w:pPr>
      <w:r w:rsidRPr="00CC3D1B">
        <w:rPr>
          <w:rFonts w:ascii="Palatino Linotype" w:eastAsia="Palatino Linotype" w:hAnsi="Palatino Linotype" w:cs="Palatino Linotype"/>
          <w:b/>
          <w:i/>
        </w:rPr>
        <w:t>Bando Municipal 2025</w:t>
      </w:r>
    </w:p>
    <w:p w14:paraId="717D7C92" w14:textId="77777777" w:rsidR="00A43E68" w:rsidRPr="00CC3D1B" w:rsidRDefault="00A43E68" w:rsidP="00BC6E92">
      <w:pPr>
        <w:jc w:val="center"/>
        <w:rPr>
          <w:rFonts w:ascii="Palatino Linotype" w:eastAsia="Palatino Linotype" w:hAnsi="Palatino Linotype" w:cs="Palatino Linotype"/>
          <w:b/>
          <w:i/>
        </w:rPr>
      </w:pPr>
    </w:p>
    <w:p w14:paraId="7620F27C"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Artículo 45.- La administración pública municipal de Otzolotepec se integra por las dependencias del sector central, organismos descentralizados y organismos autónomos siguientes: </w:t>
      </w:r>
    </w:p>
    <w:p w14:paraId="69036C37" w14:textId="77777777" w:rsidR="00D97E4A" w:rsidRPr="00CC3D1B" w:rsidRDefault="00D97E4A" w:rsidP="00BC6E92">
      <w:pPr>
        <w:jc w:val="both"/>
        <w:rPr>
          <w:rFonts w:ascii="Palatino Linotype" w:eastAsia="Palatino Linotype" w:hAnsi="Palatino Linotype" w:cs="Palatino Linotype"/>
          <w:i/>
        </w:rPr>
      </w:pPr>
    </w:p>
    <w:p w14:paraId="435B6CD8" w14:textId="77777777" w:rsidR="00D97E4A" w:rsidRPr="00CC3D1B" w:rsidRDefault="00D97E4A" w:rsidP="00BC6E92">
      <w:pPr>
        <w:jc w:val="both"/>
        <w:rPr>
          <w:rFonts w:ascii="Palatino Linotype" w:eastAsia="Palatino Linotype" w:hAnsi="Palatino Linotype" w:cs="Palatino Linotype"/>
          <w:b/>
          <w:i/>
        </w:rPr>
      </w:pPr>
      <w:r w:rsidRPr="00CC3D1B">
        <w:rPr>
          <w:rFonts w:ascii="Palatino Linotype" w:eastAsia="Palatino Linotype" w:hAnsi="Palatino Linotype" w:cs="Palatino Linotype"/>
          <w:b/>
          <w:i/>
        </w:rPr>
        <w:t xml:space="preserve">I. Sector Central </w:t>
      </w:r>
    </w:p>
    <w:p w14:paraId="256B85C5"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a) Presidencia Municipal </w:t>
      </w:r>
    </w:p>
    <w:p w14:paraId="28F78E3D"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b) Secretaría del Ayuntamiento </w:t>
      </w:r>
    </w:p>
    <w:p w14:paraId="3C18926D"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c) Tesorería Municipal </w:t>
      </w:r>
    </w:p>
    <w:p w14:paraId="15B63864"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d) Dirección de Obras Públicas </w:t>
      </w:r>
    </w:p>
    <w:p w14:paraId="0A9E112C"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lastRenderedPageBreak/>
        <w:t xml:space="preserve">e) Dirección de Seguridad Ciudadana y Tránsito Municipal </w:t>
      </w:r>
    </w:p>
    <w:p w14:paraId="6D058B57"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f) Dirección de Gobernación </w:t>
      </w:r>
    </w:p>
    <w:p w14:paraId="08BF77F4"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g) Dirección de Servicios Públicos </w:t>
      </w:r>
    </w:p>
    <w:p w14:paraId="34697C1F"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h) Dirección de Desarrollo Urbano </w:t>
      </w:r>
    </w:p>
    <w:p w14:paraId="4DCB78BE"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i) Dirección de Administración </w:t>
      </w:r>
    </w:p>
    <w:p w14:paraId="11E3F5CE"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j) Dirección de Desarrollo Económico </w:t>
      </w:r>
    </w:p>
    <w:p w14:paraId="71599F13"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k) Dirección de Ecología </w:t>
      </w:r>
    </w:p>
    <w:p w14:paraId="1638816F"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l) Dirección de Educación Cultura y Turismo </w:t>
      </w:r>
    </w:p>
    <w:p w14:paraId="10CA3799"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m) Dirección de Atención a la Mujer </w:t>
      </w:r>
    </w:p>
    <w:p w14:paraId="38C3ABDE"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n) Dirección de Asuntos Jurídicos </w:t>
      </w:r>
    </w:p>
    <w:p w14:paraId="45A541D5"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 xml:space="preserve">o) Dirección de Desarrollo Social </w:t>
      </w:r>
    </w:p>
    <w:p w14:paraId="6FDB6E94" w14:textId="77777777" w:rsidR="00FF3048"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p) Órgano Interno de Control</w:t>
      </w:r>
    </w:p>
    <w:p w14:paraId="502E1AAD" w14:textId="77777777" w:rsidR="00D97E4A" w:rsidRPr="00CC3D1B" w:rsidRDefault="00D97E4A"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w:t>
      </w:r>
    </w:p>
    <w:p w14:paraId="13C242E1" w14:textId="77777777" w:rsidR="00A43E68" w:rsidRPr="00CC3D1B" w:rsidRDefault="00A43E68" w:rsidP="00BC6E92">
      <w:pPr>
        <w:jc w:val="both"/>
        <w:rPr>
          <w:rFonts w:ascii="Palatino Linotype" w:eastAsia="Palatino Linotype" w:hAnsi="Palatino Linotype" w:cs="Palatino Linotype"/>
          <w:b/>
          <w:i/>
        </w:rPr>
      </w:pPr>
    </w:p>
    <w:p w14:paraId="1E8C7806" w14:textId="77777777" w:rsidR="00A43E68" w:rsidRPr="00CC3D1B" w:rsidRDefault="00A43E68" w:rsidP="00BC6E92">
      <w:pPr>
        <w:jc w:val="both"/>
        <w:rPr>
          <w:rFonts w:ascii="Palatino Linotype" w:hAnsi="Palatino Linotype"/>
        </w:rPr>
      </w:pPr>
    </w:p>
    <w:p w14:paraId="0DE54032" w14:textId="77777777" w:rsidR="00A43E68" w:rsidRPr="00CC3D1B" w:rsidRDefault="00A43E68"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De conformidad con el artículo </w:t>
      </w:r>
      <w:r w:rsidR="00D75EFB" w:rsidRPr="00CC3D1B">
        <w:rPr>
          <w:rFonts w:ascii="Palatino Linotype" w:eastAsia="Palatino Linotype" w:hAnsi="Palatino Linotype" w:cs="Palatino Linotype"/>
        </w:rPr>
        <w:t>82</w:t>
      </w:r>
      <w:r w:rsidRPr="00CC3D1B">
        <w:rPr>
          <w:rFonts w:ascii="Palatino Linotype" w:eastAsia="Palatino Linotype" w:hAnsi="Palatino Linotype" w:cs="Palatino Linotype"/>
        </w:rPr>
        <w:t xml:space="preserve"> del Bando Municipal, </w:t>
      </w:r>
      <w:r w:rsidR="00D75EFB" w:rsidRPr="00CC3D1B">
        <w:rPr>
          <w:rFonts w:ascii="Palatino Linotype" w:eastAsia="Palatino Linotype" w:hAnsi="Palatino Linotype" w:cs="Palatino Linotype"/>
        </w:rPr>
        <w:t xml:space="preserve">la </w:t>
      </w:r>
      <w:r w:rsidR="00D75EFB" w:rsidRPr="00CC3D1B">
        <w:rPr>
          <w:rFonts w:ascii="Palatino Linotype" w:eastAsia="Palatino Linotype" w:hAnsi="Palatino Linotype" w:cs="Palatino Linotype"/>
          <w:b/>
        </w:rPr>
        <w:t>Dirección de Obras Públicas</w:t>
      </w:r>
      <w:r w:rsidR="00D75EFB" w:rsidRPr="00CC3D1B">
        <w:rPr>
          <w:rFonts w:ascii="Palatino Linotype" w:eastAsia="Palatino Linotype" w:hAnsi="Palatino Linotype" w:cs="Palatino Linotype"/>
        </w:rPr>
        <w:t xml:space="preserve"> es la dependencia encargada de la política municipal en materia de obra pública. De conformidad con el artículo 58 del Reglamento Orgánico de la Administración Municipal vigente, la Dirección de Obras Públicas, es la dependencia encargada de planear, programar, presupuestar, ejecutar, adjudicar, contratar, ejecutar y controlar la obra pública, así como los servicios relacionados con las mismas, esto es, todo trabajo que tenga por objeto construir, instalar, ampliar, adecuar, remodelar, restaurar, conservar, mantener, modificar o demoler bienes con recursos públicos estatales o municipales que por su naturaleza o disposición de la Ley estén destinados a un servicio público o al uso comunitario. Asimismo, supervisará, asistirá técnicamente y apoyará la realización de obras con la participación de las comunidades, en coordinación con los órganos auxiliares competentes.</w:t>
      </w:r>
    </w:p>
    <w:p w14:paraId="2EDC729E" w14:textId="77777777" w:rsidR="00D75EFB" w:rsidRPr="00CC3D1B" w:rsidRDefault="00D75EFB" w:rsidP="00BC6E92">
      <w:pPr>
        <w:spacing w:line="360" w:lineRule="auto"/>
        <w:jc w:val="both"/>
        <w:rPr>
          <w:rFonts w:ascii="Palatino Linotype" w:eastAsia="Palatino Linotype" w:hAnsi="Palatino Linotype" w:cs="Palatino Linotype"/>
        </w:rPr>
      </w:pPr>
    </w:p>
    <w:p w14:paraId="5A25D091" w14:textId="77777777" w:rsidR="00D75EFB" w:rsidRPr="00CC3D1B" w:rsidRDefault="00D75EFB"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La </w:t>
      </w:r>
      <w:r w:rsidRPr="00CC3D1B">
        <w:rPr>
          <w:rFonts w:ascii="Palatino Linotype" w:eastAsia="Palatino Linotype" w:hAnsi="Palatino Linotype" w:cs="Palatino Linotype"/>
          <w:b/>
        </w:rPr>
        <w:t>Dirección de Administración</w:t>
      </w:r>
      <w:r w:rsidRPr="00CC3D1B">
        <w:rPr>
          <w:rFonts w:ascii="Palatino Linotype" w:eastAsia="Palatino Linotype" w:hAnsi="Palatino Linotype" w:cs="Palatino Linotype"/>
        </w:rPr>
        <w:t xml:space="preserve">, es la dependencia encargada de establecer las políticas y lineamientos para la contratación, control del personal, adquisición, contratación, </w:t>
      </w:r>
      <w:r w:rsidRPr="00CC3D1B">
        <w:rPr>
          <w:rFonts w:ascii="Palatino Linotype" w:eastAsia="Palatino Linotype" w:hAnsi="Palatino Linotype" w:cs="Palatino Linotype"/>
        </w:rPr>
        <w:lastRenderedPageBreak/>
        <w:t>asignación y uso de los bienes y servicios, así como la adecuada implementación de las tecnologías de la información y la prestación de los servicios generales al H. Ayuntamiento de Otzolotepec, a fin de lograr la optimización de los recursos humanos y materiales.</w:t>
      </w:r>
    </w:p>
    <w:p w14:paraId="77BF3B37" w14:textId="77777777" w:rsidR="00A43E68" w:rsidRPr="00CC3D1B" w:rsidRDefault="00A43E68" w:rsidP="00BC6E92">
      <w:pPr>
        <w:spacing w:line="360" w:lineRule="auto"/>
        <w:jc w:val="both"/>
        <w:rPr>
          <w:rFonts w:ascii="Palatino Linotype" w:eastAsia="Palatino Linotype" w:hAnsi="Palatino Linotype" w:cs="Palatino Linotype"/>
        </w:rPr>
      </w:pPr>
    </w:p>
    <w:p w14:paraId="7E4FA670" w14:textId="77777777" w:rsidR="00FF3048" w:rsidRPr="00CC3D1B" w:rsidRDefault="00FF3048"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De lo expuesto es de precisar que la </w:t>
      </w:r>
      <w:r w:rsidRPr="00CC3D1B">
        <w:rPr>
          <w:rFonts w:ascii="Palatino Linotype" w:eastAsia="Palatino Linotype" w:hAnsi="Palatino Linotype" w:cs="Palatino Linotype"/>
          <w:b/>
        </w:rPr>
        <w:t xml:space="preserve">respuesta </w:t>
      </w:r>
      <w:r w:rsidR="009F0C9C" w:rsidRPr="00CC3D1B">
        <w:rPr>
          <w:rFonts w:ascii="Palatino Linotype" w:eastAsia="Palatino Linotype" w:hAnsi="Palatino Linotype" w:cs="Palatino Linotype"/>
          <w:b/>
        </w:rPr>
        <w:t>fue emitida</w:t>
      </w:r>
      <w:r w:rsidRPr="00CC3D1B">
        <w:rPr>
          <w:rFonts w:ascii="Palatino Linotype" w:eastAsia="Palatino Linotype" w:hAnsi="Palatino Linotype" w:cs="Palatino Linotype"/>
          <w:b/>
        </w:rPr>
        <w:t xml:space="preserve"> por </w:t>
      </w:r>
      <w:r w:rsidR="00D75EFB" w:rsidRPr="00CC3D1B">
        <w:rPr>
          <w:rFonts w:ascii="Palatino Linotype" w:eastAsia="Palatino Linotype" w:hAnsi="Palatino Linotype" w:cs="Palatino Linotype"/>
          <w:b/>
        </w:rPr>
        <w:t>el Director de Obras Públicas</w:t>
      </w:r>
      <w:r w:rsidRPr="00CC3D1B">
        <w:rPr>
          <w:rFonts w:ascii="Palatino Linotype" w:eastAsia="Palatino Linotype" w:hAnsi="Palatino Linotype" w:cs="Palatino Linotype"/>
        </w:rPr>
        <w:t xml:space="preserve">, no obstante del análisis de la normatividad referida, </w:t>
      </w:r>
      <w:r w:rsidRPr="00CC3D1B">
        <w:rPr>
          <w:rFonts w:ascii="Palatino Linotype" w:eastAsia="Palatino Linotype" w:hAnsi="Palatino Linotype" w:cs="Palatino Linotype"/>
          <w:b/>
        </w:rPr>
        <w:t xml:space="preserve">la </w:t>
      </w:r>
      <w:r w:rsidR="00572204" w:rsidRPr="00CC3D1B">
        <w:rPr>
          <w:rFonts w:ascii="Palatino Linotype" w:eastAsia="Palatino Linotype" w:hAnsi="Palatino Linotype" w:cs="Palatino Linotype"/>
          <w:b/>
        </w:rPr>
        <w:t>Dirección de Administración</w:t>
      </w:r>
      <w:r w:rsidRPr="00CC3D1B">
        <w:rPr>
          <w:rFonts w:ascii="Palatino Linotype" w:eastAsia="Palatino Linotype" w:hAnsi="Palatino Linotype" w:cs="Palatino Linotype"/>
        </w:rPr>
        <w:t xml:space="preserve">, </w:t>
      </w:r>
      <w:r w:rsidR="002B1E85" w:rsidRPr="00CC3D1B">
        <w:rPr>
          <w:rFonts w:ascii="Palatino Linotype" w:eastAsia="Palatino Linotype" w:hAnsi="Palatino Linotype" w:cs="Palatino Linotype"/>
        </w:rPr>
        <w:t>es el área en la</w:t>
      </w:r>
      <w:r w:rsidRPr="00CC3D1B">
        <w:rPr>
          <w:rFonts w:ascii="Palatino Linotype" w:eastAsia="Palatino Linotype" w:hAnsi="Palatino Linotype" w:cs="Palatino Linotype"/>
        </w:rPr>
        <w:t xml:space="preserve"> que pudiera obrar la información, por lo que podemos advertir que </w:t>
      </w:r>
      <w:r w:rsidRPr="00CC3D1B">
        <w:rPr>
          <w:rFonts w:ascii="Palatino Linotype" w:eastAsia="Palatino Linotype" w:hAnsi="Palatino Linotype" w:cs="Palatino Linotype"/>
          <w:b/>
        </w:rPr>
        <w:t xml:space="preserve">EL SUJETO OBLIGADO no </w:t>
      </w:r>
      <w:r w:rsidRPr="00CC3D1B">
        <w:rPr>
          <w:rFonts w:ascii="Palatino Linotype" w:eastAsia="Palatino Linotype" w:hAnsi="Palatino Linotype" w:cs="Palatino Linotype"/>
        </w:rPr>
        <w:t xml:space="preserve">siguió el procedimiento inmerso en la normatividad aplicable, ya que </w:t>
      </w:r>
      <w:r w:rsidRPr="00CC3D1B">
        <w:rPr>
          <w:rFonts w:ascii="Palatino Linotype" w:eastAsia="Palatino Linotype" w:hAnsi="Palatino Linotype" w:cs="Palatino Linotype"/>
          <w:b/>
        </w:rPr>
        <w:t>no turnó</w:t>
      </w:r>
      <w:r w:rsidRPr="00CC3D1B">
        <w:rPr>
          <w:rFonts w:ascii="Palatino Linotype" w:eastAsia="Palatino Linotype" w:hAnsi="Palatino Linotype" w:cs="Palatino Linotype"/>
        </w:rPr>
        <w:t xml:space="preserve"> </w:t>
      </w:r>
      <w:r w:rsidR="002B1E85" w:rsidRPr="00CC3D1B">
        <w:rPr>
          <w:rFonts w:ascii="Palatino Linotype" w:eastAsia="Palatino Linotype" w:hAnsi="Palatino Linotype" w:cs="Palatino Linotype"/>
        </w:rPr>
        <w:t>el requerimiento</w:t>
      </w:r>
      <w:r w:rsidRPr="00CC3D1B">
        <w:rPr>
          <w:rFonts w:ascii="Palatino Linotype" w:eastAsia="Palatino Linotype" w:hAnsi="Palatino Linotype" w:cs="Palatino Linotype"/>
        </w:rPr>
        <w:t xml:space="preserve"> de información a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r w:rsidR="00D75EFB" w:rsidRPr="00CC3D1B">
        <w:rPr>
          <w:rFonts w:ascii="Palatino Linotype" w:eastAsia="Palatino Linotype" w:hAnsi="Palatino Linotype" w:cs="Palatino Linotype"/>
        </w:rPr>
        <w:t xml:space="preserve"> </w:t>
      </w:r>
    </w:p>
    <w:p w14:paraId="3191DF90" w14:textId="77777777" w:rsidR="00FF3048" w:rsidRPr="00CC3D1B" w:rsidRDefault="00FF3048"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b/>
          <w:i/>
        </w:rPr>
        <w:t>XXXIX.</w:t>
      </w:r>
      <w:r w:rsidRPr="00CC3D1B">
        <w:rPr>
          <w:rFonts w:ascii="Palatino Linotype" w:eastAsia="Palatino Linotype" w:hAnsi="Palatino Linotype" w:cs="Palatino Linotype"/>
          <w:i/>
        </w:rPr>
        <w:t xml:space="preserve"> </w:t>
      </w:r>
      <w:r w:rsidRPr="00CC3D1B">
        <w:rPr>
          <w:rFonts w:ascii="Palatino Linotype" w:eastAsia="Palatino Linotype" w:hAnsi="Palatino Linotype" w:cs="Palatino Linotype"/>
          <w:b/>
          <w:i/>
        </w:rPr>
        <w:t>Servidor público habilitado</w:t>
      </w:r>
      <w:r w:rsidRPr="00CC3D1B">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43A6D08" w14:textId="77777777" w:rsidR="00FF3048" w:rsidRDefault="00FF3048" w:rsidP="00BC6E92">
      <w:pPr>
        <w:jc w:val="both"/>
        <w:rPr>
          <w:rFonts w:ascii="Palatino Linotype" w:eastAsia="Palatino Linotype" w:hAnsi="Palatino Linotype" w:cs="Palatino Linotype"/>
        </w:rPr>
      </w:pPr>
    </w:p>
    <w:p w14:paraId="147B646B" w14:textId="77777777" w:rsidR="00731575" w:rsidRPr="00CC3D1B" w:rsidRDefault="00731575" w:rsidP="00BC6E92">
      <w:pPr>
        <w:jc w:val="both"/>
        <w:rPr>
          <w:rFonts w:ascii="Palatino Linotype" w:eastAsia="Palatino Linotype" w:hAnsi="Palatino Linotype" w:cs="Palatino Linotype"/>
        </w:rPr>
      </w:pPr>
    </w:p>
    <w:p w14:paraId="10759DF5" w14:textId="77777777" w:rsidR="00FF3048" w:rsidRPr="00CC3D1B" w:rsidRDefault="00FF3048"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Así las cosas, se advierte que la Unidad de Transparencia </w:t>
      </w:r>
      <w:r w:rsidRPr="00CC3D1B">
        <w:rPr>
          <w:rFonts w:ascii="Palatino Linotype" w:eastAsia="Palatino Linotype" w:hAnsi="Palatino Linotype" w:cs="Palatino Linotype"/>
          <w:b/>
        </w:rPr>
        <w:t>no cumplió</w:t>
      </w:r>
      <w:r w:rsidRPr="00CC3D1B">
        <w:rPr>
          <w:rFonts w:ascii="Palatino Linotype" w:eastAsia="Palatino Linotype" w:hAnsi="Palatino Linotype" w:cs="Palatino Linotype"/>
        </w:rPr>
        <w:t xml:space="preserve"> con lo establecido en el artículo 162 de la Ley de Transparencia y Acceso a la Información Pública del Estado de México y Municipios, el cual menciona lo siguiente:</w:t>
      </w:r>
    </w:p>
    <w:p w14:paraId="3577AE36" w14:textId="77777777" w:rsidR="00FF3048" w:rsidRPr="00CC3D1B" w:rsidRDefault="00FF3048"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i/>
        </w:rPr>
        <w:t>“</w:t>
      </w:r>
      <w:r w:rsidRPr="00CC3D1B">
        <w:rPr>
          <w:rFonts w:ascii="Palatino Linotype" w:eastAsia="Palatino Linotype" w:hAnsi="Palatino Linotype" w:cs="Palatino Linotype"/>
          <w:b/>
          <w:i/>
        </w:rPr>
        <w:t>Artículo 162.</w:t>
      </w:r>
      <w:r w:rsidRPr="00CC3D1B">
        <w:rPr>
          <w:rFonts w:ascii="Palatino Linotype" w:eastAsia="Palatino Linotype" w:hAnsi="Palatino Linotype" w:cs="Palatino Linotype"/>
          <w:i/>
        </w:rPr>
        <w:t xml:space="preserve"> Las unidades de transparencia deberán garantizar que las solicitudes se turnen a </w:t>
      </w:r>
      <w:r w:rsidRPr="00CC3D1B">
        <w:rPr>
          <w:rFonts w:ascii="Palatino Linotype" w:eastAsia="Palatino Linotype" w:hAnsi="Palatino Linotype" w:cs="Palatino Linotype"/>
          <w:b/>
          <w:i/>
        </w:rPr>
        <w:t>todas las Áreas competentes</w:t>
      </w:r>
      <w:r w:rsidRPr="00CC3D1B">
        <w:rPr>
          <w:rFonts w:ascii="Palatino Linotype" w:eastAsia="Palatino Linotype" w:hAnsi="Palatino Linotype" w:cs="Palatino Linotype"/>
          <w:i/>
        </w:rPr>
        <w:t xml:space="preserve"> que cuenten con la información o deban tenerla de acuerdo a sus facultades, competencias y funciones, </w:t>
      </w:r>
      <w:r w:rsidRPr="00CC3D1B">
        <w:rPr>
          <w:rFonts w:ascii="Palatino Linotype" w:eastAsia="Palatino Linotype" w:hAnsi="Palatino Linotype" w:cs="Palatino Linotype"/>
          <w:b/>
          <w:i/>
        </w:rPr>
        <w:t>con el objeto de que realicen una búsqueda exhaustiva y razonable de la información solicitada</w:t>
      </w:r>
      <w:r w:rsidRPr="00CC3D1B">
        <w:rPr>
          <w:rFonts w:ascii="Palatino Linotype" w:eastAsia="Palatino Linotype" w:hAnsi="Palatino Linotype" w:cs="Palatino Linotype"/>
          <w:i/>
        </w:rPr>
        <w:t>.”</w:t>
      </w:r>
    </w:p>
    <w:p w14:paraId="4B631B3E" w14:textId="77777777" w:rsidR="00FF3048" w:rsidRPr="00CC3D1B" w:rsidRDefault="00FF3048" w:rsidP="00BC6E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18FA42" w14:textId="77777777" w:rsidR="00FF3048" w:rsidRPr="00CC3D1B" w:rsidRDefault="00FF3048" w:rsidP="00BC6E92">
      <w:pPr>
        <w:numPr>
          <w:ilvl w:val="0"/>
          <w:numId w:val="2"/>
        </w:numPr>
        <w:spacing w:line="360" w:lineRule="auto"/>
        <w:ind w:left="0" w:firstLine="0"/>
        <w:jc w:val="both"/>
        <w:rPr>
          <w:rFonts w:ascii="Palatino Linotype" w:eastAsia="Palatino Linotype" w:hAnsi="Palatino Linotype" w:cs="Palatino Linotype"/>
          <w:b/>
          <w:color w:val="000000"/>
        </w:rPr>
      </w:pPr>
      <w:r w:rsidRPr="00CC3D1B">
        <w:rPr>
          <w:rFonts w:ascii="Palatino Linotype" w:eastAsia="Palatino Linotype" w:hAnsi="Palatino Linotype" w:cs="Palatino Linotype"/>
        </w:rPr>
        <w:lastRenderedPageBreak/>
        <w:t>El buscar exhaustivamente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14:paraId="3D457C8F" w14:textId="77777777" w:rsidR="00572204" w:rsidRPr="00CC3D1B" w:rsidRDefault="00572204" w:rsidP="00BC6E92">
      <w:pPr>
        <w:spacing w:line="360" w:lineRule="auto"/>
        <w:jc w:val="both"/>
        <w:rPr>
          <w:rFonts w:ascii="Palatino Linotype" w:eastAsia="Palatino Linotype" w:hAnsi="Palatino Linotype" w:cs="Palatino Linotype"/>
          <w:b/>
          <w:color w:val="000000"/>
        </w:rPr>
      </w:pPr>
    </w:p>
    <w:p w14:paraId="2DC857D6" w14:textId="77777777" w:rsidR="00572204" w:rsidRPr="00CC3D1B" w:rsidRDefault="00572204" w:rsidP="00BC6E92">
      <w:pPr>
        <w:numPr>
          <w:ilvl w:val="0"/>
          <w:numId w:val="2"/>
        </w:numPr>
        <w:spacing w:line="360" w:lineRule="auto"/>
        <w:ind w:left="0" w:firstLine="0"/>
        <w:jc w:val="both"/>
        <w:rPr>
          <w:rFonts w:ascii="Palatino Linotype" w:eastAsia="Palatino Linotype" w:hAnsi="Palatino Linotype" w:cs="Palatino Linotype"/>
          <w:b/>
          <w:color w:val="000000"/>
        </w:rPr>
      </w:pPr>
      <w:r w:rsidRPr="00CC3D1B">
        <w:rPr>
          <w:rFonts w:ascii="Palatino Linotype" w:eastAsia="Palatino Linotype" w:hAnsi="Palatino Linotype" w:cs="Palatino Linotype"/>
        </w:rPr>
        <w:t>No obstante, en un acto posterior como lo fue a través de Informe Justificado, el Sujeto Obligado turnó la interposición del medio de impugnación al área competente en la cual pudiera obrar la información requerida.</w:t>
      </w:r>
    </w:p>
    <w:p w14:paraId="79DE7711" w14:textId="77777777" w:rsidR="002B1E85" w:rsidRPr="00CC3D1B" w:rsidRDefault="002B1E85" w:rsidP="00BC6E92">
      <w:pPr>
        <w:spacing w:line="360" w:lineRule="auto"/>
        <w:jc w:val="both"/>
        <w:rPr>
          <w:rFonts w:ascii="Palatino Linotype" w:eastAsia="Palatino Linotype" w:hAnsi="Palatino Linotype" w:cs="Palatino Linotype"/>
          <w:b/>
          <w:color w:val="000000"/>
        </w:rPr>
      </w:pPr>
    </w:p>
    <w:p w14:paraId="668ACE92" w14:textId="77777777" w:rsidR="005C3562" w:rsidRPr="00CC3D1B" w:rsidRDefault="005C3562" w:rsidP="00BC6E92">
      <w:pPr>
        <w:numPr>
          <w:ilvl w:val="0"/>
          <w:numId w:val="2"/>
        </w:numPr>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rPr>
        <w:t xml:space="preserve">Ahora bien, es de recordar que el particular solicitó el </w:t>
      </w:r>
      <w:r w:rsidRPr="00CC3D1B">
        <w:rPr>
          <w:rFonts w:ascii="Palatino Linotype" w:eastAsia="Palatino Linotype" w:hAnsi="Palatino Linotype" w:cs="Palatino Linotype"/>
          <w:i/>
          <w:color w:val="000000"/>
          <w:u w:val="single"/>
        </w:rPr>
        <w:t>nombre de los proveedores y contratistas con los que se tenga convenio con el ayuntamiento de la administración 2025-2027</w:t>
      </w:r>
      <w:r w:rsidRPr="00CC3D1B">
        <w:rPr>
          <w:rFonts w:ascii="Palatino Linotype" w:eastAsia="Palatino Linotype" w:hAnsi="Palatino Linotype" w:cs="Palatino Linotype"/>
          <w:b/>
          <w:color w:val="000000"/>
        </w:rPr>
        <w:t xml:space="preserve">, </w:t>
      </w:r>
      <w:r w:rsidRPr="00CC3D1B">
        <w:rPr>
          <w:rFonts w:ascii="Palatino Linotype" w:eastAsia="Palatino Linotype" w:hAnsi="Palatino Linotype" w:cs="Palatino Linotype"/>
          <w:color w:val="000000"/>
        </w:rPr>
        <w:t xml:space="preserve">por lo que es importante traer </w:t>
      </w:r>
      <w:r w:rsidR="00336B17" w:rsidRPr="00CC3D1B">
        <w:rPr>
          <w:rFonts w:ascii="Palatino Linotype" w:eastAsia="Palatino Linotype" w:hAnsi="Palatino Linotype" w:cs="Palatino Linotype"/>
          <w:color w:val="000000"/>
        </w:rPr>
        <w:t xml:space="preserve">a reflexión </w:t>
      </w:r>
      <w:r w:rsidRPr="00CC3D1B">
        <w:rPr>
          <w:rFonts w:ascii="Palatino Linotype" w:eastAsia="Palatino Linotype" w:hAnsi="Palatino Linotype" w:cs="Palatino Linotype"/>
          <w:color w:val="000000"/>
        </w:rPr>
        <w:t>la información correspondiente.</w:t>
      </w:r>
    </w:p>
    <w:p w14:paraId="76239991" w14:textId="77777777" w:rsidR="005C3562" w:rsidRPr="00CC3D1B" w:rsidRDefault="005C3562" w:rsidP="00BC6E92">
      <w:pPr>
        <w:spacing w:line="360" w:lineRule="auto"/>
        <w:jc w:val="both"/>
        <w:rPr>
          <w:rFonts w:ascii="Palatino Linotype" w:eastAsia="Palatino Linotype" w:hAnsi="Palatino Linotype" w:cs="Palatino Linotype"/>
          <w:color w:val="000000"/>
        </w:rPr>
      </w:pPr>
    </w:p>
    <w:p w14:paraId="4EC74A68" w14:textId="77777777" w:rsidR="005C3562" w:rsidRPr="00CC3D1B" w:rsidRDefault="005C3562"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Para referir el </w:t>
      </w:r>
      <w:r w:rsidRPr="00CC3D1B">
        <w:rPr>
          <w:rFonts w:ascii="Palatino Linotype" w:eastAsia="Palatino Linotype" w:hAnsi="Palatino Linotype" w:cs="Palatino Linotype"/>
          <w:b/>
        </w:rPr>
        <w:t>catálogo de proveedores</w:t>
      </w:r>
      <w:r w:rsidRPr="00CC3D1B">
        <w:rPr>
          <w:rFonts w:ascii="Palatino Linotype" w:eastAsia="Palatino Linotype" w:hAnsi="Palatino Linotype" w:cs="Palatino Linotype"/>
        </w:rPr>
        <w:t>, se atrae al estudio el artículo 21, de la Ley de Contratación Pública del Estado de México y Municipios, que a la letra, señala:</w:t>
      </w:r>
    </w:p>
    <w:p w14:paraId="4E7E6600" w14:textId="77777777" w:rsidR="005C3562" w:rsidRPr="00CC3D1B" w:rsidRDefault="005C3562" w:rsidP="00BC6E92">
      <w:pPr>
        <w:jc w:val="center"/>
        <w:rPr>
          <w:rFonts w:ascii="Palatino Linotype" w:eastAsia="Palatino Linotype" w:hAnsi="Palatino Linotype" w:cs="Palatino Linotype"/>
          <w:b/>
          <w:i/>
        </w:rPr>
      </w:pPr>
      <w:r w:rsidRPr="00CC3D1B">
        <w:rPr>
          <w:rFonts w:ascii="Palatino Linotype" w:eastAsia="Palatino Linotype" w:hAnsi="Palatino Linotype" w:cs="Palatino Linotype"/>
          <w:b/>
          <w:i/>
        </w:rPr>
        <w:t>Ley de Contratación Pública del Estado de México y Municipios</w:t>
      </w:r>
    </w:p>
    <w:p w14:paraId="621BEF41" w14:textId="77777777" w:rsidR="005C3562" w:rsidRPr="00CC3D1B" w:rsidRDefault="005C3562" w:rsidP="00BC6E92">
      <w:pPr>
        <w:jc w:val="center"/>
        <w:rPr>
          <w:rFonts w:ascii="Palatino Linotype" w:eastAsia="Palatino Linotype" w:hAnsi="Palatino Linotype" w:cs="Palatino Linotype"/>
          <w:b/>
          <w:i/>
        </w:rPr>
      </w:pPr>
    </w:p>
    <w:p w14:paraId="64B687F9"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b/>
          <w:i/>
          <w:color w:val="000000"/>
        </w:rPr>
        <w:t xml:space="preserve">Artículo 21.- </w:t>
      </w:r>
      <w:r w:rsidRPr="00CC3D1B">
        <w:rPr>
          <w:rFonts w:ascii="Palatino Linotype" w:eastAsia="Palatino Linotype" w:hAnsi="Palatino Linotype" w:cs="Palatino Linotype"/>
          <w:i/>
          <w:color w:val="000000"/>
        </w:rPr>
        <w:t xml:space="preserve">A fin de conocer la capacidad administrativa, financiera, legal y técnica de las fuentes de suministro, la Oficialía Mayor y </w:t>
      </w:r>
      <w:r w:rsidRPr="00CC3D1B">
        <w:rPr>
          <w:rFonts w:ascii="Palatino Linotype" w:eastAsia="Palatino Linotype" w:hAnsi="Palatino Linotype" w:cs="Palatino Linotype"/>
          <w:b/>
          <w:i/>
          <w:color w:val="000000"/>
        </w:rPr>
        <w:t>los ayuntamientos integrarán un catálogo de proveedores y de prestadores de servicios</w:t>
      </w:r>
      <w:r w:rsidRPr="00CC3D1B">
        <w:rPr>
          <w:rFonts w:ascii="Palatino Linotype" w:eastAsia="Palatino Linotype" w:hAnsi="Palatino Linotype" w:cs="Palatino Linotype"/>
          <w:i/>
          <w:color w:val="000000"/>
        </w:rPr>
        <w:t xml:space="preserve">. </w:t>
      </w:r>
    </w:p>
    <w:p w14:paraId="498B42DC"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i/>
          <w:color w:val="000000"/>
        </w:rPr>
      </w:pPr>
    </w:p>
    <w:p w14:paraId="7E90BEDF"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Gobierno Digital, los proveedores y prestadores de servicios que deseen participar en los procedimientos que deban desahogarse por conducto del COMPRAMEX. </w:t>
      </w:r>
    </w:p>
    <w:p w14:paraId="11F75FC2"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i/>
          <w:color w:val="000000"/>
        </w:rPr>
      </w:pPr>
    </w:p>
    <w:p w14:paraId="5A215AEF"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lastRenderedPageBreak/>
        <w:t>La falta de inscripción en dicho catálogo no limitará la libre concurrencia de los interesados a los procedimientos adquisitivos regulados por esta Ley.</w:t>
      </w:r>
    </w:p>
    <w:p w14:paraId="4CAA6B46"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i/>
        </w:rPr>
      </w:pPr>
    </w:p>
    <w:p w14:paraId="40E23E36"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b/>
          <w:i/>
          <w:color w:val="000000"/>
        </w:rPr>
      </w:pPr>
    </w:p>
    <w:p w14:paraId="42797908" w14:textId="77777777" w:rsidR="005C3562" w:rsidRPr="00CC3D1B" w:rsidRDefault="005C3562"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Como se advierte, la finalidad del catálogo de consiste en proporcionar a los entes públicos la posibilidad de conocer la capacidad administrativa, financiera, legal y técnica de las fuentes de suministro o los proveedores de bienes y servicios, no obstante, la inscripción a dicho catálogo es prerrogativa de los interesados, y la falta de ésta, no es una limitante para que puedan concurrir a los procedimientos adquisitivos.</w:t>
      </w:r>
    </w:p>
    <w:p w14:paraId="4924F276" w14:textId="77777777" w:rsidR="005C3562" w:rsidRPr="00CC3D1B" w:rsidRDefault="005C3562" w:rsidP="00BC6E92">
      <w:pPr>
        <w:spacing w:line="360" w:lineRule="auto"/>
        <w:jc w:val="both"/>
        <w:rPr>
          <w:rFonts w:ascii="Palatino Linotype" w:eastAsia="Palatino Linotype" w:hAnsi="Palatino Linotype" w:cs="Palatino Linotype"/>
        </w:rPr>
      </w:pPr>
    </w:p>
    <w:p w14:paraId="29766871" w14:textId="77777777" w:rsidR="005C3562" w:rsidRPr="00CC3D1B" w:rsidRDefault="005C3562"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Asimismo, el artículo 92, fracción XXXVI, de la Ley de Transparencia y Acceso a la Información Pública del Estado de México y Municipios señala la información correspondiente al </w:t>
      </w:r>
      <w:r w:rsidRPr="00CC3D1B">
        <w:rPr>
          <w:rFonts w:ascii="Palatino Linotype" w:eastAsia="Palatino Linotype" w:hAnsi="Palatino Linotype" w:cs="Palatino Linotype"/>
          <w:b/>
        </w:rPr>
        <w:t xml:space="preserve">Padrón de proveedores y contratistas, </w:t>
      </w:r>
      <w:r w:rsidRPr="00CC3D1B">
        <w:rPr>
          <w:rFonts w:ascii="Palatino Linotype" w:eastAsia="Palatino Linotype" w:hAnsi="Palatino Linotype" w:cs="Palatino Linotype"/>
        </w:rPr>
        <w:t>como una obligación de transparencia común.</w:t>
      </w:r>
    </w:p>
    <w:p w14:paraId="70E092F7" w14:textId="77777777" w:rsidR="00336B17" w:rsidRPr="00CC3D1B" w:rsidRDefault="00336B17" w:rsidP="00BC6E92">
      <w:pPr>
        <w:pBdr>
          <w:top w:val="nil"/>
          <w:left w:val="nil"/>
          <w:bottom w:val="nil"/>
          <w:right w:val="nil"/>
          <w:between w:val="nil"/>
        </w:pBdr>
        <w:jc w:val="center"/>
        <w:rPr>
          <w:rFonts w:ascii="Palatino Linotype" w:eastAsia="Palatino Linotype" w:hAnsi="Palatino Linotype" w:cs="Palatino Linotype"/>
          <w:b/>
          <w:i/>
          <w:color w:val="000000"/>
        </w:rPr>
      </w:pPr>
      <w:r w:rsidRPr="00CC3D1B">
        <w:rPr>
          <w:rFonts w:ascii="Palatino Linotype" w:eastAsia="Palatino Linotype" w:hAnsi="Palatino Linotype" w:cs="Palatino Linotype"/>
          <w:b/>
          <w:i/>
          <w:color w:val="000000"/>
        </w:rPr>
        <w:t>De las Obligaciones de Transparencia Comunes</w:t>
      </w:r>
    </w:p>
    <w:p w14:paraId="7272F55B" w14:textId="77777777" w:rsidR="00336B17" w:rsidRPr="00CC3D1B" w:rsidRDefault="00336B17" w:rsidP="00BC6E92">
      <w:pPr>
        <w:pBdr>
          <w:top w:val="nil"/>
          <w:left w:val="nil"/>
          <w:bottom w:val="nil"/>
          <w:right w:val="nil"/>
          <w:between w:val="nil"/>
        </w:pBdr>
        <w:jc w:val="both"/>
        <w:rPr>
          <w:rFonts w:ascii="Palatino Linotype" w:eastAsia="Palatino Linotype" w:hAnsi="Palatino Linotype" w:cs="Palatino Linotype"/>
          <w:i/>
          <w:color w:val="000000"/>
        </w:rPr>
      </w:pPr>
    </w:p>
    <w:p w14:paraId="3F3B85FE" w14:textId="77777777" w:rsidR="00336B17" w:rsidRPr="00CC3D1B" w:rsidRDefault="00336B17" w:rsidP="00BC6E92">
      <w:pPr>
        <w:pBdr>
          <w:top w:val="nil"/>
          <w:left w:val="nil"/>
          <w:bottom w:val="nil"/>
          <w:right w:val="nil"/>
          <w:between w:val="nil"/>
        </w:pBd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b/>
          <w:i/>
          <w:color w:val="000000"/>
        </w:rPr>
        <w:t>Artículo 92.</w:t>
      </w:r>
      <w:r w:rsidRPr="00CC3D1B">
        <w:rPr>
          <w:rFonts w:ascii="Palatino Linotype" w:eastAsia="Palatino Linotype" w:hAnsi="Palatino Linotype" w:cs="Palatino Linotype"/>
          <w:i/>
          <w:color w:val="00000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9902455" w14:textId="77777777" w:rsidR="00336B17" w:rsidRPr="00CC3D1B" w:rsidRDefault="00336B17" w:rsidP="00BC6E92">
      <w:pPr>
        <w:pBdr>
          <w:top w:val="nil"/>
          <w:left w:val="nil"/>
          <w:bottom w:val="nil"/>
          <w:right w:val="nil"/>
          <w:between w:val="nil"/>
        </w:pBd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t>…</w:t>
      </w:r>
    </w:p>
    <w:p w14:paraId="59CEC085" w14:textId="77777777" w:rsidR="001A3649" w:rsidRPr="00CC3D1B" w:rsidRDefault="001A3649" w:rsidP="00BC6E92">
      <w:pPr>
        <w:pBdr>
          <w:top w:val="nil"/>
          <w:left w:val="nil"/>
          <w:bottom w:val="nil"/>
          <w:right w:val="nil"/>
          <w:between w:val="nil"/>
        </w:pBdr>
        <w:jc w:val="both"/>
        <w:rPr>
          <w:rFonts w:ascii="Palatino Linotype" w:eastAsia="Palatino Linotype" w:hAnsi="Palatino Linotype" w:cs="Palatino Linotype"/>
          <w:b/>
          <w:i/>
          <w:color w:val="000000"/>
        </w:rPr>
      </w:pPr>
      <w:r w:rsidRPr="00CC3D1B">
        <w:rPr>
          <w:rFonts w:ascii="Palatino Linotype" w:eastAsia="Palatino Linotype" w:hAnsi="Palatino Linotype" w:cs="Palatino Linotype"/>
          <w:b/>
          <w:i/>
          <w:color w:val="000000"/>
        </w:rPr>
        <w:t>XXXVI. Padrón de proveedores y contratistas;</w:t>
      </w:r>
    </w:p>
    <w:p w14:paraId="6BBCA0E1" w14:textId="77777777" w:rsidR="001A3649" w:rsidRPr="00CC3D1B" w:rsidRDefault="001A3649" w:rsidP="00BC6E92">
      <w:pPr>
        <w:pBdr>
          <w:top w:val="nil"/>
          <w:left w:val="nil"/>
          <w:bottom w:val="nil"/>
          <w:right w:val="nil"/>
          <w:between w:val="nil"/>
        </w:pBdr>
        <w:jc w:val="both"/>
        <w:rPr>
          <w:rFonts w:ascii="Palatino Linotype" w:eastAsia="Palatino Linotype" w:hAnsi="Palatino Linotype" w:cs="Palatino Linotype"/>
          <w:b/>
          <w:i/>
          <w:color w:val="000000"/>
        </w:rPr>
      </w:pPr>
      <w:r w:rsidRPr="00CC3D1B">
        <w:rPr>
          <w:rFonts w:ascii="Palatino Linotype" w:eastAsia="Palatino Linotype" w:hAnsi="Palatino Linotype" w:cs="Palatino Linotype"/>
          <w:b/>
          <w:i/>
          <w:color w:val="000000"/>
        </w:rPr>
        <w:t>…</w:t>
      </w:r>
    </w:p>
    <w:p w14:paraId="3E74CD87" w14:textId="77777777" w:rsidR="00336B17" w:rsidRPr="00CC3D1B" w:rsidRDefault="00336B17" w:rsidP="00BC6E92">
      <w:pPr>
        <w:pBdr>
          <w:top w:val="nil"/>
          <w:left w:val="nil"/>
          <w:bottom w:val="nil"/>
          <w:right w:val="nil"/>
          <w:between w:val="nil"/>
        </w:pBdr>
        <w:jc w:val="both"/>
        <w:rPr>
          <w:rFonts w:ascii="Palatino Linotype" w:eastAsia="Palatino Linotype" w:hAnsi="Palatino Linotype" w:cs="Palatino Linotype"/>
          <w:i/>
          <w:color w:val="000000"/>
        </w:rPr>
      </w:pPr>
    </w:p>
    <w:p w14:paraId="21FD7C33" w14:textId="77777777" w:rsidR="005C3562" w:rsidRPr="00CC3D1B" w:rsidRDefault="005C3562" w:rsidP="00BC6E92">
      <w:pPr>
        <w:spacing w:line="360" w:lineRule="auto"/>
        <w:jc w:val="both"/>
        <w:rPr>
          <w:rFonts w:ascii="Palatino Linotype" w:eastAsia="Palatino Linotype" w:hAnsi="Palatino Linotype" w:cs="Palatino Linotype"/>
        </w:rPr>
      </w:pPr>
    </w:p>
    <w:p w14:paraId="1492874C" w14:textId="77777777" w:rsidR="005C3562" w:rsidRPr="00CC3D1B" w:rsidRDefault="005C3562"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En el mismo orden de ideas,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w:t>
      </w:r>
      <w:r w:rsidRPr="00CC3D1B">
        <w:rPr>
          <w:rFonts w:ascii="Palatino Linotype" w:eastAsia="Palatino Linotype" w:hAnsi="Palatino Linotype" w:cs="Palatino Linotype"/>
        </w:rPr>
        <w:lastRenderedPageBreak/>
        <w:t xml:space="preserve">Internet y en la Plataforma Nacional de Transparencia, refieren sobre la obligación de transparencia común relativa a </w:t>
      </w:r>
      <w:r w:rsidRPr="00CC3D1B">
        <w:rPr>
          <w:rFonts w:ascii="Palatino Linotype" w:eastAsia="Palatino Linotype" w:hAnsi="Palatino Linotype" w:cs="Palatino Linotype"/>
          <w:b/>
        </w:rPr>
        <w:t>Padrón de proveedores y contratistas:</w:t>
      </w:r>
    </w:p>
    <w:p w14:paraId="545D2F1F" w14:textId="77777777" w:rsidR="005C3562" w:rsidRPr="00CC3D1B" w:rsidRDefault="005C3562" w:rsidP="00BC6E92">
      <w:pPr>
        <w:spacing w:line="360" w:lineRule="auto"/>
        <w:jc w:val="both"/>
        <w:rPr>
          <w:rFonts w:ascii="Palatino Linotype" w:eastAsia="Palatino Linotype" w:hAnsi="Palatino Linotype" w:cs="Palatino Linotype"/>
        </w:rPr>
      </w:pPr>
    </w:p>
    <w:p w14:paraId="15E5A12A"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t xml:space="preserve">XXXII. </w:t>
      </w:r>
      <w:r w:rsidRPr="00CC3D1B">
        <w:rPr>
          <w:rFonts w:ascii="Palatino Linotype" w:eastAsia="Palatino Linotype" w:hAnsi="Palatino Linotype" w:cs="Palatino Linotype"/>
          <w:b/>
          <w:i/>
          <w:color w:val="000000"/>
        </w:rPr>
        <w:t>Padrón de proveedores y contratistas</w:t>
      </w:r>
      <w:r w:rsidRPr="00CC3D1B">
        <w:rPr>
          <w:rFonts w:ascii="Palatino Linotype" w:eastAsia="Palatino Linotype" w:hAnsi="Palatino Linotype" w:cs="Palatino Linotype"/>
          <w:i/>
          <w:color w:val="000000"/>
        </w:rPr>
        <w:t xml:space="preserve"> </w:t>
      </w:r>
    </w:p>
    <w:p w14:paraId="25648720"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i/>
          <w:color w:val="000000"/>
        </w:rPr>
      </w:pPr>
    </w:p>
    <w:p w14:paraId="1CA09950" w14:textId="77777777" w:rsidR="005C3562" w:rsidRPr="00CC3D1B" w:rsidRDefault="005C3562" w:rsidP="00BC6E92">
      <w:pPr>
        <w:pBdr>
          <w:top w:val="nil"/>
          <w:left w:val="nil"/>
          <w:bottom w:val="nil"/>
          <w:right w:val="nil"/>
          <w:between w:val="nil"/>
        </w:pBd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i/>
          <w:color w:val="000000"/>
        </w:rPr>
        <w:t>En cumplimiento a la presente fracción, los sujetos obligados deberán publicar la información relativa a las personas físicas128 y morales con las que celebren contratos de adquisiciones, pedidos, arrendamientos, servicios, obras públicas y/o servicios relacionados con las mismas durante el periodo que se informa, dicho listado o padrón deberá actualizarse por lo menos cada tres meses…</w:t>
      </w:r>
    </w:p>
    <w:p w14:paraId="58265EDD" w14:textId="77777777" w:rsidR="005C3562" w:rsidRPr="00CC3D1B" w:rsidRDefault="005C3562" w:rsidP="00BC6E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3122517" w14:textId="77777777" w:rsidR="005C3562" w:rsidRPr="00CC3D1B" w:rsidRDefault="005C3562"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De la normatividad en cita, la integración del catálogo de proveedores y </w:t>
      </w:r>
      <w:r w:rsidR="00B214E4" w:rsidRPr="00CC3D1B">
        <w:rPr>
          <w:rFonts w:ascii="Palatino Linotype" w:eastAsia="Palatino Linotype" w:hAnsi="Palatino Linotype" w:cs="Palatino Linotype"/>
        </w:rPr>
        <w:t>contratistas</w:t>
      </w:r>
      <w:r w:rsidRPr="00CC3D1B">
        <w:rPr>
          <w:rFonts w:ascii="Palatino Linotype" w:eastAsia="Palatino Linotype" w:hAnsi="Palatino Linotype" w:cs="Palatino Linotype"/>
        </w:rPr>
        <w:t xml:space="preserve">, es una </w:t>
      </w:r>
      <w:r w:rsidR="00B214E4" w:rsidRPr="00CC3D1B">
        <w:rPr>
          <w:rFonts w:ascii="Palatino Linotype" w:eastAsia="Palatino Linotype" w:hAnsi="Palatino Linotype" w:cs="Palatino Linotype"/>
        </w:rPr>
        <w:t>obligación de transparencia común</w:t>
      </w:r>
      <w:r w:rsidRPr="00CC3D1B">
        <w:rPr>
          <w:rFonts w:ascii="Palatino Linotype" w:eastAsia="Palatino Linotype" w:hAnsi="Palatino Linotype" w:cs="Palatino Linotype"/>
        </w:rPr>
        <w:t xml:space="preserve"> para los Ayuntamientos</w:t>
      </w:r>
      <w:r w:rsidR="00B214E4" w:rsidRPr="00CC3D1B">
        <w:rPr>
          <w:rFonts w:ascii="Palatino Linotype" w:eastAsia="Palatino Linotype" w:hAnsi="Palatino Linotype" w:cs="Palatino Linotype"/>
        </w:rPr>
        <w:t>.</w:t>
      </w:r>
    </w:p>
    <w:p w14:paraId="7A25D744" w14:textId="77777777" w:rsidR="00B214E4" w:rsidRPr="00CC3D1B" w:rsidRDefault="00B214E4" w:rsidP="00BC6E92">
      <w:pPr>
        <w:spacing w:line="360" w:lineRule="auto"/>
        <w:jc w:val="both"/>
        <w:rPr>
          <w:rFonts w:ascii="Palatino Linotype" w:eastAsia="Palatino Linotype" w:hAnsi="Palatino Linotype" w:cs="Palatino Linotype"/>
        </w:rPr>
      </w:pPr>
    </w:p>
    <w:p w14:paraId="18C04BD5" w14:textId="77777777" w:rsidR="00B214E4" w:rsidRPr="00CC3D1B" w:rsidRDefault="00B214E4" w:rsidP="00BC6E92">
      <w:pPr>
        <w:numPr>
          <w:ilvl w:val="0"/>
          <w:numId w:val="2"/>
        </w:numPr>
        <w:spacing w:line="360" w:lineRule="auto"/>
        <w:ind w:left="0" w:firstLine="0"/>
        <w:jc w:val="both"/>
        <w:rPr>
          <w:rFonts w:ascii="Palatino Linotype" w:eastAsia="Palatino Linotype" w:hAnsi="Palatino Linotype" w:cs="Palatino Linotype"/>
          <w:b/>
        </w:rPr>
      </w:pPr>
      <w:r w:rsidRPr="00CC3D1B">
        <w:rPr>
          <w:rFonts w:ascii="Palatino Linotype" w:eastAsia="Palatino Linotype" w:hAnsi="Palatino Linotype" w:cs="Palatino Linotype"/>
        </w:rPr>
        <w:t xml:space="preserve">En este sentido, el Sujeto Obligado se pronunció en respuesta primigenia a través del Director de Obras Públicas a través del cual refiere que al día de la fecha en esa Dirección </w:t>
      </w:r>
      <w:r w:rsidRPr="00CC3D1B">
        <w:rPr>
          <w:rFonts w:ascii="Palatino Linotype" w:eastAsia="Palatino Linotype" w:hAnsi="Palatino Linotype" w:cs="Palatino Linotype"/>
          <w:b/>
        </w:rPr>
        <w:t>no se cuenta con los datos solicitados,</w:t>
      </w:r>
      <w:r w:rsidRPr="00CC3D1B">
        <w:rPr>
          <w:rFonts w:ascii="Palatino Linotype" w:eastAsia="Palatino Linotype" w:hAnsi="Palatino Linotype" w:cs="Palatino Linotype"/>
        </w:rPr>
        <w:t xml:space="preserve"> en consecuencia el particular se dolió por la negativa de la información, acto posterior el Sujeto Obligado a través del Director de Obras Públicas ratifica su respuesta inicial refiriendo que la información que solicita no se encuentra en el archivo después de una búsqueda exhaustiva de la Dirección de Obras Públicas. No obstante, se agrega información novedosa mediante el pronunciamiento el </w:t>
      </w:r>
      <w:r w:rsidRPr="00CC3D1B">
        <w:rPr>
          <w:rFonts w:ascii="Palatino Linotype" w:eastAsia="Palatino Linotype" w:hAnsi="Palatino Linotype" w:cs="Palatino Linotype"/>
          <w:b/>
        </w:rPr>
        <w:t>Director de Administración</w:t>
      </w:r>
      <w:r w:rsidRPr="00CC3D1B">
        <w:rPr>
          <w:rFonts w:ascii="Palatino Linotype" w:eastAsia="Palatino Linotype" w:hAnsi="Palatino Linotype" w:cs="Palatino Linotype"/>
        </w:rPr>
        <w:t xml:space="preserve">, a través del cual, en aras de dar atención al medio de impugnación, adjunta la información solicitada, </w:t>
      </w:r>
      <w:r w:rsidRPr="00CC3D1B">
        <w:rPr>
          <w:rFonts w:ascii="Palatino Linotype" w:eastAsia="Palatino Linotype" w:hAnsi="Palatino Linotype" w:cs="Palatino Linotype"/>
          <w:b/>
        </w:rPr>
        <w:t>remitiendo un listado de proveedores en la que se puede apreciar el nombre de los mismos</w:t>
      </w:r>
      <w:r w:rsidRPr="00CC3D1B">
        <w:rPr>
          <w:rFonts w:ascii="Palatino Linotype" w:eastAsia="Palatino Linotype" w:hAnsi="Palatino Linotype" w:cs="Palatino Linotype"/>
        </w:rPr>
        <w:t>, tal como se muestra en la siguiente imagen:</w:t>
      </w:r>
    </w:p>
    <w:p w14:paraId="2429F53C" w14:textId="77777777" w:rsidR="00B214E4" w:rsidRPr="00CC3D1B" w:rsidRDefault="00B214E4" w:rsidP="00BC6E92">
      <w:pPr>
        <w:spacing w:line="360" w:lineRule="auto"/>
        <w:jc w:val="both"/>
        <w:rPr>
          <w:rFonts w:ascii="Palatino Linotype" w:eastAsia="Palatino Linotype" w:hAnsi="Palatino Linotype" w:cs="Palatino Linotype"/>
        </w:rPr>
      </w:pPr>
    </w:p>
    <w:p w14:paraId="78B1C3E1" w14:textId="77777777" w:rsidR="00B214E4" w:rsidRPr="00CC3D1B" w:rsidRDefault="00B214E4" w:rsidP="00BC6E92">
      <w:pPr>
        <w:spacing w:line="360" w:lineRule="auto"/>
        <w:jc w:val="center"/>
        <w:rPr>
          <w:rFonts w:ascii="Palatino Linotype" w:eastAsia="Palatino Linotype" w:hAnsi="Palatino Linotype" w:cs="Palatino Linotype"/>
        </w:rPr>
      </w:pPr>
      <w:r w:rsidRPr="00CC3D1B">
        <w:rPr>
          <w:rFonts w:ascii="Palatino Linotype" w:eastAsia="Palatino Linotype" w:hAnsi="Palatino Linotype" w:cs="Palatino Linotype"/>
          <w:noProof/>
          <w:lang w:val="es-MX" w:eastAsia="es-MX"/>
        </w:rPr>
        <w:lastRenderedPageBreak/>
        <w:drawing>
          <wp:inline distT="0" distB="0" distL="0" distR="0" wp14:anchorId="2B318EDA" wp14:editId="2741F8B8">
            <wp:extent cx="1257057" cy="3231557"/>
            <wp:effectExtent l="152400" t="152400" r="362585"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7446" cy="3283973"/>
                    </a:xfrm>
                    <a:prstGeom prst="rect">
                      <a:avLst/>
                    </a:prstGeom>
                    <a:ln>
                      <a:noFill/>
                    </a:ln>
                    <a:effectLst>
                      <a:outerShdw blurRad="292100" dist="139700" dir="2700000" algn="tl" rotWithShape="0">
                        <a:srgbClr val="333333">
                          <a:alpha val="65000"/>
                        </a:srgbClr>
                      </a:outerShdw>
                    </a:effectLst>
                  </pic:spPr>
                </pic:pic>
              </a:graphicData>
            </a:graphic>
          </wp:inline>
        </w:drawing>
      </w:r>
    </w:p>
    <w:p w14:paraId="56B47AB5" w14:textId="77777777" w:rsidR="005C3562" w:rsidRPr="00CC3D1B" w:rsidRDefault="005C3562" w:rsidP="00BC6E92">
      <w:pPr>
        <w:pBdr>
          <w:top w:val="nil"/>
          <w:left w:val="nil"/>
          <w:bottom w:val="nil"/>
          <w:right w:val="nil"/>
          <w:between w:val="nil"/>
        </w:pBdr>
        <w:spacing w:line="360" w:lineRule="auto"/>
        <w:jc w:val="both"/>
        <w:rPr>
          <w:rFonts w:ascii="Palatino Linotype" w:eastAsia="Palatino Linotype" w:hAnsi="Palatino Linotype" w:cs="Palatino Linotype"/>
        </w:rPr>
      </w:pPr>
    </w:p>
    <w:p w14:paraId="64D46837" w14:textId="77777777" w:rsidR="00B214E4" w:rsidRPr="00CC3D1B" w:rsidRDefault="00B214E4" w:rsidP="00BC6E92">
      <w:pPr>
        <w:numPr>
          <w:ilvl w:val="0"/>
          <w:numId w:val="2"/>
        </w:numPr>
        <w:spacing w:line="360" w:lineRule="auto"/>
        <w:ind w:left="0" w:firstLine="0"/>
        <w:jc w:val="both"/>
        <w:rPr>
          <w:rFonts w:ascii="Palatino Linotype" w:eastAsia="Palatino Linotype" w:hAnsi="Palatino Linotype" w:cs="Palatino Linotype"/>
          <w:b/>
          <w:color w:val="000000"/>
          <w:u w:val="single"/>
        </w:rPr>
      </w:pPr>
      <w:r w:rsidRPr="00CC3D1B">
        <w:rPr>
          <w:rFonts w:ascii="Palatino Linotype" w:eastAsia="Palatino Linotype" w:hAnsi="Palatino Linotype" w:cs="Palatino Linotype"/>
          <w:color w:val="000000"/>
        </w:rPr>
        <w:t xml:space="preserve">En este sentido y derivado de la solicitud de información el particular requiere </w:t>
      </w:r>
      <w:r w:rsidRPr="00CC3D1B">
        <w:rPr>
          <w:rFonts w:ascii="Palatino Linotype" w:eastAsia="Palatino Linotype" w:hAnsi="Palatino Linotype" w:cs="Palatino Linotype"/>
          <w:i/>
          <w:color w:val="000000"/>
          <w:u w:val="single"/>
        </w:rPr>
        <w:t>Nombre de los proveedores y contratistas para la administración 2025-2027</w:t>
      </w:r>
      <w:r w:rsidRPr="00CC3D1B">
        <w:rPr>
          <w:rFonts w:ascii="Palatino Linotype" w:eastAsia="Palatino Linotype" w:hAnsi="Palatino Linotype" w:cs="Palatino Linotype"/>
          <w:color w:val="000000"/>
          <w:u w:val="single"/>
        </w:rPr>
        <w:t>,</w:t>
      </w:r>
      <w:r w:rsidRPr="00CC3D1B">
        <w:rPr>
          <w:rFonts w:ascii="Palatino Linotype" w:eastAsia="Palatino Linotype" w:hAnsi="Palatino Linotype" w:cs="Palatino Linotype"/>
          <w:color w:val="000000"/>
        </w:rPr>
        <w:t xml:space="preserve"> por lo que al remitir tal documental, se tiene por atendido el requerimiento del solicitante.</w:t>
      </w:r>
    </w:p>
    <w:p w14:paraId="43AEE67D" w14:textId="77777777" w:rsidR="00837131" w:rsidRPr="00CC3D1B" w:rsidRDefault="00837131" w:rsidP="00BC6E92">
      <w:pPr>
        <w:spacing w:line="360" w:lineRule="auto"/>
        <w:jc w:val="both"/>
        <w:rPr>
          <w:rFonts w:ascii="Palatino Linotype" w:eastAsia="Palatino Linotype" w:hAnsi="Palatino Linotype" w:cs="Palatino Linotype"/>
          <w:color w:val="000000"/>
        </w:rPr>
      </w:pPr>
    </w:p>
    <w:p w14:paraId="27CD2174" w14:textId="77777777" w:rsidR="00837131" w:rsidRPr="00CC3D1B" w:rsidRDefault="00837131"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 xml:space="preserve">Ya que, si bien es cierto los sujetos obligados no se encuentran obligados a generar documentos </w:t>
      </w:r>
      <w:r w:rsidRPr="00CC3D1B">
        <w:rPr>
          <w:rFonts w:ascii="Palatino Linotype" w:eastAsia="Palatino Linotype" w:hAnsi="Palatino Linotype" w:cs="Palatino Linotype"/>
          <w:i/>
          <w:color w:val="000000"/>
        </w:rPr>
        <w:t>ad hoc</w:t>
      </w:r>
      <w:r w:rsidRPr="00CC3D1B">
        <w:rPr>
          <w:rFonts w:ascii="Palatino Linotype" w:eastAsia="Palatino Linotype" w:hAnsi="Palatino Linotype" w:cs="Palatino Linotype"/>
          <w:color w:val="000000"/>
        </w:rPr>
        <w:t xml:space="preserve"> para atender las solicitudes de información de los particulares conforme a sus intereses del solicitante (como se advierte del caso concreto con el documento remitido en informe justificado), como apoyo a lo anterior, es aplicable por analogía el </w:t>
      </w:r>
      <w:r w:rsidRPr="00CC3D1B">
        <w:rPr>
          <w:rFonts w:ascii="Palatino Linotype" w:eastAsia="Palatino Linotype" w:hAnsi="Palatino Linotype" w:cs="Palatino Linotype"/>
          <w:b/>
          <w:color w:val="000000"/>
        </w:rPr>
        <w:t>Criterio orientador 03/17</w:t>
      </w:r>
      <w:r w:rsidRPr="00CC3D1B">
        <w:rPr>
          <w:rFonts w:ascii="Palatino Linotype" w:eastAsia="Palatino Linotype" w:hAnsi="Palatino Linotype" w:cs="Palatino Linotype"/>
          <w:color w:val="000000"/>
        </w:rPr>
        <w:t>, emitido por el Pleno del Instituto Nacional de Transparencia, Acceso a la Información y Protección de Datos Personales (INAI), que a la letra dice:</w:t>
      </w:r>
    </w:p>
    <w:p w14:paraId="03892308" w14:textId="77777777" w:rsidR="00837131" w:rsidRPr="00CC3D1B" w:rsidRDefault="00837131" w:rsidP="00BC6E92">
      <w:pPr>
        <w:spacing w:line="360" w:lineRule="auto"/>
        <w:jc w:val="both"/>
        <w:rPr>
          <w:rFonts w:ascii="Palatino Linotype" w:hAnsi="Palatino Linotype"/>
          <w:color w:val="000000"/>
        </w:rPr>
      </w:pPr>
    </w:p>
    <w:p w14:paraId="3F118CC0" w14:textId="77777777" w:rsidR="00837131" w:rsidRPr="00CC3D1B" w:rsidRDefault="00837131" w:rsidP="00BC6E92">
      <w:pPr>
        <w:pBdr>
          <w:top w:val="nil"/>
          <w:left w:val="nil"/>
          <w:bottom w:val="nil"/>
          <w:right w:val="nil"/>
          <w:between w:val="nil"/>
        </w:pBdr>
        <w:jc w:val="both"/>
        <w:rPr>
          <w:rFonts w:ascii="Palatino Linotype" w:eastAsia="Palatino Linotype" w:hAnsi="Palatino Linotype" w:cs="Palatino Linotype"/>
          <w:i/>
          <w:color w:val="000000"/>
        </w:rPr>
      </w:pPr>
      <w:r w:rsidRPr="00CC3D1B">
        <w:rPr>
          <w:rFonts w:ascii="Palatino Linotype" w:eastAsia="Palatino Linotype" w:hAnsi="Palatino Linotype" w:cs="Palatino Linotype"/>
          <w:b/>
          <w:i/>
          <w:color w:val="000000"/>
        </w:rPr>
        <w:lastRenderedPageBreak/>
        <w:t xml:space="preserve">“No existe obligación de elaborar documentos ad hoc para atender las solicitudes de acceso a la información. </w:t>
      </w:r>
      <w:r w:rsidRPr="00CC3D1B">
        <w:rPr>
          <w:rFonts w:ascii="Palatino Linotype" w:eastAsia="Palatino Linotype" w:hAnsi="Palatino Linotype" w:cs="Palatino Linotype"/>
          <w:i/>
          <w:color w:val="00000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F5166FC" w14:textId="77777777" w:rsidR="00837131" w:rsidRPr="00CC3D1B" w:rsidRDefault="00837131" w:rsidP="00BC6E9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10E8A518" w14:textId="77777777" w:rsidR="00837131" w:rsidRPr="00CC3D1B" w:rsidRDefault="00837131"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 xml:space="preserve">También lo es que </w:t>
      </w:r>
      <w:r w:rsidRPr="00CC3D1B">
        <w:rPr>
          <w:rFonts w:ascii="Palatino Linotype" w:eastAsia="Palatino Linotype" w:hAnsi="Palatino Linotype" w:cs="Palatino Linotype"/>
          <w:b/>
          <w:color w:val="000000"/>
        </w:rPr>
        <w:t>no existe normatividad o precepto legal que lo impida</w:t>
      </w:r>
      <w:r w:rsidRPr="00CC3D1B">
        <w:rPr>
          <w:rFonts w:ascii="Palatino Linotype" w:eastAsia="Palatino Linotype" w:hAnsi="Palatino Linotype" w:cs="Palatino Linotype"/>
          <w:color w:val="000000"/>
        </w:rPr>
        <w:t xml:space="preserve">, de modo tal que un pronunciamiento que de atención a lo requerido eventualmente puede colmar el cumplimiento de la presente resolución, lo cual no implica que el </w:t>
      </w:r>
      <w:r w:rsidRPr="00CC3D1B">
        <w:rPr>
          <w:rFonts w:ascii="Palatino Linotype" w:eastAsia="Palatino Linotype" w:hAnsi="Palatino Linotype" w:cs="Palatino Linotype"/>
          <w:b/>
          <w:color w:val="000000"/>
        </w:rPr>
        <w:t>SUJETO OBLIGADO</w:t>
      </w:r>
      <w:r w:rsidRPr="00CC3D1B">
        <w:rPr>
          <w:rFonts w:ascii="Palatino Linotype" w:eastAsia="Palatino Linotype" w:hAnsi="Palatino Linotype" w:cs="Palatino Linotype"/>
          <w:color w:val="000000"/>
        </w:rPr>
        <w:t xml:space="preserve"> procese la información.</w:t>
      </w:r>
    </w:p>
    <w:p w14:paraId="48125180" w14:textId="77777777" w:rsidR="00837131" w:rsidRPr="00CC3D1B" w:rsidRDefault="00837131" w:rsidP="00BC6E92">
      <w:pPr>
        <w:spacing w:line="360" w:lineRule="auto"/>
        <w:jc w:val="both"/>
        <w:rPr>
          <w:rFonts w:ascii="Palatino Linotype" w:hAnsi="Palatino Linotype"/>
          <w:color w:val="000000"/>
        </w:rPr>
      </w:pPr>
    </w:p>
    <w:p w14:paraId="01CD75CB" w14:textId="77777777" w:rsidR="00837131" w:rsidRPr="00CC3D1B" w:rsidRDefault="00837131" w:rsidP="00BC6E92">
      <w:pPr>
        <w:numPr>
          <w:ilvl w:val="0"/>
          <w:numId w:val="2"/>
        </w:numPr>
        <w:spacing w:line="360" w:lineRule="auto"/>
        <w:ind w:left="0" w:firstLine="0"/>
        <w:jc w:val="both"/>
        <w:rPr>
          <w:rFonts w:ascii="Palatino Linotype" w:eastAsia="Palatino Linotype" w:hAnsi="Palatino Linotype" w:cs="Palatino Linotype"/>
          <w:color w:val="000000"/>
        </w:rPr>
      </w:pPr>
      <w:r w:rsidRPr="00CC3D1B">
        <w:rPr>
          <w:rFonts w:ascii="Palatino Linotype" w:eastAsia="Palatino Linotype" w:hAnsi="Palatino Linotype" w:cs="Palatino Linotype"/>
          <w:color w:val="000000"/>
        </w:rPr>
        <w:t>En consecuencia al haberse pronunciado el Sujeto Obligado con la relación de los nombres de los proveedores s</w:t>
      </w:r>
      <w:r w:rsidRPr="00CC3D1B">
        <w:rPr>
          <w:rFonts w:ascii="Palatino Linotype" w:hAnsi="Palatino Linotype"/>
          <w:b/>
        </w:rPr>
        <w:t>e dio atención de manera total al requerimiento vertido en la solicitud de información</w:t>
      </w:r>
      <w:r w:rsidRPr="00CC3D1B">
        <w:rPr>
          <w:rFonts w:ascii="Palatino Linotype" w:eastAsia="MS Mincho" w:hAnsi="Palatino Linotype" w:cs="Arial"/>
        </w:rPr>
        <w:t xml:space="preserve">, </w:t>
      </w:r>
      <w:r w:rsidRPr="00CC3D1B">
        <w:rPr>
          <w:rFonts w:ascii="Palatino Linotype" w:hAnsi="Palatino Linotype"/>
        </w:rPr>
        <w:t xml:space="preserve">al haber existido un pronunciamiento por parte del </w:t>
      </w:r>
      <w:r w:rsidRPr="00CC3D1B">
        <w:rPr>
          <w:rFonts w:ascii="Palatino Linotype" w:hAnsi="Palatino Linotype"/>
          <w:b/>
          <w:bCs/>
        </w:rPr>
        <w:t>SUJETO OBLIGADO</w:t>
      </w:r>
      <w:r w:rsidRPr="00CC3D1B">
        <w:rPr>
          <w:rFonts w:ascii="Palatino Linotype" w:hAnsi="Palatino Linotype"/>
        </w:rPr>
        <w:t>, a través de la unidad administrativa competente.</w:t>
      </w:r>
    </w:p>
    <w:p w14:paraId="422C9B80" w14:textId="77777777" w:rsidR="007058DD" w:rsidRPr="00CC3D1B" w:rsidRDefault="007058DD" w:rsidP="00BC6E92">
      <w:pPr>
        <w:spacing w:line="360" w:lineRule="auto"/>
        <w:jc w:val="both"/>
        <w:rPr>
          <w:rFonts w:ascii="Palatino Linotype" w:hAnsi="Palatino Linotype"/>
        </w:rPr>
      </w:pPr>
    </w:p>
    <w:p w14:paraId="44566487" w14:textId="77777777" w:rsidR="007058DD" w:rsidRPr="00CC3D1B" w:rsidRDefault="007058DD"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 xml:space="preserve">Luego entonces, al haberse revocado la respuesta inicial, resulta necesario invocar la fracción III del artículo 192, de la </w:t>
      </w:r>
      <w:r w:rsidRPr="00CC3D1B">
        <w:rPr>
          <w:rFonts w:ascii="Palatino Linotype" w:eastAsia="Palatino Linotype" w:hAnsi="Palatino Linotype" w:cs="Palatino Linotype"/>
          <w:b/>
          <w:color w:val="000000"/>
        </w:rPr>
        <w:t>Ley de Transparencia y Acceso a la Información Pública del Estado de México y Municipios</w:t>
      </w:r>
      <w:r w:rsidRPr="00CC3D1B">
        <w:rPr>
          <w:rFonts w:ascii="Palatino Linotype" w:eastAsia="Palatino Linotype" w:hAnsi="Palatino Linotype" w:cs="Palatino Linotype"/>
          <w:color w:val="000000"/>
        </w:rPr>
        <w:t xml:space="preserve">, por contener la causal de sobreseimiento relativa a que el Sujeto Obligado </w:t>
      </w:r>
      <w:r w:rsidRPr="00CC3D1B">
        <w:rPr>
          <w:rFonts w:ascii="Palatino Linotype" w:eastAsia="Palatino Linotype" w:hAnsi="Palatino Linotype" w:cs="Palatino Linotype"/>
          <w:b/>
          <w:color w:val="000000"/>
          <w:u w:val="single"/>
        </w:rPr>
        <w:t>modifique o revoque el acto</w:t>
      </w:r>
      <w:r w:rsidRPr="00CC3D1B">
        <w:rPr>
          <w:rFonts w:ascii="Palatino Linotype" w:eastAsia="Palatino Linotype" w:hAnsi="Palatino Linotype" w:cs="Palatino Linotype"/>
          <w:color w:val="000000"/>
        </w:rPr>
        <w:t>; de ahí que la actualización de alguno de éstos trae como consecuencia que el medio de impugnación se concluya sin que se analice el objeto de estudio planteado, es decir se sobresea.</w:t>
      </w:r>
    </w:p>
    <w:p w14:paraId="415B7685" w14:textId="77777777" w:rsidR="007058DD" w:rsidRPr="00CC3D1B" w:rsidRDefault="007058DD" w:rsidP="00BC6E92">
      <w:pPr>
        <w:spacing w:line="360" w:lineRule="auto"/>
        <w:jc w:val="both"/>
        <w:rPr>
          <w:rFonts w:ascii="Palatino Linotype" w:eastAsia="Palatino Linotype" w:hAnsi="Palatino Linotype" w:cs="Palatino Linotype"/>
        </w:rPr>
      </w:pPr>
    </w:p>
    <w:p w14:paraId="6CDEA03C" w14:textId="77777777" w:rsidR="007058DD" w:rsidRPr="00CC3D1B" w:rsidRDefault="007058DD"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lastRenderedPageBreak/>
        <w:t>Para los efectos de esta resolución, es oportuno precisar los alcances jurídicos de la fracción III de referencia, a saber:</w:t>
      </w:r>
    </w:p>
    <w:p w14:paraId="33B6086C" w14:textId="77777777" w:rsidR="007058DD" w:rsidRPr="00CC3D1B" w:rsidRDefault="007058DD" w:rsidP="00BC6E92">
      <w:pPr>
        <w:numPr>
          <w:ilvl w:val="0"/>
          <w:numId w:val="15"/>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b/>
        </w:rPr>
        <w:t>Modifique el acto impugnado:</w:t>
      </w:r>
      <w:r w:rsidRPr="00CC3D1B">
        <w:rPr>
          <w:rFonts w:ascii="Palatino Linotype" w:eastAsia="Palatino Linotype" w:hAnsi="Palatino Linotype" w:cs="Palatino Linotype"/>
        </w:rPr>
        <w:t xml:space="preserve"> Se actualiza cuando el </w:t>
      </w:r>
      <w:r w:rsidRPr="00CC3D1B">
        <w:rPr>
          <w:rFonts w:ascii="Palatino Linotype" w:eastAsia="Palatino Linotype" w:hAnsi="Palatino Linotype" w:cs="Palatino Linotype"/>
          <w:b/>
        </w:rPr>
        <w:t>SUJETO OBLIGADO</w:t>
      </w:r>
      <w:r w:rsidRPr="00CC3D1B">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14:paraId="696DDCFE" w14:textId="77777777" w:rsidR="007058DD" w:rsidRPr="00CC3D1B" w:rsidRDefault="007058DD" w:rsidP="00BC6E92">
      <w:pPr>
        <w:numPr>
          <w:ilvl w:val="0"/>
          <w:numId w:val="15"/>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b/>
        </w:rPr>
        <w:t>Revoque el acto impugnado:</w:t>
      </w:r>
      <w:r w:rsidRPr="00CC3D1B">
        <w:rPr>
          <w:rFonts w:ascii="Palatino Linotype" w:eastAsia="Palatino Linotype" w:hAnsi="Palatino Linotype" w:cs="Palatino Linotype"/>
        </w:rPr>
        <w:t xml:space="preserve"> En este supuesto, el </w:t>
      </w:r>
      <w:r w:rsidRPr="00CC3D1B">
        <w:rPr>
          <w:rFonts w:ascii="Palatino Linotype" w:eastAsia="Palatino Linotype" w:hAnsi="Palatino Linotype" w:cs="Palatino Linotype"/>
          <w:b/>
        </w:rPr>
        <w:t>SUJETO OBLIGADO</w:t>
      </w:r>
      <w:r w:rsidRPr="00CC3D1B">
        <w:rPr>
          <w:rFonts w:ascii="Palatino Linotype" w:eastAsia="Palatino Linotype" w:hAnsi="Palatino Linotype" w:cs="Palatino Linotype"/>
        </w:rPr>
        <w:t xml:space="preserve"> deja sin efectos la primera respuesta y en su lugar emite otra que satisfaga lo solicitado por el particular en un primer momento.</w:t>
      </w:r>
    </w:p>
    <w:p w14:paraId="36C3DA3C" w14:textId="77777777" w:rsidR="007058DD" w:rsidRPr="00CC3D1B" w:rsidRDefault="007058DD" w:rsidP="00BC6E92">
      <w:pPr>
        <w:pBdr>
          <w:top w:val="nil"/>
          <w:left w:val="nil"/>
          <w:bottom w:val="nil"/>
          <w:right w:val="nil"/>
          <w:between w:val="nil"/>
        </w:pBdr>
        <w:spacing w:line="360" w:lineRule="auto"/>
        <w:rPr>
          <w:rFonts w:ascii="Palatino Linotype" w:eastAsia="Palatino Linotype" w:hAnsi="Palatino Linotype" w:cs="Palatino Linotype"/>
          <w:color w:val="000000"/>
        </w:rPr>
      </w:pPr>
    </w:p>
    <w:p w14:paraId="12980119" w14:textId="77777777" w:rsidR="007058DD" w:rsidRPr="00CC3D1B" w:rsidRDefault="007058DD"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C6ED2A1" w14:textId="77777777" w:rsidR="007058DD" w:rsidRPr="00CC3D1B" w:rsidRDefault="007058DD" w:rsidP="00BC6E92">
      <w:pPr>
        <w:spacing w:line="360" w:lineRule="auto"/>
        <w:jc w:val="both"/>
        <w:rPr>
          <w:rFonts w:ascii="Palatino Linotype" w:eastAsia="Palatino Linotype" w:hAnsi="Palatino Linotype" w:cs="Palatino Linotype"/>
        </w:rPr>
      </w:pPr>
    </w:p>
    <w:p w14:paraId="72934D51" w14:textId="77777777" w:rsidR="007058DD" w:rsidRPr="00CC3D1B" w:rsidRDefault="007058DD"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 xml:space="preserve">En el presente asunto, este Pleno advierte que el Sujeto Obligado con la información entregada a través del informe de justificado, </w:t>
      </w:r>
      <w:r w:rsidRPr="00CC3D1B">
        <w:rPr>
          <w:rFonts w:ascii="Palatino Linotype" w:eastAsia="Palatino Linotype" w:hAnsi="Palatino Linotype" w:cs="Palatino Linotype"/>
          <w:b/>
          <w:color w:val="000000"/>
        </w:rPr>
        <w:t>revoca</w:t>
      </w:r>
      <w:r w:rsidRPr="00CC3D1B">
        <w:rPr>
          <w:rFonts w:ascii="Palatino Linotype" w:eastAsia="Palatino Linotype" w:hAnsi="Palatino Linotype" w:cs="Palatino Linotype"/>
          <w:color w:val="000000"/>
        </w:rPr>
        <w:t xml:space="preserve"> el acto que le dio origen al recurso de revisión, lo que trae como consecuencia que el mismo quede sin materia, actualizándose de este modo, la hipótesis jurídica contenida en la fracción III del citado artículo 192.</w:t>
      </w:r>
    </w:p>
    <w:p w14:paraId="180A0CBF" w14:textId="77777777" w:rsidR="007058DD" w:rsidRPr="00CC3D1B" w:rsidRDefault="007058DD" w:rsidP="00BC6E92">
      <w:pPr>
        <w:spacing w:line="360" w:lineRule="auto"/>
        <w:rPr>
          <w:rFonts w:ascii="Palatino Linotype" w:eastAsia="Palatino Linotype" w:hAnsi="Palatino Linotype" w:cs="Palatino Linotype"/>
        </w:rPr>
      </w:pPr>
    </w:p>
    <w:p w14:paraId="5497B9A7" w14:textId="77777777" w:rsidR="007058DD" w:rsidRPr="00CC3D1B" w:rsidRDefault="007058DD"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De este modo, cuando el Sujeto Obligado</w:t>
      </w:r>
      <w:r w:rsidRPr="00CC3D1B">
        <w:rPr>
          <w:rFonts w:ascii="Palatino Linotype" w:eastAsia="Palatino Linotype" w:hAnsi="Palatino Linotype" w:cs="Palatino Linotype"/>
          <w:b/>
          <w:color w:val="000000"/>
        </w:rPr>
        <w:t xml:space="preserve">, </w:t>
      </w:r>
      <w:r w:rsidRPr="00CC3D1B">
        <w:rPr>
          <w:rFonts w:ascii="Palatino Linotype" w:eastAsia="Palatino Linotype" w:hAnsi="Palatino Linotype" w:cs="Palatino Linotype"/>
          <w:color w:val="000000"/>
        </w:rPr>
        <w:t xml:space="preserve">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w:t>
      </w:r>
      <w:r w:rsidRPr="00CC3D1B">
        <w:rPr>
          <w:rFonts w:ascii="Palatino Linotype" w:eastAsia="Palatino Linotype" w:hAnsi="Palatino Linotype" w:cs="Palatino Linotype"/>
          <w:color w:val="000000"/>
        </w:rPr>
        <w:lastRenderedPageBreak/>
        <w:t>su esfera de derechos fue restituida por la propia autoridad que emitió el acto motivo de impugnación.</w:t>
      </w:r>
    </w:p>
    <w:p w14:paraId="5BBA1355" w14:textId="77777777" w:rsidR="007058DD" w:rsidRPr="00CC3D1B" w:rsidRDefault="007058DD" w:rsidP="00BC6E92">
      <w:pPr>
        <w:spacing w:line="360" w:lineRule="auto"/>
        <w:rPr>
          <w:rFonts w:ascii="Palatino Linotype" w:eastAsia="Palatino Linotype" w:hAnsi="Palatino Linotype" w:cs="Palatino Linotype"/>
        </w:rPr>
      </w:pPr>
    </w:p>
    <w:p w14:paraId="0C8491A7" w14:textId="77777777" w:rsidR="007058DD" w:rsidRPr="00CC3D1B" w:rsidRDefault="007058DD"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Sirve de sustento a lo anterior la siguiente jurisprudencia por contradicción, cuyo rubro, texto y datos de identificación son los siguientes:</w:t>
      </w:r>
    </w:p>
    <w:p w14:paraId="54D46B1D" w14:textId="77777777" w:rsidR="007058DD" w:rsidRPr="00CC3D1B" w:rsidRDefault="007058DD" w:rsidP="00BC6E92">
      <w:pPr>
        <w:jc w:val="both"/>
        <w:rPr>
          <w:rFonts w:ascii="Palatino Linotype" w:eastAsia="Palatino Linotype" w:hAnsi="Palatino Linotype" w:cs="Palatino Linotype"/>
          <w:i/>
        </w:rPr>
      </w:pPr>
      <w:r w:rsidRPr="00CC3D1B">
        <w:rPr>
          <w:rFonts w:ascii="Palatino Linotype" w:eastAsia="Palatino Linotype" w:hAnsi="Palatino Linotype" w:cs="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C3D1B">
        <w:rPr>
          <w:rFonts w:ascii="Palatino Linotype" w:eastAsia="Palatino Linotype" w:hAnsi="Palatino Linotype" w:cs="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741E2142" w14:textId="77777777" w:rsidR="007058DD" w:rsidRPr="00CC3D1B" w:rsidRDefault="007058DD" w:rsidP="00BC6E92">
      <w:pPr>
        <w:spacing w:line="360" w:lineRule="auto"/>
        <w:jc w:val="both"/>
        <w:rPr>
          <w:rFonts w:ascii="Palatino Linotype" w:eastAsia="Palatino Linotype" w:hAnsi="Palatino Linotype" w:cs="Palatino Linotype"/>
          <w:i/>
        </w:rPr>
      </w:pPr>
    </w:p>
    <w:p w14:paraId="42EEC621" w14:textId="77777777" w:rsidR="007058DD" w:rsidRPr="00CC3D1B" w:rsidRDefault="007058DD" w:rsidP="00BC6E92">
      <w:pPr>
        <w:numPr>
          <w:ilvl w:val="0"/>
          <w:numId w:val="2"/>
        </w:numPr>
        <w:spacing w:line="360" w:lineRule="auto"/>
        <w:ind w:left="0" w:firstLine="0"/>
        <w:jc w:val="both"/>
        <w:rPr>
          <w:rFonts w:ascii="Palatino Linotype" w:hAnsi="Palatino Linotype"/>
          <w:color w:val="000000"/>
        </w:rPr>
      </w:pPr>
      <w:r w:rsidRPr="00CC3D1B">
        <w:rPr>
          <w:rFonts w:ascii="Palatino Linotype" w:eastAsia="Palatino Linotype" w:hAnsi="Palatino Linotype" w:cs="Palatino Linotype"/>
          <w:color w:val="000000"/>
        </w:rPr>
        <w:t>La anterior jurisprudencia resulta aplicable al presente asunto, en dos aspectos:</w:t>
      </w:r>
    </w:p>
    <w:p w14:paraId="5D33C238" w14:textId="77777777" w:rsidR="007058DD" w:rsidRPr="00CC3D1B" w:rsidRDefault="007058DD" w:rsidP="00BC6E92">
      <w:pPr>
        <w:numPr>
          <w:ilvl w:val="0"/>
          <w:numId w:val="16"/>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b/>
        </w:rPr>
        <w:t>La cesación de los efectos perniciosos del acto de autoridad:</w:t>
      </w:r>
      <w:r w:rsidRPr="00CC3D1B">
        <w:rPr>
          <w:rFonts w:ascii="Palatino Linotype" w:eastAsia="Palatino Linotype" w:hAnsi="Palatino Linotype" w:cs="Palatino Linotype"/>
        </w:rPr>
        <w:t xml:space="preserve"> Al respecto, la Ley de Transparencia contempla la figura jurídica del sobreseimiento cuando el </w:t>
      </w:r>
      <w:r w:rsidRPr="00CC3D1B">
        <w:rPr>
          <w:rFonts w:ascii="Palatino Linotype" w:eastAsia="Palatino Linotype" w:hAnsi="Palatino Linotype" w:cs="Palatino Linotype"/>
          <w:b/>
        </w:rPr>
        <w:t>SUJETO OBLIGADO</w:t>
      </w:r>
      <w:r w:rsidRPr="00CC3D1B">
        <w:rPr>
          <w:rFonts w:ascii="Palatino Linotype" w:eastAsia="Palatino Linotype" w:hAnsi="Palatino Linotype" w:cs="Palatino Linotype"/>
        </w:rPr>
        <w:t xml:space="preserve"> de </w:t>
      </w:r>
      <w:r w:rsidRPr="00CC3D1B">
        <w:rPr>
          <w:rFonts w:ascii="Palatino Linotype" w:eastAsia="Palatino Linotype" w:hAnsi="Palatino Linotype" w:cs="Palatino Linotype"/>
          <w:i/>
        </w:rPr>
        <w:t>motu proprio</w:t>
      </w:r>
      <w:r w:rsidRPr="00CC3D1B">
        <w:rPr>
          <w:rFonts w:ascii="Palatino Linotype" w:eastAsia="Palatino Linotype" w:hAnsi="Palatino Linotype" w:cs="Palatino Linotype"/>
        </w:rPr>
        <w:t xml:space="preserve"> modifica o revoca de tal manera el acto motivo de la impugnación que lo deja sin materia; es decir, cesan los efectos de éste y el derecho de acceso a la información pública se encuentra satisfecho.</w:t>
      </w:r>
    </w:p>
    <w:p w14:paraId="25AEBD34" w14:textId="77777777" w:rsidR="007058DD" w:rsidRPr="00CC3D1B" w:rsidRDefault="007058DD" w:rsidP="00BC6E92">
      <w:pPr>
        <w:numPr>
          <w:ilvl w:val="0"/>
          <w:numId w:val="16"/>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b/>
        </w:rPr>
        <w:lastRenderedPageBreak/>
        <w:t>El momento procesal para modificar el acto impugnado:</w:t>
      </w:r>
      <w:r w:rsidRPr="00CC3D1B">
        <w:rPr>
          <w:rFonts w:ascii="Palatino Linotype" w:eastAsia="Palatino Linotype" w:hAnsi="Palatino Linotype" w:cs="Palatino Linotype"/>
        </w:rPr>
        <w:t xml:space="preserve"> Para que se actualice el sobreseimiento de un recurso de revisión, el </w:t>
      </w:r>
      <w:r w:rsidRPr="00CC3D1B">
        <w:rPr>
          <w:rFonts w:ascii="Palatino Linotype" w:eastAsia="Palatino Linotype" w:hAnsi="Palatino Linotype" w:cs="Palatino Linotype"/>
          <w:b/>
        </w:rPr>
        <w:t>SUJETO OBLIGADO</w:t>
      </w:r>
      <w:r w:rsidRPr="00CC3D1B">
        <w:rPr>
          <w:rFonts w:ascii="Palatino Linotype" w:eastAsia="Palatino Linotype" w:hAnsi="Palatino Linotype" w:cs="Palatino Linotype"/>
        </w:rPr>
        <w:t xml:space="preserve"> puede entregar o completar la información al momento de rendir su informe de justificación o </w:t>
      </w:r>
      <w:r w:rsidRPr="00CC3D1B">
        <w:rPr>
          <w:rFonts w:ascii="Palatino Linotype" w:eastAsia="Palatino Linotype" w:hAnsi="Palatino Linotype" w:cs="Palatino Linotype"/>
          <w:b/>
          <w:u w:val="single"/>
        </w:rPr>
        <w:t>posteriormente</w:t>
      </w:r>
      <w:r w:rsidRPr="00CC3D1B">
        <w:rPr>
          <w:rFonts w:ascii="Palatino Linotype" w:eastAsia="Palatino Linotype" w:hAnsi="Palatino Linotype" w:cs="Palatino Linotype"/>
        </w:rPr>
        <w:t xml:space="preserve"> a éste, siempre y cuando el Pleno del Instituto no haya dictado resolución definitiva.</w:t>
      </w:r>
    </w:p>
    <w:p w14:paraId="3B9D4C15" w14:textId="77777777" w:rsidR="007058DD" w:rsidRPr="00CC3D1B" w:rsidRDefault="007058DD" w:rsidP="00BC6E92">
      <w:pPr>
        <w:spacing w:line="360" w:lineRule="auto"/>
        <w:jc w:val="both"/>
        <w:rPr>
          <w:rFonts w:ascii="Palatino Linotype" w:hAnsi="Palatino Linotype"/>
          <w:color w:val="000000"/>
        </w:rPr>
      </w:pPr>
    </w:p>
    <w:p w14:paraId="1C7C9374" w14:textId="77777777" w:rsidR="007058DD" w:rsidRPr="00CC3D1B" w:rsidRDefault="007058DD" w:rsidP="00BC6E92">
      <w:pPr>
        <w:numPr>
          <w:ilvl w:val="0"/>
          <w:numId w:val="2"/>
        </w:numPr>
        <w:spacing w:line="360" w:lineRule="auto"/>
        <w:ind w:left="0" w:firstLine="0"/>
        <w:jc w:val="both"/>
        <w:rPr>
          <w:rFonts w:ascii="Palatino Linotype" w:eastAsia="Palatino Linotype" w:hAnsi="Palatino Linotype" w:cs="Palatino Linotype"/>
        </w:rPr>
      </w:pPr>
      <w:r w:rsidRPr="00CC3D1B">
        <w:rPr>
          <w:rFonts w:ascii="Palatino Linotype" w:eastAsia="Palatino Linotype" w:hAnsi="Palatino Linotype" w:cs="Palatino Linotype"/>
        </w:rPr>
        <w:t xml:space="preserve">Por lo expuesto, y con fundamento en lo prescrito en los artículos </w:t>
      </w:r>
      <w:r w:rsidRPr="00CC3D1B">
        <w:rPr>
          <w:rFonts w:ascii="Palatino Linotype" w:eastAsia="Palatino Linotype" w:hAnsi="Palatino Linotype" w:cs="Palatino Linotype"/>
          <w:color w:val="000000"/>
        </w:rPr>
        <w:t xml:space="preserve">5, </w:t>
      </w:r>
      <w:r w:rsidRPr="00CC3D1B">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CC3D1B">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14:paraId="72318A1A" w14:textId="77777777" w:rsidR="007058DD" w:rsidRDefault="007058DD" w:rsidP="00BC6E92">
      <w:pPr>
        <w:rPr>
          <w:rFonts w:ascii="Palatino Linotype" w:eastAsia="Palatino Linotype" w:hAnsi="Palatino Linotype" w:cs="Palatino Linotype"/>
        </w:rPr>
      </w:pPr>
    </w:p>
    <w:p w14:paraId="5CC81A76" w14:textId="77777777" w:rsidR="00731575" w:rsidRPr="00CC3D1B" w:rsidRDefault="00731575" w:rsidP="00BC6E92">
      <w:pPr>
        <w:rPr>
          <w:rFonts w:ascii="Palatino Linotype" w:eastAsia="Palatino Linotype" w:hAnsi="Palatino Linotype" w:cs="Palatino Linotype"/>
        </w:rPr>
      </w:pPr>
    </w:p>
    <w:p w14:paraId="718BF3CA" w14:textId="77777777" w:rsidR="007058DD" w:rsidRPr="00CC3D1B" w:rsidRDefault="007058DD" w:rsidP="00BC6E92">
      <w:pPr>
        <w:spacing w:line="360" w:lineRule="auto"/>
        <w:jc w:val="center"/>
        <w:rPr>
          <w:rFonts w:ascii="Palatino Linotype" w:eastAsia="Palatino Linotype" w:hAnsi="Palatino Linotype" w:cs="Palatino Linotype"/>
          <w:b/>
        </w:rPr>
      </w:pPr>
      <w:r w:rsidRPr="00CC3D1B">
        <w:rPr>
          <w:rFonts w:ascii="Palatino Linotype" w:eastAsia="Palatino Linotype" w:hAnsi="Palatino Linotype" w:cs="Palatino Linotype"/>
          <w:b/>
        </w:rPr>
        <w:t>R E S U E L V E</w:t>
      </w:r>
    </w:p>
    <w:p w14:paraId="21147F66" w14:textId="77777777" w:rsidR="007058DD" w:rsidRPr="00CC3D1B" w:rsidRDefault="007058DD" w:rsidP="00BC6E92">
      <w:pPr>
        <w:spacing w:line="360" w:lineRule="auto"/>
        <w:jc w:val="center"/>
        <w:rPr>
          <w:rFonts w:ascii="Palatino Linotype" w:eastAsia="Palatino Linotype" w:hAnsi="Palatino Linotype" w:cs="Palatino Linotype"/>
          <w:b/>
        </w:rPr>
      </w:pPr>
    </w:p>
    <w:p w14:paraId="2A683F00" w14:textId="77777777" w:rsidR="007058DD" w:rsidRPr="00CC3D1B" w:rsidRDefault="007058DD" w:rsidP="00BC6E92">
      <w:pPr>
        <w:spacing w:line="360" w:lineRule="auto"/>
        <w:contextualSpacing/>
        <w:jc w:val="both"/>
        <w:rPr>
          <w:rFonts w:ascii="Palatino Linotype" w:eastAsia="Palatino Linotype" w:hAnsi="Palatino Linotype" w:cs="Palatino Linotype"/>
        </w:rPr>
      </w:pPr>
      <w:r w:rsidRPr="00CC3D1B">
        <w:rPr>
          <w:rFonts w:ascii="Palatino Linotype" w:eastAsia="Palatino Linotype" w:hAnsi="Palatino Linotype" w:cs="Palatino Linotype"/>
          <w:b/>
        </w:rPr>
        <w:t>PRIMERO</w:t>
      </w:r>
      <w:r w:rsidRPr="00CC3D1B">
        <w:rPr>
          <w:rFonts w:ascii="Palatino Linotype" w:eastAsia="Palatino Linotype" w:hAnsi="Palatino Linotype" w:cs="Palatino Linotype"/>
        </w:rPr>
        <w:t xml:space="preserve">. Se </w:t>
      </w:r>
      <w:r w:rsidRPr="00CC3D1B">
        <w:rPr>
          <w:rFonts w:ascii="Palatino Linotype" w:eastAsia="Palatino Linotype" w:hAnsi="Palatino Linotype" w:cs="Palatino Linotype"/>
          <w:b/>
        </w:rPr>
        <w:t>SOBRESEE</w:t>
      </w:r>
      <w:r w:rsidRPr="00CC3D1B">
        <w:rPr>
          <w:rFonts w:ascii="Palatino Linotype" w:eastAsia="Palatino Linotype" w:hAnsi="Palatino Linotype" w:cs="Palatino Linotype"/>
        </w:rPr>
        <w:t xml:space="preserve"> el Recurso de Revisión número </w:t>
      </w:r>
      <w:r w:rsidR="006957E9" w:rsidRPr="00CC3D1B">
        <w:rPr>
          <w:rFonts w:ascii="Palatino Linotype" w:eastAsia="Palatino Linotype" w:hAnsi="Palatino Linotype" w:cs="Palatino Linotype"/>
          <w:b/>
          <w:color w:val="000000"/>
        </w:rPr>
        <w:t>03813</w:t>
      </w:r>
      <w:r w:rsidRPr="00CC3D1B">
        <w:rPr>
          <w:rFonts w:ascii="Palatino Linotype" w:eastAsia="Palatino Linotype" w:hAnsi="Palatino Linotype" w:cs="Palatino Linotype"/>
          <w:b/>
          <w:color w:val="000000"/>
        </w:rPr>
        <w:t>/INFOEM/IP/RR/2025</w:t>
      </w:r>
      <w:r w:rsidRPr="00CC3D1B">
        <w:rPr>
          <w:rFonts w:ascii="Palatino Linotype" w:eastAsia="Palatino Linotype" w:hAnsi="Palatino Linotype" w:cs="Palatino Linotype"/>
        </w:rPr>
        <w:t xml:space="preserve">, conforme al artículo 192, fracción III, de la Ley de la Materia, porque al modificar la respuesta, el Recurso de Revisión quedó sin materia en términos del  </w:t>
      </w:r>
      <w:r w:rsidRPr="00CC3D1B">
        <w:rPr>
          <w:rFonts w:ascii="Palatino Linotype" w:eastAsia="Palatino Linotype" w:hAnsi="Palatino Linotype" w:cs="Palatino Linotype"/>
          <w:b/>
        </w:rPr>
        <w:t>Considerando Cuarto</w:t>
      </w:r>
      <w:r w:rsidRPr="00CC3D1B">
        <w:rPr>
          <w:rFonts w:ascii="Palatino Linotype" w:eastAsia="Palatino Linotype" w:hAnsi="Palatino Linotype" w:cs="Palatino Linotype"/>
        </w:rPr>
        <w:t xml:space="preserve"> de la presente resolución.</w:t>
      </w:r>
    </w:p>
    <w:p w14:paraId="7C45BFC2" w14:textId="77777777" w:rsidR="007058DD" w:rsidRPr="00CC3D1B" w:rsidRDefault="007058DD" w:rsidP="00BC6E92">
      <w:pPr>
        <w:spacing w:line="360" w:lineRule="auto"/>
        <w:jc w:val="both"/>
        <w:rPr>
          <w:rFonts w:ascii="Palatino Linotype" w:eastAsia="Palatino Linotype" w:hAnsi="Palatino Linotype" w:cs="Palatino Linotype"/>
        </w:rPr>
      </w:pPr>
    </w:p>
    <w:p w14:paraId="1ADA70BC" w14:textId="77777777" w:rsidR="007058DD" w:rsidRPr="00CC3D1B" w:rsidRDefault="007058DD" w:rsidP="00BC6E92">
      <w:pPr>
        <w:spacing w:line="360" w:lineRule="auto"/>
        <w:contextualSpacing/>
        <w:jc w:val="both"/>
        <w:rPr>
          <w:rFonts w:ascii="Palatino Linotype" w:eastAsia="Palatino Linotype" w:hAnsi="Palatino Linotype" w:cs="Palatino Linotype"/>
        </w:rPr>
      </w:pPr>
      <w:r w:rsidRPr="00CC3D1B">
        <w:rPr>
          <w:rFonts w:ascii="Palatino Linotype" w:eastAsia="Palatino Linotype" w:hAnsi="Palatino Linotype" w:cs="Palatino Linotype"/>
          <w:b/>
        </w:rPr>
        <w:t>SEGUNDO. Notifíquese</w:t>
      </w:r>
      <w:r w:rsidRPr="00CC3D1B">
        <w:rPr>
          <w:rFonts w:ascii="Palatino Linotype" w:eastAsia="Palatino Linotype" w:hAnsi="Palatino Linotype" w:cs="Palatino Linotype"/>
        </w:rPr>
        <w:t xml:space="preserve"> al Titular de la Unidad de Transparencia del </w:t>
      </w:r>
      <w:r w:rsidRPr="00CC3D1B">
        <w:rPr>
          <w:rFonts w:ascii="Palatino Linotype" w:eastAsia="Palatino Linotype" w:hAnsi="Palatino Linotype" w:cs="Palatino Linotype"/>
          <w:b/>
        </w:rPr>
        <w:t>SUJETO OBLIGADO</w:t>
      </w:r>
      <w:r w:rsidRPr="00CC3D1B">
        <w:rPr>
          <w:rFonts w:ascii="Palatino Linotype" w:eastAsia="Palatino Linotype" w:hAnsi="Palatino Linotype" w:cs="Palatino Linotype"/>
        </w:rPr>
        <w:t xml:space="preserve"> vía SAIMEX, para su conocimiento.</w:t>
      </w:r>
    </w:p>
    <w:p w14:paraId="4923AE7E" w14:textId="77777777" w:rsidR="007058DD" w:rsidRPr="00CC3D1B" w:rsidRDefault="007058DD" w:rsidP="00BC6E92">
      <w:pPr>
        <w:spacing w:line="360" w:lineRule="auto"/>
        <w:jc w:val="both"/>
        <w:rPr>
          <w:rFonts w:ascii="Palatino Linotype" w:eastAsiaTheme="minorHAnsi" w:hAnsi="Palatino Linotype" w:cs="Arial"/>
          <w:lang w:eastAsia="en-US"/>
        </w:rPr>
      </w:pPr>
    </w:p>
    <w:p w14:paraId="78E9FB93" w14:textId="63570D12" w:rsidR="007058DD" w:rsidRPr="00CC3D1B" w:rsidRDefault="007058DD" w:rsidP="00BC6E92">
      <w:pPr>
        <w:spacing w:line="360" w:lineRule="auto"/>
        <w:contextualSpacing/>
        <w:jc w:val="both"/>
        <w:rPr>
          <w:rFonts w:ascii="Palatino Linotype" w:hAnsi="Palatino Linotype" w:cs="Arial"/>
          <w:lang w:eastAsia="en-US"/>
        </w:rPr>
      </w:pPr>
      <w:r w:rsidRPr="00CC3D1B">
        <w:rPr>
          <w:rFonts w:ascii="Palatino Linotype" w:hAnsi="Palatino Linotype" w:cs="Arial"/>
          <w:b/>
          <w:bCs/>
          <w:lang w:eastAsia="en-US"/>
        </w:rPr>
        <w:t>TERCERO. NOTIFÍQUESE</w:t>
      </w:r>
      <w:r w:rsidRPr="00CC3D1B">
        <w:rPr>
          <w:rFonts w:ascii="Palatino Linotype" w:hAnsi="Palatino Linotype" w:cs="Arial"/>
          <w:lang w:eastAsia="en-US"/>
        </w:rPr>
        <w:t xml:space="preserve"> la presente resolución a la parte </w:t>
      </w:r>
      <w:r w:rsidRPr="00CC3D1B">
        <w:rPr>
          <w:rFonts w:ascii="Palatino Linotype" w:hAnsi="Palatino Linotype" w:cs="Arial"/>
          <w:b/>
          <w:bCs/>
          <w:lang w:eastAsia="en-US"/>
        </w:rPr>
        <w:t>Recurrente</w:t>
      </w:r>
      <w:r w:rsidRPr="00CC3D1B">
        <w:rPr>
          <w:rFonts w:ascii="Palatino Linotype" w:eastAsia="Calibri" w:hAnsi="Palatino Linotype"/>
          <w:lang w:eastAsia="es-MX"/>
        </w:rPr>
        <w:t xml:space="preserve"> </w:t>
      </w:r>
      <w:r w:rsidRPr="00CC3D1B">
        <w:rPr>
          <w:rFonts w:ascii="Palatino Linotype" w:hAnsi="Palatino Linotype" w:cs="Arial"/>
          <w:lang w:eastAsia="en-US"/>
        </w:rPr>
        <w:t xml:space="preserve">a través del Sistema de Acceso a la Información Mexiquense </w:t>
      </w:r>
      <w:r w:rsidRPr="00CC3D1B">
        <w:rPr>
          <w:rFonts w:ascii="Palatino Linotype" w:hAnsi="Palatino Linotype" w:cs="Arial"/>
          <w:b/>
          <w:bCs/>
          <w:lang w:eastAsia="en-US"/>
        </w:rPr>
        <w:t>(SAIMEX)</w:t>
      </w:r>
      <w:r w:rsidR="00290E76" w:rsidRPr="00CC3D1B">
        <w:rPr>
          <w:rFonts w:ascii="Palatino Linotype" w:hAnsi="Palatino Linotype" w:cs="Arial"/>
          <w:lang w:eastAsia="en-US"/>
        </w:rPr>
        <w:t>.</w:t>
      </w:r>
    </w:p>
    <w:p w14:paraId="2463372C" w14:textId="28A70262" w:rsidR="00290E76" w:rsidRPr="00CC3D1B" w:rsidRDefault="00290E76" w:rsidP="00290E76">
      <w:pPr>
        <w:tabs>
          <w:tab w:val="left" w:pos="8080"/>
        </w:tabs>
        <w:spacing w:line="360" w:lineRule="auto"/>
        <w:jc w:val="both"/>
        <w:rPr>
          <w:rFonts w:ascii="Palatino Linotype" w:hAnsi="Palatino Linotype"/>
          <w:lang w:val="es-ES" w:eastAsia="es-MX"/>
        </w:rPr>
      </w:pPr>
      <w:r w:rsidRPr="00CC3D1B">
        <w:rPr>
          <w:rFonts w:ascii="Palatino Linotype" w:hAnsi="Palatino Linotype"/>
          <w:b/>
          <w:lang w:eastAsia="en-US"/>
        </w:rPr>
        <w:lastRenderedPageBreak/>
        <w:t xml:space="preserve">CUARTO. </w:t>
      </w:r>
      <w:r w:rsidRPr="00CC3D1B">
        <w:rPr>
          <w:rFonts w:ascii="Palatino Linotype" w:hAnsi="Palatino Linotype"/>
          <w:lang w:eastAsia="en-US"/>
        </w:rPr>
        <w:t>Se hace del conocimiento del</w:t>
      </w:r>
      <w:r w:rsidRPr="00CC3D1B">
        <w:rPr>
          <w:rFonts w:ascii="Palatino Linotype" w:hAnsi="Palatino Linotype"/>
          <w:b/>
          <w:lang w:eastAsia="en-US"/>
        </w:rPr>
        <w:t xml:space="preserve"> RECURRENTE </w:t>
      </w:r>
      <w:r w:rsidRPr="00CC3D1B">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584F7AA" w14:textId="77777777" w:rsidR="00290E76" w:rsidRPr="00CC3D1B" w:rsidRDefault="00290E76" w:rsidP="00BC6E92">
      <w:pPr>
        <w:spacing w:line="360" w:lineRule="auto"/>
        <w:jc w:val="both"/>
        <w:rPr>
          <w:rFonts w:ascii="Palatino Linotype" w:eastAsia="Palatino Linotype" w:hAnsi="Palatino Linotype" w:cs="Palatino Linotype"/>
          <w:b/>
        </w:rPr>
      </w:pPr>
    </w:p>
    <w:p w14:paraId="40673D9C" w14:textId="45C6C24F" w:rsidR="00290E76" w:rsidRDefault="00CC3D1B" w:rsidP="00290E76">
      <w:pPr>
        <w:spacing w:line="360" w:lineRule="auto"/>
        <w:ind w:right="49"/>
        <w:jc w:val="both"/>
        <w:rPr>
          <w:rFonts w:ascii="Palatino Linotype" w:eastAsia="Palatino Linotype" w:hAnsi="Palatino Linotype" w:cs="Palatino Linotype"/>
        </w:rPr>
      </w:pPr>
      <w:r w:rsidRPr="00CC3D1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290E76" w:rsidRPr="00CC3D1B">
        <w:rPr>
          <w:rFonts w:ascii="Palatino Linotype" w:eastAsia="Palatino Linotype" w:hAnsi="Palatino Linotype" w:cs="Palatino Linotype"/>
        </w:rPr>
        <w:t>.</w:t>
      </w:r>
    </w:p>
    <w:p w14:paraId="03AC068D" w14:textId="77777777" w:rsidR="00731575" w:rsidRDefault="00731575" w:rsidP="00290E76">
      <w:pPr>
        <w:spacing w:line="360" w:lineRule="auto"/>
        <w:ind w:right="49"/>
        <w:jc w:val="both"/>
        <w:rPr>
          <w:rFonts w:ascii="Palatino Linotype" w:eastAsia="Palatino Linotype" w:hAnsi="Palatino Linotype" w:cs="Palatino Linotype"/>
        </w:rPr>
      </w:pPr>
    </w:p>
    <w:p w14:paraId="7983EEFD" w14:textId="77777777" w:rsidR="00731575" w:rsidRDefault="00731575" w:rsidP="00290E76">
      <w:pPr>
        <w:spacing w:line="360" w:lineRule="auto"/>
        <w:ind w:right="49"/>
        <w:jc w:val="both"/>
        <w:rPr>
          <w:rFonts w:ascii="Palatino Linotype" w:eastAsia="Palatino Linotype" w:hAnsi="Palatino Linotype" w:cs="Palatino Linotype"/>
        </w:rPr>
      </w:pPr>
    </w:p>
    <w:p w14:paraId="557460B6" w14:textId="77777777" w:rsidR="00731575" w:rsidRDefault="00731575" w:rsidP="00290E76">
      <w:pPr>
        <w:spacing w:line="360" w:lineRule="auto"/>
        <w:ind w:right="49"/>
        <w:jc w:val="both"/>
        <w:rPr>
          <w:rFonts w:ascii="Palatino Linotype" w:eastAsia="Palatino Linotype" w:hAnsi="Palatino Linotype" w:cs="Palatino Linotype"/>
        </w:rPr>
      </w:pPr>
    </w:p>
    <w:p w14:paraId="6CAF093F" w14:textId="77777777" w:rsidR="00731575" w:rsidRDefault="00731575" w:rsidP="00290E76">
      <w:pPr>
        <w:spacing w:line="360" w:lineRule="auto"/>
        <w:ind w:right="49"/>
        <w:jc w:val="both"/>
        <w:rPr>
          <w:rFonts w:ascii="Palatino Linotype" w:eastAsia="Palatino Linotype" w:hAnsi="Palatino Linotype" w:cs="Palatino Linotype"/>
        </w:rPr>
      </w:pPr>
    </w:p>
    <w:p w14:paraId="12029BA4" w14:textId="77777777" w:rsidR="00731575" w:rsidRDefault="00731575" w:rsidP="00290E76">
      <w:pPr>
        <w:spacing w:line="360" w:lineRule="auto"/>
        <w:ind w:right="49"/>
        <w:jc w:val="both"/>
        <w:rPr>
          <w:rFonts w:ascii="Palatino Linotype" w:eastAsia="Palatino Linotype" w:hAnsi="Palatino Linotype" w:cs="Palatino Linotype"/>
        </w:rPr>
      </w:pPr>
    </w:p>
    <w:p w14:paraId="0919AFD5" w14:textId="77777777" w:rsidR="00731575" w:rsidRPr="00444783" w:rsidRDefault="00731575" w:rsidP="00290E76">
      <w:pPr>
        <w:spacing w:line="360" w:lineRule="auto"/>
        <w:ind w:right="49"/>
        <w:jc w:val="both"/>
        <w:rPr>
          <w:rFonts w:ascii="Palatino Linotype" w:eastAsia="Palatino Linotype" w:hAnsi="Palatino Linotype" w:cs="Palatino Linotype"/>
        </w:rPr>
      </w:pPr>
    </w:p>
    <w:p w14:paraId="0D779A4D" w14:textId="77777777" w:rsidR="00290E76" w:rsidRPr="00BC6E92" w:rsidRDefault="00290E76" w:rsidP="00BC6E92">
      <w:pPr>
        <w:spacing w:line="360" w:lineRule="auto"/>
        <w:jc w:val="both"/>
        <w:rPr>
          <w:rFonts w:ascii="Palatino Linotype" w:eastAsia="Palatino Linotype" w:hAnsi="Palatino Linotype" w:cs="Palatino Linotype"/>
          <w:b/>
        </w:rPr>
      </w:pPr>
    </w:p>
    <w:p w14:paraId="117F08D8" w14:textId="77777777" w:rsidR="00A10ACB" w:rsidRPr="00BC6E92" w:rsidRDefault="00A10ACB" w:rsidP="00BC6E92">
      <w:pPr>
        <w:spacing w:before="240" w:after="240" w:line="360" w:lineRule="auto"/>
        <w:jc w:val="both"/>
        <w:rPr>
          <w:rFonts w:ascii="Palatino Linotype" w:eastAsia="Palatino Linotype" w:hAnsi="Palatino Linotype" w:cs="Palatino Linotype"/>
        </w:rPr>
      </w:pPr>
    </w:p>
    <w:p w14:paraId="5183021C" w14:textId="77777777" w:rsidR="0072148B" w:rsidRPr="00BC6E92" w:rsidRDefault="0072148B" w:rsidP="00BC6E92">
      <w:pPr>
        <w:rPr>
          <w:rFonts w:ascii="Palatino Linotype" w:eastAsia="Palatino Linotype" w:hAnsi="Palatino Linotype" w:cs="Palatino Linotype"/>
        </w:rPr>
      </w:pPr>
    </w:p>
    <w:p w14:paraId="29F4DC7E" w14:textId="77777777" w:rsidR="0072148B" w:rsidRPr="00BC6E92" w:rsidRDefault="0072148B" w:rsidP="00BC6E92">
      <w:pPr>
        <w:spacing w:line="360" w:lineRule="auto"/>
        <w:rPr>
          <w:rFonts w:ascii="Palatino Linotype" w:eastAsia="Palatino Linotype" w:hAnsi="Palatino Linotype" w:cs="Palatino Linotype"/>
        </w:rPr>
      </w:pPr>
    </w:p>
    <w:p w14:paraId="31BB8BF7" w14:textId="77777777" w:rsidR="0072148B" w:rsidRPr="00BC6E92" w:rsidRDefault="0072148B" w:rsidP="00BC6E92">
      <w:pPr>
        <w:spacing w:line="360" w:lineRule="auto"/>
        <w:rPr>
          <w:rFonts w:ascii="Palatino Linotype" w:eastAsia="Palatino Linotype" w:hAnsi="Palatino Linotype" w:cs="Palatino Linotype"/>
        </w:rPr>
      </w:pPr>
    </w:p>
    <w:p w14:paraId="02F5536F" w14:textId="77777777" w:rsidR="0072148B" w:rsidRPr="00BC6E92" w:rsidRDefault="0072148B" w:rsidP="00BC6E92">
      <w:pPr>
        <w:spacing w:line="360" w:lineRule="auto"/>
        <w:rPr>
          <w:rFonts w:ascii="Palatino Linotype" w:eastAsia="Palatino Linotype" w:hAnsi="Palatino Linotype" w:cs="Palatino Linotype"/>
        </w:rPr>
      </w:pPr>
    </w:p>
    <w:p w14:paraId="188E6E7E" w14:textId="77777777" w:rsidR="0072148B" w:rsidRPr="00BC6E92" w:rsidRDefault="00A077F4" w:rsidP="00BC6E92">
      <w:pPr>
        <w:tabs>
          <w:tab w:val="left" w:pos="3374"/>
        </w:tabs>
        <w:spacing w:line="360" w:lineRule="auto"/>
        <w:rPr>
          <w:rFonts w:ascii="Palatino Linotype" w:eastAsia="Palatino Linotype" w:hAnsi="Palatino Linotype" w:cs="Palatino Linotype"/>
        </w:rPr>
      </w:pPr>
      <w:bookmarkStart w:id="7" w:name="_heading=h.lnxbz9" w:colFirst="0" w:colLast="0"/>
      <w:bookmarkEnd w:id="7"/>
      <w:r w:rsidRPr="00BC6E92">
        <w:rPr>
          <w:rFonts w:ascii="Palatino Linotype" w:eastAsia="Palatino Linotype" w:hAnsi="Palatino Linotype" w:cs="Palatino Linotype"/>
        </w:rPr>
        <w:tab/>
      </w:r>
    </w:p>
    <w:sectPr w:rsidR="0072148B" w:rsidRPr="00BC6E92" w:rsidSect="00731575">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D09D4" w14:textId="77777777" w:rsidR="00F72E77" w:rsidRDefault="00F72E77">
      <w:r>
        <w:separator/>
      </w:r>
    </w:p>
  </w:endnote>
  <w:endnote w:type="continuationSeparator" w:id="0">
    <w:p w14:paraId="3194419A" w14:textId="77777777" w:rsidR="00F72E77" w:rsidRDefault="00F7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3892B" w14:textId="77777777" w:rsidR="00B214E4" w:rsidRDefault="00B214E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A012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A012C">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14:paraId="4C522B82" w14:textId="77777777" w:rsidR="00B214E4" w:rsidRDefault="00B214E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C8F27" w14:textId="77777777" w:rsidR="00B214E4" w:rsidRDefault="00B214E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A012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A012C">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14:paraId="22DCB1E6" w14:textId="77777777" w:rsidR="00B214E4" w:rsidRDefault="00B214E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5169D" w14:textId="77777777" w:rsidR="00F72E77" w:rsidRDefault="00F72E77">
      <w:r>
        <w:separator/>
      </w:r>
    </w:p>
  </w:footnote>
  <w:footnote w:type="continuationSeparator" w:id="0">
    <w:p w14:paraId="5A482697" w14:textId="77777777" w:rsidR="00F72E77" w:rsidRDefault="00F72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AFB8" w14:textId="77777777" w:rsidR="00B214E4" w:rsidRDefault="00F72E77">
    <w:pPr>
      <w:pBdr>
        <w:top w:val="nil"/>
        <w:left w:val="nil"/>
        <w:bottom w:val="nil"/>
        <w:right w:val="nil"/>
        <w:between w:val="nil"/>
      </w:pBdr>
      <w:tabs>
        <w:tab w:val="center" w:pos="4419"/>
        <w:tab w:val="right" w:pos="8838"/>
      </w:tabs>
      <w:rPr>
        <w:color w:val="000000"/>
      </w:rPr>
    </w:pPr>
    <w:r>
      <w:rPr>
        <w:color w:val="000000"/>
      </w:rPr>
      <w:pict w14:anchorId="3551E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945" w:type="dxa"/>
      <w:tblInd w:w="3544" w:type="dxa"/>
      <w:tblLayout w:type="fixed"/>
      <w:tblLook w:val="0400" w:firstRow="0" w:lastRow="0" w:firstColumn="0" w:lastColumn="0" w:noHBand="0" w:noVBand="1"/>
    </w:tblPr>
    <w:tblGrid>
      <w:gridCol w:w="2693"/>
      <w:gridCol w:w="4252"/>
    </w:tblGrid>
    <w:tr w:rsidR="00B214E4" w14:paraId="5CF16F9B" w14:textId="77777777" w:rsidTr="00731575">
      <w:trPr>
        <w:trHeight w:val="227"/>
      </w:trPr>
      <w:tc>
        <w:tcPr>
          <w:tcW w:w="2693" w:type="dxa"/>
        </w:tcPr>
        <w:p w14:paraId="5128E34E" w14:textId="77777777" w:rsidR="00B214E4" w:rsidRPr="00BC6E92" w:rsidRDefault="00B214E4" w:rsidP="00BC6E92">
          <w:pPr>
            <w:jc w:val="right"/>
            <w:rPr>
              <w:rFonts w:ascii="Palatino Linotype" w:eastAsia="Palatino Linotype" w:hAnsi="Palatino Linotype" w:cs="Palatino Linotype"/>
              <w:b/>
            </w:rPr>
          </w:pPr>
          <w:r w:rsidRPr="00BC6E92">
            <w:rPr>
              <w:rFonts w:ascii="Palatino Linotype" w:eastAsia="Palatino Linotype" w:hAnsi="Palatino Linotype" w:cs="Palatino Linotype"/>
              <w:b/>
            </w:rPr>
            <w:t>Recurso de Revisión:</w:t>
          </w:r>
        </w:p>
      </w:tc>
      <w:tc>
        <w:tcPr>
          <w:tcW w:w="4252" w:type="dxa"/>
        </w:tcPr>
        <w:p w14:paraId="28A4FFAE" w14:textId="77777777" w:rsidR="00B214E4" w:rsidRPr="00BC6E92" w:rsidRDefault="00B214E4" w:rsidP="00BC6E92">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BC6E92">
            <w:rPr>
              <w:rFonts w:ascii="Palatino Linotype" w:eastAsia="Palatino Linotype" w:hAnsi="Palatino Linotype" w:cs="Palatino Linotype"/>
              <w:color w:val="000000"/>
            </w:rPr>
            <w:t>03813/INFOEM/IP/RR/2025</w:t>
          </w:r>
        </w:p>
      </w:tc>
    </w:tr>
    <w:tr w:rsidR="00B214E4" w14:paraId="22128C0F" w14:textId="77777777" w:rsidTr="00731575">
      <w:trPr>
        <w:trHeight w:val="342"/>
      </w:trPr>
      <w:tc>
        <w:tcPr>
          <w:tcW w:w="2693" w:type="dxa"/>
        </w:tcPr>
        <w:p w14:paraId="35536C65" w14:textId="77777777" w:rsidR="00B214E4" w:rsidRPr="00BC6E92" w:rsidRDefault="00B214E4" w:rsidP="00BC6E92">
          <w:pPr>
            <w:jc w:val="right"/>
            <w:rPr>
              <w:rFonts w:ascii="Palatino Linotype" w:eastAsia="Palatino Linotype" w:hAnsi="Palatino Linotype" w:cs="Palatino Linotype"/>
              <w:b/>
            </w:rPr>
          </w:pPr>
          <w:r w:rsidRPr="00BC6E92">
            <w:rPr>
              <w:rFonts w:ascii="Palatino Linotype" w:eastAsia="Palatino Linotype" w:hAnsi="Palatino Linotype" w:cs="Palatino Linotype"/>
              <w:b/>
            </w:rPr>
            <w:t>Sujeto Obligado:</w:t>
          </w:r>
        </w:p>
      </w:tc>
      <w:tc>
        <w:tcPr>
          <w:tcW w:w="4252" w:type="dxa"/>
        </w:tcPr>
        <w:p w14:paraId="5C72256C" w14:textId="77777777" w:rsidR="00B214E4" w:rsidRPr="00BC6E92" w:rsidRDefault="00B214E4" w:rsidP="00BC6E92">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BC6E92">
            <w:rPr>
              <w:rFonts w:ascii="Palatino Linotype" w:eastAsia="Palatino Linotype" w:hAnsi="Palatino Linotype" w:cs="Palatino Linotype"/>
              <w:color w:val="000000"/>
            </w:rPr>
            <w:t>Ayuntamiento de Otzolotepec</w:t>
          </w:r>
        </w:p>
      </w:tc>
    </w:tr>
    <w:tr w:rsidR="00B214E4" w14:paraId="091CA6A4" w14:textId="77777777" w:rsidTr="00731575">
      <w:trPr>
        <w:trHeight w:val="342"/>
      </w:trPr>
      <w:tc>
        <w:tcPr>
          <w:tcW w:w="2693" w:type="dxa"/>
        </w:tcPr>
        <w:p w14:paraId="3C93DD89" w14:textId="77777777" w:rsidR="00B214E4" w:rsidRPr="00BC6E92" w:rsidRDefault="00B214E4" w:rsidP="00BC6E92">
          <w:pPr>
            <w:jc w:val="right"/>
            <w:rPr>
              <w:rFonts w:ascii="Palatino Linotype" w:eastAsia="Palatino Linotype" w:hAnsi="Palatino Linotype" w:cs="Palatino Linotype"/>
              <w:b/>
            </w:rPr>
          </w:pPr>
          <w:r w:rsidRPr="00BC6E92">
            <w:rPr>
              <w:rFonts w:ascii="Palatino Linotype" w:eastAsia="Palatino Linotype" w:hAnsi="Palatino Linotype" w:cs="Palatino Linotype"/>
              <w:b/>
            </w:rPr>
            <w:t>Comisionada Ponente:</w:t>
          </w:r>
        </w:p>
      </w:tc>
      <w:tc>
        <w:tcPr>
          <w:tcW w:w="4252" w:type="dxa"/>
        </w:tcPr>
        <w:p w14:paraId="0FA6B28E" w14:textId="77777777" w:rsidR="00B214E4" w:rsidRPr="00BC6E92" w:rsidRDefault="00B214E4" w:rsidP="00BC6E92">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BC6E92">
            <w:rPr>
              <w:rFonts w:ascii="Palatino Linotype" w:eastAsia="Palatino Linotype" w:hAnsi="Palatino Linotype" w:cs="Palatino Linotype"/>
              <w:color w:val="000000"/>
            </w:rPr>
            <w:t>María del Rosario Mejía Ayala</w:t>
          </w:r>
        </w:p>
      </w:tc>
    </w:tr>
  </w:tbl>
  <w:p w14:paraId="2B3185C5" w14:textId="77777777" w:rsidR="00B214E4" w:rsidRDefault="00F72E77">
    <w:pPr>
      <w:rPr>
        <w:color w:val="000000"/>
        <w:sz w:val="14"/>
        <w:szCs w:val="14"/>
      </w:rPr>
    </w:pPr>
    <w:r>
      <w:rPr>
        <w:color w:val="000000"/>
        <w:sz w:val="14"/>
        <w:szCs w:val="14"/>
      </w:rPr>
      <w:pict w14:anchorId="222B8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0.95pt;margin-top:-124.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3402" w:type="dxa"/>
      <w:tblLayout w:type="fixed"/>
      <w:tblLook w:val="0400" w:firstRow="0" w:lastRow="0" w:firstColumn="0" w:lastColumn="0" w:noHBand="0" w:noVBand="1"/>
    </w:tblPr>
    <w:tblGrid>
      <w:gridCol w:w="2835"/>
      <w:gridCol w:w="4252"/>
    </w:tblGrid>
    <w:tr w:rsidR="00B214E4" w14:paraId="07D71359" w14:textId="77777777" w:rsidTr="00731575">
      <w:trPr>
        <w:trHeight w:val="227"/>
      </w:trPr>
      <w:tc>
        <w:tcPr>
          <w:tcW w:w="2835" w:type="dxa"/>
        </w:tcPr>
        <w:p w14:paraId="3082D71B" w14:textId="77777777" w:rsidR="00B214E4" w:rsidRPr="00BC6E92" w:rsidRDefault="00B214E4" w:rsidP="00BC6E92">
          <w:pPr>
            <w:jc w:val="right"/>
            <w:rPr>
              <w:rFonts w:ascii="Palatino Linotype" w:eastAsia="Palatino Linotype" w:hAnsi="Palatino Linotype" w:cs="Palatino Linotype"/>
              <w:b/>
            </w:rPr>
          </w:pPr>
          <w:r w:rsidRPr="00BC6E92">
            <w:rPr>
              <w:rFonts w:ascii="Palatino Linotype" w:eastAsia="Palatino Linotype" w:hAnsi="Palatino Linotype" w:cs="Palatino Linotype"/>
              <w:b/>
            </w:rPr>
            <w:t>Recurso de Revisión:</w:t>
          </w:r>
        </w:p>
      </w:tc>
      <w:tc>
        <w:tcPr>
          <w:tcW w:w="4252" w:type="dxa"/>
        </w:tcPr>
        <w:p w14:paraId="2682ED51" w14:textId="77777777" w:rsidR="00B214E4" w:rsidRPr="00BC6E92" w:rsidRDefault="00B214E4" w:rsidP="00BC6E92">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BC6E92">
            <w:rPr>
              <w:rFonts w:ascii="Palatino Linotype" w:eastAsia="Palatino Linotype" w:hAnsi="Palatino Linotype" w:cs="Palatino Linotype"/>
              <w:color w:val="000000"/>
            </w:rPr>
            <w:t>03813/INFOEM/IP/RR/2025</w:t>
          </w:r>
        </w:p>
      </w:tc>
    </w:tr>
    <w:tr w:rsidR="00B214E4" w14:paraId="10319306" w14:textId="77777777" w:rsidTr="00731575">
      <w:trPr>
        <w:trHeight w:val="242"/>
      </w:trPr>
      <w:tc>
        <w:tcPr>
          <w:tcW w:w="2835" w:type="dxa"/>
        </w:tcPr>
        <w:p w14:paraId="610DE56B" w14:textId="77777777" w:rsidR="00B214E4" w:rsidRPr="00BC6E92" w:rsidRDefault="00B214E4" w:rsidP="00BC6E92">
          <w:pPr>
            <w:jc w:val="right"/>
            <w:rPr>
              <w:rFonts w:ascii="Palatino Linotype" w:eastAsia="Palatino Linotype" w:hAnsi="Palatino Linotype" w:cs="Palatino Linotype"/>
              <w:b/>
            </w:rPr>
          </w:pPr>
          <w:r w:rsidRPr="00BC6E92">
            <w:rPr>
              <w:rFonts w:ascii="Palatino Linotype" w:eastAsia="Palatino Linotype" w:hAnsi="Palatino Linotype" w:cs="Palatino Linotype"/>
              <w:b/>
            </w:rPr>
            <w:t>Recurrente:</w:t>
          </w:r>
        </w:p>
      </w:tc>
      <w:tc>
        <w:tcPr>
          <w:tcW w:w="4252" w:type="dxa"/>
        </w:tcPr>
        <w:p w14:paraId="6D271A87" w14:textId="4E446482" w:rsidR="00B214E4" w:rsidRPr="00BC6E92" w:rsidRDefault="008A012C" w:rsidP="00BC6E92">
          <w:pPr>
            <w:tabs>
              <w:tab w:val="right" w:pos="8838"/>
            </w:tabs>
            <w:jc w:val="both"/>
          </w:pPr>
          <w:r>
            <w:rPr>
              <w:rFonts w:ascii="Palatino Linotype" w:eastAsia="Palatino Linotype" w:hAnsi="Palatino Linotype" w:cs="Palatino Linotype"/>
              <w:color w:val="000000"/>
            </w:rPr>
            <w:t>XXXX</w:t>
          </w:r>
        </w:p>
      </w:tc>
    </w:tr>
    <w:tr w:rsidR="00B214E4" w14:paraId="215C98C1" w14:textId="77777777" w:rsidTr="00731575">
      <w:trPr>
        <w:trHeight w:val="342"/>
      </w:trPr>
      <w:tc>
        <w:tcPr>
          <w:tcW w:w="2835" w:type="dxa"/>
        </w:tcPr>
        <w:p w14:paraId="58E208E5" w14:textId="77777777" w:rsidR="00B214E4" w:rsidRPr="00BC6E92" w:rsidRDefault="00B214E4" w:rsidP="00BC6E92">
          <w:pPr>
            <w:jc w:val="right"/>
            <w:rPr>
              <w:rFonts w:ascii="Palatino Linotype" w:eastAsia="Palatino Linotype" w:hAnsi="Palatino Linotype" w:cs="Palatino Linotype"/>
              <w:b/>
            </w:rPr>
          </w:pPr>
          <w:r w:rsidRPr="00BC6E92">
            <w:rPr>
              <w:rFonts w:ascii="Palatino Linotype" w:eastAsia="Palatino Linotype" w:hAnsi="Palatino Linotype" w:cs="Palatino Linotype"/>
              <w:b/>
            </w:rPr>
            <w:t>Sujeto Obligado:</w:t>
          </w:r>
        </w:p>
      </w:tc>
      <w:tc>
        <w:tcPr>
          <w:tcW w:w="4252" w:type="dxa"/>
        </w:tcPr>
        <w:p w14:paraId="727C3079" w14:textId="77777777" w:rsidR="00B214E4" w:rsidRPr="00BC6E92" w:rsidRDefault="00B214E4" w:rsidP="00BC6E92">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BC6E92">
            <w:rPr>
              <w:rFonts w:ascii="Palatino Linotype" w:eastAsia="Palatino Linotype" w:hAnsi="Palatino Linotype" w:cs="Palatino Linotype"/>
              <w:color w:val="000000"/>
            </w:rPr>
            <w:t>Ayuntamiento de Otzolotepec</w:t>
          </w:r>
        </w:p>
      </w:tc>
    </w:tr>
    <w:tr w:rsidR="00B214E4" w14:paraId="43791A49" w14:textId="77777777" w:rsidTr="00731575">
      <w:trPr>
        <w:trHeight w:val="342"/>
      </w:trPr>
      <w:tc>
        <w:tcPr>
          <w:tcW w:w="2835" w:type="dxa"/>
        </w:tcPr>
        <w:p w14:paraId="785CF542" w14:textId="77777777" w:rsidR="00B214E4" w:rsidRPr="00BC6E92" w:rsidRDefault="00B214E4" w:rsidP="00BC6E92">
          <w:pPr>
            <w:jc w:val="right"/>
            <w:rPr>
              <w:rFonts w:ascii="Palatino Linotype" w:eastAsia="Palatino Linotype" w:hAnsi="Palatino Linotype" w:cs="Palatino Linotype"/>
              <w:b/>
            </w:rPr>
          </w:pPr>
          <w:r w:rsidRPr="00BC6E92">
            <w:rPr>
              <w:rFonts w:ascii="Palatino Linotype" w:eastAsia="Palatino Linotype" w:hAnsi="Palatino Linotype" w:cs="Palatino Linotype"/>
              <w:b/>
            </w:rPr>
            <w:t>Comisionada Ponente:</w:t>
          </w:r>
        </w:p>
      </w:tc>
      <w:tc>
        <w:tcPr>
          <w:tcW w:w="4252" w:type="dxa"/>
        </w:tcPr>
        <w:p w14:paraId="2139DA51" w14:textId="77777777" w:rsidR="00B214E4" w:rsidRPr="00BC6E92" w:rsidRDefault="00B214E4" w:rsidP="00BC6E92">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BC6E92">
            <w:rPr>
              <w:rFonts w:ascii="Palatino Linotype" w:eastAsia="Palatino Linotype" w:hAnsi="Palatino Linotype" w:cs="Palatino Linotype"/>
              <w:color w:val="000000"/>
            </w:rPr>
            <w:t>María del Rosario Mejía Ayala</w:t>
          </w:r>
        </w:p>
      </w:tc>
    </w:tr>
  </w:tbl>
  <w:p w14:paraId="17F23997" w14:textId="77777777" w:rsidR="00B214E4" w:rsidRDefault="00F72E77">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7ADF2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66pt;margin-top:-130.1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26A"/>
    <w:multiLevelType w:val="hybridMultilevel"/>
    <w:tmpl w:val="1D361E2A"/>
    <w:lvl w:ilvl="0" w:tplc="080A0011">
      <w:start w:val="1"/>
      <w:numFmt w:val="decimal"/>
      <w:lvlText w:val="%1)"/>
      <w:lvlJc w:val="left"/>
      <w:pPr>
        <w:ind w:left="2215" w:hanging="360"/>
      </w:pPr>
    </w:lvl>
    <w:lvl w:ilvl="1" w:tplc="080A0019" w:tentative="1">
      <w:start w:val="1"/>
      <w:numFmt w:val="lowerLetter"/>
      <w:lvlText w:val="%2."/>
      <w:lvlJc w:val="left"/>
      <w:pPr>
        <w:ind w:left="2935" w:hanging="360"/>
      </w:pPr>
    </w:lvl>
    <w:lvl w:ilvl="2" w:tplc="080A001B" w:tentative="1">
      <w:start w:val="1"/>
      <w:numFmt w:val="lowerRoman"/>
      <w:lvlText w:val="%3."/>
      <w:lvlJc w:val="right"/>
      <w:pPr>
        <w:ind w:left="3655" w:hanging="180"/>
      </w:pPr>
    </w:lvl>
    <w:lvl w:ilvl="3" w:tplc="080A000F" w:tentative="1">
      <w:start w:val="1"/>
      <w:numFmt w:val="decimal"/>
      <w:lvlText w:val="%4."/>
      <w:lvlJc w:val="left"/>
      <w:pPr>
        <w:ind w:left="4375" w:hanging="360"/>
      </w:pPr>
    </w:lvl>
    <w:lvl w:ilvl="4" w:tplc="080A0019" w:tentative="1">
      <w:start w:val="1"/>
      <w:numFmt w:val="lowerLetter"/>
      <w:lvlText w:val="%5."/>
      <w:lvlJc w:val="left"/>
      <w:pPr>
        <w:ind w:left="5095" w:hanging="360"/>
      </w:pPr>
    </w:lvl>
    <w:lvl w:ilvl="5" w:tplc="080A001B" w:tentative="1">
      <w:start w:val="1"/>
      <w:numFmt w:val="lowerRoman"/>
      <w:lvlText w:val="%6."/>
      <w:lvlJc w:val="right"/>
      <w:pPr>
        <w:ind w:left="5815" w:hanging="180"/>
      </w:pPr>
    </w:lvl>
    <w:lvl w:ilvl="6" w:tplc="080A000F" w:tentative="1">
      <w:start w:val="1"/>
      <w:numFmt w:val="decimal"/>
      <w:lvlText w:val="%7."/>
      <w:lvlJc w:val="left"/>
      <w:pPr>
        <w:ind w:left="6535" w:hanging="360"/>
      </w:pPr>
    </w:lvl>
    <w:lvl w:ilvl="7" w:tplc="080A0019" w:tentative="1">
      <w:start w:val="1"/>
      <w:numFmt w:val="lowerLetter"/>
      <w:lvlText w:val="%8."/>
      <w:lvlJc w:val="left"/>
      <w:pPr>
        <w:ind w:left="7255" w:hanging="360"/>
      </w:pPr>
    </w:lvl>
    <w:lvl w:ilvl="8" w:tplc="080A001B" w:tentative="1">
      <w:start w:val="1"/>
      <w:numFmt w:val="lowerRoman"/>
      <w:lvlText w:val="%9."/>
      <w:lvlJc w:val="right"/>
      <w:pPr>
        <w:ind w:left="7975" w:hanging="180"/>
      </w:pPr>
    </w:lvl>
  </w:abstractNum>
  <w:abstractNum w:abstractNumId="1" w15:restartNumberingAfterBreak="0">
    <w:nsid w:val="076E26EF"/>
    <w:multiLevelType w:val="hybridMultilevel"/>
    <w:tmpl w:val="8C7E5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990795"/>
    <w:multiLevelType w:val="multilevel"/>
    <w:tmpl w:val="FA147D7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2284E"/>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850DF2"/>
    <w:multiLevelType w:val="multilevel"/>
    <w:tmpl w:val="6CAA43E6"/>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330BE"/>
    <w:multiLevelType w:val="multilevel"/>
    <w:tmpl w:val="41E8B51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4F23D0"/>
    <w:multiLevelType w:val="multilevel"/>
    <w:tmpl w:val="3A3C57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2"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943DB4"/>
    <w:multiLevelType w:val="multilevel"/>
    <w:tmpl w:val="AE2E8BC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5" w15:restartNumberingAfterBreak="0">
    <w:nsid w:val="6B3A5CCA"/>
    <w:multiLevelType w:val="hybridMultilevel"/>
    <w:tmpl w:val="FD66F3D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6"/>
  </w:num>
  <w:num w:numId="3">
    <w:abstractNumId w:val="6"/>
  </w:num>
  <w:num w:numId="4">
    <w:abstractNumId w:val="11"/>
  </w:num>
  <w:num w:numId="5">
    <w:abstractNumId w:val="12"/>
  </w:num>
  <w:num w:numId="6">
    <w:abstractNumId w:val="7"/>
  </w:num>
  <w:num w:numId="7">
    <w:abstractNumId w:val="13"/>
  </w:num>
  <w:num w:numId="8">
    <w:abstractNumId w:val="15"/>
  </w:num>
  <w:num w:numId="9">
    <w:abstractNumId w:val="0"/>
  </w:num>
  <w:num w:numId="10">
    <w:abstractNumId w:val="8"/>
  </w:num>
  <w:num w:numId="11">
    <w:abstractNumId w:val="3"/>
  </w:num>
  <w:num w:numId="12">
    <w:abstractNumId w:val="4"/>
  </w:num>
  <w:num w:numId="13">
    <w:abstractNumId w:val="2"/>
  </w:num>
  <w:num w:numId="14">
    <w:abstractNumId w:val="14"/>
  </w:num>
  <w:num w:numId="15">
    <w:abstractNumId w:val="9"/>
  </w:num>
  <w:num w:numId="16">
    <w:abstractNumId w:val="5"/>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566"/>
    <w:rsid w:val="000038CB"/>
    <w:rsid w:val="00003DD9"/>
    <w:rsid w:val="00023F89"/>
    <w:rsid w:val="00024F93"/>
    <w:rsid w:val="00036F07"/>
    <w:rsid w:val="00037080"/>
    <w:rsid w:val="00037694"/>
    <w:rsid w:val="00043971"/>
    <w:rsid w:val="00062045"/>
    <w:rsid w:val="00062444"/>
    <w:rsid w:val="00063E78"/>
    <w:rsid w:val="00070275"/>
    <w:rsid w:val="00070E1F"/>
    <w:rsid w:val="00071483"/>
    <w:rsid w:val="000746C9"/>
    <w:rsid w:val="00077434"/>
    <w:rsid w:val="000779D3"/>
    <w:rsid w:val="00080846"/>
    <w:rsid w:val="00084793"/>
    <w:rsid w:val="0008616B"/>
    <w:rsid w:val="000930BF"/>
    <w:rsid w:val="000A0F74"/>
    <w:rsid w:val="000A61EB"/>
    <w:rsid w:val="000B55B4"/>
    <w:rsid w:val="000B5E74"/>
    <w:rsid w:val="000B756F"/>
    <w:rsid w:val="000C7516"/>
    <w:rsid w:val="000D3698"/>
    <w:rsid w:val="000D4D94"/>
    <w:rsid w:val="000D50F3"/>
    <w:rsid w:val="000E2661"/>
    <w:rsid w:val="000E33AF"/>
    <w:rsid w:val="000E36B6"/>
    <w:rsid w:val="000E67B2"/>
    <w:rsid w:val="000E6B02"/>
    <w:rsid w:val="000F113E"/>
    <w:rsid w:val="000F1593"/>
    <w:rsid w:val="000F1D57"/>
    <w:rsid w:val="000F6F52"/>
    <w:rsid w:val="00102F1F"/>
    <w:rsid w:val="00105C13"/>
    <w:rsid w:val="00106553"/>
    <w:rsid w:val="001107A5"/>
    <w:rsid w:val="0012052F"/>
    <w:rsid w:val="00127517"/>
    <w:rsid w:val="00133E64"/>
    <w:rsid w:val="00135433"/>
    <w:rsid w:val="00146910"/>
    <w:rsid w:val="00146A65"/>
    <w:rsid w:val="001544FF"/>
    <w:rsid w:val="0016082D"/>
    <w:rsid w:val="00161EAC"/>
    <w:rsid w:val="001663FB"/>
    <w:rsid w:val="00172272"/>
    <w:rsid w:val="001765AF"/>
    <w:rsid w:val="00177B12"/>
    <w:rsid w:val="00181C24"/>
    <w:rsid w:val="001834E9"/>
    <w:rsid w:val="00186184"/>
    <w:rsid w:val="001863AD"/>
    <w:rsid w:val="00186FCA"/>
    <w:rsid w:val="00192B2A"/>
    <w:rsid w:val="001961CD"/>
    <w:rsid w:val="00196AA0"/>
    <w:rsid w:val="00196D9E"/>
    <w:rsid w:val="00196E7B"/>
    <w:rsid w:val="001A030B"/>
    <w:rsid w:val="001A3649"/>
    <w:rsid w:val="001A6DF5"/>
    <w:rsid w:val="001A78A1"/>
    <w:rsid w:val="001B1A41"/>
    <w:rsid w:val="001B631F"/>
    <w:rsid w:val="001C0342"/>
    <w:rsid w:val="001C0C56"/>
    <w:rsid w:val="001C2CB6"/>
    <w:rsid w:val="001C3FA6"/>
    <w:rsid w:val="001C5729"/>
    <w:rsid w:val="001D3B8D"/>
    <w:rsid w:val="001D457E"/>
    <w:rsid w:val="001D6B14"/>
    <w:rsid w:val="001E2CB9"/>
    <w:rsid w:val="001E51E4"/>
    <w:rsid w:val="001F159B"/>
    <w:rsid w:val="00201F7E"/>
    <w:rsid w:val="0020200E"/>
    <w:rsid w:val="00205368"/>
    <w:rsid w:val="002061C6"/>
    <w:rsid w:val="00207157"/>
    <w:rsid w:val="002109CD"/>
    <w:rsid w:val="002148D1"/>
    <w:rsid w:val="00214CB0"/>
    <w:rsid w:val="00216DCC"/>
    <w:rsid w:val="00223B24"/>
    <w:rsid w:val="002252B8"/>
    <w:rsid w:val="00250902"/>
    <w:rsid w:val="002510AE"/>
    <w:rsid w:val="002629BB"/>
    <w:rsid w:val="00262AEA"/>
    <w:rsid w:val="00266EFC"/>
    <w:rsid w:val="00267468"/>
    <w:rsid w:val="00270929"/>
    <w:rsid w:val="0027567B"/>
    <w:rsid w:val="00275AB0"/>
    <w:rsid w:val="00284285"/>
    <w:rsid w:val="002859D5"/>
    <w:rsid w:val="002907AD"/>
    <w:rsid w:val="00290E76"/>
    <w:rsid w:val="00296C6B"/>
    <w:rsid w:val="00297A5F"/>
    <w:rsid w:val="002A3C2C"/>
    <w:rsid w:val="002A534D"/>
    <w:rsid w:val="002B1E85"/>
    <w:rsid w:val="002B3B48"/>
    <w:rsid w:val="002B5A65"/>
    <w:rsid w:val="002B7A1B"/>
    <w:rsid w:val="002B7EE9"/>
    <w:rsid w:val="002C4BEC"/>
    <w:rsid w:val="002C7303"/>
    <w:rsid w:val="002E2F79"/>
    <w:rsid w:val="00301118"/>
    <w:rsid w:val="0031031B"/>
    <w:rsid w:val="00320425"/>
    <w:rsid w:val="0032392F"/>
    <w:rsid w:val="003246CC"/>
    <w:rsid w:val="0032673B"/>
    <w:rsid w:val="0033057E"/>
    <w:rsid w:val="00331DE1"/>
    <w:rsid w:val="0033402D"/>
    <w:rsid w:val="00336B17"/>
    <w:rsid w:val="003400CB"/>
    <w:rsid w:val="003410F3"/>
    <w:rsid w:val="00343DB0"/>
    <w:rsid w:val="00351275"/>
    <w:rsid w:val="003604B1"/>
    <w:rsid w:val="00360D7F"/>
    <w:rsid w:val="0036122E"/>
    <w:rsid w:val="00361441"/>
    <w:rsid w:val="003644DE"/>
    <w:rsid w:val="00367B8C"/>
    <w:rsid w:val="00370A08"/>
    <w:rsid w:val="00376BA1"/>
    <w:rsid w:val="00380D59"/>
    <w:rsid w:val="00385C23"/>
    <w:rsid w:val="003948C1"/>
    <w:rsid w:val="003A2338"/>
    <w:rsid w:val="003A3C35"/>
    <w:rsid w:val="003A3F37"/>
    <w:rsid w:val="003A61B2"/>
    <w:rsid w:val="003A7307"/>
    <w:rsid w:val="003B2862"/>
    <w:rsid w:val="003B4C8D"/>
    <w:rsid w:val="003B699F"/>
    <w:rsid w:val="003C3E11"/>
    <w:rsid w:val="003C44EF"/>
    <w:rsid w:val="003C51F5"/>
    <w:rsid w:val="003D0E31"/>
    <w:rsid w:val="003D2D85"/>
    <w:rsid w:val="003D691E"/>
    <w:rsid w:val="003D6A3E"/>
    <w:rsid w:val="003E0A43"/>
    <w:rsid w:val="003E0A73"/>
    <w:rsid w:val="003E1C35"/>
    <w:rsid w:val="003E260A"/>
    <w:rsid w:val="003E2B2A"/>
    <w:rsid w:val="003E4B8C"/>
    <w:rsid w:val="003E5DF4"/>
    <w:rsid w:val="003E664D"/>
    <w:rsid w:val="003E6CA4"/>
    <w:rsid w:val="003F3AC4"/>
    <w:rsid w:val="003F56B1"/>
    <w:rsid w:val="00406CBB"/>
    <w:rsid w:val="004120C1"/>
    <w:rsid w:val="004175C9"/>
    <w:rsid w:val="004216D4"/>
    <w:rsid w:val="00425B35"/>
    <w:rsid w:val="00434E54"/>
    <w:rsid w:val="00442770"/>
    <w:rsid w:val="00450E28"/>
    <w:rsid w:val="00451CF4"/>
    <w:rsid w:val="00453D56"/>
    <w:rsid w:val="00454070"/>
    <w:rsid w:val="00455525"/>
    <w:rsid w:val="00457703"/>
    <w:rsid w:val="004602F0"/>
    <w:rsid w:val="00463EAE"/>
    <w:rsid w:val="0046784D"/>
    <w:rsid w:val="00471C55"/>
    <w:rsid w:val="00481C72"/>
    <w:rsid w:val="00481FAC"/>
    <w:rsid w:val="0048201A"/>
    <w:rsid w:val="00491452"/>
    <w:rsid w:val="004927E8"/>
    <w:rsid w:val="00492829"/>
    <w:rsid w:val="0049429F"/>
    <w:rsid w:val="0049478E"/>
    <w:rsid w:val="00497FA0"/>
    <w:rsid w:val="004A111D"/>
    <w:rsid w:val="004A4399"/>
    <w:rsid w:val="004C5179"/>
    <w:rsid w:val="004D0388"/>
    <w:rsid w:val="004E0AFD"/>
    <w:rsid w:val="004E302F"/>
    <w:rsid w:val="004F1783"/>
    <w:rsid w:val="005074CD"/>
    <w:rsid w:val="00520653"/>
    <w:rsid w:val="00526EF7"/>
    <w:rsid w:val="00542665"/>
    <w:rsid w:val="00543175"/>
    <w:rsid w:val="005449F3"/>
    <w:rsid w:val="005458C4"/>
    <w:rsid w:val="0054767D"/>
    <w:rsid w:val="005519B5"/>
    <w:rsid w:val="00555394"/>
    <w:rsid w:val="005565B6"/>
    <w:rsid w:val="00562370"/>
    <w:rsid w:val="00563F40"/>
    <w:rsid w:val="0056710D"/>
    <w:rsid w:val="0057044D"/>
    <w:rsid w:val="00572204"/>
    <w:rsid w:val="00574F14"/>
    <w:rsid w:val="00576BC2"/>
    <w:rsid w:val="005818AD"/>
    <w:rsid w:val="005828AB"/>
    <w:rsid w:val="00596DC5"/>
    <w:rsid w:val="005A13A3"/>
    <w:rsid w:val="005A26DE"/>
    <w:rsid w:val="005A3070"/>
    <w:rsid w:val="005A367B"/>
    <w:rsid w:val="005A4ED2"/>
    <w:rsid w:val="005B371F"/>
    <w:rsid w:val="005B56CD"/>
    <w:rsid w:val="005C3562"/>
    <w:rsid w:val="005C4221"/>
    <w:rsid w:val="005C572F"/>
    <w:rsid w:val="005C6920"/>
    <w:rsid w:val="005D320F"/>
    <w:rsid w:val="005D7D28"/>
    <w:rsid w:val="005E34F9"/>
    <w:rsid w:val="005E58C9"/>
    <w:rsid w:val="005F7245"/>
    <w:rsid w:val="006023DE"/>
    <w:rsid w:val="00604A69"/>
    <w:rsid w:val="00620E99"/>
    <w:rsid w:val="006272DF"/>
    <w:rsid w:val="0063031D"/>
    <w:rsid w:val="00636A4F"/>
    <w:rsid w:val="0063714C"/>
    <w:rsid w:val="00637C01"/>
    <w:rsid w:val="0065634A"/>
    <w:rsid w:val="00657958"/>
    <w:rsid w:val="00657988"/>
    <w:rsid w:val="0066225D"/>
    <w:rsid w:val="006664EC"/>
    <w:rsid w:val="00667B7C"/>
    <w:rsid w:val="00667C8E"/>
    <w:rsid w:val="00670285"/>
    <w:rsid w:val="00671AEB"/>
    <w:rsid w:val="006736CE"/>
    <w:rsid w:val="00675A48"/>
    <w:rsid w:val="006816FB"/>
    <w:rsid w:val="00691E11"/>
    <w:rsid w:val="00695347"/>
    <w:rsid w:val="006957E9"/>
    <w:rsid w:val="006958A6"/>
    <w:rsid w:val="00696CCE"/>
    <w:rsid w:val="00697A47"/>
    <w:rsid w:val="006A129D"/>
    <w:rsid w:val="006A7954"/>
    <w:rsid w:val="006B0D8F"/>
    <w:rsid w:val="006B1694"/>
    <w:rsid w:val="006B652E"/>
    <w:rsid w:val="006C1B33"/>
    <w:rsid w:val="006C4541"/>
    <w:rsid w:val="006C4A35"/>
    <w:rsid w:val="006C72E8"/>
    <w:rsid w:val="006C7B25"/>
    <w:rsid w:val="006D1845"/>
    <w:rsid w:val="006D6E88"/>
    <w:rsid w:val="006E295A"/>
    <w:rsid w:val="006E390C"/>
    <w:rsid w:val="006E679E"/>
    <w:rsid w:val="006E7A01"/>
    <w:rsid w:val="006F49D1"/>
    <w:rsid w:val="00700C65"/>
    <w:rsid w:val="007058DD"/>
    <w:rsid w:val="00711A66"/>
    <w:rsid w:val="007178C8"/>
    <w:rsid w:val="00720581"/>
    <w:rsid w:val="0072148B"/>
    <w:rsid w:val="007220F5"/>
    <w:rsid w:val="00724590"/>
    <w:rsid w:val="007266C3"/>
    <w:rsid w:val="00730E91"/>
    <w:rsid w:val="00731575"/>
    <w:rsid w:val="00734D78"/>
    <w:rsid w:val="0073534C"/>
    <w:rsid w:val="00737C44"/>
    <w:rsid w:val="007406BD"/>
    <w:rsid w:val="00742100"/>
    <w:rsid w:val="00746978"/>
    <w:rsid w:val="007469B8"/>
    <w:rsid w:val="00747BDB"/>
    <w:rsid w:val="00751BDC"/>
    <w:rsid w:val="00764743"/>
    <w:rsid w:val="00764DF2"/>
    <w:rsid w:val="00770DF7"/>
    <w:rsid w:val="007715D9"/>
    <w:rsid w:val="00774D62"/>
    <w:rsid w:val="00776874"/>
    <w:rsid w:val="00777FC2"/>
    <w:rsid w:val="00781A32"/>
    <w:rsid w:val="00790CE8"/>
    <w:rsid w:val="00790F20"/>
    <w:rsid w:val="00790F83"/>
    <w:rsid w:val="00792580"/>
    <w:rsid w:val="00796D30"/>
    <w:rsid w:val="0079778B"/>
    <w:rsid w:val="007A0ADC"/>
    <w:rsid w:val="007A5006"/>
    <w:rsid w:val="007A5102"/>
    <w:rsid w:val="007B0ABA"/>
    <w:rsid w:val="007B0C35"/>
    <w:rsid w:val="007B4AEA"/>
    <w:rsid w:val="007B54B4"/>
    <w:rsid w:val="007B6C06"/>
    <w:rsid w:val="007B7C68"/>
    <w:rsid w:val="007C2BD4"/>
    <w:rsid w:val="007D083D"/>
    <w:rsid w:val="007D22DE"/>
    <w:rsid w:val="007D7476"/>
    <w:rsid w:val="007E27AA"/>
    <w:rsid w:val="007E48A5"/>
    <w:rsid w:val="007F1CC8"/>
    <w:rsid w:val="007F61D8"/>
    <w:rsid w:val="007F7250"/>
    <w:rsid w:val="008016DD"/>
    <w:rsid w:val="00802549"/>
    <w:rsid w:val="00802A4A"/>
    <w:rsid w:val="00805D21"/>
    <w:rsid w:val="00811CF8"/>
    <w:rsid w:val="00816B3B"/>
    <w:rsid w:val="00817B76"/>
    <w:rsid w:val="008238A5"/>
    <w:rsid w:val="0082506A"/>
    <w:rsid w:val="00825153"/>
    <w:rsid w:val="00835ACA"/>
    <w:rsid w:val="00837131"/>
    <w:rsid w:val="0084133A"/>
    <w:rsid w:val="00846BB7"/>
    <w:rsid w:val="00847C3A"/>
    <w:rsid w:val="0085755E"/>
    <w:rsid w:val="00860B7E"/>
    <w:rsid w:val="008664AA"/>
    <w:rsid w:val="00870C33"/>
    <w:rsid w:val="00876526"/>
    <w:rsid w:val="00891202"/>
    <w:rsid w:val="00893AEB"/>
    <w:rsid w:val="00895953"/>
    <w:rsid w:val="00896E6F"/>
    <w:rsid w:val="008A012C"/>
    <w:rsid w:val="008A2D0D"/>
    <w:rsid w:val="008A643F"/>
    <w:rsid w:val="008B2146"/>
    <w:rsid w:val="008B4C48"/>
    <w:rsid w:val="008B5E2F"/>
    <w:rsid w:val="008B7800"/>
    <w:rsid w:val="008C6196"/>
    <w:rsid w:val="008C6FAC"/>
    <w:rsid w:val="008C7F02"/>
    <w:rsid w:val="008D12E0"/>
    <w:rsid w:val="008D7A23"/>
    <w:rsid w:val="008E58F8"/>
    <w:rsid w:val="008E7B4E"/>
    <w:rsid w:val="008F19B5"/>
    <w:rsid w:val="008F4572"/>
    <w:rsid w:val="008F4A76"/>
    <w:rsid w:val="00901F04"/>
    <w:rsid w:val="009027AB"/>
    <w:rsid w:val="009100D1"/>
    <w:rsid w:val="00923ACC"/>
    <w:rsid w:val="00923D1F"/>
    <w:rsid w:val="009314EF"/>
    <w:rsid w:val="00931ADB"/>
    <w:rsid w:val="00932276"/>
    <w:rsid w:val="00932B26"/>
    <w:rsid w:val="00935B35"/>
    <w:rsid w:val="00936FC3"/>
    <w:rsid w:val="00937055"/>
    <w:rsid w:val="009628A8"/>
    <w:rsid w:val="0096318D"/>
    <w:rsid w:val="009643B5"/>
    <w:rsid w:val="00964BCE"/>
    <w:rsid w:val="00971272"/>
    <w:rsid w:val="00975EDC"/>
    <w:rsid w:val="009845A2"/>
    <w:rsid w:val="009858A5"/>
    <w:rsid w:val="00990A43"/>
    <w:rsid w:val="00993617"/>
    <w:rsid w:val="009951FB"/>
    <w:rsid w:val="00995B5D"/>
    <w:rsid w:val="0099608C"/>
    <w:rsid w:val="009965CB"/>
    <w:rsid w:val="009A0BC3"/>
    <w:rsid w:val="009A6040"/>
    <w:rsid w:val="009B18E2"/>
    <w:rsid w:val="009B2185"/>
    <w:rsid w:val="009C00EF"/>
    <w:rsid w:val="009C100E"/>
    <w:rsid w:val="009C3266"/>
    <w:rsid w:val="009D34A4"/>
    <w:rsid w:val="009E0019"/>
    <w:rsid w:val="009E7A2A"/>
    <w:rsid w:val="009F0BEC"/>
    <w:rsid w:val="009F0C9C"/>
    <w:rsid w:val="009F1F9E"/>
    <w:rsid w:val="009F2579"/>
    <w:rsid w:val="009F2820"/>
    <w:rsid w:val="009F74E4"/>
    <w:rsid w:val="00A014FA"/>
    <w:rsid w:val="00A01F95"/>
    <w:rsid w:val="00A06C8F"/>
    <w:rsid w:val="00A077F4"/>
    <w:rsid w:val="00A07A67"/>
    <w:rsid w:val="00A10108"/>
    <w:rsid w:val="00A10ACB"/>
    <w:rsid w:val="00A122CB"/>
    <w:rsid w:val="00A14B95"/>
    <w:rsid w:val="00A151BF"/>
    <w:rsid w:val="00A20CDE"/>
    <w:rsid w:val="00A219ED"/>
    <w:rsid w:val="00A26CE8"/>
    <w:rsid w:val="00A27E7A"/>
    <w:rsid w:val="00A35288"/>
    <w:rsid w:val="00A35890"/>
    <w:rsid w:val="00A4171F"/>
    <w:rsid w:val="00A42940"/>
    <w:rsid w:val="00A42B65"/>
    <w:rsid w:val="00A43E68"/>
    <w:rsid w:val="00A4570A"/>
    <w:rsid w:val="00A47D60"/>
    <w:rsid w:val="00A51761"/>
    <w:rsid w:val="00A51835"/>
    <w:rsid w:val="00A522DD"/>
    <w:rsid w:val="00A57814"/>
    <w:rsid w:val="00A674EF"/>
    <w:rsid w:val="00A70E02"/>
    <w:rsid w:val="00A71DF3"/>
    <w:rsid w:val="00A73069"/>
    <w:rsid w:val="00A76E9C"/>
    <w:rsid w:val="00A80919"/>
    <w:rsid w:val="00A84063"/>
    <w:rsid w:val="00A87A67"/>
    <w:rsid w:val="00A90A2C"/>
    <w:rsid w:val="00A96F20"/>
    <w:rsid w:val="00AA0D5C"/>
    <w:rsid w:val="00AA194B"/>
    <w:rsid w:val="00AB1E49"/>
    <w:rsid w:val="00AB35AC"/>
    <w:rsid w:val="00AB4BC1"/>
    <w:rsid w:val="00AB5259"/>
    <w:rsid w:val="00AB68A4"/>
    <w:rsid w:val="00AB71E5"/>
    <w:rsid w:val="00AC0B18"/>
    <w:rsid w:val="00AC39E5"/>
    <w:rsid w:val="00AD29E4"/>
    <w:rsid w:val="00AD3551"/>
    <w:rsid w:val="00AE0F0F"/>
    <w:rsid w:val="00AE28F1"/>
    <w:rsid w:val="00AE6C16"/>
    <w:rsid w:val="00AF7688"/>
    <w:rsid w:val="00B003F6"/>
    <w:rsid w:val="00B00835"/>
    <w:rsid w:val="00B00D79"/>
    <w:rsid w:val="00B01DBC"/>
    <w:rsid w:val="00B029E8"/>
    <w:rsid w:val="00B04D23"/>
    <w:rsid w:val="00B0554B"/>
    <w:rsid w:val="00B078EE"/>
    <w:rsid w:val="00B109AA"/>
    <w:rsid w:val="00B165F6"/>
    <w:rsid w:val="00B17B2F"/>
    <w:rsid w:val="00B214E4"/>
    <w:rsid w:val="00B24FDD"/>
    <w:rsid w:val="00B2612A"/>
    <w:rsid w:val="00B2728D"/>
    <w:rsid w:val="00B2791E"/>
    <w:rsid w:val="00B313B7"/>
    <w:rsid w:val="00B344DA"/>
    <w:rsid w:val="00B357D6"/>
    <w:rsid w:val="00B357DE"/>
    <w:rsid w:val="00B470BA"/>
    <w:rsid w:val="00B62228"/>
    <w:rsid w:val="00B626FF"/>
    <w:rsid w:val="00B6308B"/>
    <w:rsid w:val="00B6379E"/>
    <w:rsid w:val="00B65F2F"/>
    <w:rsid w:val="00B6629A"/>
    <w:rsid w:val="00B70D04"/>
    <w:rsid w:val="00B8051A"/>
    <w:rsid w:val="00B8552F"/>
    <w:rsid w:val="00B87828"/>
    <w:rsid w:val="00B90077"/>
    <w:rsid w:val="00B95873"/>
    <w:rsid w:val="00B961D9"/>
    <w:rsid w:val="00BA5045"/>
    <w:rsid w:val="00BA7C15"/>
    <w:rsid w:val="00BB0B24"/>
    <w:rsid w:val="00BB781C"/>
    <w:rsid w:val="00BC0C17"/>
    <w:rsid w:val="00BC0CD7"/>
    <w:rsid w:val="00BC2136"/>
    <w:rsid w:val="00BC2B90"/>
    <w:rsid w:val="00BC669B"/>
    <w:rsid w:val="00BC6E92"/>
    <w:rsid w:val="00BD021C"/>
    <w:rsid w:val="00BD6DC1"/>
    <w:rsid w:val="00BE02BC"/>
    <w:rsid w:val="00BE4972"/>
    <w:rsid w:val="00BE61BC"/>
    <w:rsid w:val="00C0184D"/>
    <w:rsid w:val="00C07F1D"/>
    <w:rsid w:val="00C1016B"/>
    <w:rsid w:val="00C13492"/>
    <w:rsid w:val="00C17AAF"/>
    <w:rsid w:val="00C26DB4"/>
    <w:rsid w:val="00C338BE"/>
    <w:rsid w:val="00C40725"/>
    <w:rsid w:val="00C41029"/>
    <w:rsid w:val="00C41343"/>
    <w:rsid w:val="00C4426F"/>
    <w:rsid w:val="00C461B3"/>
    <w:rsid w:val="00C4747A"/>
    <w:rsid w:val="00C4759D"/>
    <w:rsid w:val="00C51275"/>
    <w:rsid w:val="00C5331D"/>
    <w:rsid w:val="00C54F37"/>
    <w:rsid w:val="00C56704"/>
    <w:rsid w:val="00C65E7F"/>
    <w:rsid w:val="00C734E1"/>
    <w:rsid w:val="00C84B99"/>
    <w:rsid w:val="00C84C75"/>
    <w:rsid w:val="00C85467"/>
    <w:rsid w:val="00C93740"/>
    <w:rsid w:val="00CB48D8"/>
    <w:rsid w:val="00CC3D1B"/>
    <w:rsid w:val="00CC4FCD"/>
    <w:rsid w:val="00CC5B0C"/>
    <w:rsid w:val="00CC675C"/>
    <w:rsid w:val="00CC75D5"/>
    <w:rsid w:val="00CD26C9"/>
    <w:rsid w:val="00CD3296"/>
    <w:rsid w:val="00CD3D3E"/>
    <w:rsid w:val="00CD7976"/>
    <w:rsid w:val="00CE2DDA"/>
    <w:rsid w:val="00CE3E05"/>
    <w:rsid w:val="00CE719F"/>
    <w:rsid w:val="00CF0E68"/>
    <w:rsid w:val="00CF270D"/>
    <w:rsid w:val="00D03862"/>
    <w:rsid w:val="00D0590D"/>
    <w:rsid w:val="00D11C04"/>
    <w:rsid w:val="00D13C1F"/>
    <w:rsid w:val="00D23968"/>
    <w:rsid w:val="00D23B3D"/>
    <w:rsid w:val="00D2445C"/>
    <w:rsid w:val="00D30A12"/>
    <w:rsid w:val="00D406E6"/>
    <w:rsid w:val="00D42289"/>
    <w:rsid w:val="00D4443C"/>
    <w:rsid w:val="00D445F8"/>
    <w:rsid w:val="00D47A7F"/>
    <w:rsid w:val="00D50CF8"/>
    <w:rsid w:val="00D51BED"/>
    <w:rsid w:val="00D533FA"/>
    <w:rsid w:val="00D57868"/>
    <w:rsid w:val="00D61638"/>
    <w:rsid w:val="00D61F2E"/>
    <w:rsid w:val="00D650A9"/>
    <w:rsid w:val="00D677EA"/>
    <w:rsid w:val="00D72719"/>
    <w:rsid w:val="00D75EFB"/>
    <w:rsid w:val="00D85006"/>
    <w:rsid w:val="00D954BA"/>
    <w:rsid w:val="00D97E4A"/>
    <w:rsid w:val="00DA2545"/>
    <w:rsid w:val="00DA42B1"/>
    <w:rsid w:val="00DB09D6"/>
    <w:rsid w:val="00DB69D1"/>
    <w:rsid w:val="00DC2361"/>
    <w:rsid w:val="00DC70C7"/>
    <w:rsid w:val="00DC7996"/>
    <w:rsid w:val="00DD463E"/>
    <w:rsid w:val="00DE25F8"/>
    <w:rsid w:val="00DF0D6F"/>
    <w:rsid w:val="00DF3E1F"/>
    <w:rsid w:val="00E031A9"/>
    <w:rsid w:val="00E06511"/>
    <w:rsid w:val="00E10A2D"/>
    <w:rsid w:val="00E10CC5"/>
    <w:rsid w:val="00E216B6"/>
    <w:rsid w:val="00E2183F"/>
    <w:rsid w:val="00E222E3"/>
    <w:rsid w:val="00E24CA2"/>
    <w:rsid w:val="00E30A06"/>
    <w:rsid w:val="00E36700"/>
    <w:rsid w:val="00E41F6C"/>
    <w:rsid w:val="00E44A9E"/>
    <w:rsid w:val="00E5099D"/>
    <w:rsid w:val="00E52BA5"/>
    <w:rsid w:val="00E5636D"/>
    <w:rsid w:val="00E57023"/>
    <w:rsid w:val="00E62CF4"/>
    <w:rsid w:val="00E67AF7"/>
    <w:rsid w:val="00E7220B"/>
    <w:rsid w:val="00E775D3"/>
    <w:rsid w:val="00E77884"/>
    <w:rsid w:val="00E832FF"/>
    <w:rsid w:val="00E871B6"/>
    <w:rsid w:val="00E87D3E"/>
    <w:rsid w:val="00E91B7B"/>
    <w:rsid w:val="00E933B9"/>
    <w:rsid w:val="00EA5953"/>
    <w:rsid w:val="00EC5C49"/>
    <w:rsid w:val="00EC5E5F"/>
    <w:rsid w:val="00ED4A10"/>
    <w:rsid w:val="00ED51BB"/>
    <w:rsid w:val="00EE1146"/>
    <w:rsid w:val="00EE4241"/>
    <w:rsid w:val="00EE75AA"/>
    <w:rsid w:val="00EF110B"/>
    <w:rsid w:val="00EF430C"/>
    <w:rsid w:val="00EF782A"/>
    <w:rsid w:val="00F01203"/>
    <w:rsid w:val="00F018DF"/>
    <w:rsid w:val="00F11E00"/>
    <w:rsid w:val="00F124E2"/>
    <w:rsid w:val="00F26E84"/>
    <w:rsid w:val="00F27EE0"/>
    <w:rsid w:val="00F34A9A"/>
    <w:rsid w:val="00F35035"/>
    <w:rsid w:val="00F37DE2"/>
    <w:rsid w:val="00F43CFE"/>
    <w:rsid w:val="00F4507F"/>
    <w:rsid w:val="00F4697B"/>
    <w:rsid w:val="00F560FB"/>
    <w:rsid w:val="00F60C53"/>
    <w:rsid w:val="00F63D02"/>
    <w:rsid w:val="00F66203"/>
    <w:rsid w:val="00F72E77"/>
    <w:rsid w:val="00F75447"/>
    <w:rsid w:val="00F85306"/>
    <w:rsid w:val="00F91042"/>
    <w:rsid w:val="00F92AD0"/>
    <w:rsid w:val="00FA533D"/>
    <w:rsid w:val="00FA778F"/>
    <w:rsid w:val="00FB4887"/>
    <w:rsid w:val="00FB50A1"/>
    <w:rsid w:val="00FB778E"/>
    <w:rsid w:val="00FC0B1F"/>
    <w:rsid w:val="00FC0C33"/>
    <w:rsid w:val="00FC17E4"/>
    <w:rsid w:val="00FC2A51"/>
    <w:rsid w:val="00FC5083"/>
    <w:rsid w:val="00FC679B"/>
    <w:rsid w:val="00FC70E7"/>
    <w:rsid w:val="00FD141C"/>
    <w:rsid w:val="00FD5BA7"/>
    <w:rsid w:val="00FE1EB8"/>
    <w:rsid w:val="00FE3BF2"/>
    <w:rsid w:val="00FE3CEA"/>
    <w:rsid w:val="00FE7701"/>
    <w:rsid w:val="00FF1572"/>
    <w:rsid w:val="00FF30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7D836C"/>
  <w15:docId w15:val="{7AD60C9D-76B3-40E4-9ED9-C620DABB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Refdecomentario">
    <w:name w:val="annotation reference"/>
    <w:basedOn w:val="Fuentedeprrafopredeter"/>
    <w:uiPriority w:val="99"/>
    <w:semiHidden/>
    <w:unhideWhenUsed/>
    <w:rsid w:val="00E52BA5"/>
    <w:rPr>
      <w:sz w:val="16"/>
      <w:szCs w:val="16"/>
    </w:rPr>
  </w:style>
  <w:style w:type="paragraph" w:styleId="Textocomentario">
    <w:name w:val="annotation text"/>
    <w:basedOn w:val="Normal"/>
    <w:link w:val="TextocomentarioCar"/>
    <w:uiPriority w:val="99"/>
    <w:semiHidden/>
    <w:unhideWhenUsed/>
    <w:rsid w:val="00E52BA5"/>
    <w:rPr>
      <w:sz w:val="20"/>
      <w:szCs w:val="20"/>
    </w:rPr>
  </w:style>
  <w:style w:type="character" w:customStyle="1" w:styleId="TextocomentarioCar">
    <w:name w:val="Texto comentario Car"/>
    <w:basedOn w:val="Fuentedeprrafopredeter"/>
    <w:link w:val="Textocomentario"/>
    <w:uiPriority w:val="99"/>
    <w:semiHidden/>
    <w:rsid w:val="00E52BA5"/>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52BA5"/>
    <w:rPr>
      <w:b/>
      <w:bCs/>
    </w:rPr>
  </w:style>
  <w:style w:type="character" w:customStyle="1" w:styleId="AsuntodelcomentarioCar">
    <w:name w:val="Asunto del comentario Car"/>
    <w:basedOn w:val="TextocomentarioCar"/>
    <w:link w:val="Asuntodelcomentario"/>
    <w:uiPriority w:val="99"/>
    <w:semiHidden/>
    <w:rsid w:val="00E52BA5"/>
    <w:rPr>
      <w:rFonts w:eastAsiaTheme="minorEastAsia"/>
      <w:b/>
      <w:bCs/>
      <w:sz w:val="20"/>
      <w:szCs w:val="20"/>
      <w:lang w:eastAsia="es-ES"/>
    </w:rPr>
  </w:style>
  <w:style w:type="paragraph" w:styleId="Textodeglobo">
    <w:name w:val="Balloon Text"/>
    <w:basedOn w:val="Normal"/>
    <w:link w:val="TextodegloboCar"/>
    <w:uiPriority w:val="99"/>
    <w:semiHidden/>
    <w:unhideWhenUsed/>
    <w:rsid w:val="00E52B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2BA5"/>
    <w:rPr>
      <w:rFonts w:ascii="Segoe UI" w:eastAsiaTheme="minorEastAsia"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331568645">
      <w:bodyDiv w:val="1"/>
      <w:marLeft w:val="0"/>
      <w:marRight w:val="0"/>
      <w:marTop w:val="0"/>
      <w:marBottom w:val="0"/>
      <w:divBdr>
        <w:top w:val="none" w:sz="0" w:space="0" w:color="auto"/>
        <w:left w:val="none" w:sz="0" w:space="0" w:color="auto"/>
        <w:bottom w:val="none" w:sz="0" w:space="0" w:color="auto"/>
        <w:right w:val="none" w:sz="0" w:space="0" w:color="auto"/>
      </w:divBdr>
    </w:div>
    <w:div w:id="425460048">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48531250">
      <w:bodyDiv w:val="1"/>
      <w:marLeft w:val="0"/>
      <w:marRight w:val="0"/>
      <w:marTop w:val="0"/>
      <w:marBottom w:val="0"/>
      <w:divBdr>
        <w:top w:val="none" w:sz="0" w:space="0" w:color="auto"/>
        <w:left w:val="none" w:sz="0" w:space="0" w:color="auto"/>
        <w:bottom w:val="none" w:sz="0" w:space="0" w:color="auto"/>
        <w:right w:val="none" w:sz="0" w:space="0" w:color="auto"/>
      </w:divBdr>
    </w:div>
    <w:div w:id="1066757063">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343706553">
      <w:bodyDiv w:val="1"/>
      <w:marLeft w:val="0"/>
      <w:marRight w:val="0"/>
      <w:marTop w:val="0"/>
      <w:marBottom w:val="0"/>
      <w:divBdr>
        <w:top w:val="none" w:sz="0" w:space="0" w:color="auto"/>
        <w:left w:val="none" w:sz="0" w:space="0" w:color="auto"/>
        <w:bottom w:val="none" w:sz="0" w:space="0" w:color="auto"/>
        <w:right w:val="none" w:sz="0" w:space="0" w:color="auto"/>
      </w:divBdr>
    </w:div>
    <w:div w:id="1415542958">
      <w:bodyDiv w:val="1"/>
      <w:marLeft w:val="0"/>
      <w:marRight w:val="0"/>
      <w:marTop w:val="0"/>
      <w:marBottom w:val="0"/>
      <w:divBdr>
        <w:top w:val="none" w:sz="0" w:space="0" w:color="auto"/>
        <w:left w:val="none" w:sz="0" w:space="0" w:color="auto"/>
        <w:bottom w:val="none" w:sz="0" w:space="0" w:color="auto"/>
        <w:right w:val="none" w:sz="0" w:space="0" w:color="auto"/>
      </w:divBdr>
    </w:div>
    <w:div w:id="1453404204">
      <w:bodyDiv w:val="1"/>
      <w:marLeft w:val="0"/>
      <w:marRight w:val="0"/>
      <w:marTop w:val="0"/>
      <w:marBottom w:val="0"/>
      <w:divBdr>
        <w:top w:val="none" w:sz="0" w:space="0" w:color="auto"/>
        <w:left w:val="none" w:sz="0" w:space="0" w:color="auto"/>
        <w:bottom w:val="none" w:sz="0" w:space="0" w:color="auto"/>
        <w:right w:val="none" w:sz="0" w:space="0" w:color="auto"/>
      </w:divBdr>
    </w:div>
    <w:div w:id="1486238416">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4780</Words>
  <Characters>26296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7</cp:revision>
  <cp:lastPrinted>2025-08-29T16:32:00Z</cp:lastPrinted>
  <dcterms:created xsi:type="dcterms:W3CDTF">2025-08-21T18:33:00Z</dcterms:created>
  <dcterms:modified xsi:type="dcterms:W3CDTF">2025-09-05T19:50:00Z</dcterms:modified>
</cp:coreProperties>
</file>