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3FD38"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tres de septiembre de dos mil veinticinco. </w:t>
      </w:r>
    </w:p>
    <w:p w14:paraId="56E62C94"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5748FE6F"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b/>
          <w:sz w:val="22"/>
          <w:szCs w:val="22"/>
        </w:rPr>
        <w:t>Vistos</w:t>
      </w:r>
      <w:r w:rsidRPr="00457F86">
        <w:rPr>
          <w:rFonts w:ascii="Palatino Linotype" w:eastAsia="Palatino Linotype" w:hAnsi="Palatino Linotype" w:cs="Palatino Linotype"/>
          <w:sz w:val="22"/>
          <w:szCs w:val="22"/>
        </w:rPr>
        <w:t xml:space="preserve"> los expedientes formados con motivo de los recursos de revisión </w:t>
      </w:r>
      <w:r w:rsidRPr="00457F86">
        <w:rPr>
          <w:rFonts w:ascii="Palatino Linotype" w:eastAsia="Palatino Linotype" w:hAnsi="Palatino Linotype" w:cs="Palatino Linotype"/>
          <w:b/>
          <w:sz w:val="22"/>
          <w:szCs w:val="22"/>
        </w:rPr>
        <w:t xml:space="preserve">06644/INFOEM/IP/RR/2025 y 06646/INFOEM/IP/RR/2025 acumulados, </w:t>
      </w:r>
      <w:r w:rsidRPr="00457F86">
        <w:rPr>
          <w:rFonts w:ascii="Palatino Linotype" w:eastAsia="Palatino Linotype" w:hAnsi="Palatino Linotype" w:cs="Palatino Linotype"/>
          <w:sz w:val="22"/>
          <w:szCs w:val="22"/>
        </w:rPr>
        <w:t>interpuestos por</w:t>
      </w:r>
      <w:r w:rsidRPr="00457F86">
        <w:rPr>
          <w:rFonts w:ascii="Palatino Linotype" w:eastAsia="Palatino Linotype" w:hAnsi="Palatino Linotype" w:cs="Palatino Linotype"/>
          <w:b/>
          <w:sz w:val="22"/>
          <w:szCs w:val="22"/>
        </w:rPr>
        <w:t xml:space="preserve"> un particular que no proporcionó nombre o seudónimo, </w:t>
      </w:r>
      <w:r w:rsidRPr="00457F86">
        <w:rPr>
          <w:rFonts w:ascii="Palatino Linotype" w:eastAsia="Palatino Linotype" w:hAnsi="Palatino Linotype" w:cs="Palatino Linotype"/>
          <w:sz w:val="22"/>
          <w:szCs w:val="22"/>
        </w:rPr>
        <w:t>quien en lo sucesivo</w:t>
      </w:r>
      <w:r w:rsidRPr="00457F86">
        <w:rPr>
          <w:rFonts w:ascii="Palatino Linotype" w:eastAsia="Palatino Linotype" w:hAnsi="Palatino Linotype" w:cs="Palatino Linotype"/>
          <w:b/>
          <w:sz w:val="22"/>
          <w:szCs w:val="22"/>
        </w:rPr>
        <w:t xml:space="preserve"> </w:t>
      </w:r>
      <w:r w:rsidRPr="00457F86">
        <w:rPr>
          <w:rFonts w:ascii="Palatino Linotype" w:eastAsia="Palatino Linotype" w:hAnsi="Palatino Linotype" w:cs="Palatino Linotype"/>
          <w:sz w:val="22"/>
          <w:szCs w:val="22"/>
        </w:rPr>
        <w:t>será identificado como la parte</w:t>
      </w:r>
      <w:r w:rsidRPr="00457F86">
        <w:rPr>
          <w:rFonts w:ascii="Palatino Linotype" w:eastAsia="Palatino Linotype" w:hAnsi="Palatino Linotype" w:cs="Palatino Linotype"/>
          <w:b/>
          <w:sz w:val="22"/>
          <w:szCs w:val="22"/>
        </w:rPr>
        <w:t xml:space="preserve"> Recurrente,</w:t>
      </w:r>
      <w:r w:rsidRPr="00457F86">
        <w:rPr>
          <w:rFonts w:ascii="Palatino Linotype" w:eastAsia="Palatino Linotype" w:hAnsi="Palatino Linotype" w:cs="Palatino Linotype"/>
          <w:sz w:val="22"/>
          <w:szCs w:val="22"/>
        </w:rPr>
        <w:t xml:space="preserve"> en contra de las respuestas en las solicitudes de información con número de folio </w:t>
      </w:r>
      <w:r w:rsidRPr="00457F86">
        <w:rPr>
          <w:rFonts w:ascii="Palatino Linotype" w:eastAsia="Palatino Linotype" w:hAnsi="Palatino Linotype" w:cs="Palatino Linotype"/>
          <w:b/>
          <w:sz w:val="22"/>
          <w:szCs w:val="22"/>
        </w:rPr>
        <w:t xml:space="preserve">00015/DIFTIANGUI/IP/2025 y 00014/DIFTIANGUI/IP/2025, </w:t>
      </w:r>
      <w:r w:rsidRPr="00457F86">
        <w:rPr>
          <w:rFonts w:ascii="Palatino Linotype" w:eastAsia="Palatino Linotype" w:hAnsi="Palatino Linotype" w:cs="Palatino Linotype"/>
          <w:sz w:val="22"/>
          <w:szCs w:val="22"/>
        </w:rPr>
        <w:t>por parte</w:t>
      </w:r>
      <w:r w:rsidRPr="00457F86">
        <w:rPr>
          <w:rFonts w:ascii="Palatino Linotype" w:eastAsia="Palatino Linotype" w:hAnsi="Palatino Linotype" w:cs="Palatino Linotype"/>
          <w:b/>
          <w:sz w:val="22"/>
          <w:szCs w:val="22"/>
        </w:rPr>
        <w:t xml:space="preserve"> </w:t>
      </w:r>
      <w:r w:rsidRPr="00457F86">
        <w:rPr>
          <w:rFonts w:ascii="Palatino Linotype" w:eastAsia="Palatino Linotype" w:hAnsi="Palatino Linotype" w:cs="Palatino Linotype"/>
          <w:sz w:val="22"/>
          <w:szCs w:val="22"/>
        </w:rPr>
        <w:t xml:space="preserve">del </w:t>
      </w:r>
      <w:r w:rsidRPr="00457F86">
        <w:rPr>
          <w:rFonts w:ascii="Palatino Linotype" w:eastAsia="Palatino Linotype" w:hAnsi="Palatino Linotype" w:cs="Palatino Linotype"/>
          <w:b/>
          <w:sz w:val="22"/>
          <w:szCs w:val="22"/>
        </w:rPr>
        <w:t xml:space="preserve">Sistema Municipal Para el Desarrollo Integral de la Familia de Tianguistenco, </w:t>
      </w:r>
      <w:r w:rsidRPr="00457F86">
        <w:rPr>
          <w:rFonts w:ascii="Palatino Linotype" w:eastAsia="Palatino Linotype" w:hAnsi="Palatino Linotype" w:cs="Palatino Linotype"/>
          <w:sz w:val="22"/>
          <w:szCs w:val="22"/>
        </w:rPr>
        <w:t xml:space="preserve">en lo sucesivo el </w:t>
      </w:r>
      <w:r w:rsidRPr="00457F86">
        <w:rPr>
          <w:rFonts w:ascii="Palatino Linotype" w:eastAsia="Palatino Linotype" w:hAnsi="Palatino Linotype" w:cs="Palatino Linotype"/>
          <w:b/>
          <w:sz w:val="22"/>
          <w:szCs w:val="22"/>
        </w:rPr>
        <w:t xml:space="preserve">Sujeto Obligado, </w:t>
      </w:r>
      <w:r w:rsidRPr="00457F86">
        <w:rPr>
          <w:rFonts w:ascii="Palatino Linotype" w:eastAsia="Palatino Linotype" w:hAnsi="Palatino Linotype" w:cs="Palatino Linotype"/>
          <w:sz w:val="22"/>
          <w:szCs w:val="22"/>
        </w:rPr>
        <w:t xml:space="preserve">se procede a dictar la presente resolución con base en los siguientes: </w:t>
      </w:r>
    </w:p>
    <w:p w14:paraId="2655CBE8" w14:textId="77777777" w:rsidR="003E0B3C" w:rsidRPr="00457F86" w:rsidRDefault="00C51FAD">
      <w:pPr>
        <w:spacing w:line="360" w:lineRule="auto"/>
        <w:jc w:val="center"/>
        <w:rPr>
          <w:rFonts w:ascii="Palatino Linotype" w:eastAsia="Palatino Linotype" w:hAnsi="Palatino Linotype" w:cs="Palatino Linotype"/>
          <w:b/>
          <w:sz w:val="22"/>
          <w:szCs w:val="22"/>
        </w:rPr>
      </w:pPr>
      <w:r w:rsidRPr="00457F86">
        <w:rPr>
          <w:rFonts w:ascii="Palatino Linotype" w:eastAsia="Palatino Linotype" w:hAnsi="Palatino Linotype" w:cs="Palatino Linotype"/>
          <w:b/>
          <w:sz w:val="22"/>
          <w:szCs w:val="22"/>
        </w:rPr>
        <w:t>I. A N T E C E D E N T E S</w:t>
      </w:r>
    </w:p>
    <w:p w14:paraId="447C461E" w14:textId="77777777" w:rsidR="003E0B3C" w:rsidRPr="00457F86" w:rsidRDefault="00C51FAD">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457F86">
        <w:rPr>
          <w:rFonts w:ascii="Palatino Linotype" w:eastAsia="Palatino Linotype" w:hAnsi="Palatino Linotype" w:cs="Palatino Linotype"/>
          <w:b/>
          <w:sz w:val="22"/>
          <w:szCs w:val="22"/>
        </w:rPr>
        <w:t>1. Solicitudes de acceso a la información.</w:t>
      </w:r>
      <w:r w:rsidRPr="00457F86">
        <w:rPr>
          <w:rFonts w:ascii="Palatino Linotype" w:eastAsia="Palatino Linotype" w:hAnsi="Palatino Linotype" w:cs="Palatino Linotype"/>
          <w:sz w:val="22"/>
          <w:szCs w:val="22"/>
        </w:rPr>
        <w:t xml:space="preserve"> En fecha </w:t>
      </w:r>
      <w:r w:rsidRPr="00457F86">
        <w:rPr>
          <w:rFonts w:ascii="Palatino Linotype" w:eastAsia="Palatino Linotype" w:hAnsi="Palatino Linotype" w:cs="Palatino Linotype"/>
          <w:b/>
          <w:sz w:val="22"/>
          <w:szCs w:val="22"/>
        </w:rPr>
        <w:t>diecinueve de mayo de dos mil veinticinco,</w:t>
      </w:r>
      <w:r w:rsidRPr="00457F86">
        <w:rPr>
          <w:rFonts w:ascii="Palatino Linotype" w:eastAsia="Palatino Linotype" w:hAnsi="Palatino Linotype" w:cs="Palatino Linotype"/>
          <w:sz w:val="22"/>
          <w:szCs w:val="22"/>
        </w:rPr>
        <w:t xml:space="preserve"> la parte</w:t>
      </w:r>
      <w:r w:rsidRPr="00457F86">
        <w:rPr>
          <w:rFonts w:ascii="Palatino Linotype" w:eastAsia="Palatino Linotype" w:hAnsi="Palatino Linotype" w:cs="Palatino Linotype"/>
          <w:b/>
          <w:sz w:val="22"/>
          <w:szCs w:val="22"/>
        </w:rPr>
        <w:t xml:space="preserve"> Recurrente </w:t>
      </w:r>
      <w:r w:rsidRPr="00457F86">
        <w:rPr>
          <w:rFonts w:ascii="Palatino Linotype" w:eastAsia="Palatino Linotype" w:hAnsi="Palatino Linotype" w:cs="Palatino Linotype"/>
          <w:sz w:val="22"/>
          <w:szCs w:val="22"/>
        </w:rPr>
        <w:t xml:space="preserve">formuló las solicitudes de acceso a información pública a través del Sistema de Acceso a la Información Mexiquense </w:t>
      </w:r>
      <w:r w:rsidRPr="00457F86">
        <w:rPr>
          <w:rFonts w:ascii="Palatino Linotype" w:eastAsia="Palatino Linotype" w:hAnsi="Palatino Linotype" w:cs="Palatino Linotype"/>
          <w:b/>
          <w:sz w:val="22"/>
          <w:szCs w:val="22"/>
        </w:rPr>
        <w:t>(SAIMEX),</w:t>
      </w:r>
      <w:r w:rsidRPr="00457F86">
        <w:rPr>
          <w:rFonts w:ascii="Palatino Linotype" w:eastAsia="Palatino Linotype" w:hAnsi="Palatino Linotype" w:cs="Palatino Linotype"/>
          <w:sz w:val="22"/>
          <w:szCs w:val="22"/>
        </w:rPr>
        <w:t xml:space="preserve"> en las que requirió lo siguiente:</w:t>
      </w:r>
    </w:p>
    <w:p w14:paraId="6E9AC7A2" w14:textId="77777777" w:rsidR="003E0B3C" w:rsidRPr="00457F86" w:rsidRDefault="003E0B3C">
      <w:pPr>
        <w:spacing w:line="360" w:lineRule="auto"/>
        <w:jc w:val="both"/>
        <w:rPr>
          <w:rFonts w:ascii="Palatino Linotype" w:eastAsia="Palatino Linotype" w:hAnsi="Palatino Linotype" w:cs="Palatino Linotype"/>
          <w:sz w:val="22"/>
          <w:szCs w:val="22"/>
        </w:rPr>
      </w:pPr>
    </w:p>
    <w:tbl>
      <w:tblPr>
        <w:tblStyle w:val="aff9"/>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C51FAD" w:rsidRPr="00457F86" w14:paraId="3BD74777" w14:textId="77777777">
        <w:tc>
          <w:tcPr>
            <w:tcW w:w="3823" w:type="dxa"/>
            <w:shd w:val="clear" w:color="auto" w:fill="DBEEF3"/>
          </w:tcPr>
          <w:p w14:paraId="42E990C8" w14:textId="77777777" w:rsidR="003E0B3C" w:rsidRPr="00457F86" w:rsidRDefault="00C51FAD">
            <w:pPr>
              <w:jc w:val="center"/>
              <w:rPr>
                <w:rFonts w:ascii="Palatino Linotype" w:eastAsia="Palatino Linotype" w:hAnsi="Palatino Linotype" w:cs="Palatino Linotype"/>
                <w:b/>
              </w:rPr>
            </w:pPr>
            <w:bookmarkStart w:id="1" w:name="_heading=h.aypcxnegqkzy" w:colFirst="0" w:colLast="0"/>
            <w:bookmarkEnd w:id="1"/>
            <w:r w:rsidRPr="00457F86">
              <w:rPr>
                <w:rFonts w:ascii="Palatino Linotype" w:eastAsia="Palatino Linotype" w:hAnsi="Palatino Linotype" w:cs="Palatino Linotype"/>
                <w:b/>
              </w:rPr>
              <w:t>Número de solicitud y recurso de revisión</w:t>
            </w:r>
          </w:p>
        </w:tc>
        <w:tc>
          <w:tcPr>
            <w:tcW w:w="5098" w:type="dxa"/>
            <w:shd w:val="clear" w:color="auto" w:fill="DBEEF3"/>
          </w:tcPr>
          <w:p w14:paraId="1564171C" w14:textId="77777777" w:rsidR="003E0B3C" w:rsidRPr="00457F86" w:rsidRDefault="00C51FAD">
            <w:pPr>
              <w:spacing w:line="360" w:lineRule="auto"/>
              <w:jc w:val="center"/>
              <w:rPr>
                <w:rFonts w:ascii="Palatino Linotype" w:eastAsia="Palatino Linotype" w:hAnsi="Palatino Linotype" w:cs="Palatino Linotype"/>
                <w:b/>
              </w:rPr>
            </w:pPr>
            <w:r w:rsidRPr="00457F86">
              <w:rPr>
                <w:rFonts w:ascii="Palatino Linotype" w:eastAsia="Palatino Linotype" w:hAnsi="Palatino Linotype" w:cs="Palatino Linotype"/>
                <w:b/>
              </w:rPr>
              <w:t>Información requerida</w:t>
            </w:r>
          </w:p>
        </w:tc>
      </w:tr>
      <w:tr w:rsidR="00C51FAD" w:rsidRPr="00457F86" w14:paraId="68D5B14B" w14:textId="77777777">
        <w:tc>
          <w:tcPr>
            <w:tcW w:w="3823" w:type="dxa"/>
          </w:tcPr>
          <w:p w14:paraId="4CDD8635" w14:textId="77777777" w:rsidR="003E0B3C" w:rsidRPr="00457F86" w:rsidRDefault="00C51FAD">
            <w:pPr>
              <w:jc w:val="center"/>
              <w:rPr>
                <w:rFonts w:ascii="Palatino Linotype" w:eastAsia="Palatino Linotype" w:hAnsi="Palatino Linotype" w:cs="Palatino Linotype"/>
                <w:b/>
              </w:rPr>
            </w:pPr>
            <w:r w:rsidRPr="00457F86">
              <w:rPr>
                <w:rFonts w:ascii="Palatino Linotype" w:eastAsia="Palatino Linotype" w:hAnsi="Palatino Linotype" w:cs="Palatino Linotype"/>
                <w:b/>
              </w:rPr>
              <w:t xml:space="preserve">00015/DIFTIANGUI/IP/2025, </w:t>
            </w:r>
            <w:r w:rsidRPr="00457F86">
              <w:rPr>
                <w:rFonts w:ascii="Palatino Linotype" w:eastAsia="Palatino Linotype" w:hAnsi="Palatino Linotype" w:cs="Palatino Linotype"/>
              </w:rPr>
              <w:t>correspondiente al Recurso de Revisión</w:t>
            </w:r>
            <w:r w:rsidRPr="00457F86">
              <w:rPr>
                <w:rFonts w:ascii="Palatino Linotype" w:eastAsia="Palatino Linotype" w:hAnsi="Palatino Linotype" w:cs="Palatino Linotype"/>
                <w:b/>
              </w:rPr>
              <w:t xml:space="preserve"> 06644/INFOEM/IP/RR/2025</w:t>
            </w:r>
          </w:p>
        </w:tc>
        <w:tc>
          <w:tcPr>
            <w:tcW w:w="5098" w:type="dxa"/>
          </w:tcPr>
          <w:p w14:paraId="69728142" w14:textId="77777777" w:rsidR="003E0B3C" w:rsidRPr="00457F86" w:rsidRDefault="00C51FAD">
            <w:pPr>
              <w:jc w:val="both"/>
              <w:rPr>
                <w:rFonts w:ascii="Palatino Linotype" w:eastAsia="Palatino Linotype" w:hAnsi="Palatino Linotype" w:cs="Palatino Linotype"/>
                <w:i/>
              </w:rPr>
            </w:pPr>
            <w:r w:rsidRPr="00457F86">
              <w:rPr>
                <w:rFonts w:ascii="Palatino Linotype" w:eastAsia="Palatino Linotype" w:hAnsi="Palatino Linotype" w:cs="Palatino Linotype"/>
                <w:i/>
              </w:rPr>
              <w:t xml:space="preserve">“Solicito cuanto se </w:t>
            </w:r>
            <w:proofErr w:type="spellStart"/>
            <w:r w:rsidRPr="00457F86">
              <w:rPr>
                <w:rFonts w:ascii="Palatino Linotype" w:eastAsia="Palatino Linotype" w:hAnsi="Palatino Linotype" w:cs="Palatino Linotype"/>
                <w:i/>
              </w:rPr>
              <w:t>gasto</w:t>
            </w:r>
            <w:proofErr w:type="spellEnd"/>
            <w:r w:rsidRPr="00457F86">
              <w:rPr>
                <w:rFonts w:ascii="Palatino Linotype" w:eastAsia="Palatino Linotype" w:hAnsi="Palatino Linotype" w:cs="Palatino Linotype"/>
                <w:i/>
              </w:rPr>
              <w:t xml:space="preserve"> el </w:t>
            </w:r>
            <w:proofErr w:type="spellStart"/>
            <w:r w:rsidRPr="00457F86">
              <w:rPr>
                <w:rFonts w:ascii="Palatino Linotype" w:eastAsia="Palatino Linotype" w:hAnsi="Palatino Linotype" w:cs="Palatino Linotype"/>
                <w:i/>
              </w:rPr>
              <w:t>dif</w:t>
            </w:r>
            <w:proofErr w:type="spellEnd"/>
            <w:r w:rsidRPr="00457F86">
              <w:rPr>
                <w:rFonts w:ascii="Palatino Linotype" w:eastAsia="Palatino Linotype" w:hAnsi="Palatino Linotype" w:cs="Palatino Linotype"/>
                <w:i/>
              </w:rPr>
              <w:t xml:space="preserve"> de </w:t>
            </w:r>
            <w:proofErr w:type="spellStart"/>
            <w:r w:rsidRPr="00457F86">
              <w:rPr>
                <w:rFonts w:ascii="Palatino Linotype" w:eastAsia="Palatino Linotype" w:hAnsi="Palatino Linotype" w:cs="Palatino Linotype"/>
                <w:i/>
              </w:rPr>
              <w:t>tianguistenco</w:t>
            </w:r>
            <w:proofErr w:type="spellEnd"/>
            <w:r w:rsidRPr="00457F86">
              <w:rPr>
                <w:rFonts w:ascii="Palatino Linotype" w:eastAsia="Palatino Linotype" w:hAnsi="Palatino Linotype" w:cs="Palatino Linotype"/>
                <w:i/>
              </w:rPr>
              <w:t xml:space="preserve"> en el evento realizado en el teatro lupita el </w:t>
            </w:r>
            <w:proofErr w:type="spellStart"/>
            <w:r w:rsidRPr="00457F86">
              <w:rPr>
                <w:rFonts w:ascii="Palatino Linotype" w:eastAsia="Palatino Linotype" w:hAnsi="Palatino Linotype" w:cs="Palatino Linotype"/>
                <w:i/>
              </w:rPr>
              <w:t>dia</w:t>
            </w:r>
            <w:proofErr w:type="spellEnd"/>
            <w:r w:rsidRPr="00457F86">
              <w:rPr>
                <w:rFonts w:ascii="Palatino Linotype" w:eastAsia="Palatino Linotype" w:hAnsi="Palatino Linotype" w:cs="Palatino Linotype"/>
                <w:i/>
              </w:rPr>
              <w:t xml:space="preserve"> </w:t>
            </w:r>
            <w:r w:rsidRPr="00457F86">
              <w:rPr>
                <w:rFonts w:ascii="Palatino Linotype" w:eastAsia="Palatino Linotype" w:hAnsi="Palatino Linotype" w:cs="Palatino Linotype"/>
                <w:b/>
                <w:i/>
              </w:rPr>
              <w:t>11 de abril</w:t>
            </w:r>
            <w:r w:rsidRPr="00457F86">
              <w:rPr>
                <w:rFonts w:ascii="Palatino Linotype" w:eastAsia="Palatino Linotype" w:hAnsi="Palatino Linotype" w:cs="Palatino Linotype"/>
                <w:i/>
              </w:rPr>
              <w:t xml:space="preserve"> del presente año, </w:t>
            </w:r>
            <w:r w:rsidRPr="00457F86">
              <w:rPr>
                <w:rFonts w:ascii="Palatino Linotype" w:eastAsia="Palatino Linotype" w:hAnsi="Palatino Linotype" w:cs="Palatino Linotype"/>
                <w:b/>
                <w:i/>
              </w:rPr>
              <w:t xml:space="preserve">evento relacionado con el tributo a juan Gabriel, </w:t>
            </w:r>
            <w:r w:rsidRPr="00457F86">
              <w:rPr>
                <w:rFonts w:ascii="Palatino Linotype" w:eastAsia="Palatino Linotype" w:hAnsi="Palatino Linotype" w:cs="Palatino Linotype"/>
                <w:i/>
              </w:rPr>
              <w:t xml:space="preserve">requiero </w:t>
            </w:r>
            <w:r w:rsidRPr="00457F86">
              <w:rPr>
                <w:rFonts w:ascii="Palatino Linotype" w:eastAsia="Palatino Linotype" w:hAnsi="Palatino Linotype" w:cs="Palatino Linotype"/>
                <w:b/>
                <w:i/>
                <w:u w:val="single"/>
              </w:rPr>
              <w:t>las facturas de todo lo gastado</w:t>
            </w:r>
            <w:r w:rsidRPr="00457F86">
              <w:rPr>
                <w:rFonts w:ascii="Palatino Linotype" w:eastAsia="Palatino Linotype" w:hAnsi="Palatino Linotype" w:cs="Palatino Linotype"/>
                <w:i/>
              </w:rPr>
              <w:t xml:space="preserve">.” (Sic) </w:t>
            </w:r>
          </w:p>
        </w:tc>
      </w:tr>
      <w:tr w:rsidR="00C51FAD" w:rsidRPr="00457F86" w14:paraId="06FD8684" w14:textId="77777777">
        <w:tc>
          <w:tcPr>
            <w:tcW w:w="3823" w:type="dxa"/>
          </w:tcPr>
          <w:p w14:paraId="68FF6ECC" w14:textId="77777777" w:rsidR="003E0B3C" w:rsidRPr="00457F86" w:rsidRDefault="00C51FAD">
            <w:pPr>
              <w:jc w:val="center"/>
              <w:rPr>
                <w:rFonts w:ascii="Palatino Linotype" w:eastAsia="Palatino Linotype" w:hAnsi="Palatino Linotype" w:cs="Palatino Linotype"/>
                <w:b/>
              </w:rPr>
            </w:pPr>
            <w:r w:rsidRPr="00457F86">
              <w:rPr>
                <w:rFonts w:ascii="Palatino Linotype" w:eastAsia="Palatino Linotype" w:hAnsi="Palatino Linotype" w:cs="Palatino Linotype"/>
                <w:b/>
              </w:rPr>
              <w:t xml:space="preserve">00014/DIFTIANGUI/IP/2025, </w:t>
            </w:r>
            <w:r w:rsidRPr="00457F86">
              <w:rPr>
                <w:rFonts w:ascii="Palatino Linotype" w:eastAsia="Palatino Linotype" w:hAnsi="Palatino Linotype" w:cs="Palatino Linotype"/>
              </w:rPr>
              <w:t xml:space="preserve">correspondiente al Recurso de </w:t>
            </w:r>
            <w:r w:rsidRPr="00457F86">
              <w:rPr>
                <w:rFonts w:ascii="Palatino Linotype" w:eastAsia="Palatino Linotype" w:hAnsi="Palatino Linotype" w:cs="Palatino Linotype"/>
              </w:rPr>
              <w:lastRenderedPageBreak/>
              <w:t>Revisión</w:t>
            </w:r>
            <w:r w:rsidRPr="00457F86">
              <w:rPr>
                <w:rFonts w:ascii="Palatino Linotype" w:eastAsia="Palatino Linotype" w:hAnsi="Palatino Linotype" w:cs="Palatino Linotype"/>
                <w:b/>
              </w:rPr>
              <w:t xml:space="preserve"> 06646/INFOEM/IP/RR/2025</w:t>
            </w:r>
          </w:p>
        </w:tc>
        <w:tc>
          <w:tcPr>
            <w:tcW w:w="5098" w:type="dxa"/>
          </w:tcPr>
          <w:p w14:paraId="2A4A7F2C" w14:textId="77777777" w:rsidR="003E0B3C" w:rsidRPr="00457F86" w:rsidRDefault="00C51FAD">
            <w:pPr>
              <w:jc w:val="both"/>
              <w:rPr>
                <w:rFonts w:ascii="Palatino Linotype" w:eastAsia="Palatino Linotype" w:hAnsi="Palatino Linotype" w:cs="Palatino Linotype"/>
                <w:i/>
              </w:rPr>
            </w:pPr>
            <w:r w:rsidRPr="00457F86">
              <w:rPr>
                <w:rFonts w:ascii="Palatino Linotype" w:eastAsia="Palatino Linotype" w:hAnsi="Palatino Linotype" w:cs="Palatino Linotype"/>
                <w:i/>
              </w:rPr>
              <w:lastRenderedPageBreak/>
              <w:t xml:space="preserve">“Solicito cuanto se </w:t>
            </w:r>
            <w:proofErr w:type="spellStart"/>
            <w:r w:rsidRPr="00457F86">
              <w:rPr>
                <w:rFonts w:ascii="Palatino Linotype" w:eastAsia="Palatino Linotype" w:hAnsi="Palatino Linotype" w:cs="Palatino Linotype"/>
                <w:i/>
              </w:rPr>
              <w:t>gasto</w:t>
            </w:r>
            <w:proofErr w:type="spellEnd"/>
            <w:r w:rsidRPr="00457F86">
              <w:rPr>
                <w:rFonts w:ascii="Palatino Linotype" w:eastAsia="Palatino Linotype" w:hAnsi="Palatino Linotype" w:cs="Palatino Linotype"/>
                <w:i/>
              </w:rPr>
              <w:t xml:space="preserve"> el </w:t>
            </w:r>
            <w:proofErr w:type="spellStart"/>
            <w:r w:rsidRPr="00457F86">
              <w:rPr>
                <w:rFonts w:ascii="Palatino Linotype" w:eastAsia="Palatino Linotype" w:hAnsi="Palatino Linotype" w:cs="Palatino Linotype"/>
                <w:i/>
              </w:rPr>
              <w:t>dif</w:t>
            </w:r>
            <w:proofErr w:type="spellEnd"/>
            <w:r w:rsidRPr="00457F86">
              <w:rPr>
                <w:rFonts w:ascii="Palatino Linotype" w:eastAsia="Palatino Linotype" w:hAnsi="Palatino Linotype" w:cs="Palatino Linotype"/>
                <w:i/>
              </w:rPr>
              <w:t xml:space="preserve"> de </w:t>
            </w:r>
            <w:proofErr w:type="spellStart"/>
            <w:r w:rsidRPr="00457F86">
              <w:rPr>
                <w:rFonts w:ascii="Palatino Linotype" w:eastAsia="Palatino Linotype" w:hAnsi="Palatino Linotype" w:cs="Palatino Linotype"/>
                <w:i/>
              </w:rPr>
              <w:t>tianguistenco</w:t>
            </w:r>
            <w:proofErr w:type="spellEnd"/>
            <w:r w:rsidRPr="00457F86">
              <w:rPr>
                <w:rFonts w:ascii="Palatino Linotype" w:eastAsia="Palatino Linotype" w:hAnsi="Palatino Linotype" w:cs="Palatino Linotype"/>
                <w:i/>
              </w:rPr>
              <w:t xml:space="preserve"> en el evento realizado en el teatro lupita el </w:t>
            </w:r>
            <w:proofErr w:type="spellStart"/>
            <w:r w:rsidRPr="00457F86">
              <w:rPr>
                <w:rFonts w:ascii="Palatino Linotype" w:eastAsia="Palatino Linotype" w:hAnsi="Palatino Linotype" w:cs="Palatino Linotype"/>
                <w:i/>
              </w:rPr>
              <w:t>dia</w:t>
            </w:r>
            <w:proofErr w:type="spellEnd"/>
            <w:r w:rsidRPr="00457F86">
              <w:rPr>
                <w:rFonts w:ascii="Palatino Linotype" w:eastAsia="Palatino Linotype" w:hAnsi="Palatino Linotype" w:cs="Palatino Linotype"/>
                <w:i/>
              </w:rPr>
              <w:t xml:space="preserve"> d</w:t>
            </w:r>
            <w:r w:rsidRPr="00457F86">
              <w:rPr>
                <w:rFonts w:ascii="Palatino Linotype" w:eastAsia="Palatino Linotype" w:hAnsi="Palatino Linotype" w:cs="Palatino Linotype"/>
                <w:b/>
                <w:i/>
              </w:rPr>
              <w:t xml:space="preserve">omingo 18 </w:t>
            </w:r>
            <w:r w:rsidRPr="00457F86">
              <w:rPr>
                <w:rFonts w:ascii="Palatino Linotype" w:eastAsia="Palatino Linotype" w:hAnsi="Palatino Linotype" w:cs="Palatino Linotype"/>
                <w:b/>
                <w:i/>
              </w:rPr>
              <w:lastRenderedPageBreak/>
              <w:t xml:space="preserve">de mayo </w:t>
            </w:r>
            <w:r w:rsidRPr="00457F86">
              <w:rPr>
                <w:rFonts w:ascii="Palatino Linotype" w:eastAsia="Palatino Linotype" w:hAnsi="Palatino Linotype" w:cs="Palatino Linotype"/>
                <w:i/>
              </w:rPr>
              <w:t xml:space="preserve">del presente año, </w:t>
            </w:r>
            <w:r w:rsidRPr="00457F86">
              <w:rPr>
                <w:rFonts w:ascii="Palatino Linotype" w:eastAsia="Palatino Linotype" w:hAnsi="Palatino Linotype" w:cs="Palatino Linotype"/>
                <w:b/>
                <w:i/>
              </w:rPr>
              <w:t xml:space="preserve">evento relacionado con el </w:t>
            </w:r>
            <w:proofErr w:type="spellStart"/>
            <w:r w:rsidRPr="00457F86">
              <w:rPr>
                <w:rFonts w:ascii="Palatino Linotype" w:eastAsia="Palatino Linotype" w:hAnsi="Palatino Linotype" w:cs="Palatino Linotype"/>
                <w:b/>
                <w:i/>
              </w:rPr>
              <w:t>dia</w:t>
            </w:r>
            <w:proofErr w:type="spellEnd"/>
            <w:r w:rsidRPr="00457F86">
              <w:rPr>
                <w:rFonts w:ascii="Palatino Linotype" w:eastAsia="Palatino Linotype" w:hAnsi="Palatino Linotype" w:cs="Palatino Linotype"/>
                <w:b/>
                <w:i/>
              </w:rPr>
              <w:t xml:space="preserve"> de las madres,</w:t>
            </w:r>
            <w:r w:rsidRPr="00457F86">
              <w:rPr>
                <w:rFonts w:ascii="Palatino Linotype" w:eastAsia="Palatino Linotype" w:hAnsi="Palatino Linotype" w:cs="Palatino Linotype"/>
                <w:i/>
              </w:rPr>
              <w:t xml:space="preserve"> en donde estuvo presente el imitador de un cantante de música regional mexicana, requiero </w:t>
            </w:r>
            <w:r w:rsidRPr="00457F86">
              <w:rPr>
                <w:rFonts w:ascii="Palatino Linotype" w:eastAsia="Palatino Linotype" w:hAnsi="Palatino Linotype" w:cs="Palatino Linotype"/>
                <w:b/>
                <w:i/>
                <w:u w:val="single"/>
              </w:rPr>
              <w:t>las facturas de todo lo gastado</w:t>
            </w:r>
            <w:r w:rsidRPr="00457F86">
              <w:rPr>
                <w:rFonts w:ascii="Palatino Linotype" w:eastAsia="Palatino Linotype" w:hAnsi="Palatino Linotype" w:cs="Palatino Linotype"/>
                <w:i/>
              </w:rPr>
              <w:t>.” (Sic)</w:t>
            </w:r>
          </w:p>
        </w:tc>
      </w:tr>
    </w:tbl>
    <w:p w14:paraId="471E2D06" w14:textId="77777777" w:rsidR="003E0B3C" w:rsidRPr="00457F86" w:rsidRDefault="003E0B3C">
      <w:pPr>
        <w:spacing w:line="360" w:lineRule="auto"/>
        <w:jc w:val="both"/>
        <w:rPr>
          <w:rFonts w:ascii="Palatino Linotype" w:eastAsia="Palatino Linotype" w:hAnsi="Palatino Linotype" w:cs="Palatino Linotype"/>
          <w:b/>
          <w:sz w:val="22"/>
          <w:szCs w:val="22"/>
        </w:rPr>
      </w:pPr>
    </w:p>
    <w:p w14:paraId="6BB22C6C" w14:textId="77777777" w:rsidR="003E0B3C" w:rsidRPr="00457F86" w:rsidRDefault="00C51FAD">
      <w:pPr>
        <w:spacing w:line="360" w:lineRule="auto"/>
        <w:jc w:val="both"/>
        <w:rPr>
          <w:rFonts w:ascii="Palatino Linotype" w:eastAsia="Palatino Linotype" w:hAnsi="Palatino Linotype" w:cs="Palatino Linotype"/>
          <w:b/>
          <w:sz w:val="22"/>
          <w:szCs w:val="22"/>
        </w:rPr>
      </w:pPr>
      <w:r w:rsidRPr="00457F86">
        <w:rPr>
          <w:rFonts w:ascii="Palatino Linotype" w:eastAsia="Palatino Linotype" w:hAnsi="Palatino Linotype" w:cs="Palatino Linotype"/>
          <w:b/>
          <w:sz w:val="22"/>
          <w:szCs w:val="22"/>
        </w:rPr>
        <w:t xml:space="preserve">Modalidad elegida para la entrega de la información: </w:t>
      </w:r>
      <w:r w:rsidRPr="00457F86">
        <w:rPr>
          <w:rFonts w:ascii="Palatino Linotype" w:eastAsia="Palatino Linotype" w:hAnsi="Palatino Linotype" w:cs="Palatino Linotype"/>
          <w:sz w:val="22"/>
          <w:szCs w:val="22"/>
        </w:rPr>
        <w:t xml:space="preserve">a través del </w:t>
      </w:r>
      <w:r w:rsidRPr="00457F86">
        <w:rPr>
          <w:rFonts w:ascii="Palatino Linotype" w:eastAsia="Palatino Linotype" w:hAnsi="Palatino Linotype" w:cs="Palatino Linotype"/>
          <w:b/>
          <w:sz w:val="22"/>
          <w:szCs w:val="22"/>
        </w:rPr>
        <w:t xml:space="preserve">SAIMEX </w:t>
      </w:r>
    </w:p>
    <w:p w14:paraId="2D5F24FF"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361B048F" w14:textId="77777777" w:rsidR="003E0B3C" w:rsidRPr="00457F86" w:rsidRDefault="00C51FAD">
      <w:pPr>
        <w:spacing w:line="360" w:lineRule="auto"/>
        <w:jc w:val="both"/>
        <w:rPr>
          <w:rFonts w:ascii="Palatino Linotype" w:eastAsia="Palatino Linotype" w:hAnsi="Palatino Linotype" w:cs="Palatino Linotype"/>
          <w:b/>
          <w:sz w:val="22"/>
          <w:szCs w:val="22"/>
        </w:rPr>
      </w:pPr>
      <w:r w:rsidRPr="00457F86">
        <w:rPr>
          <w:rFonts w:ascii="Palatino Linotype" w:eastAsia="Palatino Linotype" w:hAnsi="Palatino Linotype" w:cs="Palatino Linotype"/>
          <w:b/>
          <w:sz w:val="22"/>
          <w:szCs w:val="22"/>
        </w:rPr>
        <w:t xml:space="preserve">2. Respuestas. </w:t>
      </w:r>
      <w:r w:rsidRPr="00457F86">
        <w:rPr>
          <w:rFonts w:ascii="Palatino Linotype" w:eastAsia="Palatino Linotype" w:hAnsi="Palatino Linotype" w:cs="Palatino Linotype"/>
          <w:sz w:val="22"/>
          <w:szCs w:val="22"/>
        </w:rPr>
        <w:t xml:space="preserve">En fechas </w:t>
      </w:r>
      <w:r w:rsidRPr="00457F86">
        <w:rPr>
          <w:rFonts w:ascii="Palatino Linotype" w:eastAsia="Palatino Linotype" w:hAnsi="Palatino Linotype" w:cs="Palatino Linotype"/>
          <w:b/>
          <w:sz w:val="22"/>
          <w:szCs w:val="22"/>
        </w:rPr>
        <w:t>veintiuno de mayo de dos mil veinticinco</w:t>
      </w:r>
      <w:r w:rsidRPr="00457F86">
        <w:rPr>
          <w:rFonts w:ascii="Palatino Linotype" w:eastAsia="Palatino Linotype" w:hAnsi="Palatino Linotype" w:cs="Palatino Linotype"/>
          <w:sz w:val="22"/>
          <w:szCs w:val="22"/>
        </w:rPr>
        <w:t xml:space="preserve">, el </w:t>
      </w:r>
      <w:r w:rsidRPr="00457F86">
        <w:rPr>
          <w:rFonts w:ascii="Palatino Linotype" w:eastAsia="Palatino Linotype" w:hAnsi="Palatino Linotype" w:cs="Palatino Linotype"/>
          <w:b/>
          <w:sz w:val="22"/>
          <w:szCs w:val="22"/>
        </w:rPr>
        <w:t>Sujeto Obligado</w:t>
      </w:r>
      <w:r w:rsidRPr="00457F86">
        <w:rPr>
          <w:rFonts w:ascii="Palatino Linotype" w:eastAsia="Palatino Linotype" w:hAnsi="Palatino Linotype" w:cs="Palatino Linotype"/>
          <w:sz w:val="22"/>
          <w:szCs w:val="22"/>
        </w:rPr>
        <w:t xml:space="preserve"> notificó a la parte </w:t>
      </w:r>
      <w:r w:rsidRPr="00457F86">
        <w:rPr>
          <w:rFonts w:ascii="Palatino Linotype" w:eastAsia="Palatino Linotype" w:hAnsi="Palatino Linotype" w:cs="Palatino Linotype"/>
          <w:b/>
          <w:sz w:val="22"/>
          <w:szCs w:val="22"/>
        </w:rPr>
        <w:t>Recurrente</w:t>
      </w:r>
      <w:r w:rsidRPr="00457F86">
        <w:rPr>
          <w:rFonts w:ascii="Palatino Linotype" w:eastAsia="Palatino Linotype" w:hAnsi="Palatino Linotype" w:cs="Palatino Linotype"/>
          <w:sz w:val="22"/>
          <w:szCs w:val="22"/>
        </w:rPr>
        <w:t xml:space="preserve">, en ambos expedientes, las respuestas a sus solicitudes de información, en los términos siguientes: </w:t>
      </w:r>
    </w:p>
    <w:p w14:paraId="458AA516" w14:textId="77777777" w:rsidR="003E0B3C" w:rsidRPr="00457F86" w:rsidRDefault="003E0B3C">
      <w:pPr>
        <w:spacing w:line="360" w:lineRule="auto"/>
        <w:jc w:val="both"/>
        <w:rPr>
          <w:rFonts w:ascii="Palatino Linotype" w:eastAsia="Palatino Linotype" w:hAnsi="Palatino Linotype" w:cs="Palatino Linotype"/>
          <w:b/>
          <w:sz w:val="22"/>
          <w:szCs w:val="22"/>
        </w:rPr>
      </w:pPr>
    </w:p>
    <w:tbl>
      <w:tblPr>
        <w:tblStyle w:val="affa"/>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C51FAD" w:rsidRPr="00457F86" w14:paraId="6CC3C941" w14:textId="77777777">
        <w:tc>
          <w:tcPr>
            <w:tcW w:w="3823" w:type="dxa"/>
            <w:shd w:val="clear" w:color="auto" w:fill="DBEEF3"/>
          </w:tcPr>
          <w:p w14:paraId="72EC0D3D" w14:textId="77777777" w:rsidR="003E0B3C" w:rsidRPr="00457F86" w:rsidRDefault="00C51FAD">
            <w:pPr>
              <w:jc w:val="center"/>
              <w:rPr>
                <w:rFonts w:ascii="Palatino Linotype" w:eastAsia="Palatino Linotype" w:hAnsi="Palatino Linotype" w:cs="Palatino Linotype"/>
                <w:b/>
              </w:rPr>
            </w:pPr>
            <w:bookmarkStart w:id="2" w:name="_heading=h.myg7htlz1yjh" w:colFirst="0" w:colLast="0"/>
            <w:bookmarkEnd w:id="2"/>
            <w:r w:rsidRPr="00457F86">
              <w:rPr>
                <w:rFonts w:ascii="Palatino Linotype" w:eastAsia="Palatino Linotype" w:hAnsi="Palatino Linotype" w:cs="Palatino Linotype"/>
                <w:b/>
              </w:rPr>
              <w:t>Número de recurso de revisión</w:t>
            </w:r>
          </w:p>
        </w:tc>
        <w:tc>
          <w:tcPr>
            <w:tcW w:w="5098" w:type="dxa"/>
            <w:shd w:val="clear" w:color="auto" w:fill="DBEEF3"/>
          </w:tcPr>
          <w:p w14:paraId="64C4CB9A" w14:textId="77777777" w:rsidR="003E0B3C" w:rsidRPr="00457F86" w:rsidRDefault="00C51FAD">
            <w:pPr>
              <w:spacing w:line="360" w:lineRule="auto"/>
              <w:jc w:val="center"/>
              <w:rPr>
                <w:rFonts w:ascii="Palatino Linotype" w:eastAsia="Palatino Linotype" w:hAnsi="Palatino Linotype" w:cs="Palatino Linotype"/>
                <w:b/>
              </w:rPr>
            </w:pPr>
            <w:r w:rsidRPr="00457F86">
              <w:rPr>
                <w:rFonts w:ascii="Palatino Linotype" w:eastAsia="Palatino Linotype" w:hAnsi="Palatino Linotype" w:cs="Palatino Linotype"/>
                <w:b/>
              </w:rPr>
              <w:t>Descripción de las respuestas</w:t>
            </w:r>
          </w:p>
        </w:tc>
      </w:tr>
      <w:tr w:rsidR="00C51FAD" w:rsidRPr="00457F86" w14:paraId="63C4D50F" w14:textId="77777777">
        <w:tc>
          <w:tcPr>
            <w:tcW w:w="3823" w:type="dxa"/>
          </w:tcPr>
          <w:p w14:paraId="2E0CBB8D" w14:textId="77777777" w:rsidR="003E0B3C" w:rsidRPr="00457F86" w:rsidRDefault="00C51FAD">
            <w:pPr>
              <w:jc w:val="center"/>
              <w:rPr>
                <w:rFonts w:ascii="Palatino Linotype" w:eastAsia="Palatino Linotype" w:hAnsi="Palatino Linotype" w:cs="Palatino Linotype"/>
                <w:b/>
              </w:rPr>
            </w:pPr>
            <w:r w:rsidRPr="00457F86">
              <w:rPr>
                <w:rFonts w:ascii="Palatino Linotype" w:eastAsia="Palatino Linotype" w:hAnsi="Palatino Linotype" w:cs="Palatino Linotype"/>
                <w:b/>
              </w:rPr>
              <w:t xml:space="preserve">00015/DIFTIANGUI/IP/2025, </w:t>
            </w:r>
            <w:r w:rsidRPr="00457F86">
              <w:rPr>
                <w:rFonts w:ascii="Palatino Linotype" w:eastAsia="Palatino Linotype" w:hAnsi="Palatino Linotype" w:cs="Palatino Linotype"/>
              </w:rPr>
              <w:t>correspondiente al Recurso de Revisión</w:t>
            </w:r>
            <w:r w:rsidRPr="00457F86">
              <w:rPr>
                <w:rFonts w:ascii="Palatino Linotype" w:eastAsia="Palatino Linotype" w:hAnsi="Palatino Linotype" w:cs="Palatino Linotype"/>
                <w:b/>
              </w:rPr>
              <w:t xml:space="preserve"> 06644/INFOEM/IP/RR/2025</w:t>
            </w:r>
          </w:p>
        </w:tc>
        <w:tc>
          <w:tcPr>
            <w:tcW w:w="5098" w:type="dxa"/>
          </w:tcPr>
          <w:p w14:paraId="3983CA4B" w14:textId="77777777" w:rsidR="003E0B3C" w:rsidRPr="00457F86" w:rsidRDefault="00C51FAD">
            <w:pPr>
              <w:jc w:val="both"/>
              <w:rPr>
                <w:rFonts w:ascii="Palatino Linotype" w:eastAsia="Palatino Linotype" w:hAnsi="Palatino Linotype" w:cs="Palatino Linotype"/>
                <w:i/>
              </w:rPr>
            </w:pPr>
            <w:r w:rsidRPr="00457F86">
              <w:rPr>
                <w:rFonts w:ascii="Palatino Linotype" w:eastAsia="Palatino Linotype" w:hAnsi="Palatino Linotype" w:cs="Palatino Linotype"/>
                <w:i/>
              </w:rPr>
              <w:t>“SE ANEXA RESPUESTA POR EL SERVIDOR PUBLICO HABILITADO (TESORERO MUNICIPAL)</w:t>
            </w:r>
          </w:p>
          <w:p w14:paraId="0FF47052" w14:textId="77777777" w:rsidR="003E0B3C" w:rsidRPr="00457F86" w:rsidRDefault="00C51FAD">
            <w:pPr>
              <w:jc w:val="both"/>
              <w:rPr>
                <w:rFonts w:ascii="Palatino Linotype" w:eastAsia="Palatino Linotype" w:hAnsi="Palatino Linotype" w:cs="Palatino Linotype"/>
                <w:i/>
              </w:rPr>
            </w:pPr>
            <w:r w:rsidRPr="00457F86">
              <w:rPr>
                <w:rFonts w:ascii="Palatino Linotype" w:eastAsia="Palatino Linotype" w:hAnsi="Palatino Linotype" w:cs="Palatino Linotype"/>
                <w:i/>
              </w:rPr>
              <w:t>ATENTAMENTE</w:t>
            </w:r>
          </w:p>
          <w:p w14:paraId="2F85C1CC" w14:textId="77777777" w:rsidR="003E0B3C" w:rsidRPr="00457F86" w:rsidRDefault="00C51FAD">
            <w:pPr>
              <w:jc w:val="both"/>
              <w:rPr>
                <w:rFonts w:ascii="Palatino Linotype" w:eastAsia="Palatino Linotype" w:hAnsi="Palatino Linotype" w:cs="Palatino Linotype"/>
                <w:i/>
              </w:rPr>
            </w:pPr>
            <w:r w:rsidRPr="00457F86">
              <w:rPr>
                <w:rFonts w:ascii="Palatino Linotype" w:eastAsia="Palatino Linotype" w:hAnsi="Palatino Linotype" w:cs="Palatino Linotype"/>
                <w:i/>
              </w:rPr>
              <w:t>P.</w:t>
            </w:r>
            <w:proofErr w:type="gramStart"/>
            <w:r w:rsidRPr="00457F86">
              <w:rPr>
                <w:rFonts w:ascii="Palatino Linotype" w:eastAsia="Palatino Linotype" w:hAnsi="Palatino Linotype" w:cs="Palatino Linotype"/>
                <w:i/>
              </w:rPr>
              <w:t>L.EN</w:t>
            </w:r>
            <w:proofErr w:type="gramEnd"/>
            <w:r w:rsidRPr="00457F86">
              <w:rPr>
                <w:rFonts w:ascii="Palatino Linotype" w:eastAsia="Palatino Linotype" w:hAnsi="Palatino Linotype" w:cs="Palatino Linotype"/>
                <w:i/>
              </w:rPr>
              <w:t xml:space="preserve"> D. IGNACIO BENITEZ BOBADILLA”</w:t>
            </w:r>
          </w:p>
          <w:p w14:paraId="396877F1" w14:textId="77777777" w:rsidR="003E0B3C" w:rsidRPr="00457F86" w:rsidRDefault="003E0B3C">
            <w:pPr>
              <w:jc w:val="both"/>
              <w:rPr>
                <w:rFonts w:ascii="Palatino Linotype" w:eastAsia="Palatino Linotype" w:hAnsi="Palatino Linotype" w:cs="Palatino Linotype"/>
                <w:i/>
              </w:rPr>
            </w:pPr>
          </w:p>
          <w:p w14:paraId="77CE214E" w14:textId="77777777" w:rsidR="003E0B3C" w:rsidRPr="00457F86" w:rsidRDefault="00C51FAD">
            <w:pPr>
              <w:tabs>
                <w:tab w:val="left" w:pos="2625"/>
              </w:tabs>
              <w:jc w:val="both"/>
              <w:rPr>
                <w:rFonts w:ascii="Palatino Linotype" w:eastAsia="Palatino Linotype" w:hAnsi="Palatino Linotype" w:cs="Palatino Linotype"/>
                <w:b/>
              </w:rPr>
            </w:pPr>
            <w:r w:rsidRPr="00457F86">
              <w:rPr>
                <w:rFonts w:ascii="Palatino Linotype" w:eastAsia="Palatino Linotype" w:hAnsi="Palatino Linotype" w:cs="Palatino Linotype"/>
                <w:b/>
              </w:rPr>
              <w:t xml:space="preserve">Archivos adjuntos: </w:t>
            </w:r>
          </w:p>
          <w:p w14:paraId="39E0957D" w14:textId="77777777" w:rsidR="003E0B3C" w:rsidRPr="00457F86" w:rsidRDefault="00C51FAD">
            <w:pPr>
              <w:jc w:val="both"/>
              <w:rPr>
                <w:rFonts w:ascii="Palatino Linotype" w:eastAsia="Palatino Linotype" w:hAnsi="Palatino Linotype" w:cs="Palatino Linotype"/>
              </w:rPr>
            </w:pPr>
            <w:r w:rsidRPr="00457F86">
              <w:rPr>
                <w:rFonts w:ascii="Palatino Linotype" w:eastAsia="Palatino Linotype" w:hAnsi="Palatino Linotype" w:cs="Palatino Linotype"/>
                <w:b/>
                <w:i/>
              </w:rPr>
              <w:t>00015.pdf</w:t>
            </w:r>
            <w:r w:rsidRPr="00457F86">
              <w:rPr>
                <w:rFonts w:ascii="Palatino Linotype" w:eastAsia="Palatino Linotype" w:hAnsi="Palatino Linotype" w:cs="Palatino Linotype"/>
              </w:rPr>
              <w:t xml:space="preserve">: Contiene los siguientes documentos: </w:t>
            </w:r>
          </w:p>
          <w:p w14:paraId="77D3A277" w14:textId="77777777" w:rsidR="003E0B3C" w:rsidRPr="00457F86" w:rsidRDefault="00C51FAD">
            <w:pPr>
              <w:numPr>
                <w:ilvl w:val="0"/>
                <w:numId w:val="3"/>
              </w:numPr>
              <w:pBdr>
                <w:top w:val="nil"/>
                <w:left w:val="nil"/>
                <w:bottom w:val="nil"/>
                <w:right w:val="nil"/>
                <w:between w:val="nil"/>
              </w:pBdr>
              <w:tabs>
                <w:tab w:val="left" w:pos="238"/>
              </w:tabs>
              <w:ind w:left="25" w:hanging="141"/>
              <w:jc w:val="both"/>
              <w:rPr>
                <w:rFonts w:ascii="Palatino Linotype" w:eastAsia="Palatino Linotype" w:hAnsi="Palatino Linotype" w:cs="Palatino Linotype"/>
                <w:sz w:val="24"/>
                <w:szCs w:val="24"/>
              </w:rPr>
            </w:pPr>
            <w:r w:rsidRPr="00457F86">
              <w:rPr>
                <w:rFonts w:ascii="Palatino Linotype" w:eastAsia="Palatino Linotype" w:hAnsi="Palatino Linotype" w:cs="Palatino Linotype"/>
                <w:sz w:val="24"/>
                <w:szCs w:val="24"/>
              </w:rPr>
              <w:t xml:space="preserve">Oficio número SMDIF/UT/148/2025 de fecha veinte de mayo de dos mil veinticinco, signado por el </w:t>
            </w:r>
            <w:proofErr w:type="gramStart"/>
            <w:r w:rsidRPr="00457F86">
              <w:rPr>
                <w:rFonts w:ascii="Palatino Linotype" w:eastAsia="Palatino Linotype" w:hAnsi="Palatino Linotype" w:cs="Palatino Linotype"/>
                <w:sz w:val="24"/>
                <w:szCs w:val="24"/>
              </w:rPr>
              <w:t>Jefe</w:t>
            </w:r>
            <w:proofErr w:type="gramEnd"/>
            <w:r w:rsidRPr="00457F86">
              <w:rPr>
                <w:rFonts w:ascii="Palatino Linotype" w:eastAsia="Palatino Linotype" w:hAnsi="Palatino Linotype" w:cs="Palatino Linotype"/>
                <w:sz w:val="24"/>
                <w:szCs w:val="24"/>
              </w:rPr>
              <w:t xml:space="preserve"> de Transparencia y Acceso a la Información del Sistema Municipal para el Desarrollo Integral de la Familia de Tianguistenco, mediante el cual solicitó al Tesorero del Sistema Municipal remitir lo solicitado. </w:t>
            </w:r>
          </w:p>
          <w:p w14:paraId="0D0CA911" w14:textId="77777777" w:rsidR="003E0B3C" w:rsidRPr="00457F86" w:rsidRDefault="00C51FAD">
            <w:pPr>
              <w:numPr>
                <w:ilvl w:val="0"/>
                <w:numId w:val="3"/>
              </w:numPr>
              <w:pBdr>
                <w:top w:val="nil"/>
                <w:left w:val="nil"/>
                <w:bottom w:val="nil"/>
                <w:right w:val="nil"/>
                <w:between w:val="nil"/>
              </w:pBdr>
              <w:tabs>
                <w:tab w:val="left" w:pos="238"/>
              </w:tabs>
              <w:ind w:left="25" w:hanging="141"/>
              <w:jc w:val="both"/>
              <w:rPr>
                <w:rFonts w:ascii="Palatino Linotype" w:eastAsia="Palatino Linotype" w:hAnsi="Palatino Linotype" w:cs="Palatino Linotype"/>
                <w:sz w:val="24"/>
                <w:szCs w:val="24"/>
              </w:rPr>
            </w:pPr>
            <w:r w:rsidRPr="00457F86">
              <w:rPr>
                <w:rFonts w:ascii="Palatino Linotype" w:eastAsia="Palatino Linotype" w:hAnsi="Palatino Linotype" w:cs="Palatino Linotype"/>
                <w:sz w:val="24"/>
                <w:szCs w:val="24"/>
              </w:rPr>
              <w:t xml:space="preserve">Acuse de Solicitud de Información Publica </w:t>
            </w:r>
          </w:p>
          <w:p w14:paraId="39BEB224" w14:textId="77777777" w:rsidR="003E0B3C" w:rsidRPr="00457F86" w:rsidRDefault="00C51FAD">
            <w:pPr>
              <w:numPr>
                <w:ilvl w:val="0"/>
                <w:numId w:val="3"/>
              </w:numPr>
              <w:pBdr>
                <w:top w:val="nil"/>
                <w:left w:val="nil"/>
                <w:bottom w:val="nil"/>
                <w:right w:val="nil"/>
                <w:between w:val="nil"/>
              </w:pBdr>
              <w:tabs>
                <w:tab w:val="left" w:pos="238"/>
              </w:tabs>
              <w:ind w:left="25" w:hanging="141"/>
              <w:jc w:val="both"/>
              <w:rPr>
                <w:rFonts w:ascii="Palatino Linotype" w:eastAsia="Palatino Linotype" w:hAnsi="Palatino Linotype" w:cs="Palatino Linotype"/>
                <w:sz w:val="24"/>
                <w:szCs w:val="24"/>
              </w:rPr>
            </w:pPr>
            <w:r w:rsidRPr="00457F86">
              <w:rPr>
                <w:rFonts w:ascii="Palatino Linotype" w:eastAsia="Palatino Linotype" w:hAnsi="Palatino Linotype" w:cs="Palatino Linotype"/>
                <w:sz w:val="24"/>
                <w:szCs w:val="24"/>
              </w:rPr>
              <w:t xml:space="preserve">Circular número SMDIF/TIANGUISTENCO/TES/058/2025 de </w:t>
            </w:r>
            <w:r w:rsidRPr="00457F86">
              <w:rPr>
                <w:rFonts w:ascii="Palatino Linotype" w:eastAsia="Palatino Linotype" w:hAnsi="Palatino Linotype" w:cs="Palatino Linotype"/>
                <w:sz w:val="24"/>
                <w:szCs w:val="24"/>
              </w:rPr>
              <w:lastRenderedPageBreak/>
              <w:t xml:space="preserve">fecha veintiuno de mayo de dos mil veinticinco, signado por el Tesorero del Sistema Municipal, mediante el cual informó que el evento al que hace referencia dicha </w:t>
            </w:r>
            <w:proofErr w:type="gramStart"/>
            <w:r w:rsidRPr="00457F86">
              <w:rPr>
                <w:rFonts w:ascii="Palatino Linotype" w:eastAsia="Palatino Linotype" w:hAnsi="Palatino Linotype" w:cs="Palatino Linotype"/>
                <w:sz w:val="24"/>
                <w:szCs w:val="24"/>
              </w:rPr>
              <w:t>solicitud,</w:t>
            </w:r>
            <w:proofErr w:type="gramEnd"/>
            <w:r w:rsidRPr="00457F86">
              <w:rPr>
                <w:rFonts w:ascii="Palatino Linotype" w:eastAsia="Palatino Linotype" w:hAnsi="Palatino Linotype" w:cs="Palatino Linotype"/>
                <w:sz w:val="24"/>
                <w:szCs w:val="24"/>
              </w:rPr>
              <w:t xml:space="preserve"> fue subsidiado por el mismo imitador de Juan Gabriel y Joan Sebastián, ya que se trató de un evento con causa, por lo que no se generaron gastos. </w:t>
            </w:r>
          </w:p>
        </w:tc>
      </w:tr>
      <w:tr w:rsidR="00C51FAD" w:rsidRPr="00457F86" w14:paraId="2DB5D13E" w14:textId="77777777">
        <w:tc>
          <w:tcPr>
            <w:tcW w:w="3823" w:type="dxa"/>
          </w:tcPr>
          <w:p w14:paraId="112E9351" w14:textId="77777777" w:rsidR="003E0B3C" w:rsidRPr="00457F86" w:rsidRDefault="00C51FAD">
            <w:pPr>
              <w:jc w:val="center"/>
              <w:rPr>
                <w:rFonts w:ascii="Palatino Linotype" w:eastAsia="Palatino Linotype" w:hAnsi="Palatino Linotype" w:cs="Palatino Linotype"/>
                <w:b/>
              </w:rPr>
            </w:pPr>
            <w:r w:rsidRPr="00457F86">
              <w:rPr>
                <w:rFonts w:ascii="Palatino Linotype" w:eastAsia="Palatino Linotype" w:hAnsi="Palatino Linotype" w:cs="Palatino Linotype"/>
                <w:b/>
              </w:rPr>
              <w:lastRenderedPageBreak/>
              <w:t xml:space="preserve">00014/DIFTIANGUI/IP/2025, </w:t>
            </w:r>
            <w:r w:rsidRPr="00457F86">
              <w:rPr>
                <w:rFonts w:ascii="Palatino Linotype" w:eastAsia="Palatino Linotype" w:hAnsi="Palatino Linotype" w:cs="Palatino Linotype"/>
              </w:rPr>
              <w:t>correspondiente al Recurso de Revisión</w:t>
            </w:r>
            <w:r w:rsidRPr="00457F86">
              <w:rPr>
                <w:rFonts w:ascii="Palatino Linotype" w:eastAsia="Palatino Linotype" w:hAnsi="Palatino Linotype" w:cs="Palatino Linotype"/>
                <w:b/>
              </w:rPr>
              <w:t xml:space="preserve"> 06646/INFOEM/IP/RR/2025</w:t>
            </w:r>
          </w:p>
        </w:tc>
        <w:tc>
          <w:tcPr>
            <w:tcW w:w="5098" w:type="dxa"/>
          </w:tcPr>
          <w:p w14:paraId="42D64F5C" w14:textId="77777777" w:rsidR="003E0B3C" w:rsidRPr="00457F86" w:rsidRDefault="00C51FAD">
            <w:pPr>
              <w:jc w:val="both"/>
              <w:rPr>
                <w:rFonts w:ascii="Palatino Linotype" w:eastAsia="Palatino Linotype" w:hAnsi="Palatino Linotype" w:cs="Palatino Linotype"/>
                <w:i/>
              </w:rPr>
            </w:pPr>
            <w:r w:rsidRPr="00457F86">
              <w:rPr>
                <w:rFonts w:ascii="Palatino Linotype" w:eastAsia="Palatino Linotype" w:hAnsi="Palatino Linotype" w:cs="Palatino Linotype"/>
                <w:i/>
              </w:rPr>
              <w:t>“SE ANEXA RESPUESTA POR EL SERVIDOR PUBLICO HABILITADO (TESORERO MUNICIPAL)</w:t>
            </w:r>
          </w:p>
          <w:p w14:paraId="32AF5A75" w14:textId="77777777" w:rsidR="003E0B3C" w:rsidRPr="00457F86" w:rsidRDefault="00C51FAD">
            <w:pPr>
              <w:jc w:val="both"/>
              <w:rPr>
                <w:rFonts w:ascii="Palatino Linotype" w:eastAsia="Palatino Linotype" w:hAnsi="Palatino Linotype" w:cs="Palatino Linotype"/>
                <w:i/>
              </w:rPr>
            </w:pPr>
            <w:r w:rsidRPr="00457F86">
              <w:rPr>
                <w:rFonts w:ascii="Palatino Linotype" w:eastAsia="Palatino Linotype" w:hAnsi="Palatino Linotype" w:cs="Palatino Linotype"/>
                <w:i/>
              </w:rPr>
              <w:t>ATENTAMENTE</w:t>
            </w:r>
          </w:p>
          <w:p w14:paraId="0C2E12C6" w14:textId="77777777" w:rsidR="003E0B3C" w:rsidRPr="00457F86" w:rsidRDefault="00C51FAD">
            <w:pPr>
              <w:jc w:val="both"/>
              <w:rPr>
                <w:rFonts w:ascii="Palatino Linotype" w:eastAsia="Palatino Linotype" w:hAnsi="Palatino Linotype" w:cs="Palatino Linotype"/>
                <w:i/>
              </w:rPr>
            </w:pPr>
            <w:r w:rsidRPr="00457F86">
              <w:rPr>
                <w:rFonts w:ascii="Palatino Linotype" w:eastAsia="Palatino Linotype" w:hAnsi="Palatino Linotype" w:cs="Palatino Linotype"/>
                <w:i/>
              </w:rPr>
              <w:t>P.</w:t>
            </w:r>
            <w:proofErr w:type="gramStart"/>
            <w:r w:rsidRPr="00457F86">
              <w:rPr>
                <w:rFonts w:ascii="Palatino Linotype" w:eastAsia="Palatino Linotype" w:hAnsi="Palatino Linotype" w:cs="Palatino Linotype"/>
                <w:i/>
              </w:rPr>
              <w:t>L.EN</w:t>
            </w:r>
            <w:proofErr w:type="gramEnd"/>
            <w:r w:rsidRPr="00457F86">
              <w:rPr>
                <w:rFonts w:ascii="Palatino Linotype" w:eastAsia="Palatino Linotype" w:hAnsi="Palatino Linotype" w:cs="Palatino Linotype"/>
                <w:i/>
              </w:rPr>
              <w:t xml:space="preserve"> D. IGNACIO BENITEZ BOBADILLA”</w:t>
            </w:r>
          </w:p>
          <w:p w14:paraId="5E92E85B" w14:textId="77777777" w:rsidR="003E0B3C" w:rsidRPr="00457F86" w:rsidRDefault="003E0B3C">
            <w:pPr>
              <w:jc w:val="both"/>
              <w:rPr>
                <w:rFonts w:ascii="Palatino Linotype" w:eastAsia="Palatino Linotype" w:hAnsi="Palatino Linotype" w:cs="Palatino Linotype"/>
                <w:i/>
              </w:rPr>
            </w:pPr>
          </w:p>
          <w:p w14:paraId="44E8CE44" w14:textId="77777777" w:rsidR="003E0B3C" w:rsidRPr="00457F86" w:rsidRDefault="00C51FAD">
            <w:pPr>
              <w:tabs>
                <w:tab w:val="left" w:pos="2625"/>
              </w:tabs>
              <w:jc w:val="both"/>
              <w:rPr>
                <w:rFonts w:ascii="Palatino Linotype" w:eastAsia="Palatino Linotype" w:hAnsi="Palatino Linotype" w:cs="Palatino Linotype"/>
                <w:b/>
              </w:rPr>
            </w:pPr>
            <w:r w:rsidRPr="00457F86">
              <w:rPr>
                <w:rFonts w:ascii="Palatino Linotype" w:eastAsia="Palatino Linotype" w:hAnsi="Palatino Linotype" w:cs="Palatino Linotype"/>
                <w:b/>
              </w:rPr>
              <w:t xml:space="preserve">Archivos adjuntos: </w:t>
            </w:r>
          </w:p>
          <w:p w14:paraId="323DCD10" w14:textId="77777777" w:rsidR="003E0B3C" w:rsidRPr="00457F86" w:rsidRDefault="00C51FAD">
            <w:pPr>
              <w:jc w:val="both"/>
              <w:rPr>
                <w:rFonts w:ascii="Palatino Linotype" w:eastAsia="Palatino Linotype" w:hAnsi="Palatino Linotype" w:cs="Palatino Linotype"/>
              </w:rPr>
            </w:pPr>
            <w:r w:rsidRPr="00457F86">
              <w:rPr>
                <w:rFonts w:ascii="Palatino Linotype" w:eastAsia="Palatino Linotype" w:hAnsi="Palatino Linotype" w:cs="Palatino Linotype"/>
                <w:b/>
                <w:i/>
              </w:rPr>
              <w:t>00014.pdf</w:t>
            </w:r>
            <w:r w:rsidRPr="00457F86">
              <w:rPr>
                <w:rFonts w:ascii="Palatino Linotype" w:eastAsia="Palatino Linotype" w:hAnsi="Palatino Linotype" w:cs="Palatino Linotype"/>
              </w:rPr>
              <w:t xml:space="preserve">: Contiene los siguientes documentos: </w:t>
            </w:r>
          </w:p>
          <w:p w14:paraId="07F0A7CC" w14:textId="77777777" w:rsidR="003E0B3C" w:rsidRPr="00457F86" w:rsidRDefault="00C51FAD">
            <w:pPr>
              <w:numPr>
                <w:ilvl w:val="0"/>
                <w:numId w:val="4"/>
              </w:numPr>
              <w:pBdr>
                <w:top w:val="nil"/>
                <w:left w:val="nil"/>
                <w:bottom w:val="nil"/>
                <w:right w:val="nil"/>
                <w:between w:val="nil"/>
              </w:pBdr>
              <w:tabs>
                <w:tab w:val="left" w:pos="213"/>
              </w:tabs>
              <w:ind w:left="25" w:hanging="141"/>
              <w:jc w:val="both"/>
              <w:rPr>
                <w:rFonts w:ascii="Palatino Linotype" w:eastAsia="Palatino Linotype" w:hAnsi="Palatino Linotype" w:cs="Palatino Linotype"/>
                <w:sz w:val="24"/>
                <w:szCs w:val="24"/>
              </w:rPr>
            </w:pPr>
            <w:r w:rsidRPr="00457F86">
              <w:rPr>
                <w:rFonts w:ascii="Palatino Linotype" w:eastAsia="Palatino Linotype" w:hAnsi="Palatino Linotype" w:cs="Palatino Linotype"/>
                <w:sz w:val="24"/>
                <w:szCs w:val="24"/>
              </w:rPr>
              <w:t xml:space="preserve">Oficio número SMDIF/UT/147/2025 de fecha veinte de mayo de dos mil veinticinco, signado por el </w:t>
            </w:r>
            <w:proofErr w:type="gramStart"/>
            <w:r w:rsidRPr="00457F86">
              <w:rPr>
                <w:rFonts w:ascii="Palatino Linotype" w:eastAsia="Palatino Linotype" w:hAnsi="Palatino Linotype" w:cs="Palatino Linotype"/>
                <w:sz w:val="24"/>
                <w:szCs w:val="24"/>
              </w:rPr>
              <w:t>Jefe</w:t>
            </w:r>
            <w:proofErr w:type="gramEnd"/>
            <w:r w:rsidRPr="00457F86">
              <w:rPr>
                <w:rFonts w:ascii="Palatino Linotype" w:eastAsia="Palatino Linotype" w:hAnsi="Palatino Linotype" w:cs="Palatino Linotype"/>
                <w:sz w:val="24"/>
                <w:szCs w:val="24"/>
              </w:rPr>
              <w:t xml:space="preserve"> de Transparencia y Acceso a la Información del Sistema Municipal para el Desarrollo Integral de la Familia de Tianguistenco, mediante el cual solicitó al Tesorero del Sistema Municipal remitir lo solicitado. </w:t>
            </w:r>
          </w:p>
          <w:p w14:paraId="3661ED70" w14:textId="77777777" w:rsidR="003E0B3C" w:rsidRPr="00457F86" w:rsidRDefault="00C51FAD">
            <w:pPr>
              <w:numPr>
                <w:ilvl w:val="0"/>
                <w:numId w:val="4"/>
              </w:numPr>
              <w:pBdr>
                <w:top w:val="nil"/>
                <w:left w:val="nil"/>
                <w:bottom w:val="nil"/>
                <w:right w:val="nil"/>
                <w:between w:val="nil"/>
              </w:pBdr>
              <w:tabs>
                <w:tab w:val="left" w:pos="213"/>
              </w:tabs>
              <w:ind w:left="25" w:hanging="141"/>
              <w:jc w:val="both"/>
              <w:rPr>
                <w:rFonts w:ascii="Palatino Linotype" w:eastAsia="Palatino Linotype" w:hAnsi="Palatino Linotype" w:cs="Palatino Linotype"/>
                <w:sz w:val="24"/>
                <w:szCs w:val="24"/>
              </w:rPr>
            </w:pPr>
            <w:r w:rsidRPr="00457F86">
              <w:rPr>
                <w:rFonts w:ascii="Palatino Linotype" w:eastAsia="Palatino Linotype" w:hAnsi="Palatino Linotype" w:cs="Palatino Linotype"/>
                <w:sz w:val="24"/>
                <w:szCs w:val="24"/>
              </w:rPr>
              <w:t xml:space="preserve">Acuse de Solicitud de Información Pública. </w:t>
            </w:r>
          </w:p>
          <w:p w14:paraId="65DEC198" w14:textId="77777777" w:rsidR="003E0B3C" w:rsidRPr="00457F86" w:rsidRDefault="00C51FAD">
            <w:pPr>
              <w:numPr>
                <w:ilvl w:val="0"/>
                <w:numId w:val="4"/>
              </w:numPr>
              <w:pBdr>
                <w:top w:val="nil"/>
                <w:left w:val="nil"/>
                <w:bottom w:val="nil"/>
                <w:right w:val="nil"/>
                <w:between w:val="nil"/>
              </w:pBdr>
              <w:tabs>
                <w:tab w:val="left" w:pos="213"/>
              </w:tabs>
              <w:ind w:left="25" w:hanging="141"/>
              <w:jc w:val="both"/>
              <w:rPr>
                <w:rFonts w:ascii="Palatino Linotype" w:eastAsia="Palatino Linotype" w:hAnsi="Palatino Linotype" w:cs="Palatino Linotype"/>
                <w:sz w:val="24"/>
                <w:szCs w:val="24"/>
              </w:rPr>
            </w:pPr>
            <w:r w:rsidRPr="00457F86">
              <w:rPr>
                <w:rFonts w:ascii="Palatino Linotype" w:eastAsia="Palatino Linotype" w:hAnsi="Palatino Linotype" w:cs="Palatino Linotype"/>
                <w:sz w:val="24"/>
                <w:szCs w:val="24"/>
              </w:rPr>
              <w:t xml:space="preserve">Circular número SMDIF/TIANGUISTENCO/TES/057/2025 de fecha veinte de mayo de dos mil veinticinco, signado por el Tesorero del Sistema Municipal, mediante el cual informó que el evento al que hace referencia dicha solicitud, NO fue realizado, ni mucho menos organizado por el Sistema Municipal para el </w:t>
            </w:r>
            <w:r w:rsidRPr="00457F86">
              <w:rPr>
                <w:rFonts w:ascii="Palatino Linotype" w:eastAsia="Palatino Linotype" w:hAnsi="Palatino Linotype" w:cs="Palatino Linotype"/>
                <w:sz w:val="24"/>
                <w:szCs w:val="24"/>
              </w:rPr>
              <w:lastRenderedPageBreak/>
              <w:t xml:space="preserve">Desarrollo Integral de la Familia de Tianguistenco, por lo que con fundamento en el artículo 167 de la Ley de Transparencia y Acceso a la Información Pública del Estado de México y Municipios se deberá conducir dicha solicitud a la instancia correspondiente. </w:t>
            </w:r>
          </w:p>
        </w:tc>
      </w:tr>
    </w:tbl>
    <w:p w14:paraId="3328F604"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b/>
          <w:sz w:val="22"/>
          <w:szCs w:val="22"/>
        </w:rPr>
        <w:lastRenderedPageBreak/>
        <w:t xml:space="preserve">3. Interposición de los recursos de revisión. </w:t>
      </w:r>
      <w:r w:rsidRPr="00457F86">
        <w:rPr>
          <w:rFonts w:ascii="Palatino Linotype" w:eastAsia="Palatino Linotype" w:hAnsi="Palatino Linotype" w:cs="Palatino Linotype"/>
          <w:sz w:val="22"/>
          <w:szCs w:val="22"/>
        </w:rPr>
        <w:t xml:space="preserve">El </w:t>
      </w:r>
      <w:r w:rsidRPr="00457F86">
        <w:rPr>
          <w:rFonts w:ascii="Palatino Linotype" w:eastAsia="Palatino Linotype" w:hAnsi="Palatino Linotype" w:cs="Palatino Linotype"/>
          <w:b/>
          <w:sz w:val="22"/>
          <w:szCs w:val="22"/>
        </w:rPr>
        <w:t xml:space="preserve">seis de junio de dos mil veinticinco, </w:t>
      </w:r>
      <w:r w:rsidRPr="00457F86">
        <w:rPr>
          <w:rFonts w:ascii="Palatino Linotype" w:eastAsia="Palatino Linotype" w:hAnsi="Palatino Linotype" w:cs="Palatino Linotype"/>
          <w:sz w:val="22"/>
          <w:szCs w:val="22"/>
        </w:rPr>
        <w:t>la parte</w:t>
      </w:r>
      <w:r w:rsidRPr="00457F86">
        <w:rPr>
          <w:rFonts w:ascii="Palatino Linotype" w:eastAsia="Palatino Linotype" w:hAnsi="Palatino Linotype" w:cs="Palatino Linotype"/>
          <w:b/>
          <w:sz w:val="22"/>
          <w:szCs w:val="22"/>
        </w:rPr>
        <w:t xml:space="preserve"> Recurrente, </w:t>
      </w:r>
      <w:r w:rsidRPr="00457F86">
        <w:rPr>
          <w:rFonts w:ascii="Palatino Linotype" w:eastAsia="Palatino Linotype" w:hAnsi="Palatino Linotype" w:cs="Palatino Linotype"/>
          <w:sz w:val="22"/>
          <w:szCs w:val="22"/>
        </w:rPr>
        <w:t xml:space="preserve">inconforme con las respuestas, interpuso los recursos de revisión que nos ocupan, expresando en ambos casos, lo siguiente: </w:t>
      </w:r>
    </w:p>
    <w:p w14:paraId="4572BDA9" w14:textId="77777777" w:rsidR="003E0B3C" w:rsidRPr="00457F86" w:rsidRDefault="003E0B3C">
      <w:pPr>
        <w:spacing w:line="360" w:lineRule="auto"/>
        <w:jc w:val="both"/>
        <w:rPr>
          <w:rFonts w:ascii="Palatino Linotype" w:eastAsia="Palatino Linotype" w:hAnsi="Palatino Linotype" w:cs="Palatino Linotype"/>
          <w:sz w:val="22"/>
          <w:szCs w:val="22"/>
        </w:rPr>
      </w:pPr>
    </w:p>
    <w:tbl>
      <w:tblPr>
        <w:tblStyle w:val="affb"/>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4"/>
        <w:gridCol w:w="2943"/>
        <w:gridCol w:w="3180"/>
      </w:tblGrid>
      <w:tr w:rsidR="00C51FAD" w:rsidRPr="00457F86" w14:paraId="1389EF41" w14:textId="77777777">
        <w:tc>
          <w:tcPr>
            <w:tcW w:w="2944" w:type="dxa"/>
            <w:shd w:val="clear" w:color="auto" w:fill="DBEEF3"/>
          </w:tcPr>
          <w:p w14:paraId="5DE2DDCD" w14:textId="77777777" w:rsidR="003E0B3C" w:rsidRPr="00457F86" w:rsidRDefault="00C51FAD">
            <w:pPr>
              <w:spacing w:line="360" w:lineRule="auto"/>
              <w:jc w:val="center"/>
              <w:rPr>
                <w:rFonts w:ascii="Palatino Linotype" w:eastAsia="Palatino Linotype" w:hAnsi="Palatino Linotype" w:cs="Palatino Linotype"/>
                <w:b/>
              </w:rPr>
            </w:pPr>
            <w:bookmarkStart w:id="3" w:name="_heading=h.sd0nhx8vxqdh" w:colFirst="0" w:colLast="0"/>
            <w:bookmarkEnd w:id="3"/>
            <w:r w:rsidRPr="00457F86">
              <w:rPr>
                <w:rFonts w:ascii="Palatino Linotype" w:eastAsia="Palatino Linotype" w:hAnsi="Palatino Linotype" w:cs="Palatino Linotype"/>
                <w:b/>
              </w:rPr>
              <w:t>Recurso de Revisión</w:t>
            </w:r>
          </w:p>
        </w:tc>
        <w:tc>
          <w:tcPr>
            <w:tcW w:w="2943" w:type="dxa"/>
            <w:shd w:val="clear" w:color="auto" w:fill="DBEEF3"/>
          </w:tcPr>
          <w:p w14:paraId="6363E068" w14:textId="77777777" w:rsidR="003E0B3C" w:rsidRPr="00457F86" w:rsidRDefault="00C51FAD">
            <w:pPr>
              <w:spacing w:line="360" w:lineRule="auto"/>
              <w:jc w:val="center"/>
              <w:rPr>
                <w:rFonts w:ascii="Palatino Linotype" w:eastAsia="Palatino Linotype" w:hAnsi="Palatino Linotype" w:cs="Palatino Linotype"/>
                <w:b/>
              </w:rPr>
            </w:pPr>
            <w:r w:rsidRPr="00457F86">
              <w:rPr>
                <w:rFonts w:ascii="Palatino Linotype" w:eastAsia="Palatino Linotype" w:hAnsi="Palatino Linotype" w:cs="Palatino Linotype"/>
                <w:b/>
              </w:rPr>
              <w:t>Acto impugnado</w:t>
            </w:r>
          </w:p>
        </w:tc>
        <w:tc>
          <w:tcPr>
            <w:tcW w:w="3180" w:type="dxa"/>
            <w:shd w:val="clear" w:color="auto" w:fill="DBEEF3"/>
          </w:tcPr>
          <w:p w14:paraId="09A4D4F2" w14:textId="77777777" w:rsidR="003E0B3C" w:rsidRPr="00457F86" w:rsidRDefault="00C51FAD">
            <w:pPr>
              <w:spacing w:line="276" w:lineRule="auto"/>
              <w:jc w:val="center"/>
              <w:rPr>
                <w:rFonts w:ascii="Palatino Linotype" w:eastAsia="Palatino Linotype" w:hAnsi="Palatino Linotype" w:cs="Palatino Linotype"/>
                <w:b/>
              </w:rPr>
            </w:pPr>
            <w:r w:rsidRPr="00457F86">
              <w:rPr>
                <w:rFonts w:ascii="Palatino Linotype" w:eastAsia="Palatino Linotype" w:hAnsi="Palatino Linotype" w:cs="Palatino Linotype"/>
                <w:b/>
              </w:rPr>
              <w:t>Razones o Motivos de Inconformidad</w:t>
            </w:r>
          </w:p>
        </w:tc>
      </w:tr>
      <w:tr w:rsidR="00C51FAD" w:rsidRPr="00457F86" w14:paraId="64D77D8F" w14:textId="77777777">
        <w:tc>
          <w:tcPr>
            <w:tcW w:w="2944" w:type="dxa"/>
          </w:tcPr>
          <w:p w14:paraId="2DAC51F4" w14:textId="77777777" w:rsidR="003E0B3C" w:rsidRPr="00457F86" w:rsidRDefault="00C51FAD">
            <w:pPr>
              <w:spacing w:line="360" w:lineRule="auto"/>
              <w:jc w:val="center"/>
              <w:rPr>
                <w:rFonts w:ascii="Palatino Linotype" w:eastAsia="Palatino Linotype" w:hAnsi="Palatino Linotype" w:cs="Palatino Linotype"/>
                <w:b/>
              </w:rPr>
            </w:pPr>
            <w:r w:rsidRPr="00457F86">
              <w:rPr>
                <w:rFonts w:ascii="Palatino Linotype" w:eastAsia="Palatino Linotype" w:hAnsi="Palatino Linotype" w:cs="Palatino Linotype"/>
                <w:b/>
              </w:rPr>
              <w:t>06644/INFOEM/IP/RR/2025</w:t>
            </w:r>
          </w:p>
        </w:tc>
        <w:tc>
          <w:tcPr>
            <w:tcW w:w="2943" w:type="dxa"/>
          </w:tcPr>
          <w:p w14:paraId="46D0C01A" w14:textId="77777777" w:rsidR="003E0B3C" w:rsidRPr="00457F86" w:rsidRDefault="00C51FAD">
            <w:pPr>
              <w:jc w:val="both"/>
              <w:rPr>
                <w:rFonts w:ascii="Palatino Linotype" w:eastAsia="Palatino Linotype" w:hAnsi="Palatino Linotype" w:cs="Palatino Linotype"/>
                <w:i/>
              </w:rPr>
            </w:pPr>
            <w:r w:rsidRPr="00457F86">
              <w:rPr>
                <w:rFonts w:ascii="Palatino Linotype" w:eastAsia="Palatino Linotype" w:hAnsi="Palatino Linotype" w:cs="Palatino Linotype"/>
                <w:i/>
              </w:rPr>
              <w:t xml:space="preserve">se me </w:t>
            </w:r>
            <w:proofErr w:type="spellStart"/>
            <w:r w:rsidRPr="00457F86">
              <w:rPr>
                <w:rFonts w:ascii="Palatino Linotype" w:eastAsia="Palatino Linotype" w:hAnsi="Palatino Linotype" w:cs="Palatino Linotype"/>
                <w:i/>
              </w:rPr>
              <w:t>esta</w:t>
            </w:r>
            <w:proofErr w:type="spellEnd"/>
            <w:r w:rsidRPr="00457F86">
              <w:rPr>
                <w:rFonts w:ascii="Palatino Linotype" w:eastAsia="Palatino Linotype" w:hAnsi="Palatino Linotype" w:cs="Palatino Linotype"/>
                <w:i/>
              </w:rPr>
              <w:t xml:space="preserve"> negando la </w:t>
            </w:r>
            <w:proofErr w:type="spellStart"/>
            <w:r w:rsidRPr="00457F86">
              <w:rPr>
                <w:rFonts w:ascii="Palatino Linotype" w:eastAsia="Palatino Linotype" w:hAnsi="Palatino Linotype" w:cs="Palatino Linotype"/>
                <w:i/>
              </w:rPr>
              <w:t>informacion</w:t>
            </w:r>
            <w:proofErr w:type="spellEnd"/>
          </w:p>
        </w:tc>
        <w:tc>
          <w:tcPr>
            <w:tcW w:w="3180" w:type="dxa"/>
          </w:tcPr>
          <w:p w14:paraId="516683B4" w14:textId="77777777" w:rsidR="003E0B3C" w:rsidRPr="00457F86" w:rsidRDefault="00C51FAD">
            <w:pPr>
              <w:jc w:val="both"/>
              <w:rPr>
                <w:rFonts w:ascii="Palatino Linotype" w:eastAsia="Palatino Linotype" w:hAnsi="Palatino Linotype" w:cs="Palatino Linotype"/>
                <w:i/>
              </w:rPr>
            </w:pPr>
            <w:r w:rsidRPr="00457F86">
              <w:rPr>
                <w:rFonts w:ascii="Palatino Linotype" w:eastAsia="Palatino Linotype" w:hAnsi="Palatino Linotype" w:cs="Palatino Linotype"/>
                <w:i/>
              </w:rPr>
              <w:t xml:space="preserve">debieron tener un gasto, ya que no creo que los artistas subsidiaran </w:t>
            </w:r>
            <w:proofErr w:type="spellStart"/>
            <w:r w:rsidRPr="00457F86">
              <w:rPr>
                <w:rFonts w:ascii="Palatino Linotype" w:eastAsia="Palatino Linotype" w:hAnsi="Palatino Linotype" w:cs="Palatino Linotype"/>
                <w:i/>
              </w:rPr>
              <w:t>tambien</w:t>
            </w:r>
            <w:proofErr w:type="spellEnd"/>
            <w:r w:rsidRPr="00457F86">
              <w:rPr>
                <w:rFonts w:ascii="Palatino Linotype" w:eastAsia="Palatino Linotype" w:hAnsi="Palatino Linotype" w:cs="Palatino Linotype"/>
                <w:i/>
              </w:rPr>
              <w:t xml:space="preserve"> la luz, la comida, gasolina, </w:t>
            </w:r>
            <w:proofErr w:type="spellStart"/>
            <w:r w:rsidRPr="00457F86">
              <w:rPr>
                <w:rFonts w:ascii="Palatino Linotype" w:eastAsia="Palatino Linotype" w:hAnsi="Palatino Linotype" w:cs="Palatino Linotype"/>
                <w:i/>
              </w:rPr>
              <w:t>etc</w:t>
            </w:r>
            <w:proofErr w:type="spellEnd"/>
          </w:p>
        </w:tc>
      </w:tr>
      <w:tr w:rsidR="00C51FAD" w:rsidRPr="00457F86" w14:paraId="3AE8D311" w14:textId="77777777">
        <w:tc>
          <w:tcPr>
            <w:tcW w:w="2944" w:type="dxa"/>
          </w:tcPr>
          <w:p w14:paraId="39F8C9BD" w14:textId="77777777" w:rsidR="003E0B3C" w:rsidRPr="00457F86" w:rsidRDefault="00C51FAD">
            <w:pPr>
              <w:spacing w:line="360" w:lineRule="auto"/>
              <w:jc w:val="center"/>
              <w:rPr>
                <w:rFonts w:ascii="Palatino Linotype" w:eastAsia="Palatino Linotype" w:hAnsi="Palatino Linotype" w:cs="Palatino Linotype"/>
                <w:b/>
              </w:rPr>
            </w:pPr>
            <w:r w:rsidRPr="00457F86">
              <w:rPr>
                <w:rFonts w:ascii="Palatino Linotype" w:eastAsia="Palatino Linotype" w:hAnsi="Palatino Linotype" w:cs="Palatino Linotype"/>
                <w:b/>
              </w:rPr>
              <w:t xml:space="preserve">06646/INFOEM/IP/RR/2025  </w:t>
            </w:r>
          </w:p>
        </w:tc>
        <w:tc>
          <w:tcPr>
            <w:tcW w:w="2943" w:type="dxa"/>
          </w:tcPr>
          <w:p w14:paraId="18603BFE" w14:textId="77777777" w:rsidR="003E0B3C" w:rsidRPr="00457F86" w:rsidRDefault="00C51FAD">
            <w:pPr>
              <w:jc w:val="both"/>
              <w:rPr>
                <w:rFonts w:ascii="Palatino Linotype" w:eastAsia="Palatino Linotype" w:hAnsi="Palatino Linotype" w:cs="Palatino Linotype"/>
                <w:i/>
              </w:rPr>
            </w:pPr>
            <w:r w:rsidRPr="00457F86">
              <w:rPr>
                <w:rFonts w:ascii="Palatino Linotype" w:eastAsia="Palatino Linotype" w:hAnsi="Palatino Linotype" w:cs="Palatino Linotype"/>
                <w:i/>
              </w:rPr>
              <w:t xml:space="preserve">negativa de la </w:t>
            </w:r>
            <w:proofErr w:type="spellStart"/>
            <w:r w:rsidRPr="00457F86">
              <w:rPr>
                <w:rFonts w:ascii="Palatino Linotype" w:eastAsia="Palatino Linotype" w:hAnsi="Palatino Linotype" w:cs="Palatino Linotype"/>
                <w:i/>
              </w:rPr>
              <w:t>informacion</w:t>
            </w:r>
            <w:proofErr w:type="spellEnd"/>
          </w:p>
        </w:tc>
        <w:tc>
          <w:tcPr>
            <w:tcW w:w="3180" w:type="dxa"/>
          </w:tcPr>
          <w:p w14:paraId="3EEA3B11" w14:textId="77777777" w:rsidR="003E0B3C" w:rsidRPr="00457F86" w:rsidRDefault="00C51FAD">
            <w:pPr>
              <w:jc w:val="both"/>
              <w:rPr>
                <w:rFonts w:ascii="Palatino Linotype" w:eastAsia="Palatino Linotype" w:hAnsi="Palatino Linotype" w:cs="Palatino Linotype"/>
                <w:i/>
              </w:rPr>
            </w:pPr>
            <w:r w:rsidRPr="00457F86">
              <w:rPr>
                <w:rFonts w:ascii="Palatino Linotype" w:eastAsia="Palatino Linotype" w:hAnsi="Palatino Linotype" w:cs="Palatino Linotype"/>
                <w:i/>
              </w:rPr>
              <w:t xml:space="preserve">me hacen referencia que el evento no se </w:t>
            </w:r>
            <w:proofErr w:type="spellStart"/>
            <w:r w:rsidRPr="00457F86">
              <w:rPr>
                <w:rFonts w:ascii="Palatino Linotype" w:eastAsia="Palatino Linotype" w:hAnsi="Palatino Linotype" w:cs="Palatino Linotype"/>
                <w:i/>
              </w:rPr>
              <w:t>realizo</w:t>
            </w:r>
            <w:proofErr w:type="spellEnd"/>
            <w:r w:rsidRPr="00457F86">
              <w:rPr>
                <w:rFonts w:ascii="Palatino Linotype" w:eastAsia="Palatino Linotype" w:hAnsi="Palatino Linotype" w:cs="Palatino Linotype"/>
                <w:i/>
              </w:rPr>
              <w:t xml:space="preserve"> en el </w:t>
            </w:r>
            <w:proofErr w:type="spellStart"/>
            <w:r w:rsidRPr="00457F86">
              <w:rPr>
                <w:rFonts w:ascii="Palatino Linotype" w:eastAsia="Palatino Linotype" w:hAnsi="Palatino Linotype" w:cs="Palatino Linotype"/>
                <w:i/>
              </w:rPr>
              <w:t>fif</w:t>
            </w:r>
            <w:proofErr w:type="spellEnd"/>
            <w:r w:rsidRPr="00457F86">
              <w:rPr>
                <w:rFonts w:ascii="Palatino Linotype" w:eastAsia="Palatino Linotype" w:hAnsi="Palatino Linotype" w:cs="Palatino Linotype"/>
                <w:i/>
              </w:rPr>
              <w:t xml:space="preserve">, y fundamentan </w:t>
            </w:r>
            <w:proofErr w:type="spellStart"/>
            <w:r w:rsidRPr="00457F86">
              <w:rPr>
                <w:rFonts w:ascii="Palatino Linotype" w:eastAsia="Palatino Linotype" w:hAnsi="Palatino Linotype" w:cs="Palatino Linotype"/>
                <w:i/>
              </w:rPr>
              <w:t>el</w:t>
            </w:r>
            <w:proofErr w:type="spellEnd"/>
            <w:r w:rsidRPr="00457F86">
              <w:rPr>
                <w:rFonts w:ascii="Palatino Linotype" w:eastAsia="Palatino Linotype" w:hAnsi="Palatino Linotype" w:cs="Palatino Linotype"/>
                <w:i/>
              </w:rPr>
              <w:t xml:space="preserve"> un </w:t>
            </w:r>
            <w:proofErr w:type="spellStart"/>
            <w:r w:rsidRPr="00457F86">
              <w:rPr>
                <w:rFonts w:ascii="Palatino Linotype" w:eastAsia="Palatino Linotype" w:hAnsi="Palatino Linotype" w:cs="Palatino Linotype"/>
                <w:i/>
              </w:rPr>
              <w:t>articulo</w:t>
            </w:r>
            <w:proofErr w:type="spellEnd"/>
            <w:r w:rsidRPr="00457F86">
              <w:rPr>
                <w:rFonts w:ascii="Palatino Linotype" w:eastAsia="Palatino Linotype" w:hAnsi="Palatino Linotype" w:cs="Palatino Linotype"/>
                <w:i/>
              </w:rPr>
              <w:t xml:space="preserve">, me debieron informar antes, me dejan en estado de </w:t>
            </w:r>
            <w:proofErr w:type="spellStart"/>
            <w:r w:rsidRPr="00457F86">
              <w:rPr>
                <w:rFonts w:ascii="Palatino Linotype" w:eastAsia="Palatino Linotype" w:hAnsi="Palatino Linotype" w:cs="Palatino Linotype"/>
                <w:i/>
              </w:rPr>
              <w:t>indefencion</w:t>
            </w:r>
            <w:proofErr w:type="spellEnd"/>
          </w:p>
        </w:tc>
      </w:tr>
    </w:tbl>
    <w:p w14:paraId="10F60F7E" w14:textId="77777777" w:rsidR="003E0B3C" w:rsidRPr="00457F86" w:rsidRDefault="003E0B3C">
      <w:pPr>
        <w:spacing w:line="360" w:lineRule="auto"/>
        <w:jc w:val="both"/>
        <w:rPr>
          <w:rFonts w:ascii="Palatino Linotype" w:eastAsia="Palatino Linotype" w:hAnsi="Palatino Linotype" w:cs="Palatino Linotype"/>
          <w:b/>
          <w:sz w:val="22"/>
          <w:szCs w:val="22"/>
        </w:rPr>
      </w:pPr>
    </w:p>
    <w:p w14:paraId="4ABCFFDB"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b/>
          <w:sz w:val="22"/>
          <w:szCs w:val="22"/>
        </w:rPr>
        <w:t xml:space="preserve">4. Turnos. </w:t>
      </w:r>
      <w:r w:rsidRPr="00457F86">
        <w:rPr>
          <w:rFonts w:ascii="Palatino Linotype" w:eastAsia="Palatino Linotype" w:hAnsi="Palatino Linotype" w:cs="Palatino Linotype"/>
          <w:sz w:val="22"/>
          <w:szCs w:val="22"/>
        </w:rPr>
        <w:t>De conformidad con el artículo 185 fracción I de la Ley Transparencia y Acceso a la Información Pública, los recursos de revisión fueron</w:t>
      </w:r>
      <w:r w:rsidRPr="00457F86">
        <w:rPr>
          <w:rFonts w:ascii="Palatino Linotype" w:eastAsia="Palatino Linotype" w:hAnsi="Palatino Linotype" w:cs="Palatino Linotype"/>
          <w:b/>
          <w:sz w:val="22"/>
          <w:szCs w:val="22"/>
        </w:rPr>
        <w:t xml:space="preserve"> </w:t>
      </w:r>
      <w:r w:rsidRPr="00457F86">
        <w:rPr>
          <w:rFonts w:ascii="Palatino Linotype" w:eastAsia="Palatino Linotype" w:hAnsi="Palatino Linotype" w:cs="Palatino Linotype"/>
          <w:sz w:val="22"/>
          <w:szCs w:val="22"/>
        </w:rPr>
        <w:t xml:space="preserve">turnados de la siguiente manera a efecto de presentar al Pleno los proyectos de resolución correspondientes: </w:t>
      </w:r>
    </w:p>
    <w:p w14:paraId="4FB05F68" w14:textId="77777777" w:rsidR="003E0B3C" w:rsidRPr="00457F86" w:rsidRDefault="003E0B3C">
      <w:pPr>
        <w:spacing w:line="360" w:lineRule="auto"/>
        <w:jc w:val="both"/>
        <w:rPr>
          <w:rFonts w:ascii="Palatino Linotype" w:eastAsia="Palatino Linotype" w:hAnsi="Palatino Linotype" w:cs="Palatino Linotype"/>
          <w:sz w:val="22"/>
          <w:szCs w:val="22"/>
        </w:rPr>
      </w:pPr>
    </w:p>
    <w:tbl>
      <w:tblPr>
        <w:tblStyle w:val="affc"/>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C51FAD" w:rsidRPr="00457F86" w14:paraId="749B919E" w14:textId="77777777">
        <w:tc>
          <w:tcPr>
            <w:tcW w:w="4460" w:type="dxa"/>
            <w:shd w:val="clear" w:color="auto" w:fill="DBEEF3"/>
          </w:tcPr>
          <w:p w14:paraId="3C48F35F" w14:textId="77777777" w:rsidR="003E0B3C" w:rsidRPr="00457F86" w:rsidRDefault="00C51FAD">
            <w:pPr>
              <w:spacing w:line="360" w:lineRule="auto"/>
              <w:jc w:val="center"/>
              <w:rPr>
                <w:rFonts w:ascii="Palatino Linotype" w:eastAsia="Palatino Linotype" w:hAnsi="Palatino Linotype" w:cs="Palatino Linotype"/>
                <w:b/>
              </w:rPr>
            </w:pPr>
            <w:r w:rsidRPr="00457F86">
              <w:rPr>
                <w:rFonts w:ascii="Palatino Linotype" w:eastAsia="Palatino Linotype" w:hAnsi="Palatino Linotype" w:cs="Palatino Linotype"/>
                <w:b/>
              </w:rPr>
              <w:t>Recurso de Revisión</w:t>
            </w:r>
          </w:p>
        </w:tc>
        <w:tc>
          <w:tcPr>
            <w:tcW w:w="4461" w:type="dxa"/>
            <w:shd w:val="clear" w:color="auto" w:fill="DBEEF3"/>
          </w:tcPr>
          <w:p w14:paraId="55AD4E24" w14:textId="77777777" w:rsidR="003E0B3C" w:rsidRPr="00457F86" w:rsidRDefault="00C51FAD">
            <w:pPr>
              <w:spacing w:line="360" w:lineRule="auto"/>
              <w:jc w:val="center"/>
              <w:rPr>
                <w:rFonts w:ascii="Palatino Linotype" w:eastAsia="Palatino Linotype" w:hAnsi="Palatino Linotype" w:cs="Palatino Linotype"/>
                <w:b/>
              </w:rPr>
            </w:pPr>
            <w:r w:rsidRPr="00457F86">
              <w:rPr>
                <w:rFonts w:ascii="Palatino Linotype" w:eastAsia="Palatino Linotype" w:hAnsi="Palatino Linotype" w:cs="Palatino Linotype"/>
                <w:b/>
              </w:rPr>
              <w:t>Comisionada</w:t>
            </w:r>
          </w:p>
        </w:tc>
      </w:tr>
      <w:tr w:rsidR="00C51FAD" w:rsidRPr="00457F86" w14:paraId="5A27B302" w14:textId="77777777">
        <w:tc>
          <w:tcPr>
            <w:tcW w:w="4460" w:type="dxa"/>
          </w:tcPr>
          <w:p w14:paraId="0F2E52BD" w14:textId="77777777" w:rsidR="003E0B3C" w:rsidRPr="00457F86" w:rsidRDefault="00C51FAD">
            <w:pPr>
              <w:spacing w:line="276" w:lineRule="auto"/>
              <w:jc w:val="center"/>
              <w:rPr>
                <w:rFonts w:ascii="Palatino Linotype" w:eastAsia="Palatino Linotype" w:hAnsi="Palatino Linotype" w:cs="Palatino Linotype"/>
                <w:b/>
              </w:rPr>
            </w:pPr>
            <w:r w:rsidRPr="00457F86">
              <w:rPr>
                <w:rFonts w:ascii="Palatino Linotype" w:eastAsia="Palatino Linotype" w:hAnsi="Palatino Linotype" w:cs="Palatino Linotype"/>
                <w:b/>
              </w:rPr>
              <w:t>06644/INFOEM/IP/RR/2025</w:t>
            </w:r>
          </w:p>
        </w:tc>
        <w:tc>
          <w:tcPr>
            <w:tcW w:w="4461" w:type="dxa"/>
          </w:tcPr>
          <w:p w14:paraId="7F28C558" w14:textId="77777777" w:rsidR="003E0B3C" w:rsidRPr="00457F86" w:rsidRDefault="00C51FAD">
            <w:pPr>
              <w:jc w:val="center"/>
              <w:rPr>
                <w:rFonts w:ascii="Palatino Linotype" w:eastAsia="Palatino Linotype" w:hAnsi="Palatino Linotype" w:cs="Palatino Linotype"/>
                <w:b/>
              </w:rPr>
            </w:pPr>
            <w:r w:rsidRPr="00457F86">
              <w:rPr>
                <w:rFonts w:ascii="Palatino Linotype" w:eastAsia="Palatino Linotype" w:hAnsi="Palatino Linotype" w:cs="Palatino Linotype"/>
                <w:b/>
              </w:rPr>
              <w:t>Comisionada Guadalupe Ramírez Peña</w:t>
            </w:r>
          </w:p>
        </w:tc>
      </w:tr>
      <w:tr w:rsidR="00C51FAD" w:rsidRPr="00457F86" w14:paraId="5C57FEEB" w14:textId="77777777">
        <w:tc>
          <w:tcPr>
            <w:tcW w:w="4460" w:type="dxa"/>
          </w:tcPr>
          <w:p w14:paraId="400B3F40" w14:textId="77777777" w:rsidR="003E0B3C" w:rsidRPr="00457F86" w:rsidRDefault="00C51FAD">
            <w:pPr>
              <w:spacing w:line="276" w:lineRule="auto"/>
              <w:jc w:val="center"/>
              <w:rPr>
                <w:rFonts w:ascii="Palatino Linotype" w:eastAsia="Palatino Linotype" w:hAnsi="Palatino Linotype" w:cs="Palatino Linotype"/>
                <w:b/>
              </w:rPr>
            </w:pPr>
            <w:r w:rsidRPr="00457F86">
              <w:rPr>
                <w:rFonts w:ascii="Palatino Linotype" w:eastAsia="Palatino Linotype" w:hAnsi="Palatino Linotype" w:cs="Palatino Linotype"/>
                <w:b/>
              </w:rPr>
              <w:t>06646/INFOEM/IP/RR/2025</w:t>
            </w:r>
          </w:p>
        </w:tc>
        <w:tc>
          <w:tcPr>
            <w:tcW w:w="4461" w:type="dxa"/>
          </w:tcPr>
          <w:p w14:paraId="0A8646D5" w14:textId="77777777" w:rsidR="003E0B3C" w:rsidRPr="00457F86" w:rsidRDefault="00C51FAD">
            <w:pPr>
              <w:jc w:val="center"/>
              <w:rPr>
                <w:rFonts w:ascii="Palatino Linotype" w:eastAsia="Palatino Linotype" w:hAnsi="Palatino Linotype" w:cs="Palatino Linotype"/>
                <w:b/>
              </w:rPr>
            </w:pPr>
            <w:r w:rsidRPr="00457F86">
              <w:rPr>
                <w:rFonts w:ascii="Palatino Linotype" w:eastAsia="Palatino Linotype" w:hAnsi="Palatino Linotype" w:cs="Palatino Linotype"/>
                <w:b/>
              </w:rPr>
              <w:t xml:space="preserve">Comisionado Luis Gustavo Parra Noriega </w:t>
            </w:r>
          </w:p>
        </w:tc>
      </w:tr>
    </w:tbl>
    <w:p w14:paraId="36DB5749" w14:textId="77777777" w:rsidR="003E0B3C" w:rsidRPr="00457F86" w:rsidRDefault="003E0B3C">
      <w:pPr>
        <w:spacing w:line="360" w:lineRule="auto"/>
        <w:jc w:val="both"/>
        <w:rPr>
          <w:rFonts w:ascii="Palatino Linotype" w:eastAsia="Palatino Linotype" w:hAnsi="Palatino Linotype" w:cs="Palatino Linotype"/>
          <w:b/>
          <w:sz w:val="22"/>
          <w:szCs w:val="22"/>
        </w:rPr>
      </w:pPr>
      <w:bookmarkStart w:id="4" w:name="_heading=h.2et92p0" w:colFirst="0" w:colLast="0"/>
      <w:bookmarkEnd w:id="4"/>
    </w:p>
    <w:p w14:paraId="17B0642A" w14:textId="77777777" w:rsidR="003E0B3C" w:rsidRPr="00457F86" w:rsidRDefault="00C51FAD">
      <w:pPr>
        <w:spacing w:line="360" w:lineRule="auto"/>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b/>
          <w:sz w:val="22"/>
          <w:szCs w:val="22"/>
        </w:rPr>
        <w:t xml:space="preserve">5. Admisiones. </w:t>
      </w:r>
      <w:r w:rsidRPr="00457F86">
        <w:rPr>
          <w:rFonts w:ascii="Palatino Linotype" w:eastAsia="Palatino Linotype" w:hAnsi="Palatino Linotype" w:cs="Palatino Linotype"/>
          <w:sz w:val="22"/>
          <w:szCs w:val="22"/>
        </w:rPr>
        <w:t xml:space="preserve">El día </w:t>
      </w:r>
      <w:r w:rsidRPr="00457F86">
        <w:rPr>
          <w:rFonts w:ascii="Palatino Linotype" w:eastAsia="Palatino Linotype" w:hAnsi="Palatino Linotype" w:cs="Palatino Linotype"/>
          <w:b/>
          <w:sz w:val="22"/>
          <w:szCs w:val="22"/>
        </w:rPr>
        <w:t>once de junio de dos mil veinticinco,</w:t>
      </w:r>
      <w:r w:rsidRPr="00457F86">
        <w:rPr>
          <w:rFonts w:ascii="Palatino Linotype" w:eastAsia="Palatino Linotype" w:hAnsi="Palatino Linotype" w:cs="Palatino Linotype"/>
          <w:sz w:val="22"/>
          <w:szCs w:val="22"/>
        </w:rPr>
        <w:t xml:space="preserve"> en términos de lo dispuesto en el artículo 185 fracciones I, II y IV de la Ley de Transparencia y Acceso a la Información Pública del Estado de México y Municipios, se admitieron a trámite los recursos de revisión.</w:t>
      </w:r>
    </w:p>
    <w:p w14:paraId="64FF4E29" w14:textId="77777777" w:rsidR="003E0B3C" w:rsidRPr="00457F86" w:rsidRDefault="003E0B3C">
      <w:pPr>
        <w:spacing w:line="360" w:lineRule="auto"/>
        <w:jc w:val="both"/>
        <w:rPr>
          <w:rFonts w:ascii="Palatino Linotype" w:eastAsia="Palatino Linotype" w:hAnsi="Palatino Linotype" w:cs="Palatino Linotype"/>
          <w:b/>
          <w:sz w:val="22"/>
          <w:szCs w:val="22"/>
        </w:rPr>
      </w:pPr>
    </w:p>
    <w:p w14:paraId="31666FDC"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b/>
          <w:sz w:val="22"/>
          <w:szCs w:val="22"/>
        </w:rPr>
        <w:t xml:space="preserve">6. Acumulación. </w:t>
      </w:r>
      <w:r w:rsidRPr="00457F86">
        <w:rPr>
          <w:rFonts w:ascii="Palatino Linotype" w:eastAsia="Palatino Linotype" w:hAnsi="Palatino Linotype" w:cs="Palatino Linotype"/>
          <w:sz w:val="22"/>
          <w:szCs w:val="22"/>
        </w:rPr>
        <w:t xml:space="preserve">El </w:t>
      </w:r>
      <w:r w:rsidRPr="00457F86">
        <w:rPr>
          <w:rFonts w:ascii="Palatino Linotype" w:eastAsia="Palatino Linotype" w:hAnsi="Palatino Linotype" w:cs="Palatino Linotype"/>
          <w:b/>
          <w:sz w:val="22"/>
          <w:szCs w:val="22"/>
        </w:rPr>
        <w:t>dieciocho de junio de dos mil veinticinco</w:t>
      </w:r>
      <w:r w:rsidRPr="00457F86">
        <w:rPr>
          <w:rFonts w:ascii="Palatino Linotype" w:eastAsia="Palatino Linotype" w:hAnsi="Palatino Linotype" w:cs="Palatino Linotype"/>
          <w:sz w:val="22"/>
          <w:szCs w:val="22"/>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sidRPr="00457F86">
        <w:rPr>
          <w:rFonts w:ascii="Palatino Linotype" w:eastAsia="Palatino Linotype" w:hAnsi="Palatino Linotype" w:cs="Palatino Linotype"/>
          <w:b/>
          <w:sz w:val="22"/>
          <w:szCs w:val="22"/>
        </w:rPr>
        <w:t>Comisionada</w:t>
      </w:r>
      <w:r w:rsidRPr="00457F86">
        <w:rPr>
          <w:rFonts w:ascii="Palatino Linotype" w:eastAsia="Palatino Linotype" w:hAnsi="Palatino Linotype" w:cs="Palatino Linotype"/>
          <w:sz w:val="22"/>
          <w:szCs w:val="22"/>
        </w:rPr>
        <w:t xml:space="preserve"> </w:t>
      </w:r>
      <w:r w:rsidRPr="00457F86">
        <w:rPr>
          <w:rFonts w:ascii="Palatino Linotype" w:eastAsia="Palatino Linotype" w:hAnsi="Palatino Linotype" w:cs="Palatino Linotype"/>
          <w:b/>
          <w:sz w:val="22"/>
          <w:szCs w:val="22"/>
        </w:rPr>
        <w:t>Guadalupe Ramírez Peña</w:t>
      </w:r>
      <w:r w:rsidRPr="00457F86">
        <w:rPr>
          <w:rFonts w:ascii="Palatino Linotype" w:eastAsia="Palatino Linotype" w:hAnsi="Palatino Linotype" w:cs="Palatino Linotype"/>
          <w:sz w:val="22"/>
          <w:szCs w:val="22"/>
        </w:rPr>
        <w:t xml:space="preserve">; que mediante acuerdo se notificó a las partes vía SAIMEX el </w:t>
      </w:r>
      <w:r w:rsidRPr="00457F86">
        <w:rPr>
          <w:rFonts w:ascii="Palatino Linotype" w:eastAsia="Palatino Linotype" w:hAnsi="Palatino Linotype" w:cs="Palatino Linotype"/>
          <w:b/>
          <w:sz w:val="22"/>
          <w:szCs w:val="22"/>
        </w:rPr>
        <w:t>veinte de junio de dos mil veinticinco</w:t>
      </w:r>
      <w:r w:rsidRPr="00457F86">
        <w:rPr>
          <w:rFonts w:ascii="Palatino Linotype" w:eastAsia="Palatino Linotype" w:hAnsi="Palatino Linotype" w:cs="Palatino Linotype"/>
          <w:sz w:val="22"/>
          <w:szCs w:val="22"/>
        </w:rPr>
        <w:t xml:space="preserve">. </w:t>
      </w:r>
    </w:p>
    <w:p w14:paraId="41DE1327"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7F919CE6"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b/>
          <w:sz w:val="22"/>
          <w:szCs w:val="22"/>
        </w:rPr>
        <w:t xml:space="preserve">7. Manifestaciones. </w:t>
      </w:r>
      <w:r w:rsidRPr="00457F86">
        <w:rPr>
          <w:rFonts w:ascii="Palatino Linotype" w:eastAsia="Palatino Linotype" w:hAnsi="Palatino Linotype" w:cs="Palatino Linotype"/>
          <w:sz w:val="22"/>
          <w:szCs w:val="22"/>
        </w:rPr>
        <w:t xml:space="preserve">De las constancias que obran en los expedientes electrónicos del </w:t>
      </w:r>
      <w:r w:rsidRPr="00457F86">
        <w:rPr>
          <w:rFonts w:ascii="Palatino Linotype" w:eastAsia="Palatino Linotype" w:hAnsi="Palatino Linotype" w:cs="Palatino Linotype"/>
          <w:b/>
          <w:sz w:val="22"/>
          <w:szCs w:val="22"/>
        </w:rPr>
        <w:t>SAIMEX</w:t>
      </w:r>
      <w:r w:rsidRPr="00457F86">
        <w:rPr>
          <w:rFonts w:ascii="Palatino Linotype" w:eastAsia="Palatino Linotype" w:hAnsi="Palatino Linotype" w:cs="Palatino Linotype"/>
          <w:sz w:val="22"/>
          <w:szCs w:val="22"/>
        </w:rPr>
        <w:t xml:space="preserve"> se desprende que el </w:t>
      </w:r>
      <w:r w:rsidRPr="00457F86">
        <w:rPr>
          <w:rFonts w:ascii="Palatino Linotype" w:eastAsia="Palatino Linotype" w:hAnsi="Palatino Linotype" w:cs="Palatino Linotype"/>
          <w:b/>
          <w:sz w:val="22"/>
          <w:szCs w:val="22"/>
        </w:rPr>
        <w:t>Sujeto Obligado</w:t>
      </w:r>
      <w:r w:rsidRPr="00457F86">
        <w:rPr>
          <w:rFonts w:ascii="Palatino Linotype" w:eastAsia="Palatino Linotype" w:hAnsi="Palatino Linotype" w:cs="Palatino Linotype"/>
          <w:sz w:val="22"/>
          <w:szCs w:val="22"/>
        </w:rPr>
        <w:t xml:space="preserve"> en fecha doce de junio de dos mil veinticinco, rindió su informe justificado, a través de los archivos electrónicos denominados </w:t>
      </w:r>
      <w:r w:rsidRPr="00457F86">
        <w:rPr>
          <w:rFonts w:ascii="Palatino Linotype" w:eastAsia="Palatino Linotype" w:hAnsi="Palatino Linotype" w:cs="Palatino Linotype"/>
          <w:b/>
          <w:i/>
          <w:sz w:val="22"/>
          <w:szCs w:val="22"/>
        </w:rPr>
        <w:t>“00015.pdf”</w:t>
      </w:r>
      <w:r w:rsidRPr="00457F86">
        <w:rPr>
          <w:rFonts w:ascii="Palatino Linotype" w:eastAsia="Palatino Linotype" w:hAnsi="Palatino Linotype" w:cs="Palatino Linotype"/>
          <w:sz w:val="22"/>
          <w:szCs w:val="22"/>
        </w:rPr>
        <w:t xml:space="preserve"> y “</w:t>
      </w:r>
      <w:r w:rsidRPr="00457F86">
        <w:rPr>
          <w:rFonts w:ascii="Palatino Linotype" w:eastAsia="Palatino Linotype" w:hAnsi="Palatino Linotype" w:cs="Palatino Linotype"/>
          <w:b/>
          <w:i/>
          <w:sz w:val="22"/>
          <w:szCs w:val="22"/>
        </w:rPr>
        <w:t>00014.pdf</w:t>
      </w:r>
      <w:r w:rsidRPr="00457F86">
        <w:rPr>
          <w:rFonts w:ascii="Palatino Linotype" w:eastAsia="Palatino Linotype" w:hAnsi="Palatino Linotype" w:cs="Palatino Linotype"/>
          <w:sz w:val="22"/>
          <w:szCs w:val="22"/>
        </w:rPr>
        <w:t xml:space="preserve">”, mismos que fueron hechos del conocimiento del ahora </w:t>
      </w:r>
      <w:r w:rsidRPr="00457F86">
        <w:rPr>
          <w:rFonts w:ascii="Palatino Linotype" w:eastAsia="Palatino Linotype" w:hAnsi="Palatino Linotype" w:cs="Palatino Linotype"/>
          <w:b/>
          <w:sz w:val="22"/>
          <w:szCs w:val="22"/>
        </w:rPr>
        <w:t>Recurrente</w:t>
      </w:r>
      <w:r w:rsidRPr="00457F86">
        <w:rPr>
          <w:rFonts w:ascii="Palatino Linotype" w:eastAsia="Palatino Linotype" w:hAnsi="Palatino Linotype" w:cs="Palatino Linotype"/>
          <w:sz w:val="22"/>
          <w:szCs w:val="22"/>
        </w:rPr>
        <w:t xml:space="preserve"> en fecha </w:t>
      </w:r>
      <w:r w:rsidRPr="00457F86">
        <w:rPr>
          <w:rFonts w:ascii="Palatino Linotype" w:eastAsia="Palatino Linotype" w:hAnsi="Palatino Linotype" w:cs="Palatino Linotype"/>
          <w:b/>
          <w:sz w:val="22"/>
          <w:szCs w:val="22"/>
        </w:rPr>
        <w:t>veinticinco de agosto de dos mil veinticinco</w:t>
      </w:r>
      <w:r w:rsidRPr="00457F86">
        <w:rPr>
          <w:rFonts w:ascii="Palatino Linotype" w:eastAsia="Palatino Linotype" w:hAnsi="Palatino Linotype" w:cs="Palatino Linotype"/>
          <w:sz w:val="22"/>
          <w:szCs w:val="22"/>
        </w:rPr>
        <w:t>, mediante los cuales medularmente ratificó su respuesta, al hacer entrega de los mismos documentos que remitió en respuesta,</w:t>
      </w:r>
    </w:p>
    <w:p w14:paraId="103D2CAD"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15E7ABE9"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xml:space="preserve">De las constancias que obran en el expediente electrónico del SAIMEX se desprende que la parte </w:t>
      </w:r>
      <w:r w:rsidRPr="00457F86">
        <w:rPr>
          <w:rFonts w:ascii="Palatino Linotype" w:eastAsia="Palatino Linotype" w:hAnsi="Palatino Linotype" w:cs="Palatino Linotype"/>
          <w:b/>
          <w:sz w:val="22"/>
          <w:szCs w:val="22"/>
        </w:rPr>
        <w:t>Recurrente</w:t>
      </w:r>
      <w:r w:rsidRPr="00457F86">
        <w:rPr>
          <w:rFonts w:ascii="Palatino Linotype" w:eastAsia="Palatino Linotype" w:hAnsi="Palatino Linotype" w:cs="Palatino Linotype"/>
          <w:sz w:val="22"/>
          <w:szCs w:val="22"/>
        </w:rPr>
        <w:t xml:space="preserve"> fue omisa en presentar sus alegatos o manifestación alguna.</w:t>
      </w:r>
    </w:p>
    <w:p w14:paraId="73BAD2EC"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613A9A4C" w14:textId="77777777" w:rsidR="003E0B3C" w:rsidRPr="00457F86" w:rsidRDefault="00C51FAD">
      <w:pPr>
        <w:spacing w:line="360" w:lineRule="auto"/>
        <w:jc w:val="both"/>
        <w:rPr>
          <w:rFonts w:ascii="Palatino Linotype" w:eastAsia="Palatino Linotype" w:hAnsi="Palatino Linotype" w:cs="Palatino Linotype"/>
          <w:b/>
          <w:sz w:val="22"/>
          <w:szCs w:val="22"/>
        </w:rPr>
      </w:pPr>
      <w:r w:rsidRPr="00457F86">
        <w:rPr>
          <w:rFonts w:ascii="Palatino Linotype" w:eastAsia="Palatino Linotype" w:hAnsi="Palatino Linotype" w:cs="Palatino Linotype"/>
          <w:b/>
          <w:sz w:val="22"/>
          <w:szCs w:val="22"/>
        </w:rPr>
        <w:lastRenderedPageBreak/>
        <w:t>8. Ampliaciones del plazo para emitir resolución.</w:t>
      </w:r>
      <w:r w:rsidRPr="00457F86">
        <w:rPr>
          <w:rFonts w:ascii="Palatino Linotype" w:eastAsia="Palatino Linotype" w:hAnsi="Palatino Linotype" w:cs="Palatino Linotype"/>
          <w:sz w:val="22"/>
          <w:szCs w:val="22"/>
        </w:rPr>
        <w:t xml:space="preserve"> El </w:t>
      </w:r>
      <w:r w:rsidRPr="00457F86">
        <w:rPr>
          <w:rFonts w:ascii="Palatino Linotype" w:eastAsia="Palatino Linotype" w:hAnsi="Palatino Linotype" w:cs="Palatino Linotype"/>
          <w:b/>
          <w:sz w:val="22"/>
          <w:szCs w:val="22"/>
        </w:rPr>
        <w:t>veintiséis de agosto de dos mil veinticinco</w:t>
      </w:r>
      <w:r w:rsidRPr="00457F86">
        <w:rPr>
          <w:rFonts w:ascii="Palatino Linotype" w:eastAsia="Palatino Linotype" w:hAnsi="Palatino Linotype" w:cs="Palatino Linotype"/>
          <w:sz w:val="22"/>
          <w:szCs w:val="22"/>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203E4B79" w14:textId="77777777" w:rsidR="003E0B3C" w:rsidRPr="00457F86" w:rsidRDefault="003E0B3C">
      <w:pPr>
        <w:spacing w:line="360" w:lineRule="auto"/>
        <w:jc w:val="both"/>
        <w:rPr>
          <w:rFonts w:ascii="Palatino Linotype" w:eastAsia="Palatino Linotype" w:hAnsi="Palatino Linotype" w:cs="Palatino Linotype"/>
          <w:b/>
          <w:sz w:val="22"/>
          <w:szCs w:val="22"/>
        </w:rPr>
      </w:pPr>
    </w:p>
    <w:p w14:paraId="10E23016"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05B6846"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5DBC2CAE"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70AF497"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1A56157B"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382D43D"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7D153014"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w:t>
      </w:r>
      <w:r w:rsidRPr="00457F86">
        <w:rPr>
          <w:rFonts w:ascii="Palatino Linotype" w:eastAsia="Palatino Linotype" w:hAnsi="Palatino Linotype" w:cs="Palatino Linotype"/>
          <w:sz w:val="22"/>
          <w:szCs w:val="22"/>
        </w:rPr>
        <w:lastRenderedPageBreak/>
        <w:t>jurisdiccionales o cuasi jurisdiccionales, tanto por la complejidad de los hechos, como por el número de casos que conocen. </w:t>
      </w:r>
    </w:p>
    <w:p w14:paraId="30E25C4A"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76FB4172"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Por ello, excepcionalmente, si un asunto es resuelto con posterioridad a los plazos señalados por la norma debe analizarse la razonabilidad del tiempo necesario para su resolución, atentos a los siguientes criterios: </w:t>
      </w:r>
    </w:p>
    <w:p w14:paraId="200AA5F5"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538D5F13" w14:textId="77777777" w:rsidR="003E0B3C" w:rsidRPr="00457F86" w:rsidRDefault="00C51FAD">
      <w:pPr>
        <w:numPr>
          <w:ilvl w:val="0"/>
          <w:numId w:val="9"/>
        </w:numPr>
        <w:pBdr>
          <w:top w:val="nil"/>
          <w:left w:val="nil"/>
          <w:bottom w:val="nil"/>
          <w:right w:val="nil"/>
          <w:between w:val="nil"/>
        </w:pBdr>
        <w:spacing w:line="360" w:lineRule="auto"/>
        <w:ind w:left="426" w:right="900"/>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b/>
          <w:sz w:val="22"/>
          <w:szCs w:val="22"/>
        </w:rPr>
        <w:t>Complejidad del Asunto:</w:t>
      </w:r>
      <w:r w:rsidRPr="00457F86">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71854925" w14:textId="77777777" w:rsidR="003E0B3C" w:rsidRPr="00457F86" w:rsidRDefault="00C51FAD">
      <w:pPr>
        <w:numPr>
          <w:ilvl w:val="0"/>
          <w:numId w:val="9"/>
        </w:numPr>
        <w:spacing w:line="360" w:lineRule="auto"/>
        <w:ind w:left="567" w:right="1183" w:hanging="283"/>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b/>
          <w:sz w:val="22"/>
          <w:szCs w:val="22"/>
        </w:rPr>
        <w:t>Actividad Procesal del interesado.</w:t>
      </w:r>
      <w:r w:rsidRPr="00457F86">
        <w:rPr>
          <w:rFonts w:ascii="Palatino Linotype" w:eastAsia="Palatino Linotype" w:hAnsi="Palatino Linotype" w:cs="Palatino Linotype"/>
          <w:sz w:val="22"/>
          <w:szCs w:val="22"/>
        </w:rPr>
        <w:t xml:space="preserve"> Acciones u omisiones del interesado.</w:t>
      </w:r>
    </w:p>
    <w:p w14:paraId="21540A34" w14:textId="77777777" w:rsidR="003E0B3C" w:rsidRPr="00457F86" w:rsidRDefault="00C51FAD">
      <w:pPr>
        <w:numPr>
          <w:ilvl w:val="0"/>
          <w:numId w:val="9"/>
        </w:numPr>
        <w:spacing w:line="360" w:lineRule="auto"/>
        <w:ind w:left="567" w:right="1183" w:hanging="283"/>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b/>
          <w:sz w:val="22"/>
          <w:szCs w:val="22"/>
        </w:rPr>
        <w:t>Conducta de la Autoridad:</w:t>
      </w:r>
      <w:r w:rsidRPr="00457F86">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301826D0" w14:textId="77777777" w:rsidR="003E0B3C" w:rsidRPr="00457F86" w:rsidRDefault="00C51FAD">
      <w:pPr>
        <w:numPr>
          <w:ilvl w:val="0"/>
          <w:numId w:val="9"/>
        </w:numPr>
        <w:spacing w:line="360" w:lineRule="auto"/>
        <w:ind w:left="567" w:right="1183" w:hanging="283"/>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b/>
          <w:sz w:val="22"/>
          <w:szCs w:val="22"/>
        </w:rPr>
        <w:t>La afectación generada en la situación jurídica de la persona involucrada en el proceso:</w:t>
      </w:r>
      <w:r w:rsidRPr="00457F86">
        <w:rPr>
          <w:rFonts w:ascii="Palatino Linotype" w:eastAsia="Palatino Linotype" w:hAnsi="Palatino Linotype" w:cs="Palatino Linotype"/>
          <w:sz w:val="22"/>
          <w:szCs w:val="22"/>
        </w:rPr>
        <w:t xml:space="preserve"> Violación a sus derechos humanos.</w:t>
      </w:r>
    </w:p>
    <w:p w14:paraId="2995BCB3"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7074EF46"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10C3EE0"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5DD4E752"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457F86">
        <w:rPr>
          <w:rFonts w:ascii="Palatino Linotype" w:eastAsia="Palatino Linotype" w:hAnsi="Palatino Linotype" w:cs="Palatino Linotype"/>
          <w:i/>
          <w:sz w:val="22"/>
          <w:szCs w:val="22"/>
        </w:rPr>
        <w:t xml:space="preserve">“TÉRMINOS PROCESALES. PARA </w:t>
      </w:r>
      <w:r w:rsidRPr="00457F86">
        <w:rPr>
          <w:rFonts w:ascii="Palatino Linotype" w:eastAsia="Palatino Linotype" w:hAnsi="Palatino Linotype" w:cs="Palatino Linotype"/>
          <w:i/>
          <w:sz w:val="22"/>
          <w:szCs w:val="22"/>
        </w:rPr>
        <w:lastRenderedPageBreak/>
        <w:t>DETERMINAR SI UN FUNCIONARIO JUDICIAL ACTUÓ INDEBIDAMENTE POR NO RESPETARLOS SE DEBE ATENDER AL PRESUPUESTO QUE CONSIDERÓ EL LEGISLADOR AL FIJARLOS Y LAS CARACTERÍSTICAS DEL CASO.”</w:t>
      </w:r>
      <w:r w:rsidRPr="00457F86">
        <w:rPr>
          <w:rFonts w:ascii="Palatino Linotype" w:eastAsia="Palatino Linotype" w:hAnsi="Palatino Linotype" w:cs="Palatino Linotype"/>
          <w:sz w:val="22"/>
          <w:szCs w:val="22"/>
        </w:rPr>
        <w:t>, visible en la Gaceta del Seminario Judicial de la Federación con el registro digital 205635.</w:t>
      </w:r>
    </w:p>
    <w:p w14:paraId="4BBB2DB9"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66D5F27D"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8C48EE9"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67AB50E4"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324B2946"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087B323B"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w:t>
      </w:r>
      <w:r w:rsidRPr="00457F86">
        <w:rPr>
          <w:rFonts w:ascii="Palatino Linotype" w:eastAsia="Palatino Linotype" w:hAnsi="Palatino Linotype" w:cs="Palatino Linotype"/>
          <w:i/>
          <w:sz w:val="22"/>
          <w:szCs w:val="22"/>
        </w:rPr>
        <w:t>“PLAZO RAZONABLE PARA RESOLVER. DIMENSIÓN Y EFECTOS DE ESTE CONCEPTO CUANDO SE ADUCE EXCESIVA CARGA DE TRABAJO.”</w:t>
      </w:r>
      <w:r w:rsidRPr="00457F86">
        <w:rPr>
          <w:rFonts w:ascii="Palatino Linotype" w:eastAsia="Palatino Linotype" w:hAnsi="Palatino Linotype" w:cs="Palatino Linotype"/>
          <w:sz w:val="22"/>
          <w:szCs w:val="22"/>
        </w:rPr>
        <w:t xml:space="preserve"> consultable en el Seminario Judicial de la Federación y su gaceta, con el registro digital 2002351.</w:t>
      </w:r>
    </w:p>
    <w:p w14:paraId="7942C611"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i/>
          <w:sz w:val="22"/>
          <w:szCs w:val="22"/>
        </w:rPr>
        <w:t xml:space="preserve">“PLAZO RAZONABLE PARA RESOLVER. CONCEPTO Y ELEMENTOS QUE LO INTEGRAN A LA LUZ DEL DERECHO INTERNACIONAL DE LOS DERECHOS </w:t>
      </w:r>
      <w:r w:rsidRPr="00457F86">
        <w:rPr>
          <w:rFonts w:ascii="Palatino Linotype" w:eastAsia="Palatino Linotype" w:hAnsi="Palatino Linotype" w:cs="Palatino Linotype"/>
          <w:i/>
          <w:sz w:val="22"/>
          <w:szCs w:val="22"/>
        </w:rPr>
        <w:lastRenderedPageBreak/>
        <w:t>HUMANOS.”</w:t>
      </w:r>
      <w:r w:rsidRPr="00457F86">
        <w:rPr>
          <w:rFonts w:ascii="Palatino Linotype" w:eastAsia="Palatino Linotype" w:hAnsi="Palatino Linotype" w:cs="Palatino Linotype"/>
          <w:sz w:val="22"/>
          <w:szCs w:val="22"/>
        </w:rPr>
        <w:t>, visible en el Seminario Judicial de la Federación y su gaceta, con el registro digital 2002350.</w:t>
      </w:r>
    </w:p>
    <w:p w14:paraId="11B562B4"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769855D9"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xml:space="preserve">Por ello, este organismo garante comprometido con la tutela de los derechos humanos </w:t>
      </w:r>
      <w:proofErr w:type="gramStart"/>
      <w:r w:rsidRPr="00457F86">
        <w:rPr>
          <w:rFonts w:ascii="Palatino Linotype" w:eastAsia="Palatino Linotype" w:hAnsi="Palatino Linotype" w:cs="Palatino Linotype"/>
          <w:sz w:val="22"/>
          <w:szCs w:val="22"/>
        </w:rPr>
        <w:t>confiados,</w:t>
      </w:r>
      <w:proofErr w:type="gramEnd"/>
      <w:r w:rsidRPr="00457F86">
        <w:rPr>
          <w:rFonts w:ascii="Palatino Linotype" w:eastAsia="Palatino Linotype" w:hAnsi="Palatino Linotype" w:cs="Palatino Linotype"/>
          <w:sz w:val="22"/>
          <w:szCs w:val="22"/>
        </w:rPr>
        <w:t xml:space="preserve"> señala que este exceso del plazo legal para resolver el presente </w:t>
      </w:r>
      <w:proofErr w:type="gramStart"/>
      <w:r w:rsidRPr="00457F86">
        <w:rPr>
          <w:rFonts w:ascii="Palatino Linotype" w:eastAsia="Palatino Linotype" w:hAnsi="Palatino Linotype" w:cs="Palatino Linotype"/>
          <w:sz w:val="22"/>
          <w:szCs w:val="22"/>
        </w:rPr>
        <w:t>asunto,</w:t>
      </w:r>
      <w:proofErr w:type="gramEnd"/>
      <w:r w:rsidRPr="00457F86">
        <w:rPr>
          <w:rFonts w:ascii="Palatino Linotype" w:eastAsia="Palatino Linotype" w:hAnsi="Palatino Linotype" w:cs="Palatino Linotype"/>
          <w:sz w:val="22"/>
          <w:szCs w:val="22"/>
        </w:rPr>
        <w:t xml:space="preserve"> resulta de carácter excepcional.</w:t>
      </w:r>
    </w:p>
    <w:p w14:paraId="4D226A74"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3C5AD176"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b/>
          <w:sz w:val="22"/>
          <w:szCs w:val="22"/>
        </w:rPr>
        <w:t xml:space="preserve">9. Cierres de instrucción. </w:t>
      </w:r>
      <w:r w:rsidRPr="00457F86">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 los expedientes, los días </w:t>
      </w:r>
      <w:r w:rsidRPr="00457F86">
        <w:rPr>
          <w:rFonts w:ascii="Palatino Linotype" w:eastAsia="Palatino Linotype" w:hAnsi="Palatino Linotype" w:cs="Palatino Linotype"/>
          <w:b/>
          <w:sz w:val="22"/>
          <w:szCs w:val="22"/>
        </w:rPr>
        <w:t>primero de septiembre de dos mil veinticinco</w:t>
      </w:r>
      <w:r w:rsidRPr="00457F86">
        <w:rPr>
          <w:rFonts w:ascii="Palatino Linotype" w:eastAsia="Palatino Linotype" w:hAnsi="Palatino Linotype" w:cs="Palatino Linotype"/>
          <w:sz w:val="22"/>
          <w:szCs w:val="22"/>
        </w:rPr>
        <w:t>, la Comisionada Ponente determinó los cierres de instrucción en términos de la fracción VI del artículo 185 de la Ley de Transparencia y Acceso a la Información Pública del Estado de México y Municipios.</w:t>
      </w:r>
    </w:p>
    <w:p w14:paraId="0322763C" w14:textId="77777777" w:rsidR="003E0B3C" w:rsidRPr="00457F86" w:rsidRDefault="003E0B3C">
      <w:pPr>
        <w:spacing w:line="360" w:lineRule="auto"/>
        <w:jc w:val="both"/>
        <w:rPr>
          <w:rFonts w:ascii="Palatino Linotype" w:eastAsia="Palatino Linotype" w:hAnsi="Palatino Linotype" w:cs="Palatino Linotype"/>
          <w:b/>
          <w:sz w:val="22"/>
          <w:szCs w:val="22"/>
        </w:rPr>
      </w:pPr>
    </w:p>
    <w:p w14:paraId="5C1E9185" w14:textId="77777777" w:rsidR="003E0B3C" w:rsidRPr="00457F86" w:rsidRDefault="00C51FAD">
      <w:pPr>
        <w:spacing w:line="360" w:lineRule="auto"/>
        <w:jc w:val="both"/>
        <w:rPr>
          <w:rFonts w:ascii="Palatino Linotype" w:eastAsia="Palatino Linotype" w:hAnsi="Palatino Linotype" w:cs="Palatino Linotype"/>
          <w:sz w:val="22"/>
          <w:szCs w:val="22"/>
        </w:rPr>
      </w:pPr>
      <w:proofErr w:type="gramStart"/>
      <w:r w:rsidRPr="00457F86">
        <w:rPr>
          <w:rFonts w:ascii="Palatino Linotype" w:eastAsia="Palatino Linotype" w:hAnsi="Palatino Linotype" w:cs="Palatino Linotype"/>
          <w:sz w:val="22"/>
          <w:szCs w:val="22"/>
        </w:rPr>
        <w:t>En razón de</w:t>
      </w:r>
      <w:proofErr w:type="gramEnd"/>
      <w:r w:rsidRPr="00457F86">
        <w:rPr>
          <w:rFonts w:ascii="Palatino Linotype" w:eastAsia="Palatino Linotype" w:hAnsi="Palatino Linotype" w:cs="Palatino Linotype"/>
          <w:sz w:val="22"/>
          <w:szCs w:val="22"/>
        </w:rPr>
        <w:t xml:space="preserve"> que fueron debidamente sustanciados los expedientes electrónicos y no existen diligencias pendientes de desahogo, se emite la Resolución que conforme a Derecho proceda, de acuerdo con los siguientes: </w:t>
      </w:r>
    </w:p>
    <w:p w14:paraId="1BC17E3A"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6914388E" w14:textId="77777777" w:rsidR="003E0B3C" w:rsidRPr="00457F86" w:rsidRDefault="00C51FAD">
      <w:pPr>
        <w:widowControl w:val="0"/>
        <w:spacing w:line="360" w:lineRule="auto"/>
        <w:jc w:val="center"/>
        <w:rPr>
          <w:rFonts w:ascii="Palatino Linotype" w:eastAsia="Palatino Linotype" w:hAnsi="Palatino Linotype" w:cs="Palatino Linotype"/>
          <w:b/>
          <w:sz w:val="22"/>
          <w:szCs w:val="22"/>
        </w:rPr>
      </w:pPr>
      <w:r w:rsidRPr="00457F86">
        <w:rPr>
          <w:rFonts w:ascii="Palatino Linotype" w:eastAsia="Palatino Linotype" w:hAnsi="Palatino Linotype" w:cs="Palatino Linotype"/>
          <w:b/>
          <w:sz w:val="22"/>
          <w:szCs w:val="22"/>
        </w:rPr>
        <w:t>II. C O N S I D E R A N D O</w:t>
      </w:r>
    </w:p>
    <w:p w14:paraId="47CA9659" w14:textId="77777777" w:rsidR="003E0B3C" w:rsidRPr="00457F86" w:rsidRDefault="003E0B3C">
      <w:pPr>
        <w:widowControl w:val="0"/>
        <w:spacing w:line="360" w:lineRule="auto"/>
        <w:jc w:val="center"/>
        <w:rPr>
          <w:rFonts w:ascii="Palatino Linotype" w:eastAsia="Palatino Linotype" w:hAnsi="Palatino Linotype" w:cs="Palatino Linotype"/>
          <w:b/>
          <w:sz w:val="22"/>
          <w:szCs w:val="22"/>
        </w:rPr>
      </w:pPr>
    </w:p>
    <w:p w14:paraId="41F6AA5A"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b/>
          <w:sz w:val="22"/>
          <w:szCs w:val="22"/>
        </w:rPr>
        <w:t>Primero. Competencia.</w:t>
      </w:r>
      <w:r w:rsidRPr="00457F86">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los presentes recursos de revisión interpuestos por la parte</w:t>
      </w:r>
      <w:r w:rsidRPr="00457F86">
        <w:rPr>
          <w:rFonts w:ascii="Palatino Linotype" w:eastAsia="Palatino Linotype" w:hAnsi="Palatino Linotype" w:cs="Palatino Linotype"/>
          <w:b/>
          <w:sz w:val="22"/>
          <w:szCs w:val="22"/>
        </w:rPr>
        <w:t xml:space="preserve"> Recurrente</w:t>
      </w:r>
      <w:r w:rsidRPr="00457F86">
        <w:rPr>
          <w:rFonts w:ascii="Palatino Linotype" w:eastAsia="Palatino Linotype" w:hAnsi="Palatino Linotype" w:cs="Palatino Linotype"/>
          <w:sz w:val="22"/>
          <w:szCs w:val="22"/>
        </w:rPr>
        <w:t xml:space="preserve">, conforme a lo dispuesto en los artículos 6, apartado A de la Constitución Política de los Estados Unidos Mexicanos; 5 párrafos trigésimo noveno, cuadragésimo y cuadragésimo </w:t>
      </w:r>
      <w:r w:rsidRPr="00457F86">
        <w:rPr>
          <w:rFonts w:ascii="Palatino Linotype" w:eastAsia="Palatino Linotype" w:hAnsi="Palatino Linotype" w:cs="Palatino Linotype"/>
          <w:sz w:val="22"/>
          <w:szCs w:val="22"/>
        </w:rPr>
        <w:lastRenderedPageBreak/>
        <w:t>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XXIII  y 11 del Reglamento Interior del Instituto de Transparencia, Acceso a la Información Pública y Protección de Datos Personales del Estado de México y Municipios.</w:t>
      </w:r>
    </w:p>
    <w:p w14:paraId="2EF20641"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15E6B100" w14:textId="77777777" w:rsidR="003E0B3C" w:rsidRPr="00457F86" w:rsidRDefault="00C51FAD">
      <w:pPr>
        <w:spacing w:line="360" w:lineRule="auto"/>
        <w:jc w:val="both"/>
        <w:rPr>
          <w:rFonts w:ascii="Palatino Linotype" w:eastAsia="Palatino Linotype" w:hAnsi="Palatino Linotype" w:cs="Palatino Linotype"/>
          <w:sz w:val="22"/>
          <w:szCs w:val="22"/>
        </w:rPr>
      </w:pPr>
      <w:bookmarkStart w:id="5" w:name="_heading=h.30j0zll" w:colFirst="0" w:colLast="0"/>
      <w:bookmarkEnd w:id="5"/>
      <w:r w:rsidRPr="00457F86">
        <w:rPr>
          <w:rFonts w:ascii="Palatino Linotype" w:eastAsia="Palatino Linotype" w:hAnsi="Palatino Linotype" w:cs="Palatino Linotype"/>
          <w:b/>
          <w:sz w:val="22"/>
          <w:szCs w:val="22"/>
        </w:rPr>
        <w:t>Segundo. Oportunidad y Procedibilidad de los Recursos de Revisión</w:t>
      </w:r>
      <w:r w:rsidRPr="00457F86">
        <w:rPr>
          <w:rFonts w:ascii="Palatino Linotype" w:eastAsia="Palatino Linotype" w:hAnsi="Palatino Linotype" w:cs="Palatino Linotype"/>
          <w:sz w:val="22"/>
          <w:szCs w:val="22"/>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4E21081E"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64414CCD"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xml:space="preserve">Los recursos de revisión fueron interpuestos dentro del plazo de quince días hábiles, previsto en el artículo 178 de la Ley de Transparencia y Acceso a la Información Pública del Estado de México y Municipios, toda vez que el </w:t>
      </w:r>
      <w:r w:rsidRPr="00457F86">
        <w:rPr>
          <w:rFonts w:ascii="Palatino Linotype" w:eastAsia="Palatino Linotype" w:hAnsi="Palatino Linotype" w:cs="Palatino Linotype"/>
          <w:b/>
          <w:sz w:val="22"/>
          <w:szCs w:val="22"/>
        </w:rPr>
        <w:t>Sujeto Obligado</w:t>
      </w:r>
      <w:r w:rsidRPr="00457F86">
        <w:rPr>
          <w:rFonts w:ascii="Palatino Linotype" w:eastAsia="Palatino Linotype" w:hAnsi="Palatino Linotype" w:cs="Palatino Linotype"/>
          <w:sz w:val="22"/>
          <w:szCs w:val="22"/>
        </w:rPr>
        <w:t xml:space="preserve"> respondió a las solicitudes de información que </w:t>
      </w:r>
      <w:proofErr w:type="spellStart"/>
      <w:r w:rsidRPr="00457F86">
        <w:rPr>
          <w:rFonts w:ascii="Palatino Linotype" w:eastAsia="Palatino Linotype" w:hAnsi="Palatino Linotype" w:cs="Palatino Linotype"/>
          <w:sz w:val="22"/>
          <w:szCs w:val="22"/>
        </w:rPr>
        <w:t>aperturaron</w:t>
      </w:r>
      <w:proofErr w:type="spellEnd"/>
      <w:r w:rsidRPr="00457F86">
        <w:rPr>
          <w:rFonts w:ascii="Palatino Linotype" w:eastAsia="Palatino Linotype" w:hAnsi="Palatino Linotype" w:cs="Palatino Linotype"/>
          <w:sz w:val="22"/>
          <w:szCs w:val="22"/>
        </w:rPr>
        <w:t xml:space="preserve"> los recursos de revisión, el día </w:t>
      </w:r>
      <w:r w:rsidRPr="00457F86">
        <w:rPr>
          <w:rFonts w:ascii="Palatino Linotype" w:eastAsia="Palatino Linotype" w:hAnsi="Palatino Linotype" w:cs="Palatino Linotype"/>
          <w:b/>
          <w:sz w:val="22"/>
          <w:szCs w:val="22"/>
        </w:rPr>
        <w:t>veintiuno de mayo de dos mil veinticinco</w:t>
      </w:r>
      <w:r w:rsidRPr="00457F86">
        <w:rPr>
          <w:rFonts w:ascii="Palatino Linotype" w:eastAsia="Palatino Linotype" w:hAnsi="Palatino Linotype" w:cs="Palatino Linotype"/>
          <w:sz w:val="22"/>
          <w:szCs w:val="22"/>
        </w:rPr>
        <w:t xml:space="preserve">, por su parte, los recursos de revisión se interpusieron el día </w:t>
      </w:r>
      <w:r w:rsidRPr="00457F86">
        <w:rPr>
          <w:rFonts w:ascii="Palatino Linotype" w:eastAsia="Palatino Linotype" w:hAnsi="Palatino Linotype" w:cs="Palatino Linotype"/>
          <w:b/>
          <w:sz w:val="22"/>
          <w:szCs w:val="22"/>
        </w:rPr>
        <w:t>seis de junio de dos mil veinticinco</w:t>
      </w:r>
      <w:r w:rsidRPr="00457F86">
        <w:rPr>
          <w:rFonts w:ascii="Palatino Linotype" w:eastAsia="Palatino Linotype" w:hAnsi="Palatino Linotype" w:cs="Palatino Linotype"/>
          <w:sz w:val="22"/>
          <w:szCs w:val="22"/>
        </w:rPr>
        <w:t>, esto es en el décimo segundo día hábil después de conocerse las respuestas.</w:t>
      </w:r>
    </w:p>
    <w:p w14:paraId="382C2F83" w14:textId="77777777" w:rsidR="003E0B3C" w:rsidRPr="00457F86" w:rsidRDefault="003E0B3C">
      <w:pPr>
        <w:spacing w:line="360" w:lineRule="auto"/>
        <w:jc w:val="both"/>
        <w:rPr>
          <w:rFonts w:ascii="Palatino Linotype" w:eastAsia="Palatino Linotype" w:hAnsi="Palatino Linotype" w:cs="Palatino Linotype"/>
          <w:b/>
          <w:sz w:val="22"/>
          <w:szCs w:val="22"/>
        </w:rPr>
      </w:pPr>
    </w:p>
    <w:p w14:paraId="122782AB"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xml:space="preserve">En este sentido, al considerar las fechas en que se formularon las solicitudes y las fechas en que respondieron a estas; así como la fecha en que se interpusieron los recursos de revisión, </w:t>
      </w:r>
      <w:r w:rsidRPr="00457F86">
        <w:rPr>
          <w:rFonts w:ascii="Palatino Linotype" w:eastAsia="Palatino Linotype" w:hAnsi="Palatino Linotype" w:cs="Palatino Linotype"/>
          <w:sz w:val="22"/>
          <w:szCs w:val="22"/>
        </w:rPr>
        <w:lastRenderedPageBreak/>
        <w:t>se concluye que los presentes recursos de revisión se encuentran dentro de los márgenes temporales previstos las disposiciones legales referidas.</w:t>
      </w:r>
    </w:p>
    <w:p w14:paraId="10CC97F1"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13EDA669"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1F15C3EB"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2109C393"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xml:space="preserve">Finalmente, se advierte que resulta procedente la interposición de los recursos, según lo manifestado por la parte recurrente en sus motivos de inconformidad, </w:t>
      </w:r>
      <w:proofErr w:type="gramStart"/>
      <w:r w:rsidRPr="00457F86">
        <w:rPr>
          <w:rFonts w:ascii="Palatino Linotype" w:eastAsia="Palatino Linotype" w:hAnsi="Palatino Linotype" w:cs="Palatino Linotype"/>
          <w:sz w:val="22"/>
          <w:szCs w:val="22"/>
        </w:rPr>
        <w:t>de acuerdo al</w:t>
      </w:r>
      <w:proofErr w:type="gramEnd"/>
      <w:r w:rsidRPr="00457F86">
        <w:rPr>
          <w:rFonts w:ascii="Palatino Linotype" w:eastAsia="Palatino Linotype" w:hAnsi="Palatino Linotype" w:cs="Palatino Linotype"/>
          <w:sz w:val="22"/>
          <w:szCs w:val="22"/>
        </w:rPr>
        <w:t xml:space="preserve"> artículo 179, fracciones I y IV del ordenamiento legal citado, que a la letra dice: </w:t>
      </w:r>
    </w:p>
    <w:p w14:paraId="0EA09088" w14:textId="77777777" w:rsidR="003E0B3C" w:rsidRPr="00457F86" w:rsidRDefault="003E0B3C">
      <w:pPr>
        <w:tabs>
          <w:tab w:val="left" w:pos="7088"/>
        </w:tabs>
        <w:spacing w:line="276" w:lineRule="auto"/>
        <w:ind w:left="851" w:right="616"/>
        <w:jc w:val="both"/>
        <w:rPr>
          <w:rFonts w:ascii="Palatino Linotype" w:eastAsia="Palatino Linotype" w:hAnsi="Palatino Linotype" w:cs="Palatino Linotype"/>
          <w:i/>
          <w:sz w:val="22"/>
          <w:szCs w:val="22"/>
        </w:rPr>
      </w:pPr>
    </w:p>
    <w:p w14:paraId="40D578BD" w14:textId="77777777" w:rsidR="003E0B3C" w:rsidRPr="00457F86" w:rsidRDefault="00C51FAD">
      <w:pPr>
        <w:tabs>
          <w:tab w:val="left" w:pos="7088"/>
        </w:tabs>
        <w:spacing w:line="276" w:lineRule="auto"/>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t>“</w:t>
      </w:r>
      <w:r w:rsidRPr="00457F86">
        <w:rPr>
          <w:rFonts w:ascii="Palatino Linotype" w:eastAsia="Palatino Linotype" w:hAnsi="Palatino Linotype" w:cs="Palatino Linotype"/>
          <w:b/>
          <w:i/>
          <w:sz w:val="22"/>
          <w:szCs w:val="22"/>
        </w:rPr>
        <w:t>Artículo 179.</w:t>
      </w:r>
      <w:r w:rsidRPr="00457F86">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885C180" w14:textId="77777777" w:rsidR="003E0B3C" w:rsidRPr="00457F86" w:rsidRDefault="003E0B3C">
      <w:pPr>
        <w:spacing w:line="276" w:lineRule="auto"/>
        <w:ind w:left="851" w:right="616"/>
        <w:jc w:val="both"/>
        <w:rPr>
          <w:rFonts w:ascii="Palatino Linotype" w:eastAsia="Palatino Linotype" w:hAnsi="Palatino Linotype" w:cs="Palatino Linotype"/>
          <w:b/>
          <w:i/>
          <w:sz w:val="22"/>
          <w:szCs w:val="22"/>
        </w:rPr>
      </w:pPr>
    </w:p>
    <w:p w14:paraId="1E5D3959" w14:textId="77777777" w:rsidR="003E0B3C" w:rsidRPr="00457F86" w:rsidRDefault="00C51FAD">
      <w:pPr>
        <w:spacing w:line="276" w:lineRule="auto"/>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t>I. La negativa a la información solicitada;</w:t>
      </w:r>
    </w:p>
    <w:p w14:paraId="796DC9BE" w14:textId="77777777" w:rsidR="003E0B3C" w:rsidRPr="00457F86" w:rsidRDefault="00C51FAD">
      <w:pPr>
        <w:spacing w:line="276" w:lineRule="auto"/>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t>…</w:t>
      </w:r>
    </w:p>
    <w:p w14:paraId="03E189FE" w14:textId="77777777" w:rsidR="003E0B3C" w:rsidRPr="00457F86" w:rsidRDefault="00C51FAD">
      <w:pPr>
        <w:spacing w:line="276" w:lineRule="auto"/>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t>IV. La declaración de incompetencia por el sujeto obligado;</w:t>
      </w:r>
    </w:p>
    <w:p w14:paraId="7E77946F" w14:textId="77777777" w:rsidR="003E0B3C" w:rsidRPr="00457F86" w:rsidRDefault="00C51FAD">
      <w:pPr>
        <w:spacing w:line="276" w:lineRule="auto"/>
        <w:ind w:left="851" w:right="616"/>
        <w:jc w:val="both"/>
        <w:rPr>
          <w:rFonts w:ascii="Palatino Linotype" w:eastAsia="Palatino Linotype" w:hAnsi="Palatino Linotype" w:cs="Palatino Linotype"/>
          <w:b/>
          <w:i/>
          <w:sz w:val="22"/>
          <w:szCs w:val="22"/>
        </w:rPr>
      </w:pPr>
      <w:r w:rsidRPr="00457F86">
        <w:rPr>
          <w:rFonts w:ascii="Palatino Linotype" w:eastAsia="Palatino Linotype" w:hAnsi="Palatino Linotype" w:cs="Palatino Linotype"/>
          <w:i/>
          <w:sz w:val="22"/>
          <w:szCs w:val="22"/>
        </w:rPr>
        <w:t>…”</w:t>
      </w:r>
      <w:r w:rsidRPr="00457F86">
        <w:rPr>
          <w:rFonts w:ascii="Palatino Linotype" w:eastAsia="Palatino Linotype" w:hAnsi="Palatino Linotype" w:cs="Palatino Linotype"/>
          <w:b/>
          <w:i/>
          <w:sz w:val="22"/>
          <w:szCs w:val="22"/>
        </w:rPr>
        <w:t xml:space="preserve"> </w:t>
      </w:r>
    </w:p>
    <w:p w14:paraId="4C866B3F" w14:textId="77777777" w:rsidR="003E0B3C" w:rsidRPr="00457F86" w:rsidRDefault="00C51FAD">
      <w:pPr>
        <w:spacing w:line="276" w:lineRule="auto"/>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t>(Énfasis añadido)</w:t>
      </w:r>
    </w:p>
    <w:p w14:paraId="5BCD32B7" w14:textId="77777777" w:rsidR="003E0B3C" w:rsidRPr="00457F86" w:rsidRDefault="003E0B3C">
      <w:pPr>
        <w:spacing w:line="360" w:lineRule="auto"/>
        <w:jc w:val="both"/>
        <w:rPr>
          <w:rFonts w:ascii="Palatino Linotype" w:eastAsia="Palatino Linotype" w:hAnsi="Palatino Linotype" w:cs="Palatino Linotype"/>
          <w:b/>
          <w:sz w:val="22"/>
          <w:szCs w:val="22"/>
        </w:rPr>
      </w:pPr>
    </w:p>
    <w:p w14:paraId="6A1F86B9"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b/>
          <w:sz w:val="22"/>
          <w:szCs w:val="22"/>
        </w:rPr>
        <w:t xml:space="preserve">Tercero. Materia de la revisión. </w:t>
      </w:r>
      <w:r w:rsidRPr="00457F86">
        <w:rPr>
          <w:rFonts w:ascii="Palatino Linotype" w:eastAsia="Palatino Linotype" w:hAnsi="Palatino Linotype" w:cs="Palatino Linotype"/>
          <w:sz w:val="22"/>
          <w:szCs w:val="22"/>
        </w:rPr>
        <w:t xml:space="preserve">De la revisión a las constancias y documentos que obran en los expedientes electrónicos se advierte, que el tema sobre el que este Organismo Garante de Transparencia y Acceso a la Información se pronunciará será: </w:t>
      </w:r>
      <w:r w:rsidRPr="00457F86">
        <w:rPr>
          <w:rFonts w:ascii="Palatino Linotype" w:eastAsia="Palatino Linotype" w:hAnsi="Palatino Linotype" w:cs="Palatino Linotype"/>
          <w:b/>
          <w:sz w:val="22"/>
          <w:szCs w:val="22"/>
        </w:rPr>
        <w:t xml:space="preserve">verificar si las respuestas </w:t>
      </w:r>
      <w:r w:rsidRPr="00457F86">
        <w:rPr>
          <w:rFonts w:ascii="Palatino Linotype" w:eastAsia="Palatino Linotype" w:hAnsi="Palatino Linotype" w:cs="Palatino Linotype"/>
          <w:b/>
          <w:sz w:val="22"/>
          <w:szCs w:val="22"/>
        </w:rPr>
        <w:lastRenderedPageBreak/>
        <w:t xml:space="preserve">e informes justificados por el Sujeto Obligado son adecuadas y suficientes para satisfacer el derecho de acceso a la información pública </w:t>
      </w:r>
      <w:r w:rsidRPr="00457F86">
        <w:rPr>
          <w:rFonts w:ascii="Palatino Linotype" w:eastAsia="Palatino Linotype" w:hAnsi="Palatino Linotype" w:cs="Palatino Linotype"/>
          <w:sz w:val="22"/>
          <w:szCs w:val="22"/>
        </w:rPr>
        <w:t xml:space="preserve">de </w:t>
      </w:r>
      <w:r w:rsidRPr="00457F86">
        <w:rPr>
          <w:rFonts w:ascii="Palatino Linotype" w:eastAsia="Palatino Linotype" w:hAnsi="Palatino Linotype" w:cs="Palatino Linotype"/>
          <w:b/>
          <w:sz w:val="22"/>
          <w:szCs w:val="22"/>
        </w:rPr>
        <w:t>la parte</w:t>
      </w:r>
      <w:r w:rsidRPr="00457F86">
        <w:rPr>
          <w:rFonts w:ascii="Palatino Linotype" w:eastAsia="Palatino Linotype" w:hAnsi="Palatino Linotype" w:cs="Palatino Linotype"/>
          <w:sz w:val="22"/>
          <w:szCs w:val="22"/>
        </w:rPr>
        <w:t xml:space="preserve"> </w:t>
      </w:r>
      <w:r w:rsidRPr="00457F86">
        <w:rPr>
          <w:rFonts w:ascii="Palatino Linotype" w:eastAsia="Palatino Linotype" w:hAnsi="Palatino Linotype" w:cs="Palatino Linotype"/>
          <w:b/>
          <w:sz w:val="22"/>
          <w:szCs w:val="22"/>
        </w:rPr>
        <w:t>Recurrente</w:t>
      </w:r>
      <w:r w:rsidRPr="00457F86">
        <w:rPr>
          <w:rFonts w:ascii="Palatino Linotype" w:eastAsia="Palatino Linotype" w:hAnsi="Palatino Linotype" w:cs="Palatino Linotype"/>
          <w:sz w:val="22"/>
          <w:szCs w:val="22"/>
        </w:rPr>
        <w:t xml:space="preserve">, o en su defecto, en caso de ser procedente, ordenar la entrega de información.  </w:t>
      </w:r>
    </w:p>
    <w:p w14:paraId="568044CB"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11DBF491"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b/>
          <w:sz w:val="22"/>
          <w:szCs w:val="22"/>
        </w:rPr>
        <w:t xml:space="preserve">Cuarto. Estudio del asunto. </w:t>
      </w:r>
      <w:r w:rsidRPr="00457F86">
        <w:rPr>
          <w:rFonts w:ascii="Palatino Linotype" w:eastAsia="Palatino Linotype" w:hAnsi="Palatino Linotype" w:cs="Palatino Linotype"/>
          <w:sz w:val="22"/>
          <w:szCs w:val="22"/>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E4229D4" w14:textId="77777777" w:rsidR="003E0B3C" w:rsidRPr="00457F86" w:rsidRDefault="003E0B3C">
      <w:pPr>
        <w:tabs>
          <w:tab w:val="left" w:pos="709"/>
        </w:tabs>
        <w:ind w:left="851" w:right="616"/>
        <w:jc w:val="both"/>
        <w:rPr>
          <w:rFonts w:ascii="Palatino Linotype" w:eastAsia="Palatino Linotype" w:hAnsi="Palatino Linotype" w:cs="Palatino Linotype"/>
          <w:b/>
          <w:i/>
          <w:sz w:val="22"/>
          <w:szCs w:val="22"/>
          <w:u w:val="single"/>
        </w:rPr>
      </w:pPr>
    </w:p>
    <w:p w14:paraId="0B4B8AFA" w14:textId="77777777" w:rsidR="003E0B3C" w:rsidRPr="00457F86" w:rsidRDefault="00C51FAD">
      <w:pPr>
        <w:tabs>
          <w:tab w:val="left" w:pos="709"/>
        </w:tabs>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457F86">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6C1F4DF1" w14:textId="77777777" w:rsidR="003E0B3C" w:rsidRPr="00457F86" w:rsidRDefault="00C51FAD">
      <w:pPr>
        <w:tabs>
          <w:tab w:val="left" w:pos="709"/>
        </w:tabs>
        <w:ind w:left="851" w:right="616"/>
        <w:jc w:val="both"/>
        <w:rPr>
          <w:rFonts w:ascii="Palatino Linotype" w:eastAsia="Palatino Linotype" w:hAnsi="Palatino Linotype" w:cs="Palatino Linotype"/>
          <w:b/>
          <w:i/>
          <w:sz w:val="22"/>
          <w:szCs w:val="22"/>
        </w:rPr>
      </w:pPr>
      <w:r w:rsidRPr="00457F86">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7FE0E71" w14:textId="77777777" w:rsidR="003E0B3C" w:rsidRPr="00457F86" w:rsidRDefault="00C51FAD">
      <w:pPr>
        <w:tabs>
          <w:tab w:val="left" w:pos="709"/>
        </w:tabs>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457F86">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387CAA24" w14:textId="77777777" w:rsidR="003E0B3C" w:rsidRPr="00457F86" w:rsidRDefault="00C51FAD">
      <w:pPr>
        <w:tabs>
          <w:tab w:val="left" w:pos="709"/>
        </w:tabs>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t>[…]</w:t>
      </w:r>
    </w:p>
    <w:p w14:paraId="2197FD8C" w14:textId="77777777" w:rsidR="003E0B3C" w:rsidRPr="00457F86" w:rsidRDefault="00C51FAD">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b/>
          <w:i/>
          <w:sz w:val="22"/>
          <w:szCs w:val="22"/>
        </w:rPr>
        <w:t>Artículo 6o.</w:t>
      </w:r>
    </w:p>
    <w:p w14:paraId="5EE6AEDC" w14:textId="77777777" w:rsidR="003E0B3C" w:rsidRPr="00457F86" w:rsidRDefault="00C51FAD">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i/>
          <w:sz w:val="22"/>
          <w:szCs w:val="22"/>
        </w:rPr>
        <w:t>[...]</w:t>
      </w:r>
    </w:p>
    <w:p w14:paraId="52CF274E" w14:textId="77777777" w:rsidR="003E0B3C" w:rsidRPr="00457F86" w:rsidRDefault="00C51FAD">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b/>
          <w:i/>
          <w:sz w:val="22"/>
          <w:szCs w:val="22"/>
        </w:rPr>
        <w:lastRenderedPageBreak/>
        <w:t xml:space="preserve">A. Para el ejercicio del derecho de acceso a la información, la Federación y </w:t>
      </w:r>
      <w:r w:rsidRPr="00457F86">
        <w:rPr>
          <w:rFonts w:ascii="Palatino Linotype" w:eastAsia="Palatino Linotype" w:hAnsi="Palatino Linotype" w:cs="Palatino Linotype"/>
          <w:b/>
          <w:i/>
          <w:sz w:val="22"/>
          <w:szCs w:val="22"/>
          <w:u w:val="single"/>
        </w:rPr>
        <w:t>las entidades federativas</w:t>
      </w:r>
      <w:r w:rsidRPr="00457F86">
        <w:rPr>
          <w:rFonts w:ascii="Palatino Linotype" w:eastAsia="Palatino Linotype" w:hAnsi="Palatino Linotype" w:cs="Palatino Linotype"/>
          <w:b/>
          <w:i/>
          <w:sz w:val="22"/>
          <w:szCs w:val="22"/>
        </w:rPr>
        <w:t>,</w:t>
      </w:r>
      <w:r w:rsidRPr="00457F86">
        <w:rPr>
          <w:rFonts w:ascii="Palatino Linotype" w:eastAsia="Palatino Linotype" w:hAnsi="Palatino Linotype" w:cs="Palatino Linotype"/>
          <w:i/>
          <w:sz w:val="22"/>
          <w:szCs w:val="22"/>
        </w:rPr>
        <w:t xml:space="preserve"> en el ámbito de sus respectivas competencias, se regirán por los siguientes principios y bases:</w:t>
      </w:r>
    </w:p>
    <w:p w14:paraId="7023BF10" w14:textId="77777777" w:rsidR="003E0B3C" w:rsidRPr="00457F86" w:rsidRDefault="00C51FAD">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i/>
          <w:sz w:val="22"/>
          <w:szCs w:val="22"/>
        </w:rPr>
        <w:t> </w:t>
      </w:r>
      <w:r w:rsidRPr="00457F86">
        <w:rPr>
          <w:rFonts w:ascii="Palatino Linotype" w:eastAsia="Palatino Linotype" w:hAnsi="Palatino Linotype" w:cs="Palatino Linotype"/>
          <w:b/>
          <w:i/>
          <w:sz w:val="22"/>
          <w:szCs w:val="22"/>
        </w:rPr>
        <w:t xml:space="preserve">I. </w:t>
      </w:r>
      <w:r w:rsidRPr="00457F86">
        <w:rPr>
          <w:rFonts w:ascii="Palatino Linotype" w:eastAsia="Palatino Linotype" w:hAnsi="Palatino Linotype" w:cs="Palatino Linotype"/>
          <w:b/>
          <w:i/>
          <w:sz w:val="22"/>
          <w:szCs w:val="22"/>
          <w:u w:val="single"/>
        </w:rPr>
        <w:t>Toda la información en posesión de cualquier autoridad, entidad, órgano y organismo de los Poderes</w:t>
      </w:r>
      <w:r w:rsidRPr="00457F86">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457F86">
        <w:rPr>
          <w:rFonts w:ascii="Palatino Linotype" w:eastAsia="Palatino Linotype" w:hAnsi="Palatino Linotype" w:cs="Palatino Linotype"/>
          <w:b/>
          <w:i/>
          <w:sz w:val="22"/>
          <w:szCs w:val="22"/>
        </w:rPr>
        <w:t>es pública y sólo podrá ser reservada temporalmente por razones de interés público y seguridad nacional,</w:t>
      </w:r>
      <w:r w:rsidRPr="00457F86">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665BFF3" w14:textId="77777777" w:rsidR="003E0B3C" w:rsidRPr="00457F86" w:rsidRDefault="00C51FAD">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457F86">
        <w:rPr>
          <w:rFonts w:ascii="Palatino Linotype" w:eastAsia="Palatino Linotype" w:hAnsi="Palatino Linotype" w:cs="Palatino Linotype"/>
          <w:i/>
          <w:sz w:val="22"/>
          <w:szCs w:val="22"/>
        </w:rPr>
        <w:t> </w:t>
      </w:r>
      <w:r w:rsidRPr="00457F86">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28819FED" w14:textId="77777777" w:rsidR="003E0B3C" w:rsidRPr="00457F86" w:rsidRDefault="00C51FA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t>Por lo que hace a la información relacionada con los datos personales en posesión de particulares, la ley a la que se refiere el artículo 90 de esta Constitución determinará la competencia para conocer de los procedimientos relativos a su protección, verificación e imposición de sanciones.</w:t>
      </w:r>
    </w:p>
    <w:p w14:paraId="0FE107FD" w14:textId="77777777" w:rsidR="003E0B3C" w:rsidRPr="00457F86" w:rsidRDefault="00C51FAD">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i/>
          <w:sz w:val="22"/>
          <w:szCs w:val="22"/>
        </w:rPr>
        <w:t> </w:t>
      </w:r>
      <w:r w:rsidRPr="00457F86">
        <w:rPr>
          <w:rFonts w:ascii="Palatino Linotype" w:eastAsia="Palatino Linotype" w:hAnsi="Palatino Linotype" w:cs="Palatino Linotype"/>
          <w:b/>
          <w:i/>
          <w:sz w:val="22"/>
          <w:szCs w:val="22"/>
        </w:rPr>
        <w:t xml:space="preserve">III. </w:t>
      </w:r>
      <w:r w:rsidRPr="00457F86">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457F86">
        <w:rPr>
          <w:rFonts w:ascii="Palatino Linotype" w:eastAsia="Palatino Linotype" w:hAnsi="Palatino Linotype" w:cs="Palatino Linotype"/>
          <w:i/>
          <w:sz w:val="22"/>
          <w:szCs w:val="22"/>
        </w:rPr>
        <w:t xml:space="preserve"> a sus datos personales o a la rectificación de éstos.</w:t>
      </w:r>
    </w:p>
    <w:p w14:paraId="46FC33ED" w14:textId="77777777" w:rsidR="003E0B3C" w:rsidRPr="00457F86" w:rsidRDefault="00C51FAD">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i/>
          <w:sz w:val="22"/>
          <w:szCs w:val="22"/>
        </w:rPr>
        <w:t> </w:t>
      </w:r>
      <w:r w:rsidRPr="00457F86">
        <w:rPr>
          <w:rFonts w:ascii="Palatino Linotype" w:eastAsia="Palatino Linotype" w:hAnsi="Palatino Linotype" w:cs="Palatino Linotype"/>
          <w:b/>
          <w:i/>
          <w:sz w:val="22"/>
          <w:szCs w:val="22"/>
        </w:rPr>
        <w:t xml:space="preserve">IV. </w:t>
      </w:r>
      <w:r w:rsidRPr="00457F86">
        <w:rPr>
          <w:rFonts w:ascii="Palatino Linotype" w:eastAsia="Palatino Linotype" w:hAnsi="Palatino Linotype" w:cs="Palatino Linotype"/>
          <w:i/>
          <w:sz w:val="22"/>
          <w:szCs w:val="22"/>
        </w:rPr>
        <w:t>Se establecerán mecanismos de acceso a la información y procedimientos de revisión expeditos que se sustanciarán ante las instancias competentes en los términos que fija esta Constitución y las leyes.</w:t>
      </w:r>
    </w:p>
    <w:p w14:paraId="5460DBB8" w14:textId="77777777" w:rsidR="003E0B3C" w:rsidRPr="00457F86" w:rsidRDefault="00C51FAD">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b/>
          <w:i/>
          <w:sz w:val="22"/>
          <w:szCs w:val="22"/>
        </w:rPr>
        <w:t xml:space="preserve">V. </w:t>
      </w:r>
      <w:r w:rsidRPr="00457F86">
        <w:rPr>
          <w:rFonts w:ascii="Palatino Linotype" w:eastAsia="Palatino Linotype" w:hAnsi="Palatino Linotype" w:cs="Palatino Linotype"/>
          <w:i/>
          <w:sz w:val="22"/>
          <w:szCs w:val="22"/>
        </w:rPr>
        <w:t xml:space="preserve">Los sujetos obligados deberán preservar sus documentos en archivos administrativos actualizados y publicarán, a través de los medios electrónicos disponibles, la información completa y actualizada sobre el ejercicio de los recursos </w:t>
      </w:r>
      <w:r w:rsidRPr="00457F86">
        <w:rPr>
          <w:rFonts w:ascii="Palatino Linotype" w:eastAsia="Palatino Linotype" w:hAnsi="Palatino Linotype" w:cs="Palatino Linotype"/>
          <w:i/>
          <w:sz w:val="22"/>
          <w:szCs w:val="22"/>
        </w:rPr>
        <w:lastRenderedPageBreak/>
        <w:t>públicos y los indicadores que permitan rendir cuenta del cumplimiento de sus objetivos y de los resultados obtenidos.</w:t>
      </w:r>
    </w:p>
    <w:p w14:paraId="22DA0CC5" w14:textId="77777777" w:rsidR="003E0B3C" w:rsidRPr="00457F86" w:rsidRDefault="00C51FAD">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i/>
          <w:sz w:val="22"/>
          <w:szCs w:val="22"/>
        </w:rPr>
        <w:t> </w:t>
      </w:r>
      <w:r w:rsidRPr="00457F86">
        <w:rPr>
          <w:rFonts w:ascii="Palatino Linotype" w:eastAsia="Palatino Linotype" w:hAnsi="Palatino Linotype" w:cs="Palatino Linotype"/>
          <w:b/>
          <w:i/>
          <w:sz w:val="22"/>
          <w:szCs w:val="22"/>
        </w:rPr>
        <w:t xml:space="preserve">VI. </w:t>
      </w:r>
      <w:r w:rsidRPr="00457F86">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22289CC3" w14:textId="77777777" w:rsidR="003E0B3C" w:rsidRPr="00457F86" w:rsidRDefault="00C51FAD">
      <w:pPr>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t> </w:t>
      </w:r>
      <w:r w:rsidRPr="00457F86">
        <w:rPr>
          <w:rFonts w:ascii="Palatino Linotype" w:eastAsia="Palatino Linotype" w:hAnsi="Palatino Linotype" w:cs="Palatino Linotype"/>
          <w:b/>
          <w:i/>
          <w:sz w:val="22"/>
          <w:szCs w:val="22"/>
        </w:rPr>
        <w:t xml:space="preserve">VII. </w:t>
      </w:r>
      <w:r w:rsidRPr="00457F86">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B12AB5A" w14:textId="77777777" w:rsidR="003E0B3C" w:rsidRPr="00457F86" w:rsidRDefault="003E0B3C">
      <w:pPr>
        <w:ind w:left="851" w:right="616"/>
        <w:jc w:val="both"/>
        <w:rPr>
          <w:rFonts w:ascii="Palatino Linotype" w:eastAsia="Palatino Linotype" w:hAnsi="Palatino Linotype" w:cs="Palatino Linotype"/>
          <w:i/>
          <w:sz w:val="22"/>
          <w:szCs w:val="22"/>
        </w:rPr>
      </w:pPr>
    </w:p>
    <w:p w14:paraId="66444C3F" w14:textId="77777777" w:rsidR="003E0B3C" w:rsidRPr="00457F86" w:rsidRDefault="00C51FAD">
      <w:pPr>
        <w:tabs>
          <w:tab w:val="left" w:pos="709"/>
        </w:tabs>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sidRPr="00457F86">
        <w:rPr>
          <w:rFonts w:ascii="Palatino Linotype" w:eastAsia="Palatino Linotype" w:hAnsi="Palatino Linotype" w:cs="Palatino Linotype"/>
          <w:b/>
          <w:sz w:val="22"/>
          <w:szCs w:val="22"/>
        </w:rPr>
        <w:t>Sujeto Obligado</w:t>
      </w:r>
      <w:r w:rsidRPr="00457F86">
        <w:rPr>
          <w:rFonts w:ascii="Palatino Linotype" w:eastAsia="Palatino Linotype" w:hAnsi="Palatino Linotype" w:cs="Palatino Linotype"/>
          <w:sz w:val="22"/>
          <w:szCs w:val="22"/>
        </w:rPr>
        <w:t xml:space="preserve"> debe cumplir con dichos dispositivos legales.</w:t>
      </w:r>
    </w:p>
    <w:p w14:paraId="652E01B3" w14:textId="77777777" w:rsidR="003E0B3C" w:rsidRPr="00457F86" w:rsidRDefault="003E0B3C">
      <w:pPr>
        <w:tabs>
          <w:tab w:val="left" w:pos="709"/>
        </w:tabs>
        <w:spacing w:line="360" w:lineRule="auto"/>
        <w:jc w:val="both"/>
        <w:rPr>
          <w:rFonts w:ascii="Palatino Linotype" w:eastAsia="Palatino Linotype" w:hAnsi="Palatino Linotype" w:cs="Palatino Linotype"/>
          <w:sz w:val="22"/>
          <w:szCs w:val="22"/>
        </w:rPr>
      </w:pPr>
    </w:p>
    <w:p w14:paraId="310410B0"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400EF8E" w14:textId="77777777" w:rsidR="003E0B3C" w:rsidRPr="00457F86" w:rsidRDefault="003E0B3C">
      <w:pPr>
        <w:ind w:left="851" w:right="616"/>
        <w:jc w:val="both"/>
        <w:rPr>
          <w:rFonts w:ascii="Palatino Linotype" w:eastAsia="Palatino Linotype" w:hAnsi="Palatino Linotype" w:cs="Palatino Linotype"/>
          <w:i/>
          <w:sz w:val="22"/>
          <w:szCs w:val="22"/>
        </w:rPr>
      </w:pPr>
    </w:p>
    <w:p w14:paraId="32F2D63B" w14:textId="77777777" w:rsidR="003E0B3C" w:rsidRPr="00457F86" w:rsidRDefault="00C51FAD">
      <w:pPr>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lastRenderedPageBreak/>
        <w:t>“</w:t>
      </w:r>
      <w:r w:rsidRPr="00457F86">
        <w:rPr>
          <w:rFonts w:ascii="Palatino Linotype" w:eastAsia="Palatino Linotype" w:hAnsi="Palatino Linotype" w:cs="Palatino Linotype"/>
          <w:b/>
          <w:i/>
          <w:sz w:val="22"/>
          <w:szCs w:val="22"/>
        </w:rPr>
        <w:t>Artículo 4</w:t>
      </w:r>
      <w:r w:rsidRPr="00457F86">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9115F64" w14:textId="77777777" w:rsidR="003E0B3C" w:rsidRPr="00457F86" w:rsidRDefault="00C51FAD">
      <w:pPr>
        <w:ind w:left="851" w:right="616"/>
        <w:jc w:val="both"/>
        <w:rPr>
          <w:rFonts w:ascii="Palatino Linotype" w:eastAsia="Palatino Linotype" w:hAnsi="Palatino Linotype" w:cs="Palatino Linotype"/>
          <w:b/>
          <w:i/>
          <w:sz w:val="22"/>
          <w:szCs w:val="22"/>
        </w:rPr>
      </w:pPr>
      <w:r w:rsidRPr="00457F86">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A853D85" w14:textId="77777777" w:rsidR="003E0B3C" w:rsidRPr="00457F86" w:rsidRDefault="00C51FAD">
      <w:pPr>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0495E805"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05F2ACFC"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457F86">
        <w:rPr>
          <w:rFonts w:ascii="Palatino Linotype" w:eastAsia="Palatino Linotype" w:hAnsi="Palatino Linotype" w:cs="Palatino Linotype"/>
          <w:b/>
          <w:sz w:val="22"/>
          <w:szCs w:val="22"/>
        </w:rPr>
        <w:t>artículo 12</w:t>
      </w:r>
      <w:r w:rsidRPr="00457F86">
        <w:rPr>
          <w:rFonts w:ascii="Palatino Linotype" w:eastAsia="Palatino Linotype" w:hAnsi="Palatino Linotype" w:cs="Palatino Linotype"/>
          <w:sz w:val="22"/>
          <w:szCs w:val="22"/>
        </w:rPr>
        <w:t xml:space="preserve"> de la Ley de Transparencia y Acceso a la Información Pública del Estado de México y Municipios, el cual a la letra dice:</w:t>
      </w:r>
    </w:p>
    <w:p w14:paraId="49E2F69E" w14:textId="77777777" w:rsidR="003E0B3C" w:rsidRPr="00457F86" w:rsidRDefault="003E0B3C">
      <w:pPr>
        <w:ind w:left="851" w:right="616"/>
        <w:jc w:val="both"/>
        <w:rPr>
          <w:rFonts w:ascii="Palatino Linotype" w:eastAsia="Palatino Linotype" w:hAnsi="Palatino Linotype" w:cs="Palatino Linotype"/>
          <w:i/>
          <w:sz w:val="22"/>
          <w:szCs w:val="22"/>
        </w:rPr>
      </w:pPr>
    </w:p>
    <w:p w14:paraId="231BF8A5" w14:textId="77777777" w:rsidR="003E0B3C" w:rsidRPr="00457F86" w:rsidRDefault="00C51FAD">
      <w:pPr>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t>“</w:t>
      </w:r>
      <w:r w:rsidRPr="00457F86">
        <w:rPr>
          <w:rFonts w:ascii="Palatino Linotype" w:eastAsia="Palatino Linotype" w:hAnsi="Palatino Linotype" w:cs="Palatino Linotype"/>
          <w:b/>
          <w:i/>
          <w:sz w:val="22"/>
          <w:szCs w:val="22"/>
        </w:rPr>
        <w:t>Artículo 12</w:t>
      </w:r>
      <w:r w:rsidRPr="00457F86">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31EA557" w14:textId="77777777" w:rsidR="003E0B3C" w:rsidRPr="00457F86" w:rsidRDefault="00C51FAD">
      <w:pPr>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sidRPr="00457F86">
        <w:rPr>
          <w:rFonts w:ascii="Palatino Linotype" w:eastAsia="Palatino Linotype" w:hAnsi="Palatino Linotype" w:cs="Palatino Linotype"/>
          <w:i/>
          <w:sz w:val="22"/>
          <w:szCs w:val="22"/>
        </w:rPr>
        <w:t>la misma</w:t>
      </w:r>
      <w:proofErr w:type="gramEnd"/>
      <w:r w:rsidRPr="00457F86">
        <w:rPr>
          <w:rFonts w:ascii="Palatino Linotype" w:eastAsia="Palatino Linotype" w:hAnsi="Palatino Linotype" w:cs="Palatino Linotype"/>
          <w:i/>
          <w:sz w:val="22"/>
          <w:szCs w:val="22"/>
        </w:rPr>
        <w:t xml:space="preserve">, ni el presentarla conforme al interés del solicitante; no estarán obligados a generarla, resumirla, efectuar cálculos o practicar investigaciones.” </w:t>
      </w:r>
    </w:p>
    <w:p w14:paraId="49B9B473"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744C824F"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lastRenderedPageBreak/>
        <w:t>Es decir, que el derecho de acceso a la información pública se satisface en aquellos casos en que se entregue documento en que conste la información requerida, toda vez que, los Sujetos Obligados</w:t>
      </w:r>
      <w:r w:rsidRPr="00457F86">
        <w:rPr>
          <w:rFonts w:ascii="Palatino Linotype" w:eastAsia="Palatino Linotype" w:hAnsi="Palatino Linotype" w:cs="Palatino Linotype"/>
          <w:b/>
          <w:sz w:val="22"/>
          <w:szCs w:val="22"/>
        </w:rPr>
        <w:t xml:space="preserve"> </w:t>
      </w:r>
      <w:r w:rsidRPr="00457F86">
        <w:rPr>
          <w:rFonts w:ascii="Palatino Linotype" w:eastAsia="Palatino Linotype" w:hAnsi="Palatino Linotype" w:cs="Palatino Linotype"/>
          <w:sz w:val="22"/>
          <w:szCs w:val="22"/>
        </w:rPr>
        <w:t xml:space="preserve">no tienen el deber de generar, poseer o administrar la información pública con el grado de detalle solicitado; esto es, que no tienen el deber de generar un documento </w:t>
      </w:r>
      <w:r w:rsidRPr="00457F86">
        <w:rPr>
          <w:rFonts w:ascii="Palatino Linotype" w:eastAsia="Palatino Linotype" w:hAnsi="Palatino Linotype" w:cs="Palatino Linotype"/>
          <w:i/>
          <w:sz w:val="22"/>
          <w:szCs w:val="22"/>
        </w:rPr>
        <w:t>ad hoc</w:t>
      </w:r>
      <w:r w:rsidRPr="00457F86">
        <w:rPr>
          <w:rFonts w:ascii="Palatino Linotype" w:eastAsia="Palatino Linotype" w:hAnsi="Palatino Linotype" w:cs="Palatino Linotype"/>
          <w:sz w:val="22"/>
          <w:szCs w:val="22"/>
        </w:rPr>
        <w:t>, para satisfacer el derecho de acceso a la información pública, como así lo establece el criterio 03/17 emitidos por el Instituto Nacional de Transparencia, Acceso a la Información Pública y Protección de Datos Personales, los cuales señalan lo siguiente:</w:t>
      </w:r>
    </w:p>
    <w:p w14:paraId="362FFC13" w14:textId="77777777" w:rsidR="003E0B3C" w:rsidRPr="00457F86" w:rsidRDefault="003E0B3C">
      <w:pPr>
        <w:ind w:left="851" w:right="616"/>
        <w:jc w:val="both"/>
        <w:rPr>
          <w:rFonts w:ascii="Palatino Linotype" w:eastAsia="Palatino Linotype" w:hAnsi="Palatino Linotype" w:cs="Palatino Linotype"/>
          <w:b/>
          <w:i/>
          <w:sz w:val="22"/>
          <w:szCs w:val="22"/>
        </w:rPr>
      </w:pPr>
    </w:p>
    <w:p w14:paraId="69E6239D" w14:textId="77777777" w:rsidR="003E0B3C" w:rsidRPr="00457F86" w:rsidRDefault="00C51FAD">
      <w:pPr>
        <w:ind w:left="851" w:right="616"/>
        <w:jc w:val="both"/>
        <w:rPr>
          <w:rFonts w:ascii="Palatino Linotype" w:eastAsia="Palatino Linotype" w:hAnsi="Palatino Linotype" w:cs="Palatino Linotype"/>
          <w:b/>
          <w:i/>
          <w:sz w:val="22"/>
          <w:szCs w:val="22"/>
        </w:rPr>
      </w:pPr>
      <w:r w:rsidRPr="00457F86">
        <w:rPr>
          <w:rFonts w:ascii="Palatino Linotype" w:eastAsia="Palatino Linotype" w:hAnsi="Palatino Linotype" w:cs="Palatino Linotype"/>
          <w:b/>
          <w:i/>
          <w:sz w:val="22"/>
          <w:szCs w:val="22"/>
        </w:rPr>
        <w:t>03/17</w:t>
      </w:r>
    </w:p>
    <w:p w14:paraId="3CF13F83" w14:textId="77777777" w:rsidR="003E0B3C" w:rsidRPr="00457F86" w:rsidRDefault="00C51FAD">
      <w:pPr>
        <w:ind w:left="851" w:right="616"/>
        <w:jc w:val="both"/>
        <w:rPr>
          <w:rFonts w:ascii="Palatino Linotype" w:eastAsia="Palatino Linotype" w:hAnsi="Palatino Linotype" w:cs="Palatino Linotype"/>
          <w:b/>
          <w:i/>
          <w:sz w:val="22"/>
          <w:szCs w:val="22"/>
        </w:rPr>
      </w:pPr>
      <w:r w:rsidRPr="00457F86">
        <w:rPr>
          <w:rFonts w:ascii="Palatino Linotype" w:eastAsia="Palatino Linotype" w:hAnsi="Palatino Linotype" w:cs="Palatino Linotype"/>
          <w:b/>
          <w:i/>
          <w:sz w:val="22"/>
          <w:szCs w:val="22"/>
        </w:rPr>
        <w:t>“NO EXISTE OBLIGACIÓN DE ELABORAR DOCUMENTOS AD HOC PARA ATENDER LAS SOLICITUDES DE ACCESO A LA INFORMACIÓN.</w:t>
      </w:r>
    </w:p>
    <w:p w14:paraId="0E1E59A3" w14:textId="77777777" w:rsidR="003E0B3C" w:rsidRPr="00457F86" w:rsidRDefault="00C51FAD">
      <w:pPr>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3D617BE9" w14:textId="77777777" w:rsidR="003E0B3C" w:rsidRPr="00457F86" w:rsidRDefault="003E0B3C">
      <w:pPr>
        <w:ind w:left="851" w:right="616"/>
        <w:jc w:val="both"/>
        <w:rPr>
          <w:rFonts w:ascii="Palatino Linotype" w:eastAsia="Palatino Linotype" w:hAnsi="Palatino Linotype" w:cs="Palatino Linotype"/>
          <w:i/>
          <w:sz w:val="22"/>
          <w:szCs w:val="22"/>
        </w:rPr>
      </w:pPr>
    </w:p>
    <w:p w14:paraId="5FDB6E3D"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xml:space="preserve">Por otra parte, conviene mencionar que la Ley de Transparencia vigente en el Estado de México refiere: </w:t>
      </w:r>
    </w:p>
    <w:p w14:paraId="0020F6C7" w14:textId="77777777" w:rsidR="003E0B3C" w:rsidRPr="00457F86" w:rsidRDefault="00C51FAD">
      <w:pPr>
        <w:spacing w:line="276" w:lineRule="auto"/>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b/>
          <w:i/>
          <w:sz w:val="22"/>
          <w:szCs w:val="22"/>
        </w:rPr>
        <w:t>Artículo 18.</w:t>
      </w:r>
      <w:r w:rsidRPr="00457F86">
        <w:rPr>
          <w:rFonts w:ascii="Palatino Linotype" w:eastAsia="Palatino Linotype" w:hAnsi="Palatino Linotype" w:cs="Palatino Linotype"/>
          <w:i/>
          <w:sz w:val="22"/>
          <w:szCs w:val="22"/>
        </w:rPr>
        <w:t xml:space="preserve"> </w:t>
      </w:r>
      <w:r w:rsidRPr="00457F86">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457F86">
        <w:rPr>
          <w:rFonts w:ascii="Palatino Linotype" w:eastAsia="Palatino Linotype" w:hAnsi="Palatino Linotype" w:cs="Palatino Linotype"/>
          <w:i/>
          <w:sz w:val="22"/>
          <w:szCs w:val="22"/>
        </w:rPr>
        <w:t xml:space="preserve"> y reutilización de la información que generen.</w:t>
      </w:r>
    </w:p>
    <w:p w14:paraId="0BA7D0E4" w14:textId="77777777" w:rsidR="003E0B3C" w:rsidRPr="00457F86" w:rsidRDefault="00C51FAD">
      <w:pPr>
        <w:spacing w:line="276" w:lineRule="auto"/>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b/>
          <w:i/>
          <w:sz w:val="22"/>
          <w:szCs w:val="22"/>
        </w:rPr>
        <w:t xml:space="preserve">Artículo 19. </w:t>
      </w:r>
      <w:r w:rsidRPr="00457F86">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457F86">
        <w:rPr>
          <w:rFonts w:ascii="Palatino Linotype" w:eastAsia="Palatino Linotype" w:hAnsi="Palatino Linotype" w:cs="Palatino Linotype"/>
          <w:i/>
          <w:sz w:val="22"/>
          <w:szCs w:val="22"/>
        </w:rPr>
        <w:t>.</w:t>
      </w:r>
    </w:p>
    <w:p w14:paraId="40056ED5" w14:textId="77777777" w:rsidR="003E0B3C" w:rsidRPr="00457F86" w:rsidRDefault="00C51FAD">
      <w:pPr>
        <w:spacing w:line="276" w:lineRule="auto"/>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lastRenderedPageBreak/>
        <w:t xml:space="preserve">En los casos en que ciertas facultades, competencias o funciones no se hayan ejercido, se debe motivar la respuesta en función de las causas que motiven tal circunstancia. </w:t>
      </w:r>
    </w:p>
    <w:p w14:paraId="2B79A57B" w14:textId="77777777" w:rsidR="003E0B3C" w:rsidRPr="00457F86" w:rsidRDefault="00C51FAD">
      <w:pPr>
        <w:spacing w:line="276" w:lineRule="auto"/>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4CE2E81" w14:textId="77777777" w:rsidR="003E0B3C" w:rsidRPr="00457F86" w:rsidRDefault="00C51FAD">
      <w:pPr>
        <w:spacing w:line="276" w:lineRule="auto"/>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t>(Énfasis añadido)</w:t>
      </w:r>
    </w:p>
    <w:p w14:paraId="24DB0E5D" w14:textId="77777777" w:rsidR="003E0B3C" w:rsidRPr="00457F86" w:rsidRDefault="003E0B3C">
      <w:pPr>
        <w:spacing w:line="276" w:lineRule="auto"/>
        <w:ind w:left="851" w:right="616"/>
        <w:jc w:val="both"/>
        <w:rPr>
          <w:rFonts w:ascii="Palatino Linotype" w:eastAsia="Palatino Linotype" w:hAnsi="Palatino Linotype" w:cs="Palatino Linotype"/>
          <w:i/>
          <w:sz w:val="22"/>
          <w:szCs w:val="22"/>
        </w:rPr>
      </w:pPr>
    </w:p>
    <w:p w14:paraId="02C2D73C"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y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07C7DD49"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1980EDC0" w14:textId="77777777" w:rsidR="003E0B3C" w:rsidRPr="00457F86" w:rsidRDefault="00C51FAD">
      <w:pPr>
        <w:spacing w:line="360" w:lineRule="auto"/>
        <w:jc w:val="both"/>
        <w:rPr>
          <w:rFonts w:ascii="Palatino Linotype" w:eastAsia="Palatino Linotype" w:hAnsi="Palatino Linotype" w:cs="Palatino Linotype"/>
          <w:b/>
          <w:sz w:val="22"/>
          <w:szCs w:val="22"/>
        </w:rPr>
      </w:pPr>
      <w:r w:rsidRPr="00457F86">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457F86">
        <w:rPr>
          <w:rFonts w:ascii="Palatino Linotype" w:eastAsia="Palatino Linotype" w:hAnsi="Palatino Linotype" w:cs="Palatino Linotype"/>
          <w:b/>
          <w:sz w:val="22"/>
          <w:szCs w:val="22"/>
        </w:rPr>
        <w:t>cualquier otro registro que documente el ejercicio de las facultades, funciones, obligaciones y competencias de los Sujetos Obligados</w:t>
      </w:r>
      <w:r w:rsidRPr="00457F86">
        <w:rPr>
          <w:rFonts w:ascii="Palatino Linotype" w:eastAsia="Palatino Linotype" w:hAnsi="Palatino Linotype" w:cs="Palatino Linotype"/>
          <w:sz w:val="22"/>
          <w:szCs w:val="22"/>
        </w:rPr>
        <w:t xml:space="preserve">; </w:t>
      </w:r>
      <w:r w:rsidRPr="00457F86">
        <w:rPr>
          <w:rFonts w:ascii="Palatino Linotype" w:eastAsia="Palatino Linotype" w:hAnsi="Palatino Linotype" w:cs="Palatino Linotype"/>
          <w:b/>
          <w:sz w:val="22"/>
          <w:szCs w:val="22"/>
        </w:rPr>
        <w:t>los que, podrán estar en cualquier medio</w:t>
      </w:r>
      <w:r w:rsidRPr="00457F86">
        <w:rPr>
          <w:rFonts w:ascii="Palatino Linotype" w:eastAsia="Palatino Linotype" w:hAnsi="Palatino Linotype" w:cs="Palatino Linotype"/>
          <w:sz w:val="22"/>
          <w:szCs w:val="22"/>
        </w:rPr>
        <w:t xml:space="preserve">, sea escrito, impreso, sonoro, visual, </w:t>
      </w:r>
      <w:r w:rsidRPr="00457F86">
        <w:rPr>
          <w:rFonts w:ascii="Palatino Linotype" w:eastAsia="Palatino Linotype" w:hAnsi="Palatino Linotype" w:cs="Palatino Linotype"/>
          <w:b/>
          <w:sz w:val="22"/>
          <w:szCs w:val="22"/>
        </w:rPr>
        <w:t>electrónico</w:t>
      </w:r>
      <w:r w:rsidRPr="00457F86">
        <w:rPr>
          <w:rFonts w:ascii="Palatino Linotype" w:eastAsia="Palatino Linotype" w:hAnsi="Palatino Linotype" w:cs="Palatino Linotype"/>
          <w:sz w:val="22"/>
          <w:szCs w:val="22"/>
        </w:rPr>
        <w:t xml:space="preserve">, informático u holográfico, esto es, </w:t>
      </w:r>
      <w:r w:rsidRPr="00457F86">
        <w:rPr>
          <w:rFonts w:ascii="Palatino Linotype" w:eastAsia="Palatino Linotype" w:hAnsi="Palatino Linotype" w:cs="Palatino Linotype"/>
          <w:b/>
          <w:sz w:val="22"/>
          <w:szCs w:val="22"/>
        </w:rPr>
        <w:t xml:space="preserve">el derecho de acceso a la información pública, se define en cuanto a su alcance y resultado material, el acceso a los archivos, registros y documentos públicos, administrados, </w:t>
      </w:r>
      <w:r w:rsidRPr="00457F86">
        <w:rPr>
          <w:rFonts w:ascii="Palatino Linotype" w:eastAsia="Palatino Linotype" w:hAnsi="Palatino Linotype" w:cs="Palatino Linotype"/>
          <w:b/>
          <w:sz w:val="22"/>
          <w:szCs w:val="22"/>
        </w:rPr>
        <w:lastRenderedPageBreak/>
        <w:t>generados o en posesión de los órganos u organismos públicos, en virtud del ejercicio de sus funciones de derecho público, sin importar su fuente, soporte o fecha de elaboración.</w:t>
      </w:r>
    </w:p>
    <w:p w14:paraId="022D9A03"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2A7A2352"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xml:space="preserve">De ahí que el </w:t>
      </w:r>
      <w:r w:rsidRPr="00457F86">
        <w:rPr>
          <w:rFonts w:ascii="Palatino Linotype" w:eastAsia="Palatino Linotype" w:hAnsi="Palatino Linotype" w:cs="Palatino Linotype"/>
          <w:b/>
          <w:sz w:val="22"/>
          <w:szCs w:val="22"/>
        </w:rPr>
        <w:t>Sujeto Obligado</w:t>
      </w:r>
      <w:r w:rsidRPr="00457F86">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457F86">
        <w:rPr>
          <w:rFonts w:ascii="Palatino Linotype" w:eastAsia="Palatino Linotype" w:hAnsi="Palatino Linotype" w:cs="Palatino Linotype"/>
          <w:sz w:val="22"/>
          <w:szCs w:val="22"/>
          <w:vertAlign w:val="superscript"/>
        </w:rPr>
        <w:footnoteReference w:id="1"/>
      </w:r>
      <w:r w:rsidRPr="00457F86">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457F86">
        <w:rPr>
          <w:rFonts w:ascii="Palatino Linotype" w:eastAsia="Palatino Linotype" w:hAnsi="Palatino Linotype" w:cs="Palatino Linotype"/>
          <w:sz w:val="22"/>
          <w:szCs w:val="22"/>
          <w:vertAlign w:val="superscript"/>
        </w:rPr>
        <w:footnoteReference w:id="2"/>
      </w:r>
      <w:r w:rsidRPr="00457F86">
        <w:rPr>
          <w:rFonts w:ascii="Palatino Linotype" w:eastAsia="Palatino Linotype" w:hAnsi="Palatino Linotype" w:cs="Palatino Linotype"/>
          <w:sz w:val="22"/>
          <w:szCs w:val="22"/>
        </w:rPr>
        <w:t>, como pudiera tratarse de aquella relacionada con las obligaciones de transparencia señaladas en los artículos 92 y 97, fracción I de la Ley de la Materia.</w:t>
      </w:r>
    </w:p>
    <w:p w14:paraId="2AA9C1CB"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4D7C5609"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Para iniciar el presente análisis, es de vital importancia tener en cuenta que la parte</w:t>
      </w:r>
      <w:r w:rsidRPr="00457F86">
        <w:rPr>
          <w:rFonts w:ascii="Palatino Linotype" w:eastAsia="Palatino Linotype" w:hAnsi="Palatino Linotype" w:cs="Palatino Linotype"/>
          <w:b/>
          <w:sz w:val="22"/>
          <w:szCs w:val="22"/>
        </w:rPr>
        <w:t xml:space="preserve"> Recurrente</w:t>
      </w:r>
      <w:r w:rsidRPr="00457F86">
        <w:rPr>
          <w:rFonts w:ascii="Palatino Linotype" w:eastAsia="Palatino Linotype" w:hAnsi="Palatino Linotype" w:cs="Palatino Linotype"/>
          <w:sz w:val="22"/>
          <w:szCs w:val="22"/>
        </w:rPr>
        <w:t>, requirió lo siguiente:</w:t>
      </w:r>
    </w:p>
    <w:p w14:paraId="35FD6BD4" w14:textId="77777777" w:rsidR="003E0B3C" w:rsidRPr="00457F86" w:rsidRDefault="003E0B3C">
      <w:pPr>
        <w:spacing w:line="360" w:lineRule="auto"/>
        <w:jc w:val="both"/>
        <w:rPr>
          <w:rFonts w:ascii="Palatino Linotype" w:eastAsia="Palatino Linotype" w:hAnsi="Palatino Linotype" w:cs="Palatino Linotype"/>
          <w:sz w:val="22"/>
          <w:szCs w:val="22"/>
        </w:rPr>
      </w:pPr>
      <w:bookmarkStart w:id="6" w:name="_heading=h.2cruqaxkxyh" w:colFirst="0" w:colLast="0"/>
      <w:bookmarkEnd w:id="6"/>
    </w:p>
    <w:p w14:paraId="561E69FF" w14:textId="77777777" w:rsidR="003E0B3C" w:rsidRPr="00457F86" w:rsidRDefault="00C51FA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bookmarkStart w:id="7" w:name="_heading=h.s7csumfmlx5b" w:colFirst="0" w:colLast="0"/>
      <w:bookmarkEnd w:id="7"/>
      <w:r w:rsidRPr="00457F86">
        <w:rPr>
          <w:rFonts w:ascii="Palatino Linotype" w:eastAsia="Palatino Linotype" w:hAnsi="Palatino Linotype" w:cs="Palatino Linotype"/>
          <w:b/>
          <w:sz w:val="22"/>
          <w:szCs w:val="22"/>
        </w:rPr>
        <w:t xml:space="preserve">Del evento relacionado con el Tributo a Juan Gabriel del 11 de abril del presente año y del evento con motivo del Día de las madres, en donde estuvo presente el </w:t>
      </w:r>
      <w:r w:rsidRPr="00457F86">
        <w:rPr>
          <w:rFonts w:ascii="Palatino Linotype" w:eastAsia="Palatino Linotype" w:hAnsi="Palatino Linotype" w:cs="Palatino Linotype"/>
          <w:b/>
          <w:sz w:val="22"/>
          <w:szCs w:val="22"/>
        </w:rPr>
        <w:lastRenderedPageBreak/>
        <w:t>imitador de un cantante de música regional mexicana,</w:t>
      </w:r>
      <w:r w:rsidRPr="00457F86">
        <w:rPr>
          <w:rFonts w:ascii="Palatino Linotype" w:eastAsia="Palatino Linotype" w:hAnsi="Palatino Linotype" w:cs="Palatino Linotype"/>
          <w:sz w:val="22"/>
          <w:szCs w:val="22"/>
        </w:rPr>
        <w:t xml:space="preserve"> </w:t>
      </w:r>
      <w:r w:rsidRPr="00457F86">
        <w:rPr>
          <w:rFonts w:ascii="Palatino Linotype" w:eastAsia="Palatino Linotype" w:hAnsi="Palatino Linotype" w:cs="Palatino Linotype"/>
          <w:b/>
          <w:sz w:val="22"/>
          <w:szCs w:val="22"/>
        </w:rPr>
        <w:t xml:space="preserve">el 18 de mayo del presente año, ambos realizados en el Teatro Lupita, lo siguiente: </w:t>
      </w:r>
    </w:p>
    <w:p w14:paraId="67D54E80" w14:textId="77777777" w:rsidR="003E0B3C" w:rsidRPr="00457F86" w:rsidRDefault="00C51FAD">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b/>
          <w:sz w:val="22"/>
          <w:szCs w:val="22"/>
        </w:rPr>
        <w:t xml:space="preserve">Cuanto se gastó </w:t>
      </w:r>
    </w:p>
    <w:p w14:paraId="7D316FCB" w14:textId="77777777" w:rsidR="003E0B3C" w:rsidRPr="00457F86" w:rsidRDefault="00C51FAD">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b/>
          <w:sz w:val="22"/>
          <w:szCs w:val="22"/>
        </w:rPr>
        <w:t>Facturas de todo lo gastado</w:t>
      </w:r>
      <w:r w:rsidRPr="00457F86">
        <w:rPr>
          <w:rFonts w:ascii="Palatino Linotype" w:eastAsia="Palatino Linotype" w:hAnsi="Palatino Linotype" w:cs="Palatino Linotype"/>
          <w:sz w:val="22"/>
          <w:szCs w:val="22"/>
        </w:rPr>
        <w:t xml:space="preserve">. </w:t>
      </w:r>
    </w:p>
    <w:p w14:paraId="6C9AC324"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xml:space="preserve">En respuesta, el </w:t>
      </w:r>
      <w:r w:rsidRPr="00457F86">
        <w:rPr>
          <w:rFonts w:ascii="Palatino Linotype" w:eastAsia="Palatino Linotype" w:hAnsi="Palatino Linotype" w:cs="Palatino Linotype"/>
          <w:b/>
          <w:sz w:val="22"/>
          <w:szCs w:val="22"/>
        </w:rPr>
        <w:t>Sujeto Obligado</w:t>
      </w:r>
      <w:r w:rsidRPr="00457F86">
        <w:rPr>
          <w:rFonts w:ascii="Palatino Linotype" w:eastAsia="Palatino Linotype" w:hAnsi="Palatino Linotype" w:cs="Palatino Linotype"/>
          <w:sz w:val="22"/>
          <w:szCs w:val="22"/>
        </w:rPr>
        <w:t xml:space="preserve"> a través del Tesorero del Sistema Municipal para el Desarrollo Integral de la Familia de Tianguistenco informó que el Tributo a Juan Gabriel, fue subsidiado por el mismo imitador de Juan Gabriel y Joan Sebastián, ya que se trató de un evento con causa, por lo que </w:t>
      </w:r>
      <w:r w:rsidRPr="00457F86">
        <w:rPr>
          <w:rFonts w:ascii="Palatino Linotype" w:eastAsia="Palatino Linotype" w:hAnsi="Palatino Linotype" w:cs="Palatino Linotype"/>
          <w:b/>
          <w:sz w:val="22"/>
          <w:szCs w:val="22"/>
          <w:u w:val="single"/>
        </w:rPr>
        <w:t>no se generaron gastos.</w:t>
      </w:r>
    </w:p>
    <w:p w14:paraId="083D3AC9"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3004EA7E"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xml:space="preserve">Aunado a ello, informó que el evento relativo al Día de las </w:t>
      </w:r>
      <w:proofErr w:type="gramStart"/>
      <w:r w:rsidRPr="00457F86">
        <w:rPr>
          <w:rFonts w:ascii="Palatino Linotype" w:eastAsia="Palatino Linotype" w:hAnsi="Palatino Linotype" w:cs="Palatino Linotype"/>
          <w:sz w:val="22"/>
          <w:szCs w:val="22"/>
        </w:rPr>
        <w:t>Madres,</w:t>
      </w:r>
      <w:proofErr w:type="gramEnd"/>
      <w:r w:rsidRPr="00457F86">
        <w:rPr>
          <w:rFonts w:ascii="Palatino Linotype" w:eastAsia="Palatino Linotype" w:hAnsi="Palatino Linotype" w:cs="Palatino Linotype"/>
          <w:sz w:val="22"/>
          <w:szCs w:val="22"/>
        </w:rPr>
        <w:t xml:space="preserve"> no fue realizado, ni mucho menos organizado por el Sistema Municipal para el Desarrollo Integral de la Familia de Tianguistenco, por lo que con fundamento en el artículo 167 de la Ley de Transparencia y Acceso a la Información Pública del Estado de México y Municipios se deberá conducir dicha solicitud a la instancia correspondiente.</w:t>
      </w:r>
    </w:p>
    <w:p w14:paraId="47A4A376"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121FCED8"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Una vez conocidas las respuestas, la parte</w:t>
      </w:r>
      <w:r w:rsidRPr="00457F86">
        <w:rPr>
          <w:rFonts w:ascii="Palatino Linotype" w:eastAsia="Palatino Linotype" w:hAnsi="Palatino Linotype" w:cs="Palatino Linotype"/>
          <w:b/>
          <w:sz w:val="22"/>
          <w:szCs w:val="22"/>
        </w:rPr>
        <w:t xml:space="preserve"> Recurrente</w:t>
      </w:r>
      <w:r w:rsidRPr="00457F86">
        <w:rPr>
          <w:rFonts w:ascii="Palatino Linotype" w:eastAsia="Palatino Linotype" w:hAnsi="Palatino Linotype" w:cs="Palatino Linotype"/>
          <w:sz w:val="22"/>
          <w:szCs w:val="22"/>
        </w:rPr>
        <w:t xml:space="preserve"> interpuso los recursos de revisión que en este acto se resuelven, inconformándose por la negativa de la información y por la declaración de </w:t>
      </w:r>
      <w:proofErr w:type="spellStart"/>
      <w:r w:rsidRPr="00457F86">
        <w:rPr>
          <w:rFonts w:ascii="Palatino Linotype" w:eastAsia="Palatino Linotype" w:hAnsi="Palatino Linotype" w:cs="Palatino Linotype"/>
          <w:sz w:val="22"/>
          <w:szCs w:val="22"/>
        </w:rPr>
        <w:t>incompencia</w:t>
      </w:r>
      <w:proofErr w:type="spellEnd"/>
      <w:r w:rsidRPr="00457F86">
        <w:rPr>
          <w:rFonts w:ascii="Palatino Linotype" w:eastAsia="Palatino Linotype" w:hAnsi="Palatino Linotype" w:cs="Palatino Linotype"/>
          <w:sz w:val="22"/>
          <w:szCs w:val="22"/>
        </w:rPr>
        <w:t xml:space="preserve">. </w:t>
      </w:r>
    </w:p>
    <w:p w14:paraId="694EFA4D"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15E540E7"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xml:space="preserve">Posteriormente se decretó la admisión de los medios de impugnación que nos ocupan y se integraron los respectivos expedientes, teniendo así que el </w:t>
      </w:r>
      <w:r w:rsidRPr="00457F86">
        <w:rPr>
          <w:rFonts w:ascii="Palatino Linotype" w:eastAsia="Palatino Linotype" w:hAnsi="Palatino Linotype" w:cs="Palatino Linotype"/>
          <w:b/>
          <w:sz w:val="22"/>
          <w:szCs w:val="22"/>
        </w:rPr>
        <w:t xml:space="preserve">Sujeto Obligado </w:t>
      </w:r>
      <w:r w:rsidRPr="00457F86">
        <w:rPr>
          <w:rFonts w:ascii="Palatino Linotype" w:eastAsia="Palatino Linotype" w:hAnsi="Palatino Linotype" w:cs="Palatino Linotype"/>
          <w:sz w:val="22"/>
          <w:szCs w:val="22"/>
        </w:rPr>
        <w:t>en sus informes justificados ratificó sus respuestas.</w:t>
      </w:r>
    </w:p>
    <w:p w14:paraId="16F7AB19" w14:textId="77777777" w:rsidR="003E0B3C" w:rsidRPr="00457F86" w:rsidRDefault="003E0B3C">
      <w:pPr>
        <w:spacing w:line="360" w:lineRule="auto"/>
        <w:jc w:val="both"/>
        <w:rPr>
          <w:rFonts w:ascii="Palatino Linotype" w:eastAsia="Palatino Linotype" w:hAnsi="Palatino Linotype" w:cs="Palatino Linotype"/>
          <w:b/>
          <w:sz w:val="22"/>
          <w:szCs w:val="22"/>
        </w:rPr>
      </w:pPr>
    </w:p>
    <w:p w14:paraId="366B9501" w14:textId="77777777" w:rsidR="003E0B3C" w:rsidRPr="00457F86" w:rsidRDefault="00C51FAD">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lastRenderedPageBreak/>
        <w:t xml:space="preserve">Dicho lo anterior, se procede al análisis de cada uno de los puntos solicitados en el requerimiento de información, al tenor de lo siguiente: </w:t>
      </w:r>
    </w:p>
    <w:p w14:paraId="584026AC" w14:textId="77777777" w:rsidR="003E0B3C" w:rsidRPr="00457F86" w:rsidRDefault="003E0B3C">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3018701F" w14:textId="77777777" w:rsidR="003E0B3C" w:rsidRPr="00457F86" w:rsidRDefault="00C51FAD">
      <w:pPr>
        <w:pBdr>
          <w:top w:val="nil"/>
          <w:left w:val="nil"/>
          <w:bottom w:val="nil"/>
          <w:right w:val="nil"/>
          <w:between w:val="nil"/>
        </w:pBdr>
        <w:spacing w:line="360" w:lineRule="auto"/>
        <w:ind w:right="-7"/>
        <w:jc w:val="both"/>
        <w:rPr>
          <w:rFonts w:ascii="Palatino Linotype" w:eastAsia="Palatino Linotype" w:hAnsi="Palatino Linotype" w:cs="Palatino Linotype"/>
          <w:b/>
          <w:sz w:val="22"/>
          <w:szCs w:val="22"/>
        </w:rPr>
      </w:pPr>
      <w:r w:rsidRPr="00457F86">
        <w:rPr>
          <w:rFonts w:ascii="Palatino Linotype" w:eastAsia="Palatino Linotype" w:hAnsi="Palatino Linotype" w:cs="Palatino Linotype"/>
          <w:sz w:val="22"/>
          <w:szCs w:val="22"/>
        </w:rPr>
        <w:t xml:space="preserve">Ahora bien, de las constancias que obran en los expedientes se logra vislumbrar que el </w:t>
      </w:r>
      <w:r w:rsidRPr="00457F86">
        <w:rPr>
          <w:rFonts w:ascii="Palatino Linotype" w:eastAsia="Palatino Linotype" w:hAnsi="Palatino Linotype" w:cs="Palatino Linotype"/>
          <w:b/>
          <w:sz w:val="22"/>
          <w:szCs w:val="22"/>
        </w:rPr>
        <w:t>Sujeto Obligado</w:t>
      </w:r>
      <w:r w:rsidRPr="00457F86">
        <w:rPr>
          <w:rFonts w:ascii="Palatino Linotype" w:eastAsia="Palatino Linotype" w:hAnsi="Palatino Linotype" w:cs="Palatino Linotype"/>
          <w:sz w:val="22"/>
          <w:szCs w:val="22"/>
        </w:rPr>
        <w:t xml:space="preserve"> turnó la solicitud de información a la unidad administrativa competente, a saber la Tesorería del Sistema Municipal,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349234B9" w14:textId="77777777" w:rsidR="003E0B3C" w:rsidRPr="00457F86" w:rsidRDefault="003E0B3C">
      <w:pPr>
        <w:spacing w:line="360" w:lineRule="auto"/>
        <w:ind w:right="560"/>
        <w:jc w:val="both"/>
        <w:rPr>
          <w:rFonts w:ascii="Palatino Linotype" w:eastAsia="Palatino Linotype" w:hAnsi="Palatino Linotype" w:cs="Palatino Linotype"/>
          <w:sz w:val="22"/>
          <w:szCs w:val="22"/>
        </w:rPr>
      </w:pPr>
    </w:p>
    <w:p w14:paraId="67FD606A" w14:textId="77777777" w:rsidR="003E0B3C" w:rsidRPr="00457F86" w:rsidRDefault="00C51FAD">
      <w:pPr>
        <w:numPr>
          <w:ilvl w:val="3"/>
          <w:numId w:val="6"/>
        </w:num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Las Unidades de Transparencia garantizarán que las solicitudes de acceso a la información se turnen a todas las áreas competentes que cuenten con la información o deban tenerla -</w:t>
      </w:r>
      <w:proofErr w:type="gramStart"/>
      <w:r w:rsidRPr="00457F86">
        <w:rPr>
          <w:rFonts w:ascii="Palatino Linotype" w:eastAsia="Palatino Linotype" w:hAnsi="Palatino Linotype" w:cs="Palatino Linotype"/>
          <w:sz w:val="22"/>
          <w:szCs w:val="22"/>
        </w:rPr>
        <w:t>de acuerdo a</w:t>
      </w:r>
      <w:proofErr w:type="gramEnd"/>
      <w:r w:rsidRPr="00457F86">
        <w:rPr>
          <w:rFonts w:ascii="Palatino Linotype" w:eastAsia="Palatino Linotype" w:hAnsi="Palatino Linotype" w:cs="Palatino Linotype"/>
          <w:sz w:val="22"/>
          <w:szCs w:val="22"/>
        </w:rPr>
        <w:t xml:space="preserve"> las facultades, competencias y funciones-, con el objeto de que dichas áreas realicen una búsqueda exhaustiva y razonable de la información requerida, y</w:t>
      </w:r>
    </w:p>
    <w:p w14:paraId="7E68C016" w14:textId="77777777" w:rsidR="003E0B3C" w:rsidRPr="00457F86" w:rsidRDefault="003E0B3C">
      <w:pPr>
        <w:spacing w:line="360" w:lineRule="auto"/>
        <w:ind w:left="567" w:right="560"/>
        <w:jc w:val="both"/>
        <w:rPr>
          <w:rFonts w:ascii="Palatino Linotype" w:eastAsia="Palatino Linotype" w:hAnsi="Palatino Linotype" w:cs="Palatino Linotype"/>
          <w:sz w:val="22"/>
          <w:szCs w:val="22"/>
        </w:rPr>
      </w:pPr>
    </w:p>
    <w:p w14:paraId="139DF652" w14:textId="77777777" w:rsidR="003E0B3C" w:rsidRPr="00457F86" w:rsidRDefault="00C51FAD">
      <w:pPr>
        <w:numPr>
          <w:ilvl w:val="3"/>
          <w:numId w:val="6"/>
        </w:num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2DFF51AD" w14:textId="77777777" w:rsidR="003E0B3C" w:rsidRPr="00457F86" w:rsidRDefault="003E0B3C">
      <w:pPr>
        <w:spacing w:line="360" w:lineRule="auto"/>
        <w:ind w:right="560"/>
        <w:jc w:val="both"/>
        <w:rPr>
          <w:rFonts w:ascii="Palatino Linotype" w:eastAsia="Palatino Linotype" w:hAnsi="Palatino Linotype" w:cs="Palatino Linotype"/>
          <w:sz w:val="22"/>
          <w:szCs w:val="22"/>
        </w:rPr>
      </w:pPr>
    </w:p>
    <w:p w14:paraId="36ED21EE" w14:textId="77777777" w:rsidR="003E0B3C" w:rsidRPr="00457F86" w:rsidRDefault="00C51FAD">
      <w:pPr>
        <w:spacing w:line="360" w:lineRule="auto"/>
        <w:ind w:right="49"/>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xml:space="preserve">Así, conforme a lo establecido en párrafos anteriores, el </w:t>
      </w:r>
      <w:r w:rsidRPr="00457F86">
        <w:rPr>
          <w:rFonts w:ascii="Palatino Linotype" w:eastAsia="Palatino Linotype" w:hAnsi="Palatino Linotype" w:cs="Palatino Linotype"/>
          <w:b/>
          <w:sz w:val="22"/>
          <w:szCs w:val="22"/>
        </w:rPr>
        <w:t>Sujeto Obligado</w:t>
      </w:r>
      <w:r w:rsidRPr="00457F86">
        <w:rPr>
          <w:rFonts w:ascii="Palatino Linotype" w:eastAsia="Palatino Linotype" w:hAnsi="Palatino Linotype" w:cs="Palatino Linotype"/>
          <w:sz w:val="22"/>
          <w:szCs w:val="22"/>
        </w:rPr>
        <w:t xml:space="preserve"> cumplió con el procedimiento de búsqueda establecido en el artículo 162 de la Ley de Transparencia y </w:t>
      </w:r>
      <w:r w:rsidRPr="00457F86">
        <w:rPr>
          <w:rFonts w:ascii="Palatino Linotype" w:eastAsia="Palatino Linotype" w:hAnsi="Palatino Linotype" w:cs="Palatino Linotype"/>
          <w:sz w:val="22"/>
          <w:szCs w:val="22"/>
        </w:rPr>
        <w:lastRenderedPageBreak/>
        <w:t>Acceso a la Información Pública del Estado de México y Municipios, al gestionar el requerimiento de información al área competente para conocer de lo peticionado, de conformidad con el artículo 22 del Reglamento Interno del Sistema Municipal Para el Desarrollo Integral de la Familia de Tianguistenco, que señala lo siguiente:</w:t>
      </w:r>
    </w:p>
    <w:p w14:paraId="423B7742" w14:textId="77777777" w:rsidR="003E0B3C" w:rsidRPr="00457F86" w:rsidRDefault="003E0B3C">
      <w:pPr>
        <w:spacing w:line="360" w:lineRule="auto"/>
        <w:ind w:right="49"/>
        <w:jc w:val="both"/>
        <w:rPr>
          <w:rFonts w:ascii="Palatino Linotype" w:eastAsia="Palatino Linotype" w:hAnsi="Palatino Linotype" w:cs="Palatino Linotype"/>
          <w:sz w:val="22"/>
          <w:szCs w:val="22"/>
        </w:rPr>
      </w:pPr>
    </w:p>
    <w:p w14:paraId="7E5B09F8" w14:textId="77777777" w:rsidR="003E0B3C" w:rsidRPr="00457F86" w:rsidRDefault="00C51FAD">
      <w:pPr>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t>“</w:t>
      </w:r>
      <w:r w:rsidRPr="00457F86">
        <w:rPr>
          <w:rFonts w:ascii="Palatino Linotype" w:eastAsia="Palatino Linotype" w:hAnsi="Palatino Linotype" w:cs="Palatino Linotype"/>
          <w:b/>
          <w:i/>
          <w:sz w:val="22"/>
          <w:szCs w:val="22"/>
        </w:rPr>
        <w:t>ARTÍCULO 22.-</w:t>
      </w:r>
      <w:r w:rsidRPr="00457F86">
        <w:rPr>
          <w:rFonts w:ascii="Palatino Linotype" w:eastAsia="Palatino Linotype" w:hAnsi="Palatino Linotype" w:cs="Palatino Linotype"/>
          <w:i/>
          <w:sz w:val="22"/>
          <w:szCs w:val="22"/>
        </w:rPr>
        <w:t xml:space="preserve"> Corresponde a la Tesorería del Sistema, a través de su Titular, el ejercicio de las atribuciones siguientes: </w:t>
      </w:r>
    </w:p>
    <w:p w14:paraId="059A7DFC" w14:textId="77777777" w:rsidR="003E0B3C" w:rsidRPr="00457F86" w:rsidRDefault="003E0B3C">
      <w:pPr>
        <w:ind w:left="851" w:right="616"/>
        <w:jc w:val="both"/>
        <w:rPr>
          <w:rFonts w:ascii="Palatino Linotype" w:eastAsia="Palatino Linotype" w:hAnsi="Palatino Linotype" w:cs="Palatino Linotype"/>
          <w:i/>
          <w:sz w:val="22"/>
          <w:szCs w:val="22"/>
        </w:rPr>
      </w:pPr>
    </w:p>
    <w:p w14:paraId="12DFEF03" w14:textId="77777777" w:rsidR="003E0B3C" w:rsidRPr="00457F86" w:rsidRDefault="00C51FAD">
      <w:pPr>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b/>
          <w:i/>
          <w:sz w:val="22"/>
          <w:szCs w:val="22"/>
        </w:rPr>
        <w:t>I. El Tesorero será el responsable del manejo del presupuesto del Sistema Municipal</w:t>
      </w:r>
      <w:r w:rsidRPr="00457F86">
        <w:rPr>
          <w:rFonts w:ascii="Palatino Linotype" w:eastAsia="Palatino Linotype" w:hAnsi="Palatino Linotype" w:cs="Palatino Linotype"/>
          <w:i/>
          <w:sz w:val="22"/>
          <w:szCs w:val="22"/>
        </w:rPr>
        <w:t xml:space="preserve">, y de la administración de los recursos que conforman el patrimonio del organismo, lo cual hará en coordinación con el director, debiendo informar los estados financieros mensualmente a la Junta de Gobierno o cuando esta y la presidencia lo soliciten, además tendrá las siguientes atribuciones. </w:t>
      </w:r>
    </w:p>
    <w:p w14:paraId="33E0FDFD" w14:textId="77777777" w:rsidR="003E0B3C" w:rsidRPr="00457F86" w:rsidRDefault="00C51FAD">
      <w:pPr>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b/>
          <w:i/>
          <w:sz w:val="22"/>
          <w:szCs w:val="22"/>
        </w:rPr>
        <w:t xml:space="preserve">II. Administrar los recursos que conforman el patrimonio del organismo </w:t>
      </w:r>
      <w:r w:rsidRPr="00457F86">
        <w:rPr>
          <w:rFonts w:ascii="Palatino Linotype" w:eastAsia="Palatino Linotype" w:hAnsi="Palatino Linotype" w:cs="Palatino Linotype"/>
          <w:i/>
          <w:sz w:val="22"/>
          <w:szCs w:val="22"/>
        </w:rPr>
        <w:t xml:space="preserve">de conformidad con lo establecido en las disposiciones legales aplicables; </w:t>
      </w:r>
    </w:p>
    <w:p w14:paraId="597C99B7" w14:textId="77777777" w:rsidR="003E0B3C" w:rsidRPr="00457F86" w:rsidRDefault="00C51FAD">
      <w:pPr>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b/>
          <w:i/>
          <w:sz w:val="22"/>
          <w:szCs w:val="22"/>
          <w:u w:val="single"/>
        </w:rPr>
        <w:t>III. Llevar los libros y registros contables, financieros y administrativos de los</w:t>
      </w:r>
      <w:r w:rsidRPr="00457F86">
        <w:rPr>
          <w:rFonts w:ascii="Palatino Linotype" w:eastAsia="Palatino Linotype" w:hAnsi="Palatino Linotype" w:cs="Palatino Linotype"/>
          <w:i/>
          <w:sz w:val="22"/>
          <w:szCs w:val="22"/>
        </w:rPr>
        <w:t xml:space="preserve"> ingresos</w:t>
      </w:r>
      <w:r w:rsidRPr="00457F86">
        <w:rPr>
          <w:rFonts w:ascii="Palatino Linotype" w:eastAsia="Palatino Linotype" w:hAnsi="Palatino Linotype" w:cs="Palatino Linotype"/>
          <w:b/>
          <w:i/>
          <w:sz w:val="22"/>
          <w:szCs w:val="22"/>
          <w:u w:val="single"/>
        </w:rPr>
        <w:t>, egresos</w:t>
      </w:r>
      <w:r w:rsidRPr="00457F86">
        <w:rPr>
          <w:rFonts w:ascii="Palatino Linotype" w:eastAsia="Palatino Linotype" w:hAnsi="Palatino Linotype" w:cs="Palatino Linotype"/>
          <w:i/>
          <w:sz w:val="22"/>
          <w:szCs w:val="22"/>
        </w:rPr>
        <w:t xml:space="preserve"> e inventarios: </w:t>
      </w:r>
    </w:p>
    <w:p w14:paraId="1C21F446" w14:textId="77777777" w:rsidR="003E0B3C" w:rsidRPr="00457F86" w:rsidRDefault="00C51FAD">
      <w:pPr>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t>…</w:t>
      </w:r>
    </w:p>
    <w:p w14:paraId="5DA4DF65" w14:textId="77777777" w:rsidR="003E0B3C" w:rsidRPr="00457F86" w:rsidRDefault="00C51FAD">
      <w:pPr>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b/>
          <w:i/>
          <w:sz w:val="22"/>
          <w:szCs w:val="22"/>
        </w:rPr>
        <w:t>IX. Programar y autorizar las erogaciones o pagos o pagos con cargo al presupuesto de egresos del organism</w:t>
      </w:r>
      <w:r w:rsidRPr="00457F86">
        <w:rPr>
          <w:rFonts w:ascii="Palatino Linotype" w:eastAsia="Palatino Linotype" w:hAnsi="Palatino Linotype" w:cs="Palatino Linotype"/>
          <w:i/>
          <w:sz w:val="22"/>
          <w:szCs w:val="22"/>
        </w:rPr>
        <w:t>o; Aplicar y controlar las asignaciones financieras con motivo del desarrollo de las funciones del Organismo; …”</w:t>
      </w:r>
    </w:p>
    <w:p w14:paraId="191B07DA" w14:textId="77777777" w:rsidR="003E0B3C" w:rsidRPr="00457F86" w:rsidRDefault="00C51FAD">
      <w:pPr>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t>(Énfasis Añadido)</w:t>
      </w:r>
    </w:p>
    <w:p w14:paraId="3D08E7B9"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19AE8085" w14:textId="77777777" w:rsidR="003E0B3C" w:rsidRPr="00457F86" w:rsidRDefault="00C51FAD">
      <w:pPr>
        <w:pBdr>
          <w:top w:val="nil"/>
          <w:left w:val="nil"/>
          <w:bottom w:val="nil"/>
          <w:right w:val="nil"/>
          <w:between w:val="nil"/>
        </w:pBdr>
        <w:spacing w:line="360" w:lineRule="auto"/>
        <w:ind w:right="49"/>
        <w:jc w:val="both"/>
        <w:rPr>
          <w:rFonts w:ascii="Palatino Linotype" w:eastAsia="Palatino Linotype" w:hAnsi="Palatino Linotype" w:cs="Palatino Linotype"/>
          <w:b/>
          <w:i/>
          <w:sz w:val="22"/>
          <w:szCs w:val="22"/>
        </w:rPr>
      </w:pPr>
      <w:r w:rsidRPr="00457F86">
        <w:rPr>
          <w:rFonts w:ascii="Palatino Linotype" w:eastAsia="Palatino Linotype" w:hAnsi="Palatino Linotype" w:cs="Palatino Linotype"/>
          <w:sz w:val="22"/>
          <w:szCs w:val="22"/>
        </w:rPr>
        <w:t xml:space="preserve">Por otro lado, en lo que respecta a la información solicitada, es de mencionar lo que establece el Glosario de Términos Hacendarios que emite el Instituto Hacendario del Estado de México, el cual define como </w:t>
      </w:r>
      <w:r w:rsidRPr="00457F86">
        <w:rPr>
          <w:rFonts w:ascii="Palatino Linotype" w:eastAsia="Palatino Linotype" w:hAnsi="Palatino Linotype" w:cs="Palatino Linotype"/>
          <w:i/>
          <w:sz w:val="22"/>
          <w:szCs w:val="22"/>
        </w:rPr>
        <w:t>“factura” al</w:t>
      </w:r>
      <w:r w:rsidRPr="00457F86">
        <w:rPr>
          <w:rFonts w:ascii="Palatino Linotype" w:eastAsia="Palatino Linotype" w:hAnsi="Palatino Linotype" w:cs="Palatino Linotype"/>
          <w:b/>
          <w:i/>
          <w:sz w:val="22"/>
          <w:szCs w:val="22"/>
        </w:rPr>
        <w:t xml:space="preserve"> documento fiscal que emite la persona física o moral para comprobar la venta o adquisición de un bien y/o servicio.</w:t>
      </w:r>
    </w:p>
    <w:p w14:paraId="56853FC3" w14:textId="77777777" w:rsidR="003E0B3C" w:rsidRPr="00457F86" w:rsidRDefault="003E0B3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0EC06B0" w14:textId="77777777" w:rsidR="003E0B3C" w:rsidRPr="00457F86" w:rsidRDefault="00C51FAD">
      <w:pPr>
        <w:spacing w:line="360" w:lineRule="auto"/>
        <w:ind w:right="-7"/>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lastRenderedPageBreak/>
        <w:t xml:space="preserve">En ese sentido, es de señalar que cuando las facturas amparan las erogaciones que se realizan con </w:t>
      </w:r>
      <w:proofErr w:type="gramStart"/>
      <w:r w:rsidRPr="00457F86">
        <w:rPr>
          <w:rFonts w:ascii="Palatino Linotype" w:eastAsia="Palatino Linotype" w:hAnsi="Palatino Linotype" w:cs="Palatino Linotype"/>
          <w:sz w:val="22"/>
          <w:szCs w:val="22"/>
        </w:rPr>
        <w:t>erario público</w:t>
      </w:r>
      <w:proofErr w:type="gramEnd"/>
      <w:r w:rsidRPr="00457F86">
        <w:rPr>
          <w:rFonts w:ascii="Palatino Linotype" w:eastAsia="Palatino Linotype" w:hAnsi="Palatino Linotype" w:cs="Palatino Linotype"/>
          <w:sz w:val="22"/>
          <w:szCs w:val="22"/>
        </w:rPr>
        <w:t xml:space="preserve"> tienen naturaleza pública, pues constituyen un medio idóneo de evidencia del gasto realizado con recursos públicos. </w:t>
      </w:r>
    </w:p>
    <w:p w14:paraId="09C96888" w14:textId="77777777" w:rsidR="003E0B3C" w:rsidRPr="00457F86" w:rsidRDefault="003E0B3C">
      <w:pPr>
        <w:spacing w:line="360" w:lineRule="auto"/>
        <w:ind w:right="49"/>
        <w:jc w:val="both"/>
        <w:rPr>
          <w:rFonts w:ascii="Palatino Linotype" w:eastAsia="Palatino Linotype" w:hAnsi="Palatino Linotype" w:cs="Palatino Linotype"/>
          <w:sz w:val="22"/>
          <w:szCs w:val="22"/>
        </w:rPr>
      </w:pPr>
    </w:p>
    <w:p w14:paraId="0EBBCDAD" w14:textId="77777777" w:rsidR="003E0B3C" w:rsidRPr="00457F86" w:rsidRDefault="00C51FAD">
      <w:pPr>
        <w:spacing w:line="360" w:lineRule="auto"/>
        <w:ind w:right="49"/>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xml:space="preserve">Asimismo, el Código Financiero del Estado de México, establece en su artículo 344 lo siguiente: </w:t>
      </w:r>
    </w:p>
    <w:p w14:paraId="55CE1607" w14:textId="77777777" w:rsidR="003E0B3C" w:rsidRPr="00457F86" w:rsidRDefault="003E0B3C">
      <w:pPr>
        <w:spacing w:line="360" w:lineRule="auto"/>
        <w:ind w:right="49"/>
        <w:jc w:val="both"/>
        <w:rPr>
          <w:rFonts w:ascii="Palatino Linotype" w:eastAsia="Palatino Linotype" w:hAnsi="Palatino Linotype" w:cs="Palatino Linotype"/>
          <w:sz w:val="22"/>
          <w:szCs w:val="22"/>
        </w:rPr>
      </w:pPr>
    </w:p>
    <w:p w14:paraId="5E2FDC83" w14:textId="77777777" w:rsidR="003E0B3C" w:rsidRPr="00457F86" w:rsidRDefault="00C51FAD">
      <w:pPr>
        <w:spacing w:line="276" w:lineRule="auto"/>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b/>
          <w:i/>
          <w:sz w:val="22"/>
          <w:szCs w:val="22"/>
        </w:rPr>
        <w:t>Artículo 344.-</w:t>
      </w:r>
      <w:r w:rsidRPr="00457F86">
        <w:rPr>
          <w:rFonts w:ascii="Palatino Linotype" w:eastAsia="Palatino Linotype" w:hAnsi="Palatino Linotype" w:cs="Palatino Linotype"/>
          <w:i/>
          <w:sz w:val="22"/>
          <w:szCs w:val="22"/>
        </w:rPr>
        <w:t xml:space="preserve"> </w:t>
      </w:r>
      <w:r w:rsidRPr="00457F86">
        <w:rPr>
          <w:rFonts w:ascii="Palatino Linotype" w:eastAsia="Palatino Linotype" w:hAnsi="Palatino Linotype" w:cs="Palatino Linotype"/>
          <w:b/>
          <w:i/>
          <w:sz w:val="22"/>
          <w:szCs w:val="22"/>
          <w:u w:val="single"/>
        </w:rPr>
        <w:t>Los Entes Públicos, a través de cualquiera de sus unidades administrativas</w:t>
      </w:r>
      <w:r w:rsidRPr="00457F86">
        <w:rPr>
          <w:rFonts w:ascii="Palatino Linotype" w:eastAsia="Palatino Linotype" w:hAnsi="Palatino Linotype" w:cs="Palatino Linotype"/>
          <w:i/>
          <w:sz w:val="22"/>
          <w:szCs w:val="22"/>
        </w:rPr>
        <w:t xml:space="preserve">, de acuerdo con su naturaleza jurídica y según corresponda, </w:t>
      </w:r>
      <w:r w:rsidRPr="00457F86">
        <w:rPr>
          <w:rFonts w:ascii="Palatino Linotype" w:eastAsia="Palatino Linotype" w:hAnsi="Palatino Linotype" w:cs="Palatino Linotype"/>
          <w:b/>
          <w:i/>
          <w:sz w:val="22"/>
          <w:szCs w:val="22"/>
          <w:u w:val="single"/>
        </w:rPr>
        <w:t>registrarán contablemente el efecto patrimonial y presupuestal de las operaciones financieras que realicen, en el momento en que ocurran, con base en el sistema y políticas de registro establecidas</w:t>
      </w:r>
      <w:r w:rsidRPr="00457F86">
        <w:rPr>
          <w:rFonts w:ascii="Palatino Linotype" w:eastAsia="Palatino Linotype" w:hAnsi="Palatino Linotype" w:cs="Palatino Linotype"/>
          <w:i/>
          <w:sz w:val="22"/>
          <w:szCs w:val="22"/>
        </w:rPr>
        <w:t>, en el caso de los Municipios</w:t>
      </w:r>
      <w:r w:rsidRPr="00457F86">
        <w:rPr>
          <w:rFonts w:ascii="Palatino Linotype" w:eastAsia="Palatino Linotype" w:hAnsi="Palatino Linotype" w:cs="Palatino Linotype"/>
          <w:b/>
          <w:i/>
          <w:sz w:val="22"/>
          <w:szCs w:val="22"/>
          <w:u w:val="single"/>
        </w:rPr>
        <w:t>, se hará por la Tesorería.</w:t>
      </w:r>
      <w:r w:rsidRPr="00457F86">
        <w:rPr>
          <w:rFonts w:ascii="Palatino Linotype" w:eastAsia="Palatino Linotype" w:hAnsi="Palatino Linotype" w:cs="Palatino Linotype"/>
          <w:i/>
          <w:sz w:val="22"/>
          <w:szCs w:val="22"/>
        </w:rPr>
        <w:t xml:space="preserve"> </w:t>
      </w:r>
    </w:p>
    <w:p w14:paraId="6D2B82DA" w14:textId="77777777" w:rsidR="003E0B3C" w:rsidRPr="00457F86" w:rsidRDefault="003E0B3C">
      <w:pPr>
        <w:spacing w:line="276" w:lineRule="auto"/>
        <w:ind w:left="851" w:right="616"/>
        <w:jc w:val="both"/>
        <w:rPr>
          <w:rFonts w:ascii="Palatino Linotype" w:eastAsia="Palatino Linotype" w:hAnsi="Palatino Linotype" w:cs="Palatino Linotype"/>
          <w:i/>
          <w:sz w:val="22"/>
          <w:szCs w:val="22"/>
        </w:rPr>
      </w:pPr>
    </w:p>
    <w:p w14:paraId="3947C94D" w14:textId="77777777" w:rsidR="003E0B3C" w:rsidRPr="00457F86" w:rsidRDefault="00C51FAD">
      <w:pPr>
        <w:spacing w:line="276" w:lineRule="auto"/>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b/>
          <w:i/>
          <w:sz w:val="22"/>
          <w:szCs w:val="22"/>
          <w:u w:val="single"/>
        </w:rPr>
        <w:t>Todo registro contable y presupuestal deberá estar soportado con los documentos comprobatorios originales o en medios electrónicos, los que deberán permanecer en custodia y conservación</w:t>
      </w:r>
      <w:r w:rsidRPr="00457F86">
        <w:rPr>
          <w:rFonts w:ascii="Palatino Linotype" w:eastAsia="Palatino Linotype" w:hAnsi="Palatino Linotype" w:cs="Palatino Linotype"/>
          <w:i/>
          <w:sz w:val="22"/>
          <w:szCs w:val="22"/>
        </w:rPr>
        <w:t xml:space="preserve"> de los Entes Públicos a través de las unidades administrativas que ejercieron el gasto y a disposición de los Órganos de Fiscalización locales y federales, según corresponda, así como de los órganos internos de control, por un término de cinco años, contados a partir del ejercicio presupuestal siguiente al que corresponda, en el caso de los Municipios, dicha obligación corresponderá a la Tesorería. </w:t>
      </w:r>
    </w:p>
    <w:p w14:paraId="12025C3A" w14:textId="77777777" w:rsidR="003E0B3C" w:rsidRPr="00457F86" w:rsidRDefault="003E0B3C">
      <w:pPr>
        <w:spacing w:line="276" w:lineRule="auto"/>
        <w:ind w:left="851" w:right="616"/>
        <w:jc w:val="both"/>
        <w:rPr>
          <w:rFonts w:ascii="Palatino Linotype" w:eastAsia="Palatino Linotype" w:hAnsi="Palatino Linotype" w:cs="Palatino Linotype"/>
          <w:i/>
          <w:sz w:val="22"/>
          <w:szCs w:val="22"/>
        </w:rPr>
      </w:pPr>
    </w:p>
    <w:p w14:paraId="7F98DAF5" w14:textId="77777777" w:rsidR="003E0B3C" w:rsidRPr="00457F86" w:rsidRDefault="00C51FAD">
      <w:pPr>
        <w:spacing w:line="276" w:lineRule="auto"/>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t>Tratándose de documentos de carácter histórico, se estará a lo dispuesto por la legislación de la materia.</w:t>
      </w:r>
    </w:p>
    <w:p w14:paraId="2614EA8F" w14:textId="77777777" w:rsidR="003E0B3C" w:rsidRPr="00457F86" w:rsidRDefault="003E0B3C">
      <w:pPr>
        <w:spacing w:line="360" w:lineRule="auto"/>
        <w:ind w:right="49"/>
        <w:jc w:val="both"/>
        <w:rPr>
          <w:rFonts w:ascii="Palatino Linotype" w:eastAsia="Palatino Linotype" w:hAnsi="Palatino Linotype" w:cs="Palatino Linotype"/>
          <w:sz w:val="22"/>
          <w:szCs w:val="22"/>
        </w:rPr>
      </w:pPr>
    </w:p>
    <w:p w14:paraId="0B7725AD" w14:textId="77777777" w:rsidR="003E0B3C" w:rsidRPr="00457F86" w:rsidRDefault="00C51FAD">
      <w:pPr>
        <w:spacing w:line="360" w:lineRule="auto"/>
        <w:ind w:right="49"/>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xml:space="preserve">Es así que, los entes públicos deberán registrar contablemente las operaciones financieras que realicen, el cual deberá estar soportado con los documentos comprobatorios originales </w:t>
      </w:r>
      <w:r w:rsidRPr="00457F86">
        <w:rPr>
          <w:rFonts w:ascii="Palatino Linotype" w:eastAsia="Palatino Linotype" w:hAnsi="Palatino Linotype" w:cs="Palatino Linotype"/>
          <w:sz w:val="22"/>
          <w:szCs w:val="22"/>
        </w:rPr>
        <w:lastRenderedPageBreak/>
        <w:t xml:space="preserve">o en medios electrónicos, sin embargo, si bien es cierto, el Código Financiero del Estado de México y Municipios establece la obligación de llevar registros contables y presupuestales, también lo es que no define qué se debe entender por estos, por lo que, de conformidad con el </w:t>
      </w:r>
      <w:r w:rsidRPr="00457F86">
        <w:rPr>
          <w:rFonts w:ascii="Palatino Linotype" w:eastAsia="Palatino Linotype" w:hAnsi="Palatino Linotype" w:cs="Palatino Linotype"/>
          <w:i/>
          <w:sz w:val="22"/>
          <w:szCs w:val="22"/>
        </w:rPr>
        <w:t>Glosario de Términos Administrativos</w:t>
      </w:r>
      <w:r w:rsidRPr="00457F86">
        <w:rPr>
          <w:rFonts w:ascii="Palatino Linotype" w:eastAsia="Palatino Linotype" w:hAnsi="Palatino Linotype" w:cs="Palatino Linotype"/>
          <w:sz w:val="22"/>
          <w:szCs w:val="22"/>
        </w:rPr>
        <w:t xml:space="preserve"> y el </w:t>
      </w:r>
      <w:r w:rsidRPr="00457F86">
        <w:rPr>
          <w:rFonts w:ascii="Palatino Linotype" w:eastAsia="Palatino Linotype" w:hAnsi="Palatino Linotype" w:cs="Palatino Linotype"/>
          <w:i/>
          <w:sz w:val="22"/>
          <w:szCs w:val="22"/>
        </w:rPr>
        <w:t>Glosario de Términos para el Proceso de Planeación, Programación, Presupuestación y Evaluación en la Administración Pública</w:t>
      </w:r>
      <w:r w:rsidRPr="00457F86">
        <w:rPr>
          <w:rFonts w:ascii="Palatino Linotype" w:eastAsia="Palatino Linotype" w:hAnsi="Palatino Linotype" w:cs="Palatino Linotype"/>
          <w:sz w:val="22"/>
          <w:szCs w:val="22"/>
        </w:rPr>
        <w:t xml:space="preserve">, definen los registros como: </w:t>
      </w:r>
    </w:p>
    <w:p w14:paraId="74ED1A63" w14:textId="77777777" w:rsidR="003E0B3C" w:rsidRPr="00457F86" w:rsidRDefault="003E0B3C">
      <w:pPr>
        <w:spacing w:line="360" w:lineRule="auto"/>
        <w:ind w:left="567" w:right="560"/>
        <w:jc w:val="both"/>
        <w:rPr>
          <w:rFonts w:ascii="Palatino Linotype" w:eastAsia="Palatino Linotype" w:hAnsi="Palatino Linotype" w:cs="Palatino Linotype"/>
          <w:i/>
          <w:sz w:val="22"/>
          <w:szCs w:val="22"/>
        </w:rPr>
      </w:pPr>
    </w:p>
    <w:p w14:paraId="471A3F2D" w14:textId="77777777" w:rsidR="003E0B3C" w:rsidRPr="00457F86" w:rsidRDefault="00C51FAD">
      <w:pPr>
        <w:spacing w:line="276" w:lineRule="auto"/>
        <w:ind w:left="851" w:right="560"/>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b/>
          <w:i/>
          <w:sz w:val="22"/>
          <w:szCs w:val="22"/>
        </w:rPr>
        <w:t xml:space="preserve">Registro contable. </w:t>
      </w:r>
      <w:r w:rsidRPr="00457F86">
        <w:rPr>
          <w:rFonts w:ascii="Palatino Linotype" w:eastAsia="Palatino Linotype" w:hAnsi="Palatino Linotype" w:cs="Palatino Linotype"/>
          <w:i/>
          <w:sz w:val="22"/>
          <w:szCs w:val="22"/>
        </w:rPr>
        <w:t xml:space="preserve">Asiento que se realiza en los libros de contabilidad de las actividades relacionadas con el ingreso y egreso de un ente económico. </w:t>
      </w:r>
    </w:p>
    <w:p w14:paraId="54F67AE3" w14:textId="77777777" w:rsidR="003E0B3C" w:rsidRPr="00457F86" w:rsidRDefault="003E0B3C">
      <w:pPr>
        <w:spacing w:line="276" w:lineRule="auto"/>
        <w:ind w:left="851" w:right="560"/>
        <w:jc w:val="both"/>
        <w:rPr>
          <w:rFonts w:ascii="Palatino Linotype" w:eastAsia="Palatino Linotype" w:hAnsi="Palatino Linotype" w:cs="Palatino Linotype"/>
          <w:i/>
          <w:sz w:val="22"/>
          <w:szCs w:val="22"/>
        </w:rPr>
      </w:pPr>
    </w:p>
    <w:p w14:paraId="0ED532A1" w14:textId="77777777" w:rsidR="003E0B3C" w:rsidRPr="00457F86" w:rsidRDefault="00C51FAD">
      <w:pPr>
        <w:spacing w:line="276" w:lineRule="auto"/>
        <w:ind w:left="851" w:right="560"/>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b/>
          <w:i/>
          <w:sz w:val="22"/>
          <w:szCs w:val="22"/>
        </w:rPr>
        <w:t xml:space="preserve">Registro Presupuestario. </w:t>
      </w:r>
      <w:r w:rsidRPr="00457F86">
        <w:rPr>
          <w:rFonts w:ascii="Palatino Linotype" w:eastAsia="Palatino Linotype" w:hAnsi="Palatino Linotype" w:cs="Palatino Linotype"/>
          <w:i/>
          <w:sz w:val="22"/>
          <w:szCs w:val="22"/>
        </w:rPr>
        <w:t xml:space="preserve">Asiento contable de las erogaciones realizadas por las dependencias y entidades con relación a la asignación, modificación y ejercicio de los recursos presupuestarios que se les hayan autorizado. </w:t>
      </w:r>
    </w:p>
    <w:p w14:paraId="24040E00" w14:textId="77777777" w:rsidR="003E0B3C" w:rsidRPr="00457F86" w:rsidRDefault="003E0B3C">
      <w:pPr>
        <w:spacing w:line="360" w:lineRule="auto"/>
        <w:ind w:right="49"/>
        <w:jc w:val="both"/>
        <w:rPr>
          <w:rFonts w:ascii="Palatino Linotype" w:eastAsia="Palatino Linotype" w:hAnsi="Palatino Linotype" w:cs="Palatino Linotype"/>
          <w:sz w:val="22"/>
          <w:szCs w:val="22"/>
        </w:rPr>
      </w:pPr>
    </w:p>
    <w:p w14:paraId="4A99E2BA" w14:textId="77777777" w:rsidR="003E0B3C" w:rsidRPr="00457F86" w:rsidRDefault="00C51FAD">
      <w:pPr>
        <w:spacing w:line="360" w:lineRule="auto"/>
        <w:ind w:right="49"/>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De los preceptos citados, se colige que los entes fiscalizables</w:t>
      </w:r>
      <w:r w:rsidRPr="00457F86">
        <w:rPr>
          <w:rFonts w:ascii="Palatino Linotype" w:eastAsia="Palatino Linotype" w:hAnsi="Palatino Linotype" w:cs="Palatino Linotype"/>
          <w:b/>
          <w:sz w:val="22"/>
          <w:szCs w:val="22"/>
          <w:u w:val="single"/>
        </w:rPr>
        <w:t xml:space="preserve"> deben contar con una unidad administrativa que registra contablemente el efecto patrimonial y presupuestal de las operaciones financieras</w:t>
      </w:r>
      <w:r w:rsidRPr="00457F86">
        <w:rPr>
          <w:rFonts w:ascii="Palatino Linotype" w:eastAsia="Palatino Linotype" w:hAnsi="Palatino Linotype" w:cs="Palatino Linotype"/>
          <w:sz w:val="22"/>
          <w:szCs w:val="22"/>
        </w:rPr>
        <w:t xml:space="preserve"> que realizan y por lo general, se encuentran en las denominadas </w:t>
      </w:r>
      <w:r w:rsidRPr="00457F86">
        <w:rPr>
          <w:rFonts w:ascii="Palatino Linotype" w:eastAsia="Palatino Linotype" w:hAnsi="Palatino Linotype" w:cs="Palatino Linotype"/>
          <w:i/>
          <w:sz w:val="22"/>
          <w:szCs w:val="22"/>
        </w:rPr>
        <w:t xml:space="preserve">pólizas contables </w:t>
      </w:r>
      <w:r w:rsidRPr="00457F86">
        <w:rPr>
          <w:rFonts w:ascii="Palatino Linotype" w:eastAsia="Palatino Linotype" w:hAnsi="Palatino Linotype" w:cs="Palatino Linotype"/>
          <w:sz w:val="22"/>
          <w:szCs w:val="22"/>
        </w:rPr>
        <w:t xml:space="preserve">las cuales son aquellos documentos en los que se asientan en forma individual todas y cada una de las operaciones desarrolladas por una institución, así como la información necesaria para la identificación de estas. </w:t>
      </w:r>
    </w:p>
    <w:p w14:paraId="0C9BD36A" w14:textId="77777777" w:rsidR="003E0B3C" w:rsidRPr="00457F86" w:rsidRDefault="003E0B3C">
      <w:pPr>
        <w:spacing w:line="360" w:lineRule="auto"/>
        <w:ind w:right="49"/>
        <w:jc w:val="both"/>
        <w:rPr>
          <w:rFonts w:ascii="Palatino Linotype" w:eastAsia="Palatino Linotype" w:hAnsi="Palatino Linotype" w:cs="Palatino Linotype"/>
          <w:sz w:val="22"/>
          <w:szCs w:val="22"/>
        </w:rPr>
      </w:pPr>
    </w:p>
    <w:p w14:paraId="510A34D1" w14:textId="77777777" w:rsidR="003E0B3C" w:rsidRPr="00457F86" w:rsidRDefault="00C51FAD">
      <w:pPr>
        <w:spacing w:line="360" w:lineRule="auto"/>
        <w:ind w:right="49"/>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xml:space="preserve">Dicho esto, en cuando hace a los motivos de inconformidad hechos valer en el medio de impugnación correspondiente al Recurso de Revisión número </w:t>
      </w:r>
      <w:r w:rsidRPr="00457F86">
        <w:rPr>
          <w:rFonts w:ascii="Palatino Linotype" w:eastAsia="Palatino Linotype" w:hAnsi="Palatino Linotype" w:cs="Palatino Linotype"/>
          <w:b/>
          <w:sz w:val="22"/>
          <w:szCs w:val="22"/>
        </w:rPr>
        <w:t>06644/INFOEM/IP/RR/2025</w:t>
      </w:r>
      <w:r w:rsidRPr="00457F86">
        <w:rPr>
          <w:rFonts w:ascii="Palatino Linotype" w:eastAsia="Palatino Linotype" w:hAnsi="Palatino Linotype" w:cs="Palatino Linotype"/>
          <w:sz w:val="22"/>
          <w:szCs w:val="22"/>
        </w:rPr>
        <w:t xml:space="preserve">; es de referir que, este Organismo Garante advirtió que de la información que tiene publicada el </w:t>
      </w:r>
      <w:r w:rsidRPr="00457F86">
        <w:rPr>
          <w:rFonts w:ascii="Palatino Linotype" w:eastAsia="Palatino Linotype" w:hAnsi="Palatino Linotype" w:cs="Palatino Linotype"/>
          <w:b/>
          <w:sz w:val="22"/>
          <w:szCs w:val="22"/>
        </w:rPr>
        <w:t>Sujeto Obligado</w:t>
      </w:r>
      <w:r w:rsidRPr="00457F86">
        <w:rPr>
          <w:rFonts w:ascii="Palatino Linotype" w:eastAsia="Palatino Linotype" w:hAnsi="Palatino Linotype" w:cs="Palatino Linotype"/>
          <w:sz w:val="22"/>
          <w:szCs w:val="22"/>
        </w:rPr>
        <w:t xml:space="preserve"> en su red social Facebook, el evento realizado en fecha once </w:t>
      </w:r>
      <w:r w:rsidRPr="00457F86">
        <w:rPr>
          <w:rFonts w:ascii="Palatino Linotype" w:eastAsia="Palatino Linotype" w:hAnsi="Palatino Linotype" w:cs="Palatino Linotype"/>
          <w:sz w:val="22"/>
          <w:szCs w:val="22"/>
        </w:rPr>
        <w:lastRenderedPageBreak/>
        <w:t xml:space="preserve">de abril de dos mil veinticinco, fue un concierto con causa para la Recaudación de Fondos para celebrar el Día del Niño; tal y como muestra a continuación: </w:t>
      </w:r>
    </w:p>
    <w:p w14:paraId="0F990F52" w14:textId="77777777" w:rsidR="003E0B3C" w:rsidRPr="00457F86" w:rsidRDefault="00C51FAD">
      <w:pPr>
        <w:spacing w:line="360" w:lineRule="auto"/>
        <w:ind w:right="49"/>
        <w:jc w:val="center"/>
        <w:rPr>
          <w:rFonts w:ascii="Palatino Linotype" w:eastAsia="Palatino Linotype" w:hAnsi="Palatino Linotype" w:cs="Palatino Linotype"/>
          <w:sz w:val="22"/>
          <w:szCs w:val="22"/>
        </w:rPr>
      </w:pPr>
      <w:r w:rsidRPr="00457F86">
        <w:rPr>
          <w:rFonts w:ascii="Palatino Linotype" w:eastAsia="Palatino Linotype" w:hAnsi="Palatino Linotype" w:cs="Palatino Linotype"/>
          <w:noProof/>
          <w:sz w:val="22"/>
          <w:szCs w:val="22"/>
          <w:lang w:val="es-MX"/>
        </w:rPr>
        <w:drawing>
          <wp:inline distT="0" distB="0" distL="0" distR="0" wp14:anchorId="45167F44" wp14:editId="0B1D2B5F">
            <wp:extent cx="3927174" cy="5276557"/>
            <wp:effectExtent l="0" t="0" r="0" b="0"/>
            <wp:docPr id="19257491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3927174" cy="5276557"/>
                    </a:xfrm>
                    <a:prstGeom prst="rect">
                      <a:avLst/>
                    </a:prstGeom>
                    <a:ln/>
                  </pic:spPr>
                </pic:pic>
              </a:graphicData>
            </a:graphic>
          </wp:inline>
        </w:drawing>
      </w:r>
    </w:p>
    <w:p w14:paraId="7DED64A6" w14:textId="77777777" w:rsidR="003E0B3C" w:rsidRPr="00457F86" w:rsidRDefault="003E0B3C">
      <w:pPr>
        <w:spacing w:line="360" w:lineRule="auto"/>
        <w:ind w:right="49"/>
        <w:jc w:val="both"/>
        <w:rPr>
          <w:rFonts w:ascii="Palatino Linotype" w:eastAsia="Palatino Linotype" w:hAnsi="Palatino Linotype" w:cs="Palatino Linotype"/>
          <w:sz w:val="22"/>
          <w:szCs w:val="22"/>
        </w:rPr>
      </w:pPr>
    </w:p>
    <w:p w14:paraId="173B266C" w14:textId="77777777" w:rsidR="003E0B3C" w:rsidRPr="00457F86" w:rsidRDefault="00C51FAD">
      <w:pPr>
        <w:spacing w:line="360" w:lineRule="auto"/>
        <w:ind w:right="49"/>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lastRenderedPageBreak/>
        <w:t xml:space="preserve">Lo anterior toma relevancia con lo referido por el </w:t>
      </w:r>
      <w:r w:rsidRPr="00457F86">
        <w:rPr>
          <w:rFonts w:ascii="Palatino Linotype" w:eastAsia="Palatino Linotype" w:hAnsi="Palatino Linotype" w:cs="Palatino Linotype"/>
          <w:b/>
          <w:sz w:val="22"/>
          <w:szCs w:val="22"/>
        </w:rPr>
        <w:t>Sujeto Obligado</w:t>
      </w:r>
      <w:r w:rsidRPr="00457F86">
        <w:rPr>
          <w:rFonts w:ascii="Palatino Linotype" w:eastAsia="Palatino Linotype" w:hAnsi="Palatino Linotype" w:cs="Palatino Linotype"/>
          <w:sz w:val="22"/>
          <w:szCs w:val="22"/>
        </w:rPr>
        <w:t xml:space="preserve">, al informar que el evento al que hace referencia fue subsidiado por el mismo imitador de Juan Gabriel y Joan Sebastián, ya que se trató de un evento con causa, por lo que </w:t>
      </w:r>
      <w:r w:rsidRPr="00457F86">
        <w:rPr>
          <w:rFonts w:ascii="Palatino Linotype" w:eastAsia="Palatino Linotype" w:hAnsi="Palatino Linotype" w:cs="Palatino Linotype"/>
          <w:b/>
          <w:sz w:val="22"/>
          <w:szCs w:val="22"/>
          <w:u w:val="single"/>
        </w:rPr>
        <w:t>no se generaron gastos.</w:t>
      </w:r>
    </w:p>
    <w:p w14:paraId="533DC949" w14:textId="77777777" w:rsidR="003E0B3C" w:rsidRPr="00457F86" w:rsidRDefault="003E0B3C">
      <w:pPr>
        <w:spacing w:line="360" w:lineRule="auto"/>
        <w:ind w:right="49"/>
        <w:jc w:val="both"/>
        <w:rPr>
          <w:rFonts w:ascii="Palatino Linotype" w:eastAsia="Palatino Linotype" w:hAnsi="Palatino Linotype" w:cs="Palatino Linotype"/>
          <w:sz w:val="22"/>
          <w:szCs w:val="22"/>
        </w:rPr>
      </w:pPr>
    </w:p>
    <w:p w14:paraId="045FDD60" w14:textId="77777777" w:rsidR="003E0B3C" w:rsidRPr="00457F86" w:rsidRDefault="00C51FAD">
      <w:pPr>
        <w:spacing w:line="360" w:lineRule="auto"/>
        <w:ind w:right="49"/>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sz w:val="22"/>
          <w:szCs w:val="22"/>
        </w:rPr>
        <w:t xml:space="preserve">Lo que, nos lleva a determinar que estamos en presencia de un </w:t>
      </w:r>
      <w:r w:rsidRPr="00457F86">
        <w:rPr>
          <w:rFonts w:ascii="Palatino Linotype" w:eastAsia="Palatino Linotype" w:hAnsi="Palatino Linotype" w:cs="Palatino Linotype"/>
          <w:i/>
          <w:sz w:val="22"/>
          <w:szCs w:val="22"/>
        </w:rPr>
        <w:t xml:space="preserve">hecho negativo, </w:t>
      </w:r>
      <w:r w:rsidRPr="00457F86">
        <w:rPr>
          <w:rFonts w:ascii="Palatino Linotype" w:eastAsia="Palatino Linotype" w:hAnsi="Palatino Linotype" w:cs="Palatino Linotype"/>
          <w:sz w:val="22"/>
          <w:szCs w:val="22"/>
        </w:rPr>
        <w:t>esto es que, es obvio que la información no puede fácticamente obrar en los archivos del Sujeto Obligado, ya que no puede probarse por ser lógica y materialmente imposible.</w:t>
      </w:r>
    </w:p>
    <w:p w14:paraId="6CBC55E8"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1038A1AA"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xml:space="preserve">Asimismo, no se trata de un caso por el cual la negación del hecho implique la afirmación </w:t>
      </w:r>
      <w:proofErr w:type="gramStart"/>
      <w:r w:rsidRPr="00457F86">
        <w:rPr>
          <w:rFonts w:ascii="Palatino Linotype" w:eastAsia="Palatino Linotype" w:hAnsi="Palatino Linotype" w:cs="Palatino Linotype"/>
          <w:sz w:val="22"/>
          <w:szCs w:val="22"/>
        </w:rPr>
        <w:t>del mismo</w:t>
      </w:r>
      <w:proofErr w:type="gramEnd"/>
      <w:r w:rsidRPr="00457F86">
        <w:rPr>
          <w:rFonts w:ascii="Palatino Linotype" w:eastAsia="Palatino Linotype" w:hAnsi="Palatino Linotype" w:cs="Palatino Linotype"/>
          <w:sz w:val="22"/>
          <w:szCs w:val="22"/>
        </w:rPr>
        <w:t>, simplemente se está ante una notoria y evidente inexistencia fáctica de la información solicitada.</w:t>
      </w:r>
    </w:p>
    <w:p w14:paraId="679EBE50" w14:textId="77777777" w:rsidR="003E0B3C" w:rsidRPr="00457F86" w:rsidRDefault="003E0B3C">
      <w:pPr>
        <w:pBdr>
          <w:top w:val="nil"/>
          <w:left w:val="nil"/>
          <w:bottom w:val="nil"/>
          <w:right w:val="nil"/>
          <w:between w:val="nil"/>
        </w:pBdr>
        <w:spacing w:line="360" w:lineRule="auto"/>
        <w:ind w:left="720"/>
        <w:rPr>
          <w:rFonts w:ascii="Palatino Linotype" w:eastAsia="Palatino Linotype" w:hAnsi="Palatino Linotype" w:cs="Palatino Linotype"/>
          <w:sz w:val="22"/>
          <w:szCs w:val="22"/>
        </w:rPr>
      </w:pPr>
    </w:p>
    <w:p w14:paraId="4FF7EECF"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xml:space="preserve">Encontrándonos ante un hecho negativo, destacando entonces que el Pleno de este Organismo Garante, ha sostenido </w:t>
      </w:r>
      <w:proofErr w:type="gramStart"/>
      <w:r w:rsidRPr="00457F86">
        <w:rPr>
          <w:rFonts w:ascii="Palatino Linotype" w:eastAsia="Palatino Linotype" w:hAnsi="Palatino Linotype" w:cs="Palatino Linotype"/>
          <w:sz w:val="22"/>
          <w:szCs w:val="22"/>
        </w:rPr>
        <w:t>que</w:t>
      </w:r>
      <w:proofErr w:type="gramEnd"/>
      <w:r w:rsidRPr="00457F86">
        <w:rPr>
          <w:rFonts w:ascii="Palatino Linotype" w:eastAsia="Palatino Linotype" w:hAnsi="Palatino Linotype" w:cs="Palatino Linotype"/>
          <w:sz w:val="22"/>
          <w:szCs w:val="22"/>
        </w:rPr>
        <w:t xml:space="preserve"> ante la presencia de un hecho negativo, resultaría innecesaria una declaratoria de inexistencia en términos de los artículos 19, 169 y 170 de la Ley de Transparencia y Acceso a la Información Pública del Estado de México y Municipios, y ante </w:t>
      </w:r>
      <w:proofErr w:type="gramStart"/>
      <w:r w:rsidRPr="00457F86">
        <w:rPr>
          <w:rFonts w:ascii="Palatino Linotype" w:eastAsia="Palatino Linotype" w:hAnsi="Palatino Linotype" w:cs="Palatino Linotype"/>
          <w:sz w:val="22"/>
          <w:szCs w:val="22"/>
        </w:rPr>
        <w:t>una hecho negativo</w:t>
      </w:r>
      <w:proofErr w:type="gramEnd"/>
      <w:r w:rsidRPr="00457F86">
        <w:rPr>
          <w:rFonts w:ascii="Palatino Linotype" w:eastAsia="Palatino Linotype" w:hAnsi="Palatino Linotype" w:cs="Palatino Linotype"/>
          <w:sz w:val="22"/>
          <w:szCs w:val="22"/>
        </w:rPr>
        <w:t xml:space="preserve"> resulta aplicable la siguiente tesis: </w:t>
      </w:r>
    </w:p>
    <w:p w14:paraId="75915CAE"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649D651D" w14:textId="77777777" w:rsidR="003E0B3C" w:rsidRPr="00457F86" w:rsidRDefault="00C51FAD">
      <w:pPr>
        <w:spacing w:line="276" w:lineRule="auto"/>
        <w:ind w:left="851" w:right="616"/>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i/>
          <w:sz w:val="22"/>
          <w:szCs w:val="22"/>
        </w:rPr>
        <w:t>“</w:t>
      </w:r>
      <w:r w:rsidRPr="00457F86">
        <w:rPr>
          <w:rFonts w:ascii="Palatino Linotype" w:eastAsia="Palatino Linotype" w:hAnsi="Palatino Linotype" w:cs="Palatino Linotype"/>
          <w:b/>
          <w:i/>
          <w:sz w:val="22"/>
          <w:szCs w:val="22"/>
        </w:rPr>
        <w:t xml:space="preserve">HECHOS NEGATIVOS, NO SON SUSCEPTIBLES DE DEMOSTRACIÓN. </w:t>
      </w:r>
      <w:r w:rsidRPr="00457F86">
        <w:rPr>
          <w:rFonts w:ascii="Palatino Linotype" w:eastAsia="Palatino Linotype" w:hAnsi="Palatino Linotype" w:cs="Palatino Linotype"/>
          <w:sz w:val="22"/>
          <w:szCs w:val="22"/>
        </w:rPr>
        <w:t xml:space="preserve"> </w:t>
      </w:r>
      <w:r w:rsidRPr="00457F86">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14:paraId="053CE494" w14:textId="77777777" w:rsidR="003E0B3C" w:rsidRPr="00457F86" w:rsidRDefault="003E0B3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C19A97B" w14:textId="77777777" w:rsidR="003E0B3C" w:rsidRPr="00457F86" w:rsidRDefault="00C51FAD">
      <w:pPr>
        <w:spacing w:line="360" w:lineRule="auto"/>
        <w:ind w:right="49"/>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xml:space="preserve">Finalmente, de conformidad con el artículo 12 de la Ley de Transparencia y Acceso a la Información Pública del Estado de México y Municipios, los sujetos obligados sólo deberán </w:t>
      </w:r>
      <w:r w:rsidRPr="00457F86">
        <w:rPr>
          <w:rFonts w:ascii="Palatino Linotype" w:eastAsia="Palatino Linotype" w:hAnsi="Palatino Linotype" w:cs="Palatino Linotype"/>
          <w:sz w:val="22"/>
          <w:szCs w:val="22"/>
        </w:rPr>
        <w:lastRenderedPageBreak/>
        <w:t>proporcionar la información que obre en sus archivos, en el estado en que esta se encuentre, asimismo, se precisa que conforme a lo establecido en el Criterio orientador 31/10 emitido por el entonces Instituto Nacional de Transparencia, Acceso a la Información Pública y Protección de Datos Personales INAI, que se procede a citar a continuación:</w:t>
      </w:r>
    </w:p>
    <w:p w14:paraId="4F879180" w14:textId="77777777" w:rsidR="003E0B3C" w:rsidRPr="00457F86" w:rsidRDefault="003E0B3C">
      <w:pPr>
        <w:spacing w:line="360" w:lineRule="auto"/>
        <w:ind w:right="49"/>
        <w:jc w:val="both"/>
        <w:rPr>
          <w:rFonts w:ascii="Palatino Linotype" w:eastAsia="Palatino Linotype" w:hAnsi="Palatino Linotype" w:cs="Palatino Linotype"/>
          <w:sz w:val="22"/>
          <w:szCs w:val="22"/>
        </w:rPr>
      </w:pPr>
    </w:p>
    <w:p w14:paraId="1EE5AFB9" w14:textId="77777777" w:rsidR="003E0B3C" w:rsidRPr="00457F86" w:rsidRDefault="00C51FAD">
      <w:pPr>
        <w:tabs>
          <w:tab w:val="left" w:pos="8080"/>
        </w:tabs>
        <w:spacing w:line="276" w:lineRule="auto"/>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t>“</w:t>
      </w:r>
      <w:r w:rsidRPr="00457F86">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457F86">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C9305F9" w14:textId="77777777" w:rsidR="003E0B3C" w:rsidRPr="00457F86" w:rsidRDefault="003E0B3C">
      <w:pPr>
        <w:tabs>
          <w:tab w:val="left" w:pos="8222"/>
        </w:tabs>
        <w:ind w:left="567" w:right="567"/>
        <w:jc w:val="both"/>
        <w:rPr>
          <w:rFonts w:ascii="Palatino Linotype" w:eastAsia="Palatino Linotype" w:hAnsi="Palatino Linotype" w:cs="Palatino Linotype"/>
          <w:i/>
          <w:sz w:val="22"/>
          <w:szCs w:val="22"/>
        </w:rPr>
      </w:pPr>
    </w:p>
    <w:p w14:paraId="5F592362" w14:textId="77777777" w:rsidR="003E0B3C" w:rsidRPr="00457F86" w:rsidRDefault="00C51FAD">
      <w:pPr>
        <w:spacing w:line="360" w:lineRule="auto"/>
        <w:ind w:right="49"/>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xml:space="preserve">Por lo que, este Organismo Garante carece de facultades para dudar de la veracidad de la información que el </w:t>
      </w:r>
      <w:r w:rsidRPr="00457F86">
        <w:rPr>
          <w:rFonts w:ascii="Palatino Linotype" w:eastAsia="Palatino Linotype" w:hAnsi="Palatino Linotype" w:cs="Palatino Linotype"/>
          <w:b/>
          <w:sz w:val="22"/>
          <w:szCs w:val="22"/>
        </w:rPr>
        <w:t>Sujeto Obligado</w:t>
      </w:r>
      <w:r w:rsidRPr="00457F86">
        <w:rPr>
          <w:rFonts w:ascii="Palatino Linotype" w:eastAsia="Palatino Linotype" w:hAnsi="Palatino Linotype" w:cs="Palatino Linotype"/>
          <w:sz w:val="22"/>
          <w:szCs w:val="22"/>
        </w:rPr>
        <w:t xml:space="preserve"> informó en respuesta, aunado a que, la Tesorería ya se pronunció respecto a que no cuenta con lo solicitado y, por ende, no existe recurso publico erogado para el evento al que hace referencia la parte </w:t>
      </w:r>
      <w:r w:rsidRPr="00457F86">
        <w:rPr>
          <w:rFonts w:ascii="Palatino Linotype" w:eastAsia="Palatino Linotype" w:hAnsi="Palatino Linotype" w:cs="Palatino Linotype"/>
          <w:b/>
          <w:sz w:val="22"/>
          <w:szCs w:val="22"/>
        </w:rPr>
        <w:t>Recurrente</w:t>
      </w:r>
      <w:r w:rsidRPr="00457F86">
        <w:rPr>
          <w:rFonts w:ascii="Palatino Linotype" w:eastAsia="Palatino Linotype" w:hAnsi="Palatino Linotype" w:cs="Palatino Linotype"/>
          <w:sz w:val="22"/>
          <w:szCs w:val="22"/>
        </w:rPr>
        <w:t xml:space="preserve">. </w:t>
      </w:r>
    </w:p>
    <w:p w14:paraId="79AF3F3D"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531A02CA" w14:textId="77777777" w:rsidR="003E0B3C" w:rsidRPr="00457F86" w:rsidRDefault="00C51FAD">
      <w:pPr>
        <w:spacing w:line="360" w:lineRule="auto"/>
        <w:ind w:right="49"/>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xml:space="preserve">Es así como, en mérito de lo expuesto en líneas anteriores, resultan infundadas las razones o motivos de inconformidad hechos valer por la parte </w:t>
      </w:r>
      <w:r w:rsidRPr="00457F86">
        <w:rPr>
          <w:rFonts w:ascii="Palatino Linotype" w:eastAsia="Palatino Linotype" w:hAnsi="Palatino Linotype" w:cs="Palatino Linotype"/>
          <w:b/>
          <w:sz w:val="22"/>
          <w:szCs w:val="22"/>
        </w:rPr>
        <w:t>Recurrente</w:t>
      </w:r>
      <w:r w:rsidRPr="00457F86">
        <w:rPr>
          <w:rFonts w:ascii="Palatino Linotype" w:eastAsia="Palatino Linotype" w:hAnsi="Palatino Linotype" w:cs="Palatino Linotype"/>
          <w:sz w:val="22"/>
          <w:szCs w:val="22"/>
        </w:rPr>
        <w:t xml:space="preserve"> dentro del recurso de revisión </w:t>
      </w:r>
      <w:r w:rsidRPr="00457F86">
        <w:rPr>
          <w:rFonts w:ascii="Palatino Linotype" w:eastAsia="Palatino Linotype" w:hAnsi="Palatino Linotype" w:cs="Palatino Linotype"/>
          <w:b/>
          <w:sz w:val="22"/>
          <w:szCs w:val="22"/>
        </w:rPr>
        <w:t>06644/INFOEM/IP/RR/2025</w:t>
      </w:r>
      <w:r w:rsidRPr="00457F86">
        <w:rPr>
          <w:rFonts w:ascii="Palatino Linotype" w:eastAsia="Palatino Linotype" w:hAnsi="Palatino Linotype" w:cs="Palatino Linotype"/>
          <w:sz w:val="22"/>
          <w:szCs w:val="22"/>
        </w:rPr>
        <w:t xml:space="preserve">; por ello, y con fundamento en la fracción II del </w:t>
      </w:r>
      <w:r w:rsidRPr="00457F86">
        <w:rPr>
          <w:rFonts w:ascii="Palatino Linotype" w:eastAsia="Palatino Linotype" w:hAnsi="Palatino Linotype" w:cs="Palatino Linotype"/>
          <w:sz w:val="22"/>
          <w:szCs w:val="22"/>
        </w:rPr>
        <w:lastRenderedPageBreak/>
        <w:t xml:space="preserve">numeral 186 de la Ley de Transparencia y Acceso a la Información Pública del Estado de México y Municipios se </w:t>
      </w:r>
      <w:r w:rsidRPr="00457F86">
        <w:rPr>
          <w:rFonts w:ascii="Palatino Linotype" w:eastAsia="Palatino Linotype" w:hAnsi="Palatino Linotype" w:cs="Palatino Linotype"/>
          <w:b/>
          <w:sz w:val="22"/>
          <w:szCs w:val="22"/>
        </w:rPr>
        <w:t xml:space="preserve">confirma </w:t>
      </w:r>
      <w:r w:rsidRPr="00457F86">
        <w:rPr>
          <w:rFonts w:ascii="Palatino Linotype" w:eastAsia="Palatino Linotype" w:hAnsi="Palatino Linotype" w:cs="Palatino Linotype"/>
          <w:sz w:val="22"/>
          <w:szCs w:val="22"/>
        </w:rPr>
        <w:t xml:space="preserve">la respuesta del </w:t>
      </w:r>
      <w:r w:rsidRPr="00457F86">
        <w:rPr>
          <w:rFonts w:ascii="Palatino Linotype" w:eastAsia="Palatino Linotype" w:hAnsi="Palatino Linotype" w:cs="Palatino Linotype"/>
          <w:b/>
          <w:sz w:val="22"/>
          <w:szCs w:val="22"/>
        </w:rPr>
        <w:t xml:space="preserve">Sujeto Obligado </w:t>
      </w:r>
      <w:r w:rsidRPr="00457F86">
        <w:rPr>
          <w:rFonts w:ascii="Palatino Linotype" w:eastAsia="Palatino Linotype" w:hAnsi="Palatino Linotype" w:cs="Palatino Linotype"/>
          <w:sz w:val="22"/>
          <w:szCs w:val="22"/>
        </w:rPr>
        <w:t xml:space="preserve">a la solicitud de información </w:t>
      </w:r>
      <w:r w:rsidRPr="00457F86">
        <w:rPr>
          <w:rFonts w:ascii="Palatino Linotype" w:eastAsia="Palatino Linotype" w:hAnsi="Palatino Linotype" w:cs="Palatino Linotype"/>
          <w:b/>
          <w:sz w:val="22"/>
          <w:szCs w:val="22"/>
        </w:rPr>
        <w:t>00015/DIFTIANGUI/IP/2025.</w:t>
      </w:r>
      <w:r w:rsidRPr="00457F86">
        <w:rPr>
          <w:rFonts w:ascii="Palatino Linotype" w:eastAsia="Palatino Linotype" w:hAnsi="Palatino Linotype" w:cs="Palatino Linotype"/>
          <w:sz w:val="22"/>
          <w:szCs w:val="22"/>
        </w:rPr>
        <w:t xml:space="preserve">  </w:t>
      </w:r>
    </w:p>
    <w:p w14:paraId="27E9F47F" w14:textId="77777777" w:rsidR="003E0B3C" w:rsidRPr="00457F86" w:rsidRDefault="003E0B3C">
      <w:pPr>
        <w:spacing w:line="360" w:lineRule="auto"/>
        <w:ind w:right="49"/>
        <w:jc w:val="both"/>
        <w:rPr>
          <w:rFonts w:ascii="Palatino Linotype" w:eastAsia="Palatino Linotype" w:hAnsi="Palatino Linotype" w:cs="Palatino Linotype"/>
          <w:sz w:val="22"/>
          <w:szCs w:val="22"/>
        </w:rPr>
      </w:pPr>
    </w:p>
    <w:p w14:paraId="5555824E" w14:textId="77777777" w:rsidR="003E0B3C" w:rsidRPr="00457F86" w:rsidRDefault="00C51FAD">
      <w:pPr>
        <w:spacing w:line="360" w:lineRule="auto"/>
        <w:ind w:right="49"/>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xml:space="preserve">Ahora bien, respecto al Recurso de Revisión número </w:t>
      </w:r>
      <w:r w:rsidRPr="00457F86">
        <w:rPr>
          <w:rFonts w:ascii="Palatino Linotype" w:eastAsia="Palatino Linotype" w:hAnsi="Palatino Linotype" w:cs="Palatino Linotype"/>
          <w:b/>
          <w:sz w:val="22"/>
          <w:szCs w:val="22"/>
        </w:rPr>
        <w:t>06646/INFOEM/IP/RR/2025</w:t>
      </w:r>
      <w:r w:rsidRPr="00457F86">
        <w:rPr>
          <w:rFonts w:ascii="Palatino Linotype" w:eastAsia="Palatino Linotype" w:hAnsi="Palatino Linotype" w:cs="Palatino Linotype"/>
          <w:sz w:val="22"/>
          <w:szCs w:val="22"/>
        </w:rPr>
        <w:t xml:space="preserve">, el </w:t>
      </w:r>
      <w:r w:rsidRPr="00457F86">
        <w:rPr>
          <w:rFonts w:ascii="Palatino Linotype" w:eastAsia="Palatino Linotype" w:hAnsi="Palatino Linotype" w:cs="Palatino Linotype"/>
          <w:b/>
          <w:sz w:val="22"/>
          <w:szCs w:val="22"/>
        </w:rPr>
        <w:t>Sujeto Obligado</w:t>
      </w:r>
      <w:r w:rsidRPr="00457F86">
        <w:rPr>
          <w:rFonts w:ascii="Palatino Linotype" w:eastAsia="Palatino Linotype" w:hAnsi="Palatino Linotype" w:cs="Palatino Linotype"/>
          <w:sz w:val="22"/>
          <w:szCs w:val="22"/>
        </w:rPr>
        <w:t xml:space="preserve"> informó a través de la unidad administrativa competente que el evento al que hace referencia en dicha solicitud, no fue realizado, ni mucho menos organizado por el Sistema Municipal para el Desarrollo Integral de la Familia de Tianguistenco, por lo que con fundamento en el artículo 167 de la Ley de Transparencia y Acceso a la Información Pública del Estado de México y Municipios orientó a conducir dicha solicitud a la instancia correspondiente.</w:t>
      </w:r>
    </w:p>
    <w:p w14:paraId="4C74BFD4" w14:textId="77777777" w:rsidR="003E0B3C" w:rsidRPr="00457F86" w:rsidRDefault="003E0B3C">
      <w:pPr>
        <w:spacing w:line="360" w:lineRule="auto"/>
        <w:ind w:right="49"/>
        <w:jc w:val="both"/>
        <w:rPr>
          <w:rFonts w:ascii="Palatino Linotype" w:eastAsia="Palatino Linotype" w:hAnsi="Palatino Linotype" w:cs="Palatino Linotype"/>
          <w:sz w:val="22"/>
          <w:szCs w:val="22"/>
        </w:rPr>
      </w:pPr>
    </w:p>
    <w:p w14:paraId="35F00B85"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Ante tal respuesta, la parte</w:t>
      </w:r>
      <w:r w:rsidRPr="00457F86">
        <w:rPr>
          <w:rFonts w:ascii="Palatino Linotype" w:eastAsia="Palatino Linotype" w:hAnsi="Palatino Linotype" w:cs="Palatino Linotype"/>
          <w:b/>
          <w:sz w:val="22"/>
          <w:szCs w:val="22"/>
        </w:rPr>
        <w:t xml:space="preserve"> Recurrente</w:t>
      </w:r>
      <w:r w:rsidRPr="00457F86">
        <w:rPr>
          <w:rFonts w:ascii="Palatino Linotype" w:eastAsia="Palatino Linotype" w:hAnsi="Palatino Linotype" w:cs="Palatino Linotype"/>
          <w:sz w:val="22"/>
          <w:szCs w:val="22"/>
        </w:rPr>
        <w:t xml:space="preserve"> interpuso el recurso de revisión materia del presente asunto, adoleciéndose medularmente de la declaratoria de incompetencia por parte de la autoridad para responder a los requerimientos inmersos en la solicitud de información.</w:t>
      </w:r>
    </w:p>
    <w:p w14:paraId="54F6CF8C" w14:textId="77777777" w:rsidR="003E0B3C" w:rsidRPr="00457F86" w:rsidRDefault="003E0B3C">
      <w:pPr>
        <w:widowControl w:val="0"/>
        <w:pBdr>
          <w:top w:val="nil"/>
          <w:left w:val="nil"/>
          <w:bottom w:val="nil"/>
          <w:right w:val="nil"/>
          <w:between w:val="nil"/>
        </w:pBdr>
        <w:spacing w:line="360" w:lineRule="auto"/>
        <w:jc w:val="both"/>
        <w:rPr>
          <w:rFonts w:ascii="Palatino Linotype" w:eastAsia="Palatino Linotype" w:hAnsi="Palatino Linotype" w:cs="Palatino Linotype"/>
          <w:b/>
          <w:sz w:val="22"/>
          <w:szCs w:val="22"/>
          <w:u w:val="single"/>
        </w:rPr>
      </w:pPr>
    </w:p>
    <w:p w14:paraId="1B850CB9" w14:textId="77777777" w:rsidR="003E0B3C" w:rsidRPr="00457F86" w:rsidRDefault="00C51FAD">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xml:space="preserve">Precisado lo anterior, conviene analizar la competencia del </w:t>
      </w:r>
      <w:r w:rsidRPr="00457F86">
        <w:rPr>
          <w:rFonts w:ascii="Palatino Linotype" w:eastAsia="Palatino Linotype" w:hAnsi="Palatino Linotype" w:cs="Palatino Linotype"/>
          <w:b/>
          <w:sz w:val="22"/>
          <w:szCs w:val="22"/>
        </w:rPr>
        <w:t>Sujeto Obligado</w:t>
      </w:r>
      <w:r w:rsidRPr="00457F86">
        <w:rPr>
          <w:rFonts w:ascii="Palatino Linotype" w:eastAsia="Palatino Linotype" w:hAnsi="Palatino Linotype" w:cs="Palatino Linotype"/>
          <w:sz w:val="22"/>
          <w:szCs w:val="22"/>
        </w:rPr>
        <w:t xml:space="preserve">, por lo que resulta pertinente señalar que este Organismo Garante advirtió que el evento realizado el dieciocho de mayo de dos mil veinticinco con motivo del Festejo del Día de las Madres, es un evento que realizó el Ayuntamiento de Tianguistenco y no el Sistema Municipal Para el Desarrollo Integral de la Familia de Tianguistenco, como lo afirmó la parte </w:t>
      </w:r>
      <w:r w:rsidRPr="00457F86">
        <w:rPr>
          <w:rFonts w:ascii="Palatino Linotype" w:eastAsia="Palatino Linotype" w:hAnsi="Palatino Linotype" w:cs="Palatino Linotype"/>
          <w:b/>
          <w:sz w:val="22"/>
          <w:szCs w:val="22"/>
        </w:rPr>
        <w:t>Recurrente</w:t>
      </w:r>
      <w:r w:rsidRPr="00457F86">
        <w:rPr>
          <w:rFonts w:ascii="Palatino Linotype" w:eastAsia="Palatino Linotype" w:hAnsi="Palatino Linotype" w:cs="Palatino Linotype"/>
          <w:sz w:val="22"/>
          <w:szCs w:val="22"/>
        </w:rPr>
        <w:t xml:space="preserve">, tal y como se advierte de la imagen insertada a continuación: </w:t>
      </w:r>
    </w:p>
    <w:p w14:paraId="5A45C708" w14:textId="77777777" w:rsidR="003E0B3C" w:rsidRPr="00457F86" w:rsidRDefault="003E0B3C">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1F17617" w14:textId="77777777" w:rsidR="003E0B3C" w:rsidRPr="00457F86" w:rsidRDefault="00C51FAD">
      <w:pPr>
        <w:widowControl w:val="0"/>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457F86">
        <w:rPr>
          <w:rFonts w:ascii="Palatino Linotype" w:eastAsia="Palatino Linotype" w:hAnsi="Palatino Linotype" w:cs="Palatino Linotype"/>
          <w:noProof/>
          <w:sz w:val="22"/>
          <w:szCs w:val="22"/>
          <w:lang w:val="es-MX"/>
        </w:rPr>
        <w:lastRenderedPageBreak/>
        <w:drawing>
          <wp:inline distT="0" distB="0" distL="0" distR="0" wp14:anchorId="7915A2EA" wp14:editId="4E17EF2E">
            <wp:extent cx="4240160" cy="5859681"/>
            <wp:effectExtent l="0" t="0" r="0" b="0"/>
            <wp:docPr id="1925749137" name="image6.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6.png" descr="Texto&#10;&#10;El contenido generado por IA puede ser incorrecto."/>
                    <pic:cNvPicPr preferRelativeResize="0"/>
                  </pic:nvPicPr>
                  <pic:blipFill>
                    <a:blip r:embed="rId9"/>
                    <a:srcRect/>
                    <a:stretch>
                      <a:fillRect/>
                    </a:stretch>
                  </pic:blipFill>
                  <pic:spPr>
                    <a:xfrm>
                      <a:off x="0" y="0"/>
                      <a:ext cx="4240160" cy="5859681"/>
                    </a:xfrm>
                    <a:prstGeom prst="rect">
                      <a:avLst/>
                    </a:prstGeom>
                    <a:ln/>
                  </pic:spPr>
                </pic:pic>
              </a:graphicData>
            </a:graphic>
          </wp:inline>
        </w:drawing>
      </w:r>
    </w:p>
    <w:p w14:paraId="674C37AE" w14:textId="77777777" w:rsidR="003E0B3C" w:rsidRPr="00457F86" w:rsidRDefault="00C51FAD">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xml:space="preserve">En esa tesitura, de una revisión al Bando Municipal del Ayuntamiento de Tianguistenco para el año 2025, en específico del artículo 56 fracción V establece que, para el despacho de los asuntos municipales, el Ayuntamiento se auxiliará con las áreas administrativas, que </w:t>
      </w:r>
      <w:r w:rsidRPr="00457F86">
        <w:rPr>
          <w:rFonts w:ascii="Palatino Linotype" w:eastAsia="Palatino Linotype" w:hAnsi="Palatino Linotype" w:cs="Palatino Linotype"/>
          <w:sz w:val="22"/>
          <w:szCs w:val="22"/>
        </w:rPr>
        <w:lastRenderedPageBreak/>
        <w:t xml:space="preserve">considere necesarias, mismas que estarán subordinadas a la </w:t>
      </w:r>
      <w:proofErr w:type="gramStart"/>
      <w:r w:rsidRPr="00457F86">
        <w:rPr>
          <w:rFonts w:ascii="Palatino Linotype" w:eastAsia="Palatino Linotype" w:hAnsi="Palatino Linotype" w:cs="Palatino Linotype"/>
          <w:sz w:val="22"/>
          <w:szCs w:val="22"/>
        </w:rPr>
        <w:t>Presidenta</w:t>
      </w:r>
      <w:proofErr w:type="gramEnd"/>
      <w:r w:rsidRPr="00457F86">
        <w:rPr>
          <w:rFonts w:ascii="Palatino Linotype" w:eastAsia="Palatino Linotype" w:hAnsi="Palatino Linotype" w:cs="Palatino Linotype"/>
          <w:sz w:val="22"/>
          <w:szCs w:val="22"/>
        </w:rPr>
        <w:t xml:space="preserve"> Municipal y de las que se advierte la Tesorería Municipal, precepto legal que se inserta a continuación:</w:t>
      </w:r>
    </w:p>
    <w:p w14:paraId="7200FA8E" w14:textId="77777777" w:rsidR="003E0B3C" w:rsidRPr="00457F86" w:rsidRDefault="003E0B3C">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A990C74" w14:textId="77777777" w:rsidR="003E0B3C" w:rsidRPr="00457F86" w:rsidRDefault="00C51FAD">
      <w:pPr>
        <w:widowControl w:val="0"/>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457F86">
        <w:rPr>
          <w:rFonts w:ascii="Palatino Linotype" w:eastAsia="Palatino Linotype" w:hAnsi="Palatino Linotype" w:cs="Palatino Linotype"/>
          <w:i/>
          <w:sz w:val="22"/>
          <w:szCs w:val="22"/>
        </w:rPr>
        <w:t>“</w:t>
      </w:r>
      <w:r w:rsidRPr="00457F86">
        <w:rPr>
          <w:rFonts w:ascii="Palatino Linotype" w:eastAsia="Palatino Linotype" w:hAnsi="Palatino Linotype" w:cs="Palatino Linotype"/>
          <w:b/>
          <w:i/>
          <w:sz w:val="22"/>
          <w:szCs w:val="22"/>
        </w:rPr>
        <w:t>ARTÍCULO 56.</w:t>
      </w:r>
      <w:r w:rsidRPr="00457F86">
        <w:rPr>
          <w:rFonts w:ascii="Palatino Linotype" w:eastAsia="Palatino Linotype" w:hAnsi="Palatino Linotype" w:cs="Palatino Linotype"/>
          <w:i/>
          <w:sz w:val="22"/>
          <w:szCs w:val="22"/>
        </w:rPr>
        <w:t xml:space="preserve"> Para el despacho de los asuntos municipales, el Ayuntamiento se auxiliará con las áreas administrativas, organismos públicos descentralizados y dependencias de la Administración Pública Municipal que considere necesarias, mismas que estarán subordinadas a la </w:t>
      </w:r>
      <w:proofErr w:type="gramStart"/>
      <w:r w:rsidRPr="00457F86">
        <w:rPr>
          <w:rFonts w:ascii="Palatino Linotype" w:eastAsia="Palatino Linotype" w:hAnsi="Palatino Linotype" w:cs="Palatino Linotype"/>
          <w:i/>
          <w:sz w:val="22"/>
          <w:szCs w:val="22"/>
        </w:rPr>
        <w:t>Presidenta</w:t>
      </w:r>
      <w:proofErr w:type="gramEnd"/>
      <w:r w:rsidRPr="00457F86">
        <w:rPr>
          <w:rFonts w:ascii="Palatino Linotype" w:eastAsia="Palatino Linotype" w:hAnsi="Palatino Linotype" w:cs="Palatino Linotype"/>
          <w:i/>
          <w:sz w:val="22"/>
          <w:szCs w:val="22"/>
        </w:rPr>
        <w:t xml:space="preserve"> Municipal. </w:t>
      </w:r>
      <w:r w:rsidRPr="00457F86">
        <w:rPr>
          <w:rFonts w:ascii="Palatino Linotype" w:eastAsia="Palatino Linotype" w:hAnsi="Palatino Linotype" w:cs="Palatino Linotype"/>
          <w:b/>
          <w:i/>
          <w:sz w:val="22"/>
          <w:szCs w:val="22"/>
        </w:rPr>
        <w:t>Dichas áreas administrativas, organismos y unidades son las siguientes:</w:t>
      </w:r>
    </w:p>
    <w:p w14:paraId="4C7F8326" w14:textId="77777777" w:rsidR="003E0B3C" w:rsidRPr="00457F86" w:rsidRDefault="00C51FAD">
      <w:pPr>
        <w:widowControl w:val="0"/>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t xml:space="preserve">I. Secretaría del Ayuntamiento; </w:t>
      </w:r>
    </w:p>
    <w:p w14:paraId="52D72DCF" w14:textId="77777777" w:rsidR="003E0B3C" w:rsidRPr="00457F86" w:rsidRDefault="00C51FAD">
      <w:pPr>
        <w:widowControl w:val="0"/>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t>II. Secretaría Particular;</w:t>
      </w:r>
    </w:p>
    <w:p w14:paraId="24053259" w14:textId="77777777" w:rsidR="003E0B3C" w:rsidRPr="00457F86" w:rsidRDefault="00C51FAD">
      <w:pPr>
        <w:widowControl w:val="0"/>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t>III. Secretaría Técnica;</w:t>
      </w:r>
    </w:p>
    <w:p w14:paraId="76693321" w14:textId="77777777" w:rsidR="003E0B3C" w:rsidRPr="00457F86" w:rsidRDefault="00C51FAD">
      <w:pPr>
        <w:widowControl w:val="0"/>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t>IV. Secretaría Técnica del Consejo Municipal de Seguridad Pública;</w:t>
      </w:r>
    </w:p>
    <w:p w14:paraId="3CDB7F09" w14:textId="77777777" w:rsidR="003E0B3C" w:rsidRPr="00457F86" w:rsidRDefault="00C51FAD">
      <w:pPr>
        <w:widowControl w:val="0"/>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u w:val="single"/>
        </w:rPr>
      </w:pPr>
      <w:r w:rsidRPr="00457F86">
        <w:rPr>
          <w:rFonts w:ascii="Palatino Linotype" w:eastAsia="Palatino Linotype" w:hAnsi="Palatino Linotype" w:cs="Palatino Linotype"/>
          <w:b/>
          <w:i/>
          <w:sz w:val="22"/>
          <w:szCs w:val="22"/>
          <w:u w:val="single"/>
        </w:rPr>
        <w:t>V. Tesorería;</w:t>
      </w:r>
    </w:p>
    <w:p w14:paraId="4BA55476" w14:textId="77777777" w:rsidR="003E0B3C" w:rsidRPr="00457F86" w:rsidRDefault="00C51FAD">
      <w:pPr>
        <w:widowControl w:val="0"/>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t>VI. Órgano Interno de Control;</w:t>
      </w:r>
    </w:p>
    <w:p w14:paraId="20A604B1" w14:textId="77777777" w:rsidR="003E0B3C" w:rsidRPr="00457F86" w:rsidRDefault="00C51FAD">
      <w:pPr>
        <w:widowControl w:val="0"/>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t>VII. Juzgado Cívico; y</w:t>
      </w:r>
    </w:p>
    <w:p w14:paraId="1C0EBB44" w14:textId="77777777" w:rsidR="003E0B3C" w:rsidRPr="00457F86" w:rsidRDefault="00C51FAD">
      <w:pPr>
        <w:widowControl w:val="0"/>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t>VIII. Comisaría de Seguridad Pública y Tránsito Municipal;</w:t>
      </w:r>
    </w:p>
    <w:p w14:paraId="7C32E5AF" w14:textId="77777777" w:rsidR="003E0B3C" w:rsidRPr="00457F86" w:rsidRDefault="00C51FAD">
      <w:pPr>
        <w:widowControl w:val="0"/>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t xml:space="preserve"> Direcciones de:</w:t>
      </w:r>
    </w:p>
    <w:p w14:paraId="47A25D70" w14:textId="77777777" w:rsidR="003E0B3C" w:rsidRPr="00457F86" w:rsidRDefault="00C51FAD">
      <w:pPr>
        <w:widowControl w:val="0"/>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t>a. Obras Públicas;</w:t>
      </w:r>
    </w:p>
    <w:p w14:paraId="3AE77D0F" w14:textId="77777777" w:rsidR="003E0B3C" w:rsidRPr="00457F86" w:rsidRDefault="00C51FAD">
      <w:pPr>
        <w:widowControl w:val="0"/>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t>b. Desarrollo Urbano y Metropolitano;</w:t>
      </w:r>
    </w:p>
    <w:p w14:paraId="5DB58D73" w14:textId="77777777" w:rsidR="003E0B3C" w:rsidRPr="00457F86" w:rsidRDefault="00C51FAD">
      <w:pPr>
        <w:widowControl w:val="0"/>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t>c. Administración;</w:t>
      </w:r>
    </w:p>
    <w:p w14:paraId="19006F4A" w14:textId="77777777" w:rsidR="003E0B3C" w:rsidRPr="00457F86" w:rsidRDefault="00C51FAD">
      <w:pPr>
        <w:widowControl w:val="0"/>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t xml:space="preserve">d. Bienestar Social;  </w:t>
      </w:r>
    </w:p>
    <w:p w14:paraId="40BA1CAF" w14:textId="77777777" w:rsidR="003E0B3C" w:rsidRPr="00457F86" w:rsidRDefault="00C51FAD">
      <w:pPr>
        <w:widowControl w:val="0"/>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i/>
          <w:sz w:val="22"/>
          <w:szCs w:val="22"/>
        </w:rPr>
        <w:t xml:space="preserve">e. Servicios </w:t>
      </w:r>
      <w:proofErr w:type="gramStart"/>
      <w:r w:rsidRPr="00457F86">
        <w:rPr>
          <w:rFonts w:ascii="Palatino Linotype" w:eastAsia="Palatino Linotype" w:hAnsi="Palatino Linotype" w:cs="Palatino Linotype"/>
          <w:i/>
          <w:sz w:val="22"/>
          <w:szCs w:val="22"/>
        </w:rPr>
        <w:t>Públicos</w:t>
      </w:r>
      <w:r w:rsidRPr="00457F86">
        <w:rPr>
          <w:rFonts w:ascii="Palatino Linotype" w:eastAsia="Palatino Linotype" w:hAnsi="Palatino Linotype" w:cs="Palatino Linotype"/>
          <w:sz w:val="22"/>
          <w:szCs w:val="22"/>
        </w:rPr>
        <w:t>;…</w:t>
      </w:r>
      <w:proofErr w:type="gramEnd"/>
      <w:r w:rsidRPr="00457F86">
        <w:rPr>
          <w:rFonts w:ascii="Palatino Linotype" w:eastAsia="Palatino Linotype" w:hAnsi="Palatino Linotype" w:cs="Palatino Linotype"/>
          <w:sz w:val="22"/>
          <w:szCs w:val="22"/>
        </w:rPr>
        <w:t>”</w:t>
      </w:r>
    </w:p>
    <w:p w14:paraId="3EEB4542" w14:textId="77777777" w:rsidR="003E0B3C" w:rsidRPr="00457F86" w:rsidRDefault="00C51FAD">
      <w:pPr>
        <w:widowControl w:val="0"/>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i/>
          <w:sz w:val="22"/>
          <w:szCs w:val="22"/>
        </w:rPr>
        <w:t>(Énfasis Añadido)</w:t>
      </w:r>
    </w:p>
    <w:p w14:paraId="62CCCD17" w14:textId="77777777" w:rsidR="003E0B3C" w:rsidRPr="00457F86" w:rsidRDefault="003E0B3C">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5E4DC92" w14:textId="77777777" w:rsidR="003E0B3C" w:rsidRPr="00457F86" w:rsidRDefault="00C51FAD">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xml:space="preserve">Del mismo modo, el artículo 62 señala que la Tesorería Municipal es el órgano encargado de la recaudación de los ingresos municipales y </w:t>
      </w:r>
      <w:r w:rsidRPr="00457F86">
        <w:rPr>
          <w:rFonts w:ascii="Palatino Linotype" w:eastAsia="Palatino Linotype" w:hAnsi="Palatino Linotype" w:cs="Palatino Linotype"/>
          <w:b/>
          <w:sz w:val="22"/>
          <w:szCs w:val="22"/>
        </w:rPr>
        <w:t>responsable de realizar las erogaciones que haga el Ayuntamiento,</w:t>
      </w:r>
      <w:r w:rsidRPr="00457F86">
        <w:rPr>
          <w:rFonts w:ascii="Palatino Linotype" w:eastAsia="Palatino Linotype" w:hAnsi="Palatino Linotype" w:cs="Palatino Linotype"/>
          <w:sz w:val="22"/>
          <w:szCs w:val="22"/>
        </w:rPr>
        <w:t xml:space="preserve"> teniendo como funciones, de forma enunciativa y no limitativa, las establecidas en el artículo 95 de la Ley Orgánica Municipal del Estado de México, mismo que para mayor referencia se inserta a continuación: </w:t>
      </w:r>
    </w:p>
    <w:p w14:paraId="17EEB87D" w14:textId="77777777" w:rsidR="003E0B3C" w:rsidRPr="00457F86" w:rsidRDefault="003E0B3C">
      <w:pPr>
        <w:widowControl w:val="0"/>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3C285905" w14:textId="77777777" w:rsidR="003E0B3C" w:rsidRPr="00457F86" w:rsidRDefault="00C51FAD">
      <w:pPr>
        <w:widowControl w:val="0"/>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t>“</w:t>
      </w:r>
      <w:r w:rsidRPr="00457F86">
        <w:rPr>
          <w:rFonts w:ascii="Palatino Linotype" w:eastAsia="Palatino Linotype" w:hAnsi="Palatino Linotype" w:cs="Palatino Linotype"/>
          <w:b/>
          <w:i/>
          <w:sz w:val="22"/>
          <w:szCs w:val="22"/>
        </w:rPr>
        <w:t>Artículo 95.- Son atribuciones del tesorero municipal:</w:t>
      </w:r>
      <w:r w:rsidRPr="00457F86">
        <w:rPr>
          <w:rFonts w:ascii="Palatino Linotype" w:eastAsia="Palatino Linotype" w:hAnsi="Palatino Linotype" w:cs="Palatino Linotype"/>
          <w:i/>
          <w:sz w:val="22"/>
          <w:szCs w:val="22"/>
        </w:rPr>
        <w:t xml:space="preserve"> </w:t>
      </w:r>
    </w:p>
    <w:p w14:paraId="72EBE4D6" w14:textId="77777777" w:rsidR="003E0B3C" w:rsidRPr="00457F86" w:rsidRDefault="00C51FAD">
      <w:pPr>
        <w:widowControl w:val="0"/>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t>I</w:t>
      </w:r>
      <w:r w:rsidRPr="00457F86">
        <w:rPr>
          <w:rFonts w:ascii="Palatino Linotype" w:eastAsia="Palatino Linotype" w:hAnsi="Palatino Linotype" w:cs="Palatino Linotype"/>
          <w:b/>
          <w:i/>
          <w:sz w:val="22"/>
          <w:szCs w:val="22"/>
        </w:rPr>
        <w:t>. Administrar la hacienda pública municipal</w:t>
      </w:r>
      <w:r w:rsidRPr="00457F86">
        <w:rPr>
          <w:rFonts w:ascii="Palatino Linotype" w:eastAsia="Palatino Linotype" w:hAnsi="Palatino Linotype" w:cs="Palatino Linotype"/>
          <w:i/>
          <w:sz w:val="22"/>
          <w:szCs w:val="22"/>
        </w:rPr>
        <w:t xml:space="preserve">, de conformidad con las disposiciones legales aplicables; </w:t>
      </w:r>
    </w:p>
    <w:p w14:paraId="5EB6E5A5" w14:textId="77777777" w:rsidR="003E0B3C" w:rsidRPr="00457F86" w:rsidRDefault="00C51FAD">
      <w:pPr>
        <w:widowControl w:val="0"/>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2994C72E" w14:textId="77777777" w:rsidR="003E0B3C" w:rsidRPr="00457F86" w:rsidRDefault="00C51FAD">
      <w:pPr>
        <w:widowControl w:val="0"/>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t xml:space="preserve">III. Imponer las sanciones administrativas que procedan por infracciones a las disposiciones fiscales; </w:t>
      </w:r>
    </w:p>
    <w:p w14:paraId="4BA9FA30" w14:textId="77777777" w:rsidR="003E0B3C" w:rsidRPr="00457F86" w:rsidRDefault="00C51FAD">
      <w:pPr>
        <w:widowControl w:val="0"/>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t>I</w:t>
      </w:r>
      <w:r w:rsidRPr="00457F86">
        <w:rPr>
          <w:rFonts w:ascii="Palatino Linotype" w:eastAsia="Palatino Linotype" w:hAnsi="Palatino Linotype" w:cs="Palatino Linotype"/>
          <w:b/>
          <w:i/>
          <w:sz w:val="22"/>
          <w:szCs w:val="22"/>
        </w:rPr>
        <w:t xml:space="preserve">V. </w:t>
      </w:r>
      <w:r w:rsidRPr="00457F86">
        <w:rPr>
          <w:rFonts w:ascii="Palatino Linotype" w:eastAsia="Palatino Linotype" w:hAnsi="Palatino Linotype" w:cs="Palatino Linotype"/>
          <w:b/>
          <w:i/>
          <w:sz w:val="22"/>
          <w:szCs w:val="22"/>
          <w:u w:val="single"/>
        </w:rPr>
        <w:t>Llevar los registros contables,</w:t>
      </w:r>
      <w:r w:rsidRPr="00457F86">
        <w:rPr>
          <w:rFonts w:ascii="Palatino Linotype" w:eastAsia="Palatino Linotype" w:hAnsi="Palatino Linotype" w:cs="Palatino Linotype"/>
          <w:b/>
          <w:i/>
          <w:sz w:val="22"/>
          <w:szCs w:val="22"/>
        </w:rPr>
        <w:t xml:space="preserve"> financieros y administrativos de los ingresos, </w:t>
      </w:r>
      <w:r w:rsidRPr="00457F86">
        <w:rPr>
          <w:rFonts w:ascii="Palatino Linotype" w:eastAsia="Palatino Linotype" w:hAnsi="Palatino Linotype" w:cs="Palatino Linotype"/>
          <w:b/>
          <w:i/>
          <w:sz w:val="22"/>
          <w:szCs w:val="22"/>
          <w:u w:val="single"/>
        </w:rPr>
        <w:t>egresos,</w:t>
      </w:r>
      <w:r w:rsidRPr="00457F86">
        <w:rPr>
          <w:rFonts w:ascii="Palatino Linotype" w:eastAsia="Palatino Linotype" w:hAnsi="Palatino Linotype" w:cs="Palatino Linotype"/>
          <w:b/>
          <w:i/>
          <w:sz w:val="22"/>
          <w:szCs w:val="22"/>
        </w:rPr>
        <w:t xml:space="preserve"> </w:t>
      </w:r>
      <w:r w:rsidRPr="00457F86">
        <w:rPr>
          <w:rFonts w:ascii="Palatino Linotype" w:eastAsia="Palatino Linotype" w:hAnsi="Palatino Linotype" w:cs="Palatino Linotype"/>
          <w:i/>
          <w:sz w:val="22"/>
          <w:szCs w:val="22"/>
        </w:rPr>
        <w:t xml:space="preserve">e </w:t>
      </w:r>
      <w:proofErr w:type="gramStart"/>
      <w:r w:rsidRPr="00457F86">
        <w:rPr>
          <w:rFonts w:ascii="Palatino Linotype" w:eastAsia="Palatino Linotype" w:hAnsi="Palatino Linotype" w:cs="Palatino Linotype"/>
          <w:i/>
          <w:sz w:val="22"/>
          <w:szCs w:val="22"/>
        </w:rPr>
        <w:t>inventarios;…</w:t>
      </w:r>
      <w:proofErr w:type="gramEnd"/>
      <w:r w:rsidRPr="00457F86">
        <w:rPr>
          <w:rFonts w:ascii="Palatino Linotype" w:eastAsia="Palatino Linotype" w:hAnsi="Palatino Linotype" w:cs="Palatino Linotype"/>
          <w:i/>
          <w:sz w:val="22"/>
          <w:szCs w:val="22"/>
        </w:rPr>
        <w:t>”</w:t>
      </w:r>
    </w:p>
    <w:p w14:paraId="52EFF268" w14:textId="77777777" w:rsidR="003E0B3C" w:rsidRPr="00457F86" w:rsidRDefault="00C51FAD">
      <w:pPr>
        <w:widowControl w:val="0"/>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i/>
          <w:sz w:val="22"/>
          <w:szCs w:val="22"/>
        </w:rPr>
        <w:t>(Énfasis Añadido)</w:t>
      </w:r>
    </w:p>
    <w:p w14:paraId="5A3359FE"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7F1059C9"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xml:space="preserve">De lo anteriormente expuesto, queda claro que el corresponde a la Tesorería Municipal realizar las erogaciones que haga el Ayuntamiento; así como llevar los registros contables y financieros de los egresos; por lo que, es la unidad administrativa que conoce de las erogaciones realizadas el dieciocho de mayo del año en curso, al ser un evento realizado por el Ayuntamiento de Tianguistenco. </w:t>
      </w:r>
    </w:p>
    <w:p w14:paraId="31515F2B"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19BCC4DF"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xml:space="preserve">En este tenor, se colige que existe una evidente incompetencia por parte del </w:t>
      </w:r>
      <w:r w:rsidRPr="00457F86">
        <w:rPr>
          <w:rFonts w:ascii="Palatino Linotype" w:eastAsia="Palatino Linotype" w:hAnsi="Palatino Linotype" w:cs="Palatino Linotype"/>
          <w:b/>
          <w:sz w:val="22"/>
          <w:szCs w:val="22"/>
        </w:rPr>
        <w:t>Sujeto Obligado</w:t>
      </w:r>
      <w:r w:rsidRPr="00457F86">
        <w:rPr>
          <w:rFonts w:ascii="Palatino Linotype" w:eastAsia="Palatino Linotype" w:hAnsi="Palatino Linotype" w:cs="Palatino Linotype"/>
          <w:sz w:val="22"/>
          <w:szCs w:val="22"/>
        </w:rPr>
        <w:t xml:space="preserve"> para satisfacer lo solicitado, lo anterior es así, toda vez que en el caso particular, no se observa que cuente con alguna atribución de la cual pudiera desprenderse la información relacionada con los gastos realizados por motivo de la celebración del Día de las Madres, pues se insiste en que fue un evento realizado por el Ayuntamiento y no por el Sistema Municipal para el Desarrollo Integral de la Familia de Tianguistenco. </w:t>
      </w:r>
    </w:p>
    <w:p w14:paraId="79D96717" w14:textId="77777777" w:rsidR="003E0B3C" w:rsidRPr="00457F86" w:rsidRDefault="003E0B3C">
      <w:pPr>
        <w:spacing w:line="360" w:lineRule="auto"/>
        <w:ind w:right="49"/>
        <w:jc w:val="both"/>
        <w:rPr>
          <w:rFonts w:ascii="Palatino Linotype" w:eastAsia="Palatino Linotype" w:hAnsi="Palatino Linotype" w:cs="Palatino Linotype"/>
          <w:sz w:val="22"/>
          <w:szCs w:val="22"/>
        </w:rPr>
      </w:pPr>
    </w:p>
    <w:p w14:paraId="2454D385" w14:textId="77777777" w:rsidR="003E0B3C" w:rsidRPr="00457F86" w:rsidRDefault="00C51FA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lastRenderedPageBreak/>
        <w:t xml:space="preserve">Ahora bien, en lo que compete a la materia, es de resaltar que el Acuerdo mediante el cual se aprueba el Padrón de Sujetos Obligados en materia de Transparencia y Acceso a la Información Pública del Estado de México y Municipios, se advierte que el Ayuntamiento de Tianguistenco y el Sistema Municipal para el Desarrollo Integral de la Familia de Tianguistenco, son Sujetos Obligados con competencia distinta, como se observa a continuación: </w:t>
      </w:r>
    </w:p>
    <w:p w14:paraId="65435A06" w14:textId="77777777" w:rsidR="003E0B3C" w:rsidRPr="00457F86" w:rsidRDefault="003E0B3C">
      <w:pPr>
        <w:rPr>
          <w:rFonts w:ascii="Palatino Linotype" w:eastAsia="Palatino Linotype" w:hAnsi="Palatino Linotype" w:cs="Palatino Linotype"/>
          <w:sz w:val="22"/>
          <w:szCs w:val="22"/>
        </w:rPr>
      </w:pPr>
    </w:p>
    <w:p w14:paraId="63E187AC" w14:textId="77777777" w:rsidR="003E0B3C" w:rsidRPr="00457F86" w:rsidRDefault="00C51FAD">
      <w:pPr>
        <w:jc w:val="center"/>
        <w:rPr>
          <w:rFonts w:ascii="Palatino Linotype" w:eastAsia="Palatino Linotype" w:hAnsi="Palatino Linotype" w:cs="Palatino Linotype"/>
          <w:sz w:val="22"/>
          <w:szCs w:val="22"/>
        </w:rPr>
      </w:pPr>
      <w:r w:rsidRPr="00457F86">
        <w:rPr>
          <w:rFonts w:ascii="Palatino Linotype" w:eastAsia="Palatino Linotype" w:hAnsi="Palatino Linotype" w:cs="Palatino Linotype"/>
          <w:noProof/>
          <w:sz w:val="22"/>
          <w:szCs w:val="22"/>
          <w:lang w:val="es-MX"/>
        </w:rPr>
        <w:drawing>
          <wp:inline distT="0" distB="0" distL="0" distR="0" wp14:anchorId="073FA170" wp14:editId="2F21047B">
            <wp:extent cx="5612130" cy="607695"/>
            <wp:effectExtent l="0" t="0" r="0" b="0"/>
            <wp:docPr id="19257491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612130" cy="607695"/>
                    </a:xfrm>
                    <a:prstGeom prst="rect">
                      <a:avLst/>
                    </a:prstGeom>
                    <a:ln/>
                  </pic:spPr>
                </pic:pic>
              </a:graphicData>
            </a:graphic>
          </wp:inline>
        </w:drawing>
      </w:r>
      <w:r w:rsidRPr="00457F86">
        <w:rPr>
          <w:rFonts w:ascii="Palatino Linotype" w:eastAsia="Palatino Linotype" w:hAnsi="Palatino Linotype" w:cs="Palatino Linotype"/>
          <w:sz w:val="22"/>
          <w:szCs w:val="22"/>
        </w:rPr>
        <w:t xml:space="preserve"> </w:t>
      </w:r>
      <w:r w:rsidRPr="00457F86">
        <w:rPr>
          <w:rFonts w:ascii="Palatino Linotype" w:eastAsia="Palatino Linotype" w:hAnsi="Palatino Linotype" w:cs="Palatino Linotype"/>
          <w:noProof/>
          <w:sz w:val="22"/>
          <w:szCs w:val="22"/>
          <w:lang w:val="es-MX"/>
        </w:rPr>
        <w:drawing>
          <wp:inline distT="0" distB="0" distL="0" distR="0" wp14:anchorId="20B59E67" wp14:editId="728AA656">
            <wp:extent cx="5612130" cy="281940"/>
            <wp:effectExtent l="0" t="0" r="0" b="0"/>
            <wp:docPr id="19257491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612130" cy="281940"/>
                    </a:xfrm>
                    <a:prstGeom prst="rect">
                      <a:avLst/>
                    </a:prstGeom>
                    <a:ln/>
                  </pic:spPr>
                </pic:pic>
              </a:graphicData>
            </a:graphic>
          </wp:inline>
        </w:drawing>
      </w:r>
    </w:p>
    <w:p w14:paraId="5E1EB61D" w14:textId="77777777" w:rsidR="003E0B3C" w:rsidRPr="00457F86" w:rsidRDefault="003E0B3C">
      <w:pPr>
        <w:jc w:val="center"/>
        <w:rPr>
          <w:rFonts w:ascii="Palatino Linotype" w:eastAsia="Palatino Linotype" w:hAnsi="Palatino Linotype" w:cs="Palatino Linotype"/>
          <w:sz w:val="22"/>
          <w:szCs w:val="22"/>
        </w:rPr>
      </w:pPr>
    </w:p>
    <w:p w14:paraId="5B3D4E33" w14:textId="77777777" w:rsidR="003E0B3C" w:rsidRPr="00457F86" w:rsidRDefault="00C51FAD">
      <w:pPr>
        <w:jc w:val="center"/>
        <w:rPr>
          <w:rFonts w:ascii="Palatino Linotype" w:eastAsia="Palatino Linotype" w:hAnsi="Palatino Linotype" w:cs="Palatino Linotype"/>
          <w:sz w:val="22"/>
          <w:szCs w:val="22"/>
        </w:rPr>
      </w:pPr>
      <w:r w:rsidRPr="00457F86">
        <w:rPr>
          <w:rFonts w:ascii="Palatino Linotype" w:eastAsia="Palatino Linotype" w:hAnsi="Palatino Linotype" w:cs="Palatino Linotype"/>
          <w:noProof/>
          <w:sz w:val="22"/>
          <w:szCs w:val="22"/>
          <w:lang w:val="es-MX"/>
        </w:rPr>
        <w:drawing>
          <wp:inline distT="0" distB="0" distL="0" distR="0" wp14:anchorId="4C1C380A" wp14:editId="719EA8C7">
            <wp:extent cx="5612130" cy="308610"/>
            <wp:effectExtent l="0" t="0" r="0" b="0"/>
            <wp:docPr id="19257491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612130" cy="308610"/>
                    </a:xfrm>
                    <a:prstGeom prst="rect">
                      <a:avLst/>
                    </a:prstGeom>
                    <a:ln/>
                  </pic:spPr>
                </pic:pic>
              </a:graphicData>
            </a:graphic>
          </wp:inline>
        </w:drawing>
      </w:r>
      <w:r w:rsidRPr="00457F86">
        <w:rPr>
          <w:rFonts w:ascii="Palatino Linotype" w:eastAsia="Palatino Linotype" w:hAnsi="Palatino Linotype" w:cs="Palatino Linotype"/>
          <w:sz w:val="22"/>
          <w:szCs w:val="22"/>
        </w:rPr>
        <w:t xml:space="preserve"> </w:t>
      </w:r>
      <w:r w:rsidRPr="00457F86">
        <w:rPr>
          <w:rFonts w:ascii="Palatino Linotype" w:eastAsia="Palatino Linotype" w:hAnsi="Palatino Linotype" w:cs="Palatino Linotype"/>
          <w:noProof/>
          <w:sz w:val="22"/>
          <w:szCs w:val="22"/>
          <w:lang w:val="es-MX"/>
        </w:rPr>
        <w:drawing>
          <wp:inline distT="0" distB="0" distL="0" distR="0" wp14:anchorId="6EBDCFA1" wp14:editId="02D33EB7">
            <wp:extent cx="5612130" cy="300355"/>
            <wp:effectExtent l="0" t="0" r="0" b="0"/>
            <wp:docPr id="19257491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612130" cy="300355"/>
                    </a:xfrm>
                    <a:prstGeom prst="rect">
                      <a:avLst/>
                    </a:prstGeom>
                    <a:ln/>
                  </pic:spPr>
                </pic:pic>
              </a:graphicData>
            </a:graphic>
          </wp:inline>
        </w:drawing>
      </w:r>
    </w:p>
    <w:p w14:paraId="59EDE84C" w14:textId="77777777" w:rsidR="003E0B3C" w:rsidRPr="00457F86" w:rsidRDefault="003E0B3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6F5896C" w14:textId="77777777" w:rsidR="003E0B3C" w:rsidRPr="00457F86" w:rsidRDefault="00C51FA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xml:space="preserve">Por ende, se considera que, este Sistema Municipal es un sujeto obligado independiente al Ayuntamiento de Tianguistenco y que, derivado de la materia en que versó la solicitud de información, este es </w:t>
      </w:r>
      <w:r w:rsidRPr="00457F86">
        <w:rPr>
          <w:rFonts w:ascii="Palatino Linotype" w:eastAsia="Palatino Linotype" w:hAnsi="Palatino Linotype" w:cs="Palatino Linotype"/>
          <w:b/>
          <w:sz w:val="22"/>
          <w:szCs w:val="22"/>
        </w:rPr>
        <w:t xml:space="preserve">competente </w:t>
      </w:r>
      <w:r w:rsidRPr="00457F86">
        <w:rPr>
          <w:rFonts w:ascii="Palatino Linotype" w:eastAsia="Palatino Linotype" w:hAnsi="Palatino Linotype" w:cs="Palatino Linotype"/>
          <w:sz w:val="22"/>
          <w:szCs w:val="22"/>
        </w:rPr>
        <w:t xml:space="preserve">para generar, poseer y administrar la información requerida por el ahora </w:t>
      </w:r>
      <w:r w:rsidRPr="00457F86">
        <w:rPr>
          <w:rFonts w:ascii="Palatino Linotype" w:eastAsia="Palatino Linotype" w:hAnsi="Palatino Linotype" w:cs="Palatino Linotype"/>
          <w:b/>
          <w:sz w:val="22"/>
          <w:szCs w:val="22"/>
        </w:rPr>
        <w:t>Recurrente</w:t>
      </w:r>
      <w:r w:rsidRPr="00457F86">
        <w:rPr>
          <w:rFonts w:ascii="Palatino Linotype" w:eastAsia="Palatino Linotype" w:hAnsi="Palatino Linotype" w:cs="Palatino Linotype"/>
          <w:sz w:val="22"/>
          <w:szCs w:val="22"/>
        </w:rPr>
        <w:t xml:space="preserve">. </w:t>
      </w:r>
    </w:p>
    <w:p w14:paraId="64A5B798" w14:textId="77777777" w:rsidR="003E0B3C" w:rsidRPr="00457F86" w:rsidRDefault="003E0B3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481275F" w14:textId="77777777" w:rsidR="003E0B3C" w:rsidRPr="00457F86" w:rsidRDefault="00C51FA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xml:space="preserve">Debido a ello, se dejan a salvo los derechos del particular para que presente, en caso de que lo considere conveniente presente una nueva solicitud de información ante </w:t>
      </w:r>
      <w:proofErr w:type="spellStart"/>
      <w:r w:rsidRPr="00457F86">
        <w:rPr>
          <w:rFonts w:ascii="Palatino Linotype" w:eastAsia="Palatino Linotype" w:hAnsi="Palatino Linotype" w:cs="Palatino Linotype"/>
          <w:sz w:val="22"/>
          <w:szCs w:val="22"/>
        </w:rPr>
        <w:t>en</w:t>
      </w:r>
      <w:proofErr w:type="spellEnd"/>
      <w:r w:rsidRPr="00457F86">
        <w:rPr>
          <w:rFonts w:ascii="Palatino Linotype" w:eastAsia="Palatino Linotype" w:hAnsi="Palatino Linotype" w:cs="Palatino Linotype"/>
          <w:sz w:val="22"/>
          <w:szCs w:val="22"/>
        </w:rPr>
        <w:t xml:space="preserve"> Ayuntamiento con la finalidad de obtener la información de su interés. </w:t>
      </w:r>
    </w:p>
    <w:p w14:paraId="29D04998" w14:textId="77777777" w:rsidR="003E0B3C" w:rsidRPr="00457F86" w:rsidRDefault="003E0B3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6A41D24" w14:textId="77777777" w:rsidR="003E0B3C" w:rsidRPr="00457F86" w:rsidRDefault="00C51FAD">
      <w:pPr>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b/>
          <w:sz w:val="22"/>
          <w:szCs w:val="22"/>
        </w:rPr>
        <w:t xml:space="preserve">De la Declaratoria de Incompetencia de los Sujetos Obligados. </w:t>
      </w:r>
    </w:p>
    <w:p w14:paraId="50FECE83" w14:textId="77777777" w:rsidR="003E0B3C" w:rsidRPr="00457F86" w:rsidRDefault="003E0B3C">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5A4548A9" w14:textId="77777777" w:rsidR="003E0B3C" w:rsidRPr="00457F86" w:rsidRDefault="00C51FAD">
      <w:pPr>
        <w:spacing w:line="360" w:lineRule="auto"/>
        <w:ind w:right="49"/>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xml:space="preserve">De acuerdo con, Cabanellas, Guillermo (1993), en el </w:t>
      </w:r>
      <w:r w:rsidRPr="00457F86">
        <w:rPr>
          <w:rFonts w:ascii="Palatino Linotype" w:eastAsia="Palatino Linotype" w:hAnsi="Palatino Linotype" w:cs="Palatino Linotype"/>
          <w:i/>
          <w:sz w:val="22"/>
          <w:szCs w:val="22"/>
        </w:rPr>
        <w:t>“Diccionario Jurídico Elemental”</w:t>
      </w:r>
      <w:r w:rsidRPr="00457F86">
        <w:rPr>
          <w:rFonts w:ascii="Palatino Linotype" w:eastAsia="Palatino Linotype" w:hAnsi="Palatino Linotype" w:cs="Palatino Linotype"/>
          <w:sz w:val="22"/>
          <w:szCs w:val="22"/>
        </w:rPr>
        <w:t xml:space="preserve"> (p. 32 y 161) la competencia o bien, la incompetencia se refiere a:  </w:t>
      </w:r>
    </w:p>
    <w:p w14:paraId="2F0169C4" w14:textId="77777777" w:rsidR="003E0B3C" w:rsidRPr="00457F86" w:rsidRDefault="003E0B3C">
      <w:pPr>
        <w:spacing w:line="360" w:lineRule="auto"/>
        <w:ind w:right="49"/>
        <w:jc w:val="both"/>
        <w:rPr>
          <w:rFonts w:ascii="Palatino Linotype" w:eastAsia="Palatino Linotype" w:hAnsi="Palatino Linotype" w:cs="Palatino Linotype"/>
          <w:sz w:val="22"/>
          <w:szCs w:val="22"/>
        </w:rPr>
      </w:pPr>
    </w:p>
    <w:p w14:paraId="64434D08" w14:textId="77777777" w:rsidR="003E0B3C" w:rsidRPr="00457F86" w:rsidRDefault="00C51FAD">
      <w:pPr>
        <w:numPr>
          <w:ilvl w:val="0"/>
          <w:numId w:val="7"/>
        </w:numPr>
        <w:spacing w:line="360" w:lineRule="auto"/>
        <w:ind w:right="49"/>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b/>
          <w:sz w:val="22"/>
          <w:szCs w:val="22"/>
        </w:rPr>
        <w:t xml:space="preserve">Competencia: </w:t>
      </w:r>
      <w:r w:rsidRPr="00457F86">
        <w:rPr>
          <w:rFonts w:ascii="Palatino Linotype" w:eastAsia="Palatino Linotype" w:hAnsi="Palatino Linotype" w:cs="Palatino Linotype"/>
          <w:sz w:val="22"/>
          <w:szCs w:val="22"/>
        </w:rPr>
        <w:t>La capacidad de una autoridad para conocer sobre una materia o asunto.</w:t>
      </w:r>
    </w:p>
    <w:p w14:paraId="04EF1B07" w14:textId="77777777" w:rsidR="003E0B3C" w:rsidRPr="00457F86" w:rsidRDefault="00C51FAD">
      <w:pPr>
        <w:numPr>
          <w:ilvl w:val="0"/>
          <w:numId w:val="7"/>
        </w:numPr>
        <w:spacing w:line="360" w:lineRule="auto"/>
        <w:ind w:right="49"/>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b/>
          <w:sz w:val="22"/>
          <w:szCs w:val="22"/>
        </w:rPr>
        <w:t>Incompetencia:</w:t>
      </w:r>
      <w:r w:rsidRPr="00457F86">
        <w:rPr>
          <w:rFonts w:ascii="Palatino Linotype" w:eastAsia="Palatino Linotype" w:hAnsi="Palatino Linotype" w:cs="Palatino Linotype"/>
          <w:sz w:val="22"/>
          <w:szCs w:val="22"/>
        </w:rPr>
        <w:t xml:space="preserve"> Falta de Competencia.</w:t>
      </w:r>
    </w:p>
    <w:p w14:paraId="63EC9D54" w14:textId="77777777" w:rsidR="003E0B3C" w:rsidRPr="00457F86" w:rsidRDefault="003E0B3C">
      <w:pPr>
        <w:spacing w:line="360" w:lineRule="auto"/>
        <w:ind w:right="49"/>
        <w:jc w:val="both"/>
        <w:rPr>
          <w:rFonts w:ascii="Palatino Linotype" w:eastAsia="Palatino Linotype" w:hAnsi="Palatino Linotype" w:cs="Palatino Linotype"/>
          <w:sz w:val="22"/>
          <w:szCs w:val="22"/>
        </w:rPr>
      </w:pPr>
    </w:p>
    <w:p w14:paraId="075C8BCA" w14:textId="77777777" w:rsidR="003E0B3C" w:rsidRPr="00457F86" w:rsidRDefault="00C51FAD">
      <w:pPr>
        <w:spacing w:line="360" w:lineRule="auto"/>
        <w:ind w:right="49"/>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xml:space="preserve">Por lo que, </w:t>
      </w:r>
      <w:r w:rsidRPr="00457F86">
        <w:rPr>
          <w:rFonts w:ascii="Palatino Linotype" w:eastAsia="Palatino Linotype" w:hAnsi="Palatino Linotype" w:cs="Palatino Linotype"/>
          <w:b/>
          <w:sz w:val="22"/>
          <w:szCs w:val="22"/>
        </w:rPr>
        <w:t>la incompetencia</w:t>
      </w:r>
      <w:r w:rsidRPr="00457F86">
        <w:rPr>
          <w:rFonts w:ascii="Palatino Linotype" w:eastAsia="Palatino Linotype" w:hAnsi="Palatino Linotype" w:cs="Palatino Linotype"/>
          <w:sz w:val="22"/>
          <w:szCs w:val="22"/>
        </w:rPr>
        <w:t xml:space="preserve">, radica en la incapacidad de una autoridad para conocer de un tema o asunto; en el mismo sentido, conviene traer a cuenta tesis aislada número III.2o.P.11 K, publicada en el Semanario Judicial de la Federación y su Gaceta, Novena Época, Tomo XV, </w:t>
      </w:r>
      <w:proofErr w:type="gramStart"/>
      <w:r w:rsidRPr="00457F86">
        <w:rPr>
          <w:rFonts w:ascii="Palatino Linotype" w:eastAsia="Palatino Linotype" w:hAnsi="Palatino Linotype" w:cs="Palatino Linotype"/>
          <w:sz w:val="22"/>
          <w:szCs w:val="22"/>
        </w:rPr>
        <w:t>Mayo</w:t>
      </w:r>
      <w:proofErr w:type="gramEnd"/>
      <w:r w:rsidRPr="00457F86">
        <w:rPr>
          <w:rFonts w:ascii="Palatino Linotype" w:eastAsia="Palatino Linotype" w:hAnsi="Palatino Linotype" w:cs="Palatino Linotype"/>
          <w:sz w:val="22"/>
          <w:szCs w:val="22"/>
        </w:rPr>
        <w:t xml:space="preserve"> de 2002, Pág. 1243, ya que precisa lo siguiente: </w:t>
      </w:r>
    </w:p>
    <w:p w14:paraId="046B89EC" w14:textId="77777777" w:rsidR="003E0B3C" w:rsidRPr="00457F86" w:rsidRDefault="003E0B3C">
      <w:pPr>
        <w:spacing w:line="360" w:lineRule="auto"/>
        <w:ind w:right="49"/>
        <w:jc w:val="both"/>
        <w:rPr>
          <w:rFonts w:ascii="Palatino Linotype" w:eastAsia="Palatino Linotype" w:hAnsi="Palatino Linotype" w:cs="Palatino Linotype"/>
          <w:sz w:val="22"/>
          <w:szCs w:val="22"/>
        </w:rPr>
      </w:pPr>
    </w:p>
    <w:p w14:paraId="2C96C56D" w14:textId="77777777" w:rsidR="003E0B3C" w:rsidRPr="00457F86" w:rsidRDefault="00C51FAD">
      <w:pPr>
        <w:spacing w:line="276" w:lineRule="auto"/>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b/>
          <w:i/>
          <w:sz w:val="22"/>
          <w:szCs w:val="22"/>
        </w:rPr>
        <w:t xml:space="preserve">“LEGITIMACIÓN DE FUNCIONARIOS PÚBLICOS. LOS TRIBUNALES DE AMPARO, POR ESTAR VINCULADOS CON EL CONCEPTO DE COMPETENCIA A QUE SE REFIERE EL ARTÍCULO 16 CONSTITUCIONAL, NO PUEDEN CONOCER DE AQUÉLLA. </w:t>
      </w:r>
      <w:r w:rsidRPr="00457F86">
        <w:rPr>
          <w:rFonts w:ascii="Palatino Linotype" w:eastAsia="Palatino Linotype" w:hAnsi="Palatino Linotype" w:cs="Palatino Linotype"/>
          <w:i/>
          <w:sz w:val="22"/>
          <w:szCs w:val="22"/>
        </w:rPr>
        <w:t>El artículo </w:t>
      </w:r>
      <w:hyperlink r:id="rId14">
        <w:r w:rsidRPr="00457F86">
          <w:rPr>
            <w:rFonts w:ascii="Palatino Linotype" w:eastAsia="Palatino Linotype" w:hAnsi="Palatino Linotype" w:cs="Palatino Linotype"/>
            <w:i/>
            <w:sz w:val="22"/>
            <w:szCs w:val="22"/>
            <w:u w:val="single"/>
          </w:rPr>
          <w:t>16 constitucional</w:t>
        </w:r>
      </w:hyperlink>
      <w:r w:rsidRPr="00457F86">
        <w:rPr>
          <w:rFonts w:ascii="Palatino Linotype" w:eastAsia="Palatino Linotype" w:hAnsi="Palatino Linotype" w:cs="Palatino Linotype"/>
          <w:i/>
          <w:sz w:val="22"/>
          <w:szCs w:val="22"/>
        </w:rPr>
        <w:t>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2F20C442" w14:textId="77777777" w:rsidR="003E0B3C" w:rsidRPr="00457F86" w:rsidRDefault="003E0B3C">
      <w:pPr>
        <w:spacing w:line="360" w:lineRule="auto"/>
        <w:ind w:right="49"/>
        <w:jc w:val="both"/>
        <w:rPr>
          <w:rFonts w:ascii="Palatino Linotype" w:eastAsia="Palatino Linotype" w:hAnsi="Palatino Linotype" w:cs="Palatino Linotype"/>
          <w:sz w:val="22"/>
          <w:szCs w:val="22"/>
        </w:rPr>
      </w:pPr>
    </w:p>
    <w:p w14:paraId="1715F3C4" w14:textId="77777777" w:rsidR="003E0B3C" w:rsidRPr="00457F86" w:rsidRDefault="00C51FAD">
      <w:pPr>
        <w:spacing w:line="360" w:lineRule="auto"/>
        <w:ind w:right="49"/>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xml:space="preserve">De la misma manera, resulta necesario traer a colación, el Criterio orientador 13/17, emitido por el entonces Instituto Nacional de Transparencia, Acceso a la Información y Protección de Datos Personales, que dispone lo siguiente: </w:t>
      </w:r>
    </w:p>
    <w:p w14:paraId="40356D3C" w14:textId="77777777" w:rsidR="003E0B3C" w:rsidRPr="00457F86" w:rsidRDefault="003E0B3C">
      <w:pPr>
        <w:spacing w:line="360" w:lineRule="auto"/>
        <w:ind w:right="49"/>
        <w:jc w:val="both"/>
        <w:rPr>
          <w:rFonts w:ascii="Palatino Linotype" w:eastAsia="Palatino Linotype" w:hAnsi="Palatino Linotype" w:cs="Palatino Linotype"/>
          <w:sz w:val="22"/>
          <w:szCs w:val="22"/>
        </w:rPr>
      </w:pPr>
    </w:p>
    <w:p w14:paraId="5CAC7821" w14:textId="77777777" w:rsidR="003E0B3C" w:rsidRPr="00457F86" w:rsidRDefault="00C51FAD">
      <w:pPr>
        <w:spacing w:line="276" w:lineRule="auto"/>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t>“</w:t>
      </w:r>
      <w:r w:rsidRPr="00457F86">
        <w:rPr>
          <w:rFonts w:ascii="Palatino Linotype" w:eastAsia="Palatino Linotype" w:hAnsi="Palatino Linotype" w:cs="Palatino Linotype"/>
          <w:b/>
          <w:i/>
          <w:sz w:val="22"/>
          <w:szCs w:val="22"/>
        </w:rPr>
        <w:t xml:space="preserve">Incompetencia. </w:t>
      </w:r>
      <w:r w:rsidRPr="00457F86">
        <w:rPr>
          <w:rFonts w:ascii="Palatino Linotype" w:eastAsia="Palatino Linotype" w:hAnsi="Palatino Linotype" w:cs="Palatino Linotype"/>
          <w:i/>
          <w:sz w:val="22"/>
          <w:szCs w:val="22"/>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5F8961F4" w14:textId="77777777" w:rsidR="003E0B3C" w:rsidRPr="00457F86" w:rsidRDefault="003E0B3C">
      <w:pPr>
        <w:spacing w:line="360" w:lineRule="auto"/>
        <w:ind w:right="49"/>
        <w:jc w:val="both"/>
        <w:rPr>
          <w:rFonts w:ascii="Palatino Linotype" w:eastAsia="Palatino Linotype" w:hAnsi="Palatino Linotype" w:cs="Palatino Linotype"/>
          <w:sz w:val="22"/>
          <w:szCs w:val="22"/>
        </w:rPr>
      </w:pPr>
    </w:p>
    <w:p w14:paraId="347FB0EC" w14:textId="77777777" w:rsidR="003E0B3C" w:rsidRPr="00457F86" w:rsidRDefault="00C51FAD">
      <w:pPr>
        <w:spacing w:line="360" w:lineRule="auto"/>
        <w:ind w:right="49"/>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xml:space="preserve">En tal virtud, la </w:t>
      </w:r>
      <w:r w:rsidRPr="00457F86">
        <w:rPr>
          <w:rFonts w:ascii="Palatino Linotype" w:eastAsia="Palatino Linotype" w:hAnsi="Palatino Linotype" w:cs="Palatino Linotype"/>
          <w:b/>
          <w:sz w:val="22"/>
          <w:szCs w:val="22"/>
        </w:rPr>
        <w:t xml:space="preserve">incompetencia </w:t>
      </w:r>
      <w:r w:rsidRPr="00457F86">
        <w:rPr>
          <w:rFonts w:ascii="Palatino Linotype" w:eastAsia="Palatino Linotype" w:hAnsi="Palatino Linotype" w:cs="Palatino Linotype"/>
          <w:sz w:val="22"/>
          <w:szCs w:val="22"/>
        </w:rPr>
        <w:t>implica que, de conformidad con las atribuciones conferidas al sujeto obligado, no habría razón por la cual este deba contar con la información solicitada, en cuyo caso, tendría que orientar al particular para que acuda a la instancia competente.</w:t>
      </w:r>
    </w:p>
    <w:p w14:paraId="21B31B10" w14:textId="77777777" w:rsidR="003E0B3C" w:rsidRPr="00457F86" w:rsidRDefault="003E0B3C">
      <w:pPr>
        <w:spacing w:line="360" w:lineRule="auto"/>
        <w:ind w:right="49"/>
        <w:jc w:val="both"/>
        <w:rPr>
          <w:rFonts w:ascii="Palatino Linotype" w:eastAsia="Palatino Linotype" w:hAnsi="Palatino Linotype" w:cs="Palatino Linotype"/>
          <w:sz w:val="22"/>
          <w:szCs w:val="22"/>
        </w:rPr>
      </w:pPr>
    </w:p>
    <w:p w14:paraId="6F21F9AB" w14:textId="77777777" w:rsidR="003E0B3C" w:rsidRPr="00457F86" w:rsidRDefault="00C51FAD">
      <w:pPr>
        <w:tabs>
          <w:tab w:val="left" w:pos="142"/>
          <w:tab w:val="left" w:pos="284"/>
        </w:tabs>
        <w:spacing w:line="360" w:lineRule="auto"/>
        <w:ind w:right="49"/>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xml:space="preserve">Ahora bien, en cuanto hace a la Declaración de Incompetencia la Ley de Transparencia y Acceso a la Información Pública del Estado de México, establece, en los artículos 49, fracción II y 167, lo siguiente: </w:t>
      </w:r>
    </w:p>
    <w:p w14:paraId="0574128E" w14:textId="77777777" w:rsidR="003E0B3C" w:rsidRPr="00457F86" w:rsidRDefault="003E0B3C">
      <w:pPr>
        <w:tabs>
          <w:tab w:val="left" w:pos="142"/>
          <w:tab w:val="left" w:pos="284"/>
        </w:tabs>
        <w:spacing w:line="360" w:lineRule="auto"/>
        <w:ind w:left="851" w:right="49"/>
        <w:jc w:val="both"/>
        <w:rPr>
          <w:rFonts w:ascii="Palatino Linotype" w:eastAsia="Palatino Linotype" w:hAnsi="Palatino Linotype" w:cs="Palatino Linotype"/>
          <w:i/>
          <w:sz w:val="22"/>
          <w:szCs w:val="22"/>
        </w:rPr>
      </w:pPr>
    </w:p>
    <w:p w14:paraId="50F887C2" w14:textId="77777777" w:rsidR="003E0B3C" w:rsidRPr="00457F86" w:rsidRDefault="00C51FAD">
      <w:pPr>
        <w:tabs>
          <w:tab w:val="left" w:pos="142"/>
          <w:tab w:val="left" w:pos="284"/>
          <w:tab w:val="left" w:pos="8080"/>
        </w:tabs>
        <w:spacing w:line="276" w:lineRule="auto"/>
        <w:ind w:left="851" w:right="616"/>
        <w:jc w:val="both"/>
        <w:rPr>
          <w:rFonts w:ascii="Palatino Linotype" w:eastAsia="Palatino Linotype" w:hAnsi="Palatino Linotype" w:cs="Palatino Linotype"/>
          <w:i/>
          <w:sz w:val="22"/>
          <w:szCs w:val="22"/>
        </w:rPr>
      </w:pPr>
      <w:r w:rsidRPr="00457F86">
        <w:rPr>
          <w:rFonts w:ascii="Palatino Linotype" w:eastAsia="Palatino Linotype" w:hAnsi="Palatino Linotype" w:cs="Palatino Linotype"/>
          <w:i/>
          <w:sz w:val="22"/>
          <w:szCs w:val="22"/>
        </w:rPr>
        <w:t>“</w:t>
      </w:r>
      <w:r w:rsidRPr="00457F86">
        <w:rPr>
          <w:rFonts w:ascii="Palatino Linotype" w:eastAsia="Palatino Linotype" w:hAnsi="Palatino Linotype" w:cs="Palatino Linotype"/>
          <w:b/>
          <w:i/>
          <w:sz w:val="22"/>
          <w:szCs w:val="22"/>
        </w:rPr>
        <w:t>Artículo 49.</w:t>
      </w:r>
      <w:r w:rsidRPr="00457F86">
        <w:rPr>
          <w:rFonts w:ascii="Palatino Linotype" w:eastAsia="Palatino Linotype" w:hAnsi="Palatino Linotype" w:cs="Palatino Linotype"/>
          <w:i/>
          <w:sz w:val="22"/>
          <w:szCs w:val="22"/>
        </w:rPr>
        <w:t xml:space="preserve"> </w:t>
      </w:r>
      <w:r w:rsidRPr="00457F86">
        <w:rPr>
          <w:rFonts w:ascii="Palatino Linotype" w:eastAsia="Palatino Linotype" w:hAnsi="Palatino Linotype" w:cs="Palatino Linotype"/>
          <w:b/>
          <w:i/>
          <w:sz w:val="22"/>
          <w:szCs w:val="22"/>
        </w:rPr>
        <w:t>Los Comités de Transparencia</w:t>
      </w:r>
      <w:r w:rsidRPr="00457F86">
        <w:rPr>
          <w:rFonts w:ascii="Palatino Linotype" w:eastAsia="Palatino Linotype" w:hAnsi="Palatino Linotype" w:cs="Palatino Linotype"/>
          <w:i/>
          <w:sz w:val="22"/>
          <w:szCs w:val="22"/>
        </w:rPr>
        <w:t xml:space="preserve"> tendrán las siguientes atribuciones:</w:t>
      </w:r>
    </w:p>
    <w:p w14:paraId="697D03D4" w14:textId="77777777" w:rsidR="003E0B3C" w:rsidRPr="00457F86" w:rsidRDefault="00C51FAD">
      <w:pPr>
        <w:tabs>
          <w:tab w:val="left" w:pos="142"/>
          <w:tab w:val="left" w:pos="284"/>
          <w:tab w:val="left" w:pos="8080"/>
        </w:tabs>
        <w:spacing w:line="276" w:lineRule="auto"/>
        <w:ind w:left="851" w:right="616"/>
        <w:jc w:val="both"/>
        <w:rPr>
          <w:rFonts w:ascii="Palatino Linotype" w:eastAsia="Palatino Linotype" w:hAnsi="Palatino Linotype" w:cs="Palatino Linotype"/>
          <w:b/>
          <w:i/>
          <w:sz w:val="22"/>
          <w:szCs w:val="22"/>
        </w:rPr>
      </w:pPr>
      <w:r w:rsidRPr="00457F86">
        <w:rPr>
          <w:rFonts w:ascii="Palatino Linotype" w:eastAsia="Palatino Linotype" w:hAnsi="Palatino Linotype" w:cs="Palatino Linotype"/>
          <w:b/>
          <w:i/>
          <w:sz w:val="22"/>
          <w:szCs w:val="22"/>
        </w:rPr>
        <w:t>...</w:t>
      </w:r>
    </w:p>
    <w:p w14:paraId="7C08BA7F" w14:textId="77777777" w:rsidR="003E0B3C" w:rsidRPr="00457F86" w:rsidRDefault="00C51FAD">
      <w:pPr>
        <w:tabs>
          <w:tab w:val="left" w:pos="142"/>
          <w:tab w:val="left" w:pos="284"/>
          <w:tab w:val="left" w:pos="8080"/>
        </w:tabs>
        <w:spacing w:line="276" w:lineRule="auto"/>
        <w:ind w:left="851" w:right="616"/>
        <w:jc w:val="both"/>
        <w:rPr>
          <w:rFonts w:ascii="Palatino Linotype" w:eastAsia="Palatino Linotype" w:hAnsi="Palatino Linotype" w:cs="Palatino Linotype"/>
          <w:b/>
          <w:i/>
          <w:sz w:val="22"/>
          <w:szCs w:val="22"/>
          <w:u w:val="single"/>
        </w:rPr>
      </w:pPr>
      <w:r w:rsidRPr="00457F86">
        <w:rPr>
          <w:rFonts w:ascii="Palatino Linotype" w:eastAsia="Palatino Linotype" w:hAnsi="Palatino Linotype" w:cs="Palatino Linotype"/>
          <w:b/>
          <w:i/>
          <w:sz w:val="22"/>
          <w:szCs w:val="22"/>
        </w:rPr>
        <w:t>II.</w:t>
      </w:r>
      <w:r w:rsidRPr="00457F86">
        <w:rPr>
          <w:rFonts w:ascii="Palatino Linotype" w:eastAsia="Palatino Linotype" w:hAnsi="Palatino Linotype" w:cs="Palatino Linotype"/>
          <w:sz w:val="22"/>
          <w:szCs w:val="22"/>
        </w:rPr>
        <w:t xml:space="preserve"> </w:t>
      </w:r>
      <w:r w:rsidRPr="00457F86">
        <w:rPr>
          <w:rFonts w:ascii="Palatino Linotype" w:eastAsia="Palatino Linotype" w:hAnsi="Palatino Linotype" w:cs="Palatino Linotype"/>
          <w:b/>
          <w:i/>
          <w:sz w:val="22"/>
          <w:szCs w:val="22"/>
        </w:rPr>
        <w:t>Confirmar, modificar o revocar</w:t>
      </w:r>
      <w:r w:rsidRPr="00457F86">
        <w:rPr>
          <w:rFonts w:ascii="Palatino Linotype" w:eastAsia="Palatino Linotype" w:hAnsi="Palatino Linotype" w:cs="Palatino Linotype"/>
          <w:i/>
          <w:sz w:val="22"/>
          <w:szCs w:val="22"/>
        </w:rPr>
        <w:t xml:space="preserve"> las determinaciones </w:t>
      </w:r>
      <w:proofErr w:type="gramStart"/>
      <w:r w:rsidRPr="00457F86">
        <w:rPr>
          <w:rFonts w:ascii="Palatino Linotype" w:eastAsia="Palatino Linotype" w:hAnsi="Palatino Linotype" w:cs="Palatino Linotype"/>
          <w:i/>
          <w:sz w:val="22"/>
          <w:szCs w:val="22"/>
        </w:rPr>
        <w:t>que</w:t>
      </w:r>
      <w:proofErr w:type="gramEnd"/>
      <w:r w:rsidRPr="00457F86">
        <w:rPr>
          <w:rFonts w:ascii="Palatino Linotype" w:eastAsia="Palatino Linotype" w:hAnsi="Palatino Linotype" w:cs="Palatino Linotype"/>
          <w:i/>
          <w:sz w:val="22"/>
          <w:szCs w:val="22"/>
        </w:rPr>
        <w:t xml:space="preserve"> en materia de ampliación del plazo de respuesta, clasificación de la información </w:t>
      </w:r>
      <w:r w:rsidRPr="00457F86">
        <w:rPr>
          <w:rFonts w:ascii="Palatino Linotype" w:eastAsia="Palatino Linotype" w:hAnsi="Palatino Linotype" w:cs="Palatino Linotype"/>
          <w:b/>
          <w:i/>
          <w:sz w:val="22"/>
          <w:szCs w:val="22"/>
        </w:rPr>
        <w:t>y declaración</w:t>
      </w:r>
      <w:r w:rsidRPr="00457F86">
        <w:rPr>
          <w:rFonts w:ascii="Palatino Linotype" w:eastAsia="Palatino Linotype" w:hAnsi="Palatino Linotype" w:cs="Palatino Linotype"/>
          <w:i/>
          <w:sz w:val="22"/>
          <w:szCs w:val="22"/>
        </w:rPr>
        <w:t xml:space="preserve"> de inexistencia o </w:t>
      </w:r>
      <w:r w:rsidRPr="00457F86">
        <w:rPr>
          <w:rFonts w:ascii="Palatino Linotype" w:eastAsia="Palatino Linotype" w:hAnsi="Palatino Linotype" w:cs="Palatino Linotype"/>
          <w:b/>
          <w:i/>
          <w:sz w:val="22"/>
          <w:szCs w:val="22"/>
        </w:rPr>
        <w:t>de incompetencia realicen los titulares de las áreas de los sujetos obligados;</w:t>
      </w:r>
    </w:p>
    <w:p w14:paraId="75E79C36" w14:textId="77777777" w:rsidR="003E0B3C" w:rsidRPr="00457F86" w:rsidRDefault="00C51FAD">
      <w:pPr>
        <w:tabs>
          <w:tab w:val="left" w:pos="142"/>
          <w:tab w:val="left" w:pos="284"/>
          <w:tab w:val="left" w:pos="8080"/>
        </w:tabs>
        <w:spacing w:line="276" w:lineRule="auto"/>
        <w:ind w:left="851" w:right="616"/>
        <w:jc w:val="both"/>
        <w:rPr>
          <w:rFonts w:ascii="Palatino Linotype" w:eastAsia="Palatino Linotype" w:hAnsi="Palatino Linotype" w:cs="Palatino Linotype"/>
          <w:b/>
          <w:i/>
          <w:sz w:val="22"/>
          <w:szCs w:val="22"/>
        </w:rPr>
      </w:pPr>
      <w:r w:rsidRPr="00457F86">
        <w:rPr>
          <w:rFonts w:ascii="Palatino Linotype" w:eastAsia="Palatino Linotype" w:hAnsi="Palatino Linotype" w:cs="Palatino Linotype"/>
          <w:b/>
          <w:i/>
          <w:sz w:val="22"/>
          <w:szCs w:val="22"/>
        </w:rPr>
        <w:t>...</w:t>
      </w:r>
    </w:p>
    <w:p w14:paraId="5160AA0B" w14:textId="77777777" w:rsidR="003E0B3C" w:rsidRPr="00457F86" w:rsidRDefault="00C51FAD">
      <w:pPr>
        <w:tabs>
          <w:tab w:val="left" w:pos="142"/>
          <w:tab w:val="left" w:pos="284"/>
          <w:tab w:val="left" w:pos="8080"/>
        </w:tabs>
        <w:spacing w:line="276" w:lineRule="auto"/>
        <w:ind w:left="851" w:right="616"/>
        <w:jc w:val="both"/>
        <w:rPr>
          <w:rFonts w:ascii="Palatino Linotype" w:eastAsia="Palatino Linotype" w:hAnsi="Palatino Linotype" w:cs="Palatino Linotype"/>
          <w:b/>
          <w:i/>
          <w:sz w:val="22"/>
          <w:szCs w:val="22"/>
        </w:rPr>
      </w:pPr>
      <w:r w:rsidRPr="00457F86">
        <w:rPr>
          <w:rFonts w:ascii="Palatino Linotype" w:eastAsia="Palatino Linotype" w:hAnsi="Palatino Linotype" w:cs="Palatino Linotype"/>
          <w:b/>
          <w:i/>
          <w:sz w:val="22"/>
          <w:szCs w:val="22"/>
        </w:rPr>
        <w:t>Artículo 167</w:t>
      </w:r>
      <w:r w:rsidRPr="00457F86">
        <w:rPr>
          <w:rFonts w:ascii="Palatino Linotype" w:eastAsia="Palatino Linotype" w:hAnsi="Palatino Linotype" w:cs="Palatino Linotype"/>
          <w:i/>
          <w:sz w:val="22"/>
          <w:szCs w:val="22"/>
        </w:rPr>
        <w:t xml:space="preserve">. </w:t>
      </w:r>
      <w:r w:rsidRPr="00457F86">
        <w:rPr>
          <w:rFonts w:ascii="Palatino Linotype" w:eastAsia="Palatino Linotype" w:hAnsi="Palatino Linotype" w:cs="Palatino Linotype"/>
          <w:b/>
          <w:i/>
          <w:sz w:val="22"/>
          <w:szCs w:val="22"/>
        </w:rPr>
        <w:t>Cuando las unidades de transparencia determinen la notoria incompetencia</w:t>
      </w:r>
      <w:r w:rsidRPr="00457F86">
        <w:rPr>
          <w:rFonts w:ascii="Palatino Linotype" w:eastAsia="Palatino Linotype" w:hAnsi="Palatino Linotype" w:cs="Palatino Linotype"/>
          <w:i/>
          <w:sz w:val="22"/>
          <w:szCs w:val="22"/>
        </w:rPr>
        <w:t xml:space="preserve"> por parte de los sujetos obligados, dentro del ámbito de aplicación, </w:t>
      </w:r>
      <w:r w:rsidRPr="00457F86">
        <w:rPr>
          <w:rFonts w:ascii="Palatino Linotype" w:eastAsia="Palatino Linotype" w:hAnsi="Palatino Linotype" w:cs="Palatino Linotype"/>
          <w:i/>
          <w:sz w:val="22"/>
          <w:szCs w:val="22"/>
        </w:rPr>
        <w:lastRenderedPageBreak/>
        <w:t xml:space="preserve">para atender la solicitud de acceso a la información, </w:t>
      </w:r>
      <w:r w:rsidRPr="00457F86">
        <w:rPr>
          <w:rFonts w:ascii="Palatino Linotype" w:eastAsia="Palatino Linotype" w:hAnsi="Palatino Linotype" w:cs="Palatino Linotype"/>
          <w:b/>
          <w:i/>
          <w:sz w:val="22"/>
          <w:szCs w:val="22"/>
        </w:rPr>
        <w:t>deberán comunicarlo al solicitante, dentro de los tres días hábiles posteriores a la recepción de la solicitud</w:t>
      </w:r>
      <w:r w:rsidRPr="00457F86">
        <w:rPr>
          <w:rFonts w:ascii="Palatino Linotype" w:eastAsia="Palatino Linotype" w:hAnsi="Palatino Linotype" w:cs="Palatino Linotype"/>
          <w:i/>
          <w:sz w:val="22"/>
          <w:szCs w:val="22"/>
        </w:rPr>
        <w:t xml:space="preserve"> y, </w:t>
      </w:r>
      <w:r w:rsidRPr="00457F86">
        <w:rPr>
          <w:rFonts w:ascii="Palatino Linotype" w:eastAsia="Palatino Linotype" w:hAnsi="Palatino Linotype" w:cs="Palatino Linotype"/>
          <w:b/>
          <w:i/>
          <w:sz w:val="22"/>
          <w:szCs w:val="22"/>
        </w:rPr>
        <w:t>en su caso orientar al solicitante, el o los sujetos obligados competentes.</w:t>
      </w:r>
    </w:p>
    <w:p w14:paraId="04684D87" w14:textId="77777777" w:rsidR="003E0B3C" w:rsidRPr="00457F86" w:rsidRDefault="003E0B3C">
      <w:pPr>
        <w:spacing w:line="360" w:lineRule="auto"/>
        <w:ind w:left="851" w:right="49"/>
        <w:jc w:val="both"/>
        <w:rPr>
          <w:rFonts w:ascii="Palatino Linotype" w:eastAsia="Palatino Linotype" w:hAnsi="Palatino Linotype" w:cs="Palatino Linotype"/>
          <w:sz w:val="22"/>
          <w:szCs w:val="22"/>
        </w:rPr>
      </w:pPr>
    </w:p>
    <w:p w14:paraId="3072EC3E" w14:textId="77777777" w:rsidR="003E0B3C" w:rsidRPr="00457F86" w:rsidRDefault="00C51FAD">
      <w:pPr>
        <w:tabs>
          <w:tab w:val="left" w:pos="142"/>
          <w:tab w:val="left" w:pos="284"/>
        </w:tabs>
        <w:spacing w:line="360" w:lineRule="auto"/>
        <w:ind w:right="49"/>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De los preceptos citados se desprende que es atribución del Comité de Transparencia confirmar, modificar o revocar, en su caso, la declaración de incompetencia, en aquellos casos en los que</w:t>
      </w:r>
      <w:r w:rsidRPr="00457F86">
        <w:rPr>
          <w:rFonts w:ascii="Palatino Linotype" w:eastAsia="Palatino Linotype" w:hAnsi="Palatino Linotype" w:cs="Palatino Linotype"/>
          <w:b/>
          <w:sz w:val="22"/>
          <w:szCs w:val="22"/>
          <w:u w:val="single"/>
        </w:rPr>
        <w:t xml:space="preserve"> no se trate de una notoria incompetencia</w:t>
      </w:r>
      <w:r w:rsidRPr="00457F86">
        <w:rPr>
          <w:rFonts w:ascii="Palatino Linotype" w:eastAsia="Palatino Linotype" w:hAnsi="Palatino Linotype" w:cs="Palatino Linotype"/>
          <w:sz w:val="22"/>
          <w:szCs w:val="22"/>
        </w:rPr>
        <w:t xml:space="preserve">, para lo cual deberán comunicarlo dentro de los tres días hábiles posteriores a la recepción de la solicitud y, en su caso, orientar al solicitante respecto de los sujetos obligados competentes. </w:t>
      </w:r>
    </w:p>
    <w:p w14:paraId="43DDC2D7" w14:textId="77777777" w:rsidR="003E0B3C" w:rsidRPr="00457F86" w:rsidRDefault="003E0B3C">
      <w:pPr>
        <w:spacing w:line="360" w:lineRule="auto"/>
        <w:ind w:right="49"/>
        <w:jc w:val="both"/>
        <w:rPr>
          <w:rFonts w:ascii="Palatino Linotype" w:eastAsia="Palatino Linotype" w:hAnsi="Palatino Linotype" w:cs="Palatino Linotype"/>
          <w:i/>
          <w:sz w:val="22"/>
          <w:szCs w:val="22"/>
        </w:rPr>
      </w:pPr>
    </w:p>
    <w:p w14:paraId="2D88946A" w14:textId="77777777" w:rsidR="003E0B3C" w:rsidRPr="00457F86" w:rsidRDefault="00C51FAD">
      <w:pPr>
        <w:spacing w:line="360" w:lineRule="auto"/>
        <w:ind w:right="49"/>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 xml:space="preserve">En ese entendido, se determina que toda vez que el Sujeto Obligado declaró su incompetencia y a través de este estudio se concluyó que no contaba con atribuciones y competencia para generar y administrar la información solicitada por la parte Solicitante; los agravios hechos valer por este devienen </w:t>
      </w:r>
      <w:r w:rsidRPr="00457F86">
        <w:rPr>
          <w:rFonts w:ascii="Palatino Linotype" w:eastAsia="Palatino Linotype" w:hAnsi="Palatino Linotype" w:cs="Palatino Linotype"/>
          <w:b/>
          <w:sz w:val="22"/>
          <w:szCs w:val="22"/>
        </w:rPr>
        <w:t xml:space="preserve">infundados </w:t>
      </w:r>
      <w:r w:rsidRPr="00457F86">
        <w:rPr>
          <w:rFonts w:ascii="Palatino Linotype" w:eastAsia="Palatino Linotype" w:hAnsi="Palatino Linotype" w:cs="Palatino Linotype"/>
          <w:sz w:val="22"/>
          <w:szCs w:val="22"/>
        </w:rPr>
        <w:t xml:space="preserve">y, por lo tanto, resulta procedente </w:t>
      </w:r>
      <w:r w:rsidRPr="00457F86">
        <w:rPr>
          <w:rFonts w:ascii="Palatino Linotype" w:eastAsia="Palatino Linotype" w:hAnsi="Palatino Linotype" w:cs="Palatino Linotype"/>
          <w:b/>
          <w:sz w:val="22"/>
          <w:szCs w:val="22"/>
        </w:rPr>
        <w:t xml:space="preserve">confirmar </w:t>
      </w:r>
      <w:r w:rsidRPr="00457F86">
        <w:rPr>
          <w:rFonts w:ascii="Palatino Linotype" w:eastAsia="Palatino Linotype" w:hAnsi="Palatino Linotype" w:cs="Palatino Linotype"/>
          <w:sz w:val="22"/>
          <w:szCs w:val="22"/>
        </w:rPr>
        <w:t xml:space="preserve">la respuesta emitida por el Sujeto Obligado, en términos de la fracción II del artículo 186 de la Ley de Transparencia y Acceso a la Información Pública del Estado de México y Municipios. </w:t>
      </w:r>
    </w:p>
    <w:p w14:paraId="6BB265F8"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35FED587"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sz w:val="22"/>
          <w:szCs w:val="22"/>
        </w:rPr>
        <w:t>Así, con fundamento en lo prescrito en los artículos 5 párrafos trigésimo noveno, cuadragésimo y cuadragésimo primero, fracciones IV y V de la Constitución Política del Estado Libre y Soberano de México; 2, fracción II; 29, 36 fracciones I y II; 176, 178, 181, 185 de la Ley de Transparencia y Acceso a la Información Pública del Estado de México y Municipios, este Pleno:</w:t>
      </w:r>
    </w:p>
    <w:p w14:paraId="0C526E65" w14:textId="77777777" w:rsidR="00C51FAD" w:rsidRPr="00457F86" w:rsidRDefault="00C51FAD">
      <w:pPr>
        <w:spacing w:line="360" w:lineRule="auto"/>
        <w:jc w:val="both"/>
        <w:rPr>
          <w:rFonts w:ascii="Palatino Linotype" w:eastAsia="Palatino Linotype" w:hAnsi="Palatino Linotype" w:cs="Palatino Linotype"/>
          <w:sz w:val="22"/>
          <w:szCs w:val="22"/>
        </w:rPr>
      </w:pPr>
    </w:p>
    <w:p w14:paraId="5161BDB5" w14:textId="77777777" w:rsidR="003E0B3C" w:rsidRPr="00457F86" w:rsidRDefault="00C51FAD">
      <w:pPr>
        <w:numPr>
          <w:ilvl w:val="0"/>
          <w:numId w:val="2"/>
        </w:numPr>
        <w:pBdr>
          <w:top w:val="nil"/>
          <w:left w:val="nil"/>
          <w:bottom w:val="nil"/>
          <w:right w:val="nil"/>
          <w:between w:val="nil"/>
        </w:pBdr>
        <w:spacing w:line="360" w:lineRule="auto"/>
        <w:ind w:left="567" w:hanging="141"/>
        <w:jc w:val="center"/>
        <w:rPr>
          <w:rFonts w:ascii="Palatino Linotype" w:eastAsia="Palatino Linotype" w:hAnsi="Palatino Linotype" w:cs="Palatino Linotype"/>
          <w:b/>
          <w:sz w:val="22"/>
          <w:szCs w:val="22"/>
        </w:rPr>
      </w:pPr>
      <w:r w:rsidRPr="00457F86">
        <w:rPr>
          <w:rFonts w:ascii="Palatino Linotype" w:eastAsia="Palatino Linotype" w:hAnsi="Palatino Linotype" w:cs="Palatino Linotype"/>
          <w:b/>
          <w:sz w:val="22"/>
          <w:szCs w:val="22"/>
        </w:rPr>
        <w:lastRenderedPageBreak/>
        <w:t>R E S U E L V E:</w:t>
      </w:r>
    </w:p>
    <w:p w14:paraId="2DB79841" w14:textId="77777777" w:rsidR="00C51FAD" w:rsidRPr="00457F86" w:rsidRDefault="00C51FAD">
      <w:pPr>
        <w:spacing w:line="360" w:lineRule="auto"/>
        <w:ind w:right="49"/>
        <w:jc w:val="both"/>
        <w:rPr>
          <w:rFonts w:ascii="Palatino Linotype" w:eastAsia="Palatino Linotype" w:hAnsi="Palatino Linotype" w:cs="Palatino Linotype"/>
          <w:b/>
          <w:sz w:val="22"/>
          <w:szCs w:val="22"/>
        </w:rPr>
      </w:pPr>
    </w:p>
    <w:p w14:paraId="7758C4BC" w14:textId="77777777" w:rsidR="003E0B3C" w:rsidRPr="00457F86" w:rsidRDefault="00C51FAD">
      <w:pPr>
        <w:spacing w:line="360" w:lineRule="auto"/>
        <w:ind w:right="49"/>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b/>
          <w:sz w:val="22"/>
          <w:szCs w:val="22"/>
        </w:rPr>
        <w:t>Primero.</w:t>
      </w:r>
      <w:r w:rsidRPr="00457F86">
        <w:rPr>
          <w:rFonts w:ascii="Palatino Linotype" w:eastAsia="Palatino Linotype" w:hAnsi="Palatino Linotype" w:cs="Palatino Linotype"/>
          <w:sz w:val="22"/>
          <w:szCs w:val="22"/>
        </w:rPr>
        <w:t xml:space="preserve"> Resultan </w:t>
      </w:r>
      <w:r w:rsidRPr="00457F86">
        <w:rPr>
          <w:rFonts w:ascii="Palatino Linotype" w:eastAsia="Palatino Linotype" w:hAnsi="Palatino Linotype" w:cs="Palatino Linotype"/>
          <w:b/>
          <w:sz w:val="22"/>
          <w:szCs w:val="22"/>
        </w:rPr>
        <w:t>infundados</w:t>
      </w:r>
      <w:r w:rsidRPr="00457F86">
        <w:rPr>
          <w:rFonts w:ascii="Palatino Linotype" w:eastAsia="Palatino Linotype" w:hAnsi="Palatino Linotype" w:cs="Palatino Linotype"/>
          <w:sz w:val="22"/>
          <w:szCs w:val="22"/>
        </w:rPr>
        <w:t xml:space="preserve"> los motivos de inconformidad hechos valer por la parte </w:t>
      </w:r>
      <w:r w:rsidRPr="00457F86">
        <w:rPr>
          <w:rFonts w:ascii="Palatino Linotype" w:eastAsia="Palatino Linotype" w:hAnsi="Palatino Linotype" w:cs="Palatino Linotype"/>
          <w:b/>
          <w:sz w:val="22"/>
          <w:szCs w:val="22"/>
        </w:rPr>
        <w:t>Recurrente</w:t>
      </w:r>
      <w:r w:rsidRPr="00457F86">
        <w:rPr>
          <w:rFonts w:ascii="Palatino Linotype" w:eastAsia="Palatino Linotype" w:hAnsi="Palatino Linotype" w:cs="Palatino Linotype"/>
          <w:sz w:val="22"/>
          <w:szCs w:val="22"/>
        </w:rPr>
        <w:t xml:space="preserve"> en los Recursos de Revisión </w:t>
      </w:r>
      <w:r w:rsidRPr="00457F86">
        <w:rPr>
          <w:rFonts w:ascii="Palatino Linotype" w:eastAsia="Palatino Linotype" w:hAnsi="Palatino Linotype" w:cs="Palatino Linotype"/>
          <w:b/>
          <w:sz w:val="22"/>
          <w:szCs w:val="22"/>
        </w:rPr>
        <w:t>06644/INFOEM/IP/RR/2025 y 06646/INFOEM/IP/RR/2025 acumulados</w:t>
      </w:r>
      <w:r w:rsidRPr="00457F86">
        <w:rPr>
          <w:rFonts w:ascii="Palatino Linotype" w:eastAsia="Palatino Linotype" w:hAnsi="Palatino Linotype" w:cs="Palatino Linotype"/>
          <w:sz w:val="22"/>
          <w:szCs w:val="22"/>
        </w:rPr>
        <w:t xml:space="preserve">, por lo que, en términos de los argumentos señalados en el Considerando </w:t>
      </w:r>
      <w:r w:rsidRPr="00457F86">
        <w:rPr>
          <w:rFonts w:ascii="Palatino Linotype" w:eastAsia="Palatino Linotype" w:hAnsi="Palatino Linotype" w:cs="Palatino Linotype"/>
          <w:b/>
          <w:sz w:val="22"/>
          <w:szCs w:val="22"/>
        </w:rPr>
        <w:t xml:space="preserve">Cuarto </w:t>
      </w:r>
      <w:r w:rsidRPr="00457F86">
        <w:rPr>
          <w:rFonts w:ascii="Palatino Linotype" w:eastAsia="Palatino Linotype" w:hAnsi="Palatino Linotype" w:cs="Palatino Linotype"/>
          <w:sz w:val="22"/>
          <w:szCs w:val="22"/>
        </w:rPr>
        <w:t xml:space="preserve">de esta resolución, se </w:t>
      </w:r>
      <w:r w:rsidRPr="00457F86">
        <w:rPr>
          <w:rFonts w:ascii="Palatino Linotype" w:eastAsia="Palatino Linotype" w:hAnsi="Palatino Linotype" w:cs="Palatino Linotype"/>
          <w:b/>
          <w:sz w:val="22"/>
          <w:szCs w:val="22"/>
        </w:rPr>
        <w:t xml:space="preserve">Confirman </w:t>
      </w:r>
      <w:r w:rsidRPr="00457F86">
        <w:rPr>
          <w:rFonts w:ascii="Palatino Linotype" w:eastAsia="Palatino Linotype" w:hAnsi="Palatino Linotype" w:cs="Palatino Linotype"/>
          <w:sz w:val="22"/>
          <w:szCs w:val="22"/>
        </w:rPr>
        <w:t xml:space="preserve">las respuestas emitidas por el </w:t>
      </w:r>
      <w:r w:rsidRPr="00457F86">
        <w:rPr>
          <w:rFonts w:ascii="Palatino Linotype" w:eastAsia="Palatino Linotype" w:hAnsi="Palatino Linotype" w:cs="Palatino Linotype"/>
          <w:b/>
          <w:sz w:val="22"/>
          <w:szCs w:val="22"/>
        </w:rPr>
        <w:t>Sujeto Obligado</w:t>
      </w:r>
      <w:r w:rsidRPr="00457F86">
        <w:rPr>
          <w:rFonts w:ascii="Palatino Linotype" w:eastAsia="Palatino Linotype" w:hAnsi="Palatino Linotype" w:cs="Palatino Linotype"/>
          <w:sz w:val="22"/>
          <w:szCs w:val="22"/>
        </w:rPr>
        <w:t xml:space="preserve">. </w:t>
      </w:r>
    </w:p>
    <w:p w14:paraId="2380594F" w14:textId="77777777" w:rsidR="003E0B3C" w:rsidRPr="00457F86" w:rsidRDefault="003E0B3C">
      <w:pPr>
        <w:spacing w:line="360" w:lineRule="auto"/>
        <w:ind w:right="49"/>
        <w:jc w:val="both"/>
        <w:rPr>
          <w:rFonts w:ascii="Palatino Linotype" w:eastAsia="Palatino Linotype" w:hAnsi="Palatino Linotype" w:cs="Palatino Linotype"/>
          <w:sz w:val="22"/>
          <w:szCs w:val="22"/>
        </w:rPr>
      </w:pPr>
    </w:p>
    <w:p w14:paraId="0DEEECAA" w14:textId="77777777" w:rsidR="003E0B3C" w:rsidRPr="00457F86" w:rsidRDefault="00C51FAD">
      <w:pPr>
        <w:spacing w:line="360" w:lineRule="auto"/>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b/>
          <w:sz w:val="22"/>
          <w:szCs w:val="22"/>
        </w:rPr>
        <w:t>Segundo. Notifíquese</w:t>
      </w:r>
      <w:r w:rsidRPr="00457F86">
        <w:rPr>
          <w:rFonts w:ascii="Palatino Linotype" w:eastAsia="Palatino Linotype" w:hAnsi="Palatino Linotype" w:cs="Palatino Linotype"/>
          <w:sz w:val="22"/>
          <w:szCs w:val="22"/>
        </w:rPr>
        <w:t xml:space="preserve"> vía </w:t>
      </w:r>
      <w:r w:rsidRPr="00457F86">
        <w:rPr>
          <w:rFonts w:ascii="Palatino Linotype" w:eastAsia="Palatino Linotype" w:hAnsi="Palatino Linotype" w:cs="Palatino Linotype"/>
          <w:b/>
          <w:sz w:val="22"/>
          <w:szCs w:val="22"/>
        </w:rPr>
        <w:t xml:space="preserve">SAIMEX </w:t>
      </w:r>
      <w:r w:rsidRPr="00457F86">
        <w:rPr>
          <w:rFonts w:ascii="Palatino Linotype" w:eastAsia="Palatino Linotype" w:hAnsi="Palatino Linotype" w:cs="Palatino Linotype"/>
          <w:sz w:val="22"/>
          <w:szCs w:val="22"/>
        </w:rPr>
        <w:t xml:space="preserve">la presente resolución a la Titular de la Unidad de Transparencia del </w:t>
      </w:r>
      <w:r w:rsidRPr="00457F86">
        <w:rPr>
          <w:rFonts w:ascii="Palatino Linotype" w:eastAsia="Palatino Linotype" w:hAnsi="Palatino Linotype" w:cs="Palatino Linotype"/>
          <w:b/>
          <w:sz w:val="22"/>
          <w:szCs w:val="22"/>
        </w:rPr>
        <w:t>Sujeto Obligado</w:t>
      </w:r>
      <w:r w:rsidRPr="00457F86">
        <w:rPr>
          <w:rFonts w:ascii="Palatino Linotype" w:eastAsia="Palatino Linotype" w:hAnsi="Palatino Linotype" w:cs="Palatino Linotype"/>
          <w:sz w:val="22"/>
          <w:szCs w:val="22"/>
        </w:rPr>
        <w:t>, para su conocimiento, lo anterior en términos del artículo 189 de la Ley de Transparencia y Acceso a la Información Pública del Estado de México y Municipios.</w:t>
      </w:r>
    </w:p>
    <w:p w14:paraId="21F9FBBE" w14:textId="77777777" w:rsidR="003E0B3C" w:rsidRPr="00457F86" w:rsidRDefault="003E0B3C">
      <w:pPr>
        <w:spacing w:line="360" w:lineRule="auto"/>
        <w:jc w:val="both"/>
        <w:rPr>
          <w:rFonts w:ascii="Palatino Linotype" w:eastAsia="Palatino Linotype" w:hAnsi="Palatino Linotype" w:cs="Palatino Linotype"/>
          <w:sz w:val="22"/>
          <w:szCs w:val="22"/>
        </w:rPr>
      </w:pPr>
    </w:p>
    <w:p w14:paraId="0E3B7487" w14:textId="77777777" w:rsidR="003E0B3C" w:rsidRPr="00457F86" w:rsidRDefault="00C51FAD">
      <w:pPr>
        <w:tabs>
          <w:tab w:val="left" w:pos="8647"/>
        </w:tabs>
        <w:spacing w:line="360" w:lineRule="auto"/>
        <w:ind w:right="51"/>
        <w:jc w:val="both"/>
        <w:rPr>
          <w:rFonts w:ascii="Palatino Linotype" w:eastAsia="Palatino Linotype" w:hAnsi="Palatino Linotype" w:cs="Palatino Linotype"/>
          <w:sz w:val="22"/>
          <w:szCs w:val="22"/>
        </w:rPr>
      </w:pPr>
      <w:r w:rsidRPr="00457F86">
        <w:rPr>
          <w:rFonts w:ascii="Palatino Linotype" w:eastAsia="Palatino Linotype" w:hAnsi="Palatino Linotype" w:cs="Palatino Linotype"/>
          <w:b/>
          <w:sz w:val="22"/>
          <w:szCs w:val="22"/>
        </w:rPr>
        <w:t xml:space="preserve">Tercero. Notifíquese, vía SAIMEX </w:t>
      </w:r>
      <w:r w:rsidRPr="00457F86">
        <w:rPr>
          <w:rFonts w:ascii="Palatino Linotype" w:eastAsia="Palatino Linotype" w:hAnsi="Palatino Linotype" w:cs="Palatino Linotype"/>
          <w:sz w:val="22"/>
          <w:szCs w:val="22"/>
        </w:rPr>
        <w:t>a</w:t>
      </w:r>
      <w:r w:rsidRPr="00457F86">
        <w:rPr>
          <w:rFonts w:ascii="Palatino Linotype" w:eastAsia="Palatino Linotype" w:hAnsi="Palatino Linotype" w:cs="Palatino Linotype"/>
          <w:b/>
          <w:sz w:val="22"/>
          <w:szCs w:val="22"/>
        </w:rPr>
        <w:t xml:space="preserve"> </w:t>
      </w:r>
      <w:r w:rsidRPr="00457F86">
        <w:rPr>
          <w:rFonts w:ascii="Palatino Linotype" w:eastAsia="Palatino Linotype" w:hAnsi="Palatino Linotype" w:cs="Palatino Linotype"/>
          <w:sz w:val="22"/>
          <w:szCs w:val="22"/>
        </w:rPr>
        <w:t>la parte</w:t>
      </w:r>
      <w:r w:rsidRPr="00457F86">
        <w:rPr>
          <w:rFonts w:ascii="Palatino Linotype" w:eastAsia="Palatino Linotype" w:hAnsi="Palatino Linotype" w:cs="Palatino Linotype"/>
          <w:b/>
          <w:sz w:val="22"/>
          <w:szCs w:val="22"/>
        </w:rPr>
        <w:t xml:space="preserve"> Recurrente</w:t>
      </w:r>
      <w:r w:rsidRPr="00457F86">
        <w:rPr>
          <w:rFonts w:ascii="Palatino Linotype" w:eastAsia="Palatino Linotype" w:hAnsi="Palatino Linotype" w:cs="Palatino Linotype"/>
          <w:sz w:val="22"/>
          <w:szCs w:val="22"/>
        </w:rPr>
        <w:t xml:space="preserve"> la presente resolución y hágase del conocimiento que en caso de que considere que la presente resolución le causa algún perjuicio, podrá promover el Juicio de Amparo en los términos de las leyes aplicables, </w:t>
      </w:r>
      <w:proofErr w:type="gramStart"/>
      <w:r w:rsidRPr="00457F86">
        <w:rPr>
          <w:rFonts w:ascii="Palatino Linotype" w:eastAsia="Palatino Linotype" w:hAnsi="Palatino Linotype" w:cs="Palatino Linotype"/>
          <w:sz w:val="22"/>
          <w:szCs w:val="22"/>
        </w:rPr>
        <w:t>de acuerdo a</w:t>
      </w:r>
      <w:proofErr w:type="gramEnd"/>
      <w:r w:rsidRPr="00457F86">
        <w:rPr>
          <w:rFonts w:ascii="Palatino Linotype" w:eastAsia="Palatino Linotype" w:hAnsi="Palatino Linotype" w:cs="Palatino Linotype"/>
          <w:sz w:val="22"/>
          <w:szCs w:val="22"/>
        </w:rPr>
        <w:t xml:space="preserve"> lo estipulado por el artículo 196 de la Ley de Transparencia y Acceso a la Información Pública del Estado de México y Municipios.</w:t>
      </w:r>
    </w:p>
    <w:p w14:paraId="19F223FB" w14:textId="77777777" w:rsidR="003E0B3C" w:rsidRPr="00457F86" w:rsidRDefault="003E0B3C">
      <w:pPr>
        <w:widowControl w:val="0"/>
        <w:tabs>
          <w:tab w:val="left" w:pos="1701"/>
        </w:tabs>
        <w:spacing w:line="360" w:lineRule="auto"/>
        <w:ind w:right="49"/>
        <w:jc w:val="both"/>
        <w:rPr>
          <w:rFonts w:ascii="Palatino Linotype" w:eastAsia="Palatino Linotype" w:hAnsi="Palatino Linotype" w:cs="Palatino Linotype"/>
          <w:sz w:val="22"/>
          <w:szCs w:val="22"/>
        </w:rPr>
      </w:pPr>
    </w:p>
    <w:p w14:paraId="795B0BDA" w14:textId="77777777" w:rsidR="003E0B3C" w:rsidRPr="00C51FAD" w:rsidRDefault="00C51FAD">
      <w:pPr>
        <w:spacing w:line="360" w:lineRule="auto"/>
        <w:jc w:val="both"/>
        <w:rPr>
          <w:rFonts w:ascii="Palatino Linotype" w:eastAsia="Palatino Linotype" w:hAnsi="Palatino Linotype" w:cs="Palatino Linotype"/>
          <w:sz w:val="22"/>
          <w:szCs w:val="22"/>
        </w:rPr>
        <w:sectPr w:rsidR="003E0B3C" w:rsidRPr="00C51FAD">
          <w:headerReference w:type="even" r:id="rId15"/>
          <w:headerReference w:type="default" r:id="rId16"/>
          <w:footerReference w:type="even" r:id="rId17"/>
          <w:footerReference w:type="default" r:id="rId18"/>
          <w:headerReference w:type="first" r:id="rId19"/>
          <w:footerReference w:type="first" r:id="rId20"/>
          <w:pgSz w:w="12240" w:h="15840"/>
          <w:pgMar w:top="621" w:right="1701" w:bottom="1701" w:left="1701" w:header="618" w:footer="709" w:gutter="0"/>
          <w:pgNumType w:start="1"/>
          <w:cols w:space="720"/>
          <w:titlePg/>
        </w:sectPr>
      </w:pPr>
      <w:r w:rsidRPr="00457F86">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w:t>
      </w:r>
      <w:r w:rsidRPr="00457F86">
        <w:rPr>
          <w:rFonts w:ascii="Palatino Linotype" w:eastAsia="Palatino Linotype" w:hAnsi="Palatino Linotype" w:cs="Palatino Linotype"/>
          <w:sz w:val="22"/>
          <w:szCs w:val="22"/>
        </w:rPr>
        <w:lastRenderedPageBreak/>
        <w:t>GUSTAVO PARRA NORIEGA Y GUADALUPE RAMÍREZ PEÑA; EN LA TRIGÉSIMA PRIMERA SESIÓN ORDINARIA CELEBRADA EL TRES DE SEPTIEMBRE DE DOS MIL VEINTICINCO, ANTE EL SECRETARIO TÉCNICO DEL PLENO, ALEXIS TAPIA RAMÍREZ.</w:t>
      </w:r>
    </w:p>
    <w:p w14:paraId="34E2A8D3" w14:textId="77777777" w:rsidR="003E0B3C" w:rsidRPr="00C51FAD" w:rsidRDefault="003E0B3C">
      <w:pPr>
        <w:jc w:val="both"/>
        <w:rPr>
          <w:rFonts w:ascii="Palatino Linotype" w:eastAsia="Palatino Linotype" w:hAnsi="Palatino Linotype" w:cs="Palatino Linotype"/>
          <w:sz w:val="22"/>
          <w:szCs w:val="22"/>
        </w:rPr>
      </w:pPr>
    </w:p>
    <w:p w14:paraId="76737F97" w14:textId="77777777" w:rsidR="003E0B3C" w:rsidRPr="00C51FAD" w:rsidRDefault="003E0B3C">
      <w:pPr>
        <w:jc w:val="both"/>
        <w:rPr>
          <w:rFonts w:ascii="Palatino Linotype" w:eastAsia="Palatino Linotype" w:hAnsi="Palatino Linotype" w:cs="Palatino Linotype"/>
          <w:sz w:val="22"/>
          <w:szCs w:val="22"/>
        </w:rPr>
      </w:pPr>
      <w:bookmarkStart w:id="8" w:name="_heading=h.1fob9te" w:colFirst="0" w:colLast="0"/>
      <w:bookmarkEnd w:id="8"/>
    </w:p>
    <w:p w14:paraId="47F2B4FF" w14:textId="77777777" w:rsidR="003E0B3C" w:rsidRPr="00C51FAD" w:rsidRDefault="003E0B3C">
      <w:pPr>
        <w:jc w:val="both"/>
        <w:rPr>
          <w:rFonts w:ascii="Palatino Linotype" w:eastAsia="Palatino Linotype" w:hAnsi="Palatino Linotype" w:cs="Palatino Linotype"/>
          <w:sz w:val="22"/>
          <w:szCs w:val="22"/>
        </w:rPr>
      </w:pPr>
    </w:p>
    <w:sectPr w:rsidR="003E0B3C" w:rsidRPr="00C51FAD">
      <w:headerReference w:type="first" r:id="rId21"/>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F9AA4" w14:textId="77777777" w:rsidR="005167AF" w:rsidRDefault="005167AF">
      <w:r>
        <w:separator/>
      </w:r>
    </w:p>
  </w:endnote>
  <w:endnote w:type="continuationSeparator" w:id="0">
    <w:p w14:paraId="4B95AA75" w14:textId="77777777" w:rsidR="005167AF" w:rsidRDefault="00516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41F18" w14:textId="77777777" w:rsidR="003E0B3C" w:rsidRDefault="003E0B3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2B1C3" w14:textId="77777777" w:rsidR="003E0B3C" w:rsidRDefault="00C51FA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57F86">
      <w:rPr>
        <w:rFonts w:ascii="Palatino Linotype" w:eastAsia="Palatino Linotype" w:hAnsi="Palatino Linotype" w:cs="Palatino Linotype"/>
        <w:b/>
        <w:noProof/>
        <w:color w:val="000000"/>
        <w:sz w:val="20"/>
        <w:szCs w:val="20"/>
      </w:rPr>
      <w:t>35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57F86">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p>
  <w:p w14:paraId="13DA7EDA" w14:textId="77777777" w:rsidR="003E0B3C" w:rsidRDefault="003E0B3C">
    <w:pPr>
      <w:pBdr>
        <w:top w:val="nil"/>
        <w:left w:val="nil"/>
        <w:bottom w:val="nil"/>
        <w:right w:val="nil"/>
        <w:between w:val="nil"/>
      </w:pBdr>
      <w:tabs>
        <w:tab w:val="center" w:pos="4252"/>
        <w:tab w:val="right" w:pos="8504"/>
      </w:tabs>
      <w:ind w:firstLine="708"/>
      <w:rPr>
        <w:rFonts w:ascii="Cambria" w:eastAsia="Cambria" w:hAnsi="Cambria" w:cs="Cambria"/>
        <w:color w:val="000000"/>
      </w:rPr>
    </w:pPr>
  </w:p>
  <w:p w14:paraId="40413215" w14:textId="77777777" w:rsidR="003E0B3C" w:rsidRDefault="003E0B3C"/>
  <w:p w14:paraId="202B3502" w14:textId="77777777" w:rsidR="003E0B3C" w:rsidRDefault="003E0B3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FED38" w14:textId="77777777" w:rsidR="003E0B3C" w:rsidRDefault="00C51FA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57F86">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57F86">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p>
  <w:p w14:paraId="651C7407" w14:textId="77777777" w:rsidR="003E0B3C" w:rsidRDefault="003E0B3C">
    <w:pPr>
      <w:pBdr>
        <w:top w:val="nil"/>
        <w:left w:val="nil"/>
        <w:bottom w:val="nil"/>
        <w:right w:val="nil"/>
        <w:between w:val="nil"/>
      </w:pBdr>
      <w:tabs>
        <w:tab w:val="center" w:pos="4252"/>
        <w:tab w:val="right" w:pos="8504"/>
      </w:tabs>
      <w:rPr>
        <w:rFonts w:ascii="Cambria" w:eastAsia="Cambria" w:hAnsi="Cambria" w:cs="Cambria"/>
        <w:color w:val="000000"/>
      </w:rPr>
    </w:pPr>
  </w:p>
  <w:p w14:paraId="0F9C25F5" w14:textId="77777777" w:rsidR="003E0B3C" w:rsidRDefault="003E0B3C"/>
  <w:p w14:paraId="7468F3AE" w14:textId="77777777" w:rsidR="003E0B3C" w:rsidRDefault="003E0B3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98FE55" w14:textId="77777777" w:rsidR="005167AF" w:rsidRDefault="005167AF">
      <w:r>
        <w:separator/>
      </w:r>
    </w:p>
  </w:footnote>
  <w:footnote w:type="continuationSeparator" w:id="0">
    <w:p w14:paraId="22FDF241" w14:textId="77777777" w:rsidR="005167AF" w:rsidRDefault="005167AF">
      <w:r>
        <w:continuationSeparator/>
      </w:r>
    </w:p>
  </w:footnote>
  <w:footnote w:id="1">
    <w:p w14:paraId="02093548" w14:textId="77777777" w:rsidR="003E0B3C" w:rsidRDefault="00C51FAD">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364DB125" w14:textId="77777777" w:rsidR="003E0B3C" w:rsidRDefault="00C51FA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91CF1" w14:textId="77777777" w:rsidR="003E0B3C" w:rsidRDefault="003E0B3C">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7880C" w14:textId="77777777" w:rsidR="003E0B3C" w:rsidRDefault="00C51FAD">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56D37E9E" wp14:editId="0AAD6A9D">
          <wp:simplePos x="0" y="0"/>
          <wp:positionH relativeFrom="column">
            <wp:posOffset>-1080128</wp:posOffset>
          </wp:positionH>
          <wp:positionV relativeFrom="paragraph">
            <wp:posOffset>-234306</wp:posOffset>
          </wp:positionV>
          <wp:extent cx="7809865" cy="10165715"/>
          <wp:effectExtent l="0" t="0" r="0" b="0"/>
          <wp:wrapNone/>
          <wp:docPr id="19257491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d"/>
      <w:tblW w:w="5811" w:type="dxa"/>
      <w:tblInd w:w="3261" w:type="dxa"/>
      <w:tblLayout w:type="fixed"/>
      <w:tblLook w:val="0400" w:firstRow="0" w:lastRow="0" w:firstColumn="0" w:lastColumn="0" w:noHBand="0" w:noVBand="1"/>
    </w:tblPr>
    <w:tblGrid>
      <w:gridCol w:w="2390"/>
      <w:gridCol w:w="3421"/>
    </w:tblGrid>
    <w:tr w:rsidR="003E0B3C" w14:paraId="5EEBBC1A" w14:textId="77777777">
      <w:trPr>
        <w:trHeight w:val="502"/>
      </w:trPr>
      <w:tc>
        <w:tcPr>
          <w:tcW w:w="2390" w:type="dxa"/>
        </w:tcPr>
        <w:p w14:paraId="151B1219" w14:textId="77777777" w:rsidR="003E0B3C" w:rsidRDefault="00C51FAD">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21" w:type="dxa"/>
          <w:vAlign w:val="center"/>
        </w:tcPr>
        <w:p w14:paraId="4A92058D" w14:textId="77777777" w:rsidR="003E0B3C" w:rsidRDefault="00C51FAD">
          <w:pPr>
            <w:ind w:right="184"/>
            <w:jc w:val="both"/>
            <w:rPr>
              <w:rFonts w:ascii="Palatino Linotype" w:eastAsia="Palatino Linotype" w:hAnsi="Palatino Linotype" w:cs="Palatino Linotype"/>
              <w:b/>
            </w:rPr>
          </w:pPr>
          <w:r>
            <w:rPr>
              <w:rFonts w:ascii="Palatino Linotype" w:eastAsia="Palatino Linotype" w:hAnsi="Palatino Linotype" w:cs="Palatino Linotype"/>
              <w:b/>
            </w:rPr>
            <w:t>06644/INFOEM/IP/RR/2025 y acumulado</w:t>
          </w:r>
        </w:p>
      </w:tc>
    </w:tr>
    <w:tr w:rsidR="003E0B3C" w14:paraId="1AE5FCBA" w14:textId="77777777">
      <w:trPr>
        <w:trHeight w:val="190"/>
      </w:trPr>
      <w:tc>
        <w:tcPr>
          <w:tcW w:w="2390" w:type="dxa"/>
          <w:vAlign w:val="center"/>
        </w:tcPr>
        <w:p w14:paraId="149C0F09" w14:textId="77777777" w:rsidR="003E0B3C" w:rsidRDefault="00C51FAD">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21" w:type="dxa"/>
          <w:vAlign w:val="center"/>
        </w:tcPr>
        <w:p w14:paraId="41F97ABA" w14:textId="77777777" w:rsidR="003E0B3C" w:rsidRDefault="00C51FAD">
          <w:pPr>
            <w:ind w:left="27" w:right="169"/>
            <w:jc w:val="both"/>
            <w:rPr>
              <w:rFonts w:ascii="Palatino Linotype" w:eastAsia="Palatino Linotype" w:hAnsi="Palatino Linotype" w:cs="Palatino Linotype"/>
              <w:b/>
            </w:rPr>
          </w:pPr>
          <w:r>
            <w:rPr>
              <w:rFonts w:ascii="Palatino Linotype" w:eastAsia="Palatino Linotype" w:hAnsi="Palatino Linotype" w:cs="Palatino Linotype"/>
              <w:b/>
            </w:rPr>
            <w:t>Sistema Municipal Para el Desarrollo Integral de la Familia de Tianguistenco</w:t>
          </w:r>
        </w:p>
      </w:tc>
    </w:tr>
    <w:tr w:rsidR="003E0B3C" w14:paraId="62B314E8" w14:textId="77777777">
      <w:trPr>
        <w:trHeight w:val="251"/>
      </w:trPr>
      <w:tc>
        <w:tcPr>
          <w:tcW w:w="2390" w:type="dxa"/>
          <w:vAlign w:val="center"/>
        </w:tcPr>
        <w:p w14:paraId="041D262B" w14:textId="77777777" w:rsidR="003E0B3C" w:rsidRDefault="00C51FAD">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21" w:type="dxa"/>
          <w:vAlign w:val="center"/>
        </w:tcPr>
        <w:p w14:paraId="6D4DF4BE" w14:textId="77777777" w:rsidR="003E0B3C" w:rsidRDefault="00C51FAD">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0B35FA1A" w14:textId="77777777" w:rsidR="003E0B3C" w:rsidRDefault="00C51FAD">
    <w:pPr>
      <w:rPr>
        <w:rFonts w:ascii="Cambria" w:eastAsia="Cambria" w:hAnsi="Cambria" w:cs="Cambria"/>
        <w:color w:val="000000"/>
      </w:rPr>
    </w:pPr>
    <w:r>
      <w:tab/>
    </w:r>
  </w:p>
  <w:p w14:paraId="30C8678D" w14:textId="77777777" w:rsidR="003E0B3C" w:rsidRDefault="00C51FAD">
    <w:pPr>
      <w:tabs>
        <w:tab w:val="left" w:pos="7560"/>
        <w:tab w:val="right" w:pos="8838"/>
      </w:tabs>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96742" w14:textId="77777777" w:rsidR="003E0B3C" w:rsidRDefault="00C51FA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39DFBC23" wp14:editId="57415FE8">
          <wp:simplePos x="0" y="0"/>
          <wp:positionH relativeFrom="column">
            <wp:posOffset>-1073781</wp:posOffset>
          </wp:positionH>
          <wp:positionV relativeFrom="paragraph">
            <wp:posOffset>-198751</wp:posOffset>
          </wp:positionV>
          <wp:extent cx="7809865" cy="10165715"/>
          <wp:effectExtent l="0" t="0" r="0" b="0"/>
          <wp:wrapNone/>
          <wp:docPr id="19257491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e"/>
      <w:tblW w:w="6378" w:type="dxa"/>
      <w:tblInd w:w="3261" w:type="dxa"/>
      <w:tblLayout w:type="fixed"/>
      <w:tblLook w:val="0400" w:firstRow="0" w:lastRow="0" w:firstColumn="0" w:lastColumn="0" w:noHBand="0" w:noVBand="1"/>
    </w:tblPr>
    <w:tblGrid>
      <w:gridCol w:w="2512"/>
      <w:gridCol w:w="3866"/>
    </w:tblGrid>
    <w:tr w:rsidR="003E0B3C" w14:paraId="0CD9B8C5" w14:textId="77777777">
      <w:trPr>
        <w:trHeight w:val="442"/>
      </w:trPr>
      <w:tc>
        <w:tcPr>
          <w:tcW w:w="2512" w:type="dxa"/>
          <w:vAlign w:val="center"/>
        </w:tcPr>
        <w:p w14:paraId="793B0A2B" w14:textId="77777777" w:rsidR="003E0B3C" w:rsidRDefault="00C51FAD">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866" w:type="dxa"/>
          <w:vAlign w:val="center"/>
        </w:tcPr>
        <w:p w14:paraId="6902007D" w14:textId="77777777" w:rsidR="003E0B3C" w:rsidRDefault="00C51FAD">
          <w:pPr>
            <w:tabs>
              <w:tab w:val="left" w:pos="2334"/>
            </w:tabs>
            <w:ind w:left="-45" w:right="877"/>
            <w:jc w:val="both"/>
            <w:rPr>
              <w:rFonts w:ascii="Palatino Linotype" w:eastAsia="Palatino Linotype" w:hAnsi="Palatino Linotype" w:cs="Palatino Linotype"/>
              <w:b/>
            </w:rPr>
          </w:pPr>
          <w:r>
            <w:rPr>
              <w:rFonts w:ascii="Palatino Linotype" w:eastAsia="Palatino Linotype" w:hAnsi="Palatino Linotype" w:cs="Palatino Linotype"/>
              <w:b/>
            </w:rPr>
            <w:t>06644/INFOEM/IP/RR/2025y acumulado</w:t>
          </w:r>
        </w:p>
      </w:tc>
    </w:tr>
    <w:tr w:rsidR="003E0B3C" w14:paraId="3213A5F6" w14:textId="77777777">
      <w:trPr>
        <w:trHeight w:val="95"/>
      </w:trPr>
      <w:tc>
        <w:tcPr>
          <w:tcW w:w="2512" w:type="dxa"/>
          <w:vAlign w:val="center"/>
        </w:tcPr>
        <w:p w14:paraId="17920CA0" w14:textId="77777777" w:rsidR="003E0B3C" w:rsidRDefault="00C51FAD">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866" w:type="dxa"/>
          <w:vAlign w:val="center"/>
        </w:tcPr>
        <w:p w14:paraId="58FB0C4C" w14:textId="77777777" w:rsidR="003E0B3C" w:rsidRDefault="003E0B3C">
          <w:pPr>
            <w:jc w:val="both"/>
            <w:rPr>
              <w:rFonts w:ascii="Palatino Linotype" w:eastAsia="Palatino Linotype" w:hAnsi="Palatino Linotype" w:cs="Palatino Linotype"/>
              <w:b/>
            </w:rPr>
          </w:pPr>
        </w:p>
      </w:tc>
    </w:tr>
    <w:tr w:rsidR="003E0B3C" w14:paraId="250264B6" w14:textId="77777777">
      <w:trPr>
        <w:trHeight w:val="168"/>
      </w:trPr>
      <w:tc>
        <w:tcPr>
          <w:tcW w:w="2512" w:type="dxa"/>
          <w:vAlign w:val="center"/>
        </w:tcPr>
        <w:p w14:paraId="36D2ACDA" w14:textId="77777777" w:rsidR="003E0B3C" w:rsidRDefault="00C51FAD">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866" w:type="dxa"/>
          <w:vAlign w:val="center"/>
        </w:tcPr>
        <w:p w14:paraId="4B3E02E8" w14:textId="77777777" w:rsidR="003E0B3C" w:rsidRDefault="00C51FAD">
          <w:pPr>
            <w:ind w:left="-45" w:right="593"/>
            <w:jc w:val="both"/>
            <w:rPr>
              <w:rFonts w:ascii="Palatino Linotype" w:eastAsia="Palatino Linotype" w:hAnsi="Palatino Linotype" w:cs="Palatino Linotype"/>
              <w:b/>
            </w:rPr>
          </w:pPr>
          <w:r>
            <w:rPr>
              <w:rFonts w:ascii="Palatino Linotype" w:eastAsia="Palatino Linotype" w:hAnsi="Palatino Linotype" w:cs="Palatino Linotype"/>
              <w:b/>
            </w:rPr>
            <w:t>Sistema Municipal Para el Desarrollo Integral de la Familia de Tianguistenco</w:t>
          </w:r>
        </w:p>
      </w:tc>
    </w:tr>
    <w:tr w:rsidR="003E0B3C" w14:paraId="23B2CE46" w14:textId="77777777">
      <w:trPr>
        <w:trHeight w:val="221"/>
      </w:trPr>
      <w:tc>
        <w:tcPr>
          <w:tcW w:w="2512" w:type="dxa"/>
          <w:vAlign w:val="center"/>
        </w:tcPr>
        <w:p w14:paraId="67DE5934" w14:textId="77777777" w:rsidR="003E0B3C" w:rsidRDefault="00C51FAD">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866" w:type="dxa"/>
          <w:vAlign w:val="center"/>
        </w:tcPr>
        <w:p w14:paraId="58111DD8" w14:textId="77777777" w:rsidR="003E0B3C" w:rsidRDefault="00C51FAD">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1DA00F00" w14:textId="77777777" w:rsidR="003E0B3C" w:rsidRDefault="003E0B3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F4A34" w14:textId="77777777" w:rsidR="003E0B3C" w:rsidRDefault="003E0B3C">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C44C73"/>
    <w:multiLevelType w:val="multilevel"/>
    <w:tmpl w:val="23607C74"/>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 w:hanging="360"/>
      </w:pPr>
      <w:rPr>
        <w:b/>
      </w:r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EBA4303"/>
    <w:multiLevelType w:val="multilevel"/>
    <w:tmpl w:val="FE8E32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B13311D"/>
    <w:multiLevelType w:val="multilevel"/>
    <w:tmpl w:val="D40AFFB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603A65E7"/>
    <w:multiLevelType w:val="multilevel"/>
    <w:tmpl w:val="5648653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25A6030"/>
    <w:multiLevelType w:val="multilevel"/>
    <w:tmpl w:val="C2D4FB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34E6135"/>
    <w:multiLevelType w:val="multilevel"/>
    <w:tmpl w:val="E202E784"/>
    <w:lvl w:ilvl="0">
      <w:start w:val="1"/>
      <w:numFmt w:val="upperRoman"/>
      <w:pStyle w:val="Listaconvietas3"/>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40B0FBD"/>
    <w:multiLevelType w:val="multilevel"/>
    <w:tmpl w:val="F48E995C"/>
    <w:lvl w:ilvl="0">
      <w:numFmt w:val="bullet"/>
      <w:lvlText w:val="•"/>
      <w:lvlJc w:val="left"/>
      <w:pPr>
        <w:ind w:left="1080" w:hanging="72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B693569"/>
    <w:multiLevelType w:val="multilevel"/>
    <w:tmpl w:val="57F0015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8" w15:restartNumberingAfterBreak="0">
    <w:nsid w:val="7B8B66C3"/>
    <w:multiLevelType w:val="multilevel"/>
    <w:tmpl w:val="051C40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64964622">
    <w:abstractNumId w:val="3"/>
  </w:num>
  <w:num w:numId="2" w16cid:durableId="359554477">
    <w:abstractNumId w:val="5"/>
  </w:num>
  <w:num w:numId="3" w16cid:durableId="486015795">
    <w:abstractNumId w:val="1"/>
  </w:num>
  <w:num w:numId="4" w16cid:durableId="1382749058">
    <w:abstractNumId w:val="4"/>
  </w:num>
  <w:num w:numId="5" w16cid:durableId="236479009">
    <w:abstractNumId w:val="2"/>
  </w:num>
  <w:num w:numId="6" w16cid:durableId="1804076373">
    <w:abstractNumId w:val="6"/>
  </w:num>
  <w:num w:numId="7" w16cid:durableId="1486431287">
    <w:abstractNumId w:val="7"/>
  </w:num>
  <w:num w:numId="8" w16cid:durableId="210195830">
    <w:abstractNumId w:val="8"/>
  </w:num>
  <w:num w:numId="9" w16cid:durableId="100951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B3C"/>
    <w:rsid w:val="003C719D"/>
    <w:rsid w:val="003E0B3C"/>
    <w:rsid w:val="00457F86"/>
    <w:rsid w:val="005167AF"/>
    <w:rsid w:val="009B652F"/>
    <w:rsid w:val="00C51FAD"/>
    <w:rsid w:val="00FA18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09891"/>
  <w15:docId w15:val="{B89D6DCE-F95C-40F0-B8F3-64C045B3E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0">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uiPriority w:val="9"/>
    <w:semiHidden/>
    <w:rsid w:val="003B73CD"/>
    <w:rPr>
      <w:b/>
      <w:bCs/>
      <w:sz w:val="28"/>
      <w:szCs w:val="28"/>
      <w:lang w:val="en-US" w:eastAsia="en-US"/>
    </w:rPr>
  </w:style>
  <w:style w:type="character" w:customStyle="1" w:styleId="Ttulo5Car">
    <w:name w:val="Título 5 Car"/>
    <w:basedOn w:val="Fuentedeprrafopredeter"/>
    <w:uiPriority w:val="9"/>
    <w:semiHidden/>
    <w:rsid w:val="003B73CD"/>
    <w:rPr>
      <w:b/>
      <w:bCs/>
      <w:i/>
      <w:iCs/>
      <w:sz w:val="26"/>
      <w:szCs w:val="26"/>
      <w:lang w:val="en-US" w:eastAsia="en-US"/>
    </w:rPr>
  </w:style>
  <w:style w:type="character" w:customStyle="1" w:styleId="Ttulo6Car">
    <w:name w:val="Título 6 Car"/>
    <w:basedOn w:val="Fuentedeprrafopredeter"/>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character" w:customStyle="1" w:styleId="SubttuloCar">
    <w:name w:val="Subtítulo Car"/>
    <w:basedOn w:val="Fuentedeprrafopredeter"/>
    <w:uiPriority w:val="11"/>
    <w:rsid w:val="00D91005"/>
    <w:rPr>
      <w:color w:val="5A5A5A" w:themeColor="text1" w:themeTint="A5"/>
      <w:spacing w:val="15"/>
      <w:sz w:val="22"/>
      <w:szCs w:val="22"/>
      <w:lang w:val="es-ES"/>
    </w:rPr>
  </w:style>
  <w:style w:type="table" w:customStyle="1" w:styleId="44">
    <w:name w:val="44"/>
    <w:basedOn w:val="TableNormal20"/>
    <w:tblPr>
      <w:tblStyleRowBandSize w:val="1"/>
      <w:tblStyleColBandSize w:val="1"/>
      <w:tblCellMar>
        <w:left w:w="115" w:type="dxa"/>
        <w:right w:w="115" w:type="dxa"/>
      </w:tblCellMar>
    </w:tblPr>
  </w:style>
  <w:style w:type="table" w:customStyle="1" w:styleId="43">
    <w:name w:val="43"/>
    <w:basedOn w:val="TableNormal20"/>
    <w:tblPr>
      <w:tblStyleRowBandSize w:val="1"/>
      <w:tblStyleColBandSize w:val="1"/>
      <w:tblCellMar>
        <w:left w:w="115" w:type="dxa"/>
        <w:right w:w="115" w:type="dxa"/>
      </w:tblCellMar>
    </w:tblPr>
  </w:style>
  <w:style w:type="table" w:customStyle="1" w:styleId="42">
    <w:name w:val="42"/>
    <w:basedOn w:val="TableNormal20"/>
    <w:tblPr>
      <w:tblStyleRowBandSize w:val="1"/>
      <w:tblStyleColBandSize w:val="1"/>
      <w:tblCellMar>
        <w:left w:w="115" w:type="dxa"/>
        <w:right w:w="115" w:type="dxa"/>
      </w:tblCellMar>
    </w:tblPr>
  </w:style>
  <w:style w:type="table" w:customStyle="1" w:styleId="41">
    <w:name w:val="41"/>
    <w:basedOn w:val="TableNormal20"/>
    <w:tblPr>
      <w:tblStyleRowBandSize w:val="1"/>
      <w:tblStyleColBandSize w:val="1"/>
      <w:tblCellMar>
        <w:left w:w="115" w:type="dxa"/>
        <w:right w:w="115" w:type="dxa"/>
      </w:tblCellMar>
    </w:tblPr>
  </w:style>
  <w:style w:type="table" w:customStyle="1" w:styleId="40">
    <w:name w:val="40"/>
    <w:basedOn w:val="TableNormal20"/>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39">
    <w:name w:val="39"/>
    <w:basedOn w:val="TableNormal20"/>
    <w:tblPr>
      <w:tblStyleRowBandSize w:val="1"/>
      <w:tblStyleColBandSize w:val="1"/>
      <w:tblCellMar>
        <w:left w:w="115" w:type="dxa"/>
        <w:right w:w="115" w:type="dxa"/>
      </w:tblCellMar>
    </w:tblPr>
  </w:style>
  <w:style w:type="table" w:customStyle="1" w:styleId="38">
    <w:name w:val="38"/>
    <w:basedOn w:val="TableNormal20"/>
    <w:tblPr>
      <w:tblStyleRowBandSize w:val="1"/>
      <w:tblStyleColBandSize w:val="1"/>
      <w:tblCellMar>
        <w:left w:w="115" w:type="dxa"/>
        <w:right w:w="115" w:type="dxa"/>
      </w:tblCellMar>
    </w:tblPr>
  </w:style>
  <w:style w:type="table" w:customStyle="1" w:styleId="37">
    <w:name w:val="37"/>
    <w:basedOn w:val="TableNormal20"/>
    <w:rPr>
      <w:sz w:val="22"/>
      <w:szCs w:val="22"/>
    </w:rPr>
    <w:tblPr>
      <w:tblStyleRowBandSize w:val="1"/>
      <w:tblStyleColBandSize w:val="1"/>
      <w:tblCellMar>
        <w:left w:w="115" w:type="dxa"/>
        <w:right w:w="115" w:type="dxa"/>
      </w:tblCellMar>
    </w:tblPr>
  </w:style>
  <w:style w:type="table" w:customStyle="1" w:styleId="36">
    <w:name w:val="36"/>
    <w:basedOn w:val="TableNormal20"/>
    <w:rPr>
      <w:sz w:val="22"/>
      <w:szCs w:val="22"/>
    </w:rPr>
    <w:tblPr>
      <w:tblStyleRowBandSize w:val="1"/>
      <w:tblStyleColBandSize w:val="1"/>
      <w:tblCellMar>
        <w:left w:w="115" w:type="dxa"/>
        <w:right w:w="115" w:type="dxa"/>
      </w:tblCellMar>
    </w:tblPr>
  </w:style>
  <w:style w:type="table" w:customStyle="1" w:styleId="35">
    <w:name w:val="35"/>
    <w:basedOn w:val="TableNormal20"/>
    <w:rPr>
      <w:sz w:val="22"/>
      <w:szCs w:val="22"/>
    </w:rPr>
    <w:tblPr>
      <w:tblStyleRowBandSize w:val="1"/>
      <w:tblStyleColBandSize w:val="1"/>
      <w:tblCellMar>
        <w:left w:w="115" w:type="dxa"/>
        <w:right w:w="115" w:type="dxa"/>
      </w:tblCellMar>
    </w:tblPr>
  </w:style>
  <w:style w:type="table" w:customStyle="1" w:styleId="34">
    <w:name w:val="34"/>
    <w:basedOn w:val="TableNormal20"/>
    <w:tblPr>
      <w:tblStyleRowBandSize w:val="1"/>
      <w:tblStyleColBandSize w:val="1"/>
      <w:tblCellMar>
        <w:left w:w="115" w:type="dxa"/>
        <w:right w:w="115" w:type="dxa"/>
      </w:tblCellMar>
    </w:tblPr>
  </w:style>
  <w:style w:type="table" w:customStyle="1" w:styleId="33">
    <w:name w:val="33"/>
    <w:basedOn w:val="TableNormal20"/>
    <w:tblPr>
      <w:tblStyleRowBandSize w:val="1"/>
      <w:tblStyleColBandSize w:val="1"/>
      <w:tblCellMar>
        <w:left w:w="115" w:type="dxa"/>
        <w:right w:w="115" w:type="dxa"/>
      </w:tblCellMar>
    </w:tblPr>
  </w:style>
  <w:style w:type="table" w:customStyle="1" w:styleId="32">
    <w:name w:val="32"/>
    <w:basedOn w:val="TableNormal20"/>
    <w:tblPr>
      <w:tblStyleRowBandSize w:val="1"/>
      <w:tblStyleColBandSize w:val="1"/>
      <w:tblCellMar>
        <w:left w:w="115" w:type="dxa"/>
        <w:right w:w="115" w:type="dxa"/>
      </w:tblCellMar>
    </w:tblPr>
  </w:style>
  <w:style w:type="table" w:customStyle="1" w:styleId="31">
    <w:name w:val="31"/>
    <w:basedOn w:val="TableNormal20"/>
    <w:tblPr>
      <w:tblStyleRowBandSize w:val="1"/>
      <w:tblStyleColBandSize w:val="1"/>
      <w:tblCellMar>
        <w:left w:w="115" w:type="dxa"/>
        <w:right w:w="115" w:type="dxa"/>
      </w:tblCellMar>
    </w:tblPr>
  </w:style>
  <w:style w:type="table" w:customStyle="1" w:styleId="30">
    <w:name w:val="30"/>
    <w:basedOn w:val="TableNormal20"/>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9">
    <w:name w:val="29"/>
    <w:basedOn w:val="TableNormal20"/>
    <w:rPr>
      <w:sz w:val="22"/>
      <w:szCs w:val="22"/>
    </w:rPr>
    <w:tblPr>
      <w:tblStyleRowBandSize w:val="1"/>
      <w:tblStyleColBandSize w:val="1"/>
      <w:tblCellMar>
        <w:left w:w="115" w:type="dxa"/>
        <w:right w:w="115" w:type="dxa"/>
      </w:tblCellMar>
    </w:tblPr>
  </w:style>
  <w:style w:type="table" w:customStyle="1" w:styleId="28">
    <w:name w:val="28"/>
    <w:basedOn w:val="TableNormal20"/>
    <w:rPr>
      <w:sz w:val="22"/>
      <w:szCs w:val="22"/>
    </w:rPr>
    <w:tblPr>
      <w:tblStyleRowBandSize w:val="1"/>
      <w:tblStyleColBandSize w:val="1"/>
      <w:tblCellMar>
        <w:left w:w="115" w:type="dxa"/>
        <w:right w:w="115" w:type="dxa"/>
      </w:tblCellMar>
    </w:tblPr>
  </w:style>
  <w:style w:type="table" w:customStyle="1" w:styleId="27">
    <w:name w:val="27"/>
    <w:basedOn w:val="TableNormal30"/>
    <w:rPr>
      <w:sz w:val="22"/>
      <w:szCs w:val="22"/>
    </w:rPr>
    <w:tblPr>
      <w:tblStyleRowBandSize w:val="1"/>
      <w:tblStyleColBandSize w:val="1"/>
      <w:tblCellMar>
        <w:left w:w="115" w:type="dxa"/>
        <w:right w:w="115" w:type="dxa"/>
      </w:tblCellMar>
    </w:tblPr>
  </w:style>
  <w:style w:type="table" w:customStyle="1" w:styleId="26">
    <w:name w:val="26"/>
    <w:basedOn w:val="TableNormal30"/>
    <w:rPr>
      <w:sz w:val="22"/>
      <w:szCs w:val="22"/>
    </w:rPr>
    <w:tblPr>
      <w:tblStyleRowBandSize w:val="1"/>
      <w:tblStyleColBandSize w:val="1"/>
      <w:tblCellMar>
        <w:left w:w="115" w:type="dxa"/>
        <w:right w:w="115" w:type="dxa"/>
      </w:tblCellMar>
    </w:tblPr>
  </w:style>
  <w:style w:type="table" w:customStyle="1" w:styleId="25">
    <w:name w:val="25"/>
    <w:basedOn w:val="TableNormal30"/>
    <w:tblPr>
      <w:tblStyleRowBandSize w:val="1"/>
      <w:tblStyleColBandSize w:val="1"/>
      <w:tblCellMar>
        <w:left w:w="115" w:type="dxa"/>
        <w:right w:w="115" w:type="dxa"/>
      </w:tblCellMar>
    </w:tblPr>
  </w:style>
  <w:style w:type="table" w:customStyle="1" w:styleId="24">
    <w:name w:val="24"/>
    <w:basedOn w:val="TableNormal30"/>
    <w:rPr>
      <w:sz w:val="22"/>
      <w:szCs w:val="22"/>
    </w:rPr>
    <w:tblPr>
      <w:tblStyleRowBandSize w:val="1"/>
      <w:tblStyleColBandSize w:val="1"/>
      <w:tblCellMar>
        <w:left w:w="115" w:type="dxa"/>
        <w:right w:w="115" w:type="dxa"/>
      </w:tblCellMar>
    </w:tblPr>
  </w:style>
  <w:style w:type="table" w:customStyle="1" w:styleId="23">
    <w:name w:val="23"/>
    <w:basedOn w:val="TableNormal30"/>
    <w:rPr>
      <w:sz w:val="22"/>
      <w:szCs w:val="22"/>
    </w:rPr>
    <w:tblPr>
      <w:tblStyleRowBandSize w:val="1"/>
      <w:tblStyleColBandSize w:val="1"/>
      <w:tblCellMar>
        <w:left w:w="115" w:type="dxa"/>
        <w:right w:w="115" w:type="dxa"/>
      </w:tblCellMar>
    </w:tblPr>
  </w:style>
  <w:style w:type="table" w:customStyle="1" w:styleId="22">
    <w:name w:val="22"/>
    <w:basedOn w:val="TableNormal40"/>
    <w:rPr>
      <w:sz w:val="22"/>
      <w:szCs w:val="22"/>
    </w:rPr>
    <w:tblPr>
      <w:tblStyleRowBandSize w:val="1"/>
      <w:tblStyleColBandSize w:val="1"/>
      <w:tblCellMar>
        <w:left w:w="115" w:type="dxa"/>
        <w:right w:w="115" w:type="dxa"/>
      </w:tblCellMar>
    </w:tblPr>
  </w:style>
  <w:style w:type="table" w:customStyle="1" w:styleId="21">
    <w:name w:val="21"/>
    <w:basedOn w:val="TableNormal40"/>
    <w:rPr>
      <w:sz w:val="22"/>
      <w:szCs w:val="22"/>
    </w:rPr>
    <w:tblPr>
      <w:tblStyleRowBandSize w:val="1"/>
      <w:tblStyleColBandSize w:val="1"/>
      <w:tblCellMar>
        <w:left w:w="115" w:type="dxa"/>
        <w:right w:w="115" w:type="dxa"/>
      </w:tblCellMar>
    </w:tblPr>
  </w:style>
  <w:style w:type="table" w:customStyle="1" w:styleId="20">
    <w:name w:val="20"/>
    <w:basedOn w:val="TableNormal40"/>
    <w:rPr>
      <w:sz w:val="22"/>
      <w:szCs w:val="22"/>
    </w:rPr>
    <w:tblPr>
      <w:tblStyleRowBandSize w:val="1"/>
      <w:tblStyleColBandSize w:val="1"/>
      <w:tblCellMar>
        <w:left w:w="115" w:type="dxa"/>
        <w:right w:w="115" w:type="dxa"/>
      </w:tblCellMar>
    </w:tblPr>
  </w:style>
  <w:style w:type="table" w:customStyle="1" w:styleId="19">
    <w:name w:val="19"/>
    <w:basedOn w:val="TableNormal40"/>
    <w:rPr>
      <w:sz w:val="22"/>
      <w:szCs w:val="22"/>
    </w:rPr>
    <w:tblPr>
      <w:tblStyleRowBandSize w:val="1"/>
      <w:tblStyleColBandSize w:val="1"/>
      <w:tblCellMar>
        <w:left w:w="115" w:type="dxa"/>
        <w:right w:w="115" w:type="dxa"/>
      </w:tblCellMar>
    </w:tblPr>
  </w:style>
  <w:style w:type="table" w:customStyle="1" w:styleId="18">
    <w:name w:val="18"/>
    <w:basedOn w:val="TableNormal40"/>
    <w:rPr>
      <w:sz w:val="22"/>
      <w:szCs w:val="22"/>
    </w:rPr>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E144A5"/>
    <w:rPr>
      <w:rFonts w:ascii="Calibri" w:hAnsi="Calibr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166DE3"/>
    <w:tblPr>
      <w:tblCellMar>
        <w:top w:w="0" w:type="dxa"/>
        <w:left w:w="0" w:type="dxa"/>
        <w:bottom w:w="0" w:type="dxa"/>
        <w:right w:w="0" w:type="dxa"/>
      </w:tblCellMar>
    </w:tblPr>
  </w:style>
  <w:style w:type="table" w:customStyle="1" w:styleId="17">
    <w:name w:val="17"/>
    <w:basedOn w:val="TableNormal50"/>
    <w:tblPr>
      <w:tblStyleRowBandSize w:val="1"/>
      <w:tblStyleColBandSize w:val="1"/>
      <w:tblCellMar>
        <w:left w:w="115" w:type="dxa"/>
        <w:right w:w="115" w:type="dxa"/>
      </w:tblCellMar>
    </w:tblPr>
  </w:style>
  <w:style w:type="table" w:customStyle="1" w:styleId="16">
    <w:name w:val="16"/>
    <w:basedOn w:val="TableNormal50"/>
    <w:tblPr>
      <w:tblStyleRowBandSize w:val="1"/>
      <w:tblStyleColBandSize w:val="1"/>
      <w:tblCellMar>
        <w:left w:w="115" w:type="dxa"/>
        <w:right w:w="115" w:type="dxa"/>
      </w:tblCellMar>
    </w:tblPr>
  </w:style>
  <w:style w:type="table" w:customStyle="1" w:styleId="15">
    <w:name w:val="15"/>
    <w:basedOn w:val="TableNormal50"/>
    <w:rPr>
      <w:sz w:val="22"/>
      <w:szCs w:val="22"/>
    </w:rPr>
    <w:tblPr>
      <w:tblStyleRowBandSize w:val="1"/>
      <w:tblStyleColBandSize w:val="1"/>
      <w:tblCellMar>
        <w:left w:w="115" w:type="dxa"/>
        <w:right w:w="115" w:type="dxa"/>
      </w:tblCellMar>
    </w:tblPr>
  </w:style>
  <w:style w:type="table" w:customStyle="1" w:styleId="14">
    <w:name w:val="14"/>
    <w:basedOn w:val="TableNormal50"/>
    <w:rPr>
      <w:sz w:val="22"/>
      <w:szCs w:val="22"/>
    </w:rPr>
    <w:tblPr>
      <w:tblStyleRowBandSize w:val="1"/>
      <w:tblStyleColBandSize w:val="1"/>
      <w:tblCellMar>
        <w:left w:w="115" w:type="dxa"/>
        <w:right w:w="115" w:type="dxa"/>
      </w:tblCellMar>
    </w:tblPr>
  </w:style>
  <w:style w:type="table" w:customStyle="1" w:styleId="13">
    <w:name w:val="13"/>
    <w:basedOn w:val="TableNormal60"/>
    <w:rPr>
      <w:sz w:val="22"/>
      <w:szCs w:val="22"/>
    </w:rPr>
    <w:tblPr>
      <w:tblStyleRowBandSize w:val="1"/>
      <w:tblStyleColBandSize w:val="1"/>
      <w:tblCellMar>
        <w:left w:w="115" w:type="dxa"/>
        <w:right w:w="115" w:type="dxa"/>
      </w:tblCellMar>
    </w:tblPr>
  </w:style>
  <w:style w:type="table" w:customStyle="1" w:styleId="12">
    <w:name w:val="12"/>
    <w:basedOn w:val="TableNormal60"/>
    <w:rPr>
      <w:sz w:val="22"/>
      <w:szCs w:val="22"/>
    </w:rPr>
    <w:tblPr>
      <w:tblStyleRowBandSize w:val="1"/>
      <w:tblStyleColBandSize w:val="1"/>
      <w:tblCellMar>
        <w:left w:w="115" w:type="dxa"/>
        <w:right w:w="115" w:type="dxa"/>
      </w:tblCellMar>
    </w:tblPr>
  </w:style>
  <w:style w:type="table" w:customStyle="1" w:styleId="11">
    <w:name w:val="11"/>
    <w:basedOn w:val="TableNormal60"/>
    <w:rPr>
      <w:sz w:val="22"/>
      <w:szCs w:val="22"/>
    </w:rPr>
    <w:tblPr>
      <w:tblStyleRowBandSize w:val="1"/>
      <w:tblStyleColBandSize w:val="1"/>
      <w:tblCellMar>
        <w:left w:w="115" w:type="dxa"/>
        <w:right w:w="115" w:type="dxa"/>
      </w:tblCellMar>
    </w:tblPr>
  </w:style>
  <w:style w:type="table" w:customStyle="1" w:styleId="10">
    <w:name w:val="10"/>
    <w:basedOn w:val="TableNormal60"/>
    <w:rPr>
      <w:sz w:val="22"/>
      <w:szCs w:val="22"/>
    </w:rPr>
    <w:tblPr>
      <w:tblStyleRowBandSize w:val="1"/>
      <w:tblStyleColBandSize w:val="1"/>
      <w:tblCellMar>
        <w:left w:w="115" w:type="dxa"/>
        <w:right w:w="115" w:type="dxa"/>
      </w:tblCellMar>
    </w:tblPr>
  </w:style>
  <w:style w:type="table" w:customStyle="1" w:styleId="9">
    <w:name w:val="9"/>
    <w:basedOn w:val="TableNormal7"/>
    <w:rPr>
      <w:sz w:val="22"/>
      <w:szCs w:val="22"/>
    </w:rPr>
    <w:tblPr>
      <w:tblStyleRowBandSize w:val="1"/>
      <w:tblStyleColBandSize w:val="1"/>
      <w:tblCellMar>
        <w:left w:w="115" w:type="dxa"/>
        <w:right w:w="115" w:type="dxa"/>
      </w:tblCellMar>
    </w:tblPr>
  </w:style>
  <w:style w:type="table" w:customStyle="1" w:styleId="8">
    <w:name w:val="8"/>
    <w:basedOn w:val="TableNormal7"/>
    <w:rPr>
      <w:sz w:val="22"/>
      <w:szCs w:val="22"/>
    </w:rPr>
    <w:tblPr>
      <w:tblStyleRowBandSize w:val="1"/>
      <w:tblStyleColBandSize w:val="1"/>
      <w:tblCellMar>
        <w:left w:w="115" w:type="dxa"/>
        <w:right w:w="115" w:type="dxa"/>
      </w:tblCellMar>
    </w:tblPr>
  </w:style>
  <w:style w:type="table" w:customStyle="1" w:styleId="7">
    <w:name w:val="7"/>
    <w:basedOn w:val="TableNormal7"/>
    <w:rPr>
      <w:sz w:val="22"/>
      <w:szCs w:val="22"/>
    </w:rPr>
    <w:tblPr>
      <w:tblStyleRowBandSize w:val="1"/>
      <w:tblStyleColBandSize w:val="1"/>
      <w:tblCellMar>
        <w:left w:w="115" w:type="dxa"/>
        <w:right w:w="115" w:type="dxa"/>
      </w:tblCellMar>
    </w:tblPr>
  </w:style>
  <w:style w:type="table" w:customStyle="1" w:styleId="6">
    <w:name w:val="6"/>
    <w:basedOn w:val="TableNormal7"/>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5">
    <w:name w:val="5"/>
    <w:basedOn w:val="TableNormal7"/>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4">
    <w:name w:val="4"/>
    <w:basedOn w:val="TableNormal7"/>
    <w:rPr>
      <w:sz w:val="22"/>
      <w:szCs w:val="22"/>
    </w:rPr>
    <w:tblPr>
      <w:tblStyleRowBandSize w:val="1"/>
      <w:tblStyleColBandSize w:val="1"/>
      <w:tblCellMar>
        <w:left w:w="115" w:type="dxa"/>
        <w:right w:w="115" w:type="dxa"/>
      </w:tblCellMar>
    </w:tblPr>
  </w:style>
  <w:style w:type="table" w:customStyle="1" w:styleId="3">
    <w:name w:val="3"/>
    <w:basedOn w:val="TableNormal7"/>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2">
    <w:name w:val="2"/>
    <w:basedOn w:val="TableNormal7"/>
    <w:rPr>
      <w:sz w:val="22"/>
      <w:szCs w:val="22"/>
    </w:rPr>
    <w:tblPr>
      <w:tblStyleRowBandSize w:val="1"/>
      <w:tblStyleColBandSize w:val="1"/>
      <w:tblCellMar>
        <w:left w:w="115" w:type="dxa"/>
        <w:right w:w="115" w:type="dxa"/>
      </w:tblCellMar>
    </w:tblPr>
  </w:style>
  <w:style w:type="table" w:customStyle="1" w:styleId="1">
    <w:name w:val="1"/>
    <w:basedOn w:val="TableNormal7"/>
    <w:rPr>
      <w:sz w:val="22"/>
      <w:szCs w:val="22"/>
    </w:rPr>
    <w:tblPr>
      <w:tblStyleRowBandSize w:val="1"/>
      <w:tblStyleColBandSize w:val="1"/>
      <w:tblCellMar>
        <w:left w:w="115" w:type="dxa"/>
        <w:right w:w="115" w:type="dxa"/>
      </w:tblCellMar>
    </w:tblPr>
  </w:style>
  <w:style w:type="table" w:customStyle="1" w:styleId="a">
    <w:basedOn w:val="TableNormal6"/>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0">
    <w:basedOn w:val="TableNormal6"/>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2">
    <w:basedOn w:val="TableNormal6"/>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3">
    <w:basedOn w:val="TableNormal6"/>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4">
    <w:basedOn w:val="TableNormal6"/>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5">
    <w:basedOn w:val="TableNormal6"/>
    <w:rPr>
      <w:rFonts w:ascii="Calibri" w:eastAsia="Calibri" w:hAnsi="Calibri" w:cs="Calibri"/>
      <w:sz w:val="22"/>
      <w:szCs w:val="22"/>
    </w:rPr>
    <w:tblPr>
      <w:tblStyleRowBandSize w:val="1"/>
      <w:tblStyleColBandSize w:val="1"/>
      <w:tblCellMar>
        <w:left w:w="115" w:type="dxa"/>
        <w:right w:w="115" w:type="dxa"/>
      </w:tblCellMar>
    </w:tblPr>
  </w:style>
  <w:style w:type="character" w:customStyle="1" w:styleId="eop">
    <w:name w:val="eop"/>
    <w:basedOn w:val="Fuentedeprrafopredeter"/>
    <w:rsid w:val="00652AFE"/>
  </w:style>
  <w:style w:type="table" w:customStyle="1" w:styleId="a6">
    <w:basedOn w:val="TableNormal5"/>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7">
    <w:basedOn w:val="TableNormal5"/>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8">
    <w:basedOn w:val="TableNormal5"/>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9">
    <w:basedOn w:val="TableNormal5"/>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a">
    <w:basedOn w:val="TableNormal5"/>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b">
    <w:basedOn w:val="TableNormal5"/>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c">
    <w:basedOn w:val="TableNormal4"/>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d">
    <w:basedOn w:val="TableNormal4"/>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e">
    <w:basedOn w:val="TableNormal4"/>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0">
    <w:basedOn w:val="TableNormal4"/>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1">
    <w:basedOn w:val="TableNormal4"/>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2">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3">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4">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5">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6">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7">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8">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9">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a">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b">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c">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d">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e">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
    <w:basedOn w:val="TableNormal2"/>
    <w:tblPr>
      <w:tblStyleRowBandSize w:val="1"/>
      <w:tblStyleColBandSize w:val="1"/>
      <w:tblCellMar>
        <w:left w:w="115" w:type="dxa"/>
        <w:right w:w="115" w:type="dxa"/>
      </w:tblCellMar>
    </w:tblPr>
  </w:style>
  <w:style w:type="table" w:customStyle="1" w:styleId="aff0">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1">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2">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3">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4">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5">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6">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7">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8">
    <w:basedOn w:val="TableNormal1"/>
    <w:rPr>
      <w:rFonts w:ascii="Calibri" w:eastAsia="Calibri" w:hAnsi="Calibri" w:cs="Calibri"/>
      <w:sz w:val="22"/>
      <w:szCs w:val="22"/>
    </w:rPr>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8F61EB"/>
    <w:rPr>
      <w:color w:val="605E5C"/>
      <w:shd w:val="clear" w:color="auto" w:fill="E1DFDD"/>
    </w:rPr>
  </w:style>
  <w:style w:type="paragraph" w:customStyle="1" w:styleId="Citas">
    <w:name w:val="Citas"/>
    <w:basedOn w:val="Normal"/>
    <w:qFormat/>
    <w:rsid w:val="00FB08B7"/>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Subttulo">
    <w:name w:val="Subtitle"/>
    <w:basedOn w:val="Normal"/>
    <w:next w:val="Normal"/>
    <w:pPr>
      <w:spacing w:after="160"/>
    </w:pPr>
    <w:rPr>
      <w:rFonts w:ascii="Cambria" w:eastAsia="Cambria" w:hAnsi="Cambria" w:cs="Cambria"/>
      <w:color w:val="5A5A5A"/>
      <w:sz w:val="22"/>
      <w:szCs w:val="22"/>
    </w:rPr>
  </w:style>
  <w:style w:type="table" w:customStyle="1" w:styleId="aff9">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a">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b">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c">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d">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e">
    <w:basedOn w:val="TableNormal0"/>
    <w:rPr>
      <w:rFonts w:ascii="Calibri" w:eastAsia="Calibri" w:hAnsi="Calibri" w:cs="Calibri"/>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about:blank"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58M0sE0Q25AfLc3Cw9g+H1XmmA==">CgMxLjAyCGguZ2pkZ3hzMg5oLmF5cGN4bmVncWt6eTIOaC5teWc3aHRsejF5amgyDmguc2Qwbmh4OHZ4cWRoMgloLjJldDkycDAyCWguMzBqMHpsbDINaC4yY3J1cWF4a3h5aDIOaC5zN2NzdW1mbWx4NWIyCWguMWZvYjl0ZTgAciExR0JSQVViX29RMkR5ODhMVVRtTHVDTWxVZUZIdGNYR3E=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8267</Words>
  <Characters>44735</Characters>
  <Application>Microsoft Office Word</Application>
  <DocSecurity>0</DocSecurity>
  <Lines>911</Lines>
  <Paragraphs>218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2025-09-05T19:27:00Z</cp:lastPrinted>
  <dcterms:created xsi:type="dcterms:W3CDTF">2025-10-03T17:27:00Z</dcterms:created>
  <dcterms:modified xsi:type="dcterms:W3CDTF">2025-10-03T17:27:00Z</dcterms:modified>
</cp:coreProperties>
</file>