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Resolución del Pleno del Instituto de Transparencia, Acceso a la Información Pública y Protección de Datos Personales del Estado de México y Municipios, con domicilio en Metepec, Estado de México, a doce de marzo de dos mil veinticinco. </w:t>
      </w:r>
    </w:p>
    <w:p w:rsidR="00000000" w:rsidDel="00000000" w:rsidP="00000000" w:rsidRDefault="00000000" w:rsidRPr="00000000" w14:paraId="0000000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VISTO</w:t>
      </w:r>
      <w:r w:rsidDel="00000000" w:rsidR="00000000" w:rsidRPr="00000000">
        <w:rPr>
          <w:rFonts w:ascii="Palatino Linotype" w:cs="Palatino Linotype" w:eastAsia="Palatino Linotype" w:hAnsi="Palatino Linotype"/>
          <w:rtl w:val="0"/>
        </w:rPr>
        <w:t xml:space="preserve"> el expediente formado con motivo del recurso de revisión </w:t>
      </w:r>
      <w:r w:rsidDel="00000000" w:rsidR="00000000" w:rsidRPr="00000000">
        <w:rPr>
          <w:rFonts w:ascii="Palatino Linotype" w:cs="Palatino Linotype" w:eastAsia="Palatino Linotype" w:hAnsi="Palatino Linotype"/>
          <w:b w:val="1"/>
          <w:rtl w:val="0"/>
        </w:rPr>
        <w:t xml:space="preserve">00944/INFOEM/IP/RR/2025</w:t>
      </w:r>
      <w:r w:rsidDel="00000000" w:rsidR="00000000" w:rsidRPr="00000000">
        <w:rPr>
          <w:rFonts w:ascii="Palatino Linotype" w:cs="Palatino Linotype" w:eastAsia="Palatino Linotype" w:hAnsi="Palatino Linotype"/>
          <w:rtl w:val="0"/>
        </w:rPr>
        <w:t xml:space="preserve">, interpuesto por</w:t>
      </w:r>
      <w:r w:rsidDel="00000000" w:rsidR="00000000" w:rsidRPr="00000000">
        <w:rPr>
          <w:rFonts w:ascii="Palatino Linotype" w:cs="Palatino Linotype" w:eastAsia="Palatino Linotype" w:hAnsi="Palatino Linotype"/>
          <w:b w:val="1"/>
          <w:rtl w:val="0"/>
        </w:rPr>
        <w:t xml:space="preserve"> XXXXXX XXXXXXXXXX  XXXXXXXXXXXXXX,</w:t>
      </w:r>
      <w:r w:rsidDel="00000000" w:rsidR="00000000" w:rsidRPr="00000000">
        <w:rPr>
          <w:rFonts w:ascii="Palatino Linotype" w:cs="Palatino Linotype" w:eastAsia="Palatino Linotype" w:hAnsi="Palatino Linotype"/>
          <w:rtl w:val="0"/>
        </w:rPr>
        <w:t xml:space="preserve"> en lo sucesivo</w:t>
      </w: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rtl w:val="0"/>
        </w:rPr>
        <w:t xml:space="preserve">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en contra de la respuesta a la solicitud de información con número de folio </w:t>
      </w:r>
      <w:r w:rsidDel="00000000" w:rsidR="00000000" w:rsidRPr="00000000">
        <w:rPr>
          <w:rFonts w:ascii="Palatino Linotype" w:cs="Palatino Linotype" w:eastAsia="Palatino Linotype" w:hAnsi="Palatino Linotype"/>
          <w:b w:val="1"/>
          <w:rtl w:val="0"/>
        </w:rPr>
        <w:t xml:space="preserve">00005/TENANCIN/IP/2025, </w:t>
      </w:r>
      <w:r w:rsidDel="00000000" w:rsidR="00000000" w:rsidRPr="00000000">
        <w:rPr>
          <w:rFonts w:ascii="Palatino Linotype" w:cs="Palatino Linotype" w:eastAsia="Palatino Linotype" w:hAnsi="Palatino Linotype"/>
          <w:rtl w:val="0"/>
        </w:rPr>
        <w:t xml:space="preserve">por parte del </w:t>
      </w:r>
      <w:r w:rsidDel="00000000" w:rsidR="00000000" w:rsidRPr="00000000">
        <w:rPr>
          <w:rFonts w:ascii="Palatino Linotype" w:cs="Palatino Linotype" w:eastAsia="Palatino Linotype" w:hAnsi="Palatino Linotype"/>
          <w:b w:val="1"/>
          <w:rtl w:val="0"/>
        </w:rPr>
        <w:t xml:space="preserve">Ayuntamiento de Tenancingo, </w:t>
      </w:r>
      <w:r w:rsidDel="00000000" w:rsidR="00000000" w:rsidRPr="00000000">
        <w:rPr>
          <w:rFonts w:ascii="Palatino Linotype" w:cs="Palatino Linotype" w:eastAsia="Palatino Linotype" w:hAnsi="Palatino Linotype"/>
          <w:rtl w:val="0"/>
        </w:rPr>
        <w:t xml:space="preserve">en lo sucesivo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se procede a dictar la presente resolución con base en los siguientes: </w:t>
      </w:r>
    </w:p>
    <w:p w:rsidR="00000000" w:rsidDel="00000000" w:rsidP="00000000" w:rsidRDefault="00000000" w:rsidRPr="00000000" w14:paraId="00000003">
      <w:pPr>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 A N T E C E D E N T E S</w:t>
      </w:r>
    </w:p>
    <w:p w:rsidR="00000000" w:rsidDel="00000000" w:rsidP="00000000" w:rsidRDefault="00000000" w:rsidRPr="00000000" w14:paraId="00000004">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1. Solicitud de acceso a la información.</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uno de enero de dos mil veinticinco,</w:t>
      </w:r>
      <w:r w:rsidDel="00000000" w:rsidR="00000000" w:rsidRPr="00000000">
        <w:rPr>
          <w:rFonts w:ascii="Palatino Linotype" w:cs="Palatino Linotype" w:eastAsia="Palatino Linotype" w:hAnsi="Palatino Linotype"/>
          <w:rtl w:val="0"/>
        </w:rPr>
        <w:t xml:space="preserve"> la persona solicitante presentó la solicitud de acceso a la información pública ante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través del Sistema de Acceso a la Información Mexiquense, en lo subsecuente el </w:t>
      </w:r>
      <w:r w:rsidDel="00000000" w:rsidR="00000000" w:rsidRPr="00000000">
        <w:rPr>
          <w:rFonts w:ascii="Palatino Linotype" w:cs="Palatino Linotype" w:eastAsia="Palatino Linotype" w:hAnsi="Palatino Linotype"/>
          <w:b w:val="1"/>
          <w:rtl w:val="0"/>
        </w:rPr>
        <w:t xml:space="preserve">SAIMEX,</w:t>
      </w:r>
      <w:r w:rsidDel="00000000" w:rsidR="00000000" w:rsidRPr="00000000">
        <w:rPr>
          <w:rFonts w:ascii="Palatino Linotype" w:cs="Palatino Linotype" w:eastAsia="Palatino Linotype" w:hAnsi="Palatino Linotype"/>
          <w:rtl w:val="0"/>
        </w:rPr>
        <w:t xml:space="preserve"> sin embargo, al corresponder a un día inhábil se tuvo por presentada el día </w:t>
      </w:r>
      <w:r w:rsidDel="00000000" w:rsidR="00000000" w:rsidRPr="00000000">
        <w:rPr>
          <w:rFonts w:ascii="Palatino Linotype" w:cs="Palatino Linotype" w:eastAsia="Palatino Linotype" w:hAnsi="Palatino Linotype"/>
          <w:b w:val="1"/>
          <w:rtl w:val="0"/>
        </w:rPr>
        <w:t xml:space="preserve">trece de enero de dos mil veinticinco;</w:t>
      </w:r>
      <w:r w:rsidDel="00000000" w:rsidR="00000000" w:rsidRPr="00000000">
        <w:rPr>
          <w:rFonts w:ascii="Palatino Linotype" w:cs="Palatino Linotype" w:eastAsia="Palatino Linotype" w:hAnsi="Palatino Linotype"/>
          <w:rtl w:val="0"/>
        </w:rPr>
        <w:t xml:space="preserve"> mediante la cual requirió lo siguiente:</w:t>
      </w:r>
      <w:r w:rsidDel="00000000" w:rsidR="00000000" w:rsidRPr="00000000">
        <w:rPr>
          <w:rtl w:val="0"/>
        </w:rPr>
      </w:r>
    </w:p>
    <w:p w:rsidR="00000000" w:rsidDel="00000000" w:rsidP="00000000" w:rsidRDefault="00000000" w:rsidRPr="00000000" w14:paraId="00000005">
      <w:pPr>
        <w:spacing w:after="120" w:before="120" w:lineRule="auto"/>
        <w:ind w:left="851" w:right="902" w:firstLine="0"/>
        <w:jc w:val="both"/>
        <w:rPr>
          <w:rFonts w:ascii="Palatino Linotype" w:cs="Palatino Linotype" w:eastAsia="Palatino Linotype" w:hAnsi="Palatino Linotype"/>
          <w:b w:val="1"/>
          <w:i w:val="1"/>
          <w:sz w:val="22"/>
          <w:szCs w:val="22"/>
        </w:rPr>
      </w:pPr>
      <w:bookmarkStart w:colFirst="0" w:colLast="0" w:name="_heading=h.7x56bokwp755" w:id="0"/>
      <w:bookmarkEnd w:id="0"/>
      <w:r w:rsidDel="00000000" w:rsidR="00000000" w:rsidRPr="00000000">
        <w:rPr>
          <w:rFonts w:ascii="Palatino Linotype" w:cs="Palatino Linotype" w:eastAsia="Palatino Linotype" w:hAnsi="Palatino Linotype"/>
          <w:i w:val="1"/>
          <w:sz w:val="22"/>
          <w:szCs w:val="22"/>
          <w:rtl w:val="0"/>
        </w:rPr>
        <w:t xml:space="preserve">“¿QUE RELACION DE PARENTESCO EXISTE ENTRE LA SECRETARIA DEL AYUNTAMIENTO MARIA ANGELICA GARCIA PUERTA Y EL TIO DE LA PRESIDENTA NANCY NAPOLES PACHECO, SIENDO EL NOMBRE DEL TIO </w:t>
      </w:r>
      <w:r w:rsidDel="00000000" w:rsidR="00000000" w:rsidRPr="00000000">
        <w:rPr>
          <w:rFonts w:ascii="Palatino Linotype" w:cs="Palatino Linotype" w:eastAsia="Palatino Linotype" w:hAnsi="Palatino Linotype"/>
          <w:b w:val="1"/>
          <w:i w:val="1"/>
          <w:sz w:val="22"/>
          <w:szCs w:val="22"/>
          <w:rtl w:val="0"/>
        </w:rPr>
        <w:t xml:space="preserve">XXXXX XXXXXX XXXX</w:t>
      </w:r>
      <w:r w:rsidDel="00000000" w:rsidR="00000000" w:rsidRPr="00000000">
        <w:rPr>
          <w:rFonts w:ascii="Palatino Linotype" w:cs="Palatino Linotype" w:eastAsia="Palatino Linotype" w:hAnsi="Palatino Linotype"/>
          <w:i w:val="1"/>
          <w:sz w:val="22"/>
          <w:szCs w:val="22"/>
          <w:rtl w:val="0"/>
        </w:rPr>
        <w:t xml:space="preserve">? ¿SE ESTA DECLARANDO EL CONFLICTO DE INTERESES EN ESTE CASO?</w:t>
      </w:r>
      <w:r w:rsidDel="00000000" w:rsidR="00000000" w:rsidRPr="00000000">
        <w:rPr>
          <w:rFonts w:ascii="Palatino Linotype" w:cs="Palatino Linotype" w:eastAsia="Palatino Linotype" w:hAnsi="Palatino Linotype"/>
          <w:b w:val="1"/>
          <w:i w:val="1"/>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 (sic) </w:t>
      </w:r>
      <w:r w:rsidDel="00000000" w:rsidR="00000000" w:rsidRPr="00000000">
        <w:rPr>
          <w:rtl w:val="0"/>
        </w:rPr>
      </w:r>
    </w:p>
    <w:p w:rsidR="00000000" w:rsidDel="00000000" w:rsidP="00000000" w:rsidRDefault="00000000" w:rsidRPr="00000000" w14:paraId="00000006">
      <w:pPr>
        <w:spacing w:after="240" w:before="240" w:line="360" w:lineRule="auto"/>
        <w:ind w:right="49"/>
        <w:jc w:val="both"/>
        <w:rPr>
          <w:rFonts w:ascii="Palatino Linotype" w:cs="Palatino Linotype" w:eastAsia="Palatino Linotype" w:hAnsi="Palatino Linotype"/>
        </w:rPr>
      </w:pPr>
      <w:bookmarkStart w:colFirst="0" w:colLast="0" w:name="_heading=h.3dy6vkm" w:id="1"/>
      <w:bookmarkEnd w:id="1"/>
      <w:r w:rsidDel="00000000" w:rsidR="00000000" w:rsidRPr="00000000">
        <w:rPr>
          <w:rFonts w:ascii="Palatino Linotype" w:cs="Palatino Linotype" w:eastAsia="Palatino Linotype" w:hAnsi="Palatino Linotype"/>
          <w:rtl w:val="0"/>
        </w:rPr>
        <w:t xml:space="preserve">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no adjuntó archivos:</w:t>
      </w:r>
    </w:p>
    <w:p w:rsidR="00000000" w:rsidDel="00000000" w:rsidP="00000000" w:rsidRDefault="00000000" w:rsidRPr="00000000" w14:paraId="00000007">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Modalidad de Entrega:</w:t>
      </w:r>
      <w:r w:rsidDel="00000000" w:rsidR="00000000" w:rsidRPr="00000000">
        <w:rPr>
          <w:rFonts w:ascii="Palatino Linotype" w:cs="Palatino Linotype" w:eastAsia="Palatino Linotype" w:hAnsi="Palatino Linotype"/>
          <w:rtl w:val="0"/>
        </w:rPr>
        <w:t xml:space="preserve"> a través </w:t>
      </w:r>
      <w:r w:rsidDel="00000000" w:rsidR="00000000" w:rsidRPr="00000000">
        <w:rPr>
          <w:rFonts w:ascii="Palatino Linotype" w:cs="Palatino Linotype" w:eastAsia="Palatino Linotype" w:hAnsi="Palatino Linotype"/>
          <w:b w:val="1"/>
          <w:rtl w:val="0"/>
        </w:rPr>
        <w:t xml:space="preserve">de SAIMEX</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3119"/>
        </w:tabs>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2. Prórroga. </w:t>
      </w: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treinta y uno de enero de dos mil veinticinco, </w:t>
      </w: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notificó a la persona solicitante la prórroga para dar respuesta a la solicitud</w:t>
      </w:r>
      <w:r w:rsidDel="00000000" w:rsidR="00000000" w:rsidRPr="00000000">
        <w:rPr>
          <w:rFonts w:ascii="Palatino Linotype" w:cs="Palatino Linotype" w:eastAsia="Palatino Linotype" w:hAnsi="Palatino Linotype"/>
          <w:b w:val="1"/>
          <w:rtl w:val="0"/>
        </w:rPr>
        <w:t xml:space="preserve">,</w:t>
      </w:r>
      <w:r w:rsidDel="00000000" w:rsidR="00000000" w:rsidRPr="00000000">
        <w:rPr>
          <w:rFonts w:ascii="Palatino Linotype" w:cs="Palatino Linotype" w:eastAsia="Palatino Linotype" w:hAnsi="Palatino Linotype"/>
          <w:rtl w:val="0"/>
        </w:rPr>
        <w:t xml:space="preserve"> medularmente en los siguientes términos:</w:t>
      </w:r>
    </w:p>
    <w:p w:rsidR="00000000" w:rsidDel="00000000" w:rsidP="00000000" w:rsidRDefault="00000000" w:rsidRPr="00000000" w14:paraId="00000009">
      <w:pPr>
        <w:spacing w:after="240" w:before="240" w:lineRule="auto"/>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000000" w:rsidDel="00000000" w:rsidP="00000000" w:rsidRDefault="00000000" w:rsidRPr="00000000" w14:paraId="0000000A">
      <w:pPr>
        <w:spacing w:after="240" w:before="240" w:lineRule="auto"/>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SE ACEPTA PRORROGA CONFORME A LA LEY” (sic)</w:t>
      </w:r>
    </w:p>
    <w:p w:rsidR="00000000" w:rsidDel="00000000" w:rsidP="00000000" w:rsidRDefault="00000000" w:rsidRPr="00000000" w14:paraId="0000000B">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Como refiere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rsidR="00000000" w:rsidDel="00000000" w:rsidP="00000000" w:rsidRDefault="00000000" w:rsidRPr="00000000" w14:paraId="0000000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3. Respuesta. </w:t>
      </w: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seis de febrero de dos mil veinticinco</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envió su respuesta a la solicitud de acceso a la información a través de SAIMEX, sustancialmente en los términos siguientes:   </w:t>
      </w:r>
    </w:p>
    <w:p w:rsidR="00000000" w:rsidDel="00000000" w:rsidP="00000000" w:rsidRDefault="00000000" w:rsidRPr="00000000" w14:paraId="0000000D">
      <w:pPr>
        <w:spacing w:after="240" w:before="24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atención a su solicitud de información recibida a través del Sistema de Acceso a la Información Mexiquense (SAIMEX), identificada con el número 00005/TENANCIN/IP/2025;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adjunto al presente se servirá encontrar el oficio de respuesta que emite el Coordinador de Recursos Humanos del Ayuntamiento de Tenancingo, Estado de México. Sin otro particular, reciba un cordial saludo....” (sic)</w:t>
      </w:r>
    </w:p>
    <w:p w:rsidR="00000000" w:rsidDel="00000000" w:rsidP="00000000" w:rsidRDefault="00000000" w:rsidRPr="00000000" w14:paraId="0000000E">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adjuntó el oficio MTM058/DAERH00/00213//2025, del cinco de febrero de dos mil veinticinco, mediante el cual el Coordinador de Recursos Humanos, refirió que el derecho a la información constituye una prerrogativa a acceder a documentación en poder de los Sujetos Obligados, no así a realizar cuestionamientos, o manifestaciones subjetivas, por lo que únicamente esta constreñido a entregar los documentos en los que conste la información que sea generada, poseída o administrada en el ejercicio de sus atribuciones y no así a elaborar documentos en donde se expliquen, respondan o atiendan diversos cuestionamientos, en consecuencia, no le es posible pronunciarse sobre lo solicitado, al no ser el derecho a la información pública la vía en la que pueda ser atendida la solicitud. </w:t>
      </w:r>
    </w:p>
    <w:p w:rsidR="00000000" w:rsidDel="00000000" w:rsidP="00000000" w:rsidRDefault="00000000" w:rsidRPr="00000000" w14:paraId="0000000F">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4. Interposición del recurso de revisión. </w:t>
      </w:r>
      <w:r w:rsidDel="00000000" w:rsidR="00000000" w:rsidRPr="00000000">
        <w:rPr>
          <w:rFonts w:ascii="Palatino Linotype" w:cs="Palatino Linotype" w:eastAsia="Palatino Linotype" w:hAnsi="Palatino Linotype"/>
          <w:rtl w:val="0"/>
        </w:rPr>
        <w:t xml:space="preserve">Inconforme con los términos de la respuesta emitida por parte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nueve de febrero de dos mil veinticinco,</w:t>
      </w:r>
      <w:r w:rsidDel="00000000" w:rsidR="00000000" w:rsidRPr="00000000">
        <w:rPr>
          <w:rFonts w:ascii="Palatino Linotype" w:cs="Palatino Linotype" w:eastAsia="Palatino Linotype" w:hAnsi="Palatino Linotype"/>
          <w:rtl w:val="0"/>
        </w:rPr>
        <w:t xml:space="preserve">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interpuso el recurso de revisión a través de </w:t>
      </w:r>
      <w:r w:rsidDel="00000000" w:rsidR="00000000" w:rsidRPr="00000000">
        <w:rPr>
          <w:rFonts w:ascii="Palatino Linotype" w:cs="Palatino Linotype" w:eastAsia="Palatino Linotype" w:hAnsi="Palatino Linotype"/>
          <w:b w:val="1"/>
          <w:rtl w:val="0"/>
        </w:rPr>
        <w:t xml:space="preserve">SAIMEX, </w:t>
      </w:r>
      <w:r w:rsidDel="00000000" w:rsidR="00000000" w:rsidRPr="00000000">
        <w:rPr>
          <w:rFonts w:ascii="Palatino Linotype" w:cs="Palatino Linotype" w:eastAsia="Palatino Linotype" w:hAnsi="Palatino Linotype"/>
          <w:rtl w:val="0"/>
        </w:rPr>
        <w:t xml:space="preserve">sin embargo, al corresponder a un día inhábil se tuvo por presentado el día </w:t>
      </w:r>
      <w:r w:rsidDel="00000000" w:rsidR="00000000" w:rsidRPr="00000000">
        <w:rPr>
          <w:rFonts w:ascii="Palatino Linotype" w:cs="Palatino Linotype" w:eastAsia="Palatino Linotype" w:hAnsi="Palatino Linotype"/>
          <w:b w:val="1"/>
          <w:rtl w:val="0"/>
        </w:rPr>
        <w:t xml:space="preserve">trece de enero de dos mil veinticinco; </w:t>
      </w:r>
      <w:r w:rsidDel="00000000" w:rsidR="00000000" w:rsidRPr="00000000">
        <w:rPr>
          <w:rFonts w:ascii="Palatino Linotype" w:cs="Palatino Linotype" w:eastAsia="Palatino Linotype" w:hAnsi="Palatino Linotype"/>
          <w:rtl w:val="0"/>
        </w:rPr>
        <w:t xml:space="preserve">en donde se manifestó de la siguiente manera:</w:t>
      </w:r>
    </w:p>
    <w:p w:rsidR="00000000" w:rsidDel="00000000" w:rsidP="00000000" w:rsidRDefault="00000000" w:rsidRPr="00000000" w14:paraId="00000010">
      <w:pPr>
        <w:tabs>
          <w:tab w:val="left" w:leader="none" w:pos="2400"/>
        </w:tabs>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Acto impugnado: </w:t>
        <w:tab/>
      </w:r>
    </w:p>
    <w:p w:rsidR="00000000" w:rsidDel="00000000" w:rsidP="00000000" w:rsidRDefault="00000000" w:rsidRPr="00000000" w14:paraId="00000011">
      <w:pPr>
        <w:tabs>
          <w:tab w:val="left" w:leader="none" w:pos="2745"/>
        </w:tabs>
        <w:spacing w:after="240" w:before="240" w:lineRule="auto"/>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“LA RESPUESTA OTORGADA POR EL MUNICIPIO, PORQUE NO SE ESTA REALIZANDO UNA BUSQUEDA EXHAUSTIVA; ADEMÁS, DE QUE ES SABIDO POR LA CIUDADANIA DE TENANCINGO QUE ENTRE LA SECRETARIA DEL AYUNTAMIENTO Y EL TIO DE LA PRESIDENTA MUNICIPAL TIENEN UNA RELACION DE </w:t>
      </w:r>
      <w:r w:rsidDel="00000000" w:rsidR="00000000" w:rsidRPr="00000000">
        <w:rPr>
          <w:rFonts w:ascii="Palatino Linotype" w:cs="Palatino Linotype" w:eastAsia="Palatino Linotype" w:hAnsi="Palatino Linotype"/>
          <w:b w:val="1"/>
          <w:i w:val="1"/>
          <w:sz w:val="22"/>
          <w:szCs w:val="22"/>
          <w:rtl w:val="0"/>
        </w:rPr>
        <w:t xml:space="preserve">CONCUBINATO</w:t>
      </w:r>
      <w:r w:rsidDel="00000000" w:rsidR="00000000" w:rsidRPr="00000000">
        <w:rPr>
          <w:rFonts w:ascii="Palatino Linotype" w:cs="Palatino Linotype" w:eastAsia="Palatino Linotype" w:hAnsi="Palatino Linotype"/>
          <w:i w:val="1"/>
          <w:sz w:val="22"/>
          <w:szCs w:val="22"/>
          <w:rtl w:val="0"/>
        </w:rPr>
        <w:t xml:space="preserve"> PORQUE VIVEN EN LA MISMA CASA EN SAN PEDRO EJIDO DE TECOMATLAN” (sic)</w:t>
      </w:r>
    </w:p>
    <w:p w:rsidR="00000000" w:rsidDel="00000000" w:rsidP="00000000" w:rsidRDefault="00000000" w:rsidRPr="00000000" w14:paraId="00000012">
      <w:pPr>
        <w:spacing w:line="360" w:lineRule="auto"/>
        <w:jc w:val="both"/>
        <w:rPr>
          <w:rFonts w:ascii="Palatino Linotype" w:cs="Palatino Linotype" w:eastAsia="Palatino Linotype" w:hAnsi="Palatino Linotype"/>
        </w:rPr>
      </w:pPr>
      <w:bookmarkStart w:colFirst="0" w:colLast="0" w:name="_heading=h.30j0zll" w:id="2"/>
      <w:bookmarkEnd w:id="2"/>
      <w:r w:rsidDel="00000000" w:rsidR="00000000" w:rsidRPr="00000000">
        <w:rPr>
          <w:rFonts w:ascii="Palatino Linotype" w:cs="Palatino Linotype" w:eastAsia="Palatino Linotype" w:hAnsi="Palatino Linotype"/>
          <w:b w:val="1"/>
          <w:rtl w:val="0"/>
        </w:rPr>
        <w:t xml:space="preserve">Y, Razones o motivos de inconformidad</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13">
      <w:pPr>
        <w:tabs>
          <w:tab w:val="left" w:leader="none" w:pos="2745"/>
        </w:tabs>
        <w:spacing w:after="240" w:before="240" w:lineRule="auto"/>
        <w:ind w:left="851"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“SE ESTA NEGANDO LA INFORMACIÓN, PARA ENCUBRIR DESDE LA OFICIALIDAD UN CONFLICTO DE INTERESES Y RESPONSABILIDADES DE CARACTER ADMINISTRATIVO Y PENAL” (sic)</w:t>
      </w:r>
    </w:p>
    <w:p w:rsidR="00000000" w:rsidDel="00000000" w:rsidP="00000000" w:rsidRDefault="00000000" w:rsidRPr="00000000" w14:paraId="00000014">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5. Turno. </w:t>
      </w:r>
      <w:r w:rsidDel="00000000" w:rsidR="00000000" w:rsidRPr="00000000">
        <w:rPr>
          <w:rFonts w:ascii="Palatino Linotype" w:cs="Palatino Linotype" w:eastAsia="Palatino Linotype" w:hAnsi="Palatino Linotype"/>
          <w:rtl w:val="0"/>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Del="00000000" w:rsidR="00000000" w:rsidRPr="00000000">
        <w:rPr>
          <w:rFonts w:ascii="Palatino Linotype" w:cs="Palatino Linotype" w:eastAsia="Palatino Linotype" w:hAnsi="Palatino Linotype"/>
          <w:b w:val="1"/>
          <w:rtl w:val="0"/>
        </w:rPr>
        <w:t xml:space="preserve">Guadalupe Ramírez Peña, </w:t>
      </w:r>
      <w:r w:rsidDel="00000000" w:rsidR="00000000" w:rsidRPr="00000000">
        <w:rPr>
          <w:rFonts w:ascii="Palatino Linotype" w:cs="Palatino Linotype" w:eastAsia="Palatino Linotype" w:hAnsi="Palatino Linotype"/>
          <w:rtl w:val="0"/>
        </w:rPr>
        <w:t xml:space="preserve">a efecto de que analizara sobre su admisión o su desechamiento.</w:t>
      </w:r>
    </w:p>
    <w:p w:rsidR="00000000" w:rsidDel="00000000" w:rsidP="00000000" w:rsidRDefault="00000000" w:rsidRPr="00000000" w14:paraId="00000015">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6. Admisión del Recurso de revisión.</w:t>
      </w:r>
      <w:r w:rsidDel="00000000" w:rsidR="00000000" w:rsidRPr="00000000">
        <w:rPr>
          <w:rFonts w:ascii="Palatino Linotype" w:cs="Palatino Linotype" w:eastAsia="Palatino Linotype" w:hAnsi="Palatino Linotype"/>
          <w:rtl w:val="0"/>
        </w:rPr>
        <w:t xml:space="preserve"> El</w:t>
      </w:r>
      <w:r w:rsidDel="00000000" w:rsidR="00000000" w:rsidRPr="00000000">
        <w:rPr>
          <w:rFonts w:ascii="Palatino Linotype" w:cs="Palatino Linotype" w:eastAsia="Palatino Linotype" w:hAnsi="Palatino Linotype"/>
          <w:b w:val="1"/>
          <w:rtl w:val="0"/>
        </w:rPr>
        <w:t xml:space="preserve"> trece de febrero de dos mil veinticinco, </w:t>
      </w:r>
      <w:r w:rsidDel="00000000" w:rsidR="00000000" w:rsidRPr="00000000">
        <w:rPr>
          <w:rFonts w:ascii="Palatino Linotype" w:cs="Palatino Linotype" w:eastAsia="Palatino Linotype" w:hAnsi="Palatino Linotype"/>
          <w:rtl w:val="0"/>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presentara su informe justificado.</w:t>
      </w:r>
    </w:p>
    <w:p w:rsidR="00000000" w:rsidDel="00000000" w:rsidP="00000000" w:rsidRDefault="00000000" w:rsidRPr="00000000" w14:paraId="00000016">
      <w:pPr>
        <w:spacing w:after="240" w:before="240" w:line="360" w:lineRule="auto"/>
        <w:ind w:right="49"/>
        <w:jc w:val="both"/>
        <w:rPr>
          <w:rFonts w:ascii="Palatino Linotype" w:cs="Palatino Linotype" w:eastAsia="Palatino Linotype" w:hAnsi="Palatino Linotype"/>
        </w:rPr>
      </w:pPr>
      <w:bookmarkStart w:colFirst="0" w:colLast="0" w:name="_heading=h.2s8eyo1" w:id="3"/>
      <w:bookmarkEnd w:id="3"/>
      <w:r w:rsidDel="00000000" w:rsidR="00000000" w:rsidRPr="00000000">
        <w:rPr>
          <w:rFonts w:ascii="Palatino Linotype" w:cs="Palatino Linotype" w:eastAsia="Palatino Linotype" w:hAnsi="Palatino Linotype"/>
          <w:b w:val="1"/>
          <w:rtl w:val="0"/>
        </w:rPr>
        <w:t xml:space="preserve">7. Manifestaciones</w:t>
      </w:r>
      <w:r w:rsidDel="00000000" w:rsidR="00000000" w:rsidRPr="00000000">
        <w:rPr>
          <w:rFonts w:ascii="Palatino Linotype" w:cs="Palatino Linotype" w:eastAsia="Palatino Linotype" w:hAnsi="Palatino Linotype"/>
          <w:rtl w:val="0"/>
        </w:rPr>
        <w:t xml:space="preserve">. El </w:t>
      </w:r>
      <w:r w:rsidDel="00000000" w:rsidR="00000000" w:rsidRPr="00000000">
        <w:rPr>
          <w:rFonts w:ascii="Palatino Linotype" w:cs="Palatino Linotype" w:eastAsia="Palatino Linotype" w:hAnsi="Palatino Linotype"/>
          <w:b w:val="1"/>
          <w:rtl w:val="0"/>
        </w:rPr>
        <w:t xml:space="preserve">veinticuatro de febrero de dos mil veinticinco, </w:t>
      </w: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remitió, a través de SAIMEX, lo siguiente:</w:t>
      </w:r>
    </w:p>
    <w:p w:rsidR="00000000" w:rsidDel="00000000" w:rsidP="00000000" w:rsidRDefault="00000000" w:rsidRPr="00000000" w14:paraId="00000017">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Oficio número MTM058/DAERH00/00422//2025, del veinticuatro de febrero de dos mil veinticinco, mediante el cual el Coordinador de Recursos Humanos ratificó en lo sustancial la respuesta emitida en primera instancia, precisando que si la información no se presentó conforme al interés del solicitante es porque corresponde a una consulta y no a una solicitud de acceso a información pública que pueda ser atendida mediante una expresión documental, ya que corresponde a una interrogante que implicarían elaborar un documento ad hoc, por lo que en acto solicitó a este Organismo Garante confirmar la respuesta emitida.</w:t>
      </w:r>
    </w:p>
    <w:p w:rsidR="00000000" w:rsidDel="00000000" w:rsidP="00000000" w:rsidRDefault="00000000" w:rsidRPr="00000000" w14:paraId="00000018">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Una vez analizado el documento referido, se determinó hacerlos de conocimiento de la parte </w:t>
      </w:r>
      <w:r w:rsidDel="00000000" w:rsidR="00000000" w:rsidRPr="00000000">
        <w:rPr>
          <w:rFonts w:ascii="Palatino Linotype" w:cs="Palatino Linotype" w:eastAsia="Palatino Linotype" w:hAnsi="Palatino Linotype"/>
          <w:b w:val="1"/>
          <w:rtl w:val="0"/>
        </w:rPr>
        <w:t xml:space="preserve">Recurrente </w:t>
      </w:r>
      <w:r w:rsidDel="00000000" w:rsidR="00000000" w:rsidRPr="00000000">
        <w:rPr>
          <w:rFonts w:ascii="Palatino Linotype" w:cs="Palatino Linotype" w:eastAsia="Palatino Linotype" w:hAnsi="Palatino Linotype"/>
          <w:rtl w:val="0"/>
        </w:rPr>
        <w:t xml:space="preserve">con la finalidad de que manifestara lo que a su derecho estimara conveniente, sin embargo, fue omisa en ejercer dicha prerrogativa.</w:t>
      </w:r>
    </w:p>
    <w:p w:rsidR="00000000" w:rsidDel="00000000" w:rsidP="00000000" w:rsidRDefault="00000000" w:rsidRPr="00000000" w14:paraId="00000019">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8. Cierre de instrucción. </w:t>
      </w:r>
      <w:r w:rsidDel="00000000" w:rsidR="00000000" w:rsidRPr="00000000">
        <w:rPr>
          <w:rFonts w:ascii="Palatino Linotype" w:cs="Palatino Linotype" w:eastAsia="Palatino Linotype" w:hAnsi="Palatino Linotype"/>
          <w:rtl w:val="0"/>
        </w:rPr>
        <w:t xml:space="preserve">Una vez transcurrido el periodo otorgado a las partes para realizar sus manifestaciones y no habiendo documentos que integrar al expediente, el </w:t>
      </w:r>
      <w:r w:rsidDel="00000000" w:rsidR="00000000" w:rsidRPr="00000000">
        <w:rPr>
          <w:rFonts w:ascii="Palatino Linotype" w:cs="Palatino Linotype" w:eastAsia="Palatino Linotype" w:hAnsi="Palatino Linotype"/>
          <w:b w:val="1"/>
          <w:rtl w:val="0"/>
        </w:rPr>
        <w:t xml:space="preserve">cuatro de marzo de dos mil veinticinco</w:t>
      </w:r>
      <w:r w:rsidDel="00000000" w:rsidR="00000000" w:rsidRPr="00000000">
        <w:rPr>
          <w:rFonts w:ascii="Palatino Linotype" w:cs="Palatino Linotype" w:eastAsia="Palatino Linotype" w:hAnsi="Palatino Linotype"/>
          <w:rtl w:val="0"/>
        </w:rPr>
        <w:t xml:space="preserve">, la Comisionada Ponente determinó el cierre de instrucción en términos de la fracción VI del artículo 185 de la Ley de Transparencia y Acceso a la Información Pública del Estado de México y Municipios</w:t>
      </w:r>
    </w:p>
    <w:p w:rsidR="00000000" w:rsidDel="00000000" w:rsidP="00000000" w:rsidRDefault="00000000" w:rsidRPr="00000000" w14:paraId="0000001A">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razón de que fue debidamente sustanciado el expediente electrónico y no existe diligencia pendiente de desahogo, se emite la Resolución que conforme a Derecho proceda, de acuerdo con los siguientes: </w:t>
      </w:r>
    </w:p>
    <w:p w:rsidR="00000000" w:rsidDel="00000000" w:rsidP="00000000" w:rsidRDefault="00000000" w:rsidRPr="00000000" w14:paraId="0000001B">
      <w:pPr>
        <w:widowControl w:val="0"/>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 C O N S I D E R A N D O S</w:t>
      </w:r>
    </w:p>
    <w:p w:rsidR="00000000" w:rsidDel="00000000" w:rsidP="00000000" w:rsidRDefault="00000000" w:rsidRPr="00000000" w14:paraId="0000001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Primero. Competencia.</w:t>
      </w:r>
      <w:r w:rsidDel="00000000" w:rsidR="00000000" w:rsidRPr="00000000">
        <w:rPr>
          <w:rFonts w:ascii="Palatino Linotype" w:cs="Palatino Linotype" w:eastAsia="Palatino Linotype" w:hAnsi="Palatino Linotype"/>
          <w:rtl w:val="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1D">
      <w:pPr>
        <w:spacing w:after="240" w:before="240" w:line="360" w:lineRule="auto"/>
        <w:jc w:val="both"/>
        <w:rPr>
          <w:rFonts w:ascii="Palatino Linotype" w:cs="Palatino Linotype" w:eastAsia="Palatino Linotype" w:hAnsi="Palatino Linotype"/>
        </w:rPr>
      </w:pPr>
      <w:bookmarkStart w:colFirst="0" w:colLast="0" w:name="_heading=h.tyjcwt" w:id="4"/>
      <w:bookmarkEnd w:id="4"/>
      <w:r w:rsidDel="00000000" w:rsidR="00000000" w:rsidRPr="00000000">
        <w:rPr>
          <w:rFonts w:ascii="Palatino Linotype" w:cs="Palatino Linotype" w:eastAsia="Palatino Linotype" w:hAnsi="Palatino Linotype"/>
          <w:b w:val="1"/>
          <w:rtl w:val="0"/>
        </w:rPr>
        <w:t xml:space="preserve">Segundo. Oportunidad y Procedibilidad del Recurso de Revisión</w:t>
      </w:r>
      <w:r w:rsidDel="00000000" w:rsidR="00000000" w:rsidRPr="00000000">
        <w:rPr>
          <w:rFonts w:ascii="Palatino Linotype" w:cs="Palatino Linotype" w:eastAsia="Palatino Linotype" w:hAnsi="Palatino Linotype"/>
          <w:rtl w:val="0"/>
        </w:rPr>
        <w:t xml:space="preserve">.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rsidR="00000000" w:rsidDel="00000000" w:rsidP="00000000" w:rsidRDefault="00000000" w:rsidRPr="00000000" w14:paraId="0000001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recurso de revisión fue interpuesto dentro del plazo de quince días hábiles, previsto en el artículo 178 de la Ley de Transparencia y Acceso a la Información Pública del Estado de México y Municipios, toda vez que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remitió la respuesta a la solicitud de información el día </w:t>
      </w:r>
      <w:r w:rsidDel="00000000" w:rsidR="00000000" w:rsidRPr="00000000">
        <w:rPr>
          <w:rFonts w:ascii="Palatino Linotype" w:cs="Palatino Linotype" w:eastAsia="Palatino Linotype" w:hAnsi="Palatino Linotype"/>
          <w:b w:val="1"/>
          <w:rtl w:val="0"/>
        </w:rPr>
        <w:t xml:space="preserve">seis de febrero de dos mil veinticinco, </w:t>
      </w:r>
      <w:r w:rsidDel="00000000" w:rsidR="00000000" w:rsidRPr="00000000">
        <w:rPr>
          <w:rFonts w:ascii="Palatino Linotype" w:cs="Palatino Linotype" w:eastAsia="Palatino Linotype" w:hAnsi="Palatino Linotype"/>
          <w:rtl w:val="0"/>
        </w:rPr>
        <w:t xml:space="preserve">mientras que el recurso de revisión interpuesto por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se tuvo por presentado el día </w:t>
      </w:r>
      <w:r w:rsidDel="00000000" w:rsidR="00000000" w:rsidRPr="00000000">
        <w:rPr>
          <w:rFonts w:ascii="Palatino Linotype" w:cs="Palatino Linotype" w:eastAsia="Palatino Linotype" w:hAnsi="Palatino Linotype"/>
          <w:b w:val="1"/>
          <w:rtl w:val="0"/>
        </w:rPr>
        <w:t xml:space="preserve">diez de febrero de dos mil veinticinco</w:t>
      </w:r>
      <w:r w:rsidDel="00000000" w:rsidR="00000000" w:rsidRPr="00000000">
        <w:rPr>
          <w:rFonts w:ascii="Palatino Linotype" w:cs="Palatino Linotype" w:eastAsia="Palatino Linotype" w:hAnsi="Palatino Linotype"/>
          <w:rtl w:val="0"/>
        </w:rPr>
        <w:t xml:space="preserve">, esto es al segundo día hábil en que tuvo conocimiento de la respuesta impugnada. En este sentido, se concluye que el presente recurso de revisión se encuentra dentro de los márgenes temporales previstos en las disposiciones legales referidas.</w:t>
      </w:r>
    </w:p>
    <w:p w:rsidR="00000000" w:rsidDel="00000000" w:rsidP="00000000" w:rsidRDefault="00000000" w:rsidRPr="00000000" w14:paraId="0000001F">
      <w:pPr>
        <w:spacing w:after="240" w:before="240" w:line="360" w:lineRule="auto"/>
        <w:jc w:val="both"/>
        <w:rPr>
          <w:rFonts w:ascii="Palatino Linotype" w:cs="Palatino Linotype" w:eastAsia="Palatino Linotype" w:hAnsi="Palatino Linotype"/>
        </w:rPr>
      </w:pPr>
      <w:bookmarkStart w:colFirst="0" w:colLast="0" w:name="_heading=h.3znysh7" w:id="5"/>
      <w:bookmarkEnd w:id="5"/>
      <w:r w:rsidDel="00000000" w:rsidR="00000000" w:rsidRPr="00000000">
        <w:rPr>
          <w:rFonts w:ascii="Palatino Linotype" w:cs="Palatino Linotype" w:eastAsia="Palatino Linotype" w:hAnsi="Palatino Linotype"/>
          <w:rtl w:val="0"/>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rsidR="00000000" w:rsidDel="00000000" w:rsidP="00000000" w:rsidRDefault="00000000" w:rsidRPr="00000000" w14:paraId="0000002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efecto de sustentar lo anterior, es de suma importancia mencionar que si bien la persona solicitante</w:t>
      </w:r>
      <w:r w:rsidDel="00000000" w:rsidR="00000000" w:rsidRPr="00000000">
        <w:rPr>
          <w:rFonts w:ascii="Palatino Linotype" w:cs="Palatino Linotype" w:eastAsia="Palatino Linotype" w:hAnsi="Palatino Linotype"/>
          <w:b w:val="1"/>
          <w:rtl w:val="0"/>
        </w:rPr>
        <w:t xml:space="preserve"> proporcionó un seudónimo, </w:t>
      </w:r>
      <w:r w:rsidDel="00000000" w:rsidR="00000000" w:rsidRPr="00000000">
        <w:rPr>
          <w:rFonts w:ascii="Palatino Linotype" w:cs="Palatino Linotype" w:eastAsia="Palatino Linotype" w:hAnsi="Palatino Linotype"/>
          <w:rtl w:val="0"/>
        </w:rPr>
        <w:t xml:space="preserve">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000000" w:rsidDel="00000000" w:rsidP="00000000" w:rsidRDefault="00000000" w:rsidRPr="00000000" w14:paraId="00000021">
      <w:pPr>
        <w:spacing w:after="120" w:before="120" w:lineRule="auto"/>
        <w:ind w:left="851" w:right="902" w:firstLine="0"/>
        <w:jc w:val="both"/>
        <w:rPr>
          <w:rFonts w:ascii="Palatino Linotype" w:cs="Palatino Linotype" w:eastAsia="Palatino Linotype" w:hAnsi="Palatino Linotype"/>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Las solicitudes anónimas</w:t>
      </w:r>
      <w:r w:rsidDel="00000000" w:rsidR="00000000" w:rsidRPr="00000000">
        <w:rPr>
          <w:rFonts w:ascii="Palatino Linotype" w:cs="Palatino Linotype" w:eastAsia="Palatino Linotype" w:hAnsi="Palatino Linotype"/>
          <w:i w:val="1"/>
          <w:sz w:val="22"/>
          <w:szCs w:val="22"/>
          <w:rtl w:val="0"/>
        </w:rPr>
        <w:t xml:space="preserve">, con nombre incompleto o seudónimo </w:t>
      </w:r>
      <w:r w:rsidDel="00000000" w:rsidR="00000000" w:rsidRPr="00000000">
        <w:rPr>
          <w:rFonts w:ascii="Palatino Linotype" w:cs="Palatino Linotype" w:eastAsia="Palatino Linotype" w:hAnsi="Palatino Linotype"/>
          <w:b w:val="1"/>
          <w:i w:val="1"/>
          <w:sz w:val="22"/>
          <w:szCs w:val="22"/>
          <w:rtl w:val="0"/>
        </w:rPr>
        <w:t xml:space="preserve">serán procedentes para su trámite por parte del sujeto obligado ante quien se presente</w:t>
      </w:r>
      <w:r w:rsidDel="00000000" w:rsidR="00000000" w:rsidRPr="00000000">
        <w:rPr>
          <w:rFonts w:ascii="Palatino Linotype" w:cs="Palatino Linotype" w:eastAsia="Palatino Linotype" w:hAnsi="Palatino Linotype"/>
          <w:i w:val="1"/>
          <w:sz w:val="22"/>
          <w:szCs w:val="22"/>
          <w:rtl w:val="0"/>
        </w:rPr>
        <w:t xml:space="preserve">. No podrá requerirse información adicional con motivo del nombre proporcionado por el solicitante."</w:t>
      </w:r>
      <w:r w:rsidDel="00000000" w:rsidR="00000000" w:rsidRPr="00000000">
        <w:rPr>
          <w:rtl w:val="0"/>
        </w:rPr>
      </w:r>
    </w:p>
    <w:p w:rsidR="00000000" w:rsidDel="00000000" w:rsidP="00000000" w:rsidRDefault="00000000" w:rsidRPr="00000000" w14:paraId="0000002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por lo que, en el presente caso, al haber sido presentado el recurso de revisión vía SAIMEX, dicho requisito resulta innecesario.</w:t>
      </w:r>
    </w:p>
    <w:p w:rsidR="00000000" w:rsidDel="00000000" w:rsidP="00000000" w:rsidRDefault="00000000" w:rsidRPr="00000000" w14:paraId="00000023">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Finalmente, se advierte que resulta procedente la interposición del recurso, según lo manifestado por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en sus motivos de inconformidad, de acuerdo al artículo 179, fracción I del ordenamiento legal citado, que a la letra dice: </w:t>
      </w:r>
    </w:p>
    <w:p w:rsidR="00000000" w:rsidDel="00000000" w:rsidP="00000000" w:rsidRDefault="00000000" w:rsidRPr="00000000" w14:paraId="00000024">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179.</w:t>
      </w:r>
      <w:r w:rsidDel="00000000" w:rsidR="00000000" w:rsidRPr="00000000">
        <w:rPr>
          <w:rFonts w:ascii="Palatino Linotype" w:cs="Palatino Linotype" w:eastAsia="Palatino Linotype" w:hAnsi="Palatino Linotype"/>
          <w:i w:val="1"/>
          <w:sz w:val="22"/>
          <w:szCs w:val="22"/>
          <w:rtl w:val="0"/>
        </w:rPr>
        <w:t xml:space="preserve"> El recurso de revisión es un medio de protección que la Ley otorga a los particulares, para hacer valer su derecho de acceso a la información pública, y procederá en contra de las siguientes causas:</w:t>
      </w:r>
    </w:p>
    <w:p w:rsidR="00000000" w:rsidDel="00000000" w:rsidP="00000000" w:rsidRDefault="00000000" w:rsidRPr="00000000" w14:paraId="00000025">
      <w:pPr>
        <w:spacing w:after="120" w:before="120" w:lineRule="auto"/>
        <w:ind w:left="1134" w:right="900"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w:t>
      </w:r>
    </w:p>
    <w:p w:rsidR="00000000" w:rsidDel="00000000" w:rsidP="00000000" w:rsidRDefault="00000000" w:rsidRPr="00000000" w14:paraId="00000026">
      <w:pPr>
        <w:spacing w:after="120" w:before="120" w:lineRule="auto"/>
        <w:ind w:left="1134" w:right="90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 </w:t>
      </w:r>
      <w:r w:rsidDel="00000000" w:rsidR="00000000" w:rsidRPr="00000000">
        <w:rPr>
          <w:rFonts w:ascii="Palatino Linotype" w:cs="Palatino Linotype" w:eastAsia="Palatino Linotype" w:hAnsi="Palatino Linotype"/>
          <w:i w:val="1"/>
          <w:sz w:val="22"/>
          <w:szCs w:val="22"/>
          <w:rtl w:val="0"/>
        </w:rPr>
        <w:t xml:space="preserve">La negativa a la información solicitada;”</w:t>
      </w:r>
    </w:p>
    <w:p w:rsidR="00000000" w:rsidDel="00000000" w:rsidP="00000000" w:rsidRDefault="00000000" w:rsidRPr="00000000" w14:paraId="00000027">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Tercero. Análisis de las causales de sobreseimiento del recurso de revisión. </w:t>
      </w:r>
      <w:r w:rsidDel="00000000" w:rsidR="00000000" w:rsidRPr="00000000">
        <w:rPr>
          <w:rFonts w:ascii="Palatino Linotype" w:cs="Palatino Linotype" w:eastAsia="Palatino Linotype" w:hAnsi="Palatino Linotype"/>
          <w:rtl w:val="0"/>
        </w:rPr>
        <w:t xml:space="preserve">Previo al análisis de las actuaciones que integran el expediente en el Sistema de Acceso a la Información Mexiquense, en importante primeramente enfatizar que el Derecho de Acceso a la Información Pública consiste en que la </w:t>
      </w:r>
      <w:r w:rsidDel="00000000" w:rsidR="00000000" w:rsidRPr="00000000">
        <w:rPr>
          <w:rFonts w:ascii="Palatino Linotype" w:cs="Palatino Linotype" w:eastAsia="Palatino Linotype" w:hAnsi="Palatino Linotype"/>
          <w:b w:val="1"/>
          <w:u w:val="single"/>
          <w:rtl w:val="0"/>
        </w:rPr>
        <w:t xml:space="preserve">información solicitada conste en un soporte documental</w:t>
      </w:r>
      <w:r w:rsidDel="00000000" w:rsidR="00000000" w:rsidRPr="00000000">
        <w:rPr>
          <w:rFonts w:ascii="Palatino Linotype" w:cs="Palatino Linotype" w:eastAsia="Palatino Linotype" w:hAnsi="Palatino Linotype"/>
          <w:rtl w:val="0"/>
        </w:rPr>
        <w:t xml:space="preserve">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000000" w:rsidDel="00000000" w:rsidP="00000000" w:rsidRDefault="00000000" w:rsidRPr="00000000" w14:paraId="00000028">
      <w:pPr>
        <w:ind w:left="851" w:right="901" w:firstLine="0"/>
        <w:jc w:val="both"/>
        <w:rPr>
          <w:rFonts w:ascii="Palatino Linotype" w:cs="Palatino Linotype" w:eastAsia="Palatino Linotype" w:hAnsi="Palatino Linotype"/>
          <w:i w:val="1"/>
          <w:sz w:val="22"/>
          <w:szCs w:val="22"/>
        </w:rPr>
      </w:pPr>
      <w:r w:rsidDel="00000000" w:rsidR="00000000" w:rsidRPr="00000000">
        <w:rPr>
          <w:rtl w:val="0"/>
        </w:rPr>
      </w:r>
    </w:p>
    <w:p w:rsidR="00000000" w:rsidDel="00000000" w:rsidP="00000000" w:rsidRDefault="00000000" w:rsidRPr="00000000" w14:paraId="00000029">
      <w:pPr>
        <w:ind w:left="851" w:right="901"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3. </w:t>
      </w:r>
      <w:r w:rsidDel="00000000" w:rsidR="00000000" w:rsidRPr="00000000">
        <w:rPr>
          <w:rFonts w:ascii="Palatino Linotype" w:cs="Palatino Linotype" w:eastAsia="Palatino Linotype" w:hAnsi="Palatino Linotype"/>
          <w:i w:val="1"/>
          <w:sz w:val="22"/>
          <w:szCs w:val="22"/>
          <w:rtl w:val="0"/>
        </w:rPr>
        <w:t xml:space="preserve">Para los efectos de la presente Ley se entenderá por:</w:t>
      </w:r>
    </w:p>
    <w:p w:rsidR="00000000" w:rsidDel="00000000" w:rsidP="00000000" w:rsidRDefault="00000000" w:rsidRPr="00000000" w14:paraId="0000002A">
      <w:pPr>
        <w:ind w:left="1134"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2B">
      <w:pPr>
        <w:ind w:left="1134" w:right="901"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XI. Documento:</w:t>
      </w:r>
      <w:r w:rsidDel="00000000" w:rsidR="00000000" w:rsidRPr="00000000">
        <w:rPr>
          <w:rFonts w:ascii="Palatino Linotype" w:cs="Palatino Linotype" w:eastAsia="Palatino Linotype" w:hAnsi="Palatino Linotype"/>
          <w:i w:val="1"/>
          <w:sz w:val="22"/>
          <w:szCs w:val="22"/>
          <w:rtl w:val="0"/>
        </w:rPr>
        <w:t xml:space="preserve"> Los expedientes, reportes, estudios, actas, resoluciones,</w:t>
      </w:r>
      <w:r w:rsidDel="00000000" w:rsidR="00000000" w:rsidRPr="00000000">
        <w:rPr>
          <w:rFonts w:ascii="Palatino Linotype" w:cs="Palatino Linotype" w:eastAsia="Palatino Linotype" w:hAnsi="Palatino Linotype"/>
          <w:b w:val="1"/>
          <w:i w:val="1"/>
          <w:sz w:val="22"/>
          <w:szCs w:val="22"/>
          <w:rtl w:val="0"/>
        </w:rPr>
        <w:t xml:space="preserve"> </w:t>
      </w:r>
      <w:r w:rsidDel="00000000" w:rsidR="00000000" w:rsidRPr="00000000">
        <w:rPr>
          <w:rFonts w:ascii="Palatino Linotype" w:cs="Palatino Linotype" w:eastAsia="Palatino Linotype" w:hAnsi="Palatino Linotype"/>
          <w:i w:val="1"/>
          <w:sz w:val="22"/>
          <w:szCs w:val="22"/>
          <w:rtl w:val="0"/>
        </w:rPr>
        <w:t xml:space="preserve">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Del="00000000" w:rsidR="00000000" w:rsidRPr="00000000">
        <w:rPr>
          <w:rFonts w:ascii="Palatino Linotype" w:cs="Palatino Linotype" w:eastAsia="Palatino Linotype" w:hAnsi="Palatino Linotype"/>
          <w:b w:val="1"/>
          <w:i w:val="1"/>
          <w:sz w:val="22"/>
          <w:szCs w:val="22"/>
          <w:rtl w:val="0"/>
        </w:rPr>
        <w:t xml:space="preserve">…</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2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000000" w:rsidDel="00000000" w:rsidP="00000000" w:rsidRDefault="00000000" w:rsidRPr="00000000" w14:paraId="0000002D">
      <w:pPr>
        <w:spacing w:after="120" w:before="120" w:lineRule="auto"/>
        <w:ind w:left="851" w:right="901"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sz w:val="22"/>
          <w:szCs w:val="22"/>
          <w:rtl w:val="0"/>
        </w:rPr>
        <w:t xml:space="preserve">“</w:t>
      </w:r>
      <w:r w:rsidDel="00000000" w:rsidR="00000000" w:rsidRPr="00000000">
        <w:rPr>
          <w:rFonts w:ascii="Palatino Linotype" w:cs="Palatino Linotype" w:eastAsia="Palatino Linotype" w:hAnsi="Palatino Linotype"/>
          <w:b w:val="1"/>
          <w:i w:val="1"/>
          <w:sz w:val="22"/>
          <w:szCs w:val="22"/>
          <w:u w:val="single"/>
          <w:rtl w:val="0"/>
        </w:rPr>
        <w:t xml:space="preserve">INFORMACIÓN PÚBLICA, CONCEPTO DE, EN MATERIA DE TRANSPARENCIA. INTERPRETACIÓN SISTEMÁTICA DE LOS ARTÍCULOS 2°, FRACCIÓN V, XV, Y XVI, 3°, 4°, 11 Y 41.</w:t>
      </w:r>
      <w:r w:rsidDel="00000000" w:rsidR="00000000" w:rsidRPr="00000000">
        <w:rPr>
          <w:rFonts w:ascii="Palatino Linotype" w:cs="Palatino Linotype" w:eastAsia="Palatino Linotype" w:hAnsi="Palatino Linotype"/>
          <w:i w:val="1"/>
          <w:sz w:val="22"/>
          <w:szCs w:val="22"/>
          <w:rtl w:val="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000000" w:rsidDel="00000000" w:rsidP="00000000" w:rsidRDefault="00000000" w:rsidRPr="00000000" w14:paraId="0000002E">
      <w:pPr>
        <w:spacing w:after="120" w:before="120" w:lineRule="auto"/>
        <w:ind w:left="851" w:right="850"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En consecuencia el acceso a la información se refiere a que se cumplan cualquiera de los siguientes tres supuestos:</w:t>
      </w:r>
    </w:p>
    <w:p w:rsidR="00000000" w:rsidDel="00000000" w:rsidP="00000000" w:rsidRDefault="00000000" w:rsidRPr="00000000" w14:paraId="0000002F">
      <w:pPr>
        <w:spacing w:after="120" w:before="120" w:lineRule="auto"/>
        <w:ind w:left="1134" w:right="901"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1) Que se trate de información </w:t>
      </w:r>
      <w:r w:rsidDel="00000000" w:rsidR="00000000" w:rsidRPr="00000000">
        <w:rPr>
          <w:rFonts w:ascii="Palatino Linotype" w:cs="Palatino Linotype" w:eastAsia="Palatino Linotype" w:hAnsi="Palatino Linotype"/>
          <w:b w:val="1"/>
          <w:i w:val="1"/>
          <w:sz w:val="22"/>
          <w:szCs w:val="22"/>
          <w:u w:val="single"/>
          <w:rtl w:val="0"/>
        </w:rPr>
        <w:t xml:space="preserve">registrada en cualquier soporte documental</w:t>
      </w:r>
      <w:r w:rsidDel="00000000" w:rsidR="00000000" w:rsidRPr="00000000">
        <w:rPr>
          <w:rFonts w:ascii="Palatino Linotype" w:cs="Palatino Linotype" w:eastAsia="Palatino Linotype" w:hAnsi="Palatino Linotype"/>
          <w:i w:val="1"/>
          <w:sz w:val="22"/>
          <w:szCs w:val="22"/>
          <w:rtl w:val="0"/>
        </w:rPr>
        <w:t xml:space="preserve">, que en ejercicio de las atribuciones conferidas, sea generada por los Sujetos Obligados;</w:t>
      </w:r>
    </w:p>
    <w:p w:rsidR="00000000" w:rsidDel="00000000" w:rsidP="00000000" w:rsidRDefault="00000000" w:rsidRPr="00000000" w14:paraId="00000030">
      <w:pPr>
        <w:spacing w:after="120" w:before="120" w:lineRule="auto"/>
        <w:ind w:left="1134" w:right="901"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2) Que se trate de información </w:t>
      </w:r>
      <w:r w:rsidDel="00000000" w:rsidR="00000000" w:rsidRPr="00000000">
        <w:rPr>
          <w:rFonts w:ascii="Palatino Linotype" w:cs="Palatino Linotype" w:eastAsia="Palatino Linotype" w:hAnsi="Palatino Linotype"/>
          <w:b w:val="1"/>
          <w:i w:val="1"/>
          <w:sz w:val="22"/>
          <w:szCs w:val="22"/>
          <w:u w:val="single"/>
          <w:rtl w:val="0"/>
        </w:rPr>
        <w:t xml:space="preserve">registrada en cualquier soporte documental</w:t>
      </w:r>
      <w:r w:rsidDel="00000000" w:rsidR="00000000" w:rsidRPr="00000000">
        <w:rPr>
          <w:rFonts w:ascii="Palatino Linotype" w:cs="Palatino Linotype" w:eastAsia="Palatino Linotype" w:hAnsi="Palatino Linotype"/>
          <w:i w:val="1"/>
          <w:sz w:val="22"/>
          <w:szCs w:val="22"/>
          <w:rtl w:val="0"/>
        </w:rPr>
        <w:t xml:space="preserve">, que en ejercicio de las atribuciones conferidas, sea administrada por los Sujetos Obligados, y</w:t>
      </w:r>
    </w:p>
    <w:p w:rsidR="00000000" w:rsidDel="00000000" w:rsidP="00000000" w:rsidRDefault="00000000" w:rsidRPr="00000000" w14:paraId="00000031">
      <w:pPr>
        <w:spacing w:after="120" w:before="120" w:lineRule="auto"/>
        <w:ind w:left="1134" w:right="901"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3) Que se trate de información </w:t>
      </w:r>
      <w:r w:rsidDel="00000000" w:rsidR="00000000" w:rsidRPr="00000000">
        <w:rPr>
          <w:rFonts w:ascii="Palatino Linotype" w:cs="Palatino Linotype" w:eastAsia="Palatino Linotype" w:hAnsi="Palatino Linotype"/>
          <w:b w:val="1"/>
          <w:i w:val="1"/>
          <w:sz w:val="22"/>
          <w:szCs w:val="22"/>
          <w:u w:val="single"/>
          <w:rtl w:val="0"/>
        </w:rPr>
        <w:t xml:space="preserve">registrada en cualquier soporte documental</w:t>
      </w:r>
      <w:r w:rsidDel="00000000" w:rsidR="00000000" w:rsidRPr="00000000">
        <w:rPr>
          <w:rFonts w:ascii="Palatino Linotype" w:cs="Palatino Linotype" w:eastAsia="Palatino Linotype" w:hAnsi="Palatino Linotype"/>
          <w:i w:val="1"/>
          <w:sz w:val="22"/>
          <w:szCs w:val="22"/>
          <w:rtl w:val="0"/>
        </w:rPr>
        <w:t xml:space="preserve">, que en ejercicio de las atribuciones conferidas, se encuentre en posesión de los Sujetos Obligados.” (Sic)</w:t>
      </w:r>
    </w:p>
    <w:p w:rsidR="00000000" w:rsidDel="00000000" w:rsidP="00000000" w:rsidRDefault="00000000" w:rsidRPr="00000000" w14:paraId="0000003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 anterior encuentra sustento en el artículo 4 de la Ley de Transparencia y Acceso a la Información Pública del Estado de México y Municipios, que dispone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rsidR="00000000" w:rsidDel="00000000" w:rsidP="00000000" w:rsidRDefault="00000000" w:rsidRPr="00000000" w14:paraId="00000033">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4</w:t>
      </w:r>
      <w:r w:rsidDel="00000000" w:rsidR="00000000" w:rsidRPr="00000000">
        <w:rPr>
          <w:rFonts w:ascii="Palatino Linotype" w:cs="Palatino Linotype" w:eastAsia="Palatino Linotype" w:hAnsi="Palatino Linotype"/>
          <w:i w:val="1"/>
          <w:sz w:val="22"/>
          <w:szCs w:val="22"/>
          <w:rtl w:val="0"/>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000000" w:rsidDel="00000000" w:rsidP="00000000" w:rsidRDefault="00000000" w:rsidRPr="00000000" w14:paraId="00000034">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Toda la información generada, obtenida, adquirida, transformada, administrada o en posesión de los sujetos obligados es pública y accesible de manera permanente a cualquier persona</w:t>
      </w:r>
      <w:r w:rsidDel="00000000" w:rsidR="00000000" w:rsidRPr="00000000">
        <w:rPr>
          <w:rFonts w:ascii="Palatino Linotype" w:cs="Palatino Linotype" w:eastAsia="Palatino Linotype" w:hAnsi="Palatino Linotype"/>
          <w:i w:val="1"/>
          <w:sz w:val="22"/>
          <w:szCs w:val="22"/>
          <w:rtl w:val="0"/>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000000" w:rsidDel="00000000" w:rsidP="00000000" w:rsidRDefault="00000000" w:rsidRPr="00000000" w14:paraId="00000035">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Los sujetos obligados deben poner en práctica, políticas y programas de acceso a la información que se apeguen a criterios de publicidad, veracidad, oportunidad, precisión y suficiencia en beneficio de los solicitantes</w:t>
      </w:r>
      <w:r w:rsidDel="00000000" w:rsidR="00000000" w:rsidRPr="00000000">
        <w:rPr>
          <w:rFonts w:ascii="Palatino Linotype" w:cs="Palatino Linotype" w:eastAsia="Palatino Linotype" w:hAnsi="Palatino Linotype"/>
          <w:i w:val="1"/>
          <w:sz w:val="22"/>
          <w:szCs w:val="22"/>
          <w:rtl w:val="0"/>
        </w:rPr>
        <w:t xml:space="preserve">.”(Sic)</w:t>
      </w:r>
    </w:p>
    <w:p w:rsidR="00000000" w:rsidDel="00000000" w:rsidP="00000000" w:rsidRDefault="00000000" w:rsidRPr="00000000" w14:paraId="00000036">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Esto es, que los Sujetos Obligados tiene la obligación o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rsidR="00000000" w:rsidDel="00000000" w:rsidP="00000000" w:rsidRDefault="00000000" w:rsidRPr="00000000" w14:paraId="00000037">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12.-</w:t>
      </w:r>
      <w:r w:rsidDel="00000000" w:rsidR="00000000" w:rsidRPr="00000000">
        <w:rPr>
          <w:rFonts w:ascii="Palatino Linotype" w:cs="Palatino Linotype" w:eastAsia="Palatino Linotype" w:hAnsi="Palatino Linotype"/>
          <w:i w:val="1"/>
          <w:sz w:val="22"/>
          <w:szCs w:val="22"/>
          <w:rtl w:val="0"/>
        </w:rPr>
        <w:t xml:space="preserve"> Quienes generen, recopilen, administren, manejen, procesen, archiven o conserven información pública serán responsables de la misma en los términos de las disposiciones jurídicas aplicables. </w:t>
      </w:r>
    </w:p>
    <w:p w:rsidR="00000000" w:rsidDel="00000000" w:rsidP="00000000" w:rsidRDefault="00000000" w:rsidRPr="00000000" w14:paraId="00000038">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Los sujetos obligados sólo proporcionarán la información pública que se les requiera y que obre en sus archivos y en el estado en que ésta se encuentre</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La obligación de proporcionar información no comprende el procesamiento de la misma, ni el presentarla conforme al interés del solicitante; no estarán obligados a generarla, resumirla, efectuar cálculos o practicar investigaciones.” (Sic)</w:t>
      </w:r>
      <w:r w:rsidDel="00000000" w:rsidR="00000000" w:rsidRPr="00000000">
        <w:rPr>
          <w:rtl w:val="0"/>
        </w:rPr>
      </w:r>
    </w:p>
    <w:p w:rsidR="00000000" w:rsidDel="00000000" w:rsidP="00000000" w:rsidRDefault="00000000" w:rsidRPr="00000000" w14:paraId="00000039">
      <w:pPr>
        <w:spacing w:after="240" w:before="240" w:line="360" w:lineRule="auto"/>
        <w:ind w:right="-93"/>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rsidR="00000000" w:rsidDel="00000000" w:rsidP="00000000" w:rsidRDefault="00000000" w:rsidRPr="00000000" w14:paraId="0000003A">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Sirve de apoyo a lo anterior, el criterio 03/17, emitido por el Instituto Nacional de Transparencia, Acceso a la Información y Protección de Datos Personales, que, por rubro y texto, dispone lo siguiente:</w:t>
      </w: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3B">
      <w:pPr>
        <w:spacing w:after="120" w:before="120" w:lineRule="auto"/>
        <w:ind w:left="1134"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No existe obligación de elaborar documentos ad hoc para atender las solicitudes de acceso a la información.</w:t>
      </w:r>
      <w:r w:rsidDel="00000000" w:rsidR="00000000" w:rsidRPr="00000000">
        <w:rPr>
          <w:rFonts w:ascii="Palatino Linotype" w:cs="Palatino Linotype" w:eastAsia="Palatino Linotype" w:hAnsi="Palatino Linotype"/>
          <w:i w:val="1"/>
          <w:sz w:val="22"/>
          <w:szCs w:val="22"/>
          <w:rtl w:val="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rsidR="00000000" w:rsidDel="00000000" w:rsidP="00000000" w:rsidRDefault="00000000" w:rsidRPr="00000000" w14:paraId="0000003C">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orden de ideas, del análisis de la solicitud de información, motivo del recurso de revisión que ahora se resuelve, se advierte que la persona solicitante requirió al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le proporcione información que consiste en lo siguiente:</w:t>
      </w:r>
    </w:p>
    <w:p w:rsidR="00000000" w:rsidDel="00000000" w:rsidP="00000000" w:rsidRDefault="00000000" w:rsidRPr="00000000" w14:paraId="0000003D">
      <w:pPr>
        <w:spacing w:after="240" w:before="240" w:line="360" w:lineRule="auto"/>
        <w:ind w:left="42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 Relación de parentesco existente entre la Secretaria del Ayuntamiento y la persona referida en la solicitud.</w:t>
      </w:r>
    </w:p>
    <w:p w:rsidR="00000000" w:rsidDel="00000000" w:rsidP="00000000" w:rsidRDefault="00000000" w:rsidRPr="00000000" w14:paraId="0000003E">
      <w:pPr>
        <w:spacing w:after="240" w:before="240" w:line="360" w:lineRule="auto"/>
        <w:ind w:left="426"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 Saber si se declaró el conflicto de intereses.</w:t>
      </w:r>
    </w:p>
    <w:p w:rsidR="00000000" w:rsidDel="00000000" w:rsidP="00000000" w:rsidRDefault="00000000" w:rsidRPr="00000000" w14:paraId="0000003F">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respuesta,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a través del Coordinador de Recursos Humanos manifestó en lo medular, la imposibilidad para pronunciarse sobre lo solicitado, ya que al tratarse de cuestionamientos no pueden ser atendidos mediante el derecho de acceso a la información pública, el cual le constriñe a entregar los documentos en los que conste la información que sea generada, poseída o administrada en el ejercicio de sus atribuciones, más no a elaborar documentos en donde se expliquen, respondan o atiendan diversos cuestionamientos.</w:t>
      </w:r>
    </w:p>
    <w:p w:rsidR="00000000" w:rsidDel="00000000" w:rsidP="00000000" w:rsidRDefault="00000000" w:rsidRPr="00000000" w14:paraId="0000004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 no estar conforme con dichos argumentos la persona solicitante interpuso el recurso de revisión que nos ocupa, en el cual señaló como motivo de inconformidad que se le negó la información.</w:t>
      </w:r>
    </w:p>
    <w:p w:rsidR="00000000" w:rsidDel="00000000" w:rsidP="00000000" w:rsidRDefault="00000000" w:rsidRPr="00000000" w14:paraId="00000041">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realizó diversos planteamientos subjetivos, tales como “...</w:t>
      </w:r>
      <w:r w:rsidDel="00000000" w:rsidR="00000000" w:rsidRPr="00000000">
        <w:rPr>
          <w:rFonts w:ascii="Palatino Linotype" w:cs="Palatino Linotype" w:eastAsia="Palatino Linotype" w:hAnsi="Palatino Linotype"/>
          <w:i w:val="1"/>
          <w:rtl w:val="0"/>
        </w:rPr>
        <w:t xml:space="preserve">ES SABIDO POR LA CIUDADANIA DE TENANCINGO QUE ENTRE LA SECRETARIA DEL AYUNTAMIENTO Y EL TIO DE LA PRESIDENTA MUNICIPAL TIENEN UNA RELACION...” “...PORQUE VIVEN EN LA MISMA CASA...</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i w:val="1"/>
          <w:rtl w:val="0"/>
        </w:rPr>
        <w:t xml:space="preserve">PARA ENCUBRIR DESDE LA OFICIALIDAD UN CONFLICTO DE INTERESES Y RESPONSABILIDADES...</w:t>
      </w:r>
      <w:r w:rsidDel="00000000" w:rsidR="00000000" w:rsidRPr="00000000">
        <w:rPr>
          <w:rFonts w:ascii="Palatino Linotype" w:cs="Palatino Linotype" w:eastAsia="Palatino Linotype" w:hAnsi="Palatino Linotype"/>
          <w:rtl w:val="0"/>
        </w:rPr>
        <w:t xml:space="preserve">“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sus motivos de inconformidad. En este sentido, se trata de manifestaciones sobre las cuales este Instituto no está facultado para pronunciarse.</w:t>
      </w:r>
    </w:p>
    <w:p w:rsidR="00000000" w:rsidDel="00000000" w:rsidP="00000000" w:rsidRDefault="00000000" w:rsidRPr="00000000" w14:paraId="00000042">
      <w:pPr>
        <w:spacing w:after="240" w:before="240"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la etapa de manifestaciones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a través del Coordinador de Recursos Humanos, ratificó en lo sustancial la respuesta emitida en primera instancia, precisando que reiterando que si la información no se presentó conforme al interés del solicitante es porque corresponde a una consulta y no a una solicitud de acceso a información pública que pueda ser atendida mediante una expresión documental, ya que corresponde a una interrogante que implicarían elaborar un documento ad hoc.</w:t>
      </w:r>
    </w:p>
    <w:p w:rsidR="00000000" w:rsidDel="00000000" w:rsidP="00000000" w:rsidRDefault="00000000" w:rsidRPr="00000000" w14:paraId="00000043">
      <w:pPr>
        <w:spacing w:after="240" w:before="240" w:line="360" w:lineRule="auto"/>
        <w:ind w:right="49"/>
        <w:jc w:val="both"/>
        <w:rPr>
          <w:rFonts w:ascii="Palatino Linotype" w:cs="Palatino Linotype" w:eastAsia="Palatino Linotype" w:hAnsi="Palatino Linotype"/>
          <w:strike w:val="1"/>
        </w:rPr>
      </w:pPr>
      <w:r w:rsidDel="00000000" w:rsidR="00000000" w:rsidRPr="00000000">
        <w:rPr>
          <w:rFonts w:ascii="Palatino Linotype" w:cs="Palatino Linotype" w:eastAsia="Palatino Linotype" w:hAnsi="Palatino Linotype"/>
          <w:rtl w:val="0"/>
        </w:rPr>
        <w:t xml:space="preserve">Una vez establecidas las posturas de las partes, en primer lugar, debe apuntarse que del análisis del requerimiento de información, se advirtió que, a través del mismo, la persona solicitante pretende que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responda o se pronuncie sobre dos cuestiones, esto es, </w:t>
      </w:r>
      <w:r w:rsidDel="00000000" w:rsidR="00000000" w:rsidRPr="00000000">
        <w:rPr>
          <w:rFonts w:ascii="Palatino Linotype" w:cs="Palatino Linotype" w:eastAsia="Palatino Linotype" w:hAnsi="Palatino Linotype"/>
          <w:b w:val="1"/>
          <w:i w:val="1"/>
          <w:u w:val="single"/>
          <w:rtl w:val="0"/>
        </w:rPr>
        <w:t xml:space="preserve">que diga cuál es el parentesco existente entre la Secretaria del Ayuntamiento y la persona referida en la solicitud</w:t>
      </w:r>
      <w:r w:rsidDel="00000000" w:rsidR="00000000" w:rsidRPr="00000000">
        <w:rPr>
          <w:rFonts w:ascii="Palatino Linotype" w:cs="Palatino Linotype" w:eastAsia="Palatino Linotype" w:hAnsi="Palatino Linotype"/>
          <w:rtl w:val="0"/>
        </w:rPr>
        <w:t xml:space="preserve">,  y</w:t>
      </w:r>
      <w:r w:rsidDel="00000000" w:rsidR="00000000" w:rsidRPr="00000000">
        <w:rPr>
          <w:rFonts w:ascii="Palatino Linotype" w:cs="Palatino Linotype" w:eastAsia="Palatino Linotype" w:hAnsi="Palatino Linotype"/>
          <w:b w:val="1"/>
          <w:i w:val="1"/>
          <w:rtl w:val="0"/>
        </w:rPr>
        <w:t xml:space="preserve"> </w:t>
      </w:r>
      <w:r w:rsidDel="00000000" w:rsidR="00000000" w:rsidRPr="00000000">
        <w:rPr>
          <w:rFonts w:ascii="Palatino Linotype" w:cs="Palatino Linotype" w:eastAsia="Palatino Linotype" w:hAnsi="Palatino Linotype"/>
          <w:b w:val="1"/>
          <w:i w:val="1"/>
          <w:u w:val="single"/>
          <w:rtl w:val="0"/>
        </w:rPr>
        <w:t xml:space="preserve">si se declaró el conflicto de intereses respecto a dicha situación,</w:t>
      </w: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rtl w:val="0"/>
        </w:rPr>
        <w:t xml:space="preserve">situación que conlleva a precisar que con tales planteamientos no se pretendió ejercer el derecho de acceso a la información pública; sino que por este medio se presentó una interrogante cuya finalidad consiste en obligar a la autoridad a que actúe en el sentido de contestar lo solicitado, que no es factible atenderse vía acceso a la información pública, toda vez, que la atención a dichos cuestionamientos no se pueden colmar con documentos que obren en los archivos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w:t>
      </w:r>
      <w:r w:rsidDel="00000000" w:rsidR="00000000" w:rsidRPr="00000000">
        <w:rPr>
          <w:rtl w:val="0"/>
        </w:rPr>
      </w:r>
    </w:p>
    <w:p w:rsidR="00000000" w:rsidDel="00000000" w:rsidP="00000000" w:rsidRDefault="00000000" w:rsidRPr="00000000" w14:paraId="00000044">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lo anterior, del análisis realizado al expediente electrónico, se advierte que la solicitud NO constituye un derecho de acceso a la información y por lo tanto no es atendible mediante una solicitud de acceso a la información pública, porque se trata de planteamientos subjetivos, interrogantes o declaraciones vertidos por la persona solicitante, situación que conlleva a afirmar que se está en presencia del ejercicio del derecho a la libre expresión y en todo caso a un derecho de petición. </w:t>
      </w:r>
    </w:p>
    <w:p w:rsidR="00000000" w:rsidDel="00000000" w:rsidP="00000000" w:rsidRDefault="00000000" w:rsidRPr="00000000" w14:paraId="00000045">
      <w:pPr>
        <w:spacing w:after="240" w:before="240" w:line="360" w:lineRule="auto"/>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A efecto de sustentar lo anterior, es preciso mencionar que David Cienfuegos Salgado, concibe al derecho de petición como </w:t>
      </w: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u w:val="single"/>
          <w:rtl w:val="0"/>
        </w:rPr>
        <w:t xml:space="preserve">el derecho de toda persona a ser escuchado por quienes ejercen el poder públic</w:t>
      </w:r>
      <w:r w:rsidDel="00000000" w:rsidR="00000000" w:rsidRPr="00000000">
        <w:rPr>
          <w:rFonts w:ascii="Palatino Linotype" w:cs="Palatino Linotype" w:eastAsia="Palatino Linotype" w:hAnsi="Palatino Linotype"/>
          <w:i w:val="1"/>
          <w:rtl w:val="0"/>
        </w:rPr>
        <w:t xml:space="preserve">o.</w:t>
      </w:r>
      <w:r w:rsidDel="00000000" w:rsidR="00000000" w:rsidRPr="00000000">
        <w:rPr>
          <w:rFonts w:ascii="Palatino Linotype" w:cs="Palatino Linotype" w:eastAsia="Palatino Linotype" w:hAnsi="Palatino Linotype"/>
          <w:i w:val="1"/>
          <w:vertAlign w:val="superscript"/>
          <w:rtl w:val="0"/>
        </w:rPr>
        <w:t xml:space="preserve"> </w:t>
      </w:r>
      <w:r w:rsidDel="00000000" w:rsidR="00000000" w:rsidRPr="00000000">
        <w:rPr>
          <w:rFonts w:ascii="Palatino Linotype" w:cs="Palatino Linotype" w:eastAsia="Palatino Linotype" w:hAnsi="Palatino Linotype"/>
          <w:i w:val="1"/>
          <w:vertAlign w:val="superscript"/>
        </w:rPr>
        <w:footnoteReference w:customMarkFollows="0" w:id="0"/>
      </w:r>
      <w:r w:rsidDel="00000000" w:rsidR="00000000" w:rsidRPr="00000000">
        <w:rPr>
          <w:rFonts w:ascii="Palatino Linotype" w:cs="Palatino Linotype" w:eastAsia="Palatino Linotype" w:hAnsi="Palatino Linotype"/>
          <w:i w:val="1"/>
          <w:rtl w:val="0"/>
        </w:rPr>
        <w:t xml:space="preserve">” (Sic) </w:t>
      </w:r>
    </w:p>
    <w:p w:rsidR="00000000" w:rsidDel="00000000" w:rsidP="00000000" w:rsidRDefault="00000000" w:rsidRPr="00000000" w14:paraId="00000046">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la misma manera, Miguel Carbonell en su libro “Los derechos fundamentales” refiere que el </w:t>
      </w:r>
      <w:r w:rsidDel="00000000" w:rsidR="00000000" w:rsidRPr="00000000">
        <w:rPr>
          <w:rFonts w:ascii="Palatino Linotype" w:cs="Palatino Linotype" w:eastAsia="Palatino Linotype" w:hAnsi="Palatino Linotype"/>
          <w:u w:val="single"/>
          <w:rtl w:val="0"/>
        </w:rPr>
        <w:t xml:space="preserve">derecho de petición se ha entendido de dos distintitas maneras</w:t>
      </w:r>
      <w:r w:rsidDel="00000000" w:rsidR="00000000" w:rsidRPr="00000000">
        <w:rPr>
          <w:rFonts w:ascii="Palatino Linotype" w:cs="Palatino Linotype" w:eastAsia="Palatino Linotype" w:hAnsi="Palatino Linotype"/>
          <w:rtl w:val="0"/>
        </w:rPr>
        <w:t xml:space="preserve">, a saber: como un derecho fundamental de participación política ya que </w:t>
      </w:r>
      <w:r w:rsidDel="00000000" w:rsidR="00000000" w:rsidRPr="00000000">
        <w:rPr>
          <w:rFonts w:ascii="Palatino Linotype" w:cs="Palatino Linotype" w:eastAsia="Palatino Linotype" w:hAnsi="Palatino Linotype"/>
          <w:u w:val="single"/>
          <w:rtl w:val="0"/>
        </w:rPr>
        <w:t xml:space="preserve">permite a los particulares trasladar a las autoridades sus </w:t>
      </w:r>
      <w:r w:rsidDel="00000000" w:rsidR="00000000" w:rsidRPr="00000000">
        <w:rPr>
          <w:rFonts w:ascii="Palatino Linotype" w:cs="Palatino Linotype" w:eastAsia="Palatino Linotype" w:hAnsi="Palatino Linotype"/>
          <w:b w:val="1"/>
          <w:u w:val="single"/>
          <w:rtl w:val="0"/>
        </w:rPr>
        <w:t xml:space="preserve">inquietudes, quejas</w:t>
      </w:r>
      <w:r w:rsidDel="00000000" w:rsidR="00000000" w:rsidRPr="00000000">
        <w:rPr>
          <w:rFonts w:ascii="Palatino Linotype" w:cs="Palatino Linotype" w:eastAsia="Palatino Linotype" w:hAnsi="Palatino Linotype"/>
          <w:u w:val="single"/>
          <w:rtl w:val="0"/>
        </w:rPr>
        <w:t xml:space="preserve">, sugerencias</w:t>
      </w:r>
      <w:r w:rsidDel="00000000" w:rsidR="00000000" w:rsidRPr="00000000">
        <w:rPr>
          <w:rFonts w:ascii="Palatino Linotype" w:cs="Palatino Linotype" w:eastAsia="Palatino Linotype" w:hAnsi="Palatino Linotype"/>
          <w:rtl w:val="0"/>
        </w:rPr>
        <w:t xml:space="preserve"> y requerimientos en cualquier materia o asunto; y como una </w:t>
      </w:r>
      <w:r w:rsidDel="00000000" w:rsidR="00000000" w:rsidRPr="00000000">
        <w:rPr>
          <w:rFonts w:ascii="Palatino Linotype" w:cs="Palatino Linotype" w:eastAsia="Palatino Linotype" w:hAnsi="Palatino Linotype"/>
          <w:b w:val="1"/>
          <w:rtl w:val="0"/>
        </w:rPr>
        <w:t xml:space="preserve">forma específica de la libertad de expresión</w:t>
      </w:r>
      <w:r w:rsidDel="00000000" w:rsidR="00000000" w:rsidRPr="00000000">
        <w:rPr>
          <w:rFonts w:ascii="Palatino Linotype" w:cs="Palatino Linotype" w:eastAsia="Palatino Linotype" w:hAnsi="Palatino Linotype"/>
          <w:rtl w:val="0"/>
        </w:rPr>
        <w:t xml:space="preserve">,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Del="00000000" w:rsidR="00000000" w:rsidRPr="00000000">
        <w:rPr>
          <w:rFonts w:ascii="Palatino Linotype" w:cs="Palatino Linotype" w:eastAsia="Palatino Linotype" w:hAnsi="Palatino Linotype"/>
          <w:vertAlign w:val="superscript"/>
        </w:rPr>
        <w:footnoteReference w:customMarkFollows="0" w:id="1"/>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40" w:before="240" w:line="360" w:lineRule="auto"/>
        <w:ind w:right="9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otro lado, el autor anteriormente citado, indica que el </w:t>
      </w:r>
      <w:r w:rsidDel="00000000" w:rsidR="00000000" w:rsidRPr="00000000">
        <w:rPr>
          <w:rFonts w:ascii="Palatino Linotype" w:cs="Palatino Linotype" w:eastAsia="Palatino Linotype" w:hAnsi="Palatino Linotype"/>
          <w:b w:val="1"/>
          <w:u w:val="single"/>
          <w:rtl w:val="0"/>
        </w:rPr>
        <w:t xml:space="preserve">derecho de acceso a la información pública</w:t>
      </w:r>
      <w:r w:rsidDel="00000000" w:rsidR="00000000" w:rsidRPr="00000000">
        <w:rPr>
          <w:rFonts w:ascii="Palatino Linotype" w:cs="Palatino Linotype" w:eastAsia="Palatino Linotype" w:hAnsi="Palatino Linotype"/>
          <w:rtl w:val="0"/>
        </w:rPr>
        <w:t xml:space="preserve"> es el derecho de conocer la </w:t>
      </w:r>
      <w:r w:rsidDel="00000000" w:rsidR="00000000" w:rsidRPr="00000000">
        <w:rPr>
          <w:rFonts w:ascii="Palatino Linotype" w:cs="Palatino Linotype" w:eastAsia="Palatino Linotype" w:hAnsi="Palatino Linotype"/>
          <w:b w:val="1"/>
          <w:u w:val="single"/>
          <w:rtl w:val="0"/>
        </w:rPr>
        <w:t xml:space="preserve">información de carácter público que se genera o está en posesión de los órganos del poder público</w:t>
      </w:r>
      <w:r w:rsidDel="00000000" w:rsidR="00000000" w:rsidRPr="00000000">
        <w:rPr>
          <w:rFonts w:ascii="Palatino Linotype" w:cs="Palatino Linotype" w:eastAsia="Palatino Linotype" w:hAnsi="Palatino Linotype"/>
          <w:rtl w:val="0"/>
        </w:rPr>
        <w:t xml:space="preserve"> o de los sujetos que utilizan o se benefician con recursos provenientes del Estado, es el derecho que tienen los ciudadanos para acceder a documentos y datos que obren en el poder del gobierno.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40" w:before="240" w:line="360" w:lineRule="auto"/>
        <w:ind w:right="9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Del="00000000" w:rsidR="00000000" w:rsidRPr="00000000">
        <w:rPr>
          <w:rFonts w:ascii="Palatino Linotype" w:cs="Palatino Linotype" w:eastAsia="Palatino Linotype" w:hAnsi="Palatino Linotype"/>
          <w:vertAlign w:val="superscript"/>
        </w:rPr>
        <w:footnoteReference w:customMarkFollows="0" w:id="2"/>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240" w:line="360" w:lineRule="auto"/>
        <w:ind w:right="9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lo anterior se puede concluir que la distinción entre el </w:t>
      </w:r>
      <w:r w:rsidDel="00000000" w:rsidR="00000000" w:rsidRPr="00000000">
        <w:rPr>
          <w:rFonts w:ascii="Palatino Linotype" w:cs="Palatino Linotype" w:eastAsia="Palatino Linotype" w:hAnsi="Palatino Linotype"/>
          <w:b w:val="1"/>
          <w:u w:val="single"/>
          <w:rtl w:val="0"/>
        </w:rPr>
        <w:t xml:space="preserve">derecho de petición</w:t>
      </w:r>
      <w:r w:rsidDel="00000000" w:rsidR="00000000" w:rsidRPr="00000000">
        <w:rPr>
          <w:rFonts w:ascii="Palatino Linotype" w:cs="Palatino Linotype" w:eastAsia="Palatino Linotype" w:hAnsi="Palatino Linotype"/>
          <w:rtl w:val="0"/>
        </w:rPr>
        <w:t xml:space="preserve"> y el derecho de acceso a la información descansa principalmente, en que </w:t>
      </w:r>
      <w:r w:rsidDel="00000000" w:rsidR="00000000" w:rsidRPr="00000000">
        <w:rPr>
          <w:rFonts w:ascii="Palatino Linotype" w:cs="Palatino Linotype" w:eastAsia="Palatino Linotype" w:hAnsi="Palatino Linotype"/>
          <w:b w:val="1"/>
          <w:rtl w:val="0"/>
        </w:rPr>
        <w:t xml:space="preserve">la pretensión del peticionario consiste generalmente en obligar a la autoridad responsable a que actúe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en el sentido de contestar lo solicitado</w:t>
      </w:r>
      <w:r w:rsidDel="00000000" w:rsidR="00000000" w:rsidRPr="00000000">
        <w:rPr>
          <w:rFonts w:ascii="Palatino Linotype" w:cs="Palatino Linotype" w:eastAsia="Palatino Linotype" w:hAnsi="Palatino Linotype"/>
          <w:rtl w:val="0"/>
        </w:rPr>
        <w:t xml:space="preserve">, mientras que </w:t>
      </w:r>
      <w:r w:rsidDel="00000000" w:rsidR="00000000" w:rsidRPr="00000000">
        <w:rPr>
          <w:rFonts w:ascii="Palatino Linotype" w:cs="Palatino Linotype" w:eastAsia="Palatino Linotype" w:hAnsi="Palatino Linotype"/>
          <w:b w:val="1"/>
          <w:u w:val="single"/>
          <w:rtl w:val="0"/>
        </w:rPr>
        <w:t xml:space="preserve">en el derecho de acceso a la información pública,</w:t>
      </w:r>
      <w:r w:rsidDel="00000000" w:rsidR="00000000" w:rsidRPr="00000000">
        <w:rPr>
          <w:rFonts w:ascii="Palatino Linotype" w:cs="Palatino Linotype" w:eastAsia="Palatino Linotype" w:hAnsi="Palatino Linotype"/>
          <w:b w:val="1"/>
          <w:rtl w:val="0"/>
        </w:rPr>
        <w:t xml:space="preserve"> la pretensión radica en que se permita el acceso a datos y todo tipo de documentación que tenga el carácter de información pública, que sea generada, administrada o se encuentre en posesión de los</w:t>
      </w:r>
      <w:r w:rsidDel="00000000" w:rsidR="00000000" w:rsidRPr="00000000">
        <w:rPr>
          <w:rFonts w:ascii="Palatino Linotype" w:cs="Palatino Linotype" w:eastAsia="Palatino Linotype" w:hAnsi="Palatino Linotype"/>
          <w:rtl w:val="0"/>
        </w:rPr>
        <w:t xml:space="preserve"> considerados </w:t>
      </w:r>
      <w:r w:rsidDel="00000000" w:rsidR="00000000" w:rsidRPr="00000000">
        <w:rPr>
          <w:rFonts w:ascii="Palatino Linotype" w:cs="Palatino Linotype" w:eastAsia="Palatino Linotype" w:hAnsi="Palatino Linotype"/>
          <w:b w:val="1"/>
          <w:rtl w:val="0"/>
        </w:rPr>
        <w:t xml:space="preserve">Sujetos Obligados</w:t>
      </w:r>
      <w:r w:rsidDel="00000000" w:rsidR="00000000" w:rsidRPr="00000000">
        <w:rPr>
          <w:rFonts w:ascii="Palatino Linotype" w:cs="Palatino Linotype" w:eastAsia="Palatino Linotype" w:hAnsi="Palatino Linotype"/>
          <w:rtl w:val="0"/>
        </w:rPr>
        <w:t xml:space="preserve"> por la Ley de la Materia.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240" w:line="360" w:lineRule="auto"/>
        <w:ind w:right="9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 base a lo anterior, se insiste que de la lectura de los requerimientos de información </w:t>
      </w:r>
      <w:r w:rsidDel="00000000" w:rsidR="00000000" w:rsidRPr="00000000">
        <w:rPr>
          <w:rFonts w:ascii="Palatino Linotype" w:cs="Palatino Linotype" w:eastAsia="Palatino Linotype" w:hAnsi="Palatino Linotype"/>
          <w:b w:val="1"/>
          <w:u w:val="single"/>
          <w:rtl w:val="0"/>
        </w:rPr>
        <w:t xml:space="preserve">no se advierte que la persona solicitante pretenda el acceso a documentos previamente generados</w:t>
      </w:r>
      <w:r w:rsidDel="00000000" w:rsidR="00000000" w:rsidRPr="00000000">
        <w:rPr>
          <w:rFonts w:ascii="Palatino Linotype" w:cs="Palatino Linotype" w:eastAsia="Palatino Linotype" w:hAnsi="Palatino Linotype"/>
          <w:b w:val="1"/>
          <w:rtl w:val="0"/>
        </w:rPr>
        <w:t xml:space="preserve">, s</w:t>
      </w:r>
      <w:r w:rsidDel="00000000" w:rsidR="00000000" w:rsidRPr="00000000">
        <w:rPr>
          <w:rFonts w:ascii="Palatino Linotype" w:cs="Palatino Linotype" w:eastAsia="Palatino Linotype" w:hAnsi="Palatino Linotype"/>
          <w:rtl w:val="0"/>
        </w:rPr>
        <w:t xml:space="preserve">ino más bien, </w:t>
      </w:r>
      <w:r w:rsidDel="00000000" w:rsidR="00000000" w:rsidRPr="00000000">
        <w:rPr>
          <w:rFonts w:ascii="Palatino Linotype" w:cs="Palatino Linotype" w:eastAsia="Palatino Linotype" w:hAnsi="Palatino Linotype"/>
          <w:b w:val="1"/>
          <w:u w:val="single"/>
          <w:rtl w:val="0"/>
        </w:rPr>
        <w:t xml:space="preserve">requiere un pronunciamiento específico por parte del Sujeto Obligado que dé respuesta a las inquietudes que plantea,</w:t>
      </w:r>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toda vez que </w:t>
      </w:r>
      <w:r w:rsidDel="00000000" w:rsidR="00000000" w:rsidRPr="00000000">
        <w:rPr>
          <w:rFonts w:ascii="Palatino Linotype" w:cs="Palatino Linotype" w:eastAsia="Palatino Linotype" w:hAnsi="Palatino Linotype"/>
          <w:b w:val="1"/>
          <w:u w:val="single"/>
          <w:rtl w:val="0"/>
        </w:rPr>
        <w:t xml:space="preserve">lo que cuestiona es la filiación de la servidora pública adscrita al Sujeto Obligado con la persona referida en la solicitud</w:t>
      </w:r>
      <w:r w:rsidDel="00000000" w:rsidR="00000000" w:rsidRPr="00000000">
        <w:rPr>
          <w:rFonts w:ascii="Palatino Linotype" w:cs="Palatino Linotype" w:eastAsia="Palatino Linotype" w:hAnsi="Palatino Linotype"/>
          <w:rtl w:val="0"/>
        </w:rPr>
        <w:t xml:space="preserve">, como lo hace valer en el escrito del recurso de revisión.</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240" w:line="360" w:lineRule="auto"/>
        <w:ind w:right="9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Atento a lo anterior, no debe perderse de vista que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Del="00000000" w:rsidR="00000000" w:rsidRPr="00000000">
        <w:rPr>
          <w:rFonts w:ascii="Palatino Linotype" w:cs="Palatino Linotype" w:eastAsia="Palatino Linotype" w:hAnsi="Palatino Linotype"/>
          <w:b w:val="1"/>
          <w:u w:val="single"/>
          <w:rtl w:val="0"/>
        </w:rPr>
        <w:t xml:space="preserve">interrogantes, inquietudes, quejas y manifestaciones</w:t>
      </w:r>
      <w:r w:rsidDel="00000000" w:rsidR="00000000" w:rsidRPr="00000000">
        <w:rPr>
          <w:rFonts w:ascii="Palatino Linotype" w:cs="Palatino Linotype" w:eastAsia="Palatino Linotype" w:hAnsi="Palatino Linotype"/>
          <w:rtl w:val="0"/>
        </w:rPr>
        <w:t xml:space="preserve"> resultan estar encaminadas a ser satisfechas en ejercicio del derecho de petición.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40" w:before="240" w:line="360" w:lineRule="auto"/>
        <w:ind w:right="9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esencialmente en virtud de que se advierte que las mismas se tratan de aseveraciones que pudieran ser consideradas de carácter subjetivo hechas sin un soporte que las sustente; es decir, el requerimiento de la persona solicitante es tendentes a que la autoridad aclare o actué sobre una inquietud, en consecuencia no es procedente ordenar la entrega de documento alguno, toda vez que no se pretendió el acceso a algún documento previamente generado, sino un pronunciamiento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240" w:line="360" w:lineRule="auto"/>
        <w:ind w:right="99"/>
        <w:jc w:val="both"/>
        <w:rPr/>
      </w:pPr>
      <w:r w:rsidDel="00000000" w:rsidR="00000000" w:rsidRPr="00000000">
        <w:rPr>
          <w:rFonts w:ascii="Palatino Linotype" w:cs="Palatino Linotype" w:eastAsia="Palatino Linotype" w:hAnsi="Palatino Linotype"/>
          <w:rtl w:val="0"/>
        </w:rPr>
        <w:t xml:space="preserve">No obstante, en aras de satisfacer la solicitud de información, la solicitud se turnó a la Coordinación de Recursos Humanos, cuyo objetivo, de conformidad con el Manual General de Organización de la Administración Pública del Municipio de Tenancingo, consiste en planear, organizar y supervisar que se apliquen correctamente las políticas, procedimientos y disposiciones jurídico-laborales, para el aprovechamiento óptimo, eficiente y racional de los recursos humanos; así como, mejorar y actualizar permanentemente los sistemas de administración y desarrollo del personal, teniendo a su cargo, entre otras atribuciones, la de analizar y vigilar que se cumplan las disposiciones en materia de trabajo, seguridad e higiene, así como las demás normas vigentes en la institución, respecto de los derechos y obligaciones del personal, así como resguardar los expedientes de personal de los servidores públicos adscritos al Ayuntamiento.</w:t>
      </w:r>
      <w:r w:rsidDel="00000000" w:rsidR="00000000" w:rsidRPr="00000000">
        <w:rPr>
          <w:rtl w:val="0"/>
        </w:rPr>
      </w:r>
    </w:p>
    <w:p w:rsidR="00000000" w:rsidDel="00000000" w:rsidP="00000000" w:rsidRDefault="00000000" w:rsidRPr="00000000" w14:paraId="0000004E">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sentido, el servidor público habilitado manifestó estar imposibilitado para atender la solicitud favorablemente, al no relacionarse con el ejercicio del Derecho de acceso a la información, sino de cuestionamientos o manifestaciones que no pueden atenderse mediante dicha vía, ya que al no obrar en un documento generado en ejercicio de las atribuciones que se le confieren al Sujeto Obligado, implicaría elaborar un documento ad hoc, lo cual contraviene lo establecido en el artículo 12 de la Ley de Transparencia y Acceso a la Información Pública del Estado de México y Municipios del cual se desprende que los Sujetos Obligados sólo deben proporcionar aquella información que hubieran generado en el ejercicio de sus atribuciones y que obre en sus archivos, lo que a</w:t>
      </w:r>
      <w:r w:rsidDel="00000000" w:rsidR="00000000" w:rsidRPr="00000000">
        <w:rPr>
          <w:rFonts w:ascii="Palatino Linotype" w:cs="Palatino Linotype" w:eastAsia="Palatino Linotype" w:hAnsi="Palatino Linotype"/>
          <w:i w:val="1"/>
          <w:rtl w:val="0"/>
        </w:rPr>
        <w:t xml:space="preserve"> contrario sensu</w:t>
      </w:r>
      <w:r w:rsidDel="00000000" w:rsidR="00000000" w:rsidRPr="00000000">
        <w:rPr>
          <w:rFonts w:ascii="Palatino Linotype" w:cs="Palatino Linotype" w:eastAsia="Palatino Linotype" w:hAnsi="Palatino Linotype"/>
          <w:rtl w:val="0"/>
        </w:rPr>
        <w:t xml:space="preserve"> significa que no se está obligado a proporcionar lo que no obre en sus archivos, y, menos aún, los Sujetos Obligados se encuentran obligados a generar documentos a fin de atender las solicitudes de acceso a la información que les sean formuladas, conforme al interés de las personas solicitantes.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240" w:line="360" w:lineRule="auto"/>
        <w:ind w:right="96"/>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IV del artículo 191 del ordenamiento legal en cita, los que se transcriben a continuación, para un mejor entendimiento:</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938"/>
        </w:tabs>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Artículo 191</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El recurso</w:t>
      </w:r>
      <w:r w:rsidDel="00000000" w:rsidR="00000000" w:rsidRPr="00000000">
        <w:rPr>
          <w:rFonts w:ascii="Palatino Linotype" w:cs="Palatino Linotype" w:eastAsia="Palatino Linotype" w:hAnsi="Palatino Linotype"/>
          <w:i w:val="1"/>
          <w:sz w:val="22"/>
          <w:szCs w:val="22"/>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será </w:t>
      </w:r>
      <w:r w:rsidDel="00000000" w:rsidR="00000000" w:rsidRPr="00000000">
        <w:rPr>
          <w:rFonts w:ascii="Palatino Linotype" w:cs="Palatino Linotype" w:eastAsia="Palatino Linotype" w:hAnsi="Palatino Linotype"/>
          <w:i w:val="1"/>
          <w:sz w:val="22"/>
          <w:szCs w:val="22"/>
          <w:rtl w:val="0"/>
        </w:rPr>
        <w:t xml:space="preserve">desechado por </w:t>
      </w:r>
      <w:r w:rsidDel="00000000" w:rsidR="00000000" w:rsidRPr="00000000">
        <w:rPr>
          <w:rFonts w:ascii="Palatino Linotype" w:cs="Palatino Linotype" w:eastAsia="Palatino Linotype" w:hAnsi="Palatino Linotype"/>
          <w:b w:val="1"/>
          <w:i w:val="1"/>
          <w:sz w:val="22"/>
          <w:szCs w:val="22"/>
          <w:rtl w:val="0"/>
        </w:rPr>
        <w:t xml:space="preserve">improcedente cuando</w:t>
      </w: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7938"/>
        </w:tabs>
        <w:spacing w:after="120" w:before="120" w:lineRule="auto"/>
        <w:ind w:left="1134"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2">
      <w:pPr>
        <w:tabs>
          <w:tab w:val="left" w:leader="none" w:pos="7938"/>
        </w:tabs>
        <w:spacing w:before="120" w:line="360" w:lineRule="auto"/>
        <w:ind w:left="1134" w:right="902" w:firstLine="0"/>
        <w:jc w:val="both"/>
        <w:rPr>
          <w:rFonts w:ascii="Palatino Linotype" w:cs="Palatino Linotype" w:eastAsia="Palatino Linotype" w:hAnsi="Palatino Linotype"/>
          <w:b w:val="1"/>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VI. Se trate de una consulta</w:t>
      </w:r>
      <w:r w:rsidDel="00000000" w:rsidR="00000000" w:rsidRPr="00000000">
        <w:rPr>
          <w:rFonts w:ascii="Palatino Linotype" w:cs="Palatino Linotype" w:eastAsia="Palatino Linotype" w:hAnsi="Palatino Linotype"/>
          <w:i w:val="1"/>
          <w:sz w:val="22"/>
          <w:szCs w:val="22"/>
          <w:rtl w:val="0"/>
        </w:rPr>
        <w:t xml:space="preserve">, o trámite en específico</w:t>
      </w:r>
      <w:r w:rsidDel="00000000" w:rsidR="00000000" w:rsidRPr="00000000">
        <w:rPr>
          <w:rFonts w:ascii="Palatino Linotype" w:cs="Palatino Linotype" w:eastAsia="Palatino Linotype" w:hAnsi="Palatino Linotype"/>
          <w:b w:val="1"/>
          <w:i w:val="1"/>
          <w:sz w:val="22"/>
          <w:szCs w:val="22"/>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7938"/>
        </w:tabs>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7938"/>
        </w:tabs>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Artículo 192.</w:t>
      </w:r>
      <w:r w:rsidDel="00000000" w:rsidR="00000000" w:rsidRPr="00000000">
        <w:rPr>
          <w:rFonts w:ascii="Palatino Linotype" w:cs="Palatino Linotype" w:eastAsia="Palatino Linotype" w:hAnsi="Palatino Linotype"/>
          <w:i w:val="1"/>
          <w:sz w:val="22"/>
          <w:szCs w:val="22"/>
          <w:rtl w:val="0"/>
        </w:rPr>
        <w:t xml:space="preserve"> El recurso será sobreseído, en todo o en parte, cuando una vez admitido, se actualicen alguno de los siguientes supuestos:</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7938"/>
        </w:tabs>
        <w:spacing w:after="120" w:before="120" w:lineRule="auto"/>
        <w:ind w:left="1134"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7938"/>
        </w:tabs>
        <w:spacing w:after="120" w:before="120" w:lineRule="auto"/>
        <w:ind w:left="1134"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IV</w:t>
      </w:r>
      <w:r w:rsidDel="00000000" w:rsidR="00000000" w:rsidRPr="00000000">
        <w:rPr>
          <w:rFonts w:ascii="Palatino Linotype" w:cs="Palatino Linotype" w:eastAsia="Palatino Linotype" w:hAnsi="Palatino Linotype"/>
          <w:i w:val="1"/>
          <w:sz w:val="22"/>
          <w:szCs w:val="22"/>
          <w:rtl w:val="0"/>
        </w:rPr>
        <w:t xml:space="preserve">. Admitido el recurso de revisión, </w:t>
      </w:r>
      <w:r w:rsidDel="00000000" w:rsidR="00000000" w:rsidRPr="00000000">
        <w:rPr>
          <w:rFonts w:ascii="Palatino Linotype" w:cs="Palatino Linotype" w:eastAsia="Palatino Linotype" w:hAnsi="Palatino Linotype"/>
          <w:b w:val="1"/>
          <w:i w:val="1"/>
          <w:sz w:val="22"/>
          <w:szCs w:val="22"/>
          <w:rtl w:val="0"/>
        </w:rPr>
        <w:t xml:space="preserve">aparezca alguna causal de improcedencia</w:t>
      </w:r>
      <w:r w:rsidDel="00000000" w:rsidR="00000000" w:rsidRPr="00000000">
        <w:rPr>
          <w:rFonts w:ascii="Palatino Linotype" w:cs="Palatino Linotype" w:eastAsia="Palatino Linotype" w:hAnsi="Palatino Linotype"/>
          <w:i w:val="1"/>
          <w:sz w:val="22"/>
          <w:szCs w:val="22"/>
          <w:rtl w:val="0"/>
        </w:rPr>
        <w:t xml:space="preserve"> en los términos de la presente Ley. “</w:t>
      </w:r>
    </w:p>
    <w:p w:rsidR="00000000" w:rsidDel="00000000" w:rsidP="00000000" w:rsidRDefault="00000000" w:rsidRPr="00000000" w14:paraId="00000057">
      <w:pPr>
        <w:spacing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w:t>
      </w:r>
      <w:r w:rsidDel="00000000" w:rsidR="00000000" w:rsidRPr="00000000">
        <w:rPr>
          <w:rFonts w:ascii="Palatino Linotype" w:cs="Palatino Linotype" w:eastAsia="Palatino Linotype" w:hAnsi="Palatino Linotype"/>
          <w:i w:val="1"/>
          <w:rtl w:val="0"/>
        </w:rPr>
        <w:t xml:space="preserve">sobreseimiento</w:t>
      </w:r>
      <w:r w:rsidDel="00000000" w:rsidR="00000000" w:rsidRPr="00000000">
        <w:rPr>
          <w:rFonts w:ascii="Palatino Linotype" w:cs="Palatino Linotype" w:eastAsia="Palatino Linotype" w:hAnsi="Palatino Linotype"/>
          <w:rtl w:val="0"/>
        </w:rPr>
        <w:t xml:space="preserve"> es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000000" w:rsidDel="00000000" w:rsidP="00000000" w:rsidRDefault="00000000" w:rsidRPr="00000000" w14:paraId="00000058">
      <w:pPr>
        <w:spacing w:after="120" w:lineRule="auto"/>
        <w:ind w:left="851" w:right="902"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i w:val="1"/>
          <w:sz w:val="22"/>
          <w:szCs w:val="22"/>
          <w:rtl w:val="0"/>
        </w:rPr>
        <w:t xml:space="preserve">“</w:t>
      </w:r>
      <w:r w:rsidDel="00000000" w:rsidR="00000000" w:rsidRPr="00000000">
        <w:rPr>
          <w:rFonts w:ascii="Palatino Linotype" w:cs="Palatino Linotype" w:eastAsia="Palatino Linotype" w:hAnsi="Palatino Linotype"/>
          <w:b w:val="1"/>
          <w:i w:val="1"/>
          <w:sz w:val="22"/>
          <w:szCs w:val="22"/>
          <w:rtl w:val="0"/>
        </w:rPr>
        <w:t xml:space="preserve">SOBRESEIMIENTO, NO PERMITE ENTRAR AL ESTUDIO DE LAS CUESTIONES DE FONDO</w:t>
      </w:r>
      <w:r w:rsidDel="00000000" w:rsidR="00000000" w:rsidRPr="00000000">
        <w:rPr>
          <w:rtl w:val="0"/>
        </w:rPr>
      </w:r>
    </w:p>
    <w:p w:rsidR="00000000" w:rsidDel="00000000" w:rsidP="00000000" w:rsidRDefault="00000000" w:rsidRPr="00000000" w14:paraId="00000059">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Localización: 213609. II.2o.183 K. Tribunales Colegiados de Circuito. Octava Época. Semanario Judicial de la Federación. Tomo XIII, Febrero de 1994, Pág. 420</w:t>
      </w:r>
    </w:p>
    <w:p w:rsidR="00000000" w:rsidDel="00000000" w:rsidP="00000000" w:rsidRDefault="00000000" w:rsidRPr="00000000" w14:paraId="0000005A">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i w:val="1"/>
          <w:sz w:val="22"/>
          <w:szCs w:val="22"/>
          <w:rtl w:val="0"/>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000000" w:rsidDel="00000000" w:rsidP="00000000" w:rsidRDefault="00000000" w:rsidRPr="00000000" w14:paraId="0000005B">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Cabe destacar que la decisión de este Organismo Colegiado de sobreseer el recurso de revisión no implica una limitación o negación a la justicia, según lo ha establecido el Poder Judicial Federal, en el criterio que es aplicable por analogía, con rubro:</w:t>
      </w:r>
    </w:p>
    <w:p w:rsidR="00000000" w:rsidDel="00000000" w:rsidP="00000000" w:rsidRDefault="00000000" w:rsidRPr="00000000" w14:paraId="0000005C">
      <w:pPr>
        <w:spacing w:after="120" w:before="120" w:lineRule="auto"/>
        <w:ind w:left="851" w:right="902" w:firstLine="0"/>
        <w:jc w:val="both"/>
        <w:rPr>
          <w:rFonts w:ascii="Palatino Linotype" w:cs="Palatino Linotype" w:eastAsia="Palatino Linotype" w:hAnsi="Palatino Linotype"/>
          <w:i w:val="1"/>
          <w:sz w:val="22"/>
          <w:szCs w:val="22"/>
        </w:rPr>
      </w:pPr>
      <w:r w:rsidDel="00000000" w:rsidR="00000000" w:rsidRPr="00000000">
        <w:rPr>
          <w:rFonts w:ascii="Palatino Linotype" w:cs="Palatino Linotype" w:eastAsia="Palatino Linotype" w:hAnsi="Palatino Linotype"/>
          <w:b w:val="1"/>
          <w:i w:val="1"/>
          <w:sz w:val="22"/>
          <w:szCs w:val="22"/>
          <w:rtl w:val="0"/>
        </w:rPr>
        <w:t xml:space="preserve">“DESECHAMIENTO O SOBRESEIMIENTO EN EL JUICIO DE AMPARO. NO IMPLICA DENEGACIÓN DE JUSTICIA NI GENERA INSEGURIDAD JURÍDICA” </w:t>
      </w:r>
      <w:r w:rsidDel="00000000" w:rsidR="00000000" w:rsidRPr="00000000">
        <w:rPr>
          <w:rFonts w:ascii="Palatino Linotype" w:cs="Palatino Linotype" w:eastAsia="Palatino Linotype" w:hAnsi="Palatino Linotype"/>
          <w:i w:val="1"/>
          <w:sz w:val="22"/>
          <w:szCs w:val="22"/>
          <w:rtl w:val="0"/>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Del="00000000" w:rsidR="00000000" w:rsidRPr="00000000">
        <w:rPr>
          <w:rFonts w:ascii="Palatino Linotype" w:cs="Palatino Linotype" w:eastAsia="Palatino Linotype" w:hAnsi="Palatino Linotype"/>
          <w:rtl w:val="0"/>
        </w:rPr>
        <w:tab/>
      </w:r>
      <w:r w:rsidDel="00000000" w:rsidR="00000000" w:rsidRPr="00000000">
        <w:rPr>
          <w:rtl w:val="0"/>
        </w:rPr>
      </w:r>
    </w:p>
    <w:p w:rsidR="00000000" w:rsidDel="00000000" w:rsidP="00000000" w:rsidRDefault="00000000" w:rsidRPr="00000000" w14:paraId="0000005D">
      <w:pPr>
        <w:spacing w:after="240" w:before="240" w:line="36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Bajo ese tenor con fundamento en la segunda hipótesis de la fracción I del artículo 186, de la Ley de Transparencia y Acceso a la Información Pública del Estado de México y Municipios, se </w:t>
      </w:r>
      <w:r w:rsidDel="00000000" w:rsidR="00000000" w:rsidRPr="00000000">
        <w:rPr>
          <w:rFonts w:ascii="Palatino Linotype" w:cs="Palatino Linotype" w:eastAsia="Palatino Linotype" w:hAnsi="Palatino Linotype"/>
          <w:b w:val="1"/>
          <w:rtl w:val="0"/>
        </w:rPr>
        <w:t xml:space="preserve">Sobresee </w:t>
      </w:r>
      <w:r w:rsidDel="00000000" w:rsidR="00000000" w:rsidRPr="00000000">
        <w:rPr>
          <w:rFonts w:ascii="Palatino Linotype" w:cs="Palatino Linotype" w:eastAsia="Palatino Linotype" w:hAnsi="Palatino Linotype"/>
          <w:rtl w:val="0"/>
        </w:rPr>
        <w:t xml:space="preserve">el recurso de revisión </w:t>
      </w:r>
      <w:r w:rsidDel="00000000" w:rsidR="00000000" w:rsidRPr="00000000">
        <w:rPr>
          <w:rFonts w:ascii="Palatino Linotype" w:cs="Palatino Linotype" w:eastAsia="Palatino Linotype" w:hAnsi="Palatino Linotype"/>
          <w:b w:val="1"/>
          <w:rtl w:val="0"/>
        </w:rPr>
        <w:t xml:space="preserve">00944/INFOEM/IP/RR/2025</w:t>
      </w:r>
      <w:r w:rsidDel="00000000" w:rsidR="00000000" w:rsidRPr="00000000">
        <w:rPr>
          <w:rFonts w:ascii="Palatino Linotype" w:cs="Palatino Linotype" w:eastAsia="Palatino Linotype" w:hAnsi="Palatino Linotype"/>
          <w:rtl w:val="0"/>
        </w:rPr>
        <w:t xml:space="preserve">, que ha sido materia del presente fallo.</w:t>
      </w:r>
      <w:r w:rsidDel="00000000" w:rsidR="00000000" w:rsidRPr="00000000">
        <w:rPr>
          <w:rtl w:val="0"/>
        </w:rPr>
      </w:r>
    </w:p>
    <w:p w:rsidR="00000000" w:rsidDel="00000000" w:rsidP="00000000" w:rsidRDefault="00000000" w:rsidRPr="00000000" w14:paraId="0000005E">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40" w:before="24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III. R E S U E L V E</w:t>
      </w:r>
    </w:p>
    <w:p w:rsidR="00000000" w:rsidDel="00000000" w:rsidP="00000000" w:rsidRDefault="00000000" w:rsidRPr="00000000" w14:paraId="00000060">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Primero. </w:t>
      </w:r>
      <w:r w:rsidDel="00000000" w:rsidR="00000000" w:rsidRPr="00000000">
        <w:rPr>
          <w:rFonts w:ascii="Palatino Linotype" w:cs="Palatino Linotype" w:eastAsia="Palatino Linotype" w:hAnsi="Palatino Linotype"/>
          <w:rtl w:val="0"/>
        </w:rPr>
        <w:t xml:space="preserve">Se</w:t>
      </w:r>
      <w:r w:rsidDel="00000000" w:rsidR="00000000" w:rsidRPr="00000000">
        <w:rPr>
          <w:rFonts w:ascii="Palatino Linotype" w:cs="Palatino Linotype" w:eastAsia="Palatino Linotype" w:hAnsi="Palatino Linotype"/>
          <w:b w:val="1"/>
          <w:rtl w:val="0"/>
        </w:rPr>
        <w:t xml:space="preserve"> Sobresee </w:t>
      </w:r>
      <w:r w:rsidDel="00000000" w:rsidR="00000000" w:rsidRPr="00000000">
        <w:rPr>
          <w:rFonts w:ascii="Palatino Linotype" w:cs="Palatino Linotype" w:eastAsia="Palatino Linotype" w:hAnsi="Palatino Linotype"/>
          <w:rtl w:val="0"/>
        </w:rPr>
        <w:t xml:space="preserve">el recurso de revisión </w:t>
      </w:r>
      <w:r w:rsidDel="00000000" w:rsidR="00000000" w:rsidRPr="00000000">
        <w:rPr>
          <w:rFonts w:ascii="Palatino Linotype" w:cs="Palatino Linotype" w:eastAsia="Palatino Linotype" w:hAnsi="Palatino Linotype"/>
          <w:b w:val="1"/>
          <w:rtl w:val="0"/>
        </w:rPr>
        <w:t xml:space="preserve">00944/INFOEM/IP/RR/2025, </w:t>
      </w:r>
      <w:r w:rsidDel="00000000" w:rsidR="00000000" w:rsidRPr="00000000">
        <w:rPr>
          <w:rFonts w:ascii="Palatino Linotype" w:cs="Palatino Linotype" w:eastAsia="Palatino Linotype" w:hAnsi="Palatino Linotype"/>
          <w:rtl w:val="0"/>
        </w:rPr>
        <w:t xml:space="preserve">porque una vez admitido se actualizó la causal de improcedencia prevista en artículo 192, fracción IV, en relación con el artículo 191, fracción VI, ambos de la Ley de Transparencia y Acceso a la Información Pública del Estado de México y Municipios, que lo dejó sin materia en términos del considerando </w:t>
      </w:r>
      <w:r w:rsidDel="00000000" w:rsidR="00000000" w:rsidRPr="00000000">
        <w:rPr>
          <w:rFonts w:ascii="Palatino Linotype" w:cs="Palatino Linotype" w:eastAsia="Palatino Linotype" w:hAnsi="Palatino Linotype"/>
          <w:b w:val="1"/>
          <w:rtl w:val="0"/>
        </w:rPr>
        <w:t xml:space="preserve">Tercero </w:t>
      </w:r>
      <w:r w:rsidDel="00000000" w:rsidR="00000000" w:rsidRPr="00000000">
        <w:rPr>
          <w:rFonts w:ascii="Palatino Linotype" w:cs="Palatino Linotype" w:eastAsia="Palatino Linotype" w:hAnsi="Palatino Linotype"/>
          <w:rtl w:val="0"/>
        </w:rPr>
        <w:t xml:space="preserve">de la presente Resolución.</w:t>
      </w:r>
    </w:p>
    <w:p w:rsidR="00000000" w:rsidDel="00000000" w:rsidP="00000000" w:rsidRDefault="00000000" w:rsidRPr="00000000" w14:paraId="00000061">
      <w:pPr>
        <w:spacing w:line="360" w:lineRule="auto"/>
        <w:ind w:right="4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Segundo. Notifíquese, </w:t>
      </w:r>
      <w:r w:rsidDel="00000000" w:rsidR="00000000" w:rsidRPr="00000000">
        <w:rPr>
          <w:rFonts w:ascii="Palatino Linotype" w:cs="Palatino Linotype" w:eastAsia="Palatino Linotype" w:hAnsi="Palatino Linotype"/>
          <w:rtl w:val="0"/>
        </w:rPr>
        <w:t xml:space="preserve">vía </w:t>
      </w:r>
      <w:r w:rsidDel="00000000" w:rsidR="00000000" w:rsidRPr="00000000">
        <w:rPr>
          <w:rFonts w:ascii="Palatino Linotype" w:cs="Palatino Linotype" w:eastAsia="Palatino Linotype" w:hAnsi="Palatino Linotype"/>
          <w:b w:val="1"/>
          <w:rtl w:val="0"/>
        </w:rPr>
        <w:t xml:space="preserve">SAIMEX, </w:t>
      </w:r>
      <w:r w:rsidDel="00000000" w:rsidR="00000000" w:rsidRPr="00000000">
        <w:rPr>
          <w:rFonts w:ascii="Palatino Linotype" w:cs="Palatino Linotype" w:eastAsia="Palatino Linotype" w:hAnsi="Palatino Linotype"/>
          <w:rtl w:val="0"/>
        </w:rPr>
        <w:t xml:space="preserve">la presente resolución a la persona Titular de la Unidad de Transparencia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para su conocimiento, </w:t>
      </w:r>
    </w:p>
    <w:p w:rsidR="00000000" w:rsidDel="00000000" w:rsidP="00000000" w:rsidRDefault="00000000" w:rsidRPr="00000000" w14:paraId="00000062">
      <w:pP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Tercero.  Notifíquese, </w:t>
      </w:r>
      <w:r w:rsidDel="00000000" w:rsidR="00000000" w:rsidRPr="00000000">
        <w:rPr>
          <w:rFonts w:ascii="Palatino Linotype" w:cs="Palatino Linotype" w:eastAsia="Palatino Linotype" w:hAnsi="Palatino Linotype"/>
          <w:rtl w:val="0"/>
        </w:rPr>
        <w:t xml:space="preserve">vía </w:t>
      </w:r>
      <w:r w:rsidDel="00000000" w:rsidR="00000000" w:rsidRPr="00000000">
        <w:rPr>
          <w:rFonts w:ascii="Palatino Linotype" w:cs="Palatino Linotype" w:eastAsia="Palatino Linotype" w:hAnsi="Palatino Linotype"/>
          <w:b w:val="1"/>
          <w:rtl w:val="0"/>
        </w:rPr>
        <w:t xml:space="preserve">SAIMEX, </w:t>
      </w:r>
      <w:r w:rsidDel="00000000" w:rsidR="00000000" w:rsidRPr="00000000">
        <w:rPr>
          <w:rFonts w:ascii="Palatino Linotype" w:cs="Palatino Linotype" w:eastAsia="Palatino Linotype" w:hAnsi="Palatino Linotype"/>
          <w:rtl w:val="0"/>
        </w:rPr>
        <w:t xml:space="preserve">a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rsidR="00000000" w:rsidDel="00000000" w:rsidP="00000000" w:rsidRDefault="00000000" w:rsidRPr="00000000" w14:paraId="00000063">
      <w:pPr>
        <w:spacing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DOS MIL VEINTICINCO, ANTE EL SECRETARIO TÉCNICO DEL PLENO ALEXIS TAPIA RAMÍREZ.</w:t>
      </w:r>
    </w:p>
    <w:p w:rsidR="00000000" w:rsidDel="00000000" w:rsidP="00000000" w:rsidRDefault="00000000" w:rsidRPr="00000000" w14:paraId="00000064">
      <w:pPr>
        <w:spacing w:line="360" w:lineRule="auto"/>
        <w:jc w:val="both"/>
        <w:rPr>
          <w:rFonts w:ascii="Palatino Linotype" w:cs="Palatino Linotype" w:eastAsia="Palatino Linotype" w:hAnsi="Palatino Linotype"/>
        </w:rPr>
      </w:pPr>
      <w:bookmarkStart w:colFirst="0" w:colLast="0" w:name="_heading=h.1fob9te" w:id="6"/>
      <w:bookmarkEnd w:id="6"/>
      <w:r w:rsidDel="00000000" w:rsidR="00000000" w:rsidRPr="00000000">
        <w:rPr>
          <w:rtl w:val="0"/>
        </w:rPr>
      </w:r>
    </w:p>
    <w:p w:rsidR="00000000" w:rsidDel="00000000" w:rsidP="00000000" w:rsidRDefault="00000000" w:rsidRPr="00000000" w14:paraId="00000065">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7">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9">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B">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D">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E">
      <w:pPr>
        <w:spacing w:line="360" w:lineRule="auto"/>
        <w:jc w:val="both"/>
        <w:rPr>
          <w:rFonts w:ascii="Palatino Linotype" w:cs="Palatino Linotype" w:eastAsia="Palatino Linotype" w:hAnsi="Palatino Linotype"/>
        </w:rPr>
      </w:pPr>
      <w:bookmarkStart w:colFirst="0" w:colLast="0" w:name="_heading=h.3rdcrjn" w:id="7"/>
      <w:bookmarkEnd w:id="7"/>
      <w:r w:rsidDel="00000000" w:rsidR="00000000" w:rsidRPr="00000000">
        <w:rPr>
          <w:rtl w:val="0"/>
        </w:rPr>
      </w:r>
    </w:p>
    <w:p w:rsidR="00000000" w:rsidDel="00000000" w:rsidP="00000000" w:rsidRDefault="00000000" w:rsidRPr="00000000" w14:paraId="0000006F">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0">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1">
      <w:pPr>
        <w:spacing w:line="360" w:lineRule="auto"/>
        <w:jc w:val="both"/>
        <w:rPr>
          <w:rFonts w:ascii="Palatino Linotype" w:cs="Palatino Linotype" w:eastAsia="Palatino Linotype" w:hAnsi="Palatino Linotype"/>
        </w:rPr>
      </w:pPr>
      <w:bookmarkStart w:colFirst="0" w:colLast="0" w:name="_heading=h.1t3h5sf" w:id="8"/>
      <w:bookmarkEnd w:id="8"/>
      <w:r w:rsidDel="00000000" w:rsidR="00000000" w:rsidRPr="00000000">
        <w:rPr>
          <w:rtl w:val="0"/>
        </w:rPr>
      </w:r>
    </w:p>
    <w:p w:rsidR="00000000" w:rsidDel="00000000" w:rsidP="00000000" w:rsidRDefault="00000000" w:rsidRPr="00000000" w14:paraId="00000072">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3">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4">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5">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6">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7">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8">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9">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A">
      <w:pPr>
        <w:spacing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B">
      <w:pPr>
        <w:spacing w:line="360" w:lineRule="auto"/>
        <w:jc w:val="both"/>
        <w:rPr>
          <w:rFonts w:ascii="Palatino Linotype" w:cs="Palatino Linotype" w:eastAsia="Palatino Linotype" w:hAnsi="Palatino Linotyp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701" w:top="1985"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252"/>
        <w:tab w:val="right" w:leader="none" w:pos="8504"/>
      </w:tabs>
      <w:ind w:firstLine="708"/>
      <w:rPr>
        <w:rFonts w:ascii="Cambria" w:cs="Cambria" w:eastAsia="Cambria" w:hAnsi="Cambria"/>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252"/>
        <w:tab w:val="right" w:leader="none" w:pos="8504"/>
      </w:tabs>
      <w:jc w:val="right"/>
      <w:rPr>
        <w:rFonts w:ascii="Palatino Linotype" w:cs="Palatino Linotype" w:eastAsia="Palatino Linotype" w:hAnsi="Palatino Linotype"/>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Página </w:t>
    </w:r>
    <w:r w:rsidDel="00000000" w:rsidR="00000000" w:rsidRPr="00000000">
      <w:rPr>
        <w:rFonts w:ascii="Palatino Linotype" w:cs="Palatino Linotype" w:eastAsia="Palatino Linotype" w:hAnsi="Palatino Linotype"/>
        <w:b w:val="1"/>
        <w:color w:val="000000"/>
        <w:sz w:val="20"/>
        <w:szCs w:val="20"/>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color w:val="000000"/>
        <w:sz w:val="20"/>
        <w:szCs w:val="20"/>
        <w:rtl w:val="0"/>
      </w:rPr>
      <w:t xml:space="preserve"> de </w:t>
    </w:r>
    <w:r w:rsidDel="00000000" w:rsidR="00000000" w:rsidRPr="00000000">
      <w:rPr>
        <w:rFonts w:ascii="Palatino Linotype" w:cs="Palatino Linotype" w:eastAsia="Palatino Linotype" w:hAnsi="Palatino Linotype"/>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252"/>
        <w:tab w:val="right" w:leader="none" w:pos="8504"/>
      </w:tabs>
      <w:rPr>
        <w:rFonts w:ascii="Cambria" w:cs="Cambria" w:eastAsia="Cambria" w:hAnsi="Cambria"/>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C">
      <w:pPr>
        <w:jc w:val="both"/>
        <w:rPr>
          <w:rFonts w:ascii="Palatino Linotype" w:cs="Palatino Linotype" w:eastAsia="Palatino Linotype" w:hAnsi="Palatino Linotype"/>
          <w:sz w:val="16"/>
          <w:szCs w:val="16"/>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sz w:val="16"/>
          <w:szCs w:val="16"/>
          <w:rtl w:val="0"/>
        </w:rPr>
        <w:t xml:space="preserve"> CIENFUEGOS SALGADO David. El Derecho de Petición en México. Ed. Instituto de Investigaciones Jurídica UNAM. México 2004. p. 31</w:t>
      </w:r>
    </w:p>
  </w:footnote>
  <w:footnote w:id="1">
    <w:p w:rsidR="00000000" w:rsidDel="00000000" w:rsidP="00000000" w:rsidRDefault="00000000" w:rsidRPr="00000000" w14:paraId="0000007D">
      <w:pPr>
        <w:jc w:val="both"/>
        <w:rPr>
          <w:rFonts w:ascii="Palatino Linotype" w:cs="Palatino Linotype" w:eastAsia="Palatino Linotype" w:hAnsi="Palatino Linotype"/>
          <w:sz w:val="16"/>
          <w:szCs w:val="16"/>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sz w:val="16"/>
          <w:szCs w:val="16"/>
          <w:rtl w:val="0"/>
        </w:rPr>
        <w:t xml:space="preserve"> Carbonell, M. (2004). Los Derechos Fundamentales (Primera Edición ed.), México: Instituto de investigaciones Jurídicas.</w:t>
      </w:r>
    </w:p>
  </w:footnote>
  <w:footnote w:id="2">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6"/>
          <w:szCs w:val="16"/>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color w:val="000000"/>
          <w:sz w:val="16"/>
          <w:szCs w:val="16"/>
          <w:rtl w:val="0"/>
        </w:rPr>
        <w:t xml:space="preserve"> VILLANUEVA VILLANUEVA Ernesto, Derecho de la Información, Ed, Porrúa S.A., México. 2006, pág.270.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rFonts w:ascii="Cambria" w:cs="Cambria" w:eastAsia="Cambria" w:hAnsi="Cambria"/>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-1080106</wp:posOffset>
          </wp:positionH>
          <wp:positionV relativeFrom="paragraph">
            <wp:posOffset>-488282</wp:posOffset>
          </wp:positionV>
          <wp:extent cx="7809865" cy="10165715"/>
          <wp:effectExtent b="0" l="0" r="0" t="0"/>
          <wp:wrapNone/>
          <wp:docPr id="164391917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1"/>
      <w:tblW w:w="5953.0" w:type="dxa"/>
      <w:jc w:val="left"/>
      <w:tblInd w:w="3261.0" w:type="dxa"/>
      <w:tblLayout w:type="fixed"/>
      <w:tblLook w:val="0400"/>
    </w:tblPr>
    <w:tblGrid>
      <w:gridCol w:w="2489"/>
      <w:gridCol w:w="3464"/>
      <w:tblGridChange w:id="0">
        <w:tblGrid>
          <w:gridCol w:w="2489"/>
          <w:gridCol w:w="3464"/>
        </w:tblGrid>
      </w:tblGridChange>
    </w:tblGrid>
    <w:tr>
      <w:trPr>
        <w:cantSplit w:val="0"/>
        <w:tblHeader w:val="0"/>
      </w:trPr>
      <w:tc>
        <w:tcPr>
          <w:shd w:fill="auto" w:val="clear"/>
        </w:tcPr>
        <w:p w:rsidR="00000000" w:rsidDel="00000000" w:rsidP="00000000" w:rsidRDefault="00000000" w:rsidRPr="00000000" w14:paraId="00000080">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81">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00944/INFOEM/IP/RR/2025</w:t>
          </w:r>
        </w:p>
      </w:tc>
    </w:tr>
    <w:tr>
      <w:trPr>
        <w:cantSplit w:val="0"/>
        <w:trHeight w:val="228" w:hRule="atLeast"/>
        <w:tblHeader w:val="0"/>
      </w:trPr>
      <w:tc>
        <w:tcPr>
          <w:shd w:fill="auto" w:val="clear"/>
          <w:vAlign w:val="center"/>
        </w:tcPr>
        <w:p w:rsidR="00000000" w:rsidDel="00000000" w:rsidP="00000000" w:rsidRDefault="00000000" w:rsidRPr="00000000" w14:paraId="00000082">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83">
          <w:pPr>
            <w:ind w:left="-45" w:right="176"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Ayuntamiento de Tenancingo</w:t>
          </w:r>
        </w:p>
      </w:tc>
    </w:tr>
    <w:tr>
      <w:trPr>
        <w:cantSplit w:val="0"/>
        <w:tblHeader w:val="0"/>
      </w:trPr>
      <w:tc>
        <w:tcPr>
          <w:shd w:fill="auto" w:val="clear"/>
          <w:vAlign w:val="center"/>
        </w:tcPr>
        <w:p w:rsidR="00000000" w:rsidDel="00000000" w:rsidP="00000000" w:rsidRDefault="00000000" w:rsidRPr="00000000" w14:paraId="00000084">
          <w:pPr>
            <w:ind w:right="-108"/>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85">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86">
    <w:pPr>
      <w:rPr>
        <w:rFonts w:ascii="Cambria" w:cs="Cambria" w:eastAsia="Cambria" w:hAnsi="Cambria"/>
        <w:color w:val="000000"/>
      </w:rPr>
    </w:pPr>
    <w:r w:rsidDel="00000000" w:rsidR="00000000" w:rsidRPr="00000000">
      <w:rPr>
        <w:rFonts w:ascii="Cambria" w:cs="Cambria" w:eastAsia="Cambria" w:hAnsi="Cambria"/>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rFonts w:ascii="Palatino Linotype" w:cs="Palatino Linotype" w:eastAsia="Palatino Linotype" w:hAnsi="Palatino Linotype"/>
        <w:color w:val="000000"/>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-283844</wp:posOffset>
          </wp:positionV>
          <wp:extent cx="7809865" cy="10165715"/>
          <wp:effectExtent b="0" l="0" r="0" t="0"/>
          <wp:wrapNone/>
          <wp:docPr id="16439191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9865" cy="10165715"/>
                  </a:xfrm>
                  <a:prstGeom prst="rect"/>
                  <a:ln/>
                </pic:spPr>
              </pic:pic>
            </a:graphicData>
          </a:graphic>
        </wp:anchor>
      </w:drawing>
    </w:r>
  </w:p>
  <w:tbl>
    <w:tblPr>
      <w:tblStyle w:val="Table2"/>
      <w:tblW w:w="5953.0" w:type="dxa"/>
      <w:jc w:val="left"/>
      <w:tblInd w:w="3261.0" w:type="dxa"/>
      <w:tblLayout w:type="fixed"/>
      <w:tblLook w:val="0400"/>
    </w:tblPr>
    <w:tblGrid>
      <w:gridCol w:w="2489"/>
      <w:gridCol w:w="3464"/>
      <w:tblGridChange w:id="0">
        <w:tblGrid>
          <w:gridCol w:w="2489"/>
          <w:gridCol w:w="3464"/>
        </w:tblGrid>
      </w:tblGridChange>
    </w:tblGrid>
    <w:tr>
      <w:trPr>
        <w:cantSplit w:val="0"/>
        <w:tblHeader w:val="0"/>
      </w:trPr>
      <w:tc>
        <w:tcPr>
          <w:shd w:fill="auto" w:val="clear"/>
        </w:tcPr>
        <w:p w:rsidR="00000000" w:rsidDel="00000000" w:rsidP="00000000" w:rsidRDefault="00000000" w:rsidRPr="00000000" w14:paraId="00000088">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Recurso de Revisión:</w:t>
          </w:r>
        </w:p>
      </w:tc>
      <w:tc>
        <w:tcPr>
          <w:shd w:fill="auto" w:val="clear"/>
          <w:vAlign w:val="center"/>
        </w:tcPr>
        <w:p w:rsidR="00000000" w:rsidDel="00000000" w:rsidP="00000000" w:rsidRDefault="00000000" w:rsidRPr="00000000" w14:paraId="00000089">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00944/INFOEM/IP/RR/2025</w:t>
          </w:r>
        </w:p>
      </w:tc>
    </w:tr>
    <w:tr>
      <w:trPr>
        <w:cantSplit w:val="0"/>
        <w:tblHeader w:val="0"/>
      </w:trPr>
      <w:tc>
        <w:tcPr>
          <w:shd w:fill="auto" w:val="clear"/>
        </w:tcPr>
        <w:p w:rsidR="00000000" w:rsidDel="00000000" w:rsidP="00000000" w:rsidRDefault="00000000" w:rsidRPr="00000000" w14:paraId="0000008A">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Recurrente</w:t>
          </w:r>
        </w:p>
      </w:tc>
      <w:tc>
        <w:tcPr>
          <w:shd w:fill="auto" w:val="clear"/>
          <w:vAlign w:val="center"/>
        </w:tcPr>
        <w:p w:rsidR="00000000" w:rsidDel="00000000" w:rsidP="00000000" w:rsidRDefault="00000000" w:rsidRPr="00000000" w14:paraId="0000008B">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XXXXXX XXXXXXXXXX  XXXXXXXXXXXXXX </w:t>
          </w:r>
        </w:p>
      </w:tc>
    </w:tr>
    <w:tr>
      <w:trPr>
        <w:cantSplit w:val="0"/>
        <w:trHeight w:val="228" w:hRule="atLeast"/>
        <w:tblHeader w:val="0"/>
      </w:trPr>
      <w:tc>
        <w:tcPr>
          <w:shd w:fill="auto" w:val="clear"/>
          <w:vAlign w:val="center"/>
        </w:tcPr>
        <w:p w:rsidR="00000000" w:rsidDel="00000000" w:rsidP="00000000" w:rsidRDefault="00000000" w:rsidRPr="00000000" w14:paraId="0000008C">
          <w:pPr>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Sujeto Obligado:</w:t>
          </w:r>
        </w:p>
      </w:tc>
      <w:tc>
        <w:tcPr>
          <w:shd w:fill="auto" w:val="clear"/>
          <w:vAlign w:val="center"/>
        </w:tcPr>
        <w:p w:rsidR="00000000" w:rsidDel="00000000" w:rsidP="00000000" w:rsidRDefault="00000000" w:rsidRPr="00000000" w14:paraId="0000008D">
          <w:pPr>
            <w:ind w:left="-45" w:right="176" w:firstLine="0"/>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Ayuntamiento de Tenancingo</w:t>
          </w:r>
        </w:p>
      </w:tc>
    </w:tr>
    <w:tr>
      <w:trPr>
        <w:cantSplit w:val="0"/>
        <w:tblHeader w:val="0"/>
      </w:trPr>
      <w:tc>
        <w:tcPr>
          <w:shd w:fill="auto" w:val="clear"/>
          <w:vAlign w:val="center"/>
        </w:tcPr>
        <w:p w:rsidR="00000000" w:rsidDel="00000000" w:rsidP="00000000" w:rsidRDefault="00000000" w:rsidRPr="00000000" w14:paraId="0000008E">
          <w:pPr>
            <w:ind w:right="-108"/>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Comisionada ponente:</w:t>
          </w:r>
        </w:p>
      </w:tc>
      <w:tc>
        <w:tcPr>
          <w:shd w:fill="auto" w:val="clear"/>
          <w:vAlign w:val="center"/>
        </w:tcPr>
        <w:p w:rsidR="00000000" w:rsidDel="00000000" w:rsidP="00000000" w:rsidRDefault="00000000" w:rsidRPr="00000000" w14:paraId="0000008F">
          <w:pPr>
            <w:ind w:right="175"/>
            <w:jc w:val="both"/>
            <w:rPr>
              <w:rFonts w:ascii="Palatino Linotype" w:cs="Palatino Linotype" w:eastAsia="Palatino Linotype" w:hAnsi="Palatino Linotype"/>
              <w:b w:val="1"/>
              <w:sz w:val="22"/>
              <w:szCs w:val="22"/>
            </w:rPr>
          </w:pPr>
          <w:r w:rsidDel="00000000" w:rsidR="00000000" w:rsidRPr="00000000">
            <w:rPr>
              <w:rFonts w:ascii="Palatino Linotype" w:cs="Palatino Linotype" w:eastAsia="Palatino Linotype" w:hAnsi="Palatino Linotype"/>
              <w:b w:val="1"/>
              <w:sz w:val="22"/>
              <w:szCs w:val="22"/>
              <w:rtl w:val="0"/>
            </w:rPr>
            <w:t xml:space="preserve">Guadalupe Ramírez Peña</w:t>
          </w:r>
        </w:p>
      </w:tc>
    </w:tr>
  </w:tbl>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spacing w:after="60" w:before="240" w:lineRule="auto"/>
      <w:ind w:left="2160" w:hanging="72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880" w:hanging="720"/>
    </w:pPr>
    <w:rPr>
      <w:rFonts w:ascii="Cambria" w:cs="Cambria" w:eastAsia="Cambria" w:hAnsi="Cambria"/>
      <w:b w:val="1"/>
      <w:sz w:val="28"/>
      <w:szCs w:val="28"/>
    </w:rPr>
  </w:style>
  <w:style w:type="paragraph" w:styleId="Heading5">
    <w:name w:val="heading 5"/>
    <w:basedOn w:val="Normal"/>
    <w:next w:val="Normal"/>
    <w:pPr>
      <w:spacing w:after="60" w:before="240" w:lineRule="auto"/>
      <w:ind w:left="3600" w:hanging="720"/>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before="240"/>
      <w:outlineLvl w:val="0"/>
    </w:pPr>
    <w:rPr>
      <w:rFonts w:ascii="Calibri" w:cs="Calibri" w:eastAsia="Calibri" w:hAnsi="Calibri"/>
      <w:color w:val="366091"/>
      <w:sz w:val="32"/>
      <w:szCs w:val="32"/>
    </w:rPr>
  </w:style>
  <w:style w:type="paragraph" w:styleId="Ttulo2">
    <w:name w:val="heading 2"/>
    <w:basedOn w:val="Normal"/>
    <w:next w:val="Normal"/>
    <w:uiPriority w:val="9"/>
    <w:semiHidden w:val="1"/>
    <w:unhideWhenUsed w:val="1"/>
    <w:qFormat w:val="1"/>
    <w:pPr>
      <w:keepNext w:val="1"/>
      <w:keepLines w:val="1"/>
      <w:spacing w:before="40"/>
      <w:outlineLvl w:val="1"/>
    </w:pPr>
    <w:rPr>
      <w:rFonts w:ascii="Calibri" w:cs="Calibri" w:eastAsia="Calibri" w:hAnsi="Calibri"/>
      <w:color w:val="366091"/>
      <w:sz w:val="26"/>
      <w:szCs w:val="26"/>
    </w:rPr>
  </w:style>
  <w:style w:type="paragraph" w:styleId="Ttulo3">
    <w:name w:val="heading 3"/>
    <w:basedOn w:val="Normal"/>
    <w:next w:val="Normal"/>
    <w:uiPriority w:val="9"/>
    <w:semiHidden w:val="1"/>
    <w:unhideWhenUsed w:val="1"/>
    <w:qFormat w:val="1"/>
    <w:pPr>
      <w:keepNext w:val="1"/>
      <w:spacing w:after="60" w:before="240"/>
      <w:ind w:left="2160" w:hanging="720"/>
      <w:outlineLvl w:val="2"/>
    </w:pPr>
    <w:rPr>
      <w:rFonts w:ascii="Calibri" w:cs="Calibri" w:eastAsia="Calibri" w:hAnsi="Calibri"/>
      <w:b w:val="1"/>
      <w:sz w:val="26"/>
      <w:szCs w:val="26"/>
    </w:rPr>
  </w:style>
  <w:style w:type="paragraph" w:styleId="Ttulo4">
    <w:name w:val="heading 4"/>
    <w:basedOn w:val="Normal"/>
    <w:next w:val="Normal"/>
    <w:uiPriority w:val="9"/>
    <w:semiHidden w:val="1"/>
    <w:unhideWhenUsed w:val="1"/>
    <w:qFormat w:val="1"/>
    <w:pPr>
      <w:keepNext w:val="1"/>
      <w:spacing w:after="60" w:before="240"/>
      <w:ind w:left="2880" w:hanging="720"/>
      <w:outlineLvl w:val="3"/>
    </w:pPr>
    <w:rPr>
      <w:rFonts w:ascii="Cambria" w:cs="Cambria" w:eastAsia="Cambria" w:hAnsi="Cambria"/>
      <w:b w:val="1"/>
      <w:sz w:val="28"/>
      <w:szCs w:val="28"/>
    </w:rPr>
  </w:style>
  <w:style w:type="paragraph" w:styleId="Ttulo5">
    <w:name w:val="heading 5"/>
    <w:basedOn w:val="Normal"/>
    <w:next w:val="Normal"/>
    <w:uiPriority w:val="9"/>
    <w:semiHidden w:val="1"/>
    <w:unhideWhenUsed w:val="1"/>
    <w:qFormat w:val="1"/>
    <w:pPr>
      <w:spacing w:after="60" w:before="240"/>
      <w:ind w:left="3600" w:hanging="720"/>
      <w:outlineLvl w:val="4"/>
    </w:pPr>
    <w:rPr>
      <w:rFonts w:ascii="Cambria" w:cs="Cambria" w:eastAsia="Cambria" w:hAnsi="Cambria"/>
      <w:b w:val="1"/>
      <w:i w:val="1"/>
      <w:sz w:val="26"/>
      <w:szCs w:val="26"/>
    </w:rPr>
  </w:style>
  <w:style w:type="paragraph" w:styleId="Ttulo6">
    <w:name w:val="heading 6"/>
    <w:basedOn w:val="Normal"/>
    <w:next w:val="Normal"/>
    <w:uiPriority w:val="9"/>
    <w:semiHidden w:val="1"/>
    <w:unhideWhenUsed w:val="1"/>
    <w:qFormat w:val="1"/>
    <w:pPr>
      <w:spacing w:after="60" w:before="240"/>
      <w:ind w:left="4320" w:hanging="720"/>
      <w:outlineLvl w:val="5"/>
    </w:pPr>
    <w:rPr>
      <w:b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paragraph" w:styleId="Encabezado">
    <w:name w:val="header"/>
    <w:basedOn w:val="Normal"/>
    <w:link w:val="EncabezadoCar"/>
    <w:uiPriority w:val="99"/>
    <w:unhideWhenUsed w:val="1"/>
    <w:rsid w:val="000D197B"/>
    <w:pPr>
      <w:tabs>
        <w:tab w:val="center" w:pos="4419"/>
        <w:tab w:val="right" w:pos="8838"/>
      </w:tabs>
    </w:pPr>
  </w:style>
  <w:style w:type="character" w:styleId="EncabezadoCar" w:customStyle="1">
    <w:name w:val="Encabezado Car"/>
    <w:basedOn w:val="Fuentedeprrafopredeter"/>
    <w:link w:val="Encabezado"/>
    <w:uiPriority w:val="99"/>
    <w:rsid w:val="000D197B"/>
  </w:style>
  <w:style w:type="paragraph" w:styleId="Piedepgina">
    <w:name w:val="footer"/>
    <w:basedOn w:val="Normal"/>
    <w:link w:val="PiedepginaCar"/>
    <w:uiPriority w:val="99"/>
    <w:unhideWhenUsed w:val="1"/>
    <w:rsid w:val="000D197B"/>
    <w:pPr>
      <w:tabs>
        <w:tab w:val="center" w:pos="4419"/>
        <w:tab w:val="right" w:pos="8838"/>
      </w:tabs>
    </w:pPr>
  </w:style>
  <w:style w:type="character" w:styleId="PiedepginaCar" w:customStyle="1">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val="1"/>
    <w:rsid w:val="00C43334"/>
    <w:pPr>
      <w:ind w:left="720"/>
      <w:contextualSpacing w:val="1"/>
    </w:pPr>
  </w:style>
  <w:style w:type="paragraph" w:styleId="NormalWeb">
    <w:name w:val="Normal (Web)"/>
    <w:basedOn w:val="Normal"/>
    <w:uiPriority w:val="99"/>
    <w:unhideWhenUsed w:val="1"/>
    <w:rsid w:val="00476335"/>
    <w:pPr>
      <w:spacing w:after="100" w:afterAutospacing="1" w:before="100" w:before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806B5C"/>
    <w:rPr>
      <w:rFonts w:asciiTheme="minorHAnsi" w:cstheme="minorBidi" w:eastAsiaTheme="minorHAnsi" w:hAnsiTheme="minorHAnsi"/>
      <w:sz w:val="20"/>
      <w:szCs w:val="20"/>
      <w:lang w:eastAsia="en-US"/>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cstheme="minorBidi" w:eastAsiaTheme="minorHAnsi" w:hAnsiTheme="minorHAns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val="1"/>
    <w:qFormat w:val="1"/>
    <w:rsid w:val="00806B5C"/>
    <w:rPr>
      <w:vertAlign w:val="superscript"/>
    </w:r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character" w:styleId="Hipervnculo">
    <w:name w:val="Hyperlink"/>
    <w:basedOn w:val="Fuentedeprrafopredeter"/>
    <w:uiPriority w:val="99"/>
    <w:unhideWhenUsed w:val="1"/>
    <w:rsid w:val="00504D6C"/>
    <w:rPr>
      <w:color w:val="0000ff" w:themeColor="hyperlink"/>
      <w:u w:val="single"/>
    </w:rPr>
  </w:style>
  <w:style w:type="character" w:styleId="Hipervnculovisitado">
    <w:name w:val="FollowedHyperlink"/>
    <w:basedOn w:val="Fuentedeprrafopredeter"/>
    <w:uiPriority w:val="99"/>
    <w:semiHidden w:val="1"/>
    <w:unhideWhenUsed w:val="1"/>
    <w:rsid w:val="00504D6C"/>
    <w:rPr>
      <w:color w:val="800080" w:themeColor="followedHyperlink"/>
      <w:u w:val="single"/>
    </w:rPr>
  </w:style>
  <w:style w:type="table" w:styleId="Tablaconcuadrcula">
    <w:name w:val="Table Grid"/>
    <w:basedOn w:val="Tablanormal"/>
    <w:uiPriority w:val="39"/>
    <w:rsid w:val="00134A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3" w:customStyle="1">
    <w:basedOn w:val="TableNormal0"/>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left w:w="115.0" w:type="dxa"/>
        <w:right w:w="115.0" w:type="dxa"/>
      </w:tblCellMar>
    </w:tblPr>
  </w:style>
  <w:style w:type="paragraph" w:styleId="Listaconvietas3">
    <w:name w:val="List Bullet 3"/>
    <w:basedOn w:val="Normal"/>
    <w:uiPriority w:val="99"/>
    <w:unhideWhenUsed w:val="1"/>
    <w:rsid w:val="005E017B"/>
    <w:pPr>
      <w:numPr>
        <w:numId w:val="5"/>
      </w:numPr>
      <w:contextualSpacing w:val="1"/>
    </w:pPr>
  </w:style>
  <w:style w:type="character" w:styleId="yt-core-attributed-string--link-inherit-color" w:customStyle="1">
    <w:name w:val="yt-core-attributed-string--link-inherit-color"/>
    <w:basedOn w:val="Fuentedeprrafopredeter"/>
    <w:rsid w:val="00EA0BEF"/>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val="1"/>
    <w:locked w:val="1"/>
    <w:rsid w:val="00452086"/>
  </w:style>
  <w:style w:type="character" w:styleId="Mencinsinresolver1" w:customStyle="1">
    <w:name w:val="Mención sin resolver1"/>
    <w:basedOn w:val="Fuentedeprrafopredeter"/>
    <w:uiPriority w:val="99"/>
    <w:semiHidden w:val="1"/>
    <w:unhideWhenUsed w:val="1"/>
    <w:rsid w:val="00C64B15"/>
    <w:rPr>
      <w:color w:val="605e5c"/>
      <w:shd w:color="auto" w:fill="e1dfdd" w:val="clear"/>
    </w:rPr>
  </w:style>
  <w:style w:type="paragraph" w:styleId="Default" w:customStyle="1">
    <w:name w:val="Default"/>
    <w:rsid w:val="00B92077"/>
    <w:pPr>
      <w:autoSpaceDE w:val="0"/>
      <w:autoSpaceDN w:val="0"/>
      <w:adjustRightInd w:val="0"/>
    </w:pPr>
    <w:rPr>
      <w:rFonts w:ascii="Arial" w:cs="Arial" w:hAnsi="Arial"/>
      <w:color w:val="000000"/>
    </w:rPr>
  </w:style>
  <w:style w:type="paragraph" w:styleId="Sinespaciado">
    <w:name w:val="No Spacing"/>
    <w:aliases w:val="Francesa"/>
    <w:link w:val="SinespaciadoCar"/>
    <w:uiPriority w:val="1"/>
    <w:qFormat w:val="1"/>
    <w:rsid w:val="00CB152B"/>
    <w:rPr>
      <w:rFonts w:asciiTheme="minorHAnsi" w:cstheme="minorBidi" w:eastAsiaTheme="minorHAnsi" w:hAnsiTheme="minorHAnsi"/>
      <w:sz w:val="22"/>
      <w:szCs w:val="22"/>
      <w:lang w:eastAsia="en-US"/>
    </w:rPr>
  </w:style>
  <w:style w:type="character" w:styleId="SinespaciadoCar" w:customStyle="1">
    <w:name w:val="Sin espaciado Car"/>
    <w:aliases w:val="Francesa Car"/>
    <w:link w:val="Sinespaciado"/>
    <w:uiPriority w:val="1"/>
    <w:locked w:val="1"/>
    <w:rsid w:val="00CB152B"/>
    <w:rPr>
      <w:rFonts w:asciiTheme="minorHAnsi" w:cstheme="minorBidi" w:eastAsiaTheme="minorHAnsi" w:hAnsiTheme="minorHAnsi"/>
      <w:sz w:val="22"/>
      <w:szCs w:val="22"/>
      <w:lang w:eastAsia="en-US"/>
    </w:rPr>
  </w:style>
  <w:style w:type="paragraph" w:styleId="Citas" w:customStyle="1">
    <w:name w:val="Citas"/>
    <w:basedOn w:val="Normal"/>
    <w:qFormat w:val="1"/>
    <w:rsid w:val="006A4CB6"/>
    <w:pPr>
      <w:spacing w:after="160" w:before="240" w:line="360" w:lineRule="auto"/>
      <w:ind w:left="851" w:right="851"/>
      <w:jc w:val="both"/>
    </w:pPr>
    <w:rPr>
      <w:rFonts w:ascii="Palatino Linotype" w:cs="Arial" w:hAnsi="Palatino Linotype" w:eastAsiaTheme="minorHAnsi"/>
      <w:i w:val="1"/>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1ef5bjPxkC8dfL40hHnLPOI/g==">CgMxLjAyDmguN3g1NmJva3dwNzU1MgloLjNkeTZ2a20yCWguMzBqMHpsbDIJaC4yczhleW8xMghoLnR5amN3dDIJaC4zem55c2g3MgloLjFmb2I5dGUyCWguM3JkY3JqbjIJaC4xdDNoNXNmOAByITE2UThrcy02WGxBRlRhNENhOTJpNnFmbWtCN3lXRXBFQw==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2025-04-01T19:14:00Z</dcterms:created>
  <dc:creator>USUARIO</dc:creator>
</cp:coreProperties>
</file>