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AEFF" w14:textId="77777777" w:rsidR="00196457" w:rsidRPr="004222CF" w:rsidRDefault="00077512">
      <w:pPr>
        <w:spacing w:before="240" w:after="240"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4222CF">
        <w:rPr>
          <w:rFonts w:ascii="Palatino Linotype" w:eastAsia="Palatino Linotype" w:hAnsi="Palatino Linotype" w:cs="Palatino Linotype"/>
          <w:b/>
          <w:sz w:val="22"/>
          <w:szCs w:val="22"/>
        </w:rPr>
        <w:t>a veintidós de enero de dos mil veinticinco</w:t>
      </w:r>
      <w:r w:rsidRPr="004222CF">
        <w:rPr>
          <w:rFonts w:ascii="Palatino Linotype" w:eastAsia="Palatino Linotype" w:hAnsi="Palatino Linotype" w:cs="Palatino Linotype"/>
          <w:sz w:val="22"/>
          <w:szCs w:val="22"/>
        </w:rPr>
        <w:t xml:space="preserve">. </w:t>
      </w:r>
    </w:p>
    <w:p w14:paraId="6BB02DAC" w14:textId="77777777" w:rsidR="00196457" w:rsidRPr="004222CF" w:rsidRDefault="00077512">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4222CF">
        <w:rPr>
          <w:rFonts w:ascii="Palatino Linotype" w:eastAsia="Palatino Linotype" w:hAnsi="Palatino Linotype" w:cs="Palatino Linotype"/>
          <w:b/>
          <w:sz w:val="22"/>
          <w:szCs w:val="22"/>
        </w:rPr>
        <w:t>Visto</w:t>
      </w:r>
      <w:r w:rsidRPr="004222CF">
        <w:rPr>
          <w:rFonts w:ascii="Palatino Linotype" w:eastAsia="Palatino Linotype" w:hAnsi="Palatino Linotype" w:cs="Palatino Linotype"/>
          <w:sz w:val="22"/>
          <w:szCs w:val="22"/>
        </w:rPr>
        <w:t xml:space="preserve"> el expediente formado con motivo del recurso de revisión </w:t>
      </w:r>
      <w:r w:rsidRPr="004222CF">
        <w:rPr>
          <w:rFonts w:ascii="Palatino Linotype" w:eastAsia="Palatino Linotype" w:hAnsi="Palatino Linotype" w:cs="Palatino Linotype"/>
          <w:b/>
          <w:sz w:val="22"/>
          <w:szCs w:val="22"/>
        </w:rPr>
        <w:t>07624/INFOEM/IP/RR/2024</w:t>
      </w:r>
      <w:r w:rsidRPr="004222CF">
        <w:rPr>
          <w:rFonts w:ascii="Palatino Linotype" w:eastAsia="Palatino Linotype" w:hAnsi="Palatino Linotype" w:cs="Palatino Linotype"/>
          <w:sz w:val="22"/>
          <w:szCs w:val="22"/>
        </w:rPr>
        <w:t>, interpuesto por</w:t>
      </w:r>
      <w:r w:rsidRPr="004222CF">
        <w:t xml:space="preserve"> </w:t>
      </w:r>
      <w:r w:rsidRPr="004222CF">
        <w:rPr>
          <w:rFonts w:ascii="Palatino Linotype" w:eastAsia="Palatino Linotype" w:hAnsi="Palatino Linotype" w:cs="Palatino Linotype"/>
          <w:b/>
          <w:sz w:val="22"/>
          <w:szCs w:val="22"/>
        </w:rPr>
        <w:t>una persona usuaria del Sistema de Acceso a la Información Mexiquense que no proporcionó nombre,</w:t>
      </w:r>
      <w:r w:rsidRPr="004222CF">
        <w:rPr>
          <w:rFonts w:ascii="Palatino Linotype" w:eastAsia="Palatino Linotype" w:hAnsi="Palatino Linotype" w:cs="Palatino Linotype"/>
          <w:sz w:val="22"/>
          <w:szCs w:val="22"/>
        </w:rPr>
        <w:t xml:space="preserve"> en lo sucesivo</w:t>
      </w:r>
      <w:r w:rsidRPr="004222CF">
        <w:rPr>
          <w:rFonts w:ascii="Palatino Linotype" w:eastAsia="Palatino Linotype" w:hAnsi="Palatino Linotype" w:cs="Palatino Linotype"/>
          <w:b/>
          <w:sz w:val="22"/>
          <w:szCs w:val="22"/>
        </w:rPr>
        <w:t xml:space="preserve"> la parte</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Recurrente,</w:t>
      </w:r>
      <w:r w:rsidRPr="004222CF">
        <w:rPr>
          <w:rFonts w:ascii="Palatino Linotype" w:eastAsia="Palatino Linotype" w:hAnsi="Palatino Linotype" w:cs="Palatino Linotype"/>
          <w:sz w:val="22"/>
          <w:szCs w:val="22"/>
        </w:rPr>
        <w:t xml:space="preserve"> en contra de la respuesta a su solicitud por parte del</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b/>
          <w:bCs/>
          <w:sz w:val="22"/>
          <w:szCs w:val="22"/>
        </w:rPr>
        <w:t>Sistema Municipal Para el Desarrollo Integral de la Familia de Toluca</w:t>
      </w:r>
      <w:r w:rsidRPr="004222CF">
        <w:rPr>
          <w:rFonts w:ascii="Palatino Linotype" w:eastAsia="Palatino Linotype" w:hAnsi="Palatino Linotype" w:cs="Palatino Linotype"/>
          <w:sz w:val="22"/>
          <w:szCs w:val="22"/>
        </w:rPr>
        <w:t>,</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sz w:val="22"/>
          <w:szCs w:val="22"/>
        </w:rPr>
        <w:t xml:space="preserve">en lo sucesivo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se procede a dictar la presente resolución con base en los siguientes: </w:t>
      </w:r>
    </w:p>
    <w:p w14:paraId="60D512CC" w14:textId="77777777" w:rsidR="00196457" w:rsidRPr="004222CF" w:rsidRDefault="00077512">
      <w:pPr>
        <w:spacing w:before="240" w:after="240" w:line="360" w:lineRule="auto"/>
        <w:jc w:val="center"/>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I. A N T E C E D E N T E S</w:t>
      </w:r>
    </w:p>
    <w:p w14:paraId="693F0AED" w14:textId="77777777" w:rsidR="00196457" w:rsidRPr="004222CF" w:rsidRDefault="00077512">
      <w:pPr>
        <w:spacing w:before="240" w:after="240"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1. Solicitud de acceso a la información.</w:t>
      </w:r>
      <w:r w:rsidRPr="004222CF">
        <w:rPr>
          <w:rFonts w:ascii="Palatino Linotype" w:eastAsia="Palatino Linotype" w:hAnsi="Palatino Linotype" w:cs="Palatino Linotype"/>
          <w:sz w:val="22"/>
          <w:szCs w:val="22"/>
        </w:rPr>
        <w:t xml:space="preserve"> El </w:t>
      </w:r>
      <w:r w:rsidRPr="004222CF">
        <w:rPr>
          <w:rFonts w:ascii="Palatino Linotype" w:eastAsia="Palatino Linotype" w:hAnsi="Palatino Linotype" w:cs="Palatino Linotype"/>
          <w:b/>
          <w:sz w:val="22"/>
          <w:szCs w:val="22"/>
        </w:rPr>
        <w:t>veintiuno de octubre de dos mil veinticuatro,</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la parte</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 xml:space="preserve">Recurrente </w:t>
      </w:r>
      <w:r w:rsidRPr="004222CF">
        <w:rPr>
          <w:rFonts w:ascii="Palatino Linotype" w:eastAsia="Palatino Linotype" w:hAnsi="Palatino Linotype" w:cs="Palatino Linotype"/>
          <w:sz w:val="22"/>
          <w:szCs w:val="22"/>
        </w:rPr>
        <w:t xml:space="preserve">presentó, a través del Sistema de Acceso a la Información Mexiquense, en lo subsecuente el </w:t>
      </w:r>
      <w:r w:rsidRPr="004222CF">
        <w:rPr>
          <w:rFonts w:ascii="Palatino Linotype" w:eastAsia="Palatino Linotype" w:hAnsi="Palatino Linotype" w:cs="Palatino Linotype"/>
          <w:b/>
          <w:sz w:val="22"/>
          <w:szCs w:val="22"/>
        </w:rPr>
        <w:t>SAIMEX,</w:t>
      </w:r>
      <w:r w:rsidRPr="004222CF">
        <w:rPr>
          <w:rFonts w:ascii="Palatino Linotype" w:eastAsia="Palatino Linotype" w:hAnsi="Palatino Linotype" w:cs="Palatino Linotype"/>
          <w:sz w:val="22"/>
          <w:szCs w:val="22"/>
        </w:rPr>
        <w:t xml:space="preserve"> ante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la solicitud de acceso a la información pública, a la que se le asignó el número</w:t>
      </w:r>
      <w:r w:rsidRPr="004222CF">
        <w:t xml:space="preserve"> </w:t>
      </w:r>
      <w:r w:rsidRPr="004222CF">
        <w:rPr>
          <w:rFonts w:ascii="Palatino Linotype" w:eastAsia="Palatino Linotype" w:hAnsi="Palatino Linotype" w:cs="Palatino Linotype"/>
          <w:b/>
          <w:sz w:val="22"/>
          <w:szCs w:val="22"/>
        </w:rPr>
        <w:t xml:space="preserve">00198/DIFTOLUCA/IP/2024, </w:t>
      </w:r>
      <w:r w:rsidRPr="004222CF">
        <w:rPr>
          <w:rFonts w:ascii="Palatino Linotype" w:eastAsia="Palatino Linotype" w:hAnsi="Palatino Linotype" w:cs="Palatino Linotype"/>
          <w:sz w:val="22"/>
          <w:szCs w:val="22"/>
        </w:rPr>
        <w:t xml:space="preserve">mediante la cual requirió la información siguiente: </w:t>
      </w:r>
    </w:p>
    <w:p w14:paraId="329318BD" w14:textId="77777777" w:rsidR="00196457" w:rsidRPr="004222CF" w:rsidRDefault="00077512">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4222CF">
        <w:rPr>
          <w:rFonts w:ascii="Palatino Linotype" w:eastAsia="Palatino Linotype" w:hAnsi="Palatino Linotype" w:cs="Palatino Linotype"/>
          <w:i/>
          <w:sz w:val="22"/>
          <w:szCs w:val="22"/>
        </w:rPr>
        <w:t xml:space="preserve">“Se solicita el nombre, cargo, sueldo área de adscripción y antigüedad del personal que fue sindicalizados en esta administración y los oficios donde se determina la </w:t>
      </w:r>
      <w:proofErr w:type="spellStart"/>
      <w:r w:rsidRPr="004222CF">
        <w:rPr>
          <w:rFonts w:ascii="Palatino Linotype" w:eastAsia="Palatino Linotype" w:hAnsi="Palatino Linotype" w:cs="Palatino Linotype"/>
          <w:i/>
          <w:sz w:val="22"/>
          <w:szCs w:val="22"/>
        </w:rPr>
        <w:t>sindicalizacion</w:t>
      </w:r>
      <w:proofErr w:type="spellEnd"/>
      <w:r w:rsidRPr="004222CF">
        <w:rPr>
          <w:rFonts w:ascii="Palatino Linotype" w:eastAsia="Palatino Linotype" w:hAnsi="Palatino Linotype" w:cs="Palatino Linotype"/>
          <w:i/>
          <w:sz w:val="22"/>
          <w:szCs w:val="22"/>
        </w:rPr>
        <w:t xml:space="preserve"> 2024” (Sic) </w:t>
      </w:r>
    </w:p>
    <w:p w14:paraId="5028E10D" w14:textId="77777777" w:rsidR="00196457" w:rsidRPr="004222CF" w:rsidRDefault="00077512">
      <w:pPr>
        <w:spacing w:before="240" w:after="240" w:line="360" w:lineRule="auto"/>
        <w:ind w:right="902"/>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Modalidad de Entrega:</w:t>
      </w:r>
      <w:r w:rsidRPr="004222CF">
        <w:rPr>
          <w:rFonts w:ascii="Palatino Linotype" w:eastAsia="Palatino Linotype" w:hAnsi="Palatino Linotype" w:cs="Palatino Linotype"/>
          <w:sz w:val="22"/>
          <w:szCs w:val="22"/>
        </w:rPr>
        <w:t xml:space="preserve"> a través </w:t>
      </w:r>
      <w:r w:rsidRPr="004222CF">
        <w:rPr>
          <w:rFonts w:ascii="Palatino Linotype" w:eastAsia="Palatino Linotype" w:hAnsi="Palatino Linotype" w:cs="Palatino Linotype"/>
          <w:b/>
          <w:sz w:val="22"/>
          <w:szCs w:val="22"/>
        </w:rPr>
        <w:t>de SAIMEX.</w:t>
      </w:r>
    </w:p>
    <w:p w14:paraId="4B4E9A1F" w14:textId="77777777" w:rsidR="00196457" w:rsidRPr="004222CF" w:rsidRDefault="00077512">
      <w:pPr>
        <w:tabs>
          <w:tab w:val="left" w:pos="142"/>
          <w:tab w:val="left" w:pos="284"/>
        </w:tabs>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4222CF">
        <w:rPr>
          <w:rFonts w:ascii="Palatino Linotype" w:eastAsia="Palatino Linotype" w:hAnsi="Palatino Linotype" w:cs="Palatino Linotype"/>
          <w:b/>
          <w:sz w:val="22"/>
          <w:szCs w:val="22"/>
        </w:rPr>
        <w:lastRenderedPageBreak/>
        <w:t xml:space="preserve">2. Prórroga. </w:t>
      </w:r>
      <w:r w:rsidRPr="004222CF">
        <w:rPr>
          <w:rFonts w:ascii="Palatino Linotype" w:eastAsia="Palatino Linotype" w:hAnsi="Palatino Linotype" w:cs="Palatino Linotype"/>
          <w:sz w:val="22"/>
          <w:szCs w:val="22"/>
        </w:rPr>
        <w:t xml:space="preserve">El </w:t>
      </w:r>
      <w:r w:rsidRPr="004222CF">
        <w:rPr>
          <w:rFonts w:ascii="Palatino Linotype" w:eastAsia="Palatino Linotype" w:hAnsi="Palatino Linotype" w:cs="Palatino Linotype"/>
          <w:b/>
          <w:sz w:val="22"/>
          <w:szCs w:val="22"/>
        </w:rPr>
        <w:t xml:space="preserve">doce de noviembre de dos mil veinticuatro, </w:t>
      </w:r>
      <w:r w:rsidRPr="004222CF">
        <w:rPr>
          <w:rFonts w:ascii="Palatino Linotype" w:eastAsia="Palatino Linotype" w:hAnsi="Palatino Linotype" w:cs="Palatino Linotype"/>
          <w:sz w:val="22"/>
          <w:szCs w:val="22"/>
        </w:rPr>
        <w:t xml:space="preserve">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informó que el plazo de quince días hábiles para atender la solicitud de mérito fue prorrogado por siete días más en virtud de las siguientes razones: </w:t>
      </w:r>
    </w:p>
    <w:p w14:paraId="217B6E68" w14:textId="77777777" w:rsidR="00196457" w:rsidRPr="004222CF" w:rsidRDefault="00077512">
      <w:pPr>
        <w:spacing w:line="276" w:lineRule="auto"/>
        <w:ind w:left="567" w:right="56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“SE APROBÓ UNA AMPLIACIÓN DE 07 DÍAS HÁBILES AL PLAZO PARA DAR RESPUESTA CON FUNDAMENTO EN EL ARTICULO 163 DE LA LEY EN LA MATERIA” (Sic)</w:t>
      </w:r>
    </w:p>
    <w:p w14:paraId="174748C7" w14:textId="77777777" w:rsidR="00196457" w:rsidRPr="004222CF" w:rsidRDefault="00196457">
      <w:pPr>
        <w:spacing w:line="276" w:lineRule="auto"/>
        <w:ind w:left="567" w:right="560"/>
        <w:jc w:val="both"/>
        <w:rPr>
          <w:rFonts w:ascii="Palatino Linotype" w:eastAsia="Palatino Linotype" w:hAnsi="Palatino Linotype" w:cs="Palatino Linotype"/>
          <w:i/>
          <w:sz w:val="22"/>
          <w:szCs w:val="22"/>
        </w:rPr>
      </w:pPr>
    </w:p>
    <w:p w14:paraId="24BFA83A"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 lo anterior,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hizo entrega del archivo electrónico denominado “</w:t>
      </w:r>
      <w:r w:rsidRPr="004222CF">
        <w:rPr>
          <w:rFonts w:ascii="Palatino Linotype" w:eastAsia="Palatino Linotype" w:hAnsi="Palatino Linotype" w:cs="Palatino Linotype"/>
          <w:b/>
          <w:i/>
          <w:sz w:val="22"/>
          <w:szCs w:val="22"/>
        </w:rPr>
        <w:t xml:space="preserve">86 </w:t>
      </w:r>
      <w:proofErr w:type="spellStart"/>
      <w:r w:rsidRPr="004222CF">
        <w:rPr>
          <w:rFonts w:ascii="Palatino Linotype" w:eastAsia="Palatino Linotype" w:hAnsi="Palatino Linotype" w:cs="Palatino Linotype"/>
          <w:b/>
          <w:i/>
          <w:sz w:val="22"/>
          <w:szCs w:val="22"/>
        </w:rPr>
        <w:t>Sesion</w:t>
      </w:r>
      <w:proofErr w:type="spellEnd"/>
      <w:r w:rsidRPr="004222CF">
        <w:rPr>
          <w:rFonts w:ascii="Palatino Linotype" w:eastAsia="Palatino Linotype" w:hAnsi="Palatino Linotype" w:cs="Palatino Linotype"/>
          <w:b/>
          <w:i/>
          <w:sz w:val="22"/>
          <w:szCs w:val="22"/>
        </w:rPr>
        <w:t xml:space="preserve"> Extraordinaria del </w:t>
      </w:r>
      <w:proofErr w:type="spellStart"/>
      <w:r w:rsidRPr="004222CF">
        <w:rPr>
          <w:rFonts w:ascii="Palatino Linotype" w:eastAsia="Palatino Linotype" w:hAnsi="Palatino Linotype" w:cs="Palatino Linotype"/>
          <w:b/>
          <w:i/>
          <w:sz w:val="22"/>
          <w:szCs w:val="22"/>
        </w:rPr>
        <w:t>Comite</w:t>
      </w:r>
      <w:proofErr w:type="spellEnd"/>
      <w:r w:rsidRPr="004222CF">
        <w:rPr>
          <w:rFonts w:ascii="Palatino Linotype" w:eastAsia="Palatino Linotype" w:hAnsi="Palatino Linotype" w:cs="Palatino Linotype"/>
          <w:b/>
          <w:i/>
          <w:sz w:val="22"/>
          <w:szCs w:val="22"/>
        </w:rPr>
        <w:t xml:space="preserve"> de Transparencia .</w:t>
      </w:r>
      <w:proofErr w:type="spellStart"/>
      <w:r w:rsidRPr="004222CF">
        <w:rPr>
          <w:rFonts w:ascii="Palatino Linotype" w:eastAsia="Palatino Linotype" w:hAnsi="Palatino Linotype" w:cs="Palatino Linotype"/>
          <w:b/>
          <w:i/>
          <w:sz w:val="22"/>
          <w:szCs w:val="22"/>
        </w:rPr>
        <w:t>pdf</w:t>
      </w:r>
      <w:proofErr w:type="spellEnd"/>
      <w:r w:rsidRPr="004222CF">
        <w:rPr>
          <w:rFonts w:ascii="Palatino Linotype" w:eastAsia="Palatino Linotype" w:hAnsi="Palatino Linotype" w:cs="Palatino Linotype"/>
          <w:sz w:val="22"/>
          <w:szCs w:val="22"/>
        </w:rPr>
        <w:t xml:space="preserve">”, que contiene el Acta de la Octogésima Sexta Sesión Extraordinaria del Comité de Transparencia del 11 de noviembre de 2024, a través del cual bajo el punto cuatro inciso a) del orden del día, se llevó a cabo la aprobación de la prórroga para dar atención, entre otras, a la solicitud de información </w:t>
      </w:r>
      <w:r w:rsidRPr="004222CF">
        <w:rPr>
          <w:rFonts w:ascii="Palatino Linotype" w:eastAsia="Palatino Linotype" w:hAnsi="Palatino Linotype" w:cs="Palatino Linotype"/>
          <w:b/>
          <w:sz w:val="22"/>
          <w:szCs w:val="22"/>
        </w:rPr>
        <w:t>00198/DIFTOLUCA/IP/2024.</w:t>
      </w:r>
    </w:p>
    <w:p w14:paraId="67A579CE"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523ED1A4"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 esta manera, como refiere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4222CF">
        <w:rPr>
          <w:rFonts w:ascii="Palatino Linotype" w:eastAsia="Palatino Linotype" w:hAnsi="Palatino Linotype" w:cs="Palatino Linotype"/>
          <w:b/>
          <w:sz w:val="22"/>
          <w:szCs w:val="22"/>
        </w:rPr>
        <w:t>SI se observaron las formalidades que establece la Ley de la materia</w:t>
      </w:r>
      <w:r w:rsidRPr="004222CF">
        <w:rPr>
          <w:rFonts w:ascii="Palatino Linotype" w:eastAsia="Palatino Linotype" w:hAnsi="Palatino Linotype" w:cs="Palatino Linotype"/>
          <w:sz w:val="22"/>
          <w:szCs w:val="22"/>
        </w:rPr>
        <w:t>, pues se anexó el Acta que contiene el Acuerdo del Comité de Transparencia de dicho ente público, mediante el cual se aprobara la ampliación del plazo para dar atención a la solicitud de información.</w:t>
      </w:r>
    </w:p>
    <w:p w14:paraId="4EFD5971" w14:textId="77777777" w:rsidR="00196457" w:rsidRPr="004222CF" w:rsidRDefault="00077512">
      <w:pPr>
        <w:tabs>
          <w:tab w:val="left" w:pos="142"/>
          <w:tab w:val="left" w:pos="284"/>
        </w:tabs>
        <w:spacing w:before="240" w:after="240"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lastRenderedPageBreak/>
        <w:t xml:space="preserve">3. Respuesta. </w:t>
      </w:r>
      <w:r w:rsidRPr="004222CF">
        <w:rPr>
          <w:rFonts w:ascii="Palatino Linotype" w:eastAsia="Palatino Linotype" w:hAnsi="Palatino Linotype" w:cs="Palatino Linotype"/>
          <w:sz w:val="22"/>
          <w:szCs w:val="22"/>
        </w:rPr>
        <w:t xml:space="preserve">El </w:t>
      </w:r>
      <w:r w:rsidRPr="004222CF">
        <w:rPr>
          <w:rFonts w:ascii="Palatino Linotype" w:eastAsia="Palatino Linotype" w:hAnsi="Palatino Linotype" w:cs="Palatino Linotype"/>
          <w:b/>
          <w:sz w:val="22"/>
          <w:szCs w:val="22"/>
        </w:rPr>
        <w:t>veintidós de noviembre de dos mil veinticuatro</w:t>
      </w:r>
      <w:r w:rsidRPr="004222CF">
        <w:rPr>
          <w:rFonts w:ascii="Palatino Linotype" w:eastAsia="Palatino Linotype" w:hAnsi="Palatino Linotype" w:cs="Palatino Linotype"/>
          <w:sz w:val="22"/>
          <w:szCs w:val="22"/>
        </w:rPr>
        <w:t xml:space="preserve">,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85D2E39" w14:textId="77777777" w:rsidR="00196457" w:rsidRPr="004222CF" w:rsidRDefault="00077512">
      <w:pPr>
        <w:spacing w:before="240" w:after="24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“...En cumplimiento a lo dispuesto en el artículo 53 fracción II, IV, V y VI de la Ley de Transparencia y Acceso a la Información Pública del Estado de México y Municipios, adjunto a la presente se anexa ola información y los elementos necesarios para la atención de la solicitud de información interpuesta a este Sujeto Obligado.” (Sic)</w:t>
      </w:r>
      <w:r w:rsidRPr="004222CF">
        <w:rPr>
          <w:rFonts w:ascii="Palatino Linotype" w:eastAsia="Palatino Linotype" w:hAnsi="Palatino Linotype" w:cs="Palatino Linotype"/>
          <w:b/>
          <w:sz w:val="22"/>
          <w:szCs w:val="22"/>
          <w:u w:val="single"/>
        </w:rPr>
        <w:t xml:space="preserve"> </w:t>
      </w:r>
    </w:p>
    <w:p w14:paraId="59C3294E"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Adjunto a la respuesta,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hizo entrega de los siguientes archivos electrónicos con la siguiente información:</w:t>
      </w:r>
    </w:p>
    <w:p w14:paraId="2F14850E" w14:textId="77777777" w:rsidR="00196457" w:rsidRPr="004222CF" w:rsidRDefault="00196457">
      <w:pPr>
        <w:spacing w:line="276" w:lineRule="auto"/>
        <w:ind w:right="49"/>
        <w:jc w:val="both"/>
        <w:rPr>
          <w:rFonts w:ascii="Palatino Linotype" w:eastAsia="Palatino Linotype" w:hAnsi="Palatino Linotype" w:cs="Palatino Linotype"/>
          <w:sz w:val="22"/>
          <w:szCs w:val="22"/>
        </w:rPr>
      </w:pPr>
    </w:p>
    <w:p w14:paraId="41413D42" w14:textId="77777777" w:rsidR="00196457" w:rsidRPr="004222CF" w:rsidRDefault="00077512">
      <w:pPr>
        <w:pStyle w:val="Prrafodelista"/>
        <w:numPr>
          <w:ilvl w:val="0"/>
          <w:numId w:val="2"/>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Respuesta SPH 198-2024.pdf: </w:t>
      </w:r>
      <w:r w:rsidRPr="004222CF">
        <w:rPr>
          <w:rFonts w:ascii="Palatino Linotype" w:eastAsia="Palatino Linotype" w:hAnsi="Palatino Linotype" w:cs="Palatino Linotype"/>
          <w:sz w:val="22"/>
          <w:szCs w:val="22"/>
        </w:rPr>
        <w:t xml:space="preserve">Oficio del 19 de noviembre de 2024, a través del cual la Directora de Administración y Tesorería informó al Titular de la Unidad de Transparencia que con relación a la solicitud de información entregaba un </w:t>
      </w:r>
      <w:r w:rsidRPr="004222CF">
        <w:rPr>
          <w:rFonts w:ascii="Palatino Linotype" w:eastAsia="Palatino Linotype" w:hAnsi="Palatino Linotype" w:cs="Palatino Linotype"/>
          <w:b/>
          <w:sz w:val="22"/>
          <w:szCs w:val="22"/>
        </w:rPr>
        <w:t>listado del personal sindicalizado del que se tiene registro al 2024, el cual contiene el nombre, cargo, sueldo y área de adscripción</w:t>
      </w:r>
      <w:r w:rsidRPr="004222CF">
        <w:rPr>
          <w:rFonts w:ascii="Palatino Linotype" w:eastAsia="Palatino Linotype" w:hAnsi="Palatino Linotype" w:cs="Palatino Linotype"/>
          <w:sz w:val="22"/>
          <w:szCs w:val="22"/>
        </w:rPr>
        <w:t xml:space="preserve">; asimismo, se indicó que no consta información relativa a la forma en como fueron sindicalizados los servidores públicos, pero </w:t>
      </w:r>
      <w:r w:rsidRPr="004222CF">
        <w:rPr>
          <w:rFonts w:ascii="Palatino Linotype" w:eastAsia="Palatino Linotype" w:hAnsi="Palatino Linotype" w:cs="Palatino Linotype"/>
          <w:b/>
          <w:sz w:val="22"/>
          <w:szCs w:val="22"/>
        </w:rPr>
        <w:t>con relación a los oficios donde se determina la sindicalización, se hacía entrega de los únicos oficios que se localizaron en donde se otorgó sindicalización por parte del SUTEYM Sección Toluca en el año 2024.</w:t>
      </w:r>
      <w:r w:rsidRPr="004222CF">
        <w:rPr>
          <w:rFonts w:ascii="Palatino Linotype" w:eastAsia="Palatino Linotype" w:hAnsi="Palatino Linotype" w:cs="Palatino Linotype"/>
          <w:sz w:val="22"/>
          <w:szCs w:val="22"/>
        </w:rPr>
        <w:t xml:space="preserve"> </w:t>
      </w:r>
    </w:p>
    <w:p w14:paraId="7ED7D847" w14:textId="77777777" w:rsidR="00196457" w:rsidRPr="004222CF" w:rsidRDefault="00077512">
      <w:pPr>
        <w:pStyle w:val="Prrafodelista"/>
        <w:numPr>
          <w:ilvl w:val="0"/>
          <w:numId w:val="2"/>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Respuesta UIPPE 198-2024.pdf: </w:t>
      </w:r>
      <w:r w:rsidRPr="004222CF">
        <w:rPr>
          <w:rFonts w:ascii="Palatino Linotype" w:eastAsia="Palatino Linotype" w:hAnsi="Palatino Linotype" w:cs="Palatino Linotype"/>
          <w:sz w:val="22"/>
          <w:szCs w:val="22"/>
        </w:rPr>
        <w:t>Oficio del 22 de noviembre de 2024, a través del cual el Titular de la Unidad de Transparencia informó a la persona solicitante que hacía entrega de la información proporcionada por el servidor público habilitado competente de la Dirección de Administración y Finanzas del Sistema Municipal DIF.</w:t>
      </w:r>
    </w:p>
    <w:p w14:paraId="39910AB0" w14:textId="77777777" w:rsidR="00196457" w:rsidRPr="004222CF" w:rsidRDefault="00077512">
      <w:pPr>
        <w:pStyle w:val="Prrafodelista"/>
        <w:numPr>
          <w:ilvl w:val="0"/>
          <w:numId w:val="2"/>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Solicitud 00198-DIFTOLUCA-IP-2024 anexo 1.pdf: </w:t>
      </w:r>
      <w:r w:rsidRPr="004222CF">
        <w:rPr>
          <w:rFonts w:ascii="Palatino Linotype" w:eastAsia="Palatino Linotype" w:hAnsi="Palatino Linotype" w:cs="Palatino Linotype"/>
          <w:sz w:val="22"/>
          <w:szCs w:val="22"/>
        </w:rPr>
        <w:t>Contiene un reporte de la nómina que contiene de los servidores públicos sindicalizados en 2024, el nombre completo, puesto, departamento de adscripción, sueldo bruto y neto de la primera quincena de octubre de 2024.</w:t>
      </w:r>
    </w:p>
    <w:p w14:paraId="0C53D530" w14:textId="77777777" w:rsidR="00196457" w:rsidRPr="004222CF" w:rsidRDefault="00077512">
      <w:pPr>
        <w:pStyle w:val="Prrafodelista"/>
        <w:numPr>
          <w:ilvl w:val="0"/>
          <w:numId w:val="2"/>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Solicitud 0198-DIFTOLUCA-IP-2024 ANEXO 2.pdf: </w:t>
      </w:r>
      <w:r w:rsidRPr="004222CF">
        <w:rPr>
          <w:rFonts w:ascii="Palatino Linotype" w:eastAsia="Palatino Linotype" w:hAnsi="Palatino Linotype" w:cs="Palatino Linotype"/>
          <w:sz w:val="22"/>
          <w:szCs w:val="22"/>
        </w:rPr>
        <w:t>Contiene lo siguiente:</w:t>
      </w:r>
    </w:p>
    <w:p w14:paraId="07263E59" w14:textId="77777777" w:rsidR="00196457" w:rsidRPr="004222CF" w:rsidRDefault="00196457">
      <w:pPr>
        <w:pStyle w:val="Prrafodelista"/>
        <w:spacing w:line="276" w:lineRule="auto"/>
        <w:ind w:left="360" w:right="49"/>
        <w:jc w:val="both"/>
        <w:rPr>
          <w:rFonts w:ascii="Palatino Linotype" w:eastAsia="Palatino Linotype" w:hAnsi="Palatino Linotype" w:cs="Palatino Linotype"/>
          <w:b/>
          <w:i/>
          <w:sz w:val="22"/>
          <w:szCs w:val="22"/>
        </w:rPr>
      </w:pPr>
    </w:p>
    <w:p w14:paraId="6132A0BD" w14:textId="77777777" w:rsidR="00196457" w:rsidRPr="004222CF" w:rsidRDefault="00077512">
      <w:pPr>
        <w:pStyle w:val="Prrafodelista"/>
        <w:numPr>
          <w:ilvl w:val="0"/>
          <w:numId w:val="3"/>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sz w:val="22"/>
          <w:szCs w:val="22"/>
        </w:rPr>
        <w:lastRenderedPageBreak/>
        <w:t>Los oficios números CST/0089/2024, CST/0119/2024 y CST/0138/2024 de fechas 29 de mayo, 1 de julio y 07 de agosto de 2024, respectivamente, a través de los cuales el Secretario General del SUTEYM solicita al Director General del Sistema Municipal DIF de Toluca se aplique o se lleve a cabo los trámites correspondientes para la aplicación de la sindicalización por convenio otorgada a determinados servidores públicos.</w:t>
      </w:r>
    </w:p>
    <w:p w14:paraId="6E4D6CA4" w14:textId="77777777" w:rsidR="00196457" w:rsidRPr="004222CF" w:rsidRDefault="00077512">
      <w:pPr>
        <w:pStyle w:val="Prrafodelista"/>
        <w:numPr>
          <w:ilvl w:val="0"/>
          <w:numId w:val="3"/>
        </w:numPr>
        <w:spacing w:line="276"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sz w:val="22"/>
          <w:szCs w:val="22"/>
        </w:rPr>
        <w:t xml:space="preserve">Dos Anexos Únicos de los oficios indicados en el punto anterior, donde se indica el nombre de los servidores públicos sindicalizados en mayo, julio y agosto de 2024. </w:t>
      </w:r>
    </w:p>
    <w:p w14:paraId="2B4DC4B1" w14:textId="77777777" w:rsidR="00196457" w:rsidRPr="004222CF" w:rsidRDefault="00196457">
      <w:pPr>
        <w:spacing w:line="276" w:lineRule="auto"/>
        <w:ind w:right="49"/>
        <w:jc w:val="both"/>
        <w:rPr>
          <w:rFonts w:ascii="Palatino Linotype" w:eastAsia="Palatino Linotype" w:hAnsi="Palatino Linotype" w:cs="Palatino Linotype"/>
          <w:sz w:val="22"/>
          <w:szCs w:val="22"/>
        </w:rPr>
      </w:pPr>
    </w:p>
    <w:p w14:paraId="617F908B" w14:textId="77777777" w:rsidR="00196457" w:rsidRPr="004222CF" w:rsidRDefault="00077512">
      <w:pPr>
        <w:spacing w:line="360" w:lineRule="auto"/>
        <w:ind w:right="49"/>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 xml:space="preserve">4. Interposición del recurso de revisión. </w:t>
      </w:r>
      <w:r w:rsidRPr="004222CF">
        <w:rPr>
          <w:rFonts w:ascii="Palatino Linotype" w:eastAsia="Palatino Linotype" w:hAnsi="Palatino Linotype" w:cs="Palatino Linotype"/>
          <w:sz w:val="22"/>
          <w:szCs w:val="22"/>
        </w:rPr>
        <w:t xml:space="preserve">Inconforme con los términos de la respuesta emitida por parte del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el</w:t>
      </w:r>
      <w:r w:rsidRPr="004222CF">
        <w:rPr>
          <w:rFonts w:ascii="Palatino Linotype" w:eastAsia="Palatino Linotype" w:hAnsi="Palatino Linotype" w:cs="Palatino Linotype"/>
          <w:b/>
          <w:sz w:val="22"/>
          <w:szCs w:val="22"/>
        </w:rPr>
        <w:t xml:space="preserve"> once de diciembre de dos mil veinticuatro,</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la parte</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Recurrente</w:t>
      </w:r>
      <w:r w:rsidRPr="004222CF">
        <w:rPr>
          <w:rFonts w:ascii="Palatino Linotype" w:eastAsia="Palatino Linotype" w:hAnsi="Palatino Linotype" w:cs="Palatino Linotype"/>
          <w:sz w:val="22"/>
          <w:szCs w:val="22"/>
        </w:rPr>
        <w:t xml:space="preserve"> interpuso el recurso de revisión a través de </w:t>
      </w:r>
      <w:r w:rsidRPr="004222CF">
        <w:rPr>
          <w:rFonts w:ascii="Palatino Linotype" w:eastAsia="Palatino Linotype" w:hAnsi="Palatino Linotype" w:cs="Palatino Linotype"/>
          <w:b/>
          <w:sz w:val="22"/>
          <w:szCs w:val="22"/>
        </w:rPr>
        <w:t xml:space="preserve">SAIMEX, </w:t>
      </w:r>
      <w:r w:rsidRPr="004222CF">
        <w:rPr>
          <w:rFonts w:ascii="Palatino Linotype" w:eastAsia="Palatino Linotype" w:hAnsi="Palatino Linotype" w:cs="Palatino Linotype"/>
          <w:sz w:val="22"/>
          <w:szCs w:val="22"/>
        </w:rPr>
        <w:t>en donde se manifestó de la siguiente manera:</w:t>
      </w:r>
    </w:p>
    <w:p w14:paraId="75D900F4" w14:textId="77777777" w:rsidR="00196457" w:rsidRPr="004222CF" w:rsidRDefault="00077512">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 xml:space="preserve">a) Acto impugnado: </w:t>
      </w:r>
      <w:r w:rsidRPr="004222CF">
        <w:rPr>
          <w:rFonts w:ascii="Palatino Linotype" w:eastAsia="Palatino Linotype" w:hAnsi="Palatino Linotype" w:cs="Palatino Linotype"/>
          <w:i/>
          <w:sz w:val="22"/>
          <w:szCs w:val="22"/>
        </w:rPr>
        <w:t>“no entrego lo que solicite” (Sic)</w:t>
      </w:r>
    </w:p>
    <w:p w14:paraId="21069664" w14:textId="77777777" w:rsidR="00196457" w:rsidRPr="004222CF" w:rsidRDefault="00077512">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4222CF">
        <w:rPr>
          <w:rFonts w:ascii="Palatino Linotype" w:eastAsia="Palatino Linotype" w:hAnsi="Palatino Linotype" w:cs="Palatino Linotype"/>
          <w:b/>
          <w:sz w:val="22"/>
          <w:szCs w:val="22"/>
        </w:rPr>
        <w:t>b) Razones o motivos de inconformidad</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i/>
          <w:sz w:val="22"/>
          <w:szCs w:val="22"/>
        </w:rPr>
        <w:t>“no entrego lo que solicite” (Sic)</w:t>
      </w:r>
    </w:p>
    <w:p w14:paraId="14C436A6" w14:textId="77777777" w:rsidR="00196457" w:rsidRPr="004222CF" w:rsidRDefault="00196457">
      <w:pPr>
        <w:spacing w:line="276" w:lineRule="auto"/>
        <w:ind w:left="567" w:right="900"/>
        <w:jc w:val="both"/>
        <w:rPr>
          <w:rFonts w:ascii="Palatino Linotype" w:eastAsia="Palatino Linotype" w:hAnsi="Palatino Linotype" w:cs="Palatino Linotype"/>
          <w:i/>
          <w:sz w:val="22"/>
          <w:szCs w:val="22"/>
        </w:rPr>
      </w:pPr>
    </w:p>
    <w:p w14:paraId="46713A3F" w14:textId="77777777" w:rsidR="00196457" w:rsidRPr="004222CF" w:rsidRDefault="00077512">
      <w:pPr>
        <w:spacing w:line="360" w:lineRule="auto"/>
        <w:ind w:right="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5. Turno. </w:t>
      </w:r>
      <w:r w:rsidRPr="004222C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4222CF">
        <w:rPr>
          <w:rFonts w:ascii="Palatino Linotype" w:eastAsia="Palatino Linotype" w:hAnsi="Palatino Linotype" w:cs="Palatino Linotype"/>
          <w:b/>
          <w:sz w:val="22"/>
          <w:szCs w:val="22"/>
        </w:rPr>
        <w:t xml:space="preserve">Guadalupe Ramírez Peña, </w:t>
      </w:r>
      <w:r w:rsidRPr="004222CF">
        <w:rPr>
          <w:rFonts w:ascii="Palatino Linotype" w:eastAsia="Palatino Linotype" w:hAnsi="Palatino Linotype" w:cs="Palatino Linotype"/>
          <w:sz w:val="22"/>
          <w:szCs w:val="22"/>
        </w:rPr>
        <w:t xml:space="preserve">a efecto de que analizara sobre su admisión o su </w:t>
      </w:r>
      <w:proofErr w:type="spellStart"/>
      <w:r w:rsidRPr="004222CF">
        <w:rPr>
          <w:rFonts w:ascii="Palatino Linotype" w:eastAsia="Palatino Linotype" w:hAnsi="Palatino Linotype" w:cs="Palatino Linotype"/>
          <w:sz w:val="22"/>
          <w:szCs w:val="22"/>
        </w:rPr>
        <w:t>desechamiento</w:t>
      </w:r>
      <w:proofErr w:type="spellEnd"/>
      <w:r w:rsidRPr="004222CF">
        <w:rPr>
          <w:rFonts w:ascii="Palatino Linotype" w:eastAsia="Palatino Linotype" w:hAnsi="Palatino Linotype" w:cs="Palatino Linotype"/>
          <w:sz w:val="22"/>
          <w:szCs w:val="22"/>
        </w:rPr>
        <w:t>.</w:t>
      </w:r>
    </w:p>
    <w:p w14:paraId="00D468B8" w14:textId="77777777" w:rsidR="00196457" w:rsidRPr="004222CF" w:rsidRDefault="00196457">
      <w:pPr>
        <w:spacing w:line="360" w:lineRule="auto"/>
        <w:ind w:right="51"/>
        <w:jc w:val="both"/>
        <w:rPr>
          <w:rFonts w:ascii="Palatino Linotype" w:eastAsia="Palatino Linotype" w:hAnsi="Palatino Linotype" w:cs="Palatino Linotype"/>
          <w:sz w:val="22"/>
          <w:szCs w:val="22"/>
        </w:rPr>
      </w:pPr>
    </w:p>
    <w:p w14:paraId="6FC2088C"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6. Admisión del Recurso de revisión.</w:t>
      </w:r>
      <w:r w:rsidRPr="004222CF">
        <w:rPr>
          <w:rFonts w:ascii="Palatino Linotype" w:eastAsia="Palatino Linotype" w:hAnsi="Palatino Linotype" w:cs="Palatino Linotype"/>
          <w:sz w:val="22"/>
          <w:szCs w:val="22"/>
        </w:rPr>
        <w:t xml:space="preserve"> El </w:t>
      </w:r>
      <w:r w:rsidRPr="004222CF">
        <w:rPr>
          <w:rFonts w:ascii="Palatino Linotype" w:eastAsia="Palatino Linotype" w:hAnsi="Palatino Linotype" w:cs="Palatino Linotype"/>
          <w:b/>
          <w:sz w:val="22"/>
          <w:szCs w:val="22"/>
        </w:rPr>
        <w:t xml:space="preserve">dieciséis de diciembre de dos mil veinticuatro, </w:t>
      </w:r>
      <w:r w:rsidRPr="004222C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 admitió a trámite el recurso de revisión que ahora se resuelve, dando un plazo máximo de siete días hábiles para que las partes </w:t>
      </w:r>
      <w:r w:rsidRPr="004222CF">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presentara su informe justificado.</w:t>
      </w:r>
    </w:p>
    <w:p w14:paraId="01CEDB6D"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7C48749" w14:textId="77777777" w:rsidR="00196457" w:rsidRPr="004222CF" w:rsidRDefault="00077512">
      <w:pP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4222CF">
        <w:rPr>
          <w:rFonts w:ascii="Palatino Linotype" w:eastAsia="Palatino Linotype" w:hAnsi="Palatino Linotype" w:cs="Palatino Linotype"/>
          <w:b/>
          <w:sz w:val="22"/>
          <w:szCs w:val="22"/>
        </w:rPr>
        <w:t>7. Manifestaciones</w:t>
      </w:r>
      <w:r w:rsidRPr="004222CF">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en fecha dieciocho de diciembre de dos mil veinticuatro rindió informe justificado a través del archivo electrónico que contiene la siguiente información:</w:t>
      </w:r>
    </w:p>
    <w:p w14:paraId="4986FF8C" w14:textId="77777777" w:rsidR="00196457" w:rsidRPr="004222CF" w:rsidRDefault="00196457">
      <w:pPr>
        <w:tabs>
          <w:tab w:val="left" w:pos="284"/>
        </w:tabs>
        <w:spacing w:line="360" w:lineRule="auto"/>
        <w:ind w:right="49"/>
        <w:jc w:val="both"/>
        <w:rPr>
          <w:rFonts w:ascii="Palatino Linotype" w:eastAsia="Palatino Linotype" w:hAnsi="Palatino Linotype" w:cs="Palatino Linotype"/>
          <w:sz w:val="22"/>
          <w:szCs w:val="22"/>
        </w:rPr>
      </w:pPr>
    </w:p>
    <w:p w14:paraId="5B066A5C" w14:textId="77777777" w:rsidR="00196457" w:rsidRPr="004222CF" w:rsidRDefault="00077512">
      <w:pPr>
        <w:pStyle w:val="Prrafodelista"/>
        <w:numPr>
          <w:ilvl w:val="0"/>
          <w:numId w:val="4"/>
        </w:numPr>
        <w:tabs>
          <w:tab w:val="left" w:pos="284"/>
        </w:tabs>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lang w:val="es-MX"/>
        </w:rPr>
        <w:t>Informe Justificado 198-2024</w:t>
      </w:r>
      <w:r w:rsidRPr="004222CF">
        <w:rPr>
          <w:rFonts w:ascii="Palatino Linotype" w:eastAsia="Palatino Linotype" w:hAnsi="Palatino Linotype" w:cs="Palatino Linotype"/>
          <w:b/>
          <w:i/>
          <w:sz w:val="22"/>
          <w:szCs w:val="22"/>
        </w:rPr>
        <w:t xml:space="preserve">.PDF: </w:t>
      </w:r>
      <w:r w:rsidRPr="004222CF">
        <w:rPr>
          <w:rFonts w:ascii="Palatino Linotype" w:eastAsia="Palatino Linotype" w:hAnsi="Palatino Linotype" w:cs="Palatino Linotype"/>
          <w:sz w:val="22"/>
          <w:szCs w:val="22"/>
        </w:rPr>
        <w:t>Oficio del 18 de diciembre de 2024, a través del cual la Titular de la Unidad de Transparencia rindió informe justificado en el que de manera medular informa que la Directora de Administración y Tesorería ratifica la respuesta inicial.</w:t>
      </w:r>
    </w:p>
    <w:p w14:paraId="202B36B9" w14:textId="77777777" w:rsidR="00196457" w:rsidRPr="004222CF" w:rsidRDefault="00196457">
      <w:pPr>
        <w:pStyle w:val="Prrafodelista"/>
        <w:tabs>
          <w:tab w:val="left" w:pos="284"/>
        </w:tabs>
        <w:spacing w:line="360" w:lineRule="auto"/>
        <w:ind w:left="360" w:right="49"/>
        <w:jc w:val="both"/>
        <w:rPr>
          <w:rFonts w:ascii="Palatino Linotype" w:eastAsia="Palatino Linotype" w:hAnsi="Palatino Linotype" w:cs="Palatino Linotype"/>
          <w:sz w:val="22"/>
          <w:szCs w:val="22"/>
        </w:rPr>
      </w:pPr>
    </w:p>
    <w:p w14:paraId="34DF0EE1" w14:textId="77777777" w:rsidR="00196457" w:rsidRPr="004222CF" w:rsidRDefault="00077512">
      <w:pPr>
        <w:tabs>
          <w:tab w:val="left" w:pos="284"/>
        </w:tabs>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Documento el anterior que se puso a la vista de la parte </w:t>
      </w:r>
      <w:r w:rsidRPr="004222CF">
        <w:rPr>
          <w:rFonts w:ascii="Palatino Linotype" w:eastAsia="Palatino Linotype" w:hAnsi="Palatino Linotype" w:cs="Palatino Linotype"/>
          <w:b/>
          <w:sz w:val="22"/>
          <w:szCs w:val="22"/>
        </w:rPr>
        <w:t xml:space="preserve">Recurrente </w:t>
      </w:r>
      <w:r w:rsidRPr="004222CF">
        <w:rPr>
          <w:rFonts w:ascii="Palatino Linotype" w:eastAsia="Palatino Linotype" w:hAnsi="Palatino Linotype" w:cs="Palatino Linotype"/>
          <w:sz w:val="22"/>
          <w:szCs w:val="22"/>
        </w:rPr>
        <w:t>en fecha trece de enero de dos mil veinticinco a fin de que hiciera valer manifestaciones o rindiera alegatos que conforme a derecho procedan; sin embargo, fue omisa en ejercer dicha prerrogativa.</w:t>
      </w:r>
    </w:p>
    <w:p w14:paraId="6C4AA600" w14:textId="77777777" w:rsidR="00196457" w:rsidRPr="004222CF" w:rsidRDefault="00196457">
      <w:pPr>
        <w:tabs>
          <w:tab w:val="left" w:pos="284"/>
        </w:tabs>
        <w:spacing w:line="360" w:lineRule="auto"/>
        <w:ind w:right="49"/>
        <w:jc w:val="both"/>
        <w:rPr>
          <w:rFonts w:ascii="Palatino Linotype" w:eastAsia="Palatino Linotype" w:hAnsi="Palatino Linotype" w:cs="Palatino Linotype"/>
          <w:sz w:val="22"/>
          <w:szCs w:val="22"/>
        </w:rPr>
      </w:pPr>
    </w:p>
    <w:p w14:paraId="06CF4D28" w14:textId="77777777" w:rsidR="00196457" w:rsidRPr="004222CF" w:rsidRDefault="00077512">
      <w:pPr>
        <w:tabs>
          <w:tab w:val="left" w:pos="360"/>
        </w:tabs>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8. Cierre de instrucción. </w:t>
      </w:r>
      <w:r w:rsidRPr="004222C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4222CF">
        <w:rPr>
          <w:rFonts w:ascii="Palatino Linotype" w:eastAsia="Palatino Linotype" w:hAnsi="Palatino Linotype" w:cs="Palatino Linotype"/>
          <w:b/>
          <w:sz w:val="22"/>
          <w:szCs w:val="22"/>
        </w:rPr>
        <w:t>veinte de enero de dos mil veinticinco,</w:t>
      </w:r>
      <w:r w:rsidRPr="004222C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9CFB472" w14:textId="77777777" w:rsidR="00196457" w:rsidRPr="004222CF" w:rsidRDefault="00196457">
      <w:pPr>
        <w:tabs>
          <w:tab w:val="left" w:pos="360"/>
        </w:tabs>
        <w:spacing w:line="360" w:lineRule="auto"/>
        <w:ind w:right="49"/>
        <w:jc w:val="both"/>
        <w:rPr>
          <w:rFonts w:ascii="Palatino Linotype" w:eastAsia="Palatino Linotype" w:hAnsi="Palatino Linotype" w:cs="Palatino Linotype"/>
          <w:sz w:val="22"/>
          <w:szCs w:val="22"/>
        </w:rPr>
      </w:pPr>
    </w:p>
    <w:p w14:paraId="104A6D1B" w14:textId="77777777" w:rsidR="00196457" w:rsidRPr="004222CF" w:rsidRDefault="00077512">
      <w:pPr>
        <w:tabs>
          <w:tab w:val="left" w:pos="284"/>
        </w:tabs>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124869AC" w14:textId="77777777" w:rsidR="00196457" w:rsidRPr="004222CF" w:rsidRDefault="00077512">
      <w:pPr>
        <w:widowControl w:val="0"/>
        <w:spacing w:before="240" w:after="240" w:line="360" w:lineRule="auto"/>
        <w:jc w:val="center"/>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II. C O N S I D E R A N D O S</w:t>
      </w:r>
    </w:p>
    <w:p w14:paraId="7F0A9C2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Primero. Competencia.</w:t>
      </w:r>
      <w:r w:rsidRPr="004222C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516B9D3"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3E3AC24" w14:textId="77777777" w:rsidR="00196457" w:rsidRPr="004222CF" w:rsidRDefault="00077512">
      <w:pPr>
        <w:spacing w:line="360" w:lineRule="auto"/>
        <w:jc w:val="both"/>
        <w:rPr>
          <w:rFonts w:ascii="Palatino Linotype" w:eastAsia="Palatino Linotype" w:hAnsi="Palatino Linotype" w:cs="Palatino Linotype"/>
          <w:sz w:val="22"/>
          <w:szCs w:val="22"/>
        </w:rPr>
      </w:pPr>
      <w:bookmarkStart w:id="5" w:name="_heading=h.tyjcwt" w:colFirst="0" w:colLast="0"/>
      <w:bookmarkEnd w:id="5"/>
      <w:r w:rsidRPr="004222CF">
        <w:rPr>
          <w:rFonts w:ascii="Palatino Linotype" w:eastAsia="Palatino Linotype" w:hAnsi="Palatino Linotype" w:cs="Palatino Linotype"/>
          <w:b/>
          <w:sz w:val="22"/>
          <w:szCs w:val="22"/>
        </w:rPr>
        <w:t>Segundo. Oportunidad y Procedibilidad del Recurso de Revisión</w:t>
      </w:r>
      <w:r w:rsidRPr="004222C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04FCEC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0BC58C7"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remitió la respuesta a la solicitud de información el </w:t>
      </w:r>
      <w:r w:rsidRPr="004222CF">
        <w:rPr>
          <w:rFonts w:ascii="Palatino Linotype" w:eastAsia="Palatino Linotype" w:hAnsi="Palatino Linotype" w:cs="Palatino Linotype"/>
          <w:b/>
          <w:sz w:val="22"/>
          <w:szCs w:val="22"/>
        </w:rPr>
        <w:t xml:space="preserve">veintidós de noviembre de dos mil veinticuatro, </w:t>
      </w:r>
      <w:r w:rsidRPr="004222CF">
        <w:rPr>
          <w:rFonts w:ascii="Palatino Linotype" w:eastAsia="Palatino Linotype" w:hAnsi="Palatino Linotype" w:cs="Palatino Linotype"/>
          <w:sz w:val="22"/>
          <w:szCs w:val="22"/>
        </w:rPr>
        <w:t xml:space="preserve">mientras que el recurso de </w:t>
      </w:r>
      <w:r w:rsidRPr="004222CF">
        <w:rPr>
          <w:rFonts w:ascii="Palatino Linotype" w:eastAsia="Palatino Linotype" w:hAnsi="Palatino Linotype" w:cs="Palatino Linotype"/>
          <w:sz w:val="22"/>
          <w:szCs w:val="22"/>
        </w:rPr>
        <w:lastRenderedPageBreak/>
        <w:t xml:space="preserve">revisión interpuesto por </w:t>
      </w:r>
      <w:r w:rsidRPr="004222CF">
        <w:rPr>
          <w:rFonts w:ascii="Palatino Linotype" w:eastAsia="Palatino Linotype" w:hAnsi="Palatino Linotype" w:cs="Palatino Linotype"/>
          <w:b/>
          <w:sz w:val="22"/>
          <w:szCs w:val="22"/>
        </w:rPr>
        <w:t>la parte</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Recurrente</w:t>
      </w:r>
      <w:r w:rsidRPr="004222CF">
        <w:rPr>
          <w:rFonts w:ascii="Palatino Linotype" w:eastAsia="Palatino Linotype" w:hAnsi="Palatino Linotype" w:cs="Palatino Linotype"/>
          <w:sz w:val="22"/>
          <w:szCs w:val="22"/>
        </w:rPr>
        <w:t xml:space="preserve">, se tuvo por presentado el </w:t>
      </w:r>
      <w:r w:rsidRPr="004222CF">
        <w:rPr>
          <w:rFonts w:ascii="Palatino Linotype" w:eastAsia="Palatino Linotype" w:hAnsi="Palatino Linotype" w:cs="Palatino Linotype"/>
          <w:b/>
          <w:sz w:val="22"/>
          <w:szCs w:val="22"/>
        </w:rPr>
        <w:t>once de diciembre de dos mil veinticuatro</w:t>
      </w:r>
      <w:r w:rsidRPr="004222CF">
        <w:rPr>
          <w:rFonts w:ascii="Palatino Linotype" w:eastAsia="Palatino Linotype" w:hAnsi="Palatino Linotype" w:cs="Palatino Linotype"/>
          <w:sz w:val="22"/>
          <w:szCs w:val="22"/>
        </w:rPr>
        <w:t xml:space="preserve"> esto es, al </w:t>
      </w:r>
      <w:r w:rsidRPr="004222CF">
        <w:rPr>
          <w:rFonts w:ascii="Palatino Linotype" w:eastAsia="Palatino Linotype" w:hAnsi="Palatino Linotype" w:cs="Palatino Linotype"/>
          <w:b/>
          <w:sz w:val="22"/>
          <w:szCs w:val="22"/>
          <w:u w:val="single"/>
        </w:rPr>
        <w:t>décimo tercer</w:t>
      </w:r>
      <w:r w:rsidRPr="004222CF">
        <w:rPr>
          <w:rFonts w:ascii="Palatino Linotype" w:eastAsia="Palatino Linotype" w:hAnsi="Palatino Linotype" w:cs="Palatino Linotype"/>
          <w:sz w:val="22"/>
          <w:szCs w:val="22"/>
        </w:rPr>
        <w:t xml:space="preserve"> día hábil siguiente a aquel </w:t>
      </w:r>
      <w:r w:rsidRPr="004222CF">
        <w:rPr>
          <w:rFonts w:ascii="Palatino Linotype" w:eastAsia="Palatino Linotype" w:hAnsi="Palatino Linotype" w:cs="Palatino Linotype"/>
          <w:b/>
          <w:sz w:val="22"/>
          <w:szCs w:val="22"/>
        </w:rPr>
        <w:t>en que se tuvo conocimiento de la respuesta impugnada</w:t>
      </w:r>
      <w:r w:rsidRPr="004222CF">
        <w:rPr>
          <w:rFonts w:ascii="Palatino Linotype" w:eastAsia="Palatino Linotype" w:hAnsi="Palatino Linotype" w:cs="Palatino Linotype"/>
          <w:sz w:val="22"/>
          <w:szCs w:val="22"/>
        </w:rPr>
        <w:t xml:space="preserve">. </w:t>
      </w:r>
    </w:p>
    <w:p w14:paraId="54A66B69" w14:textId="77777777" w:rsidR="00196457" w:rsidRPr="004222CF" w:rsidRDefault="00077512">
      <w:pPr>
        <w:spacing w:before="240" w:after="240"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F737FED" w14:textId="77777777" w:rsidR="00196457" w:rsidRPr="004222CF" w:rsidRDefault="00077512">
      <w:pPr>
        <w:tabs>
          <w:tab w:val="left" w:pos="7938"/>
        </w:tabs>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4222C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CFF71CD" w14:textId="77777777" w:rsidR="00196457" w:rsidRPr="004222CF" w:rsidRDefault="00196457">
      <w:pPr>
        <w:tabs>
          <w:tab w:val="left" w:pos="7938"/>
        </w:tabs>
        <w:spacing w:line="360" w:lineRule="auto"/>
        <w:jc w:val="both"/>
        <w:rPr>
          <w:rFonts w:ascii="Palatino Linotype" w:eastAsia="Palatino Linotype" w:hAnsi="Palatino Linotype" w:cs="Palatino Linotype"/>
          <w:sz w:val="22"/>
          <w:szCs w:val="22"/>
        </w:rPr>
      </w:pPr>
    </w:p>
    <w:p w14:paraId="4EBDA2FC" w14:textId="77777777" w:rsidR="00196457" w:rsidRPr="004222CF" w:rsidRDefault="00077512">
      <w:p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 xml:space="preserve">A efecto de sustentar lo anterior, es de suma importancia mencionar que si bien la persona solicitante </w:t>
      </w:r>
      <w:r w:rsidRPr="004222CF">
        <w:rPr>
          <w:rFonts w:ascii="Palatino Linotype" w:eastAsia="Palatino Linotype" w:hAnsi="Palatino Linotype" w:cs="Palatino Linotype"/>
          <w:b/>
          <w:sz w:val="22"/>
          <w:szCs w:val="22"/>
        </w:rPr>
        <w:t xml:space="preserve">no proporcionó nombre, </w:t>
      </w:r>
      <w:r w:rsidRPr="004222CF">
        <w:rPr>
          <w:rFonts w:ascii="Palatino Linotype" w:eastAsia="Palatino Linotype" w:hAnsi="Palatino Linotype" w:cs="Palatino Linotype"/>
          <w:sz w:val="22"/>
          <w:szCs w:val="22"/>
        </w:rPr>
        <w:t>como se advierte en el detalle de seguimiento del SAIMEX,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C226B6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F7EF755"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Las solicitudes anónimas</w:t>
      </w:r>
      <w:r w:rsidRPr="004222CF">
        <w:rPr>
          <w:rFonts w:ascii="Palatino Linotype" w:eastAsia="Palatino Linotype" w:hAnsi="Palatino Linotype" w:cs="Palatino Linotype"/>
          <w:i/>
          <w:sz w:val="22"/>
          <w:szCs w:val="22"/>
        </w:rPr>
        <w:t xml:space="preserve">, con nombre incompleto o seudónimo </w:t>
      </w:r>
      <w:r w:rsidRPr="004222CF">
        <w:rPr>
          <w:rFonts w:ascii="Palatino Linotype" w:eastAsia="Palatino Linotype" w:hAnsi="Palatino Linotype" w:cs="Palatino Linotype"/>
          <w:b/>
          <w:i/>
          <w:sz w:val="22"/>
          <w:szCs w:val="22"/>
        </w:rPr>
        <w:t>serán procedentes para su trámite por parte del sujeto obligado ante quien se presente</w:t>
      </w:r>
      <w:r w:rsidRPr="004222CF">
        <w:rPr>
          <w:rFonts w:ascii="Palatino Linotype" w:eastAsia="Palatino Linotype" w:hAnsi="Palatino Linotype" w:cs="Palatino Linotype"/>
          <w:i/>
          <w:sz w:val="22"/>
          <w:szCs w:val="22"/>
        </w:rPr>
        <w:t>. No podrá requerirse información adicional con motivo del nombre proporcionado por el solicitante."</w:t>
      </w:r>
    </w:p>
    <w:p w14:paraId="34E33219" w14:textId="77777777" w:rsidR="00196457" w:rsidRPr="004222CF" w:rsidRDefault="00196457">
      <w:pPr>
        <w:tabs>
          <w:tab w:val="left" w:pos="7938"/>
        </w:tabs>
        <w:spacing w:line="360" w:lineRule="auto"/>
        <w:jc w:val="both"/>
        <w:rPr>
          <w:rFonts w:ascii="Palatino Linotype" w:eastAsia="Palatino Linotype" w:hAnsi="Palatino Linotype" w:cs="Palatino Linotype"/>
          <w:sz w:val="22"/>
          <w:szCs w:val="22"/>
        </w:rPr>
      </w:pPr>
    </w:p>
    <w:p w14:paraId="0B05C81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4222CF">
        <w:rPr>
          <w:rFonts w:ascii="Palatino Linotype" w:eastAsia="Palatino Linotype" w:hAnsi="Palatino Linotype" w:cs="Palatino Linotype"/>
          <w:b/>
          <w:sz w:val="22"/>
          <w:szCs w:val="22"/>
        </w:rPr>
        <w:t>la parte</w:t>
      </w: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b/>
          <w:sz w:val="22"/>
          <w:szCs w:val="22"/>
        </w:rPr>
        <w:t>Recurrente</w:t>
      </w:r>
      <w:r w:rsidRPr="004222CF">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7DA007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1515EA1" w14:textId="77777777" w:rsidR="00196457" w:rsidRPr="004222CF" w:rsidRDefault="00077512">
      <w:pPr>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Artículo 179.</w:t>
      </w:r>
      <w:r w:rsidRPr="004222CF">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9A8085A" w14:textId="77777777" w:rsidR="00196457" w:rsidRPr="004222CF" w:rsidRDefault="00077512">
      <w:pPr>
        <w:ind w:left="567" w:right="902"/>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I. La negativa a la información solicitada;</w:t>
      </w:r>
    </w:p>
    <w:p w14:paraId="2E553193" w14:textId="77777777" w:rsidR="00196457" w:rsidRPr="004222CF" w:rsidRDefault="00077512">
      <w:pPr>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155BA152" w14:textId="77777777" w:rsidR="00196457" w:rsidRPr="004222CF" w:rsidRDefault="00196457">
      <w:pPr>
        <w:ind w:left="567"/>
        <w:rPr>
          <w:rFonts w:ascii="Palatino Linotype" w:eastAsia="Palatino Linotype" w:hAnsi="Palatino Linotype" w:cs="Palatino Linotype"/>
          <w:b/>
          <w:i/>
          <w:sz w:val="22"/>
          <w:szCs w:val="22"/>
        </w:rPr>
      </w:pPr>
    </w:p>
    <w:p w14:paraId="77487880" w14:textId="77777777" w:rsidR="00196457" w:rsidRPr="004222CF" w:rsidRDefault="00077512">
      <w:pPr>
        <w:ind w:left="567" w:right="900"/>
        <w:jc w:val="right"/>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 </w:t>
      </w:r>
      <w:r w:rsidRPr="004222CF">
        <w:rPr>
          <w:rFonts w:ascii="Palatino Linotype" w:eastAsia="Palatino Linotype" w:hAnsi="Palatino Linotype" w:cs="Palatino Linotype"/>
          <w:i/>
          <w:sz w:val="22"/>
          <w:szCs w:val="22"/>
        </w:rPr>
        <w:t>(Énfasis añadido)</w:t>
      </w:r>
    </w:p>
    <w:p w14:paraId="3243C76A" w14:textId="77777777" w:rsidR="00196457" w:rsidRPr="004222CF" w:rsidRDefault="00196457">
      <w:pPr>
        <w:spacing w:line="360" w:lineRule="auto"/>
        <w:jc w:val="both"/>
        <w:rPr>
          <w:rFonts w:ascii="Palatino Linotype" w:eastAsia="Palatino Linotype" w:hAnsi="Palatino Linotype" w:cs="Palatino Linotype"/>
          <w:b/>
          <w:sz w:val="22"/>
          <w:szCs w:val="22"/>
        </w:rPr>
      </w:pPr>
    </w:p>
    <w:p w14:paraId="6D4607F2" w14:textId="77777777" w:rsidR="00196457" w:rsidRPr="004222CF" w:rsidRDefault="00077512">
      <w:p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 xml:space="preserve">Tercero. Materia de la revisión. </w:t>
      </w:r>
      <w:r w:rsidRPr="004222CF">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4222CF">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4222CF">
        <w:rPr>
          <w:rFonts w:ascii="Palatino Linotype" w:eastAsia="Palatino Linotype" w:hAnsi="Palatino Linotype" w:cs="Palatino Linotype"/>
          <w:sz w:val="22"/>
          <w:szCs w:val="22"/>
        </w:rPr>
        <w:t xml:space="preserve"> o en su defecto, en caso de ser procedente, ordenar la entrega de la información oportuna.</w:t>
      </w:r>
    </w:p>
    <w:p w14:paraId="32ABB1F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FD75606"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Cuarto. Estudio del asunto. </w:t>
      </w:r>
      <w:r w:rsidRPr="004222CF">
        <w:rPr>
          <w:rFonts w:ascii="Palatino Linotype" w:eastAsia="Palatino Linotype" w:hAnsi="Palatino Linotype" w:cs="Palatino Linotype"/>
          <w:sz w:val="22"/>
          <w:szCs w:val="22"/>
        </w:rPr>
        <w:t xml:space="preserve">Antes de entrar al análisis de los pronunciamientos del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30C29B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4A8AC3F" w14:textId="77777777" w:rsidR="00196457" w:rsidRPr="004222CF" w:rsidRDefault="00077512">
      <w:pPr>
        <w:spacing w:line="276" w:lineRule="auto"/>
        <w:ind w:left="851" w:right="85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222CF">
        <w:rPr>
          <w:rFonts w:ascii="Palatino Linotype" w:eastAsia="Palatino Linotype" w:hAnsi="Palatino Linotype" w:cs="Palatino Linotype"/>
          <w:i/>
          <w:sz w:val="22"/>
          <w:szCs w:val="22"/>
        </w:rPr>
        <w:t xml:space="preserve">, así como de las garantías para su protección, cuyo ejercicio no podrá restringirse ni </w:t>
      </w:r>
      <w:r w:rsidRPr="004222CF">
        <w:rPr>
          <w:rFonts w:ascii="Palatino Linotype" w:eastAsia="Palatino Linotype" w:hAnsi="Palatino Linotype" w:cs="Palatino Linotype"/>
          <w:i/>
          <w:sz w:val="22"/>
          <w:szCs w:val="22"/>
        </w:rPr>
        <w:lastRenderedPageBreak/>
        <w:t>suspenderse, salvo en los casos y bajo las condiciones que esta Constitución establece.</w:t>
      </w:r>
    </w:p>
    <w:p w14:paraId="55E495CD" w14:textId="77777777" w:rsidR="00196457" w:rsidRPr="004222CF" w:rsidRDefault="00077512">
      <w:pPr>
        <w:spacing w:line="276" w:lineRule="auto"/>
        <w:ind w:left="851" w:right="85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D53AAB0" w14:textId="77777777" w:rsidR="00196457" w:rsidRPr="004222CF" w:rsidRDefault="00077512">
      <w:pPr>
        <w:spacing w:line="276" w:lineRule="auto"/>
        <w:ind w:left="851" w:right="85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222C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DC7E898" w14:textId="77777777" w:rsidR="00196457" w:rsidRPr="004222CF" w:rsidRDefault="00077512">
      <w:pPr>
        <w:spacing w:line="276" w:lineRule="auto"/>
        <w:ind w:left="851" w:right="85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w:t>
      </w:r>
    </w:p>
    <w:p w14:paraId="0932F413" w14:textId="77777777" w:rsidR="00196457" w:rsidRPr="004222CF" w:rsidRDefault="00077512">
      <w:pPr>
        <w:spacing w:line="276" w:lineRule="auto"/>
        <w:ind w:left="851" w:right="90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rPr>
        <w:t>“Artículo 6o.</w:t>
      </w:r>
    </w:p>
    <w:p w14:paraId="02CA431D" w14:textId="77777777" w:rsidR="00196457" w:rsidRPr="004222CF" w:rsidRDefault="00077512">
      <w:pPr>
        <w:spacing w:line="276" w:lineRule="auto"/>
        <w:ind w:left="851" w:right="90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w:t>
      </w:r>
    </w:p>
    <w:p w14:paraId="45C00B19"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rPr>
        <w:t xml:space="preserve">A. Para el ejercicio del derecho de acceso a la información, la Federación y </w:t>
      </w:r>
      <w:r w:rsidRPr="004222CF">
        <w:rPr>
          <w:rFonts w:ascii="Palatino Linotype" w:eastAsia="Palatino Linotype" w:hAnsi="Palatino Linotype" w:cs="Palatino Linotype"/>
          <w:b/>
          <w:i/>
          <w:sz w:val="22"/>
          <w:szCs w:val="22"/>
          <w:u w:val="single"/>
        </w:rPr>
        <w:t>las entidades federativas</w:t>
      </w:r>
      <w:r w:rsidRPr="004222CF">
        <w:rPr>
          <w:rFonts w:ascii="Palatino Linotype" w:eastAsia="Palatino Linotype" w:hAnsi="Palatino Linotype" w:cs="Palatino Linotype"/>
          <w:b/>
          <w:i/>
          <w:sz w:val="22"/>
          <w:szCs w:val="22"/>
        </w:rPr>
        <w:t>,</w:t>
      </w:r>
      <w:r w:rsidRPr="004222CF">
        <w:rPr>
          <w:rFonts w:ascii="Palatino Linotype" w:eastAsia="Palatino Linotype" w:hAnsi="Palatino Linotype" w:cs="Palatino Linotype"/>
          <w:i/>
          <w:sz w:val="22"/>
          <w:szCs w:val="22"/>
        </w:rPr>
        <w:t xml:space="preserve"> en el ámbito de sus respectivas competencias, se regirán por los siguientes principios y bases:</w:t>
      </w:r>
    </w:p>
    <w:p w14:paraId="737686E9"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 </w:t>
      </w:r>
      <w:r w:rsidRPr="004222CF">
        <w:rPr>
          <w:rFonts w:ascii="Palatino Linotype" w:eastAsia="Palatino Linotype" w:hAnsi="Palatino Linotype" w:cs="Palatino Linotype"/>
          <w:b/>
          <w:i/>
          <w:sz w:val="22"/>
          <w:szCs w:val="22"/>
        </w:rPr>
        <w:t xml:space="preserve">I. </w:t>
      </w:r>
      <w:r w:rsidRPr="004222C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222CF">
        <w:rPr>
          <w:rFonts w:ascii="Palatino Linotype" w:eastAsia="Palatino Linotype" w:hAnsi="Palatino Linotype" w:cs="Palatino Linotype"/>
          <w:b/>
          <w:bCs/>
          <w:i/>
          <w:sz w:val="22"/>
          <w:szCs w:val="22"/>
          <w:u w:val="single"/>
        </w:rPr>
        <w:t xml:space="preserve"> Ejecutivo, Legislativo y Judicial, órganos autónomos, </w:t>
      </w:r>
      <w:r w:rsidRPr="004222CF">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4222CF">
        <w:rPr>
          <w:rFonts w:ascii="Palatino Linotype" w:eastAsia="Palatino Linotype" w:hAnsi="Palatino Linotype" w:cs="Palatino Linotype"/>
          <w:b/>
          <w:i/>
          <w:sz w:val="22"/>
          <w:szCs w:val="22"/>
        </w:rPr>
        <w:t>es pública y sólo podrá ser reservada temporalmente por razones de interés público y seguridad nacional,</w:t>
      </w:r>
      <w:r w:rsidRPr="004222C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2287C4" w14:textId="77777777" w:rsidR="00646AEE" w:rsidRPr="004222CF" w:rsidRDefault="00646AEE" w:rsidP="00646AEE">
      <w:pPr>
        <w:ind w:left="851" w:right="851"/>
        <w:jc w:val="both"/>
        <w:rPr>
          <w:rFonts w:ascii="Palatino Linotype" w:eastAsia="SimSun" w:hAnsi="Palatino Linotype" w:cs="Palatino Linotype"/>
          <w:i/>
          <w:sz w:val="22"/>
          <w:szCs w:val="22"/>
        </w:rPr>
      </w:pPr>
      <w:r w:rsidRPr="004222CF">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4222CF">
        <w:rPr>
          <w:rFonts w:ascii="Palatino Linotype" w:eastAsia="SimSun" w:hAnsi="Palatino Linotype" w:cs="Palatino Linotype"/>
          <w:i/>
          <w:sz w:val="22"/>
          <w:szCs w:val="22"/>
        </w:rPr>
        <w:t>Para tal efecto, los sujetos obligados contarán con las facultades suficientes para su atención.</w:t>
      </w:r>
    </w:p>
    <w:p w14:paraId="38BF2C11" w14:textId="77777777" w:rsidR="00646AEE" w:rsidRPr="004222CF" w:rsidRDefault="00646AEE" w:rsidP="00646AEE">
      <w:pPr>
        <w:spacing w:line="276" w:lineRule="auto"/>
        <w:ind w:left="851" w:right="851"/>
        <w:jc w:val="both"/>
        <w:rPr>
          <w:rFonts w:ascii="Palatino Linotype" w:eastAsia="SimSun" w:hAnsi="Palatino Linotype" w:cs="Palatino Linotype"/>
          <w:i/>
          <w:iCs/>
          <w:sz w:val="22"/>
          <w:szCs w:val="22"/>
        </w:rPr>
      </w:pPr>
      <w:r w:rsidRPr="004222CF">
        <w:rPr>
          <w:rFonts w:ascii="Palatino Linotype" w:eastAsia="SimSun" w:hAnsi="Palatino Linotype" w:cs="Palatino Linotype"/>
          <w:i/>
          <w:iCs/>
          <w:sz w:val="22"/>
          <w:szCs w:val="22"/>
        </w:rPr>
        <w:t>[]</w:t>
      </w:r>
    </w:p>
    <w:p w14:paraId="190A550E"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rPr>
        <w:lastRenderedPageBreak/>
        <w:t xml:space="preserve">III. </w:t>
      </w:r>
      <w:r w:rsidRPr="004222C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222CF">
        <w:rPr>
          <w:rFonts w:ascii="Palatino Linotype" w:eastAsia="Palatino Linotype" w:hAnsi="Palatino Linotype" w:cs="Palatino Linotype"/>
          <w:i/>
          <w:sz w:val="22"/>
          <w:szCs w:val="22"/>
        </w:rPr>
        <w:t xml:space="preserve"> a sus datos personales o a la rectificación de éstos.</w:t>
      </w:r>
    </w:p>
    <w:p w14:paraId="3C6DBB80"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 </w:t>
      </w:r>
      <w:r w:rsidRPr="004222CF">
        <w:rPr>
          <w:rFonts w:ascii="Palatino Linotype" w:eastAsia="Palatino Linotype" w:hAnsi="Palatino Linotype" w:cs="Palatino Linotype"/>
          <w:b/>
          <w:i/>
          <w:sz w:val="22"/>
          <w:szCs w:val="22"/>
        </w:rPr>
        <w:t xml:space="preserve">IV. </w:t>
      </w:r>
      <w:r w:rsidRPr="004222CF">
        <w:rPr>
          <w:rFonts w:ascii="Palatino Linotype" w:eastAsia="Palatino Linotype" w:hAnsi="Palatino Linotype" w:cs="Palatino Linotype"/>
          <w:i/>
          <w:sz w:val="22"/>
          <w:szCs w:val="22"/>
        </w:rPr>
        <w:t>Se establecerán mecanismos de acceso a la información y procedimientos de revisión expeditos que se sustanciarán ante las instancias competentes en los términos que fija esta Constitución y las leyes.</w:t>
      </w:r>
    </w:p>
    <w:p w14:paraId="58BEE6EE"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i/>
          <w:sz w:val="22"/>
          <w:szCs w:val="22"/>
        </w:rPr>
        <w:t xml:space="preserve">V. </w:t>
      </w:r>
      <w:r w:rsidRPr="004222C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EAE129A" w14:textId="77777777" w:rsidR="00646AEE" w:rsidRPr="004222CF" w:rsidRDefault="00646AEE" w:rsidP="00646AEE">
      <w:pPr>
        <w:spacing w:line="276" w:lineRule="auto"/>
        <w:ind w:left="851" w:right="8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 </w:t>
      </w:r>
      <w:r w:rsidRPr="004222CF">
        <w:rPr>
          <w:rFonts w:ascii="Palatino Linotype" w:eastAsia="Palatino Linotype" w:hAnsi="Palatino Linotype" w:cs="Palatino Linotype"/>
          <w:b/>
          <w:i/>
          <w:sz w:val="22"/>
          <w:szCs w:val="22"/>
        </w:rPr>
        <w:t xml:space="preserve">VI. </w:t>
      </w:r>
      <w:r w:rsidRPr="004222C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70C6520" w14:textId="77777777" w:rsidR="00646AEE" w:rsidRPr="004222CF" w:rsidRDefault="00646AEE" w:rsidP="00646AEE">
      <w:pPr>
        <w:spacing w:line="276" w:lineRule="auto"/>
        <w:ind w:left="851" w:right="85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w:t>
      </w:r>
      <w:r w:rsidRPr="004222CF">
        <w:rPr>
          <w:rFonts w:ascii="Palatino Linotype" w:eastAsia="Palatino Linotype" w:hAnsi="Palatino Linotype" w:cs="Palatino Linotype"/>
          <w:b/>
          <w:i/>
          <w:sz w:val="22"/>
          <w:szCs w:val="22"/>
        </w:rPr>
        <w:t xml:space="preserve">VII. </w:t>
      </w:r>
      <w:r w:rsidRPr="004222CF">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D81839E" w14:textId="77777777" w:rsidR="00196457" w:rsidRPr="004222CF" w:rsidRDefault="00196457">
      <w:pPr>
        <w:spacing w:line="276" w:lineRule="auto"/>
        <w:ind w:right="851"/>
        <w:jc w:val="both"/>
        <w:rPr>
          <w:rFonts w:ascii="Palatino Linotype" w:eastAsia="Palatino Linotype" w:hAnsi="Palatino Linotype" w:cs="Palatino Linotype"/>
          <w:i/>
          <w:sz w:val="22"/>
          <w:szCs w:val="22"/>
        </w:rPr>
      </w:pPr>
    </w:p>
    <w:p w14:paraId="3CA2ECA3" w14:textId="77777777" w:rsidR="00196457" w:rsidRPr="004222CF" w:rsidRDefault="00196457">
      <w:pPr>
        <w:spacing w:line="276" w:lineRule="auto"/>
        <w:ind w:left="851" w:right="851"/>
        <w:jc w:val="both"/>
        <w:rPr>
          <w:rFonts w:ascii="Palatino Linotype" w:eastAsia="Palatino Linotype" w:hAnsi="Palatino Linotype" w:cs="Palatino Linotype"/>
          <w:sz w:val="22"/>
          <w:szCs w:val="22"/>
        </w:rPr>
      </w:pPr>
    </w:p>
    <w:p w14:paraId="515CF17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5A7802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5EC1490"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lastRenderedPageBreak/>
        <w:t>“</w:t>
      </w:r>
      <w:r w:rsidRPr="004222CF">
        <w:rPr>
          <w:rFonts w:ascii="Palatino Linotype" w:eastAsia="Palatino Linotype" w:hAnsi="Palatino Linotype" w:cs="Palatino Linotype"/>
          <w:b/>
          <w:i/>
          <w:sz w:val="22"/>
          <w:szCs w:val="22"/>
        </w:rPr>
        <w:t>Artículo 4</w:t>
      </w:r>
      <w:r w:rsidRPr="004222C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DD9B60" w14:textId="77777777" w:rsidR="00196457" w:rsidRPr="004222CF" w:rsidRDefault="00196457">
      <w:pPr>
        <w:spacing w:line="276" w:lineRule="auto"/>
        <w:ind w:left="567" w:right="616"/>
        <w:jc w:val="both"/>
        <w:rPr>
          <w:rFonts w:ascii="Palatino Linotype" w:eastAsia="Palatino Linotype" w:hAnsi="Palatino Linotype" w:cs="Palatino Linotype"/>
          <w:i/>
          <w:sz w:val="22"/>
          <w:szCs w:val="22"/>
        </w:rPr>
      </w:pPr>
    </w:p>
    <w:p w14:paraId="1C9E7B28"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222C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E779BD" w14:textId="77777777" w:rsidR="00196457" w:rsidRPr="004222CF" w:rsidRDefault="00196457">
      <w:pPr>
        <w:spacing w:line="276" w:lineRule="auto"/>
        <w:ind w:left="567" w:right="616"/>
        <w:jc w:val="both"/>
        <w:rPr>
          <w:rFonts w:ascii="Palatino Linotype" w:eastAsia="Palatino Linotype" w:hAnsi="Palatino Linotype" w:cs="Palatino Linotype"/>
          <w:i/>
          <w:sz w:val="22"/>
          <w:szCs w:val="22"/>
        </w:rPr>
      </w:pPr>
    </w:p>
    <w:p w14:paraId="7935F0B8"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4222CF">
        <w:rPr>
          <w:rFonts w:ascii="Palatino Linotype" w:eastAsia="Palatino Linotype" w:hAnsi="Palatino Linotype" w:cs="Palatino Linotype"/>
          <w:i/>
          <w:sz w:val="22"/>
          <w:szCs w:val="22"/>
        </w:rPr>
        <w:t>.”</w:t>
      </w:r>
    </w:p>
    <w:p w14:paraId="2560B15D"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98113A1"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7DACEF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042E4DF"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“Artículo 12.-</w:t>
      </w:r>
      <w:r w:rsidRPr="004222C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153249E" w14:textId="77777777" w:rsidR="00196457" w:rsidRPr="004222CF" w:rsidRDefault="00196457">
      <w:pPr>
        <w:spacing w:line="276" w:lineRule="auto"/>
        <w:ind w:left="567" w:right="616"/>
        <w:jc w:val="both"/>
        <w:rPr>
          <w:rFonts w:ascii="Palatino Linotype" w:eastAsia="Palatino Linotype" w:hAnsi="Palatino Linotype" w:cs="Palatino Linotype"/>
          <w:i/>
          <w:sz w:val="22"/>
          <w:szCs w:val="22"/>
        </w:rPr>
      </w:pPr>
    </w:p>
    <w:p w14:paraId="6DB0808F" w14:textId="77777777" w:rsidR="00196457" w:rsidRPr="004222CF" w:rsidRDefault="00077512">
      <w:pPr>
        <w:spacing w:line="276" w:lineRule="auto"/>
        <w:ind w:left="567" w:right="61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4222CF">
        <w:rPr>
          <w:rFonts w:ascii="Palatino Linotype" w:eastAsia="Palatino Linotype" w:hAnsi="Palatino Linotype" w:cs="Palatino Linotype"/>
          <w:i/>
          <w:sz w:val="22"/>
          <w:szCs w:val="22"/>
        </w:rPr>
        <w:t xml:space="preserve">. </w:t>
      </w:r>
      <w:r w:rsidRPr="004222C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740F2E0" w14:textId="77777777" w:rsidR="00196457" w:rsidRPr="004222CF" w:rsidRDefault="00196457">
      <w:pPr>
        <w:spacing w:line="360" w:lineRule="auto"/>
        <w:ind w:left="567" w:right="616"/>
        <w:jc w:val="both"/>
        <w:rPr>
          <w:rFonts w:ascii="Palatino Linotype" w:eastAsia="Palatino Linotype" w:hAnsi="Palatino Linotype" w:cs="Palatino Linotype"/>
          <w:i/>
          <w:sz w:val="22"/>
          <w:szCs w:val="22"/>
        </w:rPr>
      </w:pPr>
    </w:p>
    <w:p w14:paraId="01B2433C" w14:textId="77777777" w:rsidR="00196457" w:rsidRPr="004222CF" w:rsidRDefault="00077512">
      <w:pPr>
        <w:spacing w:line="360" w:lineRule="auto"/>
        <w:ind w:right="-93"/>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ECA0FB1" w14:textId="77777777" w:rsidR="00196457" w:rsidRPr="004222CF" w:rsidRDefault="00196457">
      <w:pPr>
        <w:spacing w:line="360" w:lineRule="auto"/>
        <w:ind w:right="-93"/>
        <w:jc w:val="both"/>
        <w:rPr>
          <w:rFonts w:ascii="Palatino Linotype" w:eastAsia="Palatino Linotype" w:hAnsi="Palatino Linotype" w:cs="Palatino Linotype"/>
          <w:sz w:val="22"/>
          <w:szCs w:val="22"/>
        </w:rPr>
      </w:pPr>
    </w:p>
    <w:p w14:paraId="18C8CA4E" w14:textId="77777777" w:rsidR="00196457" w:rsidRPr="004222CF" w:rsidRDefault="00077512">
      <w:p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4222CF">
        <w:rPr>
          <w:rFonts w:ascii="Palatino Linotype" w:eastAsia="Palatino Linotype" w:hAnsi="Palatino Linotype" w:cs="Palatino Linotype"/>
          <w:b/>
          <w:sz w:val="22"/>
          <w:szCs w:val="22"/>
        </w:rPr>
        <w:t xml:space="preserve"> </w:t>
      </w:r>
    </w:p>
    <w:p w14:paraId="6A05C403" w14:textId="77777777" w:rsidR="00196457" w:rsidRPr="004222CF" w:rsidRDefault="00196457">
      <w:pPr>
        <w:spacing w:line="360" w:lineRule="auto"/>
        <w:jc w:val="both"/>
        <w:rPr>
          <w:rFonts w:ascii="Palatino Linotype" w:eastAsia="Palatino Linotype" w:hAnsi="Palatino Linotype" w:cs="Palatino Linotype"/>
          <w:b/>
          <w:sz w:val="22"/>
          <w:szCs w:val="22"/>
        </w:rPr>
      </w:pPr>
    </w:p>
    <w:p w14:paraId="7A3D9156"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No existe obligación de elaborar documentos ad hoc para atender las solicitudes de acceso a la información.</w:t>
      </w:r>
      <w:r w:rsidRPr="004222C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6FD7FD0" w14:textId="77777777" w:rsidR="00196457" w:rsidRPr="004222CF" w:rsidRDefault="00196457">
      <w:pPr>
        <w:spacing w:line="360" w:lineRule="auto"/>
        <w:ind w:right="-93"/>
        <w:jc w:val="both"/>
        <w:rPr>
          <w:rFonts w:ascii="Palatino Linotype" w:eastAsia="Palatino Linotype" w:hAnsi="Palatino Linotype" w:cs="Palatino Linotype"/>
          <w:sz w:val="22"/>
          <w:szCs w:val="22"/>
        </w:rPr>
      </w:pPr>
    </w:p>
    <w:p w14:paraId="661D13D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4902C87"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A08FAB4"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86A60E"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099D38B0"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9463FE" w14:textId="77777777" w:rsidR="00196457" w:rsidRPr="004222CF" w:rsidRDefault="00196457">
      <w:pPr>
        <w:spacing w:line="360" w:lineRule="auto"/>
        <w:ind w:left="851" w:right="899"/>
        <w:jc w:val="both"/>
        <w:rPr>
          <w:rFonts w:ascii="Palatino Linotype" w:eastAsia="Palatino Linotype" w:hAnsi="Palatino Linotype" w:cs="Palatino Linotype"/>
          <w:i/>
          <w:sz w:val="22"/>
          <w:szCs w:val="22"/>
        </w:rPr>
      </w:pPr>
    </w:p>
    <w:p w14:paraId="2ACCFFFC"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 xml:space="preserve">Artículo 3. </w:t>
      </w:r>
      <w:r w:rsidRPr="004222CF">
        <w:rPr>
          <w:rFonts w:ascii="Palatino Linotype" w:eastAsia="Palatino Linotype" w:hAnsi="Palatino Linotype" w:cs="Palatino Linotype"/>
          <w:i/>
          <w:sz w:val="22"/>
          <w:szCs w:val="22"/>
        </w:rPr>
        <w:t>Para los efectos de la presente Ley se entenderá por:</w:t>
      </w:r>
    </w:p>
    <w:p w14:paraId="15853201"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31DC0078"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lastRenderedPageBreak/>
        <w:t>XI. Documento:</w:t>
      </w:r>
      <w:r w:rsidRPr="004222CF">
        <w:rPr>
          <w:rFonts w:ascii="Palatino Linotype" w:eastAsia="Palatino Linotype" w:hAnsi="Palatino Linotype" w:cs="Palatino Linotype"/>
          <w:i/>
          <w:sz w:val="22"/>
          <w:szCs w:val="22"/>
        </w:rPr>
        <w:t xml:space="preserve"> Los expedientes, reportes, estudios, actas</w:t>
      </w:r>
      <w:r w:rsidRPr="004222CF">
        <w:rPr>
          <w:rFonts w:ascii="Palatino Linotype" w:eastAsia="Palatino Linotype" w:hAnsi="Palatino Linotype" w:cs="Palatino Linotype"/>
          <w:b/>
          <w:i/>
          <w:sz w:val="22"/>
          <w:szCs w:val="22"/>
        </w:rPr>
        <w:t>,</w:t>
      </w:r>
      <w:r w:rsidRPr="004222C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00AC698" w14:textId="77777777" w:rsidR="00196457" w:rsidRPr="004222CF" w:rsidRDefault="00196457">
      <w:pPr>
        <w:spacing w:line="360" w:lineRule="auto"/>
        <w:ind w:left="851" w:right="899"/>
        <w:jc w:val="both"/>
        <w:rPr>
          <w:rFonts w:ascii="Palatino Linotype" w:eastAsia="Palatino Linotype" w:hAnsi="Palatino Linotype" w:cs="Palatino Linotype"/>
          <w:sz w:val="22"/>
          <w:szCs w:val="22"/>
        </w:rPr>
      </w:pPr>
    </w:p>
    <w:p w14:paraId="1871AE9B"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C442DAC"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E99169F" w14:textId="77777777" w:rsidR="00196457" w:rsidRPr="004222CF" w:rsidRDefault="00077512">
      <w:pPr>
        <w:spacing w:line="276" w:lineRule="auto"/>
        <w:ind w:left="567" w:right="61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sz w:val="22"/>
          <w:szCs w:val="22"/>
        </w:rPr>
        <w:t>“</w:t>
      </w:r>
      <w:r w:rsidRPr="004222CF">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4222C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05A443"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D7B514A" w14:textId="77777777" w:rsidR="00196457" w:rsidRPr="004222CF" w:rsidRDefault="00077512">
      <w:pPr>
        <w:spacing w:line="276"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EEA7180" w14:textId="77777777" w:rsidR="00196457" w:rsidRPr="004222CF" w:rsidRDefault="00077512">
      <w:pPr>
        <w:spacing w:line="276" w:lineRule="auto"/>
        <w:ind w:left="567" w:right="61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31131D1" w14:textId="77777777" w:rsidR="00196457" w:rsidRPr="004222CF" w:rsidRDefault="00077512">
      <w:pPr>
        <w:spacing w:line="276" w:lineRule="auto"/>
        <w:ind w:left="567" w:right="61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lastRenderedPageBreak/>
        <w:t xml:space="preserve">3) Que se trate de información registrada en cualquier soporte documental, que en ejercicio de las atribuciones conferidas, se encuentre en posesión de los Sujetos Obligados.” </w:t>
      </w:r>
    </w:p>
    <w:p w14:paraId="45B0CB35" w14:textId="77777777" w:rsidR="00196457" w:rsidRPr="004222CF" w:rsidRDefault="00196457">
      <w:pPr>
        <w:spacing w:line="276" w:lineRule="auto"/>
        <w:ind w:left="567" w:right="616"/>
        <w:jc w:val="both"/>
        <w:rPr>
          <w:rFonts w:ascii="Palatino Linotype" w:eastAsia="Palatino Linotype" w:hAnsi="Palatino Linotype" w:cs="Palatino Linotype"/>
          <w:b/>
          <w:i/>
          <w:sz w:val="22"/>
          <w:szCs w:val="22"/>
        </w:rPr>
      </w:pPr>
    </w:p>
    <w:p w14:paraId="2A70978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 ahí que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222CF">
        <w:rPr>
          <w:rFonts w:ascii="Palatino Linotype" w:eastAsia="Palatino Linotype" w:hAnsi="Palatino Linotype" w:cs="Palatino Linotype"/>
          <w:sz w:val="22"/>
          <w:szCs w:val="22"/>
          <w:vertAlign w:val="superscript"/>
        </w:rPr>
        <w:footnoteReference w:id="1"/>
      </w:r>
      <w:r w:rsidRPr="004222CF">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222CF">
        <w:rPr>
          <w:rFonts w:ascii="Palatino Linotype" w:eastAsia="Palatino Linotype" w:hAnsi="Palatino Linotype" w:cs="Palatino Linotype"/>
          <w:sz w:val="22"/>
          <w:szCs w:val="22"/>
          <w:vertAlign w:val="superscript"/>
        </w:rPr>
        <w:footnoteReference w:id="2"/>
      </w:r>
      <w:r w:rsidRPr="004222CF">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C712C3F" w14:textId="77777777" w:rsidR="00196457" w:rsidRPr="004222CF" w:rsidRDefault="00196457">
      <w:pPr>
        <w:spacing w:line="360" w:lineRule="auto"/>
        <w:ind w:right="-150"/>
        <w:jc w:val="both"/>
        <w:rPr>
          <w:rFonts w:ascii="Palatino Linotype" w:eastAsia="Palatino Linotype" w:hAnsi="Palatino Linotype" w:cs="Palatino Linotype"/>
          <w:sz w:val="22"/>
          <w:szCs w:val="22"/>
        </w:rPr>
      </w:pPr>
    </w:p>
    <w:p w14:paraId="5CBB3471" w14:textId="77777777" w:rsidR="00196457" w:rsidRPr="004222CF" w:rsidRDefault="00077512">
      <w:pPr>
        <w:spacing w:line="360" w:lineRule="auto"/>
        <w:ind w:right="-150"/>
        <w:jc w:val="both"/>
        <w:rPr>
          <w:rFonts w:ascii="Palatino Linotype" w:eastAsia="Palatino Linotype" w:hAnsi="Palatino Linotype" w:cs="Palatino Linotype"/>
          <w:sz w:val="22"/>
          <w:szCs w:val="22"/>
        </w:rPr>
      </w:pPr>
      <w:bookmarkStart w:id="7" w:name="_heading=h.1y810tw" w:colFirst="0" w:colLast="0"/>
      <w:bookmarkEnd w:id="7"/>
      <w:r w:rsidRPr="004222CF">
        <w:rPr>
          <w:rFonts w:ascii="Palatino Linotype" w:eastAsia="Palatino Linotype" w:hAnsi="Palatino Linotype" w:cs="Palatino Linotype"/>
          <w:sz w:val="22"/>
          <w:szCs w:val="22"/>
        </w:rPr>
        <w:t xml:space="preserve">Para ello, conviene iniciar el presente estudio señalando que la persona solicitante requirió del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medularmente</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sz w:val="22"/>
          <w:szCs w:val="22"/>
        </w:rPr>
        <w:t>lo siguiente:</w:t>
      </w:r>
    </w:p>
    <w:p w14:paraId="14D7BECD" w14:textId="77777777" w:rsidR="00196457" w:rsidRPr="004222CF" w:rsidRDefault="00196457">
      <w:pPr>
        <w:spacing w:line="360" w:lineRule="auto"/>
        <w:ind w:right="-150"/>
        <w:jc w:val="both"/>
        <w:rPr>
          <w:rFonts w:ascii="Palatino Linotype" w:eastAsia="Palatino Linotype" w:hAnsi="Palatino Linotype" w:cs="Palatino Linotype"/>
          <w:sz w:val="22"/>
          <w:szCs w:val="22"/>
        </w:rPr>
      </w:pPr>
    </w:p>
    <w:p w14:paraId="33BF7998" w14:textId="77777777" w:rsidR="00196457" w:rsidRPr="004222CF" w:rsidRDefault="00077512">
      <w:pPr>
        <w:pStyle w:val="Prrafodelista"/>
        <w:numPr>
          <w:ilvl w:val="0"/>
          <w:numId w:val="5"/>
        </w:numPr>
        <w:spacing w:line="360"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sz w:val="22"/>
          <w:szCs w:val="22"/>
        </w:rPr>
        <w:t>Respecto del personal sindicalizado en la administración 2022-2024: nombre, cargo, sueldo, área de adscripción y antigüedad.</w:t>
      </w:r>
    </w:p>
    <w:p w14:paraId="53A87BC2" w14:textId="77777777" w:rsidR="00196457" w:rsidRPr="004222CF" w:rsidRDefault="00077512">
      <w:pPr>
        <w:pStyle w:val="Prrafodelista"/>
        <w:numPr>
          <w:ilvl w:val="0"/>
          <w:numId w:val="5"/>
        </w:numPr>
        <w:spacing w:line="360" w:lineRule="auto"/>
        <w:ind w:right="49"/>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sz w:val="22"/>
          <w:szCs w:val="22"/>
        </w:rPr>
        <w:t>Los oficios donde se determina la sindicalización de los servidores públicos respecto del ejercicio 2024.</w:t>
      </w:r>
    </w:p>
    <w:p w14:paraId="01A09C85" w14:textId="77777777" w:rsidR="00196457" w:rsidRPr="004222CF" w:rsidRDefault="00196457">
      <w:pPr>
        <w:spacing w:line="360" w:lineRule="auto"/>
        <w:ind w:right="49"/>
        <w:jc w:val="both"/>
        <w:rPr>
          <w:rFonts w:ascii="Palatino Linotype" w:eastAsia="Palatino Linotype" w:hAnsi="Palatino Linotype" w:cs="Palatino Linotype"/>
          <w:b/>
          <w:i/>
          <w:sz w:val="22"/>
          <w:szCs w:val="22"/>
        </w:rPr>
      </w:pPr>
    </w:p>
    <w:p w14:paraId="09A14208"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respuesta,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por conducto de la servidora pública habilitada de la Dirección de Administración y Tesorería indicó que con relación a la solicitud de información entregaba un listado del personal sindicalizado del que se tiene registro al 2024, el cual contiene el nombre, cargo, sueldo y área de adscripción; asimismo, se indicó que no consta información relativa a la forma en como fueron sindicalizados los servidores públicos, pero con relación a los oficios donde se determina la sindicalización, se hacía entrega de los únicos oficios que se localizaron en donde se otorgó sindicalización por parte del SUTEYM Sección Toluca en el año 2024.</w:t>
      </w:r>
    </w:p>
    <w:p w14:paraId="0A6EEABA"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5C2F9AED"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Adjunto a la respuesta se entregaron: reporte obtenido de la nómina que contiene los servidores públicos sindicalizados al 2024, el nombre completo, puesto, departamento de adscripción, sueldo bruto y neto de la primera quincena de octubre de 2024; así como, los oficios números CST/0089/2024, CST/0119/2024 y CST/0138/2024 de fechas 29 de mayo, 1 de julio y 07 de agosto de 2024, respectivamente, a través de los cuales el Secretario General del SUTEYM solicita al Director General del Sistema Municipal DIF de Toluca se aplique o se lleve a cabo los trámites correspondientes para la aplicación de la sindicalización por convenio otorgada a determinados servidores públicos, con sus respectivos anexos únicos donde se enlistan a los servidores públicos sindicalizados en mayo, julio y agosto de 2024.</w:t>
      </w:r>
    </w:p>
    <w:p w14:paraId="295764E1"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18C5E7C1" w14:textId="77777777" w:rsidR="00196457" w:rsidRPr="004222CF" w:rsidRDefault="00077512">
      <w:pPr>
        <w:spacing w:line="360" w:lineRule="auto"/>
        <w:ind w:right="49"/>
        <w:jc w:val="both"/>
        <w:rPr>
          <w:rFonts w:ascii="Palatino Linotype" w:eastAsia="Palatino Linotype" w:hAnsi="Palatino Linotype" w:cs="Palatino Linotype"/>
          <w:b/>
          <w:sz w:val="22"/>
          <w:szCs w:val="22"/>
          <w:u w:val="single"/>
        </w:rPr>
      </w:pPr>
      <w:r w:rsidRPr="004222CF">
        <w:rPr>
          <w:rFonts w:ascii="Palatino Linotype" w:eastAsia="Palatino Linotype" w:hAnsi="Palatino Linotype" w:cs="Palatino Linotype"/>
          <w:sz w:val="22"/>
          <w:szCs w:val="22"/>
        </w:rPr>
        <w:t xml:space="preserve">Inconforme con la respuesta la parte </w:t>
      </w:r>
      <w:r w:rsidRPr="004222CF">
        <w:rPr>
          <w:rFonts w:ascii="Palatino Linotype" w:eastAsia="Palatino Linotype" w:hAnsi="Palatino Linotype" w:cs="Palatino Linotype"/>
          <w:b/>
          <w:sz w:val="22"/>
          <w:szCs w:val="22"/>
        </w:rPr>
        <w:t xml:space="preserve">Recurrente, </w:t>
      </w:r>
      <w:r w:rsidRPr="004222CF">
        <w:rPr>
          <w:rFonts w:ascii="Palatino Linotype" w:eastAsia="Palatino Linotype" w:hAnsi="Palatino Linotype" w:cs="Palatino Linotype"/>
          <w:sz w:val="22"/>
          <w:szCs w:val="22"/>
        </w:rPr>
        <w:t>promovió el presente recurso de revisión en el que a manera de motivos de inconformidad se adolece medularmente de la negativa a la entrega de la información.</w:t>
      </w:r>
    </w:p>
    <w:p w14:paraId="7B588CAF" w14:textId="77777777" w:rsidR="00196457" w:rsidRPr="004222CF" w:rsidRDefault="00196457">
      <w:pPr>
        <w:spacing w:line="360" w:lineRule="auto"/>
        <w:ind w:right="49"/>
        <w:jc w:val="both"/>
        <w:rPr>
          <w:rFonts w:ascii="Palatino Linotype" w:eastAsia="Palatino Linotype" w:hAnsi="Palatino Linotype" w:cs="Palatino Linotype"/>
          <w:b/>
          <w:sz w:val="22"/>
          <w:szCs w:val="22"/>
          <w:u w:val="single"/>
        </w:rPr>
      </w:pPr>
    </w:p>
    <w:p w14:paraId="0F1A10E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Admitido el presente recurso de revisión, en términos del artículo 185 fracción II</w:t>
      </w:r>
      <w:r w:rsidRPr="004222CF">
        <w:rPr>
          <w:rFonts w:ascii="Palatino Linotype" w:eastAsia="Palatino Linotype" w:hAnsi="Palatino Linotype" w:cs="Palatino Linotype"/>
          <w:sz w:val="22"/>
          <w:szCs w:val="22"/>
          <w:vertAlign w:val="superscript"/>
        </w:rPr>
        <w:footnoteReference w:id="3"/>
      </w:r>
      <w:r w:rsidRPr="004222CF">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76076D8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6016DF9"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Cabe resaltar que durante la etapa de manifestaciones</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sz w:val="22"/>
          <w:szCs w:val="22"/>
        </w:rPr>
        <w:t xml:space="preserve">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rindió su informe justificado a través del cual se ratificó la respuesta inicial.</w:t>
      </w:r>
    </w:p>
    <w:p w14:paraId="4FE4973D"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0F8AD854" w14:textId="77777777" w:rsidR="00196457" w:rsidRPr="004222CF" w:rsidRDefault="00077512">
      <w:pPr>
        <w:spacing w:line="360" w:lineRule="auto"/>
        <w:ind w:right="49"/>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 xml:space="preserve">Por su lado, la parte </w:t>
      </w:r>
      <w:r w:rsidRPr="004222CF">
        <w:rPr>
          <w:rFonts w:ascii="Palatino Linotype" w:eastAsia="Palatino Linotype" w:hAnsi="Palatino Linotype" w:cs="Palatino Linotype"/>
          <w:b/>
          <w:sz w:val="22"/>
          <w:szCs w:val="22"/>
        </w:rPr>
        <w:t xml:space="preserve">Recurrente </w:t>
      </w:r>
      <w:r w:rsidRPr="004222CF">
        <w:rPr>
          <w:rFonts w:ascii="Palatino Linotype" w:eastAsia="Palatino Linotype" w:hAnsi="Palatino Linotype" w:cs="Palatino Linotype"/>
          <w:sz w:val="22"/>
          <w:szCs w:val="22"/>
        </w:rPr>
        <w:t xml:space="preserve">fue omisa en hacer valer manifestaciones o rendir alegatos que conforme a derecho resultaran procedentes con relación al informe justificado rendido por el </w:t>
      </w:r>
      <w:r w:rsidRPr="004222CF">
        <w:rPr>
          <w:rFonts w:ascii="Palatino Linotype" w:eastAsia="Palatino Linotype" w:hAnsi="Palatino Linotype" w:cs="Palatino Linotype"/>
          <w:b/>
          <w:sz w:val="22"/>
          <w:szCs w:val="22"/>
        </w:rPr>
        <w:t>Sujeto Obligado.</w:t>
      </w:r>
    </w:p>
    <w:p w14:paraId="5C99C7D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29434DC"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Expuestas las posturas de las partes, antes del estudio de fondo, es necesario recordar que el particular requirió la información descrita en la solicitud de acceso a la información pública, incluida la del 1 de enero al 31 de diciembre del 2024; de ahí que, la información sobre hechos que aún no se han generado debido a la temporalidad, son hechos futuros; por lo que no es procedente que los sujetos obligados proporcionen dicha información; siendo aplicable la tesis con número de registro digital 209001</w:t>
      </w:r>
      <w:r w:rsidRPr="004222CF">
        <w:rPr>
          <w:rFonts w:ascii="Palatino Linotype" w:eastAsia="Palatino Linotype" w:hAnsi="Palatino Linotype" w:cs="Palatino Linotype"/>
          <w:sz w:val="22"/>
          <w:szCs w:val="22"/>
          <w:vertAlign w:val="superscript"/>
        </w:rPr>
        <w:footnoteReference w:id="4"/>
      </w:r>
      <w:r w:rsidRPr="004222CF">
        <w:rPr>
          <w:rFonts w:ascii="Palatino Linotype" w:eastAsia="Palatino Linotype" w:hAnsi="Palatino Linotype" w:cs="Palatino Linotype"/>
          <w:sz w:val="22"/>
          <w:szCs w:val="22"/>
        </w:rPr>
        <w:t xml:space="preserve"> emitida por el Poder Judicial de la Federación, que dispone lo siguiente:</w:t>
      </w:r>
    </w:p>
    <w:p w14:paraId="5ABCA6C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256E561" w14:textId="77777777" w:rsidR="00196457" w:rsidRPr="004222CF" w:rsidRDefault="00077512">
      <w:pPr>
        <w:ind w:left="567" w:right="42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ACTOS FUTUROS DE REALIZACION INCIERTA. NO PROCEDE EL JUICIO DE AMPARO CONTRA LOS.</w:t>
      </w:r>
    </w:p>
    <w:p w14:paraId="2AAA7FD9" w14:textId="77777777" w:rsidR="00196457" w:rsidRPr="004222CF" w:rsidRDefault="00077512">
      <w:pPr>
        <w:ind w:left="567" w:right="42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Contra actos futuros de realización incierta no procede el juicio de garantías.</w:t>
      </w:r>
    </w:p>
    <w:p w14:paraId="69F777DA" w14:textId="77777777" w:rsidR="00196457" w:rsidRPr="004222CF" w:rsidRDefault="00196457">
      <w:pPr>
        <w:ind w:left="567" w:right="426"/>
        <w:jc w:val="both"/>
        <w:rPr>
          <w:rFonts w:ascii="Palatino Linotype" w:eastAsia="Palatino Linotype" w:hAnsi="Palatino Linotype" w:cs="Palatino Linotype"/>
          <w:i/>
          <w:sz w:val="22"/>
          <w:szCs w:val="22"/>
        </w:rPr>
      </w:pPr>
    </w:p>
    <w:p w14:paraId="55BDE619" w14:textId="77777777" w:rsidR="00196457" w:rsidRPr="004222CF" w:rsidRDefault="00077512">
      <w:pPr>
        <w:ind w:left="567" w:right="42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En ese sentido, no es procedente la exigencia del hoy Recurrente de que el Sujeto Obligado atienda su solicitud, pues esa autoridad únicamente está constreñida a proporcionar la información pública que genere en uso de sus atribuciones de derecho público con anterioridad a la fecha de la solicitud de información.</w:t>
      </w:r>
    </w:p>
    <w:p w14:paraId="7131293E"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6081967"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ese sentido, no es procedente la exigencia del hoy Recurrente de que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atienda su solicitud, respecto del ejercicio 2024,  hasta el 31 de diciembre del 2024, pues esa autoridad únicamente está constreñida a proporcionar la información pública que genere en uso de sus atribuciones de derecho público a la fecha de la solicitud de información, esto es al </w:t>
      </w:r>
      <w:r w:rsidRPr="004222CF">
        <w:rPr>
          <w:rFonts w:ascii="Palatino Linotype" w:eastAsia="Palatino Linotype" w:hAnsi="Palatino Linotype" w:cs="Palatino Linotype"/>
          <w:b/>
          <w:sz w:val="22"/>
          <w:szCs w:val="22"/>
        </w:rPr>
        <w:t>21 de octubre de 2024.</w:t>
      </w:r>
      <w:r w:rsidRPr="004222CF">
        <w:rPr>
          <w:rFonts w:ascii="Palatino Linotype" w:eastAsia="Palatino Linotype" w:hAnsi="Palatino Linotype" w:cs="Palatino Linotype"/>
          <w:sz w:val="22"/>
          <w:szCs w:val="22"/>
        </w:rPr>
        <w:t xml:space="preserve"> </w:t>
      </w:r>
    </w:p>
    <w:p w14:paraId="7FC32AD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D4FF45D"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Acotado lo anterior, se procede al análisis de la naturaleza de la información requerida, así como el ámbito competencial del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para generar, poseer y/o administrar la misma, conforme lo siguiente:</w:t>
      </w:r>
    </w:p>
    <w:p w14:paraId="7F5E87B2" w14:textId="77777777" w:rsidR="00196457" w:rsidRPr="004222CF" w:rsidRDefault="00077512">
      <w:pPr>
        <w:tabs>
          <w:tab w:val="left" w:pos="990"/>
        </w:tabs>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b/>
      </w:r>
    </w:p>
    <w:p w14:paraId="6888B7DD"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principio, resulta necesario remitirnos al artículo 98, fracción XIV de la Ley del Trabajo de los Servidores Públicos del Estado y Municipios, el cual indica lo siguiente:</w:t>
      </w:r>
    </w:p>
    <w:p w14:paraId="60029165"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5D90B00C"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“ARTÍCULO 98. Son obligaciones de las instituciones públicas:</w:t>
      </w:r>
    </w:p>
    <w:p w14:paraId="12BEACD4"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37F90D25"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XIV. Hacer las deducciones que soliciten los sindicatos para cuotas u otros conceptos siempre que se ajusten a lo establecido en esta ley, </w:t>
      </w:r>
      <w:r w:rsidRPr="004222CF">
        <w:rPr>
          <w:rFonts w:ascii="Palatino Linotype" w:eastAsia="Palatino Linotype" w:hAnsi="Palatino Linotype" w:cs="Palatino Linotype"/>
          <w:b/>
          <w:i/>
          <w:sz w:val="22"/>
          <w:szCs w:val="22"/>
        </w:rPr>
        <w:t>Asimismo, comunicar al sindicato las altas y bajas y demás información relativa a los servidores públicos sindicalizados para el ejercicio de los derechos que les correspondan;</w:t>
      </w:r>
      <w:r w:rsidRPr="004222CF">
        <w:rPr>
          <w:rFonts w:ascii="Palatino Linotype" w:eastAsia="Palatino Linotype" w:hAnsi="Palatino Linotype" w:cs="Palatino Linotype"/>
          <w:i/>
          <w:sz w:val="22"/>
          <w:szCs w:val="22"/>
        </w:rPr>
        <w:t xml:space="preserve"> e</w:t>
      </w:r>
    </w:p>
    <w:p w14:paraId="687A0CE5"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2D4D9FD5"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15F984C6" w14:textId="77777777" w:rsidR="00196457" w:rsidRPr="004222CF" w:rsidRDefault="00077512">
      <w:pPr>
        <w:spacing w:line="276" w:lineRule="auto"/>
        <w:ind w:left="567" w:right="701"/>
        <w:jc w:val="right"/>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(Énfasis añadido)</w:t>
      </w:r>
    </w:p>
    <w:p w14:paraId="206763F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 </w:t>
      </w:r>
    </w:p>
    <w:p w14:paraId="3972D1D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 xml:space="preserve">Como se desprende del numeral en cita, una de las obligaciones de las instituciones públicas, es comunicar al Sindicato las altas y bajas, así como demás información relativa a los servidores públicos sindicalizados para el ejercicio de los derechos que les corresponda; por lo tanto,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cuenta con atribuciones para conocer el personal el nombre de los servidores públicos que tienen la categoría de sindicalizados en la Administración 2022-2024.</w:t>
      </w:r>
    </w:p>
    <w:p w14:paraId="04EA3B5F"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8F4597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Máxime que como se indicó las instituciones públicas tienen como obligación informar al sindicado las altas y bajas de los servidores públicos sindicalizados.</w:t>
      </w:r>
    </w:p>
    <w:p w14:paraId="41182B27" w14:textId="77777777" w:rsidR="00196457" w:rsidRPr="004222CF" w:rsidRDefault="00196457">
      <w:pPr>
        <w:tabs>
          <w:tab w:val="left" w:pos="990"/>
        </w:tabs>
        <w:spacing w:line="360" w:lineRule="auto"/>
        <w:jc w:val="both"/>
        <w:rPr>
          <w:rFonts w:ascii="Palatino Linotype" w:eastAsia="Palatino Linotype" w:hAnsi="Palatino Linotype" w:cs="Palatino Linotype"/>
          <w:sz w:val="22"/>
          <w:szCs w:val="22"/>
        </w:rPr>
      </w:pPr>
    </w:p>
    <w:p w14:paraId="573C4E9C" w14:textId="77777777" w:rsidR="00196457" w:rsidRPr="004222CF" w:rsidRDefault="00077512">
      <w:pPr>
        <w:tabs>
          <w:tab w:val="left" w:pos="990"/>
        </w:tabs>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Acotado lo anterior, procede el análisis de los datos requeridos de los servidores públicos que fueron sindicalizados en la administración 2022-2024.</w:t>
      </w:r>
    </w:p>
    <w:p w14:paraId="3FA08F8A" w14:textId="77777777" w:rsidR="00196457" w:rsidRPr="004222CF" w:rsidRDefault="00196457">
      <w:pPr>
        <w:tabs>
          <w:tab w:val="left" w:pos="990"/>
        </w:tabs>
        <w:spacing w:line="360" w:lineRule="auto"/>
        <w:jc w:val="both"/>
        <w:rPr>
          <w:rFonts w:ascii="Palatino Linotype" w:eastAsia="Palatino Linotype" w:hAnsi="Palatino Linotype" w:cs="Palatino Linotype"/>
          <w:sz w:val="22"/>
          <w:szCs w:val="22"/>
        </w:rPr>
      </w:pPr>
    </w:p>
    <w:p w14:paraId="0DAF64F2" w14:textId="77777777" w:rsidR="00196457" w:rsidRPr="004222CF" w:rsidRDefault="00077512">
      <w:pPr>
        <w:pStyle w:val="Prrafodelista"/>
        <w:numPr>
          <w:ilvl w:val="0"/>
          <w:numId w:val="6"/>
        </w:numPr>
        <w:tabs>
          <w:tab w:val="left" w:pos="990"/>
        </w:tabs>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Nombre y cargo público de servidores públicos:</w:t>
      </w:r>
    </w:p>
    <w:p w14:paraId="1CC05A27" w14:textId="77777777" w:rsidR="00196457" w:rsidRPr="004222CF" w:rsidRDefault="00196457">
      <w:pPr>
        <w:tabs>
          <w:tab w:val="left" w:pos="990"/>
        </w:tabs>
        <w:spacing w:line="360" w:lineRule="auto"/>
        <w:jc w:val="both"/>
        <w:rPr>
          <w:rFonts w:ascii="Palatino Linotype" w:eastAsia="Palatino Linotype" w:hAnsi="Palatino Linotype" w:cs="Palatino Linotype"/>
          <w:sz w:val="22"/>
          <w:szCs w:val="22"/>
        </w:rPr>
      </w:pPr>
    </w:p>
    <w:p w14:paraId="1A4F5387" w14:textId="77777777" w:rsidR="00196457" w:rsidRPr="004222CF" w:rsidRDefault="00077512">
      <w:pPr>
        <w:tabs>
          <w:tab w:val="left" w:pos="990"/>
        </w:tabs>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Al respecto es de indicar, que si bien el nombre constituye uno de los atributos de la personalidad y la manifestación principal del derecho subjetivo a la identidad, en virtud de que hace a una persona física identificada e identificable, al individualizar a los sujetos aunado a que se forma con el sustantivo propio, el primer apellido del padre y el primer apellido de la madre, en el orden que de común acuerdo determinen</w:t>
      </w:r>
      <w:r w:rsidRPr="004222CF">
        <w:rPr>
          <w:rFonts w:ascii="Palatino Linotype" w:eastAsia="Palatino Linotype" w:hAnsi="Palatino Linotype" w:cs="Palatino Linotype"/>
          <w:b/>
          <w:sz w:val="22"/>
          <w:szCs w:val="22"/>
        </w:rPr>
        <w:t>, también lo es que,</w:t>
      </w:r>
      <w:r w:rsidRPr="004222CF">
        <w:rPr>
          <w:rFonts w:ascii="Palatino Linotype" w:eastAsia="Palatino Linotype" w:hAnsi="Palatino Linotype" w:cs="Palatino Linotype"/>
          <w:sz w:val="22"/>
          <w:szCs w:val="22"/>
        </w:rPr>
        <w:t xml:space="preserve"> tratándose de servidores públicos, </w:t>
      </w:r>
      <w:r w:rsidRPr="004222CF">
        <w:rPr>
          <w:rFonts w:ascii="Palatino Linotype" w:eastAsia="Palatino Linotype" w:hAnsi="Palatino Linotype" w:cs="Palatino Linotype"/>
          <w:b/>
          <w:sz w:val="22"/>
          <w:szCs w:val="22"/>
        </w:rPr>
        <w:t>su nombre es información de naturaleza pública.</w:t>
      </w:r>
    </w:p>
    <w:p w14:paraId="70440ED9" w14:textId="77777777" w:rsidR="00196457" w:rsidRPr="004222CF" w:rsidRDefault="00196457">
      <w:pPr>
        <w:tabs>
          <w:tab w:val="left" w:pos="990"/>
        </w:tabs>
        <w:spacing w:line="360" w:lineRule="auto"/>
        <w:jc w:val="both"/>
        <w:rPr>
          <w:rFonts w:ascii="Palatino Linotype" w:eastAsia="Palatino Linotype" w:hAnsi="Palatino Linotype" w:cs="Palatino Linotype"/>
          <w:b/>
          <w:sz w:val="22"/>
          <w:szCs w:val="22"/>
        </w:rPr>
      </w:pPr>
    </w:p>
    <w:p w14:paraId="7DFA8C7F" w14:textId="77777777" w:rsidR="00196457" w:rsidRPr="004222CF" w:rsidRDefault="00077512">
      <w:pPr>
        <w:tabs>
          <w:tab w:val="left" w:pos="990"/>
        </w:tabs>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Misma situación que ocurre con el cargo de los servidores públicos al constituir el puesto o comisión que desempeña una persona física en alguno de los poderes del Estado, en los municipios y organismos auxiliares, por lo que dicho dato también es de naturaleza pública.</w:t>
      </w:r>
    </w:p>
    <w:p w14:paraId="0FECD31C" w14:textId="77777777" w:rsidR="00196457" w:rsidRPr="004222CF" w:rsidRDefault="00196457">
      <w:pPr>
        <w:tabs>
          <w:tab w:val="left" w:pos="990"/>
        </w:tabs>
        <w:spacing w:line="360" w:lineRule="auto"/>
        <w:jc w:val="both"/>
        <w:rPr>
          <w:rFonts w:ascii="Palatino Linotype" w:eastAsia="Palatino Linotype" w:hAnsi="Palatino Linotype" w:cs="Palatino Linotype"/>
          <w:sz w:val="22"/>
          <w:szCs w:val="22"/>
        </w:rPr>
      </w:pPr>
    </w:p>
    <w:p w14:paraId="0B6B8D1A" w14:textId="77777777" w:rsidR="00196457" w:rsidRPr="004222CF" w:rsidRDefault="00077512">
      <w:pPr>
        <w:tabs>
          <w:tab w:val="left" w:pos="990"/>
        </w:tabs>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Además de que, tanto el nombre y cargo de un servidor público es información que se encuentra relacionado con una obligación de transparencia común, de conformidad con el artículo 70, fracción VII de la Ley General de Transparencia y Acceso a la Información Pública del Estado de México, y 92, fracción VII, de la Ley de Transparencia y Acceso a la Información Pública del Estado de México y Municipios, relativa al “</w:t>
      </w:r>
      <w:r w:rsidRPr="004222CF">
        <w:rPr>
          <w:rFonts w:ascii="Palatino Linotype" w:eastAsia="Palatino Linotype" w:hAnsi="Palatino Linotype" w:cs="Palatino Linotype"/>
          <w:b/>
          <w:i/>
          <w:sz w:val="22"/>
          <w:szCs w:val="22"/>
        </w:rPr>
        <w:t>directorio de todos los servidores públicos</w:t>
      </w:r>
      <w:r w:rsidRPr="004222CF">
        <w:rPr>
          <w:rFonts w:ascii="Palatino Linotype" w:eastAsia="Palatino Linotype" w:hAnsi="Palatino Linotype" w:cs="Palatino Linotype"/>
          <w:sz w:val="22"/>
          <w:szCs w:val="22"/>
        </w:rPr>
        <w:t>”, como se sigue:</w:t>
      </w:r>
    </w:p>
    <w:p w14:paraId="3810CD34"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79D048D" w14:textId="77777777" w:rsidR="00196457" w:rsidRPr="004222CF" w:rsidRDefault="00077512">
      <w:pPr>
        <w:spacing w:line="276" w:lineRule="auto"/>
        <w:ind w:left="567" w:right="90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DC48C0F" w14:textId="77777777" w:rsidR="00196457" w:rsidRPr="004222CF" w:rsidRDefault="00077512">
      <w:pPr>
        <w:spacing w:line="276" w:lineRule="auto"/>
        <w:ind w:left="567" w:right="90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w:t>
      </w:r>
    </w:p>
    <w:p w14:paraId="583DF895" w14:textId="77777777" w:rsidR="00196457" w:rsidRPr="004222CF" w:rsidRDefault="00077512">
      <w:pPr>
        <w:spacing w:line="276" w:lineRule="auto"/>
        <w:ind w:left="567" w:right="900"/>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5C7663DD" w14:textId="77777777" w:rsidR="00196457" w:rsidRPr="004222CF" w:rsidRDefault="00077512">
      <w:pPr>
        <w:spacing w:line="276" w:lineRule="auto"/>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El directorio deberá incluir, al menos el </w:t>
      </w:r>
      <w:r w:rsidRPr="004222CF">
        <w:rPr>
          <w:rFonts w:ascii="Palatino Linotype" w:eastAsia="Palatino Linotype" w:hAnsi="Palatino Linotype" w:cs="Palatino Linotype"/>
          <w:b/>
          <w:i/>
          <w:sz w:val="22"/>
          <w:szCs w:val="22"/>
          <w:u w:val="single"/>
        </w:rPr>
        <w:t>nombre</w:t>
      </w:r>
      <w:r w:rsidRPr="004222CF">
        <w:rPr>
          <w:rFonts w:ascii="Palatino Linotype" w:eastAsia="Palatino Linotype" w:hAnsi="Palatino Linotype" w:cs="Palatino Linotype"/>
          <w:b/>
          <w:i/>
          <w:sz w:val="22"/>
          <w:szCs w:val="22"/>
        </w:rPr>
        <w:t xml:space="preserve">, </w:t>
      </w:r>
      <w:r w:rsidRPr="004222CF">
        <w:rPr>
          <w:rFonts w:ascii="Palatino Linotype" w:eastAsia="Palatino Linotype" w:hAnsi="Palatino Linotype" w:cs="Palatino Linotype"/>
          <w:b/>
          <w:i/>
          <w:sz w:val="22"/>
          <w:szCs w:val="22"/>
          <w:u w:val="single"/>
        </w:rPr>
        <w:t>cargo</w:t>
      </w:r>
      <w:r w:rsidRPr="004222CF">
        <w:rPr>
          <w:rFonts w:ascii="Palatino Linotype" w:eastAsia="Palatino Linotype" w:hAnsi="Palatino Linotype" w:cs="Palatino Linotype"/>
          <w:b/>
          <w:i/>
          <w:sz w:val="22"/>
          <w:szCs w:val="22"/>
        </w:rPr>
        <w:t xml:space="preserve"> </w:t>
      </w:r>
      <w:r w:rsidRPr="004222CF">
        <w:rPr>
          <w:rFonts w:ascii="Palatino Linotype" w:eastAsia="Palatino Linotype" w:hAnsi="Palatino Linotype" w:cs="Palatino Linotype"/>
          <w:i/>
          <w:sz w:val="22"/>
          <w:szCs w:val="22"/>
        </w:rPr>
        <w:t xml:space="preserve">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 </w:t>
      </w:r>
    </w:p>
    <w:p w14:paraId="44E1F92A" w14:textId="77777777" w:rsidR="00196457" w:rsidRPr="004222CF" w:rsidRDefault="00196457">
      <w:pPr>
        <w:spacing w:line="276" w:lineRule="auto"/>
        <w:ind w:left="567" w:right="900"/>
        <w:jc w:val="both"/>
        <w:rPr>
          <w:rFonts w:ascii="Palatino Linotype" w:eastAsia="Palatino Linotype" w:hAnsi="Palatino Linotype" w:cs="Palatino Linotype"/>
          <w:i/>
          <w:sz w:val="22"/>
          <w:szCs w:val="22"/>
        </w:rPr>
      </w:pPr>
    </w:p>
    <w:p w14:paraId="2C209EF8" w14:textId="77777777" w:rsidR="00196457" w:rsidRPr="004222CF" w:rsidRDefault="00077512">
      <w:pPr>
        <w:spacing w:line="276" w:lineRule="auto"/>
        <w:ind w:left="567" w:right="900"/>
        <w:jc w:val="right"/>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(Énfasis añadido)</w:t>
      </w:r>
    </w:p>
    <w:p w14:paraId="7A7F5A58" w14:textId="77777777" w:rsidR="00196457" w:rsidRPr="004222CF" w:rsidRDefault="00196457">
      <w:pPr>
        <w:spacing w:line="276" w:lineRule="auto"/>
        <w:ind w:left="567" w:right="900"/>
        <w:jc w:val="right"/>
        <w:rPr>
          <w:rFonts w:ascii="Palatino Linotype" w:eastAsia="Palatino Linotype" w:hAnsi="Palatino Linotype" w:cs="Palatino Linotype"/>
          <w:i/>
          <w:sz w:val="22"/>
          <w:szCs w:val="22"/>
        </w:rPr>
      </w:pPr>
    </w:p>
    <w:p w14:paraId="02B9E266"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Como se desprende de lo anterior, una de las obligaciones de transparencia común de los </w:t>
      </w:r>
      <w:r w:rsidRPr="004222CF">
        <w:rPr>
          <w:rFonts w:ascii="Palatino Linotype" w:eastAsia="Palatino Linotype" w:hAnsi="Palatino Linotype" w:cs="Palatino Linotype"/>
          <w:b/>
          <w:sz w:val="22"/>
          <w:szCs w:val="22"/>
        </w:rPr>
        <w:t>Sujetos Obligados</w:t>
      </w:r>
      <w:r w:rsidRPr="004222CF">
        <w:rPr>
          <w:rFonts w:ascii="Palatino Linotype" w:eastAsia="Palatino Linotype" w:hAnsi="Palatino Linotype" w:cs="Palatino Linotype"/>
          <w:sz w:val="22"/>
          <w:szCs w:val="22"/>
        </w:rPr>
        <w:t xml:space="preserve"> es poner a disposición del público de manera permanente y actualizada, el directorio de todos los servidores públicos, a partir del nivel de jefe de departamento o su </w:t>
      </w:r>
      <w:r w:rsidRPr="004222CF">
        <w:rPr>
          <w:rFonts w:ascii="Palatino Linotype" w:eastAsia="Palatino Linotype" w:hAnsi="Palatino Linotype" w:cs="Palatino Linotype"/>
          <w:sz w:val="22"/>
          <w:szCs w:val="22"/>
        </w:rPr>
        <w:lastRenderedPageBreak/>
        <w:t xml:space="preserve">equivalente, el cual deberá contener, entre otros datos, el </w:t>
      </w:r>
      <w:r w:rsidRPr="004222CF">
        <w:rPr>
          <w:rFonts w:ascii="Palatino Linotype" w:eastAsia="Palatino Linotype" w:hAnsi="Palatino Linotype" w:cs="Palatino Linotype"/>
          <w:b/>
          <w:sz w:val="22"/>
          <w:szCs w:val="22"/>
        </w:rPr>
        <w:t xml:space="preserve">nombre, cargo o nombramiento </w:t>
      </w:r>
      <w:r w:rsidRPr="004222CF">
        <w:rPr>
          <w:rFonts w:ascii="Palatino Linotype" w:eastAsia="Palatino Linotype" w:hAnsi="Palatino Linotype" w:cs="Palatino Linotype"/>
          <w:sz w:val="22"/>
          <w:szCs w:val="22"/>
        </w:rPr>
        <w:t>oficial asignado del servidor público.</w:t>
      </w:r>
    </w:p>
    <w:p w14:paraId="302F236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B6E9AD7" w14:textId="77777777" w:rsidR="00196457" w:rsidRPr="004222CF" w:rsidRDefault="00077512">
      <w:pPr>
        <w:pStyle w:val="Prrafodelista"/>
        <w:numPr>
          <w:ilvl w:val="0"/>
          <w:numId w:val="7"/>
        </w:numPr>
        <w:spacing w:line="360" w:lineRule="auto"/>
        <w:jc w:val="both"/>
        <w:rPr>
          <w:rFonts w:ascii="Palatino Linotype" w:eastAsia="Palatino Linotype" w:hAnsi="Palatino Linotype" w:cs="Palatino Linotype"/>
          <w:b/>
          <w:sz w:val="22"/>
        </w:rPr>
      </w:pPr>
      <w:r w:rsidRPr="004222CF">
        <w:rPr>
          <w:rFonts w:ascii="Palatino Linotype" w:eastAsia="Palatino Linotype" w:hAnsi="Palatino Linotype" w:cs="Palatino Linotype"/>
          <w:b/>
          <w:sz w:val="22"/>
        </w:rPr>
        <w:t>Área de Adscripción y Antigüedad del servidor público:</w:t>
      </w:r>
    </w:p>
    <w:p w14:paraId="7D36E1D9" w14:textId="77777777" w:rsidR="00196457" w:rsidRPr="004222CF" w:rsidRDefault="00196457">
      <w:pPr>
        <w:spacing w:line="360" w:lineRule="auto"/>
        <w:jc w:val="both"/>
        <w:rPr>
          <w:rFonts w:ascii="Palatino Linotype" w:eastAsia="Palatino Linotype" w:hAnsi="Palatino Linotype" w:cs="Palatino Linotype"/>
          <w:sz w:val="22"/>
        </w:rPr>
      </w:pPr>
    </w:p>
    <w:p w14:paraId="3D83476E" w14:textId="77777777" w:rsidR="00196457" w:rsidRPr="004222CF" w:rsidRDefault="00077512">
      <w:pPr>
        <w:spacing w:line="360" w:lineRule="auto"/>
        <w:jc w:val="both"/>
        <w:rPr>
          <w:rFonts w:ascii="Palatino Linotype" w:eastAsia="Palatino Linotype" w:hAnsi="Palatino Linotype" w:cs="Palatino Linotype"/>
          <w:sz w:val="22"/>
        </w:rPr>
      </w:pPr>
      <w:r w:rsidRPr="004222CF">
        <w:rPr>
          <w:rFonts w:ascii="Palatino Linotype" w:eastAsia="Palatino Linotype" w:hAnsi="Palatino Linotype" w:cs="Palatino Linotype"/>
          <w:sz w:val="22"/>
        </w:rPr>
        <w:t>Al respecto, resulta conveniente traer a contexto el contenido de los artículos 1, primer párrafo, 48 y 49 de la Ley del Trabajo de los Servidores Públicos del Estado y Municipios; a saber:</w:t>
      </w:r>
    </w:p>
    <w:p w14:paraId="70581BB4" w14:textId="77777777" w:rsidR="00196457" w:rsidRPr="004222CF" w:rsidRDefault="00196457">
      <w:pPr>
        <w:spacing w:line="276" w:lineRule="auto"/>
        <w:ind w:left="567" w:right="474"/>
        <w:jc w:val="both"/>
        <w:rPr>
          <w:rFonts w:ascii="Palatino Linotype" w:eastAsia="Palatino Linotype" w:hAnsi="Palatino Linotype" w:cs="Palatino Linotype"/>
          <w:i/>
          <w:sz w:val="22"/>
        </w:rPr>
      </w:pPr>
    </w:p>
    <w:p w14:paraId="7F2BB2EF" w14:textId="77777777" w:rsidR="00196457" w:rsidRPr="004222CF" w:rsidRDefault="00077512">
      <w:pPr>
        <w:spacing w:line="276" w:lineRule="auto"/>
        <w:ind w:left="567" w:right="474"/>
        <w:jc w:val="center"/>
        <w:rPr>
          <w:rFonts w:ascii="Palatino Linotype" w:eastAsia="Palatino Linotype" w:hAnsi="Palatino Linotype" w:cs="Palatino Linotype"/>
          <w:b/>
          <w:i/>
          <w:sz w:val="22"/>
          <w:u w:val="single"/>
        </w:rPr>
      </w:pPr>
      <w:r w:rsidRPr="004222CF">
        <w:rPr>
          <w:rFonts w:ascii="Palatino Linotype" w:eastAsia="Palatino Linotype" w:hAnsi="Palatino Linotype" w:cs="Palatino Linotype"/>
          <w:b/>
          <w:i/>
          <w:sz w:val="22"/>
          <w:u w:val="single"/>
        </w:rPr>
        <w:t>Ley del Trabajo de los Servidores Públicos del Estado y Municipios</w:t>
      </w:r>
    </w:p>
    <w:p w14:paraId="4A7C866A" w14:textId="77777777" w:rsidR="00196457" w:rsidRPr="004222CF" w:rsidRDefault="00196457">
      <w:pPr>
        <w:spacing w:line="276" w:lineRule="auto"/>
        <w:ind w:left="567" w:right="474"/>
        <w:jc w:val="center"/>
        <w:rPr>
          <w:rFonts w:ascii="Palatino Linotype" w:eastAsia="Palatino Linotype" w:hAnsi="Palatino Linotype" w:cs="Palatino Linotype"/>
          <w:i/>
          <w:sz w:val="22"/>
        </w:rPr>
      </w:pPr>
    </w:p>
    <w:p w14:paraId="263D79A2" w14:textId="77777777" w:rsidR="00196457" w:rsidRPr="004222CF" w:rsidRDefault="00077512">
      <w:pPr>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w:t>
      </w:r>
      <w:r w:rsidRPr="004222CF">
        <w:rPr>
          <w:rFonts w:ascii="Palatino Linotype" w:eastAsia="Palatino Linotype" w:hAnsi="Palatino Linotype" w:cs="Palatino Linotype"/>
          <w:b/>
          <w:i/>
          <w:sz w:val="22"/>
        </w:rPr>
        <w:t xml:space="preserve">ARTÍCULO 1.- </w:t>
      </w:r>
      <w:r w:rsidRPr="004222CF">
        <w:rPr>
          <w:rFonts w:ascii="Palatino Linotype" w:eastAsia="Palatino Linotype" w:hAnsi="Palatino Linotype" w:cs="Palatino Linotype"/>
          <w:i/>
          <w:sz w:val="22"/>
        </w:rPr>
        <w:t xml:space="preserve">Ésta ley es de orden público e interés social y tiene por objeto regular las relaciones de trabajo, comprendidas entre los poderes públicos del Estado y los Municipios y sus respectivos servidores públicos. </w:t>
      </w:r>
    </w:p>
    <w:p w14:paraId="1F700FA0" w14:textId="77777777" w:rsidR="00196457" w:rsidRPr="004222CF" w:rsidRDefault="00196457">
      <w:pPr>
        <w:spacing w:line="276" w:lineRule="auto"/>
        <w:ind w:left="567" w:right="474"/>
        <w:jc w:val="both"/>
        <w:rPr>
          <w:rFonts w:ascii="Palatino Linotype" w:eastAsia="Palatino Linotype" w:hAnsi="Palatino Linotype" w:cs="Palatino Linotype"/>
          <w:i/>
          <w:sz w:val="22"/>
        </w:rPr>
      </w:pPr>
    </w:p>
    <w:p w14:paraId="29142373" w14:textId="77777777" w:rsidR="00196457" w:rsidRPr="004222CF" w:rsidRDefault="00077512">
      <w:pPr>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w:t>
      </w:r>
    </w:p>
    <w:p w14:paraId="04A0C0B5" w14:textId="77777777" w:rsidR="00196457" w:rsidRPr="004222CF" w:rsidRDefault="00196457">
      <w:pPr>
        <w:spacing w:line="276" w:lineRule="auto"/>
        <w:ind w:left="567" w:right="474"/>
        <w:jc w:val="both"/>
        <w:rPr>
          <w:rFonts w:ascii="Palatino Linotype" w:eastAsia="Palatino Linotype" w:hAnsi="Palatino Linotype" w:cs="Palatino Linotype"/>
          <w:i/>
          <w:sz w:val="22"/>
        </w:rPr>
      </w:pPr>
    </w:p>
    <w:p w14:paraId="260D8FA3"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b/>
          <w:i/>
          <w:sz w:val="22"/>
        </w:rPr>
      </w:pPr>
      <w:r w:rsidRPr="004222CF">
        <w:rPr>
          <w:rFonts w:ascii="Palatino Linotype" w:eastAsia="Palatino Linotype" w:hAnsi="Palatino Linotype" w:cs="Palatino Linotype"/>
          <w:b/>
          <w:i/>
          <w:sz w:val="22"/>
        </w:rPr>
        <w:t xml:space="preserve">“ARTÍCULO 48. Para iniciar la prestación de los servicios se requiere: </w:t>
      </w:r>
    </w:p>
    <w:p w14:paraId="714C164F"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b/>
          <w:i/>
          <w:sz w:val="22"/>
        </w:rPr>
      </w:pPr>
      <w:r w:rsidRPr="004222CF">
        <w:rPr>
          <w:rFonts w:ascii="Palatino Linotype" w:eastAsia="Palatino Linotype" w:hAnsi="Palatino Linotype" w:cs="Palatino Linotype"/>
          <w:b/>
          <w:i/>
          <w:sz w:val="22"/>
        </w:rPr>
        <w:t xml:space="preserve">I. Tener conferido el nombramiento, contrato respectivo o formato único de Movimientos de Personal; </w:t>
      </w:r>
    </w:p>
    <w:p w14:paraId="0F00DA73"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 xml:space="preserve">II. Rendir la protesta de ley en caso de nombramiento; y </w:t>
      </w:r>
    </w:p>
    <w:p w14:paraId="2EC92A19"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III. Tomar posesión del cargo.”</w:t>
      </w:r>
    </w:p>
    <w:p w14:paraId="7660BD06" w14:textId="77777777" w:rsidR="00196457" w:rsidRPr="004222CF" w:rsidRDefault="00196457">
      <w:pPr>
        <w:tabs>
          <w:tab w:val="left" w:pos="8222"/>
        </w:tabs>
        <w:spacing w:line="276" w:lineRule="auto"/>
        <w:ind w:left="567" w:right="474"/>
        <w:jc w:val="both"/>
        <w:rPr>
          <w:rFonts w:ascii="Palatino Linotype" w:eastAsia="Palatino Linotype" w:hAnsi="Palatino Linotype" w:cs="Palatino Linotype"/>
          <w:i/>
          <w:sz w:val="22"/>
        </w:rPr>
      </w:pPr>
    </w:p>
    <w:p w14:paraId="78407501"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b/>
          <w:i/>
          <w:sz w:val="22"/>
        </w:rPr>
      </w:pPr>
      <w:r w:rsidRPr="004222CF">
        <w:rPr>
          <w:rFonts w:ascii="Palatino Linotype" w:eastAsia="Palatino Linotype" w:hAnsi="Palatino Linotype" w:cs="Palatino Linotype"/>
          <w:b/>
          <w:i/>
          <w:sz w:val="22"/>
        </w:rPr>
        <w:t>“ARTÍCULO 49.- Los nombramientos, contratos o formato único de Movimientos de Personal de los servidores públicos deberán contener:</w:t>
      </w:r>
    </w:p>
    <w:p w14:paraId="5BD5A1DF"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I</w:t>
      </w:r>
      <w:r w:rsidRPr="004222CF">
        <w:rPr>
          <w:rFonts w:ascii="Palatino Linotype" w:eastAsia="Palatino Linotype" w:hAnsi="Palatino Linotype" w:cs="Palatino Linotype"/>
          <w:b/>
          <w:bCs/>
          <w:i/>
          <w:sz w:val="22"/>
        </w:rPr>
        <w:t>. Nombre completo del servidor</w:t>
      </w:r>
      <w:r w:rsidRPr="004222CF">
        <w:rPr>
          <w:rFonts w:ascii="Palatino Linotype" w:eastAsia="Palatino Linotype" w:hAnsi="Palatino Linotype" w:cs="Palatino Linotype"/>
          <w:i/>
          <w:sz w:val="22"/>
        </w:rPr>
        <w:t xml:space="preserve"> público; </w:t>
      </w:r>
    </w:p>
    <w:p w14:paraId="2DAFC141"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b/>
          <w:bCs/>
          <w:i/>
          <w:sz w:val="22"/>
        </w:rPr>
        <w:t>II. Cargo</w:t>
      </w:r>
      <w:r w:rsidRPr="004222CF">
        <w:rPr>
          <w:rFonts w:ascii="Palatino Linotype" w:eastAsia="Palatino Linotype" w:hAnsi="Palatino Linotype" w:cs="Palatino Linotype"/>
          <w:i/>
          <w:sz w:val="22"/>
        </w:rPr>
        <w:t xml:space="preserve"> para el que es designado, fecha de inicio de sus servicios y lugar de adscripción; III. Carácter del nombramiento, ya sea de servidores públicos generales o de confianza, así como la temporalidad del mismo; </w:t>
      </w:r>
    </w:p>
    <w:p w14:paraId="4A959AE7"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b/>
          <w:bCs/>
          <w:i/>
          <w:sz w:val="22"/>
        </w:rPr>
        <w:t>IV. Remuneración</w:t>
      </w:r>
      <w:r w:rsidRPr="004222CF">
        <w:rPr>
          <w:rFonts w:ascii="Palatino Linotype" w:eastAsia="Palatino Linotype" w:hAnsi="Palatino Linotype" w:cs="Palatino Linotype"/>
          <w:i/>
          <w:sz w:val="22"/>
        </w:rPr>
        <w:t xml:space="preserve"> correspondiente al puesto; </w:t>
      </w:r>
    </w:p>
    <w:p w14:paraId="686463E9"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 xml:space="preserve">V. </w:t>
      </w:r>
      <w:proofErr w:type="spellStart"/>
      <w:r w:rsidRPr="004222CF">
        <w:rPr>
          <w:rFonts w:ascii="Palatino Linotype" w:eastAsia="Palatino Linotype" w:hAnsi="Palatino Linotype" w:cs="Palatino Linotype"/>
          <w:i/>
          <w:sz w:val="22"/>
        </w:rPr>
        <w:t>Jornadade</w:t>
      </w:r>
      <w:proofErr w:type="spellEnd"/>
      <w:r w:rsidRPr="004222CF">
        <w:rPr>
          <w:rFonts w:ascii="Palatino Linotype" w:eastAsia="Palatino Linotype" w:hAnsi="Palatino Linotype" w:cs="Palatino Linotype"/>
          <w:i/>
          <w:sz w:val="22"/>
        </w:rPr>
        <w:t xml:space="preserve"> trabajo; </w:t>
      </w:r>
    </w:p>
    <w:p w14:paraId="6E59D33C"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lastRenderedPageBreak/>
        <w:t xml:space="preserve">VI. Derogada; </w:t>
      </w:r>
    </w:p>
    <w:p w14:paraId="07098CBA" w14:textId="77777777" w:rsidR="00196457" w:rsidRPr="004222CF" w:rsidRDefault="00077512">
      <w:pPr>
        <w:tabs>
          <w:tab w:val="left" w:pos="8222"/>
        </w:tabs>
        <w:spacing w:line="276" w:lineRule="auto"/>
        <w:ind w:left="567" w:right="474"/>
        <w:jc w:val="both"/>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VII. Firma del servidor público autorizado para emitir el nombramiento, contrato o formato único de Movimientos de Personal, así como el fundamento legal de esa atribución.”</w:t>
      </w:r>
    </w:p>
    <w:p w14:paraId="14686CA7" w14:textId="77777777" w:rsidR="00196457" w:rsidRPr="004222CF" w:rsidRDefault="00196457">
      <w:pPr>
        <w:tabs>
          <w:tab w:val="left" w:pos="8222"/>
        </w:tabs>
        <w:spacing w:line="276" w:lineRule="auto"/>
        <w:ind w:left="567" w:right="474"/>
        <w:jc w:val="both"/>
        <w:rPr>
          <w:rFonts w:ascii="Palatino Linotype" w:eastAsia="Palatino Linotype" w:hAnsi="Palatino Linotype" w:cs="Palatino Linotype"/>
          <w:i/>
          <w:sz w:val="22"/>
        </w:rPr>
      </w:pPr>
    </w:p>
    <w:p w14:paraId="051CF52C" w14:textId="77777777" w:rsidR="00196457" w:rsidRPr="004222CF" w:rsidRDefault="00077512">
      <w:pPr>
        <w:tabs>
          <w:tab w:val="left" w:pos="8222"/>
        </w:tabs>
        <w:spacing w:line="276" w:lineRule="auto"/>
        <w:ind w:left="567" w:right="474"/>
        <w:jc w:val="right"/>
        <w:rPr>
          <w:rFonts w:ascii="Palatino Linotype" w:eastAsia="Palatino Linotype" w:hAnsi="Palatino Linotype" w:cs="Palatino Linotype"/>
          <w:i/>
          <w:sz w:val="22"/>
        </w:rPr>
      </w:pPr>
      <w:r w:rsidRPr="004222CF">
        <w:rPr>
          <w:rFonts w:ascii="Palatino Linotype" w:eastAsia="Palatino Linotype" w:hAnsi="Palatino Linotype" w:cs="Palatino Linotype"/>
          <w:i/>
          <w:sz w:val="22"/>
        </w:rPr>
        <w:t>(Énfasis añadido)</w:t>
      </w:r>
    </w:p>
    <w:p w14:paraId="42F65CCB" w14:textId="77777777" w:rsidR="00196457" w:rsidRPr="004222CF" w:rsidRDefault="00196457">
      <w:pPr>
        <w:tabs>
          <w:tab w:val="left" w:pos="709"/>
        </w:tabs>
        <w:spacing w:line="360" w:lineRule="auto"/>
        <w:jc w:val="both"/>
        <w:rPr>
          <w:rFonts w:ascii="Palatino Linotype" w:eastAsia="Palatino Linotype" w:hAnsi="Palatino Linotype" w:cs="Palatino Linotype"/>
          <w:sz w:val="22"/>
        </w:rPr>
      </w:pPr>
    </w:p>
    <w:p w14:paraId="0052C05A" w14:textId="77777777" w:rsidR="00196457" w:rsidRPr="004222CF" w:rsidRDefault="00077512">
      <w:pPr>
        <w:spacing w:line="360" w:lineRule="auto"/>
        <w:jc w:val="both"/>
        <w:rPr>
          <w:rFonts w:ascii="Palatino Linotype" w:eastAsia="Palatino Linotype" w:hAnsi="Palatino Linotype" w:cs="Palatino Linotype"/>
          <w:sz w:val="22"/>
        </w:rPr>
      </w:pPr>
      <w:r w:rsidRPr="004222CF">
        <w:rPr>
          <w:rFonts w:ascii="Palatino Linotype" w:eastAsia="Palatino Linotype" w:hAnsi="Palatino Linotype" w:cs="Palatino Linotype"/>
          <w:sz w:val="22"/>
        </w:rPr>
        <w:t xml:space="preserve">De lo anterior, se desprende que, entre otros, el Formato Único de Personal es el documento que emite la entidad pública y que acredita la relación laboral entre el servidor público y el </w:t>
      </w:r>
      <w:r w:rsidRPr="004222CF">
        <w:rPr>
          <w:rFonts w:ascii="Palatino Linotype" w:eastAsia="Palatino Linotype" w:hAnsi="Palatino Linotype" w:cs="Palatino Linotype"/>
          <w:b/>
          <w:sz w:val="22"/>
        </w:rPr>
        <w:t xml:space="preserve">Sujeto Obligado, </w:t>
      </w:r>
      <w:r w:rsidRPr="004222CF">
        <w:rPr>
          <w:rFonts w:ascii="Palatino Linotype" w:eastAsia="Palatino Linotype" w:hAnsi="Palatino Linotype" w:cs="Palatino Linotype"/>
          <w:sz w:val="22"/>
        </w:rPr>
        <w:t xml:space="preserve">el cual contiene, entre otra información, el cargo para el que es designado el servidor público, </w:t>
      </w:r>
      <w:r w:rsidRPr="004222CF">
        <w:rPr>
          <w:rFonts w:ascii="Palatino Linotype" w:eastAsia="Palatino Linotype" w:hAnsi="Palatino Linotype" w:cs="Palatino Linotype"/>
          <w:b/>
          <w:sz w:val="22"/>
          <w:u w:val="single"/>
        </w:rPr>
        <w:t>la fecha de inicio de sus servicios</w:t>
      </w:r>
      <w:r w:rsidRPr="004222CF">
        <w:rPr>
          <w:rFonts w:ascii="Palatino Linotype" w:eastAsia="Palatino Linotype" w:hAnsi="Palatino Linotype" w:cs="Palatino Linotype"/>
          <w:sz w:val="22"/>
        </w:rPr>
        <w:t xml:space="preserve"> </w:t>
      </w:r>
      <w:r w:rsidRPr="004222CF">
        <w:rPr>
          <w:rFonts w:ascii="Palatino Linotype" w:eastAsia="Palatino Linotype" w:hAnsi="Palatino Linotype" w:cs="Palatino Linotype"/>
          <w:b/>
          <w:sz w:val="22"/>
          <w:u w:val="single"/>
        </w:rPr>
        <w:t>y el lugar de adscripción;</w:t>
      </w:r>
      <w:r w:rsidRPr="004222CF">
        <w:rPr>
          <w:rFonts w:ascii="Palatino Linotype" w:eastAsia="Palatino Linotype" w:hAnsi="Palatino Linotype" w:cs="Palatino Linotype"/>
          <w:sz w:val="22"/>
        </w:rPr>
        <w:t xml:space="preserve"> formatos que se emiten para sustentar las altas, bajas y cambios de adscripción de los servidores públicos. </w:t>
      </w:r>
    </w:p>
    <w:p w14:paraId="01A9DFB1" w14:textId="77777777" w:rsidR="00196457" w:rsidRPr="004222CF" w:rsidRDefault="00196457">
      <w:pPr>
        <w:spacing w:line="360" w:lineRule="auto"/>
        <w:jc w:val="both"/>
        <w:rPr>
          <w:rFonts w:ascii="Palatino Linotype" w:eastAsia="Palatino Linotype" w:hAnsi="Palatino Linotype" w:cs="Palatino Linotype"/>
          <w:sz w:val="22"/>
        </w:rPr>
      </w:pPr>
    </w:p>
    <w:p w14:paraId="6CF7361B" w14:textId="77777777" w:rsidR="00196457" w:rsidRPr="004222CF" w:rsidRDefault="00077512">
      <w:pPr>
        <w:spacing w:line="360" w:lineRule="auto"/>
        <w:jc w:val="both"/>
        <w:rPr>
          <w:rFonts w:ascii="Palatino Linotype" w:eastAsia="Palatino Linotype" w:hAnsi="Palatino Linotype" w:cs="Palatino Linotype"/>
          <w:sz w:val="22"/>
        </w:rPr>
      </w:pPr>
      <w:r w:rsidRPr="004222CF">
        <w:rPr>
          <w:rFonts w:ascii="Palatino Linotype" w:eastAsia="Palatino Linotype" w:hAnsi="Palatino Linotype" w:cs="Palatino Linotype"/>
          <w:sz w:val="22"/>
        </w:rPr>
        <w:t>Por tanto, los Formatos Únicos de Personal son los documentos idóneos que pueden tener la información requerida, ya que en ellos consta el lugar de adscripción del personal requerido, así como a través del mismo se puede obtener la antigüedad del servidor público, en virtud de que viene la fecha de inicio de sus servicios.</w:t>
      </w:r>
    </w:p>
    <w:p w14:paraId="62E3A9D9" w14:textId="77777777" w:rsidR="00196457" w:rsidRPr="004222CF" w:rsidRDefault="00196457">
      <w:pPr>
        <w:spacing w:line="360" w:lineRule="auto"/>
        <w:jc w:val="both"/>
        <w:rPr>
          <w:rFonts w:ascii="Palatino Linotype" w:eastAsia="Palatino Linotype" w:hAnsi="Palatino Linotype" w:cs="Palatino Linotype"/>
          <w:sz w:val="22"/>
        </w:rPr>
      </w:pPr>
    </w:p>
    <w:p w14:paraId="52F7C89E" w14:textId="77777777" w:rsidR="00196457" w:rsidRPr="004222CF" w:rsidRDefault="00077512">
      <w:pPr>
        <w:pStyle w:val="Prrafodelista"/>
        <w:numPr>
          <w:ilvl w:val="0"/>
          <w:numId w:val="7"/>
        </w:numPr>
        <w:spacing w:line="360" w:lineRule="auto"/>
        <w:ind w:right="-150"/>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 xml:space="preserve">Sueldo bruto y neto: </w:t>
      </w:r>
    </w:p>
    <w:p w14:paraId="06D826A0" w14:textId="77777777" w:rsidR="00196457" w:rsidRPr="004222CF" w:rsidRDefault="00196457">
      <w:pPr>
        <w:spacing w:line="360" w:lineRule="auto"/>
        <w:ind w:right="-150"/>
        <w:jc w:val="both"/>
        <w:rPr>
          <w:rFonts w:ascii="Palatino Linotype" w:eastAsia="Palatino Linotype" w:hAnsi="Palatino Linotype" w:cs="Palatino Linotype"/>
          <w:sz w:val="22"/>
          <w:szCs w:val="22"/>
        </w:rPr>
      </w:pPr>
    </w:p>
    <w:p w14:paraId="2D4E77B5"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Al respecto, se procede a analizar la naturaleza de la información requerida y para ello conviene señalar lo siguiente:</w:t>
      </w:r>
    </w:p>
    <w:p w14:paraId="36531B5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D4CC87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El artículo 70, fracción VIII, de la Ley General de Transparencia y Acceso a la Información Pública y 92, fracción VIII, de la Ley de Transparencia y Acceso a la Información Pública del Estado de México y Municipios, </w:t>
      </w:r>
      <w:r w:rsidRPr="004222CF">
        <w:rPr>
          <w:rFonts w:ascii="Palatino Linotype" w:eastAsia="Palatino Linotype" w:hAnsi="Palatino Linotype" w:cs="Palatino Linotype"/>
          <w:b/>
          <w:sz w:val="22"/>
          <w:szCs w:val="22"/>
          <w:u w:val="single"/>
        </w:rPr>
        <w:t xml:space="preserve">establece que los Sujetos Obligados deberán poner a </w:t>
      </w:r>
      <w:r w:rsidRPr="004222CF">
        <w:rPr>
          <w:rFonts w:ascii="Palatino Linotype" w:eastAsia="Palatino Linotype" w:hAnsi="Palatino Linotype" w:cs="Palatino Linotype"/>
          <w:b/>
          <w:sz w:val="22"/>
          <w:szCs w:val="22"/>
          <w:u w:val="single"/>
        </w:rPr>
        <w:lastRenderedPageBreak/>
        <w:t>disposición del público de manera permanente y actualizada, las remuneraciones brutas y netas de todos los servidores públicos</w:t>
      </w:r>
      <w:r w:rsidRPr="004222CF">
        <w:rPr>
          <w:rFonts w:ascii="Palatino Linotype" w:eastAsia="Palatino Linotype" w:hAnsi="Palatino Linotype" w:cs="Palatino Linotype"/>
          <w:sz w:val="22"/>
          <w:szCs w:val="22"/>
        </w:rPr>
        <w:t>, que incluya todas las percepciones, entre las cuales, se encuentran los sueldos, prestaciones, gratificaciones, primas, comisiones, dietas, bonos, estímulos, ingresos, entre otros.</w:t>
      </w:r>
    </w:p>
    <w:p w14:paraId="75B3AB1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8B66E3E"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Al respecto, es de indicar que la fracción XVIII del artículo 24 de la Ley de Transparencia y Acceso a la Información Pública del Estado de México y Municipios, que a la letra dispone lo siguiente:</w:t>
      </w:r>
    </w:p>
    <w:p w14:paraId="59AFE384"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BB81220"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6F9C20ED"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53A812FE"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XVIII. Hacer pública toda aquella información relativa a los montos y las personas a quienes entreguen, por cualquier motivo</w:t>
      </w:r>
      <w:r w:rsidRPr="004222CF">
        <w:rPr>
          <w:rFonts w:ascii="Palatino Linotype" w:eastAsia="Palatino Linotype" w:hAnsi="Palatino Linotype" w:cs="Palatino Linotype"/>
          <w:i/>
          <w:sz w:val="22"/>
          <w:szCs w:val="22"/>
        </w:rPr>
        <w:t>, recursos públicos, así como los informes que dichas personas les entreguen sobre el uso y destino de dichos recursos;[…]”</w:t>
      </w:r>
    </w:p>
    <w:p w14:paraId="71ED6D84" w14:textId="77777777" w:rsidR="00196457" w:rsidRPr="004222CF" w:rsidRDefault="00196457">
      <w:pPr>
        <w:ind w:left="567" w:right="616"/>
        <w:jc w:val="both"/>
        <w:rPr>
          <w:rFonts w:ascii="Palatino Linotype" w:eastAsia="Palatino Linotype" w:hAnsi="Palatino Linotype" w:cs="Palatino Linotype"/>
          <w:i/>
          <w:sz w:val="22"/>
          <w:szCs w:val="22"/>
        </w:rPr>
      </w:pPr>
    </w:p>
    <w:p w14:paraId="3C8F5997" w14:textId="77777777" w:rsidR="00196457" w:rsidRPr="004222CF" w:rsidRDefault="00077512">
      <w:pPr>
        <w:ind w:left="567" w:right="616"/>
        <w:jc w:val="right"/>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(Énfasis añadido)</w:t>
      </w:r>
    </w:p>
    <w:p w14:paraId="626CBA6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038561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Ahora, </w:t>
      </w:r>
      <w:r w:rsidRPr="004222CF">
        <w:rPr>
          <w:rFonts w:ascii="Palatino Linotype" w:eastAsia="Palatino Linotype" w:hAnsi="Palatino Linotype" w:cs="Palatino Linotype"/>
          <w:b/>
          <w:sz w:val="22"/>
          <w:szCs w:val="22"/>
          <w:u w:val="single"/>
        </w:rPr>
        <w:t>en lo relativo al documento que puede colmar lo requerido</w:t>
      </w:r>
      <w:r w:rsidRPr="004222CF">
        <w:rPr>
          <w:rFonts w:ascii="Palatino Linotype" w:eastAsia="Palatino Linotype" w:hAnsi="Palatino Linotype" w:cs="Palatino Linotype"/>
          <w:sz w:val="22"/>
          <w:szCs w:val="22"/>
        </w:rPr>
        <w:t xml:space="preserve">, este puede ser de manera enunciativa más no limitativa </w:t>
      </w:r>
      <w:r w:rsidRPr="004222CF">
        <w:rPr>
          <w:rFonts w:ascii="Palatino Linotype" w:eastAsia="Palatino Linotype" w:hAnsi="Palatino Linotype" w:cs="Palatino Linotype"/>
          <w:b/>
          <w:sz w:val="22"/>
          <w:szCs w:val="22"/>
          <w:u w:val="single"/>
        </w:rPr>
        <w:t>en la conciliación de nómina.</w:t>
      </w:r>
    </w:p>
    <w:p w14:paraId="0C4A90B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39D607F" w14:textId="77777777" w:rsidR="00196457" w:rsidRPr="004222CF" w:rsidRDefault="00077512">
      <w:pPr>
        <w:spacing w:line="360" w:lineRule="auto"/>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sz w:val="22"/>
          <w:szCs w:val="22"/>
        </w:rPr>
        <w:t>De esta manera, conviene señalar que si bien el término “</w:t>
      </w:r>
      <w:r w:rsidRPr="004222CF">
        <w:rPr>
          <w:rFonts w:ascii="Palatino Linotype" w:eastAsia="Palatino Linotype" w:hAnsi="Palatino Linotype" w:cs="Palatino Linotype"/>
          <w:i/>
          <w:sz w:val="22"/>
          <w:szCs w:val="22"/>
        </w:rPr>
        <w:t xml:space="preserve">nómina” </w:t>
      </w:r>
      <w:r w:rsidRPr="004222CF">
        <w:rPr>
          <w:rFonts w:ascii="Palatino Linotype" w:eastAsia="Palatino Linotype" w:hAnsi="Palatino Linotype" w:cs="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4222CF">
        <w:rPr>
          <w:rFonts w:ascii="Palatino Linotype" w:eastAsia="Palatino Linotype" w:hAnsi="Palatino Linotype" w:cs="Palatino Linotype"/>
          <w:i/>
          <w:sz w:val="22"/>
          <w:szCs w:val="22"/>
        </w:rPr>
        <w:t xml:space="preserve">listado general de los trabajadores de una </w:t>
      </w:r>
      <w:r w:rsidRPr="004222CF">
        <w:rPr>
          <w:rFonts w:ascii="Palatino Linotype" w:eastAsia="Palatino Linotype" w:hAnsi="Palatino Linotype" w:cs="Palatino Linotype"/>
          <w:i/>
          <w:sz w:val="22"/>
          <w:szCs w:val="22"/>
        </w:rPr>
        <w:lastRenderedPageBreak/>
        <w:t>institución, en</w:t>
      </w:r>
      <w:r w:rsidRPr="004222CF">
        <w:rPr>
          <w:rFonts w:ascii="Palatino Linotype" w:eastAsia="Palatino Linotype" w:hAnsi="Palatino Linotype" w:cs="Palatino Linotype"/>
          <w:b/>
          <w:i/>
          <w:sz w:val="22"/>
          <w:szCs w:val="22"/>
        </w:rPr>
        <w:t xml:space="preserve"> </w:t>
      </w:r>
      <w:r w:rsidRPr="004222CF">
        <w:rPr>
          <w:rFonts w:ascii="Palatino Linotype" w:eastAsia="Palatino Linotype" w:hAnsi="Palatino Linotype" w:cs="Palatino Linotype"/>
          <w:i/>
          <w:sz w:val="22"/>
          <w:szCs w:val="22"/>
        </w:rPr>
        <w:t xml:space="preserve">el cual se </w:t>
      </w:r>
      <w:r w:rsidRPr="004222CF">
        <w:rPr>
          <w:rFonts w:ascii="Palatino Linotype" w:eastAsia="Palatino Linotype" w:hAnsi="Palatino Linotype" w:cs="Palatino Linotype"/>
          <w:b/>
          <w:i/>
          <w:sz w:val="22"/>
          <w:szCs w:val="22"/>
        </w:rPr>
        <w:t xml:space="preserve">asientan las </w:t>
      </w:r>
      <w:r w:rsidRPr="004222CF">
        <w:rPr>
          <w:rFonts w:ascii="Palatino Linotype" w:eastAsia="Palatino Linotype" w:hAnsi="Palatino Linotype" w:cs="Palatino Linotype"/>
          <w:b/>
          <w:i/>
          <w:sz w:val="22"/>
          <w:szCs w:val="22"/>
          <w:u w:val="single"/>
        </w:rPr>
        <w:t>percepciones brutas, deducciones y alcance neto de las mismas</w:t>
      </w:r>
      <w:r w:rsidRPr="004222CF">
        <w:rPr>
          <w:rFonts w:ascii="Palatino Linotype" w:eastAsia="Palatino Linotype" w:hAnsi="Palatino Linotype" w:cs="Palatino Linotype"/>
          <w:i/>
          <w:sz w:val="22"/>
          <w:szCs w:val="22"/>
        </w:rPr>
        <w:t>; la nómina es utilizada para</w:t>
      </w:r>
      <w:r w:rsidRPr="004222CF">
        <w:rPr>
          <w:rFonts w:ascii="Palatino Linotype" w:eastAsia="Palatino Linotype" w:hAnsi="Palatino Linotype" w:cs="Palatino Linotype"/>
          <w:b/>
          <w:i/>
          <w:sz w:val="22"/>
          <w:szCs w:val="22"/>
        </w:rPr>
        <w:t xml:space="preserve"> efectuar los pagos periódicos</w:t>
      </w:r>
      <w:r w:rsidRPr="004222CF">
        <w:rPr>
          <w:rFonts w:ascii="Palatino Linotype" w:eastAsia="Palatino Linotype" w:hAnsi="Palatino Linotype" w:cs="Palatino Linotype"/>
          <w:i/>
          <w:sz w:val="22"/>
          <w:szCs w:val="22"/>
        </w:rPr>
        <w:t xml:space="preserve"> (semanales, quincenales o</w:t>
      </w:r>
      <w:r w:rsidRPr="004222CF">
        <w:rPr>
          <w:rFonts w:ascii="Palatino Linotype" w:eastAsia="Palatino Linotype" w:hAnsi="Palatino Linotype" w:cs="Palatino Linotype"/>
          <w:b/>
          <w:i/>
          <w:sz w:val="22"/>
          <w:szCs w:val="22"/>
        </w:rPr>
        <w:t xml:space="preserve"> </w:t>
      </w:r>
      <w:r w:rsidRPr="004222CF">
        <w:rPr>
          <w:rFonts w:ascii="Palatino Linotype" w:eastAsia="Palatino Linotype" w:hAnsi="Palatino Linotype" w:cs="Palatino Linotype"/>
          <w:i/>
          <w:sz w:val="22"/>
          <w:szCs w:val="22"/>
        </w:rPr>
        <w:t xml:space="preserve">mensuales) a los trabajadores por concepto de </w:t>
      </w:r>
      <w:r w:rsidRPr="004222CF">
        <w:rPr>
          <w:rFonts w:ascii="Palatino Linotype" w:eastAsia="Palatino Linotype" w:hAnsi="Palatino Linotype" w:cs="Palatino Linotype"/>
          <w:b/>
          <w:i/>
          <w:sz w:val="22"/>
          <w:szCs w:val="22"/>
        </w:rPr>
        <w:t>sueldos y salarios</w:t>
      </w:r>
      <w:r w:rsidRPr="004222CF">
        <w:rPr>
          <w:rFonts w:ascii="Palatino Linotype" w:eastAsia="Palatino Linotype" w:hAnsi="Palatino Linotype" w:cs="Palatino Linotype"/>
          <w:i/>
          <w:sz w:val="22"/>
          <w:szCs w:val="22"/>
        </w:rPr>
        <w:t>.</w:t>
      </w:r>
    </w:p>
    <w:p w14:paraId="678B9E99" w14:textId="77777777" w:rsidR="00196457" w:rsidRPr="004222CF" w:rsidRDefault="00196457">
      <w:pPr>
        <w:spacing w:line="360" w:lineRule="auto"/>
        <w:jc w:val="both"/>
        <w:rPr>
          <w:rFonts w:ascii="Palatino Linotype" w:eastAsia="Palatino Linotype" w:hAnsi="Palatino Linotype" w:cs="Palatino Linotype"/>
          <w:i/>
          <w:sz w:val="22"/>
          <w:szCs w:val="22"/>
        </w:rPr>
      </w:pPr>
    </w:p>
    <w:p w14:paraId="7250468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De esta manera, la conciliación de nómina tiene como objetivo presentar la información del pago de las remuneraciones de cada uno de los servidores públicos de la entidad fiscalizable de que se trate correspondiente a un periodo determinado.</w:t>
      </w:r>
    </w:p>
    <w:p w14:paraId="0CAFBE8F"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D2E28EC" w14:textId="77777777" w:rsidR="00196457" w:rsidRPr="004222CF" w:rsidRDefault="00077512">
      <w:pPr>
        <w:spacing w:line="360" w:lineRule="auto"/>
        <w:jc w:val="both"/>
        <w:rPr>
          <w:sz w:val="22"/>
          <w:szCs w:val="22"/>
        </w:rPr>
      </w:pPr>
      <w:r w:rsidRPr="004222CF">
        <w:rPr>
          <w:rFonts w:ascii="Palatino Linotype" w:eastAsia="Palatino Linotype" w:hAnsi="Palatino Linotype" w:cs="Palatino Linotype"/>
          <w:sz w:val="22"/>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7EE4CFAE" w14:textId="77777777" w:rsidR="00196457" w:rsidRPr="004222CF" w:rsidRDefault="00196457">
      <w:pPr>
        <w:rPr>
          <w:sz w:val="22"/>
          <w:szCs w:val="22"/>
        </w:rPr>
      </w:pPr>
    </w:p>
    <w:p w14:paraId="2B004045"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4222CF">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4222CF">
        <w:rPr>
          <w:rFonts w:ascii="Palatino Linotype" w:eastAsia="Palatino Linotype" w:hAnsi="Palatino Linotype" w:cs="Palatino Linotype"/>
          <w:b/>
          <w:i/>
          <w:sz w:val="22"/>
          <w:szCs w:val="22"/>
          <w:u w:val="single"/>
        </w:rPr>
        <w:t>que reciba y ejerza recursos públicos</w:t>
      </w:r>
      <w:r w:rsidRPr="004222CF">
        <w:rPr>
          <w:rFonts w:ascii="Palatino Linotype" w:eastAsia="Palatino Linotype" w:hAnsi="Palatino Linotype" w:cs="Palatino Linotype"/>
          <w:i/>
          <w:sz w:val="22"/>
          <w:szCs w:val="22"/>
        </w:rPr>
        <w:t xml:space="preserve"> o realice actos de autoridad </w:t>
      </w:r>
      <w:r w:rsidRPr="004222CF">
        <w:rPr>
          <w:rFonts w:ascii="Palatino Linotype" w:eastAsia="Palatino Linotype" w:hAnsi="Palatino Linotype" w:cs="Palatino Linotype"/>
          <w:b/>
          <w:i/>
          <w:sz w:val="22"/>
          <w:szCs w:val="22"/>
          <w:u w:val="single"/>
        </w:rPr>
        <w:t>en el ámbito de competencia del Estado de México y sus municipios</w:t>
      </w:r>
      <w:r w:rsidRPr="004222CF">
        <w:rPr>
          <w:rFonts w:ascii="Palatino Linotype" w:eastAsia="Palatino Linotype" w:hAnsi="Palatino Linotype" w:cs="Palatino Linotype"/>
          <w:i/>
          <w:sz w:val="22"/>
          <w:szCs w:val="22"/>
          <w:u w:val="single"/>
        </w:rPr>
        <w:t>.</w:t>
      </w:r>
    </w:p>
    <w:p w14:paraId="43AE6CDC"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15930CF1"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i/>
          <w:sz w:val="22"/>
          <w:szCs w:val="22"/>
        </w:rPr>
        <w:lastRenderedPageBreak/>
        <w:t>(…)</w:t>
      </w:r>
    </w:p>
    <w:p w14:paraId="456424EF"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2DE9C52F"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i/>
          <w:sz w:val="22"/>
          <w:szCs w:val="22"/>
        </w:rPr>
        <w:t>(…)</w:t>
      </w:r>
    </w:p>
    <w:p w14:paraId="7C3E662D"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0E2BED8" w14:textId="77777777" w:rsidR="00196457" w:rsidRPr="004222CF" w:rsidRDefault="00077512">
      <w:pPr>
        <w:spacing w:line="276" w:lineRule="auto"/>
        <w:ind w:left="851" w:right="616"/>
        <w:jc w:val="both"/>
        <w:rPr>
          <w:sz w:val="22"/>
          <w:szCs w:val="22"/>
        </w:rPr>
      </w:pPr>
      <w:r w:rsidRPr="004222CF">
        <w:rPr>
          <w:rFonts w:ascii="Palatino Linotype" w:eastAsia="Palatino Linotype" w:hAnsi="Palatino Linotype" w:cs="Palatino Linotype"/>
          <w:i/>
          <w:sz w:val="22"/>
          <w:szCs w:val="22"/>
        </w:rPr>
        <w:t>Los servidores públicos deberán transparentar sus acciones así como garantizar y respetar el derecho de acceso a la información pública.”</w:t>
      </w:r>
      <w:r w:rsidRPr="004222CF">
        <w:rPr>
          <w:rFonts w:ascii="Palatino Linotype" w:eastAsia="Palatino Linotype" w:hAnsi="Palatino Linotype" w:cs="Palatino Linotype"/>
          <w:b/>
          <w:i/>
          <w:sz w:val="22"/>
          <w:szCs w:val="22"/>
        </w:rPr>
        <w:t xml:space="preserve"> </w:t>
      </w:r>
    </w:p>
    <w:p w14:paraId="15C00690" w14:textId="77777777" w:rsidR="00196457" w:rsidRPr="004222CF" w:rsidRDefault="00196457">
      <w:pPr>
        <w:rPr>
          <w:sz w:val="22"/>
          <w:szCs w:val="22"/>
        </w:rPr>
      </w:pPr>
    </w:p>
    <w:p w14:paraId="02C88E98" w14:textId="77777777" w:rsidR="00196457" w:rsidRPr="004222CF" w:rsidRDefault="00077512">
      <w:pPr>
        <w:spacing w:line="360" w:lineRule="auto"/>
        <w:jc w:val="both"/>
        <w:rPr>
          <w:sz w:val="22"/>
          <w:szCs w:val="22"/>
        </w:rPr>
      </w:pPr>
      <w:r w:rsidRPr="004222CF">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4222CF">
        <w:rPr>
          <w:rFonts w:ascii="Palatino Linotype" w:eastAsia="Palatino Linotype" w:hAnsi="Palatino Linotype" w:cs="Palatino Linotype"/>
          <w:b/>
          <w:sz w:val="22"/>
          <w:szCs w:val="22"/>
        </w:rPr>
        <w:t>01/2003</w:t>
      </w:r>
      <w:r w:rsidRPr="004222CF">
        <w:rPr>
          <w:rFonts w:ascii="Palatino Linotype" w:eastAsia="Palatino Linotype" w:hAnsi="Palatino Linotype" w:cs="Palatino Linotype"/>
          <w:sz w:val="22"/>
          <w:szCs w:val="22"/>
        </w:rPr>
        <w:t xml:space="preserve"> y </w:t>
      </w:r>
      <w:r w:rsidRPr="004222CF">
        <w:rPr>
          <w:rFonts w:ascii="Palatino Linotype" w:eastAsia="Palatino Linotype" w:hAnsi="Palatino Linotype" w:cs="Palatino Linotype"/>
          <w:b/>
          <w:sz w:val="22"/>
          <w:szCs w:val="22"/>
        </w:rPr>
        <w:t>02/2003</w:t>
      </w:r>
      <w:r w:rsidRPr="004222CF">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631318BF" w14:textId="77777777" w:rsidR="00196457" w:rsidRPr="004222CF" w:rsidRDefault="00077512">
      <w:pPr>
        <w:tabs>
          <w:tab w:val="left" w:pos="7513"/>
        </w:tabs>
        <w:spacing w:line="276" w:lineRule="auto"/>
        <w:ind w:left="851" w:right="616"/>
        <w:rPr>
          <w:sz w:val="22"/>
          <w:szCs w:val="22"/>
        </w:rPr>
      </w:pPr>
      <w:r w:rsidRPr="004222CF">
        <w:rPr>
          <w:rFonts w:ascii="Palatino Linotype" w:eastAsia="Palatino Linotype" w:hAnsi="Palatino Linotype" w:cs="Palatino Linotype"/>
          <w:b/>
          <w:i/>
          <w:sz w:val="22"/>
          <w:szCs w:val="22"/>
        </w:rPr>
        <w:t>“Criterio 01/2003.</w:t>
      </w:r>
    </w:p>
    <w:p w14:paraId="6EA9506F" w14:textId="77777777" w:rsidR="00196457" w:rsidRPr="004222CF" w:rsidRDefault="00077512">
      <w:pPr>
        <w:tabs>
          <w:tab w:val="left" w:pos="7513"/>
        </w:tabs>
        <w:spacing w:line="276" w:lineRule="auto"/>
        <w:ind w:left="851" w:right="616"/>
        <w:jc w:val="both"/>
        <w:rPr>
          <w:sz w:val="22"/>
          <w:szCs w:val="22"/>
        </w:rPr>
      </w:pPr>
      <w:r w:rsidRPr="004222CF">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4222CF">
        <w:rPr>
          <w:rFonts w:ascii="Palatino Linotype" w:eastAsia="Palatino Linotype" w:hAnsi="Palatino Linotype" w:cs="Palatino Linotype"/>
          <w:i/>
          <w:sz w:val="22"/>
          <w:szCs w:val="22"/>
        </w:rPr>
        <w:t> </w:t>
      </w:r>
    </w:p>
    <w:p w14:paraId="707FA0D7" w14:textId="77777777" w:rsidR="00196457" w:rsidRPr="004222CF" w:rsidRDefault="00077512">
      <w:pPr>
        <w:tabs>
          <w:tab w:val="left" w:pos="7513"/>
        </w:tabs>
        <w:spacing w:line="276" w:lineRule="auto"/>
        <w:ind w:left="851" w:right="616"/>
        <w:jc w:val="both"/>
        <w:rPr>
          <w:sz w:val="22"/>
          <w:szCs w:val="22"/>
        </w:rPr>
      </w:pPr>
      <w:r w:rsidRPr="004222CF">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4222CF">
        <w:rPr>
          <w:rFonts w:ascii="Palatino Linotype" w:eastAsia="Palatino Linotype" w:hAnsi="Palatino Linotype" w:cs="Palatino Linotype"/>
          <w:b/>
          <w:i/>
          <w:sz w:val="22"/>
          <w:szCs w:val="22"/>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w:t>
      </w:r>
      <w:r w:rsidRPr="004222CF">
        <w:rPr>
          <w:rFonts w:ascii="Palatino Linotype" w:eastAsia="Palatino Linotype" w:hAnsi="Palatino Linotype" w:cs="Palatino Linotype"/>
          <w:b/>
          <w:i/>
          <w:sz w:val="22"/>
          <w:szCs w:val="22"/>
          <w:u w:val="single"/>
        </w:rPr>
        <w:lastRenderedPageBreak/>
        <w:t>recursos que encuentran su origen en mayor medida en las contribuciones aportados por los gobernados</w:t>
      </w:r>
      <w:r w:rsidRPr="004222CF">
        <w:rPr>
          <w:rFonts w:ascii="Palatino Linotype" w:eastAsia="Palatino Linotype" w:hAnsi="Palatino Linotype" w:cs="Palatino Linotype"/>
          <w:i/>
          <w:sz w:val="22"/>
          <w:szCs w:val="22"/>
          <w:u w:val="single"/>
        </w:rPr>
        <w:t>…”</w:t>
      </w:r>
    </w:p>
    <w:p w14:paraId="6B4A554F" w14:textId="77777777" w:rsidR="00196457" w:rsidRPr="004222CF" w:rsidRDefault="00196457">
      <w:pPr>
        <w:tabs>
          <w:tab w:val="left" w:pos="7513"/>
        </w:tabs>
        <w:spacing w:line="276" w:lineRule="auto"/>
        <w:ind w:right="616"/>
        <w:rPr>
          <w:sz w:val="22"/>
          <w:szCs w:val="22"/>
        </w:rPr>
      </w:pPr>
    </w:p>
    <w:p w14:paraId="1DB7A59F" w14:textId="77777777" w:rsidR="00196457" w:rsidRPr="004222CF" w:rsidRDefault="00077512">
      <w:pPr>
        <w:tabs>
          <w:tab w:val="left" w:pos="7513"/>
        </w:tabs>
        <w:spacing w:line="276" w:lineRule="auto"/>
        <w:ind w:left="851" w:right="616"/>
        <w:rPr>
          <w:sz w:val="22"/>
          <w:szCs w:val="22"/>
        </w:rPr>
      </w:pPr>
      <w:r w:rsidRPr="004222CF">
        <w:rPr>
          <w:rFonts w:ascii="Palatino Linotype" w:eastAsia="Palatino Linotype" w:hAnsi="Palatino Linotype" w:cs="Palatino Linotype"/>
          <w:b/>
          <w:i/>
          <w:sz w:val="22"/>
          <w:szCs w:val="22"/>
        </w:rPr>
        <w:t>“Criterio 02/2003.</w:t>
      </w:r>
    </w:p>
    <w:p w14:paraId="29598A39" w14:textId="77777777" w:rsidR="00196457" w:rsidRPr="004222CF" w:rsidRDefault="00077512">
      <w:pPr>
        <w:tabs>
          <w:tab w:val="left" w:pos="7513"/>
        </w:tabs>
        <w:spacing w:line="276" w:lineRule="auto"/>
        <w:ind w:left="851" w:right="616"/>
        <w:jc w:val="both"/>
        <w:rPr>
          <w:sz w:val="22"/>
          <w:szCs w:val="22"/>
        </w:rPr>
      </w:pPr>
      <w:r w:rsidRPr="004222CF">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4222CF">
        <w:rPr>
          <w:rFonts w:ascii="Palatino Linotype" w:eastAsia="Palatino Linotype" w:hAnsi="Palatino Linotype" w:cs="Palatino Linotype"/>
          <w:i/>
          <w:sz w:val="22"/>
          <w:szCs w:val="22"/>
        </w:rPr>
        <w:t> </w:t>
      </w:r>
    </w:p>
    <w:p w14:paraId="6B186ECB" w14:textId="77777777" w:rsidR="00196457" w:rsidRPr="004222CF" w:rsidRDefault="00077512">
      <w:pPr>
        <w:tabs>
          <w:tab w:val="left" w:pos="7513"/>
        </w:tabs>
        <w:spacing w:line="276" w:lineRule="auto"/>
        <w:ind w:left="851" w:right="616"/>
        <w:jc w:val="both"/>
        <w:rPr>
          <w:sz w:val="22"/>
          <w:szCs w:val="22"/>
        </w:rPr>
      </w:pPr>
      <w:r w:rsidRPr="004222CF">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4222CF">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4222CF">
        <w:rPr>
          <w:rFonts w:ascii="Palatino Linotype" w:eastAsia="Palatino Linotype" w:hAnsi="Palatino Linotype" w:cs="Palatino Linotype"/>
          <w:i/>
          <w:sz w:val="22"/>
          <w:szCs w:val="22"/>
        </w:rPr>
        <w:t xml:space="preserve"> el sistema de compensación…”</w:t>
      </w:r>
    </w:p>
    <w:p w14:paraId="235F438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8AE6D88" w14:textId="77777777" w:rsidR="00196457" w:rsidRPr="004222CF" w:rsidRDefault="00077512">
      <w:p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 xml:space="preserve">De lo anterior, se colige que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w:t>
      </w:r>
      <w:r w:rsidRPr="004222CF">
        <w:rPr>
          <w:rFonts w:ascii="Palatino Linotype" w:eastAsia="Palatino Linotype" w:hAnsi="Palatino Linotype" w:cs="Palatino Linotype"/>
          <w:b/>
          <w:sz w:val="22"/>
          <w:szCs w:val="22"/>
        </w:rPr>
        <w:t>las remuneraciones de los servidores públicos adscritos al mismo, como lo es el caso de aquellos que fueron sindicalizados en la Administración Pública Municipal 2022-2024; información la anterior que puede obrar de manera enunciativa más no limitativa en la conciliación de nómina.</w:t>
      </w:r>
    </w:p>
    <w:p w14:paraId="76ACCBED" w14:textId="77777777" w:rsidR="00196457" w:rsidRPr="004222CF" w:rsidRDefault="00196457">
      <w:pPr>
        <w:spacing w:line="360" w:lineRule="auto"/>
        <w:jc w:val="both"/>
        <w:rPr>
          <w:rFonts w:ascii="Palatino Linotype" w:eastAsia="Palatino Linotype" w:hAnsi="Palatino Linotype" w:cs="Palatino Linotype"/>
          <w:b/>
          <w:sz w:val="22"/>
          <w:szCs w:val="22"/>
        </w:rPr>
      </w:pPr>
    </w:p>
    <w:p w14:paraId="5E1834E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Además, lo anterior, encuentra sustento en la fracción VIII, del artículo 92, de la Ley de Transparencia y Acceso a la Información Pública del Estado de México y Municipios, que establece que las remuneraciones brutas y netas de todos los servidores públicos es información que los entes obligados deben de poner a disposición del público, a saber:</w:t>
      </w:r>
    </w:p>
    <w:p w14:paraId="61B2CB8C" w14:textId="77777777" w:rsidR="00196457" w:rsidRPr="004222CF" w:rsidRDefault="00196457">
      <w:pPr>
        <w:ind w:left="567" w:right="616"/>
        <w:jc w:val="both"/>
        <w:rPr>
          <w:rFonts w:ascii="Palatino Linotype" w:eastAsia="Palatino Linotype" w:hAnsi="Palatino Linotype" w:cs="Palatino Linotype"/>
          <w:i/>
          <w:sz w:val="22"/>
          <w:szCs w:val="22"/>
        </w:rPr>
      </w:pPr>
    </w:p>
    <w:p w14:paraId="2337B232"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ABBF711"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080204EC"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u w:val="single"/>
        </w:rPr>
        <w:t xml:space="preserve">VIII. La remuneración bruta y neta de todos los servidores públicos </w:t>
      </w:r>
      <w:r w:rsidRPr="004222CF">
        <w:rPr>
          <w:rFonts w:ascii="Palatino Linotype" w:eastAsia="Palatino Linotype" w:hAnsi="Palatino Linotype" w:cs="Palatino Linotype"/>
          <w:i/>
          <w:sz w:val="22"/>
          <w:szCs w:val="22"/>
        </w:rPr>
        <w:t>de base o de confianza, de todas las percepciones, incluyendo sueldos, prestaciones, gratificaciones, primas, comisiones, dietas, bonos, estímulos, ingresos y sistemas de compensación, señalando la periodicidad de dicha remuneración; […]”</w:t>
      </w:r>
    </w:p>
    <w:p w14:paraId="5083789F" w14:textId="77777777" w:rsidR="00196457" w:rsidRPr="004222CF" w:rsidRDefault="00196457">
      <w:pPr>
        <w:ind w:left="567" w:right="616"/>
        <w:jc w:val="both"/>
        <w:rPr>
          <w:rFonts w:ascii="Palatino Linotype" w:eastAsia="Palatino Linotype" w:hAnsi="Palatino Linotype" w:cs="Palatino Linotype"/>
          <w:i/>
          <w:sz w:val="22"/>
          <w:szCs w:val="22"/>
        </w:rPr>
      </w:pPr>
    </w:p>
    <w:p w14:paraId="5EB75004" w14:textId="77777777" w:rsidR="00196457" w:rsidRPr="004222CF" w:rsidRDefault="00077512">
      <w:pPr>
        <w:ind w:left="567" w:right="616"/>
        <w:jc w:val="right"/>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(Énfasis añadido)</w:t>
      </w:r>
    </w:p>
    <w:p w14:paraId="398584A4"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23E6397"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Acotado lo anterior, conforme la normatividad que regula al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se advierte que este cuenta con unidades administrativas que pueden conocer de la información requerida como la Dirección de Administración y Tesorería, la cual conforme el Manual de Organización del Sistema Municipal del Sistema Municipal para el Desarrollo Integral de la Familia de Toluca, cuenta con un Departamento de Capital Humano y un Departamento de Finanzas, los cuales tienen las atribuciones siguientes:  </w:t>
      </w:r>
    </w:p>
    <w:p w14:paraId="3E7F73CB"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 </w:t>
      </w:r>
      <w:r w:rsidRPr="004222CF">
        <w:rPr>
          <w:rFonts w:ascii="Palatino Linotype" w:eastAsia="Palatino Linotype" w:hAnsi="Palatino Linotype" w:cs="Palatino Linotype"/>
          <w:sz w:val="22"/>
          <w:szCs w:val="22"/>
        </w:rPr>
        <w:tab/>
        <w:t>“</w:t>
      </w:r>
    </w:p>
    <w:p w14:paraId="3A8A07B7" w14:textId="77777777" w:rsidR="00196457" w:rsidRPr="004222CF" w:rsidRDefault="00077512">
      <w:pPr>
        <w:spacing w:line="360"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noProof/>
          <w:sz w:val="22"/>
          <w:szCs w:val="22"/>
        </w:rPr>
        <w:drawing>
          <wp:inline distT="0" distB="0" distL="0" distR="0" wp14:anchorId="47699950" wp14:editId="392B6ED3">
            <wp:extent cx="4991735" cy="1657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a:stretch>
                      <a:fillRect/>
                    </a:stretch>
                  </pic:blipFill>
                  <pic:spPr>
                    <a:xfrm>
                      <a:off x="0" y="0"/>
                      <a:ext cx="4991797" cy="1657581"/>
                    </a:xfrm>
                    <a:prstGeom prst="rect">
                      <a:avLst/>
                    </a:prstGeom>
                  </pic:spPr>
                </pic:pic>
              </a:graphicData>
            </a:graphic>
          </wp:inline>
        </w:drawing>
      </w:r>
    </w:p>
    <w:p w14:paraId="5C56D092" w14:textId="77777777" w:rsidR="00196457" w:rsidRPr="004222CF" w:rsidRDefault="00077512">
      <w:pPr>
        <w:spacing w:line="360"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098C49C2" w14:textId="77777777" w:rsidR="00196457" w:rsidRPr="004222CF" w:rsidRDefault="00077512">
      <w:pPr>
        <w:spacing w:line="360" w:lineRule="auto"/>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noProof/>
          <w:sz w:val="22"/>
          <w:szCs w:val="22"/>
        </w:rPr>
        <w:lastRenderedPageBreak/>
        <w:drawing>
          <wp:inline distT="0" distB="0" distL="0" distR="0" wp14:anchorId="5247698C" wp14:editId="18A8F1FC">
            <wp:extent cx="4686935"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tretch>
                      <a:fillRect/>
                    </a:stretch>
                  </pic:blipFill>
                  <pic:spPr>
                    <a:xfrm>
                      <a:off x="0" y="0"/>
                      <a:ext cx="4686954" cy="495369"/>
                    </a:xfrm>
                    <a:prstGeom prst="rect">
                      <a:avLst/>
                    </a:prstGeom>
                  </pic:spPr>
                </pic:pic>
              </a:graphicData>
            </a:graphic>
          </wp:inline>
        </w:drawing>
      </w:r>
    </w:p>
    <w:p w14:paraId="65F64D59"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24580706" wp14:editId="601226AD">
            <wp:extent cx="4991735" cy="1771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a:stretch>
                      <a:fillRect/>
                    </a:stretch>
                  </pic:blipFill>
                  <pic:spPr>
                    <a:xfrm>
                      <a:off x="0" y="0"/>
                      <a:ext cx="4991797" cy="1771897"/>
                    </a:xfrm>
                    <a:prstGeom prst="rect">
                      <a:avLst/>
                    </a:prstGeom>
                  </pic:spPr>
                </pic:pic>
              </a:graphicData>
            </a:graphic>
          </wp:inline>
        </w:drawing>
      </w:r>
    </w:p>
    <w:p w14:paraId="3502402D"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w:t>
      </w:r>
    </w:p>
    <w:p w14:paraId="3264C6F4"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3362AF36" wp14:editId="6BE887D3">
            <wp:extent cx="4572635" cy="514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1"/>
                    <a:stretch>
                      <a:fillRect/>
                    </a:stretch>
                  </pic:blipFill>
                  <pic:spPr>
                    <a:xfrm>
                      <a:off x="0" y="0"/>
                      <a:ext cx="4572638" cy="514422"/>
                    </a:xfrm>
                    <a:prstGeom prst="rect">
                      <a:avLst/>
                    </a:prstGeom>
                  </pic:spPr>
                </pic:pic>
              </a:graphicData>
            </a:graphic>
          </wp:inline>
        </w:drawing>
      </w:r>
    </w:p>
    <w:p w14:paraId="5F3158DA"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w:t>
      </w:r>
    </w:p>
    <w:p w14:paraId="032A97B6"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52AFA85B" wp14:editId="37DA8AE5">
            <wp:extent cx="4563110" cy="304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2"/>
                    <a:stretch>
                      <a:fillRect/>
                    </a:stretch>
                  </pic:blipFill>
                  <pic:spPr>
                    <a:xfrm>
                      <a:off x="0" y="0"/>
                      <a:ext cx="4563112" cy="304843"/>
                    </a:xfrm>
                    <a:prstGeom prst="rect">
                      <a:avLst/>
                    </a:prstGeom>
                  </pic:spPr>
                </pic:pic>
              </a:graphicData>
            </a:graphic>
          </wp:inline>
        </w:drawing>
      </w:r>
    </w:p>
    <w:p w14:paraId="140AE5E8"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w:t>
      </w:r>
    </w:p>
    <w:p w14:paraId="01229F06"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560F32E1" wp14:editId="201FCAB7">
            <wp:extent cx="4610735" cy="7524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3"/>
                    <a:stretch>
                      <a:fillRect/>
                    </a:stretch>
                  </pic:blipFill>
                  <pic:spPr>
                    <a:xfrm>
                      <a:off x="0" y="0"/>
                      <a:ext cx="4610743" cy="752580"/>
                    </a:xfrm>
                    <a:prstGeom prst="rect">
                      <a:avLst/>
                    </a:prstGeom>
                  </pic:spPr>
                </pic:pic>
              </a:graphicData>
            </a:graphic>
          </wp:inline>
        </w:drawing>
      </w:r>
      <w:r w:rsidRPr="004222CF">
        <w:rPr>
          <w:rFonts w:ascii="Palatino Linotype" w:eastAsia="Palatino Linotype" w:hAnsi="Palatino Linotype" w:cs="Palatino Linotype"/>
          <w:sz w:val="22"/>
          <w:szCs w:val="22"/>
        </w:rPr>
        <w:t>”</w:t>
      </w:r>
    </w:p>
    <w:p w14:paraId="283B53F7"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w:t>
      </w:r>
    </w:p>
    <w:p w14:paraId="0710F9B6"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7EB0944F" wp14:editId="5736A5FD">
            <wp:extent cx="4962525" cy="1390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4"/>
                    <a:stretch>
                      <a:fillRect/>
                    </a:stretch>
                  </pic:blipFill>
                  <pic:spPr>
                    <a:xfrm>
                      <a:off x="0" y="0"/>
                      <a:ext cx="4963230" cy="1390847"/>
                    </a:xfrm>
                    <a:prstGeom prst="rect">
                      <a:avLst/>
                    </a:prstGeom>
                  </pic:spPr>
                </pic:pic>
              </a:graphicData>
            </a:graphic>
          </wp:inline>
        </w:drawing>
      </w:r>
    </w:p>
    <w:p w14:paraId="314864F7"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w:t>
      </w:r>
    </w:p>
    <w:p w14:paraId="41562F82" w14:textId="77777777" w:rsidR="00196457" w:rsidRPr="004222CF" w:rsidRDefault="00077512">
      <w:pPr>
        <w:spacing w:line="360" w:lineRule="auto"/>
        <w:ind w:left="567" w:right="616"/>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lastRenderedPageBreak/>
        <w:drawing>
          <wp:inline distT="0" distB="0" distL="0" distR="0" wp14:anchorId="668ACE86" wp14:editId="7621CEEE">
            <wp:extent cx="4781550" cy="1190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5"/>
                    <a:stretch>
                      <a:fillRect/>
                    </a:stretch>
                  </pic:blipFill>
                  <pic:spPr>
                    <a:xfrm>
                      <a:off x="0" y="0"/>
                      <a:ext cx="4782218" cy="1190791"/>
                    </a:xfrm>
                    <a:prstGeom prst="rect">
                      <a:avLst/>
                    </a:prstGeom>
                  </pic:spPr>
                </pic:pic>
              </a:graphicData>
            </a:graphic>
          </wp:inline>
        </w:drawing>
      </w:r>
      <w:r w:rsidRPr="004222CF">
        <w:rPr>
          <w:rFonts w:ascii="Palatino Linotype" w:eastAsia="Palatino Linotype" w:hAnsi="Palatino Linotype" w:cs="Palatino Linotype"/>
          <w:sz w:val="22"/>
          <w:szCs w:val="22"/>
        </w:rPr>
        <w:t>”</w:t>
      </w:r>
    </w:p>
    <w:p w14:paraId="2269734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277E28D"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 lo anterior, se desprende que la </w:t>
      </w:r>
      <w:r w:rsidRPr="004222CF">
        <w:rPr>
          <w:rFonts w:ascii="Palatino Linotype" w:eastAsia="Palatino Linotype" w:hAnsi="Palatino Linotype" w:cs="Palatino Linotype"/>
          <w:b/>
          <w:sz w:val="22"/>
          <w:szCs w:val="22"/>
        </w:rPr>
        <w:t xml:space="preserve">Dirección de Administración y Tesorería, </w:t>
      </w:r>
      <w:r w:rsidRPr="004222CF">
        <w:rPr>
          <w:rFonts w:ascii="Palatino Linotype" w:eastAsia="Palatino Linotype" w:hAnsi="Palatino Linotype" w:cs="Palatino Linotype"/>
          <w:sz w:val="22"/>
          <w:szCs w:val="22"/>
        </w:rPr>
        <w:t>es el área competente para conocer de la información requerida, ya que cuenta con dos departamentos que conocen de la información relativa a las altas y bajas de servidores públicos adscritos al Sujeto Obligado, conocer aquellos que son sindicalizados, el pago de sus remuneraciones, así como los descuentos que se deben realizar al mismo, que puede ser, entre otros por cuotas sindicales, integrando la documentación original justificativa o comprobatoria de los movimientos financieros.</w:t>
      </w:r>
    </w:p>
    <w:p w14:paraId="0C3B15D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1C09731" w14:textId="77777777" w:rsidR="00196457" w:rsidRPr="004222CF" w:rsidRDefault="00077512">
      <w:pPr>
        <w:spacing w:line="360" w:lineRule="auto"/>
        <w:jc w:val="both"/>
        <w:rPr>
          <w:sz w:val="22"/>
          <w:szCs w:val="22"/>
        </w:rPr>
      </w:pPr>
      <w:r w:rsidRPr="004222CF">
        <w:rPr>
          <w:rFonts w:ascii="Palatino Linotype" w:eastAsia="Palatino Linotype" w:hAnsi="Palatino Linotype" w:cs="Palatino Linotype"/>
          <w:sz w:val="22"/>
          <w:szCs w:val="22"/>
        </w:rPr>
        <w:t xml:space="preserve">Por lo que, en el caso, al remitirse la solicitud de información a la </w:t>
      </w:r>
      <w:r w:rsidRPr="004222CF">
        <w:rPr>
          <w:rFonts w:ascii="Palatino Linotype" w:eastAsia="Palatino Linotype" w:hAnsi="Palatino Linotype" w:cs="Palatino Linotype"/>
          <w:b/>
          <w:sz w:val="22"/>
          <w:szCs w:val="22"/>
          <w:u w:val="single"/>
        </w:rPr>
        <w:t xml:space="preserve">Dirección de Administración y Tesorería; </w:t>
      </w:r>
      <w:r w:rsidRPr="004222CF">
        <w:rPr>
          <w:rFonts w:ascii="Palatino Linotype" w:eastAsia="Palatino Linotype" w:hAnsi="Palatino Linotype" w:cs="Palatino Linotype"/>
          <w:sz w:val="22"/>
          <w:szCs w:val="22"/>
        </w:rPr>
        <w:t>se colige que se turnó la misma a la unidad administrativa competente, siguiendo el procedimiento para la atención a las solicitudes de acceso a la información que se encuentra establecido en los artículos 151, 159, 160, 162, 163, 164, 165 y 166, de la Ley de Transparencia y Acceso a la Información Pública del Estado de México y Municipios, es el siguiente:</w:t>
      </w:r>
    </w:p>
    <w:p w14:paraId="64750957" w14:textId="77777777" w:rsidR="00196457" w:rsidRPr="004222CF" w:rsidRDefault="00196457">
      <w:pPr>
        <w:spacing w:line="360" w:lineRule="auto"/>
        <w:rPr>
          <w:sz w:val="22"/>
          <w:szCs w:val="22"/>
        </w:rPr>
      </w:pPr>
    </w:p>
    <w:p w14:paraId="78F446F0" w14:textId="77777777" w:rsidR="00196457" w:rsidRPr="004222CF" w:rsidRDefault="00077512">
      <w:pPr>
        <w:numPr>
          <w:ilvl w:val="0"/>
          <w:numId w:val="8"/>
        </w:numPr>
        <w:spacing w:line="276"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E525A73" w14:textId="77777777" w:rsidR="00196457" w:rsidRPr="004222CF" w:rsidRDefault="00196457">
      <w:pPr>
        <w:spacing w:line="276" w:lineRule="auto"/>
        <w:ind w:left="360"/>
        <w:jc w:val="both"/>
        <w:rPr>
          <w:rFonts w:ascii="Palatino Linotype" w:eastAsia="Palatino Linotype" w:hAnsi="Palatino Linotype" w:cs="Palatino Linotype"/>
          <w:sz w:val="22"/>
          <w:szCs w:val="22"/>
        </w:rPr>
      </w:pPr>
    </w:p>
    <w:p w14:paraId="4864D1F5" w14:textId="77777777" w:rsidR="00196457" w:rsidRPr="004222CF" w:rsidRDefault="00077512">
      <w:pPr>
        <w:numPr>
          <w:ilvl w:val="0"/>
          <w:numId w:val="8"/>
        </w:numPr>
        <w:spacing w:line="276"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ED77839" w14:textId="77777777" w:rsidR="00196457" w:rsidRPr="004222CF" w:rsidRDefault="00196457">
      <w:pPr>
        <w:spacing w:line="276" w:lineRule="auto"/>
        <w:ind w:left="720"/>
        <w:rPr>
          <w:rFonts w:ascii="Palatino Linotype" w:eastAsia="Palatino Linotype" w:hAnsi="Palatino Linotype" w:cs="Palatino Linotype"/>
          <w:sz w:val="22"/>
          <w:szCs w:val="22"/>
        </w:rPr>
      </w:pPr>
    </w:p>
    <w:p w14:paraId="0B2C02D8" w14:textId="77777777" w:rsidR="00196457" w:rsidRPr="004222CF" w:rsidRDefault="00077512">
      <w:pPr>
        <w:numPr>
          <w:ilvl w:val="0"/>
          <w:numId w:val="8"/>
        </w:numPr>
        <w:spacing w:line="276"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4222CF">
        <w:rPr>
          <w:rFonts w:ascii="Palatino Linotype" w:eastAsia="Palatino Linotype" w:hAnsi="Palatino Linotype" w:cs="Palatino Linotype"/>
          <w:b/>
          <w:sz w:val="22"/>
          <w:szCs w:val="22"/>
        </w:rPr>
        <w:t>quince días, contados a partir del día siguiente a la presentación de ésta.</w:t>
      </w:r>
      <w:r w:rsidRPr="004222CF">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3275CDAB" w14:textId="77777777" w:rsidR="00196457" w:rsidRPr="004222CF" w:rsidRDefault="00196457">
      <w:pPr>
        <w:spacing w:line="276" w:lineRule="auto"/>
        <w:ind w:left="720"/>
        <w:rPr>
          <w:rFonts w:ascii="Palatino Linotype" w:eastAsia="Palatino Linotype" w:hAnsi="Palatino Linotype" w:cs="Palatino Linotype"/>
          <w:sz w:val="22"/>
          <w:szCs w:val="22"/>
        </w:rPr>
      </w:pPr>
    </w:p>
    <w:p w14:paraId="6C5FF19C" w14:textId="77777777" w:rsidR="00196457" w:rsidRPr="004222CF" w:rsidRDefault="00077512">
      <w:pPr>
        <w:numPr>
          <w:ilvl w:val="0"/>
          <w:numId w:val="8"/>
        </w:numPr>
        <w:spacing w:line="276" w:lineRule="auto"/>
        <w:jc w:val="both"/>
        <w:rPr>
          <w:rFonts w:ascii="Palatino Linotype" w:eastAsia="Palatino Linotype" w:hAnsi="Palatino Linotype" w:cs="Palatino Linotype"/>
          <w:b/>
          <w:sz w:val="22"/>
          <w:szCs w:val="22"/>
          <w:u w:val="single"/>
        </w:rPr>
      </w:pPr>
      <w:r w:rsidRPr="004222CF">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7C4DB5E" w14:textId="77777777" w:rsidR="00196457" w:rsidRPr="004222CF" w:rsidRDefault="00196457">
      <w:pPr>
        <w:spacing w:line="276" w:lineRule="auto"/>
        <w:ind w:left="720"/>
        <w:rPr>
          <w:rFonts w:ascii="Palatino Linotype" w:eastAsia="Palatino Linotype" w:hAnsi="Palatino Linotype" w:cs="Palatino Linotype"/>
          <w:b/>
          <w:sz w:val="22"/>
          <w:szCs w:val="22"/>
          <w:u w:val="single"/>
        </w:rPr>
      </w:pPr>
    </w:p>
    <w:p w14:paraId="16207BFE" w14:textId="77777777" w:rsidR="00196457" w:rsidRPr="004222CF" w:rsidRDefault="00077512">
      <w:pPr>
        <w:numPr>
          <w:ilvl w:val="0"/>
          <w:numId w:val="8"/>
        </w:numPr>
        <w:spacing w:line="276"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74186C1" w14:textId="77777777" w:rsidR="00196457" w:rsidRPr="004222CF" w:rsidRDefault="00196457">
      <w:pPr>
        <w:spacing w:line="276" w:lineRule="auto"/>
        <w:ind w:left="360"/>
        <w:jc w:val="both"/>
        <w:rPr>
          <w:rFonts w:ascii="Palatino Linotype" w:eastAsia="Palatino Linotype" w:hAnsi="Palatino Linotype" w:cs="Palatino Linotype"/>
          <w:b/>
          <w:sz w:val="22"/>
          <w:szCs w:val="22"/>
        </w:rPr>
      </w:pPr>
    </w:p>
    <w:p w14:paraId="27DB7EE5" w14:textId="77777777" w:rsidR="00196457" w:rsidRPr="004222CF" w:rsidRDefault="00077512">
      <w:pPr>
        <w:numPr>
          <w:ilvl w:val="0"/>
          <w:numId w:val="8"/>
        </w:numPr>
        <w:spacing w:line="276"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2A9FD682" w14:textId="77777777" w:rsidR="00196457" w:rsidRPr="004222CF" w:rsidRDefault="00196457">
      <w:pPr>
        <w:spacing w:line="360" w:lineRule="auto"/>
        <w:rPr>
          <w:sz w:val="22"/>
          <w:szCs w:val="22"/>
        </w:rPr>
      </w:pPr>
    </w:p>
    <w:p w14:paraId="50F4FF5C" w14:textId="77777777" w:rsidR="00196457" w:rsidRPr="004222CF" w:rsidRDefault="00077512">
      <w:pPr>
        <w:spacing w:line="360" w:lineRule="auto"/>
        <w:ind w:right="49"/>
        <w:jc w:val="both"/>
        <w:rPr>
          <w:rFonts w:ascii="Palatino Linotype" w:eastAsia="Palatino Linotype" w:hAnsi="Palatino Linotype" w:cs="Palatino Linotype"/>
          <w:b/>
          <w:sz w:val="22"/>
          <w:szCs w:val="22"/>
          <w:u w:val="single"/>
        </w:rPr>
      </w:pPr>
      <w:r w:rsidRPr="004222CF">
        <w:rPr>
          <w:rFonts w:ascii="Palatino Linotype" w:eastAsia="Palatino Linotype" w:hAnsi="Palatino Linotype" w:cs="Palatino Linotype"/>
          <w:sz w:val="22"/>
          <w:szCs w:val="22"/>
        </w:rPr>
        <w:t xml:space="preserve">En ese sentido, se tiene que, </w:t>
      </w:r>
      <w:r w:rsidRPr="004222CF">
        <w:rPr>
          <w:rFonts w:ascii="Palatino Linotype" w:eastAsia="Palatino Linotype" w:hAnsi="Palatino Linotype" w:cs="Palatino Linotype"/>
          <w:b/>
          <w:sz w:val="22"/>
          <w:szCs w:val="22"/>
          <w:u w:val="single"/>
        </w:rPr>
        <w:t>el procedimiento de búsqueda de la información se tiene por atendido.</w:t>
      </w:r>
    </w:p>
    <w:p w14:paraId="61F546DC"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Ahora, del análisis a la respuesta del servidor público habilitado competente de la Dirección de Administración y Tesorería, se advierte lo siguiente:</w:t>
      </w:r>
    </w:p>
    <w:p w14:paraId="19AC48F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1787D9C"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Respecto del requerimiento relativo a “</w:t>
      </w:r>
      <w:r w:rsidRPr="004222CF">
        <w:rPr>
          <w:rFonts w:ascii="Palatino Linotype" w:eastAsia="Palatino Linotype" w:hAnsi="Palatino Linotype" w:cs="Palatino Linotype"/>
          <w:b/>
          <w:i/>
          <w:sz w:val="22"/>
          <w:szCs w:val="22"/>
        </w:rPr>
        <w:t>Respecto del personal sindicalizado en la administración 2022-2024 en el periodo comprendido del 01 de enero de 2022 al 21 de octubre de 2024: nombre, cargo, sueldo, área de adscripción y antigüedad</w:t>
      </w:r>
      <w:r w:rsidRPr="004222CF">
        <w:rPr>
          <w:rFonts w:ascii="Palatino Linotype" w:eastAsia="Palatino Linotype" w:hAnsi="Palatino Linotype" w:cs="Palatino Linotype"/>
          <w:sz w:val="22"/>
          <w:szCs w:val="22"/>
        </w:rPr>
        <w:t>”; se advierte un cumplimiento parcial.</w:t>
      </w:r>
    </w:p>
    <w:p w14:paraId="0677748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FBE5B5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Lo anterior, en virtud de que en respuesta el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remitió un reporte o listado obtenido de la nómina, respecto de la primera quincena de octubre de 2024, con los datos relativos al nombre, cargo, sueldo bruto y neto, departamento de adscripción, del personal sindicalizado del que se tiene registro al 2024, como se muestra de manera ilustrativa:</w:t>
      </w:r>
    </w:p>
    <w:p w14:paraId="34C357C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0A0C8204" wp14:editId="1CE4892E">
            <wp:extent cx="5610225" cy="3305175"/>
            <wp:effectExtent l="19050" t="19050" r="28575" b="285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0225" cy="3305175"/>
                    </a:xfrm>
                    <a:prstGeom prst="rect">
                      <a:avLst/>
                    </a:prstGeom>
                    <a:noFill/>
                    <a:ln w="3175">
                      <a:solidFill>
                        <a:schemeClr val="tx1"/>
                      </a:solidFill>
                    </a:ln>
                  </pic:spPr>
                </pic:pic>
              </a:graphicData>
            </a:graphic>
          </wp:inline>
        </w:drawing>
      </w:r>
    </w:p>
    <w:p w14:paraId="450B642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10E92E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Colmando con lo anterior, los datos requeridos consistentes en el nombre, cargo, sueldo y área de adscripción del personal sindicalizado en la administración 2022-2024 en el periodo comprendido del 01 de enero de 2022 al 21 de octubre de 2024, máxime que en el listado entregado se advierte que se hizo la entrega de información relativa al sueldo bruto y neto vigente en la última quincena pagada previo a la fecha de la solicitud.</w:t>
      </w:r>
    </w:p>
    <w:p w14:paraId="0726C92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60025E6"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Al respecto, es de recordar que el derecho de acceso a la información pública se satisface en aquellos casos en que se entregue el soporte documental en que conste la información pública, sin la necesidad de elaborar documentos </w:t>
      </w:r>
      <w:r w:rsidRPr="004222CF">
        <w:rPr>
          <w:rFonts w:ascii="Palatino Linotype" w:eastAsia="Palatino Linotype" w:hAnsi="Palatino Linotype" w:cs="Palatino Linotype"/>
          <w:i/>
          <w:sz w:val="22"/>
          <w:szCs w:val="22"/>
        </w:rPr>
        <w:t>ad hoc</w:t>
      </w:r>
      <w:r w:rsidRPr="004222CF">
        <w:rPr>
          <w:rFonts w:ascii="Palatino Linotype" w:eastAsia="Palatino Linotype" w:hAnsi="Palatino Linotype" w:cs="Palatino Linotype"/>
          <w:sz w:val="22"/>
          <w:szCs w:val="22"/>
        </w:rPr>
        <w:t>; lo cual, toma sustento en el artículo 160 de la Ley de Transparencia y Acceso a la Información Pública del Estado de México y Municipios, el cual refiere que los sujetos obligados deberán entregar la información que obre en sus archivos.</w:t>
      </w:r>
    </w:p>
    <w:p w14:paraId="7EBAD9FE"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149E5C6"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Por lo tanto, se tiene por colmado el requerimiento relativo a los datos requeridos consistentes en el nombre, cargo, sueldo bruto y neto, así como el área de adscripción del personal sindicalizado en la administración 2022-2024 en el periodo comprendido del 01 de enero de 2022 al 21 de octubre de 2024.</w:t>
      </w:r>
    </w:p>
    <w:p w14:paraId="6B00CA8C"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867531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No obstante, </w:t>
      </w:r>
      <w:r w:rsidRPr="004222CF">
        <w:rPr>
          <w:rFonts w:ascii="Palatino Linotype" w:eastAsia="Palatino Linotype" w:hAnsi="Palatino Linotype" w:cs="Palatino Linotype"/>
          <w:sz w:val="22"/>
          <w:szCs w:val="22"/>
          <w:u w:val="single"/>
        </w:rPr>
        <w:t>hizo falta la entrega del documento donde conste el dato relativo a la antigüedad del personal sindicalizado en el periodo requerido</w:t>
      </w:r>
      <w:r w:rsidRPr="004222CF">
        <w:rPr>
          <w:rFonts w:ascii="Palatino Linotype" w:eastAsia="Palatino Linotype" w:hAnsi="Palatino Linotype" w:cs="Palatino Linotype"/>
          <w:sz w:val="22"/>
          <w:szCs w:val="22"/>
        </w:rPr>
        <w:t>, mismo que se puede colmar de manera enunciativa más no limitativa con los Formatos Únicos de Movimientos de personal de alta.</w:t>
      </w:r>
    </w:p>
    <w:p w14:paraId="4EEBB1D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3122AB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 xml:space="preserve">Por lo tanto, a fin de restituir al particular en el ejercicio de su derecho de acceso a la información resulta procedente </w:t>
      </w:r>
      <w:r w:rsidRPr="004222CF">
        <w:rPr>
          <w:rFonts w:ascii="Palatino Linotype" w:eastAsia="Palatino Linotype" w:hAnsi="Palatino Linotype" w:cs="Palatino Linotype"/>
          <w:b/>
          <w:sz w:val="22"/>
          <w:szCs w:val="22"/>
        </w:rPr>
        <w:t xml:space="preserve">MODIFICAR </w:t>
      </w:r>
      <w:r w:rsidRPr="004222CF">
        <w:rPr>
          <w:rFonts w:ascii="Palatino Linotype" w:eastAsia="Palatino Linotype" w:hAnsi="Palatino Linotype" w:cs="Palatino Linotype"/>
          <w:sz w:val="22"/>
          <w:szCs w:val="22"/>
        </w:rPr>
        <w:t>la respuesta y ordenar la entrega de la siguiente información, de ser procedente en versión pública:</w:t>
      </w:r>
    </w:p>
    <w:p w14:paraId="2AFDB5B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2317516" w14:textId="77777777" w:rsidR="00196457" w:rsidRPr="004222CF" w:rsidRDefault="00077512">
      <w:pPr>
        <w:pStyle w:val="Prrafodelista"/>
        <w:numPr>
          <w:ilvl w:val="0"/>
          <w:numId w:val="5"/>
        </w:num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El documento donde conste o se advierta la antigüedad del personal sindicalizado en la Administración Pública Municipal 2022-2024 en el periodo comprendido del 01 de enero de 2022 al 21 de octubre de 2024.</w:t>
      </w:r>
    </w:p>
    <w:p w14:paraId="1E65C90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1DCD014"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Ahora, por lo que corresponde al requerimiento relativo a “</w:t>
      </w:r>
      <w:r w:rsidRPr="004222CF">
        <w:rPr>
          <w:rFonts w:ascii="Palatino Linotype" w:eastAsia="Palatino Linotype" w:hAnsi="Palatino Linotype" w:cs="Palatino Linotype"/>
          <w:b/>
          <w:i/>
          <w:sz w:val="22"/>
          <w:szCs w:val="22"/>
        </w:rPr>
        <w:t xml:space="preserve">los oficios donde se determina la sindicalización de los servidores públicos respecto del ejercicio 2024”, </w:t>
      </w:r>
      <w:r w:rsidRPr="004222CF">
        <w:rPr>
          <w:rFonts w:ascii="Palatino Linotype" w:eastAsia="Palatino Linotype" w:hAnsi="Palatino Linotype" w:cs="Palatino Linotype"/>
          <w:sz w:val="22"/>
          <w:szCs w:val="22"/>
        </w:rPr>
        <w:t xml:space="preserve">es de señalar que conforme los Estatutos Internos del </w:t>
      </w:r>
      <w:r w:rsidRPr="004222CF">
        <w:rPr>
          <w:rFonts w:ascii="Palatino Linotype" w:eastAsia="Palatino Linotype" w:hAnsi="Palatino Linotype" w:cs="Palatino Linotype"/>
          <w:sz w:val="22"/>
        </w:rPr>
        <w:t>Sindicato Único de Trabajadores de los Poderes, Municipios e Institucionales Descentralizadas del Estado de México (S.U.T.E.Y.M.)</w:t>
      </w:r>
      <w:r w:rsidRPr="004222CF">
        <w:rPr>
          <w:rFonts w:ascii="Palatino Linotype" w:eastAsia="Palatino Linotype" w:hAnsi="Palatino Linotype" w:cs="Palatino Linotype"/>
          <w:sz w:val="20"/>
          <w:szCs w:val="22"/>
        </w:rPr>
        <w:t>,</w:t>
      </w:r>
      <w:r w:rsidRPr="004222CF">
        <w:rPr>
          <w:rFonts w:ascii="Palatino Linotype" w:eastAsia="Palatino Linotype" w:hAnsi="Palatino Linotype" w:cs="Palatino Linotype"/>
          <w:sz w:val="22"/>
          <w:szCs w:val="22"/>
        </w:rPr>
        <w:t xml:space="preserve"> dicho ente está conformado, entre otros, </w:t>
      </w:r>
      <w:r w:rsidRPr="004222CF">
        <w:rPr>
          <w:rFonts w:ascii="Palatino Linotype" w:eastAsia="Palatino Linotype" w:hAnsi="Palatino Linotype" w:cs="Palatino Linotype"/>
          <w:b/>
          <w:sz w:val="22"/>
          <w:szCs w:val="22"/>
        </w:rPr>
        <w:t>por todos los trabajadores</w:t>
      </w:r>
      <w:r w:rsidRPr="004222CF">
        <w:rPr>
          <w:rFonts w:ascii="Palatino Linotype" w:eastAsia="Palatino Linotype" w:hAnsi="Palatino Linotype" w:cs="Palatino Linotype"/>
          <w:sz w:val="22"/>
          <w:szCs w:val="22"/>
        </w:rPr>
        <w:t xml:space="preserve"> al servicio de los poderes ejecutivo, legislativo y judicial de </w:t>
      </w:r>
      <w:r w:rsidRPr="004222CF">
        <w:rPr>
          <w:rFonts w:ascii="Palatino Linotype" w:eastAsia="Palatino Linotype" w:hAnsi="Palatino Linotype" w:cs="Palatino Linotype"/>
          <w:b/>
          <w:sz w:val="22"/>
          <w:szCs w:val="22"/>
        </w:rPr>
        <w:t>los municipios del Estado.</w:t>
      </w:r>
    </w:p>
    <w:p w14:paraId="4F276941"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5FDC23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Asimismo, es en el artículo 7 de los Estatutos Internos del Sindicato de mérito, en donde se plasman los requisitos para ser miembro del sindicato, como se sigue:</w:t>
      </w:r>
    </w:p>
    <w:p w14:paraId="6310D5D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7E90189"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Artículo 7.- Para ser miembro del Sindicato se requiere.</w:t>
      </w:r>
      <w:r w:rsidRPr="004222CF">
        <w:rPr>
          <w:rFonts w:ascii="Palatino Linotype" w:eastAsia="Palatino Linotype" w:hAnsi="Palatino Linotype" w:cs="Palatino Linotype"/>
          <w:i/>
          <w:sz w:val="22"/>
          <w:szCs w:val="22"/>
        </w:rPr>
        <w:t xml:space="preserve"> </w:t>
      </w:r>
    </w:p>
    <w:p w14:paraId="60ECA97A"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722E9CD0"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 Ser trabajador al servicio de los Poderes del Estado, Municipios o de Organismos Públicos Descentralizados, Tribunales administrativos así como Fideicomisos públicos de carácter o participación Estatal, Municipal o de organismo público descentralizado, empresas de participación estatal, empresas prestadoras de servicios al Estado, municipios u organismos públicos descentralizados, empresas prestadoras de servicios de personal al Estado, municipios u organismos públicos descentralizados y/o bajo régimen de subcontratación, empresas con permiso, autorización o concesión para la </w:t>
      </w:r>
      <w:r w:rsidRPr="004222CF">
        <w:rPr>
          <w:rFonts w:ascii="Palatino Linotype" w:eastAsia="Palatino Linotype" w:hAnsi="Palatino Linotype" w:cs="Palatino Linotype"/>
          <w:i/>
          <w:sz w:val="22"/>
          <w:szCs w:val="22"/>
        </w:rPr>
        <w:lastRenderedPageBreak/>
        <w:t xml:space="preserve">prestación de servicios públicos estatal, municipal o de organismos públicos descentralizados y empresas participantes en asociaciones </w:t>
      </w:r>
      <w:proofErr w:type="spellStart"/>
      <w:r w:rsidRPr="004222CF">
        <w:rPr>
          <w:rFonts w:ascii="Palatino Linotype" w:eastAsia="Palatino Linotype" w:hAnsi="Palatino Linotype" w:cs="Palatino Linotype"/>
          <w:i/>
          <w:sz w:val="22"/>
          <w:szCs w:val="22"/>
        </w:rPr>
        <w:t>públicoprivadas</w:t>
      </w:r>
      <w:proofErr w:type="spellEnd"/>
      <w:r w:rsidRPr="004222CF">
        <w:rPr>
          <w:rFonts w:ascii="Palatino Linotype" w:eastAsia="Palatino Linotype" w:hAnsi="Palatino Linotype" w:cs="Palatino Linotype"/>
          <w:i/>
          <w:sz w:val="22"/>
          <w:szCs w:val="22"/>
        </w:rPr>
        <w:t xml:space="preserve">. </w:t>
      </w:r>
    </w:p>
    <w:p w14:paraId="0142BC32"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783A7B8A"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II.- No estar afiliado a ninguna agrupación que tenga fines antagónicos al sindicato. </w:t>
      </w:r>
    </w:p>
    <w:p w14:paraId="76A251DF"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4C2BBD3D"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III.- No haber sido expulsado de alguna Organización similar o de la propia por actos o conductas que afecten la unidad, acciones y fines de la Organización. </w:t>
      </w:r>
    </w:p>
    <w:p w14:paraId="4507B649"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53E8E24A"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IV.- Haber cumplido quince años de edad. </w:t>
      </w:r>
    </w:p>
    <w:p w14:paraId="283E0D92"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6F9B67F6"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V.- Presentar la solicitud correspondiente ante el Comité Ejecutivo Estatal o ante el Comité Ejecutivo Seccional, según el caso. </w:t>
      </w:r>
    </w:p>
    <w:p w14:paraId="37F044F9"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1792E0FF"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VI.- No haber sido condenado a prisión por la comisión de un delito intencional que conlleve como pena privación de la libertad. </w:t>
      </w:r>
    </w:p>
    <w:p w14:paraId="78CE569F" w14:textId="77777777" w:rsidR="00196457" w:rsidRPr="004222CF" w:rsidRDefault="00196457">
      <w:pPr>
        <w:spacing w:line="276" w:lineRule="auto"/>
        <w:ind w:left="567" w:right="701"/>
        <w:jc w:val="both"/>
        <w:rPr>
          <w:rFonts w:ascii="Palatino Linotype" w:eastAsia="Palatino Linotype" w:hAnsi="Palatino Linotype" w:cs="Palatino Linotype"/>
          <w:i/>
          <w:sz w:val="22"/>
          <w:szCs w:val="22"/>
        </w:rPr>
      </w:pPr>
    </w:p>
    <w:p w14:paraId="1EDE169D" w14:textId="77777777" w:rsidR="00196457" w:rsidRPr="004222CF" w:rsidRDefault="00077512">
      <w:pPr>
        <w:spacing w:line="276" w:lineRule="auto"/>
        <w:ind w:left="567" w:right="70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VII.- Haber aprobado la entrevista realizada por el miembro del sindicato designado por el Secretario General Estatal.”</w:t>
      </w:r>
    </w:p>
    <w:p w14:paraId="49163A7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4CD87E5"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Destaca de lo anterior, la fracción V del numeral en cita, que dispone que el interesado en ser miembro del aludido sindicato, deberá cumplir, entre otros requisitos, presentar la solicitud correspondiente ante el Comité Ejecutivo Estatal o ante el Comité Ejecutivo Seccional.</w:t>
      </w:r>
    </w:p>
    <w:p w14:paraId="0BE363E4"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D7BD38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Por lo tanto, los servidores públicos adscritos al Sistema Municipal Para el Desarrollo Integral de la Familia de Toluca pueden sindicalizarse presentando su solicitud correspondiente ante el Comité Ejecutivo Estatal o ante el Comité Ejecutivo Seccional del S.U.T.E.Y.M.</w:t>
      </w:r>
    </w:p>
    <w:p w14:paraId="026DE61E"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D21AFBD"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Además, conforme el diverso artículo 9 fracción VIII de los Estatutos de mérito, los servidores públicos sindicalizados tienen dentro de sus obligaciones “pagar con toda oportunidad sus cuotas sindicales”; estas últimas que conforme el artículo 84, fracción III de la Ley del Trabajo de los Servidores Públicos del Estado y Municipios, en concatenación con las funciones de la Dirección de Administración y Tesorería por conducto del Departamento de Finanzas, se desprende que el Sujeto Obligado cuenta con atribuciones para hacer descuentos a los sueldos de los servidores públicos por concepto de cuotas sindicales; movimiento financiero que debe estar amparado con documentación comprobatoria y justificativa, como lo es los oficios a los que pretende acceder el particular.</w:t>
      </w:r>
    </w:p>
    <w:p w14:paraId="205FD143"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6EBBB87"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Acotado lo anterior, es de recordar que vía respuesta el Sujeto Obligado hizo entrega de los oficios números CST/0089/2024, CST/0119/2024 y CST/0138/2024 de fechas 29 de mayo, 1 de julio y 07 de agosto de 2024, respectivamente, a través de los cuales el Secretario General del SUTEYM solicita al Director General del Sistema Municipal DIF de Toluca se aplique o se lleve a cabo los trámites correspondientes para la aplicación de la sindicalización por convenio otorgada a determinados servidores públicos, dos con sus respectivos anexos únicos donde se enlistan a los servidores públicos sindicalizados en mayo, julio y agosto de 2024.</w:t>
      </w:r>
    </w:p>
    <w:p w14:paraId="6C85E8C1"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683F3596"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 manera de ejemplo se inserta el siguiente oficio donde se advierte la sindicalización de servidores públicos en mayo de 2024:</w:t>
      </w:r>
    </w:p>
    <w:p w14:paraId="5BF7B6E6" w14:textId="77777777" w:rsidR="00196457" w:rsidRPr="004222CF" w:rsidRDefault="00077512">
      <w:pPr>
        <w:spacing w:line="360" w:lineRule="auto"/>
        <w:ind w:right="49"/>
        <w:jc w:val="center"/>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lastRenderedPageBreak/>
        <w:drawing>
          <wp:inline distT="0" distB="0" distL="0" distR="0" wp14:anchorId="066F6642" wp14:editId="7AB29C75">
            <wp:extent cx="4867275" cy="1485900"/>
            <wp:effectExtent l="19050" t="19050" r="28575" b="190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17"/>
                    <a:srcRect b="62040"/>
                    <a:stretch>
                      <a:fillRect/>
                    </a:stretch>
                  </pic:blipFill>
                  <pic:spPr>
                    <a:xfrm>
                      <a:off x="0" y="0"/>
                      <a:ext cx="4880123" cy="1489822"/>
                    </a:xfrm>
                    <a:prstGeom prst="rect">
                      <a:avLst/>
                    </a:prstGeom>
                    <a:ln>
                      <a:solidFill>
                        <a:schemeClr val="accent1"/>
                      </a:solidFill>
                    </a:ln>
                  </pic:spPr>
                </pic:pic>
              </a:graphicData>
            </a:graphic>
          </wp:inline>
        </w:drawing>
      </w:r>
    </w:p>
    <w:p w14:paraId="4930759D"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31CDCA1" w14:textId="77777777" w:rsidR="00196457" w:rsidRPr="004222CF" w:rsidRDefault="00077512">
      <w:pPr>
        <w:spacing w:line="360" w:lineRule="auto"/>
        <w:jc w:val="center"/>
        <w:rPr>
          <w:rFonts w:ascii="Palatino Linotype" w:eastAsia="Palatino Linotype" w:hAnsi="Palatino Linotype" w:cs="Palatino Linotype"/>
          <w:sz w:val="22"/>
          <w:szCs w:val="22"/>
        </w:rPr>
      </w:pPr>
      <w:r w:rsidRPr="004222CF">
        <w:rPr>
          <w:rFonts w:ascii="Palatino Linotype" w:eastAsia="Palatino Linotype" w:hAnsi="Palatino Linotype" w:cs="Palatino Linotype"/>
          <w:noProof/>
          <w:sz w:val="22"/>
          <w:szCs w:val="22"/>
        </w:rPr>
        <w:drawing>
          <wp:inline distT="0" distB="0" distL="0" distR="0" wp14:anchorId="31293455" wp14:editId="14C9763A">
            <wp:extent cx="4838700" cy="4105275"/>
            <wp:effectExtent l="19050" t="19050" r="19050" b="285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7"/>
                    <a:srcRect t="37893"/>
                    <a:stretch>
                      <a:fillRect/>
                    </a:stretch>
                  </pic:blipFill>
                  <pic:spPr>
                    <a:xfrm>
                      <a:off x="0" y="0"/>
                      <a:ext cx="4842500" cy="4108740"/>
                    </a:xfrm>
                    <a:prstGeom prst="rect">
                      <a:avLst/>
                    </a:prstGeom>
                    <a:ln>
                      <a:solidFill>
                        <a:schemeClr val="accent1"/>
                      </a:solidFill>
                    </a:ln>
                  </pic:spPr>
                </pic:pic>
              </a:graphicData>
            </a:graphic>
          </wp:inline>
        </w:drawing>
      </w:r>
    </w:p>
    <w:p w14:paraId="6548E919" w14:textId="77777777" w:rsidR="00196457" w:rsidRPr="004222CF" w:rsidRDefault="00196457">
      <w:pPr>
        <w:spacing w:line="360" w:lineRule="auto"/>
        <w:rPr>
          <w:rFonts w:ascii="Palatino Linotype" w:eastAsia="Palatino Linotype" w:hAnsi="Palatino Linotype" w:cs="Palatino Linotype"/>
          <w:sz w:val="22"/>
          <w:szCs w:val="22"/>
        </w:rPr>
      </w:pPr>
    </w:p>
    <w:p w14:paraId="39235167" w14:textId="77777777" w:rsidR="00196457" w:rsidRPr="004222CF" w:rsidRDefault="00196457">
      <w:pPr>
        <w:spacing w:line="360" w:lineRule="auto"/>
        <w:rPr>
          <w:rFonts w:ascii="Palatino Linotype" w:eastAsia="Palatino Linotype" w:hAnsi="Palatino Linotype" w:cs="Palatino Linotype"/>
          <w:sz w:val="22"/>
          <w:szCs w:val="22"/>
        </w:rPr>
      </w:pPr>
    </w:p>
    <w:p w14:paraId="1AF6B6C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Por lo tanto, se considera que con los oficios entregados en respuesta donde se desprenden los servidores públicos que fueron sindicalizados en 2024, colman el requerimiento del particular.</w:t>
      </w:r>
    </w:p>
    <w:p w14:paraId="05CEF2BF"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F4345ED"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Quinto. Versión Pública. </w:t>
      </w:r>
      <w:r w:rsidRPr="004222CF">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02DE8C50"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2EB98C3D"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F45DC54"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Artículo 3</w:t>
      </w:r>
      <w:r w:rsidRPr="004222CF">
        <w:rPr>
          <w:rFonts w:ascii="Palatino Linotype" w:eastAsia="Palatino Linotype" w:hAnsi="Palatino Linotype" w:cs="Palatino Linotype"/>
          <w:i/>
          <w:sz w:val="22"/>
          <w:szCs w:val="22"/>
        </w:rPr>
        <w:t>. Para los efectos de la presente Ley se entenderá por:</w:t>
      </w:r>
    </w:p>
    <w:p w14:paraId="562236AA"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799801C7"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IX. Datos personales:</w:t>
      </w:r>
      <w:r w:rsidRPr="004222C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7893052"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XX. Información clasificada</w:t>
      </w:r>
      <w:r w:rsidRPr="004222CF">
        <w:rPr>
          <w:rFonts w:ascii="Palatino Linotype" w:eastAsia="Palatino Linotype" w:hAnsi="Palatino Linotype" w:cs="Palatino Linotype"/>
          <w:i/>
          <w:sz w:val="22"/>
          <w:szCs w:val="22"/>
        </w:rPr>
        <w:t>: Aquella considerada por la presente Ley como reservada o confidencial;</w:t>
      </w:r>
    </w:p>
    <w:p w14:paraId="450F8B89"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XXI. Información confidencial:</w:t>
      </w:r>
      <w:r w:rsidRPr="004222C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w:t>
      </w:r>
      <w:r w:rsidRPr="004222CF">
        <w:rPr>
          <w:rFonts w:ascii="Palatino Linotype" w:eastAsia="Palatino Linotype" w:hAnsi="Palatino Linotype" w:cs="Palatino Linotype"/>
          <w:i/>
          <w:sz w:val="22"/>
          <w:szCs w:val="22"/>
        </w:rPr>
        <w:lastRenderedPageBreak/>
        <w:t>titularidad corresponda a particulares, sujetos de derecho internacional o a sujetos obligados cuando no involucren el ejercicio de recursos públicos;</w:t>
      </w:r>
    </w:p>
    <w:p w14:paraId="0068E722"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XLV. Versión pública:</w:t>
      </w:r>
      <w:r w:rsidRPr="004222C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377A717"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30520FD9"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Artículo 91. </w:t>
      </w:r>
      <w:r w:rsidRPr="004222C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736CEAC"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Artículo 132. </w:t>
      </w:r>
      <w:r w:rsidRPr="004222CF">
        <w:rPr>
          <w:rFonts w:ascii="Palatino Linotype" w:eastAsia="Palatino Linotype" w:hAnsi="Palatino Linotype" w:cs="Palatino Linotype"/>
          <w:i/>
          <w:sz w:val="22"/>
          <w:szCs w:val="22"/>
        </w:rPr>
        <w:t>La clasificación de la información se llevará a cabo en el momento en que:</w:t>
      </w:r>
    </w:p>
    <w:p w14:paraId="6CA38A54"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w:t>
      </w:r>
      <w:r w:rsidRPr="004222CF">
        <w:rPr>
          <w:rFonts w:ascii="Palatino Linotype" w:eastAsia="Palatino Linotype" w:hAnsi="Palatino Linotype" w:cs="Palatino Linotype"/>
          <w:i/>
          <w:sz w:val="22"/>
          <w:szCs w:val="22"/>
        </w:rPr>
        <w:t>. Se reciba una solicitud de acceso a la información;</w:t>
      </w:r>
    </w:p>
    <w:p w14:paraId="58FE9D4B"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w:t>
      </w:r>
      <w:r w:rsidRPr="004222CF">
        <w:rPr>
          <w:rFonts w:ascii="Palatino Linotype" w:eastAsia="Palatino Linotype" w:hAnsi="Palatino Linotype" w:cs="Palatino Linotype"/>
          <w:i/>
          <w:sz w:val="22"/>
          <w:szCs w:val="22"/>
        </w:rPr>
        <w:t>. Se determine mediante resolución de autoridad competente; o</w:t>
      </w:r>
    </w:p>
    <w:p w14:paraId="3AE52BED"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III</w:t>
      </w:r>
      <w:r w:rsidRPr="004222CF">
        <w:rPr>
          <w:rFonts w:ascii="Palatino Linotype" w:eastAsia="Palatino Linotype" w:hAnsi="Palatino Linotype" w:cs="Palatino Linotype"/>
          <w:i/>
          <w:sz w:val="22"/>
          <w:szCs w:val="22"/>
        </w:rPr>
        <w:t>. Se generen versiones públicas para dar cumplimiento a las obligaciones de transparencia previstas en esta Ley.</w:t>
      </w:r>
    </w:p>
    <w:p w14:paraId="04D2E93C"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2A4A56E0"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Artículo 143</w:t>
      </w:r>
      <w:r w:rsidRPr="004222C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0F38C12"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w:t>
      </w:r>
      <w:r w:rsidRPr="004222CF">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A5146F6"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w:t>
      </w:r>
      <w:r w:rsidRPr="004222C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B1C1C97"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III</w:t>
      </w:r>
      <w:r w:rsidRPr="004222C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081AE4D"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A088F3F" w14:textId="77777777" w:rsidR="00196457" w:rsidRPr="004222CF" w:rsidRDefault="00077512">
      <w:pPr>
        <w:spacing w:before="120" w:after="120"/>
        <w:ind w:left="567"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56C447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58B8E9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35EA9013"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2A5F27C"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35440C3" w14:textId="77777777" w:rsidR="00196457" w:rsidRPr="004222CF" w:rsidRDefault="00196457">
      <w:pPr>
        <w:spacing w:line="360" w:lineRule="auto"/>
        <w:jc w:val="both"/>
        <w:rPr>
          <w:rFonts w:ascii="Palatino Linotype" w:eastAsia="Palatino Linotype" w:hAnsi="Palatino Linotype" w:cs="Palatino Linotype"/>
          <w:i/>
          <w:sz w:val="22"/>
          <w:szCs w:val="22"/>
        </w:rPr>
      </w:pPr>
    </w:p>
    <w:p w14:paraId="424537C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7479D45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0D2E70B"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Artículo 168</w:t>
      </w:r>
      <w:r w:rsidRPr="004222CF">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35F64CB7"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w:t>
      </w:r>
      <w:r w:rsidRPr="004222CF">
        <w:rPr>
          <w:rFonts w:ascii="Palatino Linotype" w:eastAsia="Palatino Linotype" w:hAnsi="Palatino Linotype" w:cs="Palatino Linotype"/>
          <w:i/>
          <w:sz w:val="22"/>
          <w:szCs w:val="22"/>
        </w:rPr>
        <w:t xml:space="preserve"> El Área deberá remitir la solicitud, así como un escrito en el que </w:t>
      </w:r>
      <w:r w:rsidRPr="004222CF">
        <w:rPr>
          <w:rFonts w:ascii="Palatino Linotype" w:eastAsia="Palatino Linotype" w:hAnsi="Palatino Linotype" w:cs="Palatino Linotype"/>
          <w:b/>
          <w:i/>
          <w:sz w:val="22"/>
          <w:szCs w:val="22"/>
        </w:rPr>
        <w:t>funde y motive la clasificación al Comité de Transparencia</w:t>
      </w:r>
      <w:r w:rsidRPr="004222CF">
        <w:rPr>
          <w:rFonts w:ascii="Palatino Linotype" w:eastAsia="Palatino Linotype" w:hAnsi="Palatino Linotype" w:cs="Palatino Linotype"/>
          <w:i/>
          <w:sz w:val="22"/>
          <w:szCs w:val="22"/>
        </w:rPr>
        <w:t>, mismo que deberá resolver para:</w:t>
      </w:r>
    </w:p>
    <w:p w14:paraId="44E9D967" w14:textId="77777777" w:rsidR="00196457" w:rsidRPr="004222CF" w:rsidRDefault="00077512">
      <w:pPr>
        <w:ind w:left="567" w:right="616"/>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i/>
          <w:sz w:val="22"/>
          <w:szCs w:val="22"/>
        </w:rPr>
        <w:t>a</w:t>
      </w:r>
      <w:r w:rsidRPr="004222CF">
        <w:rPr>
          <w:rFonts w:ascii="Palatino Linotype" w:eastAsia="Palatino Linotype" w:hAnsi="Palatino Linotype" w:cs="Palatino Linotype"/>
          <w:b/>
          <w:i/>
          <w:sz w:val="22"/>
          <w:szCs w:val="22"/>
        </w:rPr>
        <w:t>) Confirmar la clasificación;</w:t>
      </w:r>
    </w:p>
    <w:p w14:paraId="5A463050"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51B85C7B"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w:t>
      </w:r>
      <w:r w:rsidRPr="004222CF">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28C0B858" w14:textId="77777777" w:rsidR="00196457" w:rsidRPr="004222CF" w:rsidRDefault="00077512">
      <w:pPr>
        <w:ind w:left="567" w:right="616"/>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lastRenderedPageBreak/>
        <w:t>III.</w:t>
      </w:r>
      <w:r w:rsidRPr="004222CF">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046CE3C3" w14:textId="77777777" w:rsidR="00196457" w:rsidRPr="004222CF" w:rsidRDefault="00196457">
      <w:pPr>
        <w:spacing w:line="360" w:lineRule="auto"/>
        <w:ind w:right="51"/>
        <w:jc w:val="both"/>
        <w:rPr>
          <w:rFonts w:ascii="Palatino Linotype" w:eastAsia="Palatino Linotype" w:hAnsi="Palatino Linotype" w:cs="Palatino Linotype"/>
          <w:sz w:val="22"/>
          <w:szCs w:val="22"/>
        </w:rPr>
      </w:pPr>
    </w:p>
    <w:p w14:paraId="606A5082" w14:textId="77777777" w:rsidR="00196457" w:rsidRPr="004222CF" w:rsidRDefault="00077512">
      <w:pPr>
        <w:spacing w:line="360" w:lineRule="auto"/>
        <w:ind w:right="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99F6C8E" w14:textId="77777777" w:rsidR="00196457" w:rsidRPr="004222CF" w:rsidRDefault="00196457">
      <w:pPr>
        <w:spacing w:line="360" w:lineRule="auto"/>
        <w:ind w:right="51"/>
        <w:jc w:val="both"/>
        <w:rPr>
          <w:rFonts w:ascii="Palatino Linotype" w:eastAsia="Palatino Linotype" w:hAnsi="Palatino Linotype" w:cs="Palatino Linotype"/>
          <w:sz w:val="22"/>
          <w:szCs w:val="22"/>
        </w:rPr>
      </w:pPr>
    </w:p>
    <w:p w14:paraId="241481EB"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4222CF">
        <w:rPr>
          <w:rFonts w:ascii="Palatino Linotype" w:eastAsia="Palatino Linotype" w:hAnsi="Palatino Linotype" w:cs="Palatino Linotype"/>
          <w:b/>
          <w:sz w:val="22"/>
          <w:szCs w:val="22"/>
        </w:rPr>
        <w:t>Registro Federal de Contribuyentes</w:t>
      </w:r>
      <w:r w:rsidRPr="004222CF">
        <w:rPr>
          <w:rFonts w:ascii="Palatino Linotype" w:eastAsia="Palatino Linotype" w:hAnsi="Palatino Linotype" w:cs="Palatino Linotype"/>
          <w:sz w:val="22"/>
          <w:szCs w:val="22"/>
        </w:rPr>
        <w:t xml:space="preserve"> (RFC), la </w:t>
      </w:r>
      <w:r w:rsidRPr="004222CF">
        <w:rPr>
          <w:rFonts w:ascii="Palatino Linotype" w:eastAsia="Palatino Linotype" w:hAnsi="Palatino Linotype" w:cs="Palatino Linotype"/>
          <w:b/>
          <w:sz w:val="22"/>
          <w:szCs w:val="22"/>
        </w:rPr>
        <w:t>Clave Única de Registro de Población</w:t>
      </w:r>
      <w:r w:rsidRPr="004222CF">
        <w:rPr>
          <w:rFonts w:ascii="Palatino Linotype" w:eastAsia="Palatino Linotype" w:hAnsi="Palatino Linotype" w:cs="Palatino Linotype"/>
          <w:sz w:val="22"/>
          <w:szCs w:val="22"/>
        </w:rPr>
        <w:t xml:space="preserve"> (CURP) y (ISSEMYM, u otros), así como el</w:t>
      </w:r>
      <w:r w:rsidRPr="004222CF">
        <w:rPr>
          <w:rFonts w:ascii="Palatino Linotype" w:eastAsia="Palatino Linotype" w:hAnsi="Palatino Linotype" w:cs="Palatino Linotype"/>
          <w:b/>
          <w:sz w:val="22"/>
          <w:szCs w:val="22"/>
        </w:rPr>
        <w:t xml:space="preserve"> número de empleado de actualizar el supuesto.</w:t>
      </w:r>
      <w:r w:rsidRPr="004222CF">
        <w:rPr>
          <w:rFonts w:ascii="Palatino Linotype" w:eastAsia="Palatino Linotype" w:hAnsi="Palatino Linotype" w:cs="Palatino Linotype"/>
          <w:sz w:val="22"/>
          <w:szCs w:val="22"/>
        </w:rPr>
        <w:t xml:space="preserve"> </w:t>
      </w:r>
    </w:p>
    <w:p w14:paraId="41C8D14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011D135"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5693C97A"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7EA5246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2071C65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7D3432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0EC54FC6" w14:textId="77777777" w:rsidR="00196457" w:rsidRPr="004222CF" w:rsidRDefault="00077512">
      <w:pPr>
        <w:spacing w:after="120"/>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“Registro Federal de Contribuyentes (RFC) de personas físicas. </w:t>
      </w:r>
      <w:r w:rsidRPr="004222CF">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42920F69" w14:textId="77777777" w:rsidR="00196457" w:rsidRPr="004222CF" w:rsidRDefault="00196457">
      <w:pPr>
        <w:spacing w:after="120"/>
        <w:ind w:left="851" w:right="902"/>
        <w:jc w:val="both"/>
        <w:rPr>
          <w:rFonts w:ascii="Palatino Linotype" w:eastAsia="Palatino Linotype" w:hAnsi="Palatino Linotype" w:cs="Palatino Linotype"/>
          <w:sz w:val="22"/>
          <w:szCs w:val="22"/>
        </w:rPr>
      </w:pPr>
    </w:p>
    <w:p w14:paraId="7865F69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4222CF">
        <w:rPr>
          <w:rFonts w:ascii="Palatino Linotype" w:eastAsia="Palatino Linotype" w:hAnsi="Palatino Linotype" w:cs="Palatino Linotype"/>
          <w:sz w:val="22"/>
          <w:szCs w:val="22"/>
        </w:rPr>
        <w:t>homoclave</w:t>
      </w:r>
      <w:proofErr w:type="spellEnd"/>
      <w:r w:rsidRPr="004222CF">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AB33CE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9344F9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6DE66C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D1A34C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lastRenderedPageBreak/>
        <w:t>Argumento que es compartido por el Instituto Nacional de Transparencia, Acceso a la Información y Protección de Datos (INAI)</w:t>
      </w:r>
      <w:r w:rsidRPr="004222CF">
        <w:rPr>
          <w:rFonts w:ascii="Palatino Linotype" w:eastAsia="Palatino Linotype" w:hAnsi="Palatino Linotype" w:cs="Palatino Linotype"/>
          <w:b/>
          <w:sz w:val="22"/>
          <w:szCs w:val="22"/>
        </w:rPr>
        <w:t xml:space="preserve">, conforme al </w:t>
      </w:r>
      <w:r w:rsidRPr="004222CF">
        <w:rPr>
          <w:rFonts w:ascii="Palatino Linotype" w:eastAsia="Palatino Linotype" w:hAnsi="Palatino Linotype" w:cs="Palatino Linotype"/>
          <w:sz w:val="22"/>
          <w:szCs w:val="22"/>
        </w:rPr>
        <w:t xml:space="preserve">criterio número 18/17, el cual refiere: </w:t>
      </w:r>
    </w:p>
    <w:p w14:paraId="01680852" w14:textId="77777777" w:rsidR="00196457" w:rsidRPr="004222CF" w:rsidRDefault="00077512">
      <w:pPr>
        <w:spacing w:after="120"/>
        <w:ind w:left="851" w:right="902"/>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i/>
          <w:sz w:val="22"/>
          <w:szCs w:val="22"/>
        </w:rPr>
        <w:t xml:space="preserve">“Clave Única de Registro de Población (CURP). </w:t>
      </w:r>
      <w:r w:rsidRPr="004222CF">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0F13EA97"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A1B4A33"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Por otra parte, </w:t>
      </w:r>
      <w:r w:rsidRPr="004222CF">
        <w:rPr>
          <w:rFonts w:ascii="Palatino Linotype" w:eastAsia="Palatino Linotype" w:hAnsi="Palatino Linotype" w:cs="Palatino Linotype"/>
          <w:b/>
          <w:sz w:val="22"/>
          <w:szCs w:val="22"/>
        </w:rPr>
        <w:t>en relación con el número de empleado de servidores públicos o su equivalente</w:t>
      </w:r>
      <w:r w:rsidRPr="004222CF">
        <w:rPr>
          <w:rFonts w:ascii="Palatino Linotype" w:eastAsia="Palatino Linotype" w:hAnsi="Palatino Linotype" w:cs="Palatino Linotype"/>
          <w:sz w:val="22"/>
          <w:szCs w:val="22"/>
        </w:rPr>
        <w:t>, con independencia del nombre que reciba, constituye un instrumento de control interno que permite a las dependencias y entidades identificar a sus trabajadores y a estos les facilita la realización de gestiones en su carácter de empleado.</w:t>
      </w:r>
    </w:p>
    <w:p w14:paraId="53FA2D01"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F9D507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112510A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5FD3A60"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6EB54EF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CA233C4" w14:textId="77777777" w:rsidR="00196457" w:rsidRPr="004222CF" w:rsidRDefault="00077512">
      <w:pPr>
        <w:ind w:left="851" w:right="85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Número de empleado</w:t>
      </w:r>
      <w:r w:rsidRPr="004222CF">
        <w:rPr>
          <w:rFonts w:ascii="Palatino Linotype" w:eastAsia="Palatino Linotype" w:hAnsi="Palatino Linotype" w:cs="Palatino Linotype"/>
          <w:i/>
          <w:sz w:val="22"/>
          <w:szCs w:val="22"/>
        </w:rPr>
        <w:t xml:space="preserve">. Cuando el número de empleado o su equivalente, se integra con datos personales de los trabajadores o funciona como una clave de acceso que no requiere adicionalmente de una contraseña para ingresar a sistemas </w:t>
      </w:r>
      <w:r w:rsidRPr="004222CF">
        <w:rPr>
          <w:rFonts w:ascii="Palatino Linotype" w:eastAsia="Palatino Linotype" w:hAnsi="Palatino Linotype" w:cs="Palatino Linotype"/>
          <w:i/>
          <w:sz w:val="22"/>
          <w:szCs w:val="22"/>
        </w:rPr>
        <w:lastRenderedPageBreak/>
        <w:t>o bases de datos personales, procede su clasificación como información confidencial.”(Sic)</w:t>
      </w:r>
    </w:p>
    <w:p w14:paraId="35A8B34E" w14:textId="77777777" w:rsidR="00196457" w:rsidRPr="004222CF" w:rsidRDefault="00196457">
      <w:pPr>
        <w:ind w:left="851" w:right="851"/>
        <w:jc w:val="both"/>
        <w:rPr>
          <w:rFonts w:ascii="Palatino Linotype" w:eastAsia="Palatino Linotype" w:hAnsi="Palatino Linotype" w:cs="Palatino Linotype"/>
          <w:i/>
          <w:sz w:val="22"/>
          <w:szCs w:val="22"/>
        </w:rPr>
      </w:pPr>
    </w:p>
    <w:p w14:paraId="23F38DA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518E231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4E55158"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 tales circunstancias, se considera que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7C6E7FF2"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62F6518" w14:textId="77777777" w:rsidR="00196457" w:rsidRPr="004222CF" w:rsidRDefault="00077512">
      <w:pPr>
        <w:pStyle w:val="Prrafodelista"/>
        <w:numPr>
          <w:ilvl w:val="0"/>
          <w:numId w:val="3"/>
        </w:numPr>
        <w:spacing w:line="360" w:lineRule="auto"/>
        <w:ind w:left="426"/>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Número de Seguridad Social (ISSEMYM):</w:t>
      </w:r>
    </w:p>
    <w:p w14:paraId="53461F1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4227E61"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A5739B5"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F4DD939"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w:t>
      </w:r>
      <w:r w:rsidRPr="004222CF">
        <w:rPr>
          <w:rFonts w:ascii="Palatino Linotype" w:eastAsia="Palatino Linotype" w:hAnsi="Palatino Linotype" w:cs="Palatino Linotype"/>
          <w:sz w:val="22"/>
          <w:szCs w:val="22"/>
        </w:rPr>
        <w:lastRenderedPageBreak/>
        <w:t>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6893654D"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9A23614"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F0187D0"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8C41BC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766AFD6E"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1895821" w14:textId="77777777" w:rsidR="00196457" w:rsidRPr="004222CF" w:rsidRDefault="00077512">
      <w:pPr>
        <w:numPr>
          <w:ilvl w:val="0"/>
          <w:numId w:val="9"/>
        </w:num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Número de cuentas bancarias:</w:t>
      </w:r>
    </w:p>
    <w:p w14:paraId="0D06A483"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2E1E3B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Con relación a las cuentas bancarias o claves interbancarias de los servidores públicos contenidas en la conciliación de nómina remitida en respuesta, es considerada información confidencial al tratarse de un conjunto de caracteres numéricos utilizados por los grupos </w:t>
      </w:r>
      <w:r w:rsidRPr="004222CF">
        <w:rPr>
          <w:rFonts w:ascii="Palatino Linotype" w:eastAsia="Palatino Linotype" w:hAnsi="Palatino Linotype" w:cs="Palatino Linotype"/>
          <w:sz w:val="22"/>
          <w:szCs w:val="22"/>
        </w:rPr>
        <w:lastRenderedPageBreak/>
        <w:t>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3EEAF788"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5726F62B"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Lo argumentado encuentra sustento en el criterio 10/17 emitido por el Instituto Nacional de Transparencia, Acceso a la Información y Protección de Datos Personales, INAI, que lleva por rubro y texto el siguiente:</w:t>
      </w:r>
    </w:p>
    <w:p w14:paraId="0CBEC0B1"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CF2FD74" w14:textId="77777777" w:rsidR="00196457" w:rsidRPr="004222CF" w:rsidRDefault="00077512">
      <w:pPr>
        <w:spacing w:line="276" w:lineRule="auto"/>
        <w:ind w:left="567" w:right="56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“Cuentas bancarias y/o CLABE interbancaria de personas físicas y morales privadas.</w:t>
      </w:r>
      <w:r w:rsidRPr="004222CF">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0F1F2A0" w14:textId="77777777" w:rsidR="00196457" w:rsidRPr="004222CF" w:rsidRDefault="00196457">
      <w:pPr>
        <w:spacing w:line="360" w:lineRule="auto"/>
        <w:jc w:val="both"/>
        <w:rPr>
          <w:rFonts w:ascii="Palatino Linotype" w:eastAsia="Palatino Linotype" w:hAnsi="Palatino Linotype" w:cs="Palatino Linotype"/>
          <w:i/>
          <w:sz w:val="22"/>
          <w:szCs w:val="22"/>
        </w:rPr>
      </w:pPr>
    </w:p>
    <w:p w14:paraId="3CF5D9C3"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De acuerdo con lo anterior, resulta procedente la clasificación de dicho dato, en términos del artículo 143, fracción I, de la Ley de Transparencia y Acceso a la Información Pública del Estado de México y Municipios.</w:t>
      </w:r>
    </w:p>
    <w:p w14:paraId="3EAFEE6C"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E5A843D"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 tal sentido, si derivado del análisis efectuado por </w:t>
      </w:r>
      <w:r w:rsidRPr="004222CF">
        <w:rPr>
          <w:rFonts w:ascii="Palatino Linotype" w:eastAsia="Palatino Linotype" w:hAnsi="Palatino Linotype" w:cs="Palatino Linotype"/>
          <w:b/>
          <w:sz w:val="22"/>
          <w:szCs w:val="22"/>
        </w:rPr>
        <w:t xml:space="preserve">Sujeto Obligado </w:t>
      </w:r>
      <w:r w:rsidRPr="004222CF">
        <w:rPr>
          <w:rFonts w:ascii="Palatino Linotype" w:eastAsia="Palatino Linotype" w:hAnsi="Palatino Linotype" w:cs="Palatino Linotype"/>
          <w:sz w:val="22"/>
          <w:szCs w:val="22"/>
        </w:rPr>
        <w:t xml:space="preserve">en el presente caso, se desprende que, de la información fiscal contenida en </w:t>
      </w:r>
      <w:proofErr w:type="spellStart"/>
      <w:r w:rsidRPr="004222CF">
        <w:rPr>
          <w:rFonts w:ascii="Palatino Linotype" w:eastAsia="Palatino Linotype" w:hAnsi="Palatino Linotype" w:cs="Palatino Linotype"/>
          <w:b/>
          <w:sz w:val="22"/>
          <w:szCs w:val="22"/>
          <w:u w:val="single"/>
        </w:rPr>
        <w:t>en</w:t>
      </w:r>
      <w:proofErr w:type="spellEnd"/>
      <w:r w:rsidRPr="004222CF">
        <w:rPr>
          <w:rFonts w:ascii="Palatino Linotype" w:eastAsia="Palatino Linotype" w:hAnsi="Palatino Linotype" w:cs="Palatino Linotype"/>
          <w:b/>
          <w:sz w:val="22"/>
          <w:szCs w:val="22"/>
          <w:u w:val="single"/>
        </w:rPr>
        <w:t xml:space="preserve"> los recibos de nómina</w:t>
      </w:r>
      <w:r w:rsidRPr="004222CF">
        <w:rPr>
          <w:rFonts w:ascii="Palatino Linotype" w:eastAsia="Palatino Linotype" w:hAnsi="Palatino Linotype" w:cs="Palatino Linotype"/>
          <w:sz w:val="22"/>
          <w:szCs w:val="22"/>
        </w:rPr>
        <w:t xml:space="preserve">, se pueden obtener datos personales como el Registro Federal de Contribuyentes, la Clave Única del Registro de Población, entre otros no susceptibles de conocimiento público que, de difundirse, pudieran hacer identificable, a una persona, deberá clasificarla como </w:t>
      </w:r>
      <w:r w:rsidRPr="004222CF">
        <w:rPr>
          <w:rFonts w:ascii="Palatino Linotype" w:eastAsia="Palatino Linotype" w:hAnsi="Palatino Linotype" w:cs="Palatino Linotype"/>
          <w:sz w:val="22"/>
          <w:szCs w:val="22"/>
        </w:rPr>
        <w:lastRenderedPageBreak/>
        <w:t>confidencial, de manera fundada y motivada en términos del artículo 143, fracción I de la Ley de Transparencia y Acceso a la Información Pública del Estado de México y Municipios.</w:t>
      </w:r>
    </w:p>
    <w:p w14:paraId="719024A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1DAE453"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Al respecto, se destaca que la versión pública que elabore </w:t>
      </w:r>
      <w:r w:rsidRPr="004222CF">
        <w:rPr>
          <w:rFonts w:ascii="Palatino Linotype" w:eastAsia="Palatino Linotype" w:hAnsi="Palatino Linotype" w:cs="Palatino Linotype"/>
          <w:b/>
          <w:sz w:val="22"/>
          <w:szCs w:val="22"/>
        </w:rPr>
        <w:t>el Sujeto Obligado</w:t>
      </w:r>
      <w:r w:rsidRPr="004222CF">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05760CE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CDA086F"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Efectivamente, cuando se clasifica información como confidencial o reservada es importante someterlo al Comité de Transparencia, quien debe confirmar, modificar o revocar la clasificación.</w:t>
      </w:r>
    </w:p>
    <w:p w14:paraId="7382503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94CD354"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43542CEF" w14:textId="77777777" w:rsidR="00196457" w:rsidRPr="004222CF" w:rsidRDefault="00196457">
      <w:pPr>
        <w:spacing w:line="360" w:lineRule="auto"/>
        <w:ind w:right="51"/>
        <w:jc w:val="both"/>
        <w:rPr>
          <w:rFonts w:ascii="Palatino Linotype" w:eastAsia="Palatino Linotype" w:hAnsi="Palatino Linotype" w:cs="Palatino Linotype"/>
          <w:sz w:val="22"/>
          <w:szCs w:val="22"/>
        </w:rPr>
      </w:pPr>
    </w:p>
    <w:p w14:paraId="0F4CAA7D"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“Artículo 49.</w:t>
      </w:r>
      <w:r w:rsidRPr="004222CF">
        <w:rPr>
          <w:rFonts w:ascii="Palatino Linotype" w:eastAsia="Palatino Linotype" w:hAnsi="Palatino Linotype" w:cs="Palatino Linotype"/>
          <w:i/>
          <w:sz w:val="22"/>
          <w:szCs w:val="22"/>
        </w:rPr>
        <w:t xml:space="preserve"> </w:t>
      </w:r>
      <w:r w:rsidRPr="004222CF">
        <w:rPr>
          <w:rFonts w:ascii="Palatino Linotype" w:eastAsia="Palatino Linotype" w:hAnsi="Palatino Linotype" w:cs="Palatino Linotype"/>
          <w:b/>
          <w:i/>
          <w:sz w:val="22"/>
          <w:szCs w:val="22"/>
        </w:rPr>
        <w:t>Los Comités de Transparencia</w:t>
      </w:r>
      <w:r w:rsidRPr="004222CF">
        <w:rPr>
          <w:rFonts w:ascii="Palatino Linotype" w:eastAsia="Palatino Linotype" w:hAnsi="Palatino Linotype" w:cs="Palatino Linotype"/>
          <w:i/>
          <w:sz w:val="22"/>
          <w:szCs w:val="22"/>
        </w:rPr>
        <w:t xml:space="preserve"> tendrán las siguientes atribuciones:</w:t>
      </w:r>
    </w:p>
    <w:p w14:paraId="0B3532D6"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VIII. Aprobar, modificar o revocar la clasificación de la información</w:t>
      </w:r>
      <w:r w:rsidRPr="004222CF">
        <w:rPr>
          <w:rFonts w:ascii="Palatino Linotype" w:eastAsia="Palatino Linotype" w:hAnsi="Palatino Linotype" w:cs="Palatino Linotype"/>
          <w:i/>
          <w:sz w:val="22"/>
          <w:szCs w:val="22"/>
        </w:rPr>
        <w:t>…”</w:t>
      </w:r>
    </w:p>
    <w:p w14:paraId="12EC02C7"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lastRenderedPageBreak/>
        <w:t>“</w:t>
      </w:r>
      <w:r w:rsidRPr="004222CF">
        <w:rPr>
          <w:rFonts w:ascii="Palatino Linotype" w:eastAsia="Palatino Linotype" w:hAnsi="Palatino Linotype" w:cs="Palatino Linotype"/>
          <w:b/>
          <w:i/>
          <w:sz w:val="22"/>
          <w:szCs w:val="22"/>
        </w:rPr>
        <w:t>Artículo 53.</w:t>
      </w:r>
      <w:r w:rsidRPr="004222CF">
        <w:rPr>
          <w:rFonts w:ascii="Palatino Linotype" w:eastAsia="Palatino Linotype" w:hAnsi="Palatino Linotype" w:cs="Palatino Linotype"/>
          <w:i/>
          <w:sz w:val="22"/>
          <w:szCs w:val="22"/>
        </w:rPr>
        <w:t xml:space="preserve"> Las </w:t>
      </w:r>
      <w:r w:rsidRPr="004222CF">
        <w:rPr>
          <w:rFonts w:ascii="Palatino Linotype" w:eastAsia="Palatino Linotype" w:hAnsi="Palatino Linotype" w:cs="Palatino Linotype"/>
          <w:b/>
          <w:i/>
          <w:sz w:val="22"/>
          <w:szCs w:val="22"/>
        </w:rPr>
        <w:t>Unidades de Transparencia</w:t>
      </w:r>
      <w:r w:rsidRPr="004222CF">
        <w:rPr>
          <w:rFonts w:ascii="Palatino Linotype" w:eastAsia="Palatino Linotype" w:hAnsi="Palatino Linotype" w:cs="Palatino Linotype"/>
          <w:i/>
          <w:sz w:val="22"/>
          <w:szCs w:val="22"/>
        </w:rPr>
        <w:t xml:space="preserve"> tendrán las siguientes </w:t>
      </w:r>
      <w:r w:rsidRPr="004222CF">
        <w:rPr>
          <w:rFonts w:ascii="Palatino Linotype" w:eastAsia="Palatino Linotype" w:hAnsi="Palatino Linotype" w:cs="Palatino Linotype"/>
          <w:b/>
          <w:i/>
          <w:sz w:val="22"/>
          <w:szCs w:val="22"/>
        </w:rPr>
        <w:t>funciones</w:t>
      </w:r>
      <w:r w:rsidRPr="004222CF">
        <w:rPr>
          <w:rFonts w:ascii="Palatino Linotype" w:eastAsia="Palatino Linotype" w:hAnsi="Palatino Linotype" w:cs="Palatino Linotype"/>
          <w:i/>
          <w:sz w:val="22"/>
          <w:szCs w:val="22"/>
        </w:rPr>
        <w:t>:</w:t>
      </w:r>
    </w:p>
    <w:p w14:paraId="03334744"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X. Presentar ante el Comité, el proyecto de clasificación de información</w:t>
      </w:r>
      <w:r w:rsidRPr="004222CF">
        <w:rPr>
          <w:rFonts w:ascii="Palatino Linotype" w:eastAsia="Palatino Linotype" w:hAnsi="Palatino Linotype" w:cs="Palatino Linotype"/>
          <w:i/>
          <w:sz w:val="22"/>
          <w:szCs w:val="22"/>
        </w:rPr>
        <w:t xml:space="preserve">…” </w:t>
      </w:r>
    </w:p>
    <w:p w14:paraId="6141AD4E"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“Artículo 59.</w:t>
      </w:r>
      <w:r w:rsidRPr="004222CF">
        <w:rPr>
          <w:rFonts w:ascii="Palatino Linotype" w:eastAsia="Palatino Linotype" w:hAnsi="Palatino Linotype" w:cs="Palatino Linotype"/>
          <w:i/>
          <w:sz w:val="22"/>
          <w:szCs w:val="22"/>
        </w:rPr>
        <w:t xml:space="preserve"> Los </w:t>
      </w:r>
      <w:r w:rsidRPr="004222CF">
        <w:rPr>
          <w:rFonts w:ascii="Palatino Linotype" w:eastAsia="Palatino Linotype" w:hAnsi="Palatino Linotype" w:cs="Palatino Linotype"/>
          <w:b/>
          <w:i/>
          <w:sz w:val="22"/>
          <w:szCs w:val="22"/>
        </w:rPr>
        <w:t>servidores públicos habilitados</w:t>
      </w:r>
      <w:r w:rsidRPr="004222CF">
        <w:rPr>
          <w:rFonts w:ascii="Palatino Linotype" w:eastAsia="Palatino Linotype" w:hAnsi="Palatino Linotype" w:cs="Palatino Linotype"/>
          <w:i/>
          <w:sz w:val="22"/>
          <w:szCs w:val="22"/>
        </w:rPr>
        <w:t xml:space="preserve"> tendrán las </w:t>
      </w:r>
      <w:r w:rsidRPr="004222CF">
        <w:rPr>
          <w:rFonts w:ascii="Palatino Linotype" w:eastAsia="Palatino Linotype" w:hAnsi="Palatino Linotype" w:cs="Palatino Linotype"/>
          <w:b/>
          <w:i/>
          <w:sz w:val="22"/>
          <w:szCs w:val="22"/>
        </w:rPr>
        <w:t>funciones</w:t>
      </w:r>
      <w:r w:rsidRPr="004222CF">
        <w:rPr>
          <w:rFonts w:ascii="Palatino Linotype" w:eastAsia="Palatino Linotype" w:hAnsi="Palatino Linotype" w:cs="Palatino Linotype"/>
          <w:i/>
          <w:sz w:val="22"/>
          <w:szCs w:val="22"/>
        </w:rPr>
        <w:t xml:space="preserve"> siguientes:</w:t>
      </w:r>
    </w:p>
    <w:p w14:paraId="2FA26C9F" w14:textId="77777777" w:rsidR="00196457" w:rsidRPr="004222CF" w:rsidRDefault="00077512">
      <w:pPr>
        <w:ind w:left="992" w:right="1043"/>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222CF">
        <w:rPr>
          <w:rFonts w:ascii="Palatino Linotype" w:eastAsia="Palatino Linotype" w:hAnsi="Palatino Linotype" w:cs="Palatino Linotype"/>
          <w:i/>
          <w:sz w:val="22"/>
          <w:szCs w:val="22"/>
        </w:rPr>
        <w:t>, la cual tendrá los fundamentos y argumentos en que se basa dicha propuesta…”(Sic)</w:t>
      </w:r>
    </w:p>
    <w:p w14:paraId="052DCDBB" w14:textId="77777777" w:rsidR="00196457" w:rsidRPr="004222CF" w:rsidRDefault="00196457">
      <w:pPr>
        <w:ind w:left="992" w:right="1043"/>
        <w:jc w:val="both"/>
        <w:rPr>
          <w:rFonts w:ascii="Palatino Linotype" w:eastAsia="Palatino Linotype" w:hAnsi="Palatino Linotype" w:cs="Palatino Linotype"/>
          <w:i/>
          <w:sz w:val="22"/>
          <w:szCs w:val="22"/>
        </w:rPr>
      </w:pPr>
    </w:p>
    <w:p w14:paraId="493A3AB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9EBC976"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59C902E"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2254062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0C7D1762" w14:textId="77777777" w:rsidR="00196457" w:rsidRPr="004222CF" w:rsidRDefault="00077512">
      <w:pPr>
        <w:spacing w:after="240"/>
        <w:ind w:left="993" w:right="1041"/>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Artículo 149.</w:t>
      </w:r>
      <w:r w:rsidRPr="004222CF">
        <w:rPr>
          <w:rFonts w:ascii="Palatino Linotype" w:eastAsia="Palatino Linotype" w:hAnsi="Palatino Linotype" w:cs="Palatino Linotype"/>
          <w:i/>
          <w:sz w:val="22"/>
          <w:szCs w:val="22"/>
        </w:rPr>
        <w:t xml:space="preserve"> El </w:t>
      </w:r>
      <w:r w:rsidRPr="004222CF">
        <w:rPr>
          <w:rFonts w:ascii="Palatino Linotype" w:eastAsia="Palatino Linotype" w:hAnsi="Palatino Linotype" w:cs="Palatino Linotype"/>
          <w:b/>
          <w:i/>
          <w:sz w:val="22"/>
          <w:szCs w:val="22"/>
        </w:rPr>
        <w:t>acuerdo que clasifique la información como confidencial</w:t>
      </w:r>
      <w:r w:rsidRPr="004222C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5F6BED4" w14:textId="77777777" w:rsidR="00196457" w:rsidRPr="004222CF" w:rsidRDefault="00196457">
      <w:pPr>
        <w:spacing w:after="240"/>
        <w:ind w:left="993" w:right="1041"/>
        <w:jc w:val="both"/>
        <w:rPr>
          <w:rFonts w:ascii="Palatino Linotype" w:eastAsia="Palatino Linotype" w:hAnsi="Palatino Linotype" w:cs="Palatino Linotype"/>
          <w:i/>
          <w:sz w:val="22"/>
          <w:szCs w:val="22"/>
        </w:rPr>
      </w:pPr>
    </w:p>
    <w:p w14:paraId="560395A5" w14:textId="77777777" w:rsidR="00196457" w:rsidRPr="004222CF" w:rsidRDefault="00077512">
      <w:pPr>
        <w:spacing w:line="360" w:lineRule="auto"/>
        <w:ind w:right="51"/>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Es decir,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w:t>
      </w:r>
      <w:r w:rsidRPr="004222CF">
        <w:rPr>
          <w:rFonts w:ascii="Palatino Linotype" w:eastAsia="Palatino Linotype" w:hAnsi="Palatino Linotype" w:cs="Palatino Linotype"/>
          <w:sz w:val="22"/>
          <w:szCs w:val="22"/>
        </w:rPr>
        <w:lastRenderedPageBreak/>
        <w:t>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290B17B"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63F5B404"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6407F2B7"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FF73A96"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siendo estas las siguientes:</w:t>
      </w:r>
    </w:p>
    <w:p w14:paraId="6A8F59BE"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1872B248" w14:textId="77777777" w:rsidR="00196457" w:rsidRPr="004222CF" w:rsidRDefault="00077512">
      <w:pPr>
        <w:ind w:left="567"/>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“CAPÍTULO VIII </w:t>
      </w:r>
    </w:p>
    <w:p w14:paraId="032E28FC" w14:textId="77777777" w:rsidR="00196457" w:rsidRPr="004222CF" w:rsidRDefault="00077512">
      <w:pPr>
        <w:ind w:left="567"/>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DE LOS ELEMENTOS PARA LA CLASIFICACIÓN </w:t>
      </w:r>
    </w:p>
    <w:p w14:paraId="1CE70133"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Quincuagésimo. </w:t>
      </w:r>
      <w:r w:rsidRPr="004222CF">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525B71A"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lastRenderedPageBreak/>
        <w:t xml:space="preserve">Quincuagésimo primero. </w:t>
      </w:r>
      <w:r w:rsidRPr="004222CF">
        <w:rPr>
          <w:rFonts w:ascii="Palatino Linotype" w:eastAsia="Palatino Linotype" w:hAnsi="Palatino Linotype" w:cs="Palatino Linotype"/>
          <w:i/>
          <w:sz w:val="22"/>
          <w:szCs w:val="22"/>
        </w:rPr>
        <w:t xml:space="preserve">Toda acta del Comité de Transparencia deberá contener: </w:t>
      </w:r>
    </w:p>
    <w:p w14:paraId="72EE4C6A"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 El número de sesión y fecha; </w:t>
      </w:r>
    </w:p>
    <w:p w14:paraId="3AF674E5"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II. El nombre del área que solicitó la clasificación de información; </w:t>
      </w:r>
    </w:p>
    <w:p w14:paraId="1BEF4EBC"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III. La fundamentación legal y motivación correspondiente; </w:t>
      </w:r>
    </w:p>
    <w:p w14:paraId="46AC3818"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IV. La resolución o resoluciones aprobadas; y </w:t>
      </w:r>
    </w:p>
    <w:p w14:paraId="57F0DA97"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V. La rúbrica o firma digital de cada integrante del Comité de Transparencia. </w:t>
      </w:r>
    </w:p>
    <w:p w14:paraId="4DFEC5F2"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p>
    <w:p w14:paraId="41FCAEC1" w14:textId="77777777" w:rsidR="00196457" w:rsidRPr="004222CF" w:rsidRDefault="00077512">
      <w:pPr>
        <w:ind w:left="567" w:right="900"/>
        <w:jc w:val="both"/>
        <w:rPr>
          <w:rFonts w:ascii="Palatino Linotype" w:eastAsia="Palatino Linotype" w:hAnsi="Palatino Linotype" w:cs="Palatino Linotype"/>
          <w:b/>
          <w:i/>
          <w:sz w:val="22"/>
          <w:szCs w:val="22"/>
          <w:u w:val="single"/>
        </w:rPr>
      </w:pPr>
      <w:r w:rsidRPr="004222CF">
        <w:rPr>
          <w:rFonts w:ascii="Palatino Linotype" w:eastAsia="Palatino Linotype" w:hAnsi="Palatino Linotype" w:cs="Palatino Linotype"/>
          <w:i/>
          <w:sz w:val="22"/>
          <w:szCs w:val="22"/>
        </w:rPr>
        <w:t xml:space="preserve">En los casos de resoluciones del Comité de Transparencia en las que se </w:t>
      </w:r>
      <w:r w:rsidRPr="004222CF">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15C8F3CA"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Quincuagésimo segundo. </w:t>
      </w:r>
      <w:r w:rsidRPr="004222CF">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4222CF">
        <w:rPr>
          <w:rFonts w:ascii="Palatino Linotype" w:eastAsia="Palatino Linotype" w:hAnsi="Palatino Linotype" w:cs="Palatino Linotype"/>
          <w:b/>
          <w:i/>
          <w:sz w:val="22"/>
          <w:szCs w:val="22"/>
        </w:rPr>
        <w:t>confidencial,</w:t>
      </w:r>
      <w:r w:rsidRPr="004222CF">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93D3F68"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DB66D5F"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7A8EA143"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4CCD79AE"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III. Señalar las personas o instancias autorizadas a acceder a la información clasificada. </w:t>
      </w:r>
    </w:p>
    <w:p w14:paraId="01C1E93F"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4222CF">
        <w:rPr>
          <w:rFonts w:ascii="Palatino Linotype" w:eastAsia="Palatino Linotype" w:hAnsi="Palatino Linotype" w:cs="Palatino Linotype"/>
          <w:b/>
          <w:i/>
          <w:sz w:val="22"/>
          <w:szCs w:val="22"/>
          <w:u w:val="single"/>
        </w:rPr>
        <w:t>información confidencial.</w:t>
      </w:r>
      <w:r w:rsidRPr="004222CF">
        <w:rPr>
          <w:rFonts w:ascii="Palatino Linotype" w:eastAsia="Palatino Linotype" w:hAnsi="Palatino Linotype" w:cs="Palatino Linotype"/>
          <w:i/>
          <w:sz w:val="22"/>
          <w:szCs w:val="22"/>
        </w:rPr>
        <w:t xml:space="preserve"> </w:t>
      </w:r>
    </w:p>
    <w:p w14:paraId="071DD1FC"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w:t>
      </w:r>
    </w:p>
    <w:p w14:paraId="1E0D5797" w14:textId="77777777" w:rsidR="00196457" w:rsidRPr="004222CF" w:rsidRDefault="00077512">
      <w:pPr>
        <w:ind w:left="567" w:right="900"/>
        <w:jc w:val="both"/>
        <w:rPr>
          <w:rFonts w:ascii="Palatino Linotype" w:eastAsia="Palatino Linotype" w:hAnsi="Palatino Linotype" w:cs="Palatino Linotype"/>
          <w:b/>
          <w:i/>
          <w:sz w:val="22"/>
          <w:szCs w:val="22"/>
        </w:rPr>
      </w:pPr>
      <w:r w:rsidRPr="004222CF">
        <w:rPr>
          <w:rFonts w:ascii="Palatino Linotype" w:eastAsia="Palatino Linotype" w:hAnsi="Palatino Linotype" w:cs="Palatino Linotype"/>
          <w:b/>
          <w:i/>
          <w:sz w:val="22"/>
          <w:szCs w:val="22"/>
        </w:rPr>
        <w:t xml:space="preserve">Quincuagésimo cuarto. </w:t>
      </w:r>
      <w:r w:rsidRPr="004222CF">
        <w:rPr>
          <w:rFonts w:ascii="Palatino Linotype" w:eastAsia="Palatino Linotype" w:hAnsi="Palatino Linotype" w:cs="Palatino Linotype"/>
          <w:i/>
          <w:sz w:val="22"/>
          <w:szCs w:val="22"/>
        </w:rPr>
        <w:t xml:space="preserve">Cuando el Comité de Transparencia confirme la clasificación de documentos reservados y/o </w:t>
      </w:r>
      <w:r w:rsidRPr="004222CF">
        <w:rPr>
          <w:rFonts w:ascii="Palatino Linotype" w:eastAsia="Palatino Linotype" w:hAnsi="Palatino Linotype" w:cs="Palatino Linotype"/>
          <w:b/>
          <w:i/>
          <w:sz w:val="22"/>
          <w:szCs w:val="22"/>
        </w:rPr>
        <w:t>confidenciales</w:t>
      </w:r>
      <w:r w:rsidRPr="004222CF">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222CF">
        <w:rPr>
          <w:rFonts w:ascii="Palatino Linotype" w:eastAsia="Palatino Linotype" w:hAnsi="Palatino Linotype" w:cs="Palatino Linotype"/>
          <w:b/>
          <w:i/>
          <w:sz w:val="22"/>
          <w:szCs w:val="22"/>
        </w:rPr>
        <w:t xml:space="preserve"> </w:t>
      </w:r>
    </w:p>
    <w:p w14:paraId="00E5F851" w14:textId="77777777" w:rsidR="00196457" w:rsidRPr="004222CF" w:rsidRDefault="00077512">
      <w:pPr>
        <w:ind w:left="567" w:right="900"/>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 xml:space="preserve">Quincuagésimo quinto. </w:t>
      </w:r>
      <w:r w:rsidRPr="004222CF">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4222CF">
        <w:rPr>
          <w:rFonts w:ascii="Palatino Linotype" w:eastAsia="Palatino Linotype" w:hAnsi="Palatino Linotype" w:cs="Palatino Linotype"/>
          <w:i/>
          <w:sz w:val="22"/>
          <w:szCs w:val="22"/>
        </w:rPr>
        <w:t>testado</w:t>
      </w:r>
      <w:proofErr w:type="spellEnd"/>
      <w:r w:rsidRPr="004222CF">
        <w:rPr>
          <w:rFonts w:ascii="Palatino Linotype" w:eastAsia="Palatino Linotype" w:hAnsi="Palatino Linotype" w:cs="Palatino Linotype"/>
          <w:i/>
          <w:sz w:val="22"/>
          <w:szCs w:val="22"/>
        </w:rPr>
        <w:t xml:space="preserve">, que sean encargadas de la </w:t>
      </w:r>
      <w:r w:rsidRPr="004222CF">
        <w:rPr>
          <w:rFonts w:ascii="Palatino Linotype" w:eastAsia="Palatino Linotype" w:hAnsi="Palatino Linotype" w:cs="Palatino Linotype"/>
          <w:i/>
          <w:sz w:val="22"/>
          <w:szCs w:val="22"/>
        </w:rPr>
        <w:lastRenderedPageBreak/>
        <w:t xml:space="preserve">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173F60F" w14:textId="77777777" w:rsidR="00196457" w:rsidRPr="004222CF" w:rsidRDefault="00077512">
      <w:pPr>
        <w:spacing w:before="240" w:after="240"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8B3693E"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w:t>
      </w:r>
      <w:r w:rsidRPr="004222CF">
        <w:rPr>
          <w:rFonts w:ascii="Palatino Linotype" w:eastAsia="Palatino Linotype" w:hAnsi="Palatino Linotype" w:cs="Palatino Linotype"/>
          <w:b/>
          <w:i/>
          <w:sz w:val="22"/>
          <w:szCs w:val="22"/>
        </w:rPr>
        <w:t>Quincuagésimo sexto</w:t>
      </w:r>
      <w:r w:rsidRPr="004222CF">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5D9374F"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Quincuagésimo séptimo</w:t>
      </w:r>
      <w:r w:rsidRPr="004222CF">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92B859F"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w:t>
      </w:r>
      <w:r w:rsidRPr="004222CF">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5B2203F"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w:t>
      </w:r>
      <w:r w:rsidRPr="004222CF">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D8BD18C"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III</w:t>
      </w:r>
      <w:r w:rsidRPr="004222CF">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7F2DEB3"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B562FCD" w14:textId="77777777" w:rsidR="00196457" w:rsidRPr="004222CF" w:rsidRDefault="00077512">
      <w:pPr>
        <w:ind w:left="851" w:right="902"/>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b/>
          <w:i/>
          <w:sz w:val="22"/>
          <w:szCs w:val="22"/>
        </w:rPr>
        <w:t>Quincuagésimo octavo</w:t>
      </w:r>
      <w:r w:rsidRPr="004222CF">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4749CD9"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8B1EE5A"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4D11AB0A"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39DB8F40"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7136451"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7DFC37A3"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4FEF5B9B" w14:textId="77777777" w:rsidR="00196457" w:rsidRPr="004222CF" w:rsidRDefault="00077512">
      <w:pPr>
        <w:spacing w:line="360" w:lineRule="auto"/>
        <w:jc w:val="center"/>
        <w:rPr>
          <w:rFonts w:ascii="Palatino Linotype" w:eastAsia="Palatino Linotype" w:hAnsi="Palatino Linotype" w:cs="Palatino Linotype"/>
          <w:b/>
          <w:sz w:val="22"/>
          <w:szCs w:val="22"/>
        </w:rPr>
      </w:pPr>
      <w:bookmarkStart w:id="8" w:name="_heading=h.ijv98pntcd5s" w:colFirst="0" w:colLast="0"/>
      <w:bookmarkEnd w:id="8"/>
      <w:r w:rsidRPr="004222CF">
        <w:rPr>
          <w:rFonts w:ascii="Palatino Linotype" w:eastAsia="Palatino Linotype" w:hAnsi="Palatino Linotype" w:cs="Palatino Linotype"/>
          <w:b/>
          <w:sz w:val="22"/>
          <w:szCs w:val="22"/>
        </w:rPr>
        <w:t>III. R E S U E L V E</w:t>
      </w:r>
    </w:p>
    <w:p w14:paraId="2C9A18A9" w14:textId="77777777" w:rsidR="00196457" w:rsidRPr="004222CF" w:rsidRDefault="00196457">
      <w:pPr>
        <w:spacing w:line="360" w:lineRule="auto"/>
        <w:jc w:val="both"/>
        <w:rPr>
          <w:rFonts w:ascii="Palatino Linotype" w:eastAsia="Palatino Linotype" w:hAnsi="Palatino Linotype" w:cs="Palatino Linotype"/>
          <w:b/>
          <w:sz w:val="22"/>
          <w:szCs w:val="22"/>
        </w:rPr>
      </w:pPr>
      <w:bookmarkStart w:id="9" w:name="_heading=h.26in1rg" w:colFirst="0" w:colLast="0"/>
      <w:bookmarkEnd w:id="9"/>
    </w:p>
    <w:p w14:paraId="2EB0CC95" w14:textId="77777777" w:rsidR="00196457" w:rsidRPr="004222CF" w:rsidRDefault="00077512">
      <w:pPr>
        <w:spacing w:line="360" w:lineRule="auto"/>
        <w:jc w:val="both"/>
        <w:rPr>
          <w:rFonts w:ascii="Palatino Linotype" w:eastAsia="Palatino Linotype" w:hAnsi="Palatino Linotype" w:cs="Palatino Linotype"/>
          <w:b/>
          <w:sz w:val="22"/>
          <w:szCs w:val="22"/>
        </w:rPr>
      </w:pPr>
      <w:bookmarkStart w:id="10" w:name="_heading=h.3rdcrjn" w:colFirst="0" w:colLast="0"/>
      <w:bookmarkEnd w:id="10"/>
      <w:r w:rsidRPr="004222CF">
        <w:rPr>
          <w:rFonts w:ascii="Palatino Linotype" w:eastAsia="Palatino Linotype" w:hAnsi="Palatino Linotype" w:cs="Palatino Linotype"/>
          <w:b/>
          <w:sz w:val="22"/>
          <w:szCs w:val="22"/>
        </w:rPr>
        <w:t xml:space="preserve">Primero. </w:t>
      </w:r>
      <w:r w:rsidRPr="004222CF">
        <w:rPr>
          <w:rFonts w:ascii="Palatino Linotype" w:eastAsia="Palatino Linotype" w:hAnsi="Palatino Linotype" w:cs="Palatino Linotype"/>
          <w:sz w:val="22"/>
          <w:szCs w:val="22"/>
        </w:rPr>
        <w:t xml:space="preserve">Resultan </w:t>
      </w:r>
      <w:r w:rsidRPr="004222CF">
        <w:rPr>
          <w:rFonts w:ascii="Palatino Linotype" w:eastAsia="Palatino Linotype" w:hAnsi="Palatino Linotype" w:cs="Palatino Linotype"/>
          <w:b/>
          <w:sz w:val="22"/>
          <w:szCs w:val="22"/>
        </w:rPr>
        <w:t>parcialmente fundados</w:t>
      </w:r>
      <w:r w:rsidRPr="004222CF">
        <w:rPr>
          <w:rFonts w:ascii="Palatino Linotype" w:eastAsia="Palatino Linotype" w:hAnsi="Palatino Linotype" w:cs="Palatino Linotype"/>
          <w:sz w:val="22"/>
          <w:szCs w:val="22"/>
        </w:rPr>
        <w:t xml:space="preserve"> los motivos de inconformidad hechos valer por la parte </w:t>
      </w:r>
      <w:r w:rsidRPr="004222CF">
        <w:rPr>
          <w:rFonts w:ascii="Palatino Linotype" w:eastAsia="Palatino Linotype" w:hAnsi="Palatino Linotype" w:cs="Palatino Linotype"/>
          <w:b/>
          <w:sz w:val="22"/>
          <w:szCs w:val="22"/>
        </w:rPr>
        <w:t xml:space="preserve">Recurrente </w:t>
      </w:r>
      <w:r w:rsidRPr="004222CF">
        <w:rPr>
          <w:rFonts w:ascii="Palatino Linotype" w:eastAsia="Palatino Linotype" w:hAnsi="Palatino Linotype" w:cs="Palatino Linotype"/>
          <w:sz w:val="22"/>
          <w:szCs w:val="22"/>
        </w:rPr>
        <w:t xml:space="preserve">en el recurso de revisión </w:t>
      </w:r>
      <w:r w:rsidRPr="004222CF">
        <w:rPr>
          <w:rFonts w:ascii="Palatino Linotype" w:eastAsia="Palatino Linotype" w:hAnsi="Palatino Linotype" w:cs="Palatino Linotype"/>
          <w:b/>
          <w:sz w:val="22"/>
          <w:szCs w:val="22"/>
        </w:rPr>
        <w:t xml:space="preserve">07624/INFOEM/IP/RR/2024, </w:t>
      </w:r>
      <w:r w:rsidRPr="004222CF">
        <w:rPr>
          <w:rFonts w:ascii="Palatino Linotype" w:eastAsia="Palatino Linotype" w:hAnsi="Palatino Linotype" w:cs="Palatino Linotype"/>
          <w:sz w:val="22"/>
          <w:szCs w:val="22"/>
        </w:rPr>
        <w:t xml:space="preserve">por lo que, en términos del Considerando </w:t>
      </w:r>
      <w:r w:rsidRPr="004222CF">
        <w:rPr>
          <w:rFonts w:ascii="Palatino Linotype" w:eastAsia="Palatino Linotype" w:hAnsi="Palatino Linotype" w:cs="Palatino Linotype"/>
          <w:b/>
          <w:sz w:val="22"/>
          <w:szCs w:val="22"/>
        </w:rPr>
        <w:t>Cuarto</w:t>
      </w:r>
      <w:r w:rsidRPr="004222CF">
        <w:rPr>
          <w:rFonts w:ascii="Palatino Linotype" w:eastAsia="Palatino Linotype" w:hAnsi="Palatino Linotype" w:cs="Palatino Linotype"/>
          <w:sz w:val="22"/>
          <w:szCs w:val="22"/>
        </w:rPr>
        <w:t xml:space="preserve"> de la presente resolución, se</w:t>
      </w:r>
      <w:r w:rsidRPr="004222CF">
        <w:rPr>
          <w:rFonts w:ascii="Palatino Linotype" w:eastAsia="Palatino Linotype" w:hAnsi="Palatino Linotype" w:cs="Palatino Linotype"/>
          <w:b/>
          <w:sz w:val="22"/>
          <w:szCs w:val="22"/>
        </w:rPr>
        <w:t xml:space="preserve"> Modifica </w:t>
      </w:r>
      <w:r w:rsidRPr="004222CF">
        <w:rPr>
          <w:rFonts w:ascii="Palatino Linotype" w:eastAsia="Palatino Linotype" w:hAnsi="Palatino Linotype" w:cs="Palatino Linotype"/>
          <w:sz w:val="22"/>
          <w:szCs w:val="22"/>
        </w:rPr>
        <w:t>la respuesta</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sz w:val="22"/>
          <w:szCs w:val="22"/>
        </w:rPr>
        <w:t xml:space="preserve">del </w:t>
      </w:r>
      <w:r w:rsidRPr="004222CF">
        <w:rPr>
          <w:rFonts w:ascii="Palatino Linotype" w:eastAsia="Palatino Linotype" w:hAnsi="Palatino Linotype" w:cs="Palatino Linotype"/>
          <w:b/>
          <w:sz w:val="22"/>
          <w:szCs w:val="22"/>
        </w:rPr>
        <w:t>Sujeto Obligado.</w:t>
      </w:r>
    </w:p>
    <w:p w14:paraId="4FA54B04" w14:textId="77777777" w:rsidR="00196457" w:rsidRPr="004222CF" w:rsidRDefault="00196457">
      <w:pPr>
        <w:spacing w:line="360" w:lineRule="auto"/>
        <w:jc w:val="both"/>
        <w:rPr>
          <w:rFonts w:ascii="Palatino Linotype" w:eastAsia="Palatino Linotype" w:hAnsi="Palatino Linotype" w:cs="Palatino Linotype"/>
          <w:b/>
          <w:sz w:val="22"/>
          <w:szCs w:val="22"/>
        </w:rPr>
      </w:pPr>
    </w:p>
    <w:p w14:paraId="133BBEF5" w14:textId="77777777" w:rsidR="00196457" w:rsidRPr="004222CF" w:rsidRDefault="00077512">
      <w:pPr>
        <w:spacing w:line="360" w:lineRule="auto"/>
        <w:jc w:val="both"/>
        <w:rPr>
          <w:rFonts w:ascii="Palatino Linotype" w:eastAsia="Palatino Linotype" w:hAnsi="Palatino Linotype" w:cs="Palatino Linotype"/>
          <w:sz w:val="22"/>
          <w:szCs w:val="22"/>
        </w:rPr>
      </w:pPr>
      <w:bookmarkStart w:id="11" w:name="_heading=h.2et92p0" w:colFirst="0" w:colLast="0"/>
      <w:bookmarkEnd w:id="11"/>
      <w:r w:rsidRPr="004222CF">
        <w:rPr>
          <w:rFonts w:ascii="Palatino Linotype" w:eastAsia="Palatino Linotype" w:hAnsi="Palatino Linotype" w:cs="Palatino Linotype"/>
          <w:b/>
          <w:sz w:val="22"/>
          <w:szCs w:val="22"/>
        </w:rPr>
        <w:lastRenderedPageBreak/>
        <w:t xml:space="preserve">Segundo. </w:t>
      </w:r>
      <w:r w:rsidRPr="004222CF">
        <w:rPr>
          <w:rFonts w:ascii="Palatino Linotype" w:eastAsia="Palatino Linotype" w:hAnsi="Palatino Linotype" w:cs="Palatino Linotype"/>
          <w:sz w:val="22"/>
          <w:szCs w:val="22"/>
        </w:rPr>
        <w:t xml:space="preserve">Se </w:t>
      </w:r>
      <w:r w:rsidRPr="004222CF">
        <w:rPr>
          <w:rFonts w:ascii="Palatino Linotype" w:eastAsia="Palatino Linotype" w:hAnsi="Palatino Linotype" w:cs="Palatino Linotype"/>
          <w:b/>
          <w:sz w:val="22"/>
          <w:szCs w:val="22"/>
        </w:rPr>
        <w:t>Ordena</w:t>
      </w:r>
      <w:r w:rsidRPr="004222CF">
        <w:rPr>
          <w:rFonts w:ascii="Palatino Linotype" w:eastAsia="Palatino Linotype" w:hAnsi="Palatino Linotype" w:cs="Palatino Linotype"/>
          <w:sz w:val="22"/>
          <w:szCs w:val="22"/>
        </w:rPr>
        <w:t xml:space="preserve"> al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en términos de los Considerandos </w:t>
      </w:r>
      <w:r w:rsidRPr="004222CF">
        <w:rPr>
          <w:rFonts w:ascii="Palatino Linotype" w:eastAsia="Palatino Linotype" w:hAnsi="Palatino Linotype" w:cs="Palatino Linotype"/>
          <w:b/>
          <w:sz w:val="22"/>
          <w:szCs w:val="22"/>
        </w:rPr>
        <w:t xml:space="preserve">Cuarto y Quinto </w:t>
      </w:r>
      <w:r w:rsidRPr="004222CF">
        <w:rPr>
          <w:rFonts w:ascii="Palatino Linotype" w:eastAsia="Palatino Linotype" w:hAnsi="Palatino Linotype" w:cs="Palatino Linotype"/>
          <w:sz w:val="22"/>
          <w:szCs w:val="22"/>
        </w:rPr>
        <w:t xml:space="preserve">de esta resolución, </w:t>
      </w:r>
      <w:r w:rsidRPr="004222CF">
        <w:rPr>
          <w:rFonts w:ascii="Palatino Linotype" w:eastAsia="Palatino Linotype" w:hAnsi="Palatino Linotype" w:cs="Palatino Linotype"/>
          <w:b/>
          <w:sz w:val="22"/>
          <w:szCs w:val="22"/>
        </w:rPr>
        <w:t xml:space="preserve">haga entrega vía Sistema de Acceso a la Información Mexiquense (SAIMEX), previa búsqueda exhaustiva y razonable, de ser procedente en versión pública, </w:t>
      </w:r>
      <w:r w:rsidRPr="004222CF">
        <w:rPr>
          <w:rFonts w:ascii="Palatino Linotype" w:eastAsia="Palatino Linotype" w:hAnsi="Palatino Linotype" w:cs="Palatino Linotype"/>
          <w:sz w:val="22"/>
          <w:szCs w:val="22"/>
        </w:rPr>
        <w:t>lo siguiente:</w:t>
      </w:r>
    </w:p>
    <w:p w14:paraId="7619830F"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4BC5D048" w14:textId="77777777" w:rsidR="00196457" w:rsidRPr="004222CF" w:rsidRDefault="00077512">
      <w:pPr>
        <w:pStyle w:val="Prrafodelista"/>
        <w:numPr>
          <w:ilvl w:val="0"/>
          <w:numId w:val="5"/>
        </w:numPr>
        <w:spacing w:line="360" w:lineRule="auto"/>
        <w:jc w:val="both"/>
        <w:rPr>
          <w:rFonts w:ascii="Palatino Linotype" w:eastAsia="Palatino Linotype" w:hAnsi="Palatino Linotype" w:cs="Palatino Linotype"/>
          <w:b/>
          <w:sz w:val="22"/>
          <w:szCs w:val="22"/>
        </w:rPr>
      </w:pPr>
      <w:r w:rsidRPr="004222CF">
        <w:rPr>
          <w:rFonts w:ascii="Palatino Linotype" w:eastAsia="Palatino Linotype" w:hAnsi="Palatino Linotype" w:cs="Palatino Linotype"/>
          <w:b/>
          <w:sz w:val="22"/>
          <w:szCs w:val="22"/>
        </w:rPr>
        <w:t xml:space="preserve">El documento donde conste o se advierta la antigüedad del personal sindicalizado en la Administración Pública Municipal 2022-2024 en el periodo comprendido del 01 de enero de 2022 al 21 de octubre de 2024. </w:t>
      </w:r>
    </w:p>
    <w:p w14:paraId="7ED4417B" w14:textId="77777777" w:rsidR="00196457" w:rsidRPr="004222CF" w:rsidRDefault="00196457">
      <w:pPr>
        <w:spacing w:line="276" w:lineRule="auto"/>
        <w:ind w:left="284" w:right="49"/>
        <w:jc w:val="both"/>
        <w:rPr>
          <w:rFonts w:ascii="Palatino Linotype" w:eastAsia="Palatino Linotype" w:hAnsi="Palatino Linotype" w:cs="Palatino Linotype"/>
          <w:i/>
          <w:sz w:val="22"/>
          <w:szCs w:val="22"/>
        </w:rPr>
      </w:pPr>
    </w:p>
    <w:p w14:paraId="2FE0F808" w14:textId="77777777" w:rsidR="00196457" w:rsidRPr="004222CF" w:rsidRDefault="00077512">
      <w:pPr>
        <w:spacing w:line="276" w:lineRule="auto"/>
        <w:ind w:left="284" w:right="49"/>
        <w:jc w:val="both"/>
        <w:rPr>
          <w:rFonts w:ascii="Palatino Linotype" w:eastAsia="Palatino Linotype" w:hAnsi="Palatino Linotype" w:cs="Palatino Linotype"/>
          <w:i/>
          <w:sz w:val="22"/>
          <w:szCs w:val="22"/>
        </w:rPr>
      </w:pPr>
      <w:r w:rsidRPr="004222CF">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4222CF">
        <w:rPr>
          <w:rFonts w:ascii="Palatino Linotype" w:eastAsia="Palatino Linotype" w:hAnsi="Palatino Linotype" w:cs="Palatino Linotype"/>
          <w:b/>
          <w:i/>
          <w:sz w:val="22"/>
          <w:szCs w:val="22"/>
        </w:rPr>
        <w:t>la parte Recurrente</w:t>
      </w:r>
      <w:r w:rsidRPr="004222CF">
        <w:rPr>
          <w:rFonts w:ascii="Palatino Linotype" w:eastAsia="Palatino Linotype" w:hAnsi="Palatino Linotype" w:cs="Palatino Linotype"/>
          <w:i/>
          <w:sz w:val="22"/>
          <w:szCs w:val="22"/>
        </w:rPr>
        <w:t>, mismo que igualmente hará de su conocimiento.</w:t>
      </w:r>
    </w:p>
    <w:p w14:paraId="6498178E" w14:textId="77777777" w:rsidR="00196457" w:rsidRPr="004222CF" w:rsidRDefault="00196457">
      <w:pPr>
        <w:spacing w:line="276" w:lineRule="auto"/>
        <w:ind w:left="284" w:right="49"/>
        <w:jc w:val="both"/>
        <w:rPr>
          <w:rFonts w:ascii="Palatino Linotype" w:eastAsia="Palatino Linotype" w:hAnsi="Palatino Linotype" w:cs="Palatino Linotype"/>
          <w:i/>
          <w:sz w:val="22"/>
          <w:szCs w:val="22"/>
        </w:rPr>
      </w:pPr>
    </w:p>
    <w:p w14:paraId="39CC9BD2" w14:textId="77777777" w:rsidR="00196457" w:rsidRPr="004222CF" w:rsidRDefault="00077512">
      <w:pPr>
        <w:spacing w:line="360" w:lineRule="auto"/>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Tercero. Notifíquese, </w:t>
      </w:r>
      <w:r w:rsidRPr="004222CF">
        <w:rPr>
          <w:rFonts w:ascii="Palatino Linotype" w:eastAsia="Palatino Linotype" w:hAnsi="Palatino Linotype" w:cs="Palatino Linotype"/>
          <w:sz w:val="22"/>
          <w:szCs w:val="22"/>
        </w:rPr>
        <w:t xml:space="preserve">vía </w:t>
      </w:r>
      <w:r w:rsidRPr="004222CF">
        <w:rPr>
          <w:rFonts w:ascii="Palatino Linotype" w:eastAsia="Palatino Linotype" w:hAnsi="Palatino Linotype" w:cs="Palatino Linotype"/>
          <w:b/>
          <w:sz w:val="22"/>
          <w:szCs w:val="22"/>
        </w:rPr>
        <w:t>SAIMEX</w:t>
      </w:r>
      <w:r w:rsidRPr="004222CF">
        <w:rPr>
          <w:rFonts w:ascii="Palatino Linotype" w:eastAsia="Palatino Linotype" w:hAnsi="Palatino Linotype" w:cs="Palatino Linotype"/>
          <w:sz w:val="22"/>
          <w:szCs w:val="22"/>
        </w:rPr>
        <w:t xml:space="preserve">, al Titular de la Unidad de Transparencia del </w:t>
      </w:r>
      <w:r w:rsidRPr="004222CF">
        <w:rPr>
          <w:rFonts w:ascii="Palatino Linotype" w:eastAsia="Palatino Linotype" w:hAnsi="Palatino Linotype" w:cs="Palatino Linotype"/>
          <w:b/>
          <w:sz w:val="22"/>
          <w:szCs w:val="22"/>
        </w:rPr>
        <w:t>Sujeto Obligado,</w:t>
      </w:r>
      <w:r w:rsidRPr="004222CF">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829D14" w14:textId="77777777" w:rsidR="00196457" w:rsidRPr="004222CF" w:rsidRDefault="00196457">
      <w:pPr>
        <w:spacing w:line="360" w:lineRule="auto"/>
        <w:jc w:val="both"/>
        <w:rPr>
          <w:rFonts w:ascii="Palatino Linotype" w:eastAsia="Palatino Linotype" w:hAnsi="Palatino Linotype" w:cs="Palatino Linotype"/>
          <w:sz w:val="22"/>
          <w:szCs w:val="22"/>
        </w:rPr>
      </w:pPr>
    </w:p>
    <w:p w14:paraId="22D107A5"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Cuarto.</w:t>
      </w:r>
      <w:r w:rsidRPr="004222CF">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4222CF">
        <w:rPr>
          <w:rFonts w:ascii="Palatino Linotype" w:eastAsia="Palatino Linotype" w:hAnsi="Palatino Linotype" w:cs="Palatino Linotype"/>
          <w:b/>
          <w:sz w:val="22"/>
          <w:szCs w:val="22"/>
        </w:rPr>
        <w:lastRenderedPageBreak/>
        <w:t>Sujeto Obligado</w:t>
      </w:r>
      <w:r w:rsidRPr="004222CF">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481F16B0"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6BB63E4B" w14:textId="77777777" w:rsidR="00196457" w:rsidRPr="004222CF" w:rsidRDefault="00077512">
      <w:pPr>
        <w:spacing w:line="360" w:lineRule="auto"/>
        <w:ind w:right="49"/>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b/>
          <w:sz w:val="22"/>
          <w:szCs w:val="22"/>
        </w:rPr>
        <w:t xml:space="preserve">Quinto. Notifíquese </w:t>
      </w:r>
      <w:r w:rsidRPr="004222CF">
        <w:rPr>
          <w:rFonts w:ascii="Palatino Linotype" w:eastAsia="Palatino Linotype" w:hAnsi="Palatino Linotype" w:cs="Palatino Linotype"/>
          <w:sz w:val="22"/>
          <w:szCs w:val="22"/>
        </w:rPr>
        <w:t>vía SAIMEX</w:t>
      </w:r>
      <w:r w:rsidRPr="004222CF">
        <w:rPr>
          <w:rFonts w:ascii="Palatino Linotype" w:eastAsia="Palatino Linotype" w:hAnsi="Palatino Linotype" w:cs="Palatino Linotype"/>
          <w:b/>
          <w:sz w:val="22"/>
          <w:szCs w:val="22"/>
        </w:rPr>
        <w:t xml:space="preserve">, </w:t>
      </w:r>
      <w:r w:rsidRPr="004222CF">
        <w:rPr>
          <w:rFonts w:ascii="Palatino Linotype" w:eastAsia="Palatino Linotype" w:hAnsi="Palatino Linotype" w:cs="Palatino Linotype"/>
          <w:sz w:val="22"/>
          <w:szCs w:val="22"/>
        </w:rPr>
        <w:t xml:space="preserve">la presente resolución a la parte </w:t>
      </w:r>
      <w:r w:rsidRPr="004222CF">
        <w:rPr>
          <w:rFonts w:ascii="Palatino Linotype" w:eastAsia="Palatino Linotype" w:hAnsi="Palatino Linotype" w:cs="Palatino Linotype"/>
          <w:b/>
          <w:sz w:val="22"/>
          <w:szCs w:val="22"/>
        </w:rPr>
        <w:t>Recurrente</w:t>
      </w:r>
      <w:r w:rsidRPr="004222CF">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980B3B7" w14:textId="77777777" w:rsidR="00196457" w:rsidRPr="004222CF" w:rsidRDefault="00196457">
      <w:pPr>
        <w:spacing w:line="360" w:lineRule="auto"/>
        <w:ind w:right="49"/>
        <w:jc w:val="both"/>
        <w:rPr>
          <w:rFonts w:ascii="Palatino Linotype" w:eastAsia="Palatino Linotype" w:hAnsi="Palatino Linotype" w:cs="Palatino Linotype"/>
          <w:sz w:val="22"/>
          <w:szCs w:val="22"/>
        </w:rPr>
      </w:pPr>
    </w:p>
    <w:p w14:paraId="697B3FAE" w14:textId="77777777" w:rsidR="00196457" w:rsidRPr="00E75E40" w:rsidRDefault="00077512">
      <w:pPr>
        <w:spacing w:line="360" w:lineRule="auto"/>
        <w:ind w:right="-93"/>
        <w:jc w:val="both"/>
        <w:rPr>
          <w:rFonts w:ascii="Palatino Linotype" w:eastAsia="Palatino Linotype" w:hAnsi="Palatino Linotype" w:cs="Palatino Linotype"/>
          <w:sz w:val="22"/>
          <w:szCs w:val="22"/>
        </w:rPr>
      </w:pPr>
      <w:r w:rsidRPr="004222C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VENTIDÓS DE ENERO DE DOS MIL VEINTICINCO, ANTE EL SECRETARIO TÉCNICO DEL PLENO ALEXIS TAPIA RAMÍREZ.</w:t>
      </w:r>
    </w:p>
    <w:p w14:paraId="3846EC00"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13D88429"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7452C94C" w14:textId="77777777" w:rsidR="00196457" w:rsidRPr="00E75E40" w:rsidRDefault="00196457">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27014F7D"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78533105"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2A8C7904"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6A0B4D04"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4E9685F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7F9F3E8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1B2FD343"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14C8669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6715747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3D22EF59"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0045008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7232E52E"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258F0C40"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7BD5C2BF"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529D0EE0"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6E507A05"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2065F912"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0310E6B5"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3A6F65F3" w14:textId="77777777" w:rsidR="00196457" w:rsidRPr="00E75E40" w:rsidRDefault="00196457">
      <w:pPr>
        <w:spacing w:line="360" w:lineRule="auto"/>
        <w:jc w:val="both"/>
        <w:rPr>
          <w:rFonts w:ascii="Palatino Linotype" w:eastAsia="Palatino Linotype" w:hAnsi="Palatino Linotype" w:cs="Palatino Linotype"/>
          <w:sz w:val="22"/>
          <w:szCs w:val="22"/>
        </w:rPr>
      </w:pPr>
    </w:p>
    <w:p w14:paraId="5EA6FDF5" w14:textId="77777777" w:rsidR="00196457" w:rsidRPr="00E75E40" w:rsidRDefault="00196457">
      <w:pPr>
        <w:spacing w:line="360" w:lineRule="auto"/>
        <w:jc w:val="both"/>
        <w:rPr>
          <w:rFonts w:ascii="Palatino Linotype" w:eastAsia="Palatino Linotype" w:hAnsi="Palatino Linotype" w:cs="Palatino Linotype"/>
          <w:sz w:val="22"/>
          <w:szCs w:val="22"/>
        </w:rPr>
      </w:pPr>
      <w:bookmarkStart w:id="13" w:name="_heading=h.1ksv4uv" w:colFirst="0" w:colLast="0"/>
      <w:bookmarkEnd w:id="13"/>
    </w:p>
    <w:sectPr w:rsidR="00196457" w:rsidRPr="00E75E40">
      <w:headerReference w:type="default" r:id="rId18"/>
      <w:footerReference w:type="default" r:id="rId19"/>
      <w:headerReference w:type="first" r:id="rId20"/>
      <w:footerReference w:type="first" r:id="rId2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C85E" w14:textId="77777777" w:rsidR="000D5F46" w:rsidRDefault="000D5F46">
      <w:r>
        <w:separator/>
      </w:r>
    </w:p>
  </w:endnote>
  <w:endnote w:type="continuationSeparator" w:id="0">
    <w:p w14:paraId="23F8FE54" w14:textId="77777777" w:rsidR="000D5F46" w:rsidRDefault="000D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7454" w14:textId="77777777" w:rsidR="00196457" w:rsidRDefault="00077512">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222CF">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222CF">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43F37D0D" w14:textId="77777777" w:rsidR="00196457" w:rsidRDefault="00196457">
    <w:pP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6C3E" w14:textId="77777777" w:rsidR="00196457" w:rsidRDefault="00077512">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222C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222CF">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519D4084" w14:textId="77777777" w:rsidR="00196457" w:rsidRDefault="00196457">
    <w:pP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2747" w14:textId="77777777" w:rsidR="000D5F46" w:rsidRDefault="000D5F46">
      <w:r>
        <w:separator/>
      </w:r>
    </w:p>
  </w:footnote>
  <w:footnote w:type="continuationSeparator" w:id="0">
    <w:p w14:paraId="7E446B2E" w14:textId="77777777" w:rsidR="000D5F46" w:rsidRDefault="000D5F46">
      <w:r>
        <w:continuationSeparator/>
      </w:r>
    </w:p>
  </w:footnote>
  <w:footnote w:id="1">
    <w:p w14:paraId="130FB3B8" w14:textId="77777777" w:rsidR="00196457" w:rsidRDefault="00077512">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5C6E56D5" w14:textId="77777777" w:rsidR="00196457" w:rsidRDefault="00077512">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1006240A" w14:textId="77777777" w:rsidR="00196457" w:rsidRDefault="0007751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6A1545F" w14:textId="77777777" w:rsidR="00196457" w:rsidRDefault="0007751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4">
    <w:p w14:paraId="062E97F5" w14:textId="77777777" w:rsidR="00196457" w:rsidRDefault="00077512">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Tesis XX.308 K, </w:t>
      </w:r>
      <w:r>
        <w:rPr>
          <w:rFonts w:ascii="Cambria" w:eastAsia="Cambria" w:hAnsi="Cambria" w:cs="Cambria"/>
          <w:i/>
          <w:color w:val="000000"/>
          <w:sz w:val="20"/>
          <w:szCs w:val="20"/>
        </w:rPr>
        <w:t>Semanario Judicial de la Federación</w:t>
      </w:r>
      <w:r>
        <w:rPr>
          <w:rFonts w:ascii="Cambria" w:eastAsia="Cambria" w:hAnsi="Cambria" w:cs="Cambria"/>
          <w:color w:val="000000"/>
          <w:sz w:val="20"/>
          <w:szCs w:val="20"/>
        </w:rPr>
        <w:t>, Octava Época, tomo XV-1, febrero de 1995, pág.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9412" w14:textId="77777777" w:rsidR="00196457" w:rsidRDefault="00077512">
    <w:pPr>
      <w:rPr>
        <w:rFonts w:ascii="Cambria" w:eastAsia="Cambria" w:hAnsi="Cambria" w:cs="Cambria"/>
        <w:color w:val="000000"/>
      </w:rPr>
    </w:pPr>
    <w:r>
      <w:rPr>
        <w:noProof/>
      </w:rPr>
      <w:drawing>
        <wp:anchor distT="0" distB="0" distL="0" distR="0" simplePos="0" relativeHeight="251659264" behindDoc="1" locked="0" layoutInCell="1" allowOverlap="1" wp14:anchorId="307E9F3E" wp14:editId="04AFD9CE">
          <wp:simplePos x="0" y="0"/>
          <wp:positionH relativeFrom="column">
            <wp:posOffset>-1079500</wp:posOffset>
          </wp:positionH>
          <wp:positionV relativeFrom="paragraph">
            <wp:posOffset>-487680</wp:posOffset>
          </wp:positionV>
          <wp:extent cx="7809865" cy="10165715"/>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32" name="image10.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57"/>
      <w:tblW w:w="7087" w:type="dxa"/>
      <w:tblInd w:w="3261" w:type="dxa"/>
      <w:tblLayout w:type="fixed"/>
      <w:tblLook w:val="04A0" w:firstRow="1" w:lastRow="0" w:firstColumn="1" w:lastColumn="0" w:noHBand="0" w:noVBand="1"/>
    </w:tblPr>
    <w:tblGrid>
      <w:gridCol w:w="2489"/>
      <w:gridCol w:w="4598"/>
    </w:tblGrid>
    <w:tr w:rsidR="00196457" w14:paraId="06A80AB5" w14:textId="77777777">
      <w:tc>
        <w:tcPr>
          <w:tcW w:w="2489" w:type="dxa"/>
          <w:shd w:val="clear" w:color="auto" w:fill="auto"/>
        </w:tcPr>
        <w:p w14:paraId="57FD4BCE"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B5212CD" w14:textId="77777777" w:rsidR="00196457" w:rsidRDefault="0007751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07624/INFOEM/IP/RR/2024</w:t>
          </w:r>
        </w:p>
      </w:tc>
    </w:tr>
    <w:tr w:rsidR="00196457" w14:paraId="5C76A9A9" w14:textId="77777777">
      <w:trPr>
        <w:trHeight w:val="228"/>
      </w:trPr>
      <w:tc>
        <w:tcPr>
          <w:tcW w:w="2489" w:type="dxa"/>
          <w:shd w:val="clear" w:color="auto" w:fill="auto"/>
          <w:vAlign w:val="center"/>
        </w:tcPr>
        <w:p w14:paraId="77AF791F"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1C6A362" w14:textId="77777777" w:rsidR="00196457" w:rsidRDefault="0007751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Sistema Municipal Para el Desarrollo Integral de la Familia de Toluca</w:t>
          </w:r>
        </w:p>
      </w:tc>
    </w:tr>
    <w:tr w:rsidR="00196457" w14:paraId="695B082A" w14:textId="77777777">
      <w:tc>
        <w:tcPr>
          <w:tcW w:w="2489" w:type="dxa"/>
          <w:shd w:val="clear" w:color="auto" w:fill="auto"/>
          <w:vAlign w:val="center"/>
        </w:tcPr>
        <w:p w14:paraId="4F57A809" w14:textId="77777777" w:rsidR="00196457" w:rsidRDefault="0007751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0D653D5" w14:textId="77777777" w:rsidR="00196457" w:rsidRDefault="0007751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5521C6" w14:textId="77777777" w:rsidR="00196457" w:rsidRDefault="0007751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9355" w14:textId="77777777" w:rsidR="00196457" w:rsidRDefault="00077512">
    <w:pPr>
      <w:widowControl w:val="0"/>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60288" behindDoc="1" locked="0" layoutInCell="1" allowOverlap="1" wp14:anchorId="694363DD" wp14:editId="595AFFAF">
          <wp:simplePos x="0" y="0"/>
          <wp:positionH relativeFrom="column">
            <wp:posOffset>-1078865</wp:posOffset>
          </wp:positionH>
          <wp:positionV relativeFrom="paragraph">
            <wp:posOffset>-328295</wp:posOffset>
          </wp:positionV>
          <wp:extent cx="7809865" cy="10165715"/>
          <wp:effectExtent l="0" t="0" r="0" b="0"/>
          <wp:wrapNone/>
          <wp:docPr id="37" name="image10.png"/>
          <wp:cNvGraphicFramePr/>
          <a:graphic xmlns:a="http://schemas.openxmlformats.org/drawingml/2006/main">
            <a:graphicData uri="http://schemas.openxmlformats.org/drawingml/2006/picture">
              <pic:pic xmlns:pic="http://schemas.openxmlformats.org/drawingml/2006/picture">
                <pic:nvPicPr>
                  <pic:cNvPr id="37" name="image10.png"/>
                  <pic:cNvPicPr preferRelativeResize="0"/>
                </pic:nvPicPr>
                <pic:blipFill>
                  <a:blip r:embed="rId1"/>
                  <a:srcRect/>
                  <a:stretch>
                    <a:fillRect/>
                  </a:stretch>
                </pic:blipFill>
                <pic:spPr>
                  <a:xfrm>
                    <a:off x="0" y="0"/>
                    <a:ext cx="7809865" cy="10165715"/>
                  </a:xfrm>
                  <a:prstGeom prst="rect">
                    <a:avLst/>
                  </a:prstGeom>
                </pic:spPr>
              </pic:pic>
            </a:graphicData>
          </a:graphic>
        </wp:anchor>
      </w:drawing>
    </w:r>
  </w:p>
  <w:tbl>
    <w:tblPr>
      <w:tblStyle w:val="Style58"/>
      <w:tblW w:w="6945" w:type="dxa"/>
      <w:tblInd w:w="3261" w:type="dxa"/>
      <w:tblLayout w:type="fixed"/>
      <w:tblLook w:val="04A0" w:firstRow="1" w:lastRow="0" w:firstColumn="1" w:lastColumn="0" w:noHBand="0" w:noVBand="1"/>
    </w:tblPr>
    <w:tblGrid>
      <w:gridCol w:w="2551"/>
      <w:gridCol w:w="4394"/>
    </w:tblGrid>
    <w:tr w:rsidR="00196457" w14:paraId="7FFAAD46" w14:textId="77777777">
      <w:tc>
        <w:tcPr>
          <w:tcW w:w="2551" w:type="dxa"/>
          <w:shd w:val="clear" w:color="auto" w:fill="auto"/>
          <w:vAlign w:val="center"/>
        </w:tcPr>
        <w:p w14:paraId="7F21CA77"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4E6125F9" w14:textId="77777777" w:rsidR="00196457" w:rsidRDefault="0007751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07624/INFOEM/IP/RR/2024</w:t>
          </w:r>
        </w:p>
      </w:tc>
    </w:tr>
    <w:tr w:rsidR="00196457" w14:paraId="469A947D" w14:textId="77777777">
      <w:trPr>
        <w:trHeight w:val="130"/>
      </w:trPr>
      <w:tc>
        <w:tcPr>
          <w:tcW w:w="2551" w:type="dxa"/>
          <w:shd w:val="clear" w:color="auto" w:fill="auto"/>
          <w:vAlign w:val="center"/>
        </w:tcPr>
        <w:p w14:paraId="4ED6653E"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1F6DD75" w14:textId="77777777" w:rsidR="00196457" w:rsidRDefault="00196457">
          <w:pPr>
            <w:ind w:left="-45" w:right="1444"/>
            <w:jc w:val="both"/>
            <w:rPr>
              <w:rFonts w:ascii="Palatino Linotype" w:eastAsia="Palatino Linotype" w:hAnsi="Palatino Linotype" w:cs="Palatino Linotype"/>
              <w:b/>
              <w:sz w:val="22"/>
              <w:szCs w:val="22"/>
            </w:rPr>
          </w:pPr>
        </w:p>
      </w:tc>
    </w:tr>
    <w:tr w:rsidR="00196457" w14:paraId="78ABC679" w14:textId="77777777">
      <w:trPr>
        <w:trHeight w:val="228"/>
      </w:trPr>
      <w:tc>
        <w:tcPr>
          <w:tcW w:w="2551" w:type="dxa"/>
          <w:shd w:val="clear" w:color="auto" w:fill="auto"/>
          <w:vAlign w:val="center"/>
        </w:tcPr>
        <w:p w14:paraId="333F6816"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2288E451" w14:textId="77777777" w:rsidR="00196457" w:rsidRDefault="00077512">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Sistema Municipal Para el Desarrollo Integral de la Familia de Toluca</w:t>
          </w:r>
        </w:p>
      </w:tc>
    </w:tr>
    <w:tr w:rsidR="00196457" w14:paraId="3D2A148C" w14:textId="77777777">
      <w:tc>
        <w:tcPr>
          <w:tcW w:w="2551" w:type="dxa"/>
          <w:shd w:val="clear" w:color="auto" w:fill="auto"/>
          <w:vAlign w:val="center"/>
        </w:tcPr>
        <w:p w14:paraId="70EA01FF" w14:textId="77777777" w:rsidR="00196457" w:rsidRDefault="0007751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5C5B7F28" w14:textId="77777777" w:rsidR="00196457" w:rsidRDefault="0007751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26311BC" w14:textId="77777777" w:rsidR="00196457" w:rsidRDefault="00196457">
    <w:pPr>
      <w:tabs>
        <w:tab w:val="center" w:pos="4252"/>
        <w:tab w:val="right" w:pos="8504"/>
      </w:tabs>
      <w:rPr>
        <w:rFonts w:ascii="Cambria" w:eastAsia="Cambria" w:hAnsi="Cambria" w:cs="Cambria"/>
        <w:color w:val="000000"/>
      </w:rPr>
    </w:pPr>
  </w:p>
  <w:p w14:paraId="7DAC08B9" w14:textId="77777777" w:rsidR="00196457" w:rsidRDefault="001964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77"/>
    <w:multiLevelType w:val="multilevel"/>
    <w:tmpl w:val="01024C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183FBD"/>
    <w:multiLevelType w:val="multilevel"/>
    <w:tmpl w:val="13183FBD"/>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B4ABC"/>
    <w:multiLevelType w:val="multilevel"/>
    <w:tmpl w:val="1B8B4AB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074165C"/>
    <w:multiLevelType w:val="multilevel"/>
    <w:tmpl w:val="3074165C"/>
    <w:lvl w:ilvl="0">
      <w:start w:val="144"/>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096BD1"/>
    <w:multiLevelType w:val="multilevel"/>
    <w:tmpl w:val="34096BD1"/>
    <w:lvl w:ilvl="0">
      <w:start w:val="7"/>
      <w:numFmt w:val="bullet"/>
      <w:lvlText w:val=""/>
      <w:lvlJc w:val="left"/>
      <w:pPr>
        <w:ind w:left="720" w:hanging="360"/>
      </w:pPr>
      <w:rPr>
        <w:rFonts w:ascii="Symbol" w:eastAsia="Palatino Linotype" w:hAnsi="Symbol" w:cs="Palatino Linotype"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50840"/>
    <w:multiLevelType w:val="multilevel"/>
    <w:tmpl w:val="34350840"/>
    <w:lvl w:ilvl="0">
      <w:start w:val="1"/>
      <w:numFmt w:val="decimal"/>
      <w:pStyle w:val="Listaconvietas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30B451D"/>
    <w:multiLevelType w:val="multilevel"/>
    <w:tmpl w:val="430B451D"/>
    <w:lvl w:ilvl="0">
      <w:start w:val="3"/>
      <w:numFmt w:val="bullet"/>
      <w:lvlText w:val="-"/>
      <w:lvlJc w:val="left"/>
      <w:pPr>
        <w:ind w:left="720" w:hanging="360"/>
      </w:pPr>
      <w:rPr>
        <w:rFonts w:ascii="Palatino Linotype" w:eastAsia="Palatino Linotype" w:hAnsi="Palatino Linotype" w:cs="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AB4351"/>
    <w:multiLevelType w:val="multilevel"/>
    <w:tmpl w:val="51AB43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575874"/>
    <w:multiLevelType w:val="multilevel"/>
    <w:tmpl w:val="79575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09"/>
    <w:rsid w:val="00013CCB"/>
    <w:rsid w:val="00032DBE"/>
    <w:rsid w:val="00033B95"/>
    <w:rsid w:val="000410F4"/>
    <w:rsid w:val="00044884"/>
    <w:rsid w:val="00061EC8"/>
    <w:rsid w:val="00077512"/>
    <w:rsid w:val="000A79A0"/>
    <w:rsid w:val="000D0AB6"/>
    <w:rsid w:val="000D5F46"/>
    <w:rsid w:val="00132F51"/>
    <w:rsid w:val="00165253"/>
    <w:rsid w:val="00182E89"/>
    <w:rsid w:val="001932FD"/>
    <w:rsid w:val="00196457"/>
    <w:rsid w:val="001A7769"/>
    <w:rsid w:val="001C4E2F"/>
    <w:rsid w:val="001C5A98"/>
    <w:rsid w:val="001E031F"/>
    <w:rsid w:val="00220344"/>
    <w:rsid w:val="002317AF"/>
    <w:rsid w:val="002B7D06"/>
    <w:rsid w:val="002F268B"/>
    <w:rsid w:val="003643AE"/>
    <w:rsid w:val="003F3223"/>
    <w:rsid w:val="003F6F16"/>
    <w:rsid w:val="004158AB"/>
    <w:rsid w:val="004222CF"/>
    <w:rsid w:val="004222D6"/>
    <w:rsid w:val="00431A17"/>
    <w:rsid w:val="00470F77"/>
    <w:rsid w:val="0047489B"/>
    <w:rsid w:val="0048206D"/>
    <w:rsid w:val="004A282D"/>
    <w:rsid w:val="004A35E8"/>
    <w:rsid w:val="004B1455"/>
    <w:rsid w:val="005029B2"/>
    <w:rsid w:val="00515A09"/>
    <w:rsid w:val="00526D15"/>
    <w:rsid w:val="0052720F"/>
    <w:rsid w:val="00533F02"/>
    <w:rsid w:val="00557E97"/>
    <w:rsid w:val="00560C3A"/>
    <w:rsid w:val="00565311"/>
    <w:rsid w:val="005750C9"/>
    <w:rsid w:val="005905FE"/>
    <w:rsid w:val="00597DD1"/>
    <w:rsid w:val="005A4852"/>
    <w:rsid w:val="005B54C7"/>
    <w:rsid w:val="005E1098"/>
    <w:rsid w:val="005E592A"/>
    <w:rsid w:val="00626B3E"/>
    <w:rsid w:val="006319A8"/>
    <w:rsid w:val="006350E6"/>
    <w:rsid w:val="00646AEE"/>
    <w:rsid w:val="00646BEE"/>
    <w:rsid w:val="00662824"/>
    <w:rsid w:val="006721E5"/>
    <w:rsid w:val="0067736D"/>
    <w:rsid w:val="00691410"/>
    <w:rsid w:val="00704227"/>
    <w:rsid w:val="00721DDA"/>
    <w:rsid w:val="00724E7F"/>
    <w:rsid w:val="00770FAE"/>
    <w:rsid w:val="007A53D3"/>
    <w:rsid w:val="007B70A3"/>
    <w:rsid w:val="007E5AC9"/>
    <w:rsid w:val="0083557C"/>
    <w:rsid w:val="00840AE3"/>
    <w:rsid w:val="00844CDD"/>
    <w:rsid w:val="008564E8"/>
    <w:rsid w:val="00877252"/>
    <w:rsid w:val="008E7F80"/>
    <w:rsid w:val="009018EB"/>
    <w:rsid w:val="0091131E"/>
    <w:rsid w:val="00927940"/>
    <w:rsid w:val="00927F1D"/>
    <w:rsid w:val="009513C9"/>
    <w:rsid w:val="0096244B"/>
    <w:rsid w:val="00962DAE"/>
    <w:rsid w:val="00963DF0"/>
    <w:rsid w:val="00965A6B"/>
    <w:rsid w:val="009A6662"/>
    <w:rsid w:val="009B5F52"/>
    <w:rsid w:val="009E19E3"/>
    <w:rsid w:val="00A02C21"/>
    <w:rsid w:val="00A31AED"/>
    <w:rsid w:val="00A61D36"/>
    <w:rsid w:val="00A8139F"/>
    <w:rsid w:val="00AC53C9"/>
    <w:rsid w:val="00BB77EC"/>
    <w:rsid w:val="00BC0643"/>
    <w:rsid w:val="00BC59B5"/>
    <w:rsid w:val="00BE4E7C"/>
    <w:rsid w:val="00BF4594"/>
    <w:rsid w:val="00BF47D9"/>
    <w:rsid w:val="00C02B6A"/>
    <w:rsid w:val="00C13630"/>
    <w:rsid w:val="00C23AF1"/>
    <w:rsid w:val="00C35771"/>
    <w:rsid w:val="00C94EA3"/>
    <w:rsid w:val="00CD4B73"/>
    <w:rsid w:val="00D02C76"/>
    <w:rsid w:val="00D22DCE"/>
    <w:rsid w:val="00D240C7"/>
    <w:rsid w:val="00D30124"/>
    <w:rsid w:val="00D31B53"/>
    <w:rsid w:val="00D61308"/>
    <w:rsid w:val="00D829DC"/>
    <w:rsid w:val="00DB55EA"/>
    <w:rsid w:val="00DC1A2C"/>
    <w:rsid w:val="00DD7F1D"/>
    <w:rsid w:val="00DE1E6E"/>
    <w:rsid w:val="00E12B26"/>
    <w:rsid w:val="00E607C8"/>
    <w:rsid w:val="00E71CA0"/>
    <w:rsid w:val="00E722FB"/>
    <w:rsid w:val="00E75E40"/>
    <w:rsid w:val="00EA776D"/>
    <w:rsid w:val="00EB7527"/>
    <w:rsid w:val="00EC2F74"/>
    <w:rsid w:val="00ED703B"/>
    <w:rsid w:val="00EE788B"/>
    <w:rsid w:val="00EF1ACD"/>
    <w:rsid w:val="00EF213D"/>
    <w:rsid w:val="00EF5798"/>
    <w:rsid w:val="00EF64B9"/>
    <w:rsid w:val="00F263E8"/>
    <w:rsid w:val="00F862C4"/>
    <w:rsid w:val="00F90FBF"/>
    <w:rsid w:val="00FA6D82"/>
    <w:rsid w:val="00FE1975"/>
    <w:rsid w:val="00FE7B29"/>
    <w:rsid w:val="0AA62D65"/>
    <w:rsid w:val="60D706D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88DE"/>
  <w15:docId w15:val="{F47C4322-95D0-4BA2-B77F-274C138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000FF" w:themeColor="hyperlink"/>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Textonotapie">
    <w:name w:val="footnote text"/>
    <w:basedOn w:val="Normal"/>
    <w:link w:val="TextonotapieCar"/>
    <w:uiPriority w:val="99"/>
    <w:unhideWhenUsed/>
    <w:qFormat/>
    <w:rPr>
      <w:sz w:val="20"/>
      <w:szCs w:val="20"/>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pPr>
    <w:rPr>
      <w:lang w:val="es-ES"/>
    </w:rPr>
  </w:style>
  <w:style w:type="paragraph" w:styleId="Listaconvietas3">
    <w:name w:val="List Bullet 3"/>
    <w:basedOn w:val="Normal"/>
    <w:uiPriority w:val="99"/>
    <w:unhideWhenUsed/>
    <w:qFormat/>
    <w:pPr>
      <w:numPr>
        <w:numId w:val="1"/>
      </w:numPr>
      <w:contextualSpacing/>
    </w:pPr>
  </w:style>
  <w:style w:type="paragraph" w:styleId="Listaconvietas2">
    <w:name w:val="List Bullet 2"/>
    <w:basedOn w:val="Normal"/>
    <w:uiPriority w:val="99"/>
    <w:unhideWhenUsed/>
    <w:qFormat/>
    <w:pPr>
      <w:tabs>
        <w:tab w:val="left" w:pos="720"/>
      </w:tabs>
      <w:ind w:left="720" w:hanging="720"/>
      <w:contextualSpacing/>
    </w:pPr>
  </w:style>
  <w:style w:type="paragraph" w:styleId="NormalWeb">
    <w:name w:val="Normal (Web)"/>
    <w:basedOn w:val="Normal"/>
    <w:uiPriority w:val="99"/>
    <w:unhideWhenUsed/>
    <w:qFormat/>
    <w:pPr>
      <w:spacing w:before="100" w:beforeAutospacing="1" w:after="100" w:afterAutospacing="1"/>
    </w:pPr>
    <w:rPr>
      <w:lang w:val="es-ES"/>
    </w:rPr>
  </w:style>
  <w:style w:type="paragraph" w:styleId="Piedepgina">
    <w:name w:val="footer"/>
    <w:basedOn w:val="Normal"/>
    <w:link w:val="PiedepginaCar"/>
    <w:uiPriority w:val="99"/>
    <w:unhideWhenUsed/>
    <w:qFormat/>
    <w:pPr>
      <w:tabs>
        <w:tab w:val="center" w:pos="4419"/>
        <w:tab w:val="right" w:pos="8838"/>
      </w:tabs>
    </w:pPr>
    <w:rPr>
      <w:lang w:val="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lang w:val="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4">
    <w:name w:val="Table Normal4"/>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16">
    <w:name w:val="16"/>
    <w:basedOn w:val="TableNormal1"/>
    <w:qFormat/>
    <w:tblPr>
      <w:tblCellMar>
        <w:left w:w="115" w:type="dxa"/>
        <w:right w:w="115" w:type="dxa"/>
      </w:tblCellMar>
    </w:tblPr>
  </w:style>
  <w:style w:type="table" w:customStyle="1" w:styleId="15">
    <w:name w:val="15"/>
    <w:basedOn w:val="TableNormal1"/>
    <w:qFormat/>
    <w:tblPr>
      <w:tblCellMar>
        <w:left w:w="115" w:type="dxa"/>
        <w:right w:w="115" w:type="dxa"/>
      </w:tblCellMar>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link w:val="PrrafodelistaCar"/>
    <w:uiPriority w:val="72"/>
    <w:qFormat/>
    <w:pPr>
      <w:ind w:left="720"/>
      <w:contextualSpacing/>
    </w:pPr>
    <w:rPr>
      <w:lang w:val="es-ES"/>
    </w:rPr>
  </w:style>
  <w:style w:type="table" w:customStyle="1" w:styleId="14">
    <w:name w:val="14"/>
    <w:basedOn w:val="TableNormal1"/>
    <w:qFormat/>
    <w:tblPr>
      <w:tblCellMar>
        <w:left w:w="115" w:type="dxa"/>
        <w:right w:w="115" w:type="dxa"/>
      </w:tblCellMar>
    </w:tblPr>
  </w:style>
  <w:style w:type="table" w:customStyle="1" w:styleId="13">
    <w:name w:val="13"/>
    <w:basedOn w:val="TableNormal1"/>
    <w:qFormat/>
    <w:tblPr>
      <w:tblCellMar>
        <w:left w:w="115" w:type="dxa"/>
        <w:right w:w="115" w:type="dxa"/>
      </w:tblCellMar>
    </w:tblPr>
  </w:style>
  <w:style w:type="character" w:customStyle="1" w:styleId="apple-tab-span">
    <w:name w:val="apple-tab-span"/>
    <w:basedOn w:val="Fuentedeprrafopredeter"/>
    <w:qFormat/>
  </w:style>
  <w:style w:type="table" w:customStyle="1" w:styleId="12">
    <w:name w:val="12"/>
    <w:basedOn w:val="TableNormal2"/>
    <w:qFormat/>
    <w:tblPr>
      <w:tblCellMar>
        <w:left w:w="115" w:type="dxa"/>
        <w:right w:w="115" w:type="dxa"/>
      </w:tblCellMar>
    </w:tblPr>
  </w:style>
  <w:style w:type="table" w:customStyle="1" w:styleId="11">
    <w:name w:val="11"/>
    <w:basedOn w:val="TableNormal2"/>
    <w:qFormat/>
    <w:tblPr>
      <w:tblCellMar>
        <w:left w:w="115" w:type="dxa"/>
        <w:right w:w="115" w:type="dxa"/>
      </w:tblCellMar>
    </w:tblPr>
  </w:style>
  <w:style w:type="character" w:customStyle="1" w:styleId="TextonotapieCar">
    <w:name w:val="Texto nota pie Car"/>
    <w:basedOn w:val="Fuentedeprrafopredeter"/>
    <w:link w:val="Textonotapie"/>
    <w:uiPriority w:val="99"/>
    <w:qFormat/>
    <w:rPr>
      <w:sz w:val="20"/>
      <w:szCs w:val="20"/>
    </w:rPr>
  </w:style>
  <w:style w:type="table" w:customStyle="1" w:styleId="10">
    <w:name w:val="10"/>
    <w:basedOn w:val="TableNormal3"/>
    <w:qFormat/>
    <w:tblPr>
      <w:tblCellMar>
        <w:left w:w="115" w:type="dxa"/>
        <w:right w:w="115" w:type="dxa"/>
      </w:tblCellMar>
    </w:tblPr>
  </w:style>
  <w:style w:type="table" w:customStyle="1" w:styleId="9">
    <w:name w:val="9"/>
    <w:basedOn w:val="TableNormal3"/>
    <w:qFormat/>
    <w:tblPr>
      <w:tblCellMar>
        <w:left w:w="115" w:type="dxa"/>
        <w:right w:w="115" w:type="dxa"/>
      </w:tblCellMar>
    </w:tblPr>
  </w:style>
  <w:style w:type="character" w:customStyle="1" w:styleId="PrrafodelistaCar">
    <w:name w:val="Párrafo de lista Car"/>
    <w:link w:val="Prrafodelista"/>
    <w:uiPriority w:val="72"/>
    <w:qFormat/>
    <w:locked/>
    <w:rPr>
      <w:lang w:val="es-ES"/>
    </w:rPr>
  </w:style>
  <w:style w:type="table" w:customStyle="1" w:styleId="8">
    <w:name w:val="8"/>
    <w:basedOn w:val="TableNormal4"/>
    <w:qFormat/>
    <w:tblPr>
      <w:tblCellMar>
        <w:left w:w="115" w:type="dxa"/>
        <w:right w:w="115" w:type="dxa"/>
      </w:tblCellMar>
    </w:tblPr>
  </w:style>
  <w:style w:type="table" w:customStyle="1" w:styleId="7">
    <w:name w:val="7"/>
    <w:basedOn w:val="TableNormal4"/>
    <w:qFormat/>
    <w:tblPr>
      <w:tblCellMar>
        <w:left w:w="115" w:type="dxa"/>
        <w:right w:w="115" w:type="dxa"/>
      </w:tblCellMar>
    </w:tblPr>
  </w:style>
  <w:style w:type="table" w:customStyle="1" w:styleId="6">
    <w:name w:val="6"/>
    <w:basedOn w:val="TableNormal5"/>
    <w:qFormat/>
    <w:tblPr>
      <w:tblCellMar>
        <w:left w:w="115" w:type="dxa"/>
        <w:right w:w="115" w:type="dxa"/>
      </w:tblCellMar>
    </w:tblPr>
  </w:style>
  <w:style w:type="table" w:customStyle="1" w:styleId="5">
    <w:name w:val="5"/>
    <w:basedOn w:val="TableNormal5"/>
    <w:qFormat/>
    <w:tblPr>
      <w:tblCellMar>
        <w:left w:w="115" w:type="dxa"/>
        <w:right w:w="115" w:type="dxa"/>
      </w:tblCellMar>
    </w:tblPr>
  </w:style>
  <w:style w:type="table" w:customStyle="1" w:styleId="4">
    <w:name w:val="4"/>
    <w:basedOn w:val="TableNormal6"/>
    <w:qFormat/>
    <w:tblPr>
      <w:tblCellMar>
        <w:left w:w="115" w:type="dxa"/>
        <w:right w:w="115" w:type="dxa"/>
      </w:tblCellMar>
    </w:tblPr>
  </w:style>
  <w:style w:type="table" w:customStyle="1" w:styleId="3">
    <w:name w:val="3"/>
    <w:basedOn w:val="TableNormal6"/>
    <w:qFormat/>
    <w:tblPr>
      <w:tblCellMar>
        <w:left w:w="115" w:type="dxa"/>
        <w:right w:w="115" w:type="dxa"/>
      </w:tblCellMar>
    </w:tblPr>
  </w:style>
  <w:style w:type="table" w:customStyle="1" w:styleId="2">
    <w:name w:val="2"/>
    <w:basedOn w:val="TableNormal7"/>
    <w:qFormat/>
    <w:tblPr>
      <w:tblCellMar>
        <w:left w:w="115" w:type="dxa"/>
        <w:right w:w="115" w:type="dxa"/>
      </w:tblCellMar>
    </w:tblPr>
  </w:style>
  <w:style w:type="table" w:customStyle="1" w:styleId="1">
    <w:name w:val="1"/>
    <w:basedOn w:val="TableNormal7"/>
    <w:qFormat/>
    <w:tblPr>
      <w:tblCellMar>
        <w:left w:w="115" w:type="dxa"/>
        <w:right w:w="115" w:type="dxa"/>
      </w:tblCellMar>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table" w:customStyle="1" w:styleId="18">
    <w:name w:val="18"/>
    <w:basedOn w:val="TableNormal8"/>
    <w:qFormat/>
    <w:tblPr>
      <w:tblCellMar>
        <w:left w:w="115" w:type="dxa"/>
        <w:right w:w="115" w:type="dxa"/>
      </w:tblCellMar>
    </w:tblPr>
  </w:style>
  <w:style w:type="table" w:customStyle="1" w:styleId="17">
    <w:name w:val="17"/>
    <w:basedOn w:val="TableNormal8"/>
    <w:qFormat/>
    <w:tblPr>
      <w:tblCellMar>
        <w:left w:w="115" w:type="dxa"/>
        <w:right w:w="115" w:type="dxa"/>
      </w:tblCellMar>
    </w:tblPr>
  </w:style>
  <w:style w:type="table" w:customStyle="1" w:styleId="Style57">
    <w:name w:val="_Style 57"/>
    <w:basedOn w:val="TableNormal"/>
    <w:qFormat/>
    <w:tblPr>
      <w:tblCellMar>
        <w:left w:w="115" w:type="dxa"/>
        <w:right w:w="115" w:type="dxa"/>
      </w:tblCellMar>
    </w:tblPr>
  </w:style>
  <w:style w:type="table" w:customStyle="1" w:styleId="Style58">
    <w:name w:val="_Style 58"/>
    <w:basedOn w:val="TableNormal"/>
    <w:qFormat/>
    <w:tblPr>
      <w:tblCellMar>
        <w:left w:w="115" w:type="dxa"/>
        <w:right w:w="115" w:type="dxa"/>
      </w:tblCellMar>
    </w:tblPr>
  </w:style>
  <w:style w:type="paragraph" w:customStyle="1" w:styleId="Citas">
    <w:name w:val="Citas"/>
    <w:basedOn w:val="Normal"/>
    <w:qFormat/>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m5KoMoYz2jTCCIHWEekWTbZOIw==">CgMxLjAyCWguMWZvYjl0ZTIJaC40ZDM0b2c4MghoLmdqZGd4czIJaC4zZHk2dmttMgloLjMwajB6bGwyCWguMnM4ZXlvMTIIaC50eWpjd3QyCWguM3pueXNoNzIJaC4xeTgxMHR3Mg5oLmlqdjk4cG50Y2Q1czIJaC4yNmluMXJnMgloLjNyZGNyam4yCWguMmV0OTJwMDIJaC4xdDNoNXNmMgloLjFrc3Y0dXY4AHIhMTlpNUhHMG15Wk1acjd3a29MckNQcG1pLVh4cFJISz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13375</Words>
  <Characters>73563</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2025-01-24T20:54:00Z</cp:lastPrinted>
  <dcterms:created xsi:type="dcterms:W3CDTF">2025-02-05T23:25:00Z</dcterms:created>
  <dcterms:modified xsi:type="dcterms:W3CDTF">2025-02-05T23:25:00Z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851CCAA264DD4826917D1731DF01D9BE_12</vt:lpwstr>
  </property>
</Properties>
</file>