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685" w:rsidRPr="00613100" w:rsidRDefault="004F306B" w:rsidP="00006B67">
      <w:pPr>
        <w:tabs>
          <w:tab w:val="left" w:pos="0"/>
        </w:tabs>
        <w:spacing w:line="360" w:lineRule="auto"/>
        <w:jc w:val="both"/>
        <w:rPr>
          <w:rFonts w:ascii="Palatino Linotype" w:eastAsia="Palatino Linotype" w:hAnsi="Palatino Linotype" w:cs="Palatino Linotype"/>
          <w:b/>
          <w:color w:val="000000" w:themeColor="text1"/>
        </w:rPr>
      </w:pPr>
      <w:bookmarkStart w:id="0" w:name="_heading=h.sre9h05q4v0b" w:colFirst="0" w:colLast="0"/>
      <w:bookmarkStart w:id="1" w:name="_GoBack"/>
      <w:bookmarkEnd w:id="0"/>
      <w:bookmarkEnd w:id="1"/>
      <w:r w:rsidRPr="00613100">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613100">
        <w:rPr>
          <w:rFonts w:ascii="Palatino Linotype" w:eastAsia="Palatino Linotype" w:hAnsi="Palatino Linotype" w:cs="Palatino Linotype"/>
          <w:b/>
          <w:color w:val="000000" w:themeColor="text1"/>
        </w:rPr>
        <w:t xml:space="preserve">de fecha </w:t>
      </w:r>
      <w:r w:rsidR="0044687A" w:rsidRPr="00613100">
        <w:rPr>
          <w:rFonts w:ascii="Palatino Linotype" w:eastAsia="Palatino Linotype" w:hAnsi="Palatino Linotype" w:cs="Palatino Linotype"/>
          <w:b/>
          <w:color w:val="000000" w:themeColor="text1"/>
        </w:rPr>
        <w:t>diez</w:t>
      </w:r>
      <w:r w:rsidR="00F6341A">
        <w:rPr>
          <w:rFonts w:ascii="Palatino Linotype" w:eastAsia="Palatino Linotype" w:hAnsi="Palatino Linotype" w:cs="Palatino Linotype"/>
          <w:b/>
          <w:color w:val="000000" w:themeColor="text1"/>
        </w:rPr>
        <w:t xml:space="preserve"> (10)</w:t>
      </w:r>
      <w:r w:rsidR="0044687A" w:rsidRPr="00613100">
        <w:rPr>
          <w:rFonts w:ascii="Palatino Linotype" w:eastAsia="Palatino Linotype" w:hAnsi="Palatino Linotype" w:cs="Palatino Linotype"/>
          <w:b/>
          <w:color w:val="000000" w:themeColor="text1"/>
        </w:rPr>
        <w:t xml:space="preserve"> </w:t>
      </w:r>
      <w:r w:rsidRPr="00613100">
        <w:rPr>
          <w:rFonts w:ascii="Palatino Linotype" w:eastAsia="Palatino Linotype" w:hAnsi="Palatino Linotype" w:cs="Palatino Linotype"/>
          <w:b/>
          <w:color w:val="000000" w:themeColor="text1"/>
        </w:rPr>
        <w:t xml:space="preserve">de </w:t>
      </w:r>
      <w:r w:rsidR="0044687A" w:rsidRPr="00613100">
        <w:rPr>
          <w:rFonts w:ascii="Palatino Linotype" w:eastAsia="Palatino Linotype" w:hAnsi="Palatino Linotype" w:cs="Palatino Linotype"/>
          <w:b/>
          <w:color w:val="000000" w:themeColor="text1"/>
        </w:rPr>
        <w:t xml:space="preserve">septiembre </w:t>
      </w:r>
      <w:r w:rsidRPr="00613100">
        <w:rPr>
          <w:rFonts w:ascii="Palatino Linotype" w:eastAsia="Palatino Linotype" w:hAnsi="Palatino Linotype" w:cs="Palatino Linotype"/>
          <w:b/>
          <w:color w:val="000000" w:themeColor="text1"/>
        </w:rPr>
        <w:t>de dos mil veinticinco.</w:t>
      </w:r>
    </w:p>
    <w:p w:rsidR="00B42685" w:rsidRPr="00613100" w:rsidRDefault="00B42685" w:rsidP="00006B67">
      <w:pPr>
        <w:tabs>
          <w:tab w:val="left" w:pos="567"/>
        </w:tabs>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spacing w:line="360" w:lineRule="auto"/>
        <w:jc w:val="both"/>
        <w:rPr>
          <w:rFonts w:ascii="Palatino Linotype" w:eastAsia="Palatino Linotype" w:hAnsi="Palatino Linotype" w:cs="Palatino Linotype"/>
          <w:color w:val="000000" w:themeColor="text1"/>
        </w:rPr>
      </w:pPr>
      <w:bookmarkStart w:id="2" w:name="_heading=h.gjdgxs" w:colFirst="0" w:colLast="0"/>
      <w:bookmarkEnd w:id="2"/>
      <w:r w:rsidRPr="00613100">
        <w:rPr>
          <w:rFonts w:ascii="Palatino Linotype" w:eastAsia="Palatino Linotype" w:hAnsi="Palatino Linotype" w:cs="Palatino Linotype"/>
          <w:b/>
          <w:color w:val="000000" w:themeColor="text1"/>
        </w:rPr>
        <w:t>VISTO</w:t>
      </w:r>
      <w:r w:rsidRPr="00613100">
        <w:rPr>
          <w:rFonts w:ascii="Palatino Linotype" w:eastAsia="Palatino Linotype" w:hAnsi="Palatino Linotype" w:cs="Palatino Linotype"/>
          <w:color w:val="000000" w:themeColor="text1"/>
        </w:rPr>
        <w:t xml:space="preserve"> el expediente electrónico formado con motivo del recurso de revisión </w:t>
      </w:r>
      <w:r w:rsidRPr="00613100">
        <w:rPr>
          <w:rFonts w:ascii="Palatino Linotype" w:eastAsia="Palatino Linotype" w:hAnsi="Palatino Linotype" w:cs="Palatino Linotype"/>
          <w:b/>
          <w:color w:val="000000" w:themeColor="text1"/>
        </w:rPr>
        <w:t>08828/INFOEM/IP/RR/2025</w:t>
      </w:r>
      <w:r w:rsidRPr="00613100">
        <w:rPr>
          <w:rFonts w:ascii="Palatino Linotype" w:eastAsia="Palatino Linotype" w:hAnsi="Palatino Linotype" w:cs="Palatino Linotype"/>
          <w:color w:val="000000" w:themeColor="text1"/>
        </w:rPr>
        <w:t>,</w:t>
      </w:r>
      <w:r w:rsidRPr="00613100">
        <w:rPr>
          <w:rFonts w:ascii="Palatino Linotype" w:eastAsia="Palatino Linotype" w:hAnsi="Palatino Linotype" w:cs="Palatino Linotype"/>
          <w:b/>
          <w:color w:val="000000" w:themeColor="text1"/>
        </w:rPr>
        <w:t xml:space="preserve"> </w:t>
      </w:r>
      <w:r w:rsidRPr="00613100">
        <w:rPr>
          <w:rFonts w:ascii="Palatino Linotype" w:eastAsia="Palatino Linotype" w:hAnsi="Palatino Linotype" w:cs="Palatino Linotype"/>
          <w:color w:val="000000" w:themeColor="text1"/>
        </w:rPr>
        <w:t xml:space="preserve">promovido por </w:t>
      </w:r>
      <w:r w:rsidR="00953F10">
        <w:rPr>
          <w:rFonts w:ascii="Palatino Linotype" w:eastAsia="Palatino Linotype" w:hAnsi="Palatino Linotype" w:cs="Palatino Linotype"/>
          <w:b/>
          <w:color w:val="000000" w:themeColor="text1"/>
        </w:rPr>
        <w:t>XXXX</w:t>
      </w:r>
      <w:r w:rsidRPr="00613100">
        <w:rPr>
          <w:rFonts w:ascii="Palatino Linotype" w:eastAsia="Palatino Linotype" w:hAnsi="Palatino Linotype" w:cs="Palatino Linotype"/>
          <w:color w:val="000000" w:themeColor="text1"/>
        </w:rPr>
        <w:t>, a quien en lo sucesivo se le identificará como la parte</w:t>
      </w:r>
      <w:r w:rsidRPr="00613100">
        <w:rPr>
          <w:rFonts w:ascii="Palatino Linotype" w:eastAsia="Palatino Linotype" w:hAnsi="Palatino Linotype" w:cs="Palatino Linotype"/>
          <w:b/>
          <w:color w:val="000000" w:themeColor="text1"/>
        </w:rPr>
        <w:t xml:space="preserve"> RECURRENTE</w:t>
      </w:r>
      <w:r w:rsidRPr="00613100">
        <w:rPr>
          <w:rFonts w:ascii="Palatino Linotype" w:eastAsia="Palatino Linotype" w:hAnsi="Palatino Linotype" w:cs="Palatino Linotype"/>
          <w:color w:val="000000" w:themeColor="text1"/>
        </w:rPr>
        <w:t xml:space="preserve">, en contra de la respuesta del </w:t>
      </w:r>
      <w:r w:rsidRPr="00613100">
        <w:rPr>
          <w:rFonts w:ascii="Palatino Linotype" w:eastAsia="Palatino Linotype" w:hAnsi="Palatino Linotype" w:cs="Palatino Linotype"/>
          <w:b/>
          <w:color w:val="000000" w:themeColor="text1"/>
        </w:rPr>
        <w:t xml:space="preserve">Organismo Público Descentralizado para la Prestación de Los Servicios de Agua Potable Alcantarillado y Saneamiento del Municipio de Naucalpan de Juárez, </w:t>
      </w:r>
      <w:r w:rsidRPr="00613100">
        <w:rPr>
          <w:rFonts w:ascii="Palatino Linotype" w:eastAsia="Palatino Linotype" w:hAnsi="Palatino Linotype" w:cs="Palatino Linotype"/>
          <w:color w:val="000000" w:themeColor="text1"/>
        </w:rPr>
        <w:t>en adelante el</w:t>
      </w:r>
      <w:r w:rsidRPr="00613100">
        <w:rPr>
          <w:rFonts w:ascii="Palatino Linotype" w:eastAsia="Palatino Linotype" w:hAnsi="Palatino Linotype" w:cs="Palatino Linotype"/>
          <w:b/>
          <w:color w:val="000000" w:themeColor="text1"/>
        </w:rPr>
        <w:t xml:space="preserve"> SUJETO OBLIGADO</w:t>
      </w:r>
      <w:r w:rsidRPr="00613100">
        <w:rPr>
          <w:rFonts w:ascii="Palatino Linotype" w:eastAsia="Palatino Linotype" w:hAnsi="Palatino Linotype" w:cs="Palatino Linotype"/>
          <w:color w:val="000000" w:themeColor="text1"/>
        </w:rPr>
        <w:t>, se procede a dictar la presente resolución, con base en los siguientes:</w:t>
      </w:r>
    </w:p>
    <w:p w:rsidR="00B42685" w:rsidRDefault="00B42685" w:rsidP="00006B67">
      <w:pPr>
        <w:spacing w:line="360" w:lineRule="auto"/>
        <w:jc w:val="both"/>
        <w:rPr>
          <w:rFonts w:ascii="Palatino Linotype" w:eastAsia="Palatino Linotype" w:hAnsi="Palatino Linotype" w:cs="Palatino Linotype"/>
          <w:color w:val="000000" w:themeColor="text1"/>
        </w:rPr>
      </w:pPr>
    </w:p>
    <w:p w:rsidR="00F6341A" w:rsidRPr="00613100" w:rsidRDefault="00F6341A"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pStyle w:val="Ttulo1"/>
        <w:tabs>
          <w:tab w:val="left" w:pos="567"/>
        </w:tabs>
        <w:spacing w:before="0" w:line="360" w:lineRule="auto"/>
        <w:jc w:val="center"/>
        <w:rPr>
          <w:b w:val="0"/>
          <w:color w:val="000000" w:themeColor="text1"/>
        </w:rPr>
      </w:pPr>
      <w:bookmarkStart w:id="3" w:name="_heading=h.30j0zll" w:colFirst="0" w:colLast="0"/>
      <w:bookmarkEnd w:id="3"/>
      <w:r w:rsidRPr="00613100">
        <w:rPr>
          <w:color w:val="000000" w:themeColor="text1"/>
        </w:rPr>
        <w:t>A N T E C E D E N T E S</w:t>
      </w:r>
    </w:p>
    <w:p w:rsidR="00B42685" w:rsidRPr="00613100" w:rsidRDefault="00B42685" w:rsidP="00006B67">
      <w:pPr>
        <w:pStyle w:val="Ttulo1"/>
        <w:tabs>
          <w:tab w:val="left" w:pos="567"/>
        </w:tabs>
        <w:spacing w:before="0" w:line="360" w:lineRule="auto"/>
        <w:jc w:val="center"/>
        <w:rPr>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El </w:t>
      </w:r>
      <w:r w:rsidRPr="00613100">
        <w:rPr>
          <w:rFonts w:ascii="Palatino Linotype" w:eastAsia="Palatino Linotype" w:hAnsi="Palatino Linotype" w:cs="Palatino Linotype"/>
          <w:b/>
          <w:color w:val="000000" w:themeColor="text1"/>
        </w:rPr>
        <w:t xml:space="preserve">ocho de julio de dos mil veinticinco, </w:t>
      </w:r>
      <w:r w:rsidRPr="00613100">
        <w:rPr>
          <w:rFonts w:ascii="Palatino Linotype" w:eastAsia="Palatino Linotype" w:hAnsi="Palatino Linotype" w:cs="Palatino Linotype"/>
          <w:color w:val="000000" w:themeColor="text1"/>
        </w:rPr>
        <w:t xml:space="preserve">se presentó ante el </w:t>
      </w:r>
      <w:r w:rsidRPr="00613100">
        <w:rPr>
          <w:rFonts w:ascii="Palatino Linotype" w:eastAsia="Palatino Linotype" w:hAnsi="Palatino Linotype" w:cs="Palatino Linotype"/>
          <w:b/>
          <w:color w:val="000000" w:themeColor="text1"/>
        </w:rPr>
        <w:t>SUJETO OBLIGADO</w:t>
      </w:r>
      <w:r w:rsidRPr="00613100">
        <w:rPr>
          <w:rFonts w:ascii="Palatino Linotype" w:eastAsia="Palatino Linotype" w:hAnsi="Palatino Linotype" w:cs="Palatino Linotype"/>
          <w:color w:val="000000" w:themeColor="text1"/>
        </w:rPr>
        <w:t xml:space="preserve"> vía SAIMEX, la solicitud de información pública registrada con el número</w:t>
      </w:r>
      <w:r w:rsidRPr="00613100">
        <w:rPr>
          <w:rFonts w:ascii="Palatino Linotype" w:eastAsia="Palatino Linotype" w:hAnsi="Palatino Linotype" w:cs="Palatino Linotype"/>
          <w:b/>
          <w:color w:val="000000" w:themeColor="text1"/>
        </w:rPr>
        <w:t xml:space="preserve"> 00141/OASNAUCAL/IP/2025; </w:t>
      </w:r>
      <w:r w:rsidR="002816F3">
        <w:rPr>
          <w:rFonts w:ascii="Palatino Linotype" w:eastAsia="Palatino Linotype" w:hAnsi="Palatino Linotype" w:cs="Palatino Linotype"/>
          <w:color w:val="000000" w:themeColor="text1"/>
        </w:rPr>
        <w:t>en la que</w:t>
      </w:r>
      <w:r w:rsidRPr="00613100">
        <w:rPr>
          <w:rFonts w:ascii="Palatino Linotype" w:eastAsia="Palatino Linotype" w:hAnsi="Palatino Linotype" w:cs="Palatino Linotype"/>
          <w:color w:val="000000" w:themeColor="text1"/>
        </w:rPr>
        <w:t xml:space="preserve"> se solicitó la siguiente información:</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B42685" w:rsidRPr="00613100" w:rsidRDefault="004F306B" w:rsidP="00006B67">
      <w:pPr>
        <w:pBdr>
          <w:top w:val="nil"/>
          <w:left w:val="nil"/>
          <w:bottom w:val="nil"/>
          <w:right w:val="nil"/>
          <w:between w:val="nil"/>
        </w:pBd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“solicito copia simple digitalizada a traves del sistema electrónico saimex de la nomina de trabajadores sindicalizados, la de confianza, lista de raya o eventuales, mandos medios y superiores correspondientes a la primera y segunda quincena del mes de junio de 2025.” (Sic)</w:t>
      </w:r>
    </w:p>
    <w:p w:rsidR="00B42685" w:rsidRDefault="00B42685" w:rsidP="00006B67">
      <w:pPr>
        <w:pBdr>
          <w:top w:val="nil"/>
          <w:left w:val="nil"/>
          <w:bottom w:val="nil"/>
          <w:right w:val="nil"/>
          <w:between w:val="nil"/>
        </w:pBdr>
        <w:jc w:val="both"/>
        <w:rPr>
          <w:rFonts w:ascii="Palatino Linotype" w:eastAsia="Palatino Linotype" w:hAnsi="Palatino Linotype" w:cs="Palatino Linotype"/>
          <w:i/>
          <w:color w:val="000000" w:themeColor="text1"/>
        </w:rPr>
      </w:pPr>
    </w:p>
    <w:p w:rsidR="00F6341A" w:rsidRPr="00613100" w:rsidRDefault="00F6341A" w:rsidP="00006B67">
      <w:pPr>
        <w:pBdr>
          <w:top w:val="nil"/>
          <w:left w:val="nil"/>
          <w:bottom w:val="nil"/>
          <w:right w:val="nil"/>
          <w:between w:val="nil"/>
        </w:pBdr>
        <w:jc w:val="both"/>
        <w:rPr>
          <w:rFonts w:ascii="Palatino Linotype" w:eastAsia="Palatino Linotype" w:hAnsi="Palatino Linotype" w:cs="Palatino Linotype"/>
          <w:i/>
          <w:color w:val="000000" w:themeColor="text1"/>
        </w:rPr>
      </w:pPr>
    </w:p>
    <w:p w:rsidR="00B42685" w:rsidRPr="00F6341A" w:rsidRDefault="004F306B" w:rsidP="00006B67">
      <w:pPr>
        <w:numPr>
          <w:ilvl w:val="0"/>
          <w:numId w:val="2"/>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lastRenderedPageBreak/>
        <w:t xml:space="preserve">Se eligió como modalidad de entrega de la información: A través del </w:t>
      </w:r>
      <w:r w:rsidRPr="00613100">
        <w:rPr>
          <w:rFonts w:ascii="Palatino Linotype" w:eastAsia="Palatino Linotype" w:hAnsi="Palatino Linotype" w:cs="Palatino Linotype"/>
          <w:b/>
          <w:color w:val="000000" w:themeColor="text1"/>
        </w:rPr>
        <w:t>SAIMEX.</w:t>
      </w:r>
    </w:p>
    <w:p w:rsidR="00F6341A" w:rsidRPr="00613100" w:rsidRDefault="00F6341A" w:rsidP="00F6341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El </w:t>
      </w:r>
      <w:r w:rsidRPr="00613100">
        <w:rPr>
          <w:rFonts w:ascii="Palatino Linotype" w:eastAsia="Palatino Linotype" w:hAnsi="Palatino Linotype" w:cs="Palatino Linotype"/>
          <w:b/>
          <w:color w:val="000000" w:themeColor="text1"/>
        </w:rPr>
        <w:t>dieciocho de julio de dos mil veinticinco</w:t>
      </w:r>
      <w:r w:rsidRPr="00613100">
        <w:rPr>
          <w:rFonts w:ascii="Palatino Linotype" w:eastAsia="Palatino Linotype" w:hAnsi="Palatino Linotype" w:cs="Palatino Linotype"/>
          <w:color w:val="000000" w:themeColor="text1"/>
        </w:rPr>
        <w:t xml:space="preserve">, el </w:t>
      </w:r>
      <w:r w:rsidRPr="00613100">
        <w:rPr>
          <w:rFonts w:ascii="Palatino Linotype" w:eastAsia="Palatino Linotype" w:hAnsi="Palatino Linotype" w:cs="Palatino Linotype"/>
          <w:b/>
          <w:color w:val="000000" w:themeColor="text1"/>
        </w:rPr>
        <w:t>SUJETO OBLIGADO,</w:t>
      </w:r>
      <w:r w:rsidRPr="00613100">
        <w:rPr>
          <w:rFonts w:ascii="Palatino Linotype" w:eastAsia="Palatino Linotype" w:hAnsi="Palatino Linotype" w:cs="Palatino Linotype"/>
          <w:color w:val="000000" w:themeColor="text1"/>
        </w:rPr>
        <w:t xml:space="preserve"> dio respuesta a la solicitud de información en el tenor siguiente:</w:t>
      </w:r>
    </w:p>
    <w:p w:rsidR="00B42685" w:rsidRPr="00613100" w:rsidRDefault="00B42685" w:rsidP="00006B67">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B42685" w:rsidRPr="00613100" w:rsidRDefault="004F306B" w:rsidP="00006B67">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“Estimado impetrante, se le da respuesta a su solicitud, le envío un cordial saludo.” (Sic)</w:t>
      </w:r>
    </w:p>
    <w:p w:rsidR="00B42685" w:rsidRPr="00613100" w:rsidRDefault="00B42685" w:rsidP="00006B67">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p>
    <w:p w:rsidR="00B42685" w:rsidRPr="00613100" w:rsidRDefault="004F306B" w:rsidP="00006B67">
      <w:pPr>
        <w:pBdr>
          <w:top w:val="nil"/>
          <w:left w:val="nil"/>
          <w:bottom w:val="nil"/>
          <w:right w:val="nil"/>
          <w:between w:val="nil"/>
        </w:pBdr>
        <w:tabs>
          <w:tab w:val="left" w:pos="0"/>
        </w:tabs>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b/>
          <w:color w:val="000000" w:themeColor="text1"/>
        </w:rPr>
        <w:t>Archivos electrónicos adjuntos:</w:t>
      </w:r>
    </w:p>
    <w:p w:rsidR="00B42685" w:rsidRPr="00613100" w:rsidRDefault="00B42685" w:rsidP="00006B67">
      <w:pPr>
        <w:rPr>
          <w:rFonts w:ascii="Palatino Linotype" w:eastAsia="Palatino Linotype" w:hAnsi="Palatino Linotype" w:cs="Palatino Linotype"/>
          <w:b/>
          <w:color w:val="000000" w:themeColor="text1"/>
        </w:rPr>
      </w:pPr>
    </w:p>
    <w:p w:rsidR="00B42685" w:rsidRPr="00613100" w:rsidRDefault="00467A22" w:rsidP="00006B67">
      <w:pPr>
        <w:jc w:val="both"/>
        <w:rPr>
          <w:rFonts w:ascii="Palatino Linotype" w:eastAsia="Palatino Linotype" w:hAnsi="Palatino Linotype" w:cs="Palatino Linotype"/>
          <w:color w:val="000000" w:themeColor="text1"/>
        </w:rPr>
      </w:pPr>
      <w:hyperlink r:id="rId8">
        <w:r w:rsidR="004F306B" w:rsidRPr="00613100">
          <w:rPr>
            <w:rFonts w:ascii="Palatino Linotype" w:eastAsia="Palatino Linotype" w:hAnsi="Palatino Linotype" w:cs="Palatino Linotype"/>
            <w:b/>
            <w:color w:val="000000" w:themeColor="text1"/>
          </w:rPr>
          <w:t>SGT O 151 2025.pdf</w:t>
        </w:r>
      </w:hyperlink>
      <w:r w:rsidR="004F306B" w:rsidRPr="00613100">
        <w:rPr>
          <w:rFonts w:ascii="Palatino Linotype" w:eastAsia="Palatino Linotype" w:hAnsi="Palatino Linotype" w:cs="Palatino Linotype"/>
          <w:color w:val="000000" w:themeColor="text1"/>
        </w:rPr>
        <w:t>: Oficio suscrito por la Subgerente de Transparencia, por medio del cual, refirió que la Dirección de Administración envió la información de la nómina de trabajadores sindicalizados, confianza, eventuales y mandos medios y superiores.</w:t>
      </w:r>
    </w:p>
    <w:p w:rsidR="00B42685" w:rsidRPr="00613100" w:rsidRDefault="00B42685" w:rsidP="00006B67">
      <w:pPr>
        <w:jc w:val="both"/>
        <w:rPr>
          <w:rFonts w:ascii="Palatino Linotype" w:eastAsia="Palatino Linotype" w:hAnsi="Palatino Linotype" w:cs="Palatino Linotype"/>
          <w:color w:val="000000" w:themeColor="text1"/>
        </w:rPr>
      </w:pPr>
    </w:p>
    <w:p w:rsidR="00B42685" w:rsidRPr="00613100" w:rsidRDefault="00467A22" w:rsidP="00006B67">
      <w:pPr>
        <w:jc w:val="both"/>
        <w:rPr>
          <w:rFonts w:ascii="Palatino Linotype" w:eastAsia="Palatino Linotype" w:hAnsi="Palatino Linotype" w:cs="Palatino Linotype"/>
          <w:b/>
          <w:color w:val="000000" w:themeColor="text1"/>
        </w:rPr>
      </w:pPr>
      <w:hyperlink r:id="rId9">
        <w:r w:rsidR="004F306B" w:rsidRPr="00613100">
          <w:rPr>
            <w:rFonts w:ascii="Palatino Linotype" w:eastAsia="Palatino Linotype" w:hAnsi="Palatino Linotype" w:cs="Palatino Linotype"/>
            <w:b/>
            <w:color w:val="000000" w:themeColor="text1"/>
          </w:rPr>
          <w:t>Sol 141.pdf</w:t>
        </w:r>
      </w:hyperlink>
      <w:r w:rsidR="004F306B" w:rsidRPr="00613100">
        <w:rPr>
          <w:rFonts w:ascii="Palatino Linotype" w:eastAsia="Palatino Linotype" w:hAnsi="Palatino Linotype" w:cs="Palatino Linotype"/>
          <w:color w:val="000000" w:themeColor="text1"/>
        </w:rPr>
        <w:t>: Documento consistente en registros de percepciones de la primera y segunda quincena de junio de 2025, bajo los siguientes rubros: tipo de contrato (eventual, confianza, sindicalizado y mandos medios y superiores), número de empleados, total de percepciones, total de deducciones, total neto pagado y total.</w:t>
      </w:r>
    </w:p>
    <w:p w:rsidR="00B42685" w:rsidRPr="00613100" w:rsidRDefault="00B42685" w:rsidP="00006B67">
      <w:pPr>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El </w:t>
      </w:r>
      <w:r w:rsidRPr="00613100">
        <w:rPr>
          <w:rFonts w:ascii="Palatino Linotype" w:eastAsia="Palatino Linotype" w:hAnsi="Palatino Linotype" w:cs="Palatino Linotype"/>
          <w:b/>
          <w:color w:val="000000" w:themeColor="text1"/>
        </w:rPr>
        <w:t>cuatro de agosto de dos mil veinticinco</w:t>
      </w:r>
      <w:r w:rsidRPr="00613100">
        <w:rPr>
          <w:rFonts w:ascii="Palatino Linotype" w:eastAsia="Palatino Linotype" w:hAnsi="Palatino Linotype" w:cs="Palatino Linotype"/>
          <w:color w:val="000000" w:themeColor="text1"/>
        </w:rPr>
        <w:t xml:space="preserve">, el </w:t>
      </w:r>
      <w:r w:rsidRPr="00613100">
        <w:rPr>
          <w:rFonts w:ascii="Palatino Linotype" w:eastAsia="Palatino Linotype" w:hAnsi="Palatino Linotype" w:cs="Palatino Linotype"/>
          <w:b/>
          <w:color w:val="000000" w:themeColor="text1"/>
        </w:rPr>
        <w:t>RECURRENTE</w:t>
      </w:r>
      <w:r w:rsidRPr="00613100">
        <w:rPr>
          <w:rFonts w:ascii="Palatino Linotype" w:eastAsia="Palatino Linotype" w:hAnsi="Palatino Linotype" w:cs="Palatino Linotype"/>
          <w:color w:val="000000" w:themeColor="text1"/>
        </w:rPr>
        <w:t xml:space="preserve"> interpuso el recurso de revisión en contra de la respuesta, manifestando las siguientes razones o motivos de inconformidad:</w:t>
      </w:r>
    </w:p>
    <w:p w:rsidR="00B42685" w:rsidRPr="00613100" w:rsidRDefault="00B42685" w:rsidP="00006B67">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B42685" w:rsidRPr="00F6341A" w:rsidRDefault="004F306B" w:rsidP="00F6341A">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4" w:name="_heading=h.1fob9te" w:colFirst="0" w:colLast="0"/>
      <w:bookmarkEnd w:id="4"/>
      <w:r w:rsidRPr="00F6341A">
        <w:rPr>
          <w:rFonts w:ascii="Palatino Linotype" w:eastAsia="Palatino Linotype" w:hAnsi="Palatino Linotype" w:cs="Palatino Linotype"/>
          <w:b/>
          <w:color w:val="000000" w:themeColor="text1"/>
        </w:rPr>
        <w:t>Acto impugnado</w:t>
      </w:r>
      <w:r w:rsidRPr="00F6341A">
        <w:rPr>
          <w:rFonts w:ascii="Palatino Linotype" w:eastAsia="Palatino Linotype" w:hAnsi="Palatino Linotype" w:cs="Palatino Linotype"/>
          <w:color w:val="000000" w:themeColor="text1"/>
        </w:rPr>
        <w:t xml:space="preserve">: </w:t>
      </w:r>
      <w:r w:rsidRPr="00F6341A">
        <w:rPr>
          <w:rFonts w:ascii="Palatino Linotype" w:eastAsia="Palatino Linotype" w:hAnsi="Palatino Linotype" w:cs="Palatino Linotype"/>
          <w:i/>
          <w:color w:val="000000" w:themeColor="text1"/>
        </w:rPr>
        <w:t>“r</w:t>
      </w:r>
      <w:r w:rsidRPr="00F6341A">
        <w:rPr>
          <w:rFonts w:ascii="Palatino Linotype" w:eastAsia="Palatino Linotype" w:hAnsi="Palatino Linotype" w:cs="Palatino Linotype"/>
          <w:color w:val="000000" w:themeColor="text1"/>
        </w:rPr>
        <w:t>espuesta a la solicitud 00141/OASNAUCAL/IP/2025</w:t>
      </w:r>
      <w:r w:rsidRPr="00F6341A">
        <w:rPr>
          <w:rFonts w:ascii="Palatino Linotype" w:eastAsia="Palatino Linotype" w:hAnsi="Palatino Linotype" w:cs="Palatino Linotype"/>
          <w:i/>
          <w:color w:val="000000" w:themeColor="text1"/>
        </w:rPr>
        <w:t>” (Sic.)</w:t>
      </w:r>
    </w:p>
    <w:p w:rsidR="00B42685" w:rsidRPr="00613100" w:rsidRDefault="00B42685" w:rsidP="00006B67">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B42685" w:rsidRPr="00F6341A" w:rsidRDefault="004F306B" w:rsidP="00F6341A">
      <w:pPr>
        <w:pStyle w:val="Prrafodelista"/>
        <w:numPr>
          <w:ilvl w:val="0"/>
          <w:numId w:val="7"/>
        </w:numPr>
        <w:jc w:val="both"/>
        <w:rPr>
          <w:rFonts w:ascii="Palatino Linotype" w:eastAsia="Palatino Linotype" w:hAnsi="Palatino Linotype" w:cs="Palatino Linotype"/>
          <w:color w:val="000000" w:themeColor="text1"/>
        </w:rPr>
      </w:pPr>
      <w:bookmarkStart w:id="5" w:name="_heading=h.3znysh7" w:colFirst="0" w:colLast="0"/>
      <w:bookmarkEnd w:id="5"/>
      <w:r w:rsidRPr="00F6341A">
        <w:rPr>
          <w:rFonts w:ascii="Palatino Linotype" w:eastAsia="Palatino Linotype" w:hAnsi="Palatino Linotype" w:cs="Palatino Linotype"/>
          <w:b/>
          <w:color w:val="000000" w:themeColor="text1"/>
        </w:rPr>
        <w:t xml:space="preserve">Razones o Motivos de inconformidad: </w:t>
      </w:r>
      <w:r w:rsidRPr="00F6341A">
        <w:rPr>
          <w:rFonts w:ascii="Palatino Linotype" w:eastAsia="Palatino Linotype" w:hAnsi="Palatino Linotype" w:cs="Palatino Linotype"/>
          <w:i/>
          <w:color w:val="000000" w:themeColor="text1"/>
        </w:rPr>
        <w:t xml:space="preserve">“LA RESPUESTA DEL SUJETO OBLIGADO A LA PRESENTE SOLICITUD DE INFORMACIÓN ES UNA NEGATIVA A ENTREGAR LA INFORMACIÓN, ARGUMENTANDO QUE LA ENTREGA REQUIERE UN SUPUESTO PROCESAMIENTO DE LA MISMA, LO CUAL ES INCORRECTO TODA </w:t>
      </w:r>
      <w:r w:rsidRPr="00F6341A">
        <w:rPr>
          <w:rFonts w:ascii="Palatino Linotype" w:eastAsia="Palatino Linotype" w:hAnsi="Palatino Linotype" w:cs="Palatino Linotype"/>
          <w:i/>
          <w:color w:val="000000" w:themeColor="text1"/>
        </w:rPr>
        <w:lastRenderedPageBreak/>
        <w:t>VEZ QUE LA NÓMINA DE TRABAJADORES SE REFIERE A UN DOCUMENTO FÍSICO Y DIGITAL CONSOLIDADO GENERADO POR EL SUJETO OBLIGADO EN EL USO DE SUS FACULTADES LEGALES. POR LO ANTERIOR, SOLICITO QUE SEA REVOCADA LA RESPUESTA DEL SUJETO OBLIGADO Y SE ORDENE LA ENTREGA DE LA INFORMACIÓN SOLICITADA EN LOS MISMOS TÉRMINOS SEÑALADOS EN LA PETICIÓN.” (Sic.)</w:t>
      </w:r>
    </w:p>
    <w:p w:rsidR="00B42685" w:rsidRPr="00613100" w:rsidRDefault="00B42685" w:rsidP="00006B67">
      <w:pPr>
        <w:spacing w:line="360" w:lineRule="auto"/>
        <w:rPr>
          <w:rFonts w:ascii="Palatino Linotype" w:eastAsia="Palatino Linotype" w:hAnsi="Palatino Linotype" w:cs="Palatino Linotype"/>
          <w:i/>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del </w:t>
      </w:r>
      <w:r w:rsidRPr="00613100">
        <w:rPr>
          <w:rFonts w:ascii="Palatino Linotype" w:eastAsia="Palatino Linotype" w:hAnsi="Palatino Linotype" w:cs="Palatino Linotype"/>
          <w:b/>
          <w:color w:val="000000" w:themeColor="text1"/>
        </w:rPr>
        <w:t>cinco de agosto de dos mil veinticinco</w:t>
      </w:r>
      <w:r w:rsidRPr="00613100">
        <w:rPr>
          <w:rFonts w:ascii="Palatino Linotype" w:eastAsia="Palatino Linotype" w:hAnsi="Palatino Linotype" w:cs="Palatino Linotype"/>
          <w:color w:val="000000" w:themeColor="text1"/>
        </w:rPr>
        <w:t xml:space="preserve">, puso a disposición de las partes el expediente electrónico vía </w:t>
      </w:r>
      <w:r w:rsidRPr="00613100">
        <w:rPr>
          <w:rFonts w:ascii="Palatino Linotype" w:eastAsia="Palatino Linotype" w:hAnsi="Palatino Linotype" w:cs="Palatino Linotype"/>
          <w:b/>
          <w:color w:val="000000" w:themeColor="text1"/>
        </w:rPr>
        <w:t xml:space="preserve">SAIMEX </w:t>
      </w:r>
      <w:r w:rsidRPr="00613100">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Pr="00613100">
        <w:rPr>
          <w:rFonts w:ascii="Palatino Linotype" w:eastAsia="Palatino Linotype" w:hAnsi="Palatino Linotype" w:cs="Palatino Linotype"/>
          <w:b/>
          <w:color w:val="000000" w:themeColor="text1"/>
        </w:rPr>
        <w:t>SUJETO OBLIGADO</w:t>
      </w:r>
      <w:r w:rsidRPr="00613100">
        <w:rPr>
          <w:rFonts w:ascii="Palatino Linotype" w:eastAsia="Palatino Linotype" w:hAnsi="Palatino Linotype" w:cs="Palatino Linotype"/>
          <w:color w:val="000000" w:themeColor="text1"/>
        </w:rPr>
        <w:t xml:space="preserve"> presentará el Informe Justificado procedente.</w:t>
      </w:r>
    </w:p>
    <w:p w:rsidR="00B42685" w:rsidRPr="00613100" w:rsidRDefault="00B42685" w:rsidP="00006B67">
      <w:pPr>
        <w:rPr>
          <w:rFonts w:ascii="Palatino Linotype" w:eastAsia="Palatino Linotype" w:hAnsi="Palatino Linotype" w:cs="Palatino Linotype"/>
          <w:color w:val="000000" w:themeColor="text1"/>
        </w:rPr>
      </w:pPr>
    </w:p>
    <w:p w:rsidR="00B42685" w:rsidRPr="00613100" w:rsidRDefault="004F306B" w:rsidP="00006B67">
      <w:pPr>
        <w:numPr>
          <w:ilvl w:val="0"/>
          <w:numId w:val="2"/>
        </w:numPr>
        <w:spacing w:line="360" w:lineRule="auto"/>
        <w:jc w:val="both"/>
        <w:rPr>
          <w:rFonts w:ascii="Palatino Linotype" w:eastAsia="Palatino Linotype" w:hAnsi="Palatino Linotype" w:cs="Palatino Linotype"/>
          <w:color w:val="000000" w:themeColor="text1"/>
        </w:rPr>
      </w:pPr>
      <w:bookmarkStart w:id="6" w:name="_heading=h.2et92p0" w:colFirst="0" w:colLast="0"/>
      <w:bookmarkEnd w:id="6"/>
      <w:r w:rsidRPr="00613100">
        <w:rPr>
          <w:rFonts w:ascii="Palatino Linotype" w:eastAsia="Palatino Linotype" w:hAnsi="Palatino Linotype" w:cs="Palatino Linotype"/>
          <w:color w:val="000000" w:themeColor="text1"/>
        </w:rPr>
        <w:t xml:space="preserve">El </w:t>
      </w:r>
      <w:r w:rsidRPr="00613100">
        <w:rPr>
          <w:rFonts w:ascii="Palatino Linotype" w:eastAsia="Palatino Linotype" w:hAnsi="Palatino Linotype" w:cs="Palatino Linotype"/>
          <w:b/>
          <w:color w:val="000000" w:themeColor="text1"/>
        </w:rPr>
        <w:t xml:space="preserve">SUJETO OBLIGADO </w:t>
      </w:r>
      <w:r w:rsidRPr="00613100">
        <w:rPr>
          <w:rFonts w:ascii="Palatino Linotype" w:eastAsia="Palatino Linotype" w:hAnsi="Palatino Linotype" w:cs="Palatino Linotype"/>
          <w:color w:val="000000" w:themeColor="text1"/>
        </w:rPr>
        <w:t>omitió rendir el informe correspondiente, por su parte, el</w:t>
      </w:r>
      <w:r w:rsidRPr="00613100">
        <w:rPr>
          <w:rFonts w:ascii="Palatino Linotype" w:eastAsia="Palatino Linotype" w:hAnsi="Palatino Linotype" w:cs="Palatino Linotype"/>
          <w:b/>
          <w:color w:val="000000" w:themeColor="text1"/>
        </w:rPr>
        <w:t xml:space="preserve"> RECURRENTE </w:t>
      </w:r>
      <w:r w:rsidRPr="00613100">
        <w:rPr>
          <w:rFonts w:ascii="Palatino Linotype" w:eastAsia="Palatino Linotype" w:hAnsi="Palatino Linotype" w:cs="Palatino Linotype"/>
          <w:color w:val="000000" w:themeColor="text1"/>
        </w:rPr>
        <w:t xml:space="preserve">dejó de realizar manifestaciones que a su derecho conviniera y asistiera. </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 xml:space="preserve">Finalmente, mediante acuerdo del </w:t>
      </w:r>
      <w:r w:rsidRPr="00613100">
        <w:rPr>
          <w:rFonts w:ascii="Palatino Linotype" w:eastAsia="Palatino Linotype" w:hAnsi="Palatino Linotype" w:cs="Palatino Linotype"/>
          <w:b/>
          <w:color w:val="000000" w:themeColor="text1"/>
        </w:rPr>
        <w:t>veintisiete de agosto</w:t>
      </w:r>
      <w:r w:rsidRPr="00613100">
        <w:rPr>
          <w:rFonts w:ascii="Palatino Linotype" w:eastAsia="Palatino Linotype" w:hAnsi="Palatino Linotype" w:cs="Palatino Linotype"/>
          <w:color w:val="000000" w:themeColor="text1"/>
        </w:rPr>
        <w:t xml:space="preserve"> </w:t>
      </w:r>
      <w:r w:rsidRPr="00613100">
        <w:rPr>
          <w:rFonts w:ascii="Palatino Linotype" w:eastAsia="Palatino Linotype" w:hAnsi="Palatino Linotype" w:cs="Palatino Linotype"/>
          <w:b/>
          <w:color w:val="000000" w:themeColor="text1"/>
        </w:rPr>
        <w:t>de dos mil veinticinco</w:t>
      </w:r>
      <w:r w:rsidRPr="00613100">
        <w:rPr>
          <w:rFonts w:ascii="Palatino Linotype" w:eastAsia="Palatino Linotype" w:hAnsi="Palatino Linotype" w:cs="Palatino Linotype"/>
          <w:color w:val="000000" w:themeColor="text1"/>
        </w:rPr>
        <w:t>, se decretó el cierre de instrucción, por lo que no habiendo más que hacer constar, y</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B42685" w:rsidRPr="00613100" w:rsidRDefault="004F306B" w:rsidP="00006B67">
      <w:pPr>
        <w:pStyle w:val="Ttulo1"/>
        <w:tabs>
          <w:tab w:val="left" w:pos="567"/>
        </w:tabs>
        <w:spacing w:before="0" w:line="360" w:lineRule="auto"/>
        <w:jc w:val="center"/>
        <w:rPr>
          <w:color w:val="000000" w:themeColor="text1"/>
        </w:rPr>
      </w:pPr>
      <w:bookmarkStart w:id="7" w:name="_heading=h.tyjcwt" w:colFirst="0" w:colLast="0"/>
      <w:bookmarkEnd w:id="7"/>
      <w:r w:rsidRPr="00613100">
        <w:rPr>
          <w:color w:val="000000" w:themeColor="text1"/>
        </w:rPr>
        <w:t>C O N S I D E R A N D O</w:t>
      </w:r>
    </w:p>
    <w:p w:rsidR="00B42685" w:rsidRPr="00613100" w:rsidRDefault="00B42685" w:rsidP="00006B67">
      <w:pPr>
        <w:spacing w:line="360" w:lineRule="auto"/>
        <w:rPr>
          <w:rFonts w:ascii="Palatino Linotype" w:eastAsia="Palatino Linotype" w:hAnsi="Palatino Linotype" w:cs="Palatino Linotype"/>
          <w:color w:val="000000" w:themeColor="text1"/>
        </w:rPr>
      </w:pPr>
    </w:p>
    <w:p w:rsidR="00B42685" w:rsidRPr="00613100" w:rsidRDefault="004F306B" w:rsidP="00006B67">
      <w:pPr>
        <w:pStyle w:val="Ttulo1"/>
        <w:tabs>
          <w:tab w:val="left" w:pos="567"/>
        </w:tabs>
        <w:spacing w:before="0" w:line="360" w:lineRule="auto"/>
        <w:rPr>
          <w:color w:val="000000" w:themeColor="text1"/>
        </w:rPr>
      </w:pPr>
      <w:bookmarkStart w:id="8" w:name="_heading=h.3dy6vkm" w:colFirst="0" w:colLast="0"/>
      <w:bookmarkEnd w:id="8"/>
      <w:r w:rsidRPr="00613100">
        <w:rPr>
          <w:color w:val="000000" w:themeColor="text1"/>
        </w:rPr>
        <w:t>PRIMERO. De la competencia</w:t>
      </w:r>
    </w:p>
    <w:p w:rsidR="00B42685" w:rsidRPr="00613100" w:rsidRDefault="004F306B" w:rsidP="00006B67">
      <w:pPr>
        <w:numPr>
          <w:ilvl w:val="0"/>
          <w:numId w:val="2"/>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 Este Instituto de Transparencia, Acceso a la Información Pública y Protección de Datos Personales del Estado de México y Municipios, es competente para conocer y resolver del </w:t>
      </w:r>
      <w:r w:rsidRPr="00613100">
        <w:rPr>
          <w:rFonts w:ascii="Palatino Linotype" w:eastAsia="Palatino Linotype" w:hAnsi="Palatino Linotype" w:cs="Palatino Linotype"/>
          <w:color w:val="000000" w:themeColor="text1"/>
        </w:rPr>
        <w:lastRenderedPageBreak/>
        <w:t>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B42685" w:rsidRPr="00613100" w:rsidRDefault="00B42685" w:rsidP="00006B6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pStyle w:val="Ttulo2"/>
        <w:spacing w:before="0" w:line="360" w:lineRule="auto"/>
        <w:rPr>
          <w:color w:val="000000" w:themeColor="text1"/>
        </w:rPr>
      </w:pPr>
      <w:bookmarkStart w:id="9" w:name="_heading=h.1t3h5sf" w:colFirst="0" w:colLast="0"/>
      <w:bookmarkEnd w:id="9"/>
      <w:r w:rsidRPr="00613100">
        <w:rPr>
          <w:color w:val="000000" w:themeColor="text1"/>
        </w:rPr>
        <w:t>SEGUNDO. De la oportunidad y procedencia.</w:t>
      </w: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 El medio de impugnación fue presentado a través del </w:t>
      </w:r>
      <w:r w:rsidRPr="00613100">
        <w:rPr>
          <w:rFonts w:ascii="Palatino Linotype" w:eastAsia="Palatino Linotype" w:hAnsi="Palatino Linotype" w:cs="Palatino Linotype"/>
          <w:b/>
          <w:color w:val="000000" w:themeColor="text1"/>
        </w:rPr>
        <w:t>SAIMEX,</w:t>
      </w:r>
      <w:r w:rsidRPr="00613100">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613100">
        <w:rPr>
          <w:rFonts w:ascii="Palatino Linotype" w:eastAsia="Palatino Linotype" w:hAnsi="Palatino Linotype" w:cs="Palatino Linotype"/>
          <w:b/>
          <w:color w:val="000000" w:themeColor="text1"/>
        </w:rPr>
        <w:t>SUJETO OBLIGADO</w:t>
      </w:r>
      <w:r w:rsidRPr="00613100">
        <w:rPr>
          <w:rFonts w:ascii="Palatino Linotype" w:eastAsia="Palatino Linotype" w:hAnsi="Palatino Linotype" w:cs="Palatino Linotype"/>
          <w:color w:val="000000" w:themeColor="text1"/>
        </w:rPr>
        <w:t xml:space="preserve"> entregó su respuesta el </w:t>
      </w:r>
      <w:r w:rsidRPr="00613100">
        <w:rPr>
          <w:rFonts w:ascii="Palatino Linotype" w:eastAsia="Palatino Linotype" w:hAnsi="Palatino Linotype" w:cs="Palatino Linotype"/>
          <w:b/>
          <w:color w:val="000000" w:themeColor="text1"/>
        </w:rPr>
        <w:t>dieciocho de julio de dos mil veinticinco</w:t>
      </w:r>
      <w:r w:rsidRPr="00613100">
        <w:rPr>
          <w:rFonts w:ascii="Palatino Linotype" w:eastAsia="Palatino Linotype" w:hAnsi="Palatino Linotype" w:cs="Palatino Linotype"/>
          <w:color w:val="000000" w:themeColor="text1"/>
        </w:rPr>
        <w:t xml:space="preserve">, de tal forma que el plazo para interponer el recurso de revisión transcurrió del </w:t>
      </w:r>
      <w:r w:rsidRPr="00613100">
        <w:rPr>
          <w:rFonts w:ascii="Palatino Linotype" w:eastAsia="Palatino Linotype" w:hAnsi="Palatino Linotype" w:cs="Palatino Linotype"/>
          <w:b/>
          <w:color w:val="000000" w:themeColor="text1"/>
        </w:rPr>
        <w:t>cuatro al veintidós de agosto de dos mil veinticinco</w:t>
      </w:r>
      <w:r w:rsidRPr="00613100">
        <w:rPr>
          <w:rFonts w:ascii="Palatino Linotype" w:eastAsia="Palatino Linotype" w:hAnsi="Palatino Linotype" w:cs="Palatino Linotype"/>
          <w:color w:val="000000" w:themeColor="text1"/>
        </w:rPr>
        <w:t xml:space="preserve">; en consecuencia, el ahora </w:t>
      </w:r>
      <w:r w:rsidRPr="00613100">
        <w:rPr>
          <w:rFonts w:ascii="Palatino Linotype" w:eastAsia="Palatino Linotype" w:hAnsi="Palatino Linotype" w:cs="Palatino Linotype"/>
          <w:b/>
          <w:color w:val="000000" w:themeColor="text1"/>
        </w:rPr>
        <w:t>RECURRENTE</w:t>
      </w:r>
      <w:r w:rsidRPr="00613100">
        <w:rPr>
          <w:rFonts w:ascii="Palatino Linotype" w:eastAsia="Palatino Linotype" w:hAnsi="Palatino Linotype" w:cs="Palatino Linotype"/>
          <w:color w:val="000000" w:themeColor="text1"/>
        </w:rPr>
        <w:t xml:space="preserve"> presentó su inconformidad el </w:t>
      </w:r>
      <w:r w:rsidRPr="00613100">
        <w:rPr>
          <w:rFonts w:ascii="Palatino Linotype" w:eastAsia="Palatino Linotype" w:hAnsi="Palatino Linotype" w:cs="Palatino Linotype"/>
          <w:b/>
          <w:color w:val="000000" w:themeColor="text1"/>
        </w:rPr>
        <w:t>diecinueve de julio de dos mil veinticinco</w:t>
      </w:r>
      <w:r w:rsidRPr="00613100">
        <w:rPr>
          <w:rFonts w:ascii="Palatino Linotype" w:eastAsia="Palatino Linotype" w:hAnsi="Palatino Linotype" w:cs="Palatino Linotype"/>
          <w:color w:val="000000" w:themeColor="text1"/>
        </w:rPr>
        <w:t>; por lo que se estima que la inconformidad se presentó dentro del lapso legalmente establecido para tal efecto.</w:t>
      </w:r>
    </w:p>
    <w:p w:rsidR="00B42685" w:rsidRPr="00613100" w:rsidRDefault="00B42685" w:rsidP="00006B67">
      <w:pPr>
        <w:pBdr>
          <w:top w:val="nil"/>
          <w:left w:val="nil"/>
          <w:bottom w:val="nil"/>
          <w:right w:val="nil"/>
          <w:between w:val="nil"/>
        </w:pBdr>
        <w:rPr>
          <w:rFonts w:ascii="Palatino Linotype" w:eastAsia="Palatino Linotype" w:hAnsi="Palatino Linotype" w:cs="Palatino Linotype"/>
          <w:color w:val="000000" w:themeColor="text1"/>
        </w:rPr>
      </w:pPr>
    </w:p>
    <w:p w:rsidR="00B42685" w:rsidRPr="00613100" w:rsidRDefault="004F306B" w:rsidP="00006B67">
      <w:pPr>
        <w:numPr>
          <w:ilvl w:val="0"/>
          <w:numId w:val="2"/>
        </w:numP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42685" w:rsidRPr="00613100" w:rsidRDefault="004F306B" w:rsidP="00006B67">
      <w:pPr>
        <w:pStyle w:val="Ttulo1"/>
        <w:spacing w:before="0" w:line="360" w:lineRule="auto"/>
        <w:rPr>
          <w:color w:val="000000" w:themeColor="text1"/>
        </w:rPr>
      </w:pPr>
      <w:r w:rsidRPr="00613100">
        <w:rPr>
          <w:color w:val="000000" w:themeColor="text1"/>
        </w:rPr>
        <w:lastRenderedPageBreak/>
        <w:t xml:space="preserve">TERCERO. Del planteamiento de la </w:t>
      </w:r>
      <w:r w:rsidRPr="00613100">
        <w:rPr>
          <w:i/>
          <w:color w:val="000000" w:themeColor="text1"/>
        </w:rPr>
        <w:t>Litis</w:t>
      </w:r>
      <w:r w:rsidRPr="00613100">
        <w:rPr>
          <w:color w:val="000000" w:themeColor="text1"/>
        </w:rPr>
        <w:t>.</w:t>
      </w: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color w:val="000000" w:themeColor="text1"/>
        </w:rPr>
        <w:t xml:space="preserve">La parte </w:t>
      </w:r>
      <w:r w:rsidRPr="00613100">
        <w:rPr>
          <w:rFonts w:ascii="Palatino Linotype" w:eastAsia="Palatino Linotype" w:hAnsi="Palatino Linotype" w:cs="Palatino Linotype"/>
          <w:b/>
          <w:color w:val="000000" w:themeColor="text1"/>
        </w:rPr>
        <w:t>RECURRENTE</w:t>
      </w:r>
      <w:r w:rsidRPr="00613100">
        <w:rPr>
          <w:rFonts w:ascii="Palatino Linotype" w:eastAsia="Palatino Linotype" w:hAnsi="Palatino Linotype" w:cs="Palatino Linotype"/>
          <w:color w:val="000000" w:themeColor="text1"/>
        </w:rPr>
        <w:t xml:space="preserve"> solicitó la nómina de los servidores públicos adscritos Organismo Público Descentralizado para la Prestación de Los Servicios de Agua Potable Alcantarillado y Saneamiento del Municipio de Naucalpan de Juárez (sindicalizados, de confianza, lista de raya o eventuales y mandos medios y superiores) correspondiente a la primera y segunda quincena de junio de 2025.</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En respuesta, el </w:t>
      </w:r>
      <w:r w:rsidRPr="00613100">
        <w:rPr>
          <w:rFonts w:ascii="Palatino Linotype" w:eastAsia="Palatino Linotype" w:hAnsi="Palatino Linotype" w:cs="Palatino Linotype"/>
          <w:b/>
          <w:color w:val="000000" w:themeColor="text1"/>
        </w:rPr>
        <w:t xml:space="preserve">SUJETO OBLIGADO </w:t>
      </w:r>
      <w:r w:rsidRPr="00613100">
        <w:rPr>
          <w:rFonts w:ascii="Palatino Linotype" w:eastAsia="Palatino Linotype" w:hAnsi="Palatino Linotype" w:cs="Palatino Linotype"/>
          <w:color w:val="000000" w:themeColor="text1"/>
        </w:rPr>
        <w:t>por medio de la Dirección de Administración remitió dos registros de percepciones correspondientes a la primera y segunda quincena de junio de 2025, bajo los siguientes rubros: tipo de contrato (eventual, confianza, sindicalizado y mandos medios y superiores), número de empleados, total de percepciones, total de deducciones, total neto pagado y total.</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color w:val="000000" w:themeColor="text1"/>
        </w:rPr>
        <w:t xml:space="preserve">Posteriormente, el </w:t>
      </w:r>
      <w:r w:rsidRPr="00613100">
        <w:rPr>
          <w:rFonts w:ascii="Palatino Linotype" w:eastAsia="Palatino Linotype" w:hAnsi="Palatino Linotype" w:cs="Palatino Linotype"/>
          <w:b/>
          <w:color w:val="000000" w:themeColor="text1"/>
        </w:rPr>
        <w:t xml:space="preserve">RECURRENTE </w:t>
      </w:r>
      <w:r w:rsidRPr="00613100">
        <w:rPr>
          <w:rFonts w:ascii="Palatino Linotype" w:eastAsia="Palatino Linotype" w:hAnsi="Palatino Linotype" w:cs="Palatino Linotype"/>
          <w:color w:val="000000" w:themeColor="text1"/>
        </w:rPr>
        <w:t>interpuso recurso de revisión en el que se inconformó por la negativa de la información solicitada.</w:t>
      </w:r>
    </w:p>
    <w:p w:rsidR="00B42685" w:rsidRPr="00613100" w:rsidRDefault="00B42685" w:rsidP="00006B67">
      <w:pPr>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color w:val="000000" w:themeColor="text1"/>
        </w:rPr>
        <w:t xml:space="preserve">En dichas condiciones, la </w:t>
      </w:r>
      <w:r w:rsidRPr="00613100">
        <w:rPr>
          <w:rFonts w:ascii="Palatino Linotype" w:eastAsia="Palatino Linotype" w:hAnsi="Palatino Linotype" w:cs="Palatino Linotype"/>
          <w:i/>
          <w:color w:val="000000" w:themeColor="text1"/>
        </w:rPr>
        <w:t>Litis</w:t>
      </w:r>
      <w:r w:rsidRPr="00613100">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613100">
        <w:rPr>
          <w:rFonts w:ascii="Palatino Linotype" w:eastAsia="Palatino Linotype" w:hAnsi="Palatino Linotype" w:cs="Palatino Linotype"/>
          <w:b/>
          <w:color w:val="000000" w:themeColor="text1"/>
        </w:rPr>
        <w:t xml:space="preserve">fracción I </w:t>
      </w:r>
      <w:r w:rsidRPr="00613100">
        <w:rPr>
          <w:rFonts w:ascii="Palatino Linotype" w:eastAsia="Palatino Linotype" w:hAnsi="Palatino Linotype" w:cs="Palatino Linotype"/>
          <w:color w:val="000000" w:themeColor="text1"/>
        </w:rPr>
        <w:t>de la Ley</w:t>
      </w:r>
      <w:r w:rsidRPr="00613100">
        <w:rPr>
          <w:rFonts w:ascii="Palatino Linotype" w:eastAsia="Palatino Linotype" w:hAnsi="Palatino Linotype" w:cs="Palatino Linotype"/>
          <w:b/>
          <w:color w:val="000000" w:themeColor="text1"/>
        </w:rPr>
        <w:t xml:space="preserve"> de Transparencia y Acceso a la Información Pública del Estado de </w:t>
      </w:r>
      <w:r w:rsidRPr="00613100">
        <w:rPr>
          <w:rFonts w:ascii="Palatino Linotype" w:eastAsia="Palatino Linotype" w:hAnsi="Palatino Linotype" w:cs="Palatino Linotype"/>
          <w:color w:val="000000" w:themeColor="text1"/>
        </w:rPr>
        <w:t>México</w:t>
      </w:r>
      <w:r w:rsidRPr="00613100">
        <w:rPr>
          <w:rFonts w:ascii="Palatino Linotype" w:eastAsia="Palatino Linotype" w:hAnsi="Palatino Linotype" w:cs="Palatino Linotype"/>
          <w:b/>
          <w:color w:val="000000" w:themeColor="text1"/>
        </w:rPr>
        <w:t xml:space="preserve"> y Municipios</w:t>
      </w:r>
      <w:r w:rsidRPr="00613100">
        <w:rPr>
          <w:rFonts w:ascii="Palatino Linotype" w:eastAsia="Palatino Linotype" w:hAnsi="Palatino Linotype" w:cs="Palatino Linotype"/>
          <w:color w:val="000000" w:themeColor="text1"/>
        </w:rPr>
        <w:t xml:space="preserve">; fracción que determina la hipótesis jurídica relativa a </w:t>
      </w:r>
      <w:r w:rsidRPr="00613100">
        <w:rPr>
          <w:rFonts w:ascii="Palatino Linotype" w:eastAsia="Palatino Linotype" w:hAnsi="Palatino Linotype" w:cs="Palatino Linotype"/>
          <w:b/>
          <w:color w:val="000000" w:themeColor="text1"/>
        </w:rPr>
        <w:t>la negativa de la información solicitada.</w:t>
      </w:r>
    </w:p>
    <w:p w:rsidR="00B42685" w:rsidRPr="00613100" w:rsidRDefault="00B42685" w:rsidP="00006B6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themeColor="text1"/>
        </w:rPr>
      </w:pPr>
    </w:p>
    <w:p w:rsidR="00B42685" w:rsidRPr="00613100" w:rsidRDefault="004F306B" w:rsidP="00006B67">
      <w:pPr>
        <w:pStyle w:val="Ttulo1"/>
        <w:spacing w:before="0" w:line="360" w:lineRule="auto"/>
        <w:rPr>
          <w:color w:val="000000" w:themeColor="text1"/>
        </w:rPr>
      </w:pPr>
      <w:r w:rsidRPr="00613100">
        <w:rPr>
          <w:color w:val="000000" w:themeColor="text1"/>
        </w:rPr>
        <w:lastRenderedPageBreak/>
        <w:t>CUARTO. Del estudio y resolución del asunto.</w:t>
      </w: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Acotada la </w:t>
      </w:r>
      <w:r w:rsidRPr="00613100">
        <w:rPr>
          <w:rFonts w:ascii="Palatino Linotype" w:eastAsia="Palatino Linotype" w:hAnsi="Palatino Linotype" w:cs="Palatino Linotype"/>
          <w:i/>
          <w:color w:val="000000" w:themeColor="text1"/>
        </w:rPr>
        <w:t>Litis</w:t>
      </w:r>
      <w:r w:rsidRPr="00613100">
        <w:rPr>
          <w:rFonts w:ascii="Palatino Linotype" w:eastAsia="Palatino Linotype" w:hAnsi="Palatino Linotype" w:cs="Palatino Linotype"/>
          <w:color w:val="000000" w:themeColor="text1"/>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B42685" w:rsidRPr="00613100" w:rsidRDefault="00B42685" w:rsidP="00006B6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w:t>
      </w:r>
      <w:r w:rsidRPr="00613100">
        <w:rPr>
          <w:rFonts w:ascii="Palatino Linotype" w:eastAsia="Palatino Linotype" w:hAnsi="Palatino Linotype" w:cs="Palatino Linotype"/>
          <w:color w:val="000000" w:themeColor="text1"/>
        </w:rPr>
        <w:lastRenderedPageBreak/>
        <w:t>el artículo 18 establece que los Sujetos Obligados deberán documentar todo acto que derive del ejercicio de sus facultades, competencias o funciones desde su origen la eventual publicidad y reutilización de la información que generen.</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Acotada la Litis del presente asunto, se reiterar la información solicitada por la parte </w:t>
      </w:r>
      <w:r w:rsidRPr="00613100">
        <w:rPr>
          <w:rFonts w:ascii="Palatino Linotype" w:eastAsia="Palatino Linotype" w:hAnsi="Palatino Linotype" w:cs="Palatino Linotype"/>
          <w:b/>
          <w:color w:val="000000" w:themeColor="text1"/>
        </w:rPr>
        <w:t xml:space="preserve">RECURRENTE </w:t>
      </w:r>
      <w:r w:rsidRPr="00613100">
        <w:rPr>
          <w:rFonts w:ascii="Palatino Linotype" w:eastAsia="Palatino Linotype" w:hAnsi="Palatino Linotype" w:cs="Palatino Linotype"/>
          <w:color w:val="000000" w:themeColor="text1"/>
        </w:rPr>
        <w:t xml:space="preserve">y la respuesta emitida por el </w:t>
      </w:r>
      <w:r w:rsidRPr="00613100">
        <w:rPr>
          <w:rFonts w:ascii="Palatino Linotype" w:eastAsia="Palatino Linotype" w:hAnsi="Palatino Linotype" w:cs="Palatino Linotype"/>
          <w:b/>
          <w:color w:val="000000" w:themeColor="text1"/>
        </w:rPr>
        <w:t>SUJETO OBLIGADO</w:t>
      </w:r>
      <w:r w:rsidRPr="00613100">
        <w:rPr>
          <w:rFonts w:ascii="Palatino Linotype" w:eastAsia="Palatino Linotype" w:hAnsi="Palatino Linotype" w:cs="Palatino Linotype"/>
          <w:color w:val="000000" w:themeColor="text1"/>
        </w:rPr>
        <w:t>, mediante el siguiente cuadro descriptivo</w:t>
      </w:r>
    </w:p>
    <w:p w:rsidR="00B42685" w:rsidRPr="00613100" w:rsidRDefault="00B42685" w:rsidP="00006B67">
      <w:pPr>
        <w:pBdr>
          <w:top w:val="nil"/>
          <w:left w:val="nil"/>
          <w:bottom w:val="nil"/>
          <w:right w:val="nil"/>
          <w:between w:val="nil"/>
        </w:pBdr>
        <w:rPr>
          <w:rFonts w:ascii="Palatino Linotype" w:eastAsia="Palatino Linotype" w:hAnsi="Palatino Linotype" w:cs="Palatino Linotype"/>
          <w:color w:val="000000" w:themeColor="text1"/>
        </w:rPr>
      </w:pPr>
    </w:p>
    <w:tbl>
      <w:tblPr>
        <w:tblStyle w:val="a8"/>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926"/>
        <w:gridCol w:w="3169"/>
      </w:tblGrid>
      <w:tr w:rsidR="00006B67" w:rsidRPr="00613100" w:rsidTr="002816F3">
        <w:trPr>
          <w:jc w:val="center"/>
        </w:trPr>
        <w:tc>
          <w:tcPr>
            <w:tcW w:w="3256" w:type="dxa"/>
            <w:shd w:val="clear" w:color="auto" w:fill="D9D9D9"/>
          </w:tcPr>
          <w:p w:rsidR="00B42685" w:rsidRPr="00613100" w:rsidRDefault="004F306B" w:rsidP="00006B67">
            <w:pPr>
              <w:spacing w:line="360" w:lineRule="auto"/>
              <w:jc w:val="center"/>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b/>
                <w:color w:val="000000" w:themeColor="text1"/>
              </w:rPr>
              <w:t>Información solicitada</w:t>
            </w:r>
          </w:p>
        </w:tc>
        <w:tc>
          <w:tcPr>
            <w:tcW w:w="2926" w:type="dxa"/>
            <w:shd w:val="clear" w:color="auto" w:fill="D9D9D9"/>
          </w:tcPr>
          <w:p w:rsidR="00B42685" w:rsidRPr="00613100" w:rsidRDefault="004F306B" w:rsidP="00006B67">
            <w:pPr>
              <w:spacing w:line="360" w:lineRule="auto"/>
              <w:jc w:val="center"/>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b/>
                <w:color w:val="000000" w:themeColor="text1"/>
              </w:rPr>
              <w:t>Respuesta</w:t>
            </w:r>
          </w:p>
        </w:tc>
        <w:tc>
          <w:tcPr>
            <w:tcW w:w="3169" w:type="dxa"/>
            <w:shd w:val="clear" w:color="auto" w:fill="D9D9D9"/>
          </w:tcPr>
          <w:p w:rsidR="00B42685" w:rsidRPr="00613100" w:rsidRDefault="004F306B" w:rsidP="00006B67">
            <w:pPr>
              <w:spacing w:line="360" w:lineRule="auto"/>
              <w:jc w:val="center"/>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b/>
                <w:color w:val="000000" w:themeColor="text1"/>
              </w:rPr>
              <w:t>Comentario</w:t>
            </w:r>
          </w:p>
        </w:tc>
      </w:tr>
      <w:tr w:rsidR="00006B67" w:rsidRPr="00613100" w:rsidTr="002816F3">
        <w:trPr>
          <w:jc w:val="center"/>
        </w:trPr>
        <w:tc>
          <w:tcPr>
            <w:tcW w:w="3256" w:type="dxa"/>
          </w:tcPr>
          <w:p w:rsidR="00B42685" w:rsidRPr="00613100" w:rsidRDefault="004F306B" w:rsidP="00006B67">
            <w:pPr>
              <w:pBdr>
                <w:top w:val="nil"/>
                <w:left w:val="nil"/>
                <w:bottom w:val="nil"/>
                <w:right w:val="nil"/>
                <w:between w:val="nil"/>
              </w:pBd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color w:val="000000" w:themeColor="text1"/>
              </w:rPr>
              <w:t>Nómina de los servidores públicos (sindicalizados, de confianza, lista de raya o eventuales y mandos medios y superiores) adscritos al OAS Naucalpan de Juárez, correspondiente a la primera y segunda quincena de junio de 2025.</w:t>
            </w:r>
          </w:p>
        </w:tc>
        <w:tc>
          <w:tcPr>
            <w:tcW w:w="2926" w:type="dxa"/>
          </w:tcPr>
          <w:p w:rsidR="00B42685" w:rsidRPr="00613100" w:rsidRDefault="004F306B" w:rsidP="00006B67">
            <w:pPr>
              <w:pBdr>
                <w:top w:val="nil"/>
                <w:left w:val="nil"/>
                <w:bottom w:val="nil"/>
                <w:right w:val="nil"/>
                <w:between w:val="nil"/>
              </w:pBdr>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La Dirección de Administración remitió dos registros de percepciones correspondientes a la primera y segunda quincena de junio de 2025, bajo los siguientes rubros: tipo de contrato (eventual, confianza, sindicalizado y mandos </w:t>
            </w:r>
            <w:r w:rsidRPr="00613100">
              <w:rPr>
                <w:rFonts w:ascii="Palatino Linotype" w:eastAsia="Palatino Linotype" w:hAnsi="Palatino Linotype" w:cs="Palatino Linotype"/>
                <w:color w:val="000000" w:themeColor="text1"/>
              </w:rPr>
              <w:lastRenderedPageBreak/>
              <w:t>medios y superiores), número de empleados, total de percepciones, total de deducciones, total neto pagado y total.</w:t>
            </w:r>
          </w:p>
        </w:tc>
        <w:tc>
          <w:tcPr>
            <w:tcW w:w="3169" w:type="dxa"/>
          </w:tcPr>
          <w:p w:rsidR="00B42685" w:rsidRPr="00613100" w:rsidRDefault="004F306B" w:rsidP="00006B67">
            <w:pPr>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lastRenderedPageBreak/>
              <w:t xml:space="preserve">El documento remitido </w:t>
            </w:r>
            <w:r w:rsidRPr="00613100">
              <w:rPr>
                <w:rFonts w:ascii="Palatino Linotype" w:eastAsia="Palatino Linotype" w:hAnsi="Palatino Linotype" w:cs="Palatino Linotype"/>
                <w:b/>
                <w:color w:val="000000" w:themeColor="text1"/>
              </w:rPr>
              <w:t>no colma</w:t>
            </w:r>
            <w:r w:rsidRPr="00613100">
              <w:rPr>
                <w:rFonts w:ascii="Palatino Linotype" w:eastAsia="Palatino Linotype" w:hAnsi="Palatino Linotype" w:cs="Palatino Linotype"/>
                <w:color w:val="000000" w:themeColor="text1"/>
              </w:rPr>
              <w:t xml:space="preserve"> el requerimiento de información, derivado de que no constan los elementos relativos a la nómina solicitada, sino el monto total de percepciones por tipo de contrato (eventual, confianza, sindicalizado y mandos medios y superiores); como </w:t>
            </w:r>
            <w:r w:rsidRPr="00613100">
              <w:rPr>
                <w:rFonts w:ascii="Palatino Linotype" w:eastAsia="Palatino Linotype" w:hAnsi="Palatino Linotype" w:cs="Palatino Linotype"/>
                <w:color w:val="000000" w:themeColor="text1"/>
              </w:rPr>
              <w:lastRenderedPageBreak/>
              <w:t>se observa en la siguiente captura de pantalla:</w:t>
            </w:r>
          </w:p>
        </w:tc>
      </w:tr>
    </w:tbl>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noProof/>
          <w:color w:val="000000" w:themeColor="text1"/>
          <w:lang w:val="es-MX"/>
        </w:rPr>
        <w:drawing>
          <wp:inline distT="0" distB="0" distL="0" distR="0">
            <wp:extent cx="5361940" cy="4669790"/>
            <wp:effectExtent l="0" t="0" r="0" b="0"/>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926"/>
                    <a:stretch>
                      <a:fillRect/>
                    </a:stretch>
                  </pic:blipFill>
                  <pic:spPr>
                    <a:xfrm>
                      <a:off x="0" y="0"/>
                      <a:ext cx="5361940" cy="4669790"/>
                    </a:xfrm>
                    <a:prstGeom prst="rect">
                      <a:avLst/>
                    </a:prstGeom>
                    <a:ln/>
                  </pic:spPr>
                </pic:pic>
              </a:graphicData>
            </a:graphic>
          </wp:inline>
        </w:drawing>
      </w:r>
    </w:p>
    <w:p w:rsidR="00B42685" w:rsidRPr="00613100" w:rsidRDefault="00B42685" w:rsidP="00006B67">
      <w:pPr>
        <w:pBdr>
          <w:top w:val="nil"/>
          <w:left w:val="nil"/>
          <w:bottom w:val="nil"/>
          <w:right w:val="nil"/>
          <w:between w:val="nil"/>
        </w:pBdr>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 xml:space="preserve">En consecuencia, el </w:t>
      </w:r>
      <w:r w:rsidRPr="00613100">
        <w:rPr>
          <w:rFonts w:ascii="Palatino Linotype" w:eastAsia="Palatino Linotype" w:hAnsi="Palatino Linotype" w:cs="Palatino Linotype"/>
          <w:b/>
          <w:color w:val="000000" w:themeColor="text1"/>
        </w:rPr>
        <w:t xml:space="preserve">RECURRENTE </w:t>
      </w:r>
      <w:r w:rsidRPr="00613100">
        <w:rPr>
          <w:rFonts w:ascii="Palatino Linotype" w:eastAsia="Palatino Linotype" w:hAnsi="Palatino Linotype" w:cs="Palatino Linotype"/>
          <w:color w:val="000000" w:themeColor="text1"/>
        </w:rPr>
        <w:t xml:space="preserve">interpuso recurso de revisión en el que se inconformó por </w:t>
      </w:r>
      <w:r w:rsidRPr="00613100">
        <w:rPr>
          <w:rFonts w:ascii="Palatino Linotype" w:eastAsia="Palatino Linotype" w:hAnsi="Palatino Linotype" w:cs="Palatino Linotype"/>
          <w:b/>
          <w:color w:val="000000" w:themeColor="text1"/>
        </w:rPr>
        <w:t>la negativa de la información solicitada.</w:t>
      </w: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lastRenderedPageBreak/>
        <w:t xml:space="preserve">En atención a lo expuesto, es necesario señalar que se obvia el análisis de la competencia por parte del </w:t>
      </w:r>
      <w:r w:rsidRPr="00613100">
        <w:rPr>
          <w:rFonts w:ascii="Palatino Linotype" w:eastAsia="Palatino Linotype" w:hAnsi="Palatino Linotype" w:cs="Palatino Linotype"/>
          <w:b/>
          <w:color w:val="000000" w:themeColor="text1"/>
        </w:rPr>
        <w:t>SUJETO OBLIGADO</w:t>
      </w:r>
      <w:r w:rsidRPr="00613100">
        <w:rPr>
          <w:rFonts w:ascii="Palatino Linotype" w:eastAsia="Palatino Linotype" w:hAnsi="Palatino Linotype" w:cs="Palatino Linotype"/>
          <w:color w:val="000000" w:themeColor="text1"/>
        </w:rPr>
        <w:t>, para generar, administrar o poseer la información solicitada, dado que éste ha asumido la misma, tan es así que hizo entrega de un documento donde consta el monto total de percepciones por tipo de contrato (eventual, confianza, sindicalizado y mandos medios y superiores), no obstante, este no da cuenta de las percepciones de los Servidores Públicos.</w:t>
      </w:r>
    </w:p>
    <w:p w:rsidR="00B42685" w:rsidRPr="00613100" w:rsidRDefault="00B42685" w:rsidP="00006B67">
      <w:pPr>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Ahora bien, el hecho de que el</w:t>
      </w:r>
      <w:r w:rsidRPr="00613100">
        <w:rPr>
          <w:rFonts w:ascii="Palatino Linotype" w:eastAsia="Palatino Linotype" w:hAnsi="Palatino Linotype" w:cs="Palatino Linotype"/>
          <w:b/>
          <w:color w:val="000000" w:themeColor="text1"/>
        </w:rPr>
        <w:t xml:space="preserve"> SUJETO OBLIGADO</w:t>
      </w:r>
      <w:r w:rsidRPr="00613100">
        <w:rPr>
          <w:rFonts w:ascii="Palatino Linotype" w:eastAsia="Palatino Linotype" w:hAnsi="Palatino Linotype" w:cs="Palatino Linotype"/>
          <w:color w:val="000000" w:themeColor="text1"/>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B42685" w:rsidRPr="00613100" w:rsidRDefault="004F306B" w:rsidP="00006B67">
      <w:pPr>
        <w:shd w:val="clear" w:color="auto" w:fill="FFFFFF"/>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w:t>
      </w:r>
      <w:r w:rsidRPr="00613100">
        <w:rPr>
          <w:rFonts w:ascii="Palatino Linotype" w:eastAsia="Palatino Linotype" w:hAnsi="Palatino Linotype" w:cs="Palatino Linotype"/>
          <w:b/>
          <w:i/>
          <w:color w:val="000000" w:themeColor="text1"/>
        </w:rPr>
        <w:t>Artículo 12.</w:t>
      </w:r>
      <w:r w:rsidRPr="00613100">
        <w:rPr>
          <w:rFonts w:ascii="Palatino Linotype" w:eastAsia="Palatino Linotype" w:hAnsi="Palatino Linotype" w:cs="Palatino Linotype"/>
          <w:i/>
          <w:color w:val="000000" w:themeColor="text1"/>
        </w:rPr>
        <w:t> Quienes generen, recopilen, administren, manejen, procesen, archiven o conserven información pública serán responsables de la misma en los términos de las disposiciones jurídicas aplicables.</w:t>
      </w:r>
    </w:p>
    <w:p w:rsidR="00B42685" w:rsidRPr="00613100" w:rsidRDefault="00B42685" w:rsidP="00006B67">
      <w:pPr>
        <w:shd w:val="clear" w:color="auto" w:fill="FFFFFF"/>
        <w:jc w:val="both"/>
        <w:rPr>
          <w:rFonts w:ascii="Palatino Linotype" w:eastAsia="Palatino Linotype" w:hAnsi="Palatino Linotype" w:cs="Palatino Linotype"/>
          <w:color w:val="000000" w:themeColor="text1"/>
        </w:rPr>
      </w:pPr>
    </w:p>
    <w:p w:rsidR="00B42685" w:rsidRPr="00613100" w:rsidRDefault="004F306B" w:rsidP="00006B67">
      <w:pPr>
        <w:shd w:val="clear" w:color="auto" w:fill="FFFFFF"/>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Precisado lo anterior, resulta conveniente mencionar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w:t>
      </w:r>
      <w:r w:rsidRPr="00613100">
        <w:rPr>
          <w:rFonts w:ascii="Palatino Linotype" w:eastAsia="Palatino Linotype" w:hAnsi="Palatino Linotype" w:cs="Palatino Linotype"/>
          <w:color w:val="000000" w:themeColor="text1"/>
        </w:rPr>
        <w:lastRenderedPageBreak/>
        <w:t>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B42685" w:rsidRPr="00613100" w:rsidRDefault="004F306B" w:rsidP="00006B67">
      <w:pPr>
        <w:pBdr>
          <w:top w:val="nil"/>
          <w:left w:val="nil"/>
          <w:bottom w:val="nil"/>
          <w:right w:val="nil"/>
          <w:between w:val="nil"/>
        </w:pBd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 xml:space="preserve">“NÓMINA </w:t>
      </w:r>
      <w:r w:rsidRPr="00613100">
        <w:rPr>
          <w:rFonts w:ascii="Palatino Linotype" w:eastAsia="Palatino Linotype" w:hAnsi="Palatino Linotype" w:cs="Palatino Linotype"/>
          <w:i/>
          <w:color w:val="000000" w:themeColor="text1"/>
        </w:rPr>
        <w:t>Listado general de los trabajadores de una institución, en</w:t>
      </w:r>
      <w:r w:rsidRPr="00613100">
        <w:rPr>
          <w:rFonts w:ascii="Palatino Linotype" w:eastAsia="Palatino Linotype" w:hAnsi="Palatino Linotype" w:cs="Palatino Linotype"/>
          <w:b/>
          <w:i/>
          <w:color w:val="000000" w:themeColor="text1"/>
        </w:rPr>
        <w:t xml:space="preserve"> </w:t>
      </w:r>
      <w:r w:rsidRPr="00613100">
        <w:rPr>
          <w:rFonts w:ascii="Palatino Linotype" w:eastAsia="Palatino Linotype" w:hAnsi="Palatino Linotype" w:cs="Palatino Linotype"/>
          <w:i/>
          <w:color w:val="000000" w:themeColor="text1"/>
        </w:rPr>
        <w:t>el cual se asientan las percepciones brutas, deducciones y</w:t>
      </w:r>
      <w:r w:rsidRPr="00613100">
        <w:rPr>
          <w:rFonts w:ascii="Palatino Linotype" w:eastAsia="Palatino Linotype" w:hAnsi="Palatino Linotype" w:cs="Palatino Linotype"/>
          <w:b/>
          <w:i/>
          <w:color w:val="000000" w:themeColor="text1"/>
        </w:rPr>
        <w:t xml:space="preserve"> </w:t>
      </w:r>
      <w:r w:rsidRPr="00613100">
        <w:rPr>
          <w:rFonts w:ascii="Palatino Linotype" w:eastAsia="Palatino Linotype" w:hAnsi="Palatino Linotype" w:cs="Palatino Linotype"/>
          <w:i/>
          <w:color w:val="000000" w:themeColor="text1"/>
        </w:rPr>
        <w:t>alcance neto de las mismas; la nómina es utilizada para</w:t>
      </w:r>
      <w:r w:rsidRPr="00613100">
        <w:rPr>
          <w:rFonts w:ascii="Palatino Linotype" w:eastAsia="Palatino Linotype" w:hAnsi="Palatino Linotype" w:cs="Palatino Linotype"/>
          <w:b/>
          <w:i/>
          <w:color w:val="000000" w:themeColor="text1"/>
        </w:rPr>
        <w:t xml:space="preserve"> </w:t>
      </w:r>
      <w:r w:rsidRPr="00613100">
        <w:rPr>
          <w:rFonts w:ascii="Palatino Linotype" w:eastAsia="Palatino Linotype" w:hAnsi="Palatino Linotype" w:cs="Palatino Linotype"/>
          <w:i/>
          <w:color w:val="000000" w:themeColor="text1"/>
        </w:rPr>
        <w:t>efectuar los pagos periódicos (semanales, quincenales o</w:t>
      </w:r>
      <w:r w:rsidRPr="00613100">
        <w:rPr>
          <w:rFonts w:ascii="Palatino Linotype" w:eastAsia="Palatino Linotype" w:hAnsi="Palatino Linotype" w:cs="Palatino Linotype"/>
          <w:b/>
          <w:i/>
          <w:color w:val="000000" w:themeColor="text1"/>
        </w:rPr>
        <w:t xml:space="preserve"> </w:t>
      </w:r>
      <w:r w:rsidRPr="00613100">
        <w:rPr>
          <w:rFonts w:ascii="Palatino Linotype" w:eastAsia="Palatino Linotype" w:hAnsi="Palatino Linotype" w:cs="Palatino Linotype"/>
          <w:i/>
          <w:color w:val="000000" w:themeColor="text1"/>
        </w:rPr>
        <w:t>mensuales) a los trabajadores por concepto de sueldos y</w:t>
      </w:r>
      <w:r w:rsidRPr="00613100">
        <w:rPr>
          <w:rFonts w:ascii="Palatino Linotype" w:eastAsia="Palatino Linotype" w:hAnsi="Palatino Linotype" w:cs="Palatino Linotype"/>
          <w:b/>
          <w:i/>
          <w:color w:val="000000" w:themeColor="text1"/>
        </w:rPr>
        <w:t xml:space="preserve"> </w:t>
      </w:r>
      <w:r w:rsidRPr="00613100">
        <w:rPr>
          <w:rFonts w:ascii="Palatino Linotype" w:eastAsia="Palatino Linotype" w:hAnsi="Palatino Linotype" w:cs="Palatino Linotype"/>
          <w:i/>
          <w:color w:val="000000" w:themeColor="text1"/>
        </w:rPr>
        <w:t>salarios.”</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Con base a lo anterior, conviene a traer lo establecido por el artículo 804, fracción II, de la Ley Federal de Trabajo, el cual a la letra establece: </w:t>
      </w:r>
    </w:p>
    <w:p w:rsidR="00B42685" w:rsidRPr="00613100" w:rsidRDefault="004F306B" w:rsidP="00006B67">
      <w:pP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w:t>
      </w:r>
      <w:r w:rsidRPr="00613100">
        <w:rPr>
          <w:rFonts w:ascii="Palatino Linotype" w:eastAsia="Palatino Linotype" w:hAnsi="Palatino Linotype" w:cs="Palatino Linotype"/>
          <w:b/>
          <w:i/>
          <w:color w:val="000000" w:themeColor="text1"/>
        </w:rPr>
        <w:t>Artículo 804.-</w:t>
      </w:r>
      <w:r w:rsidRPr="00613100">
        <w:rPr>
          <w:rFonts w:ascii="Palatino Linotype" w:eastAsia="Palatino Linotype" w:hAnsi="Palatino Linotype" w:cs="Palatino Linotype"/>
          <w:i/>
          <w:color w:val="000000" w:themeColor="text1"/>
        </w:rPr>
        <w:t xml:space="preserve"> </w:t>
      </w:r>
      <w:r w:rsidRPr="00613100">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613100">
        <w:rPr>
          <w:rFonts w:ascii="Palatino Linotype" w:eastAsia="Palatino Linotype" w:hAnsi="Palatino Linotype" w:cs="Palatino Linotype"/>
          <w:i/>
          <w:color w:val="000000" w:themeColor="text1"/>
        </w:rPr>
        <w:t>:</w:t>
      </w:r>
    </w:p>
    <w:p w:rsidR="00B42685" w:rsidRPr="00613100" w:rsidRDefault="00B42685" w:rsidP="00006B67">
      <w:pPr>
        <w:jc w:val="both"/>
        <w:rPr>
          <w:rFonts w:ascii="Palatino Linotype" w:eastAsia="Palatino Linotype" w:hAnsi="Palatino Linotype" w:cs="Palatino Linotype"/>
          <w:i/>
          <w:color w:val="000000" w:themeColor="text1"/>
        </w:rPr>
      </w:pPr>
    </w:p>
    <w:p w:rsidR="00B42685" w:rsidRPr="00613100" w:rsidRDefault="004F306B" w:rsidP="00006B67">
      <w:pPr>
        <w:jc w:val="both"/>
        <w:rPr>
          <w:rFonts w:ascii="Palatino Linotype" w:eastAsia="Palatino Linotype" w:hAnsi="Palatino Linotype" w:cs="Palatino Linotype"/>
          <w:b/>
          <w:i/>
          <w:color w:val="000000" w:themeColor="text1"/>
        </w:rPr>
      </w:pPr>
      <w:r w:rsidRPr="00613100">
        <w:rPr>
          <w:rFonts w:ascii="Palatino Linotype" w:eastAsia="Palatino Linotype" w:hAnsi="Palatino Linotype" w:cs="Palatino Linotype"/>
          <w:b/>
          <w:i/>
          <w:color w:val="000000" w:themeColor="text1"/>
        </w:rPr>
        <w:t>II.</w:t>
      </w:r>
      <w:r w:rsidRPr="00613100">
        <w:rPr>
          <w:rFonts w:ascii="Palatino Linotype" w:eastAsia="Palatino Linotype" w:hAnsi="Palatino Linotype" w:cs="Palatino Linotype"/>
          <w:i/>
          <w:color w:val="000000" w:themeColor="text1"/>
        </w:rPr>
        <w:t xml:space="preserve"> </w:t>
      </w:r>
      <w:r w:rsidRPr="00613100">
        <w:rPr>
          <w:rFonts w:ascii="Palatino Linotype" w:eastAsia="Palatino Linotype" w:hAnsi="Palatino Linotype" w:cs="Palatino Linotype"/>
          <w:b/>
          <w:i/>
          <w:color w:val="000000" w:themeColor="text1"/>
        </w:rPr>
        <w:t>Listas de raya o nómina de personal</w:t>
      </w:r>
      <w:r w:rsidRPr="00613100">
        <w:rPr>
          <w:rFonts w:ascii="Palatino Linotype" w:eastAsia="Palatino Linotype" w:hAnsi="Palatino Linotype" w:cs="Palatino Linotype"/>
          <w:i/>
          <w:color w:val="000000" w:themeColor="text1"/>
        </w:rPr>
        <w:t xml:space="preserve">, </w:t>
      </w:r>
      <w:r w:rsidRPr="00613100">
        <w:rPr>
          <w:rFonts w:ascii="Palatino Linotype" w:eastAsia="Palatino Linotype" w:hAnsi="Palatino Linotype" w:cs="Palatino Linotype"/>
          <w:b/>
          <w:i/>
          <w:color w:val="000000" w:themeColor="text1"/>
        </w:rPr>
        <w:t xml:space="preserve">cuando se lleven en el centro de trabajo; o recibos de pagos de salarios; </w:t>
      </w:r>
    </w:p>
    <w:p w:rsidR="00B42685" w:rsidRPr="00613100" w:rsidRDefault="004F306B" w:rsidP="00006B67">
      <w:pP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w:t>
      </w:r>
    </w:p>
    <w:p w:rsidR="00B42685" w:rsidRPr="00613100" w:rsidRDefault="004F306B" w:rsidP="00006B67">
      <w:pP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613100">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613100">
        <w:rPr>
          <w:rFonts w:ascii="Palatino Linotype" w:eastAsia="Palatino Linotype" w:hAnsi="Palatino Linotype" w:cs="Palatino Linotype"/>
          <w:i/>
          <w:color w:val="000000" w:themeColor="text1"/>
        </w:rPr>
        <w:t>; y los mencionados en la fracción V, conforme lo señalen las Leyes que los rijan.”</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De lo precedente, se concluye que la nómina, es el registro utilizado para efectuar los pagos a los trabajadores por concepto de sueldos y salarios, el cual se compone por el </w:t>
      </w:r>
      <w:r w:rsidRPr="00613100">
        <w:rPr>
          <w:rFonts w:ascii="Palatino Linotype" w:eastAsia="Palatino Linotype" w:hAnsi="Palatino Linotype" w:cs="Palatino Linotype"/>
          <w:color w:val="000000" w:themeColor="text1"/>
        </w:rPr>
        <w:lastRenderedPageBreak/>
        <w:t>conjunto de trabajadores en el que se asientan las percepciones brutas, deducciones y la cantidad neta a pagar.</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rsidR="00B42685" w:rsidRPr="00613100" w:rsidRDefault="004F306B" w:rsidP="00006B67">
      <w:pPr>
        <w:tabs>
          <w:tab w:val="left" w:pos="9072"/>
        </w:tabs>
        <w:spacing w:before="240"/>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“ARTÍCULO 220 K.-</w:t>
      </w:r>
      <w:r w:rsidRPr="00613100">
        <w:rPr>
          <w:rFonts w:ascii="Palatino Linotype" w:eastAsia="Palatino Linotype" w:hAnsi="Palatino Linotype" w:cs="Palatino Linotype"/>
          <w:i/>
          <w:color w:val="000000" w:themeColor="text1"/>
        </w:rPr>
        <w:t xml:space="preserve"> La </w:t>
      </w:r>
      <w:r w:rsidRPr="00613100">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613100">
        <w:rPr>
          <w:rFonts w:ascii="Palatino Linotype" w:eastAsia="Palatino Linotype" w:hAnsi="Palatino Linotype" w:cs="Palatino Linotype"/>
          <w:i/>
          <w:color w:val="000000" w:themeColor="text1"/>
        </w:rPr>
        <w:t xml:space="preserve"> </w:t>
      </w:r>
      <w:r w:rsidRPr="00613100">
        <w:rPr>
          <w:rFonts w:ascii="Palatino Linotype" w:eastAsia="Palatino Linotype" w:hAnsi="Palatino Linotype" w:cs="Palatino Linotype"/>
          <w:b/>
          <w:i/>
          <w:color w:val="000000" w:themeColor="text1"/>
        </w:rPr>
        <w:t>se precisan</w:t>
      </w:r>
      <w:r w:rsidRPr="00613100">
        <w:rPr>
          <w:rFonts w:ascii="Palatino Linotype" w:eastAsia="Palatino Linotype" w:hAnsi="Palatino Linotype" w:cs="Palatino Linotype"/>
          <w:i/>
          <w:color w:val="000000" w:themeColor="text1"/>
        </w:rPr>
        <w:t>:</w:t>
      </w:r>
    </w:p>
    <w:p w:rsidR="00B42685" w:rsidRPr="00613100" w:rsidRDefault="004F306B" w:rsidP="00006B67">
      <w:pPr>
        <w:tabs>
          <w:tab w:val="left" w:pos="9072"/>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w:t>
      </w:r>
    </w:p>
    <w:p w:rsidR="00B42685" w:rsidRPr="00613100" w:rsidRDefault="004F306B" w:rsidP="00006B67">
      <w:pPr>
        <w:tabs>
          <w:tab w:val="left" w:pos="9072"/>
        </w:tabs>
        <w:jc w:val="both"/>
        <w:rPr>
          <w:rFonts w:ascii="Palatino Linotype" w:eastAsia="Palatino Linotype" w:hAnsi="Palatino Linotype" w:cs="Palatino Linotype"/>
          <w:b/>
          <w:i/>
          <w:color w:val="000000" w:themeColor="text1"/>
        </w:rPr>
      </w:pPr>
      <w:r w:rsidRPr="00613100">
        <w:rPr>
          <w:rFonts w:ascii="Palatino Linotype" w:eastAsia="Palatino Linotype" w:hAnsi="Palatino Linotype" w:cs="Palatino Linotype"/>
          <w:i/>
          <w:color w:val="000000" w:themeColor="text1"/>
        </w:rPr>
        <w:t xml:space="preserve">II. </w:t>
      </w:r>
      <w:r w:rsidRPr="00613100">
        <w:rPr>
          <w:rFonts w:ascii="Palatino Linotype" w:eastAsia="Palatino Linotype" w:hAnsi="Palatino Linotype" w:cs="Palatino Linotype"/>
          <w:b/>
          <w:i/>
          <w:color w:val="000000" w:themeColor="text1"/>
        </w:rPr>
        <w:t>Recibos de pagos de salarios o</w:t>
      </w:r>
      <w:r w:rsidRPr="00613100">
        <w:rPr>
          <w:rFonts w:ascii="Palatino Linotype" w:eastAsia="Palatino Linotype" w:hAnsi="Palatino Linotype" w:cs="Palatino Linotype"/>
          <w:i/>
          <w:color w:val="000000" w:themeColor="text1"/>
        </w:rPr>
        <w:t xml:space="preserve"> </w:t>
      </w:r>
      <w:r w:rsidRPr="00613100">
        <w:rPr>
          <w:rFonts w:ascii="Palatino Linotype" w:eastAsia="Palatino Linotype" w:hAnsi="Palatino Linotype" w:cs="Palatino Linotype"/>
          <w:b/>
          <w:i/>
          <w:color w:val="000000" w:themeColor="text1"/>
        </w:rPr>
        <w:t>las constancias documentales del pago de salario</w:t>
      </w:r>
      <w:r w:rsidRPr="00613100">
        <w:rPr>
          <w:rFonts w:ascii="Palatino Linotype" w:eastAsia="Palatino Linotype" w:hAnsi="Palatino Linotype" w:cs="Palatino Linotype"/>
          <w:i/>
          <w:color w:val="000000" w:themeColor="text1"/>
        </w:rPr>
        <w:t xml:space="preserve"> </w:t>
      </w:r>
      <w:r w:rsidRPr="00613100">
        <w:rPr>
          <w:rFonts w:ascii="Palatino Linotype" w:eastAsia="Palatino Linotype" w:hAnsi="Palatino Linotype" w:cs="Palatino Linotype"/>
          <w:b/>
          <w:i/>
          <w:color w:val="000000" w:themeColor="text1"/>
        </w:rPr>
        <w:t xml:space="preserve">cuando </w:t>
      </w:r>
      <w:r w:rsidRPr="00613100">
        <w:rPr>
          <w:rFonts w:ascii="Palatino Linotype" w:eastAsia="Palatino Linotype" w:hAnsi="Palatino Linotype" w:cs="Palatino Linotype"/>
          <w:b/>
          <w:i/>
          <w:color w:val="000000" w:themeColor="text1"/>
          <w:u w:val="single"/>
        </w:rPr>
        <w:t>sea por depósito o mediante información electrónica</w:t>
      </w:r>
      <w:r w:rsidRPr="00613100">
        <w:rPr>
          <w:rFonts w:ascii="Palatino Linotype" w:eastAsia="Palatino Linotype" w:hAnsi="Palatino Linotype" w:cs="Palatino Linotype"/>
          <w:b/>
          <w:i/>
          <w:color w:val="000000" w:themeColor="text1"/>
        </w:rPr>
        <w:t>;</w:t>
      </w:r>
    </w:p>
    <w:p w:rsidR="00B42685" w:rsidRPr="00613100" w:rsidRDefault="004F306B" w:rsidP="00006B67">
      <w:pPr>
        <w:tabs>
          <w:tab w:val="left" w:pos="9072"/>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w:t>
      </w:r>
    </w:p>
    <w:p w:rsidR="00B42685" w:rsidRPr="00613100" w:rsidRDefault="004F306B" w:rsidP="00006B67">
      <w:pPr>
        <w:tabs>
          <w:tab w:val="left" w:pos="9072"/>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B42685" w:rsidRPr="00613100" w:rsidRDefault="004F306B" w:rsidP="00006B67">
      <w:pPr>
        <w:tabs>
          <w:tab w:val="left" w:pos="9072"/>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lastRenderedPageBreak/>
        <w:t xml:space="preserve">Una vez precisado lo que antecede, es necesario analizar la Ley de Fiscalización Superior del Estado de México, toda vez que señala que los municipios que conforman el Estado de México, entre ellos el </w:t>
      </w:r>
      <w:r w:rsidRPr="00613100">
        <w:rPr>
          <w:rFonts w:ascii="Palatino Linotype" w:eastAsia="Palatino Linotype" w:hAnsi="Palatino Linotype" w:cs="Palatino Linotype"/>
          <w:b/>
          <w:color w:val="000000" w:themeColor="text1"/>
        </w:rPr>
        <w:t>SUJETO OBLIGADO</w:t>
      </w:r>
      <w:r w:rsidRPr="00613100">
        <w:rPr>
          <w:rFonts w:ascii="Palatino Linotype" w:eastAsia="Palatino Linotype" w:hAnsi="Palatino Linotype" w:cs="Palatino Linotype"/>
          <w:color w:val="000000" w:themeColor="text1"/>
        </w:rPr>
        <w:t>, es considerado como ente fiscalizable, como así lo señala el artículo 4 fracción II de la Ley de Fiscalización Superior del Estado de México, el cual señala:</w:t>
      </w:r>
    </w:p>
    <w:p w:rsidR="00B42685" w:rsidRPr="00613100" w:rsidRDefault="004F306B" w:rsidP="00006B67">
      <w:pPr>
        <w:spacing w:before="240"/>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“Artículo 4.- Son sujetos de fiscalización:</w:t>
      </w:r>
    </w:p>
    <w:p w:rsidR="00B42685" w:rsidRPr="00613100" w:rsidRDefault="004F306B" w:rsidP="00006B67">
      <w:pPr>
        <w:numPr>
          <w:ilvl w:val="1"/>
          <w:numId w:val="3"/>
        </w:numPr>
        <w:pBdr>
          <w:top w:val="nil"/>
          <w:left w:val="nil"/>
          <w:bottom w:val="nil"/>
          <w:right w:val="nil"/>
          <w:between w:val="nil"/>
        </w:pBdr>
        <w:spacing w:before="240"/>
        <w:ind w:left="0" w:firstLine="0"/>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 xml:space="preserve">Los Poderes Públicos del Estado; </w:t>
      </w:r>
    </w:p>
    <w:p w:rsidR="00B42685" w:rsidRPr="00613100" w:rsidRDefault="004F306B" w:rsidP="00006B67">
      <w:pPr>
        <w:pBdr>
          <w:top w:val="nil"/>
          <w:left w:val="nil"/>
          <w:bottom w:val="nil"/>
          <w:right w:val="nil"/>
          <w:between w:val="nil"/>
        </w:pBdr>
        <w:jc w:val="both"/>
        <w:rPr>
          <w:rFonts w:ascii="Palatino Linotype" w:eastAsia="Palatino Linotype" w:hAnsi="Palatino Linotype" w:cs="Palatino Linotype"/>
          <w:b/>
          <w:i/>
          <w:color w:val="000000" w:themeColor="text1"/>
        </w:rPr>
      </w:pPr>
      <w:r w:rsidRPr="00613100">
        <w:rPr>
          <w:rFonts w:ascii="Palatino Linotype" w:eastAsia="Palatino Linotype" w:hAnsi="Palatino Linotype" w:cs="Palatino Linotype"/>
          <w:b/>
          <w:i/>
          <w:color w:val="000000" w:themeColor="text1"/>
        </w:rPr>
        <w:t xml:space="preserve">II. Los municipios del Estado de México; </w:t>
      </w:r>
    </w:p>
    <w:p w:rsidR="00B42685" w:rsidRPr="00613100" w:rsidRDefault="004F306B" w:rsidP="00006B67">
      <w:pPr>
        <w:pBdr>
          <w:top w:val="nil"/>
          <w:left w:val="nil"/>
          <w:bottom w:val="nil"/>
          <w:right w:val="nil"/>
          <w:between w:val="nil"/>
        </w:pBd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 xml:space="preserve">III. Los organismos autónomos; </w:t>
      </w:r>
    </w:p>
    <w:p w:rsidR="00B42685" w:rsidRPr="00613100" w:rsidRDefault="004F306B" w:rsidP="00006B67">
      <w:pPr>
        <w:pBdr>
          <w:top w:val="nil"/>
          <w:left w:val="nil"/>
          <w:bottom w:val="nil"/>
          <w:right w:val="nil"/>
          <w:between w:val="nil"/>
        </w:pBd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 xml:space="preserve">IV. Los organismos auxiliares; </w:t>
      </w:r>
    </w:p>
    <w:p w:rsidR="00B42685" w:rsidRPr="00613100" w:rsidRDefault="004F306B" w:rsidP="00006B67">
      <w:pPr>
        <w:pBdr>
          <w:top w:val="nil"/>
          <w:left w:val="nil"/>
          <w:bottom w:val="nil"/>
          <w:right w:val="nil"/>
          <w:between w:val="nil"/>
        </w:pBd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613100">
        <w:rPr>
          <w:rFonts w:ascii="Palatino Linotype" w:eastAsia="Palatino Linotype" w:hAnsi="Palatino Linotype" w:cs="Palatino Linotype"/>
          <w:color w:val="000000" w:themeColor="text1"/>
        </w:rPr>
        <w:t xml:space="preserve"> </w:t>
      </w:r>
    </w:p>
    <w:p w:rsidR="00B42685" w:rsidRPr="00613100" w:rsidRDefault="004F306B" w:rsidP="00006B67">
      <w:pPr>
        <w:pBdr>
          <w:top w:val="nil"/>
          <w:left w:val="nil"/>
          <w:bottom w:val="nil"/>
          <w:right w:val="nil"/>
          <w:between w:val="nil"/>
        </w:pBd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Establecido lo anterior, el Órgano Superior de Fiscalización del Estado de México (OSFEM), emite anualmente una herramienta para elaborar y presentar los </w:t>
      </w:r>
      <w:r w:rsidRPr="00613100">
        <w:rPr>
          <w:rFonts w:ascii="Palatino Linotype" w:eastAsia="Palatino Linotype" w:hAnsi="Palatino Linotype" w:cs="Palatino Linotype"/>
          <w:b/>
          <w:color w:val="000000" w:themeColor="text1"/>
        </w:rPr>
        <w:t xml:space="preserve">informes trimestrales, </w:t>
      </w:r>
      <w:r w:rsidRPr="00613100">
        <w:rPr>
          <w:rFonts w:ascii="Palatino Linotype" w:eastAsia="Palatino Linotype" w:hAnsi="Palatino Linotype" w:cs="Palatino Linotype"/>
          <w:color w:val="000000" w:themeColor="text1"/>
        </w:rPr>
        <w:t>denominado “Políticas para la Integración del Informe Trimestral de los Sujetos de Fiscalización Municipales”, cuyo objetivo es establecer las especificaciones necesarias para que las entidades fiscales elaboren y presentes los referidos informes.</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lastRenderedPageBreak/>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La integración del I</w:t>
      </w:r>
      <w:r w:rsidRPr="00613100">
        <w:rPr>
          <w:rFonts w:ascii="Palatino Linotype" w:eastAsia="Palatino Linotype" w:hAnsi="Palatino Linotype" w:cs="Palatino Linotype"/>
          <w:b/>
          <w:color w:val="000000" w:themeColor="text1"/>
        </w:rPr>
        <w:t>nforme Trimestral se entregará de manera física al Órgano Superior de Fiscalización del Estado de México</w:t>
      </w:r>
      <w:r w:rsidRPr="00613100">
        <w:rPr>
          <w:rFonts w:ascii="Palatino Linotype" w:eastAsia="Palatino Linotype" w:hAnsi="Palatino Linotype" w:cs="Palatino Linotype"/>
          <w:color w:val="000000" w:themeColor="text1"/>
        </w:rPr>
        <w:t>, y estará compuesto de la siguiente manera:</w:t>
      </w:r>
    </w:p>
    <w:p w:rsidR="00B42685" w:rsidRPr="00613100" w:rsidRDefault="004F306B" w:rsidP="00006B67">
      <w:pPr>
        <w:numPr>
          <w:ilvl w:val="1"/>
          <w:numId w:val="2"/>
        </w:numPr>
        <w:pBdr>
          <w:top w:val="nil"/>
          <w:left w:val="nil"/>
          <w:bottom w:val="nil"/>
          <w:right w:val="nil"/>
          <w:between w:val="nil"/>
        </w:pBdr>
        <w:tabs>
          <w:tab w:val="left" w:pos="426"/>
        </w:tabs>
        <w:spacing w:before="240"/>
        <w:ind w:left="0" w:firstLine="0"/>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Información impresa; e</w:t>
      </w:r>
    </w:p>
    <w:p w:rsidR="00B42685" w:rsidRPr="00613100" w:rsidRDefault="004F306B" w:rsidP="00006B67">
      <w:pPr>
        <w:numPr>
          <w:ilvl w:val="1"/>
          <w:numId w:val="2"/>
        </w:numPr>
        <w:pBdr>
          <w:top w:val="nil"/>
          <w:left w:val="nil"/>
          <w:bottom w:val="nil"/>
          <w:right w:val="nil"/>
          <w:between w:val="nil"/>
        </w:pBdr>
        <w:tabs>
          <w:tab w:val="left" w:pos="426"/>
        </w:tabs>
        <w:ind w:left="0" w:firstLine="0"/>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Información en medio de almacenamiento electrónico.</w:t>
      </w:r>
    </w:p>
    <w:p w:rsidR="00B42685" w:rsidRPr="00613100" w:rsidRDefault="00B42685" w:rsidP="00006B6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p>
    <w:p w:rsidR="00B42685" w:rsidRPr="00613100" w:rsidRDefault="004F306B" w:rsidP="00006B67">
      <w:pPr>
        <w:numPr>
          <w:ilvl w:val="0"/>
          <w:numId w:val="2"/>
        </w:numP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rsidR="00B42685" w:rsidRPr="00613100" w:rsidRDefault="004F306B" w:rsidP="00006B67">
      <w:pPr>
        <w:numPr>
          <w:ilvl w:val="1"/>
          <w:numId w:val="2"/>
        </w:numPr>
        <w:pBdr>
          <w:top w:val="nil"/>
          <w:left w:val="nil"/>
          <w:bottom w:val="nil"/>
          <w:right w:val="nil"/>
          <w:between w:val="nil"/>
        </w:pBdr>
        <w:tabs>
          <w:tab w:val="left" w:pos="426"/>
        </w:tabs>
        <w:spacing w:before="240"/>
        <w:ind w:left="0" w:firstLine="0"/>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Módulo 1: Información contable y financiera;</w:t>
      </w:r>
    </w:p>
    <w:p w:rsidR="00B42685" w:rsidRPr="00613100" w:rsidRDefault="004F306B" w:rsidP="00006B67">
      <w:pPr>
        <w:numPr>
          <w:ilvl w:val="1"/>
          <w:numId w:val="2"/>
        </w:numPr>
        <w:pBdr>
          <w:top w:val="nil"/>
          <w:left w:val="nil"/>
          <w:bottom w:val="nil"/>
          <w:right w:val="nil"/>
          <w:between w:val="nil"/>
        </w:pBdr>
        <w:tabs>
          <w:tab w:val="left" w:pos="426"/>
        </w:tabs>
        <w:ind w:left="0" w:firstLine="0"/>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Módulo 2: Información presupuestaria;</w:t>
      </w:r>
    </w:p>
    <w:p w:rsidR="00B42685" w:rsidRPr="00613100" w:rsidRDefault="004F306B" w:rsidP="00006B67">
      <w:pPr>
        <w:numPr>
          <w:ilvl w:val="1"/>
          <w:numId w:val="2"/>
        </w:numPr>
        <w:pBdr>
          <w:top w:val="nil"/>
          <w:left w:val="nil"/>
          <w:bottom w:val="nil"/>
          <w:right w:val="nil"/>
          <w:between w:val="nil"/>
        </w:pBdr>
        <w:tabs>
          <w:tab w:val="left" w:pos="426"/>
        </w:tabs>
        <w:ind w:left="0" w:firstLine="0"/>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Módulo 3: Información programática; y</w:t>
      </w:r>
    </w:p>
    <w:p w:rsidR="00B42685" w:rsidRPr="00613100" w:rsidRDefault="004F306B" w:rsidP="00006B67">
      <w:pPr>
        <w:numPr>
          <w:ilvl w:val="1"/>
          <w:numId w:val="2"/>
        </w:numPr>
        <w:pBdr>
          <w:top w:val="nil"/>
          <w:left w:val="nil"/>
          <w:bottom w:val="nil"/>
          <w:right w:val="nil"/>
          <w:between w:val="nil"/>
        </w:pBdr>
        <w:tabs>
          <w:tab w:val="left" w:pos="426"/>
        </w:tabs>
        <w:ind w:left="0" w:firstLine="0"/>
        <w:jc w:val="both"/>
        <w:rPr>
          <w:rFonts w:ascii="Palatino Linotype" w:eastAsia="Palatino Linotype" w:hAnsi="Palatino Linotype" w:cs="Palatino Linotype"/>
          <w:b/>
          <w:i/>
          <w:color w:val="000000" w:themeColor="text1"/>
        </w:rPr>
      </w:pPr>
      <w:r w:rsidRPr="00613100">
        <w:rPr>
          <w:rFonts w:ascii="Palatino Linotype" w:eastAsia="Palatino Linotype" w:hAnsi="Palatino Linotype" w:cs="Palatino Linotype"/>
          <w:b/>
          <w:i/>
          <w:color w:val="000000" w:themeColor="text1"/>
        </w:rPr>
        <w:t>Módulo 4: Información administrativa.</w:t>
      </w:r>
    </w:p>
    <w:p w:rsidR="00B42685" w:rsidRPr="00613100" w:rsidRDefault="00B42685" w:rsidP="00006B6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themeColor="text1"/>
        </w:rPr>
      </w:pPr>
    </w:p>
    <w:p w:rsidR="00B42685" w:rsidRPr="00613100" w:rsidRDefault="004F306B" w:rsidP="00006B67">
      <w:pPr>
        <w:numPr>
          <w:ilvl w:val="0"/>
          <w:numId w:val="2"/>
        </w:numP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613100">
        <w:rPr>
          <w:rFonts w:ascii="Palatino Linotype" w:eastAsia="Palatino Linotype" w:hAnsi="Palatino Linotype" w:cs="Palatino Linotype"/>
          <w:b/>
          <w:color w:val="000000" w:themeColor="text1"/>
        </w:rPr>
        <w:t>“Políticas para la Integración del Informe Trimestral de los Sujetos de Fiscalización Municipales”</w:t>
      </w:r>
      <w:r w:rsidRPr="00613100">
        <w:rPr>
          <w:rFonts w:ascii="Palatino Linotype" w:eastAsia="Palatino Linotype" w:hAnsi="Palatino Linotype" w:cs="Palatino Linotype"/>
          <w:color w:val="000000" w:themeColor="text1"/>
        </w:rPr>
        <w:t>, se compondrá de los siguientes documentos:</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object w:dxaOrig="4770" w:dyaOrig="3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4pt;height:189.5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5" DrawAspect="Content" ObjectID="_1820324992" r:id="rId12"/>
        </w:object>
      </w:r>
    </w:p>
    <w:p w:rsidR="00B42685" w:rsidRPr="00613100" w:rsidRDefault="004F306B" w:rsidP="00006B67">
      <w:pPr>
        <w:numPr>
          <w:ilvl w:val="0"/>
          <w:numId w:val="2"/>
        </w:numP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lastRenderedPageBreak/>
        <w:t xml:space="preserve">En lo que corresponde al Submódulo de </w:t>
      </w:r>
      <w:r w:rsidRPr="00613100">
        <w:rPr>
          <w:rFonts w:ascii="Palatino Linotype" w:eastAsia="Palatino Linotype" w:hAnsi="Palatino Linotype" w:cs="Palatino Linotype"/>
          <w:b/>
          <w:color w:val="000000" w:themeColor="text1"/>
        </w:rPr>
        <w:t>‘Nómina y Comprobantes Fiscales’,</w:t>
      </w:r>
      <w:r w:rsidRPr="00613100">
        <w:rPr>
          <w:rFonts w:ascii="Palatino Linotype" w:eastAsia="Palatino Linotype" w:hAnsi="Palatino Linotype" w:cs="Palatino Linotype"/>
          <w:color w:val="000000" w:themeColor="text1"/>
        </w:rPr>
        <w:t xml:space="preserve"> se advierte que el </w:t>
      </w:r>
      <w:r w:rsidRPr="00613100">
        <w:rPr>
          <w:rFonts w:ascii="Palatino Linotype" w:eastAsia="Palatino Linotype" w:hAnsi="Palatino Linotype" w:cs="Palatino Linotype"/>
          <w:b/>
          <w:color w:val="000000" w:themeColor="text1"/>
        </w:rPr>
        <w:t>SUJETO OBLIGADO,</w:t>
      </w:r>
      <w:r w:rsidRPr="00613100">
        <w:rPr>
          <w:rFonts w:ascii="Palatino Linotype" w:eastAsia="Palatino Linotype" w:hAnsi="Palatino Linotype" w:cs="Palatino Linotype"/>
          <w:color w:val="000000" w:themeColor="text1"/>
        </w:rPr>
        <w:t xml:space="preserve"> deberá integrar, en formato </w:t>
      </w:r>
      <w:r w:rsidRPr="00613100">
        <w:rPr>
          <w:rFonts w:ascii="Palatino Linotype" w:eastAsia="Palatino Linotype" w:hAnsi="Palatino Linotype" w:cs="Palatino Linotype"/>
          <w:i/>
          <w:color w:val="000000" w:themeColor="text1"/>
        </w:rPr>
        <w:t>.pdf</w:t>
      </w:r>
      <w:r w:rsidRPr="00613100">
        <w:rPr>
          <w:rFonts w:ascii="Palatino Linotype" w:eastAsia="Palatino Linotype" w:hAnsi="Palatino Linotype" w:cs="Palatino Linotype"/>
          <w:color w:val="000000" w:themeColor="text1"/>
        </w:rPr>
        <w:t xml:space="preserve">, y de forma quincenal, el documento titulado </w:t>
      </w:r>
      <w:r w:rsidRPr="00613100">
        <w:rPr>
          <w:rFonts w:ascii="Palatino Linotype" w:eastAsia="Palatino Linotype" w:hAnsi="Palatino Linotype" w:cs="Palatino Linotype"/>
          <w:b/>
          <w:color w:val="000000" w:themeColor="text1"/>
        </w:rPr>
        <w:t>Conciliación de Nómina Mensual</w:t>
      </w:r>
      <w:r w:rsidRPr="00613100">
        <w:rPr>
          <w:rFonts w:ascii="Palatino Linotype" w:eastAsia="Palatino Linotype" w:hAnsi="Palatino Linotype" w:cs="Palatino Linotype"/>
          <w:color w:val="000000" w:themeColor="text1"/>
        </w:rPr>
        <w:t>; tal como lo establece el mapa de integración del Submódulo en comento:</w:t>
      </w:r>
    </w:p>
    <w:p w:rsidR="00B42685" w:rsidRPr="00613100" w:rsidRDefault="004F306B" w:rsidP="00006B67">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object w:dxaOrig="7650" w:dyaOrig="2205">
          <v:shape id="_x0000_i1026" type="#_x0000_t75" alt="" style="width:382.4pt;height:110.05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6" DrawAspect="Content" ObjectID="_1820324993" r:id="rId14"/>
        </w:object>
      </w:r>
    </w:p>
    <w:p w:rsidR="00B42685" w:rsidRPr="00613100" w:rsidRDefault="00B42685" w:rsidP="00006B67">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rsidR="00B42685" w:rsidRPr="00613100" w:rsidRDefault="004F306B" w:rsidP="00006B67">
      <w:pPr>
        <w:numPr>
          <w:ilvl w:val="0"/>
          <w:numId w:val="2"/>
        </w:numP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Al respecto, conviene referir que la </w:t>
      </w:r>
      <w:r w:rsidRPr="00613100">
        <w:rPr>
          <w:rFonts w:ascii="Palatino Linotype" w:eastAsia="Palatino Linotype" w:hAnsi="Palatino Linotype" w:cs="Palatino Linotype"/>
          <w:b/>
          <w:color w:val="000000" w:themeColor="text1"/>
        </w:rPr>
        <w:t>Conciliación de Nómina Mensual</w:t>
      </w:r>
      <w:r w:rsidRPr="00613100">
        <w:rPr>
          <w:rFonts w:ascii="Palatino Linotype" w:eastAsia="Palatino Linotype" w:hAnsi="Palatino Linotype" w:cs="Palatino Linotype"/>
          <w:color w:val="000000" w:themeColor="text1"/>
        </w:rPr>
        <w:t xml:space="preserve"> es un documento en el que se detalla, entre otros, </w:t>
      </w:r>
      <w:r w:rsidRPr="00613100">
        <w:rPr>
          <w:rFonts w:ascii="Palatino Linotype" w:eastAsia="Palatino Linotype" w:hAnsi="Palatino Linotype" w:cs="Palatino Linotype"/>
          <w:b/>
          <w:color w:val="000000" w:themeColor="text1"/>
        </w:rPr>
        <w:t>el nombre, puesto funcional, área de adscripción, categoría, así como todas las percepciones brutas y netas  y deducciones que recibe cada servidor público que labora en la entidad</w:t>
      </w:r>
      <w:r w:rsidRPr="00613100">
        <w:rPr>
          <w:rFonts w:ascii="Palatino Linotype" w:eastAsia="Palatino Linotype" w:hAnsi="Palatino Linotype" w:cs="Palatino Linotype"/>
          <w:b/>
          <w:color w:val="000000" w:themeColor="text1"/>
          <w:vertAlign w:val="superscript"/>
        </w:rPr>
        <w:footnoteReference w:id="1"/>
      </w:r>
      <w:r w:rsidRPr="00613100">
        <w:rPr>
          <w:rFonts w:ascii="Palatino Linotype" w:eastAsia="Palatino Linotype" w:hAnsi="Palatino Linotype" w:cs="Palatino Linotype"/>
          <w:color w:val="000000" w:themeColor="text1"/>
        </w:rPr>
        <w:t xml:space="preserve">. </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B42685" w:rsidRPr="00613100" w:rsidRDefault="004F306B" w:rsidP="00006B67">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object w:dxaOrig="7635" w:dyaOrig="4320">
          <v:shape id="_x0000_i1027" type="#_x0000_t75" alt="" style="width:381.75pt;height:3in;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7" DrawAspect="Content" ObjectID="_1820324994" r:id="rId16"/>
        </w:object>
      </w:r>
    </w:p>
    <w:p w:rsidR="00B42685" w:rsidRPr="00613100" w:rsidRDefault="004F306B" w:rsidP="00006B67">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object w:dxaOrig="7665" w:dyaOrig="4500">
          <v:shape id="_x0000_i1028" type="#_x0000_t75" alt="" style="width:383.1pt;height:224.85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8" DrawAspect="Content" ObjectID="_1820324995" r:id="rId18"/>
        </w:object>
      </w:r>
    </w:p>
    <w:p w:rsidR="00B42685" w:rsidRPr="00613100" w:rsidRDefault="004F306B" w:rsidP="00006B67">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object w:dxaOrig="7680" w:dyaOrig="2400">
          <v:shape id="_x0000_i1029" type="#_x0000_t75" alt="" style="width:383.75pt;height:120.25pt;mso-width-percent:0;mso-height-percent:0;mso-width-percent:0;mso-height-percent:0" o:ole="" o:bordertopcolor="this" o:borderleftcolor="this" o:borderbottomcolor="this" o:borderrightcolor="this">
            <v:imagedata r:id="rId19" o:title=""/>
            <w10:bordertop type="single" width="8"/>
            <w10:borderleft type="single" width="8"/>
            <w10:borderbottom type="single" width="8"/>
            <w10:borderright type="single" width="8"/>
          </v:shape>
          <o:OLEObject Type="Embed" ProgID="PBrush" ShapeID="_x0000_i1029" DrawAspect="Content" ObjectID="_1820324996" r:id="rId20"/>
        </w:objec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953F1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De las imágenes anteriores, podemos identificar a la </w:t>
      </w:r>
      <w:r w:rsidRPr="00613100">
        <w:rPr>
          <w:rFonts w:ascii="Palatino Linotype" w:eastAsia="Palatino Linotype" w:hAnsi="Palatino Linotype" w:cs="Palatino Linotype"/>
          <w:b/>
          <w:color w:val="000000" w:themeColor="text1"/>
        </w:rPr>
        <w:t>Conciliación de Nómina Mensual</w:t>
      </w:r>
      <w:r w:rsidRPr="00613100">
        <w:rPr>
          <w:rFonts w:ascii="Palatino Linotype" w:eastAsia="Palatino Linotype" w:hAnsi="Palatino Linotype" w:cs="Palatino Linotype"/>
          <w:color w:val="000000" w:themeColor="text1"/>
        </w:rPr>
        <w:t xml:space="preserve"> como el documento que puede satisfacer los requerimientos del Particular, pues </w:t>
      </w:r>
      <w:r w:rsidRPr="00613100">
        <w:rPr>
          <w:rFonts w:ascii="Palatino Linotype" w:eastAsia="Palatino Linotype" w:hAnsi="Palatino Linotype" w:cs="Palatino Linotype"/>
          <w:color w:val="000000" w:themeColor="text1"/>
        </w:rPr>
        <w:lastRenderedPageBreak/>
        <w:t xml:space="preserve">como se ha analizado en párrafos previos, </w:t>
      </w:r>
      <w:r w:rsidRPr="00613100">
        <w:rPr>
          <w:rFonts w:ascii="Palatino Linotype" w:eastAsia="Palatino Linotype" w:hAnsi="Palatino Linotype" w:cs="Palatino Linotype"/>
          <w:b/>
          <w:color w:val="000000" w:themeColor="text1"/>
        </w:rPr>
        <w:t>la Conciliación de Nómina de los servidores públicos consiste en el conjunto de percepciones y deducciones que se generan con motivo de la relación laboral</w:t>
      </w:r>
      <w:r w:rsidRPr="00613100">
        <w:rPr>
          <w:rFonts w:ascii="Palatino Linotype" w:eastAsia="Palatino Linotype" w:hAnsi="Palatino Linotype" w:cs="Palatino Linotype"/>
          <w:color w:val="000000" w:themeColor="text1"/>
        </w:rPr>
        <w:t xml:space="preserve">, asimismo </w:t>
      </w:r>
      <w:r w:rsidRPr="00613100">
        <w:rPr>
          <w:rFonts w:ascii="Palatino Linotype" w:eastAsia="Palatino Linotype" w:hAnsi="Palatino Linotype" w:cs="Palatino Linotype"/>
          <w:b/>
          <w:color w:val="000000" w:themeColor="text1"/>
        </w:rPr>
        <w:t xml:space="preserve">contiene la </w:t>
      </w:r>
      <w:r w:rsidRPr="00613100">
        <w:rPr>
          <w:rFonts w:ascii="Palatino Linotype" w:eastAsia="Palatino Linotype" w:hAnsi="Palatino Linotype" w:cs="Palatino Linotype"/>
          <w:color w:val="000000" w:themeColor="text1"/>
        </w:rPr>
        <w:t>fecha de alta y fecha de baja de los servidores públicos;</w:t>
      </w:r>
      <w:r w:rsidRPr="00613100">
        <w:rPr>
          <w:rFonts w:ascii="Palatino Linotype" w:eastAsia="Palatino Linotype" w:hAnsi="Palatino Linotype" w:cs="Palatino Linotype"/>
          <w:b/>
          <w:color w:val="000000" w:themeColor="text1"/>
        </w:rPr>
        <w:t xml:space="preserve"> su nombre; puesto; área de adscripción </w:t>
      </w:r>
      <w:r w:rsidRPr="00613100">
        <w:rPr>
          <w:rFonts w:ascii="Palatino Linotype" w:eastAsia="Palatino Linotype" w:hAnsi="Palatino Linotype" w:cs="Palatino Linotype"/>
          <w:color w:val="000000" w:themeColor="text1"/>
        </w:rPr>
        <w:t>y</w:t>
      </w:r>
      <w:r w:rsidRPr="00613100">
        <w:rPr>
          <w:rFonts w:ascii="Palatino Linotype" w:eastAsia="Palatino Linotype" w:hAnsi="Palatino Linotype" w:cs="Palatino Linotype"/>
          <w:b/>
          <w:color w:val="000000" w:themeColor="text1"/>
        </w:rPr>
        <w:t xml:space="preserve"> categoría.</w:t>
      </w:r>
    </w:p>
    <w:p w:rsidR="00953F10" w:rsidRPr="00613100" w:rsidRDefault="00953F10" w:rsidP="00953F1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En atención a lo anterior, se ratifica que el </w:t>
      </w:r>
      <w:r w:rsidRPr="00613100">
        <w:rPr>
          <w:rFonts w:ascii="Palatino Linotype" w:eastAsia="Palatino Linotype" w:hAnsi="Palatino Linotype" w:cs="Palatino Linotype"/>
          <w:b/>
          <w:color w:val="000000" w:themeColor="text1"/>
        </w:rPr>
        <w:t>SUJETO OBLIGADO</w:t>
      </w:r>
      <w:r w:rsidRPr="00613100">
        <w:rPr>
          <w:rFonts w:ascii="Palatino Linotype" w:eastAsia="Palatino Linotype" w:hAnsi="Palatino Linotype" w:cs="Palatino Linotype"/>
          <w:color w:val="000000" w:themeColor="text1"/>
        </w:rPr>
        <w:t xml:space="preserve"> cuenta con la obligación de generar los documentos en donde conste la información requerida por el Particular, siendo el documento idóneo, la </w:t>
      </w:r>
      <w:r w:rsidRPr="00613100">
        <w:rPr>
          <w:rFonts w:ascii="Palatino Linotype" w:eastAsia="Palatino Linotype" w:hAnsi="Palatino Linotype" w:cs="Palatino Linotype"/>
          <w:b/>
          <w:color w:val="000000" w:themeColor="text1"/>
        </w:rPr>
        <w:t>Conciliación de Nómina</w:t>
      </w:r>
      <w:r w:rsidRPr="00613100">
        <w:rPr>
          <w:rFonts w:ascii="Palatino Linotype" w:eastAsia="Palatino Linotype" w:hAnsi="Palatino Linotype" w:cs="Palatino Linotype"/>
          <w:color w:val="000000" w:themeColor="text1"/>
        </w:rPr>
        <w:t xml:space="preserve">. </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Ahora bien, </w:t>
      </w:r>
      <w:r w:rsidRPr="00613100">
        <w:rPr>
          <w:rFonts w:ascii="Palatino Linotype" w:eastAsia="Palatino Linotype" w:hAnsi="Palatino Linotype" w:cs="Palatino Linotype"/>
          <w:b/>
          <w:color w:val="000000" w:themeColor="text1"/>
        </w:rPr>
        <w:t>relativo a la lista de raya,</w:t>
      </w:r>
      <w:r w:rsidRPr="00613100">
        <w:rPr>
          <w:rFonts w:ascii="Palatino Linotype" w:eastAsia="Palatino Linotype" w:hAnsi="Palatino Linotype" w:cs="Palatino Linotype"/>
          <w:color w:val="000000" w:themeColor="text1"/>
        </w:rPr>
        <w:t xml:space="preserve"> consisten en un registro contable que contienen la relación de los trabajadores, en los que se asientan sus remuneraciones; sin embargo, en las listas de raya únicamente se encuentran los trabajadores contratados por determinado tiempo; lo anterior, conforme al artículo 804, fracción II de la Ley Federal de Trabajo señala que el patrón tiene la obligación de conservar y en su caso exhibir en juicio los documentos consistentes en </w:t>
      </w:r>
      <w:r w:rsidRPr="00613100">
        <w:rPr>
          <w:rFonts w:ascii="Palatino Linotype" w:eastAsia="Palatino Linotype" w:hAnsi="Palatino Linotype" w:cs="Palatino Linotype"/>
          <w:b/>
          <w:color w:val="000000" w:themeColor="text1"/>
        </w:rPr>
        <w:t>las listas de raya o nómina de personal</w:t>
      </w:r>
      <w:r w:rsidRPr="00613100">
        <w:rPr>
          <w:rFonts w:ascii="Palatino Linotype" w:eastAsia="Palatino Linotype" w:hAnsi="Palatino Linotype" w:cs="Palatino Linotype"/>
          <w:color w:val="000000" w:themeColor="text1"/>
        </w:rPr>
        <w:t>, cuando se lleven en el centro de trabajo o recibos de pagos de salarios.</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 xml:space="preserve">En ese orden de ideas, el artículo 50 de la Ley del Trabajo de los Servidores Públicos del Estado y Municipios, señala que el servidor público que se </w:t>
      </w:r>
      <w:r w:rsidRPr="00613100">
        <w:rPr>
          <w:rFonts w:ascii="Palatino Linotype" w:eastAsia="Palatino Linotype" w:hAnsi="Palatino Linotype" w:cs="Palatino Linotype"/>
          <w:b/>
          <w:color w:val="000000" w:themeColor="text1"/>
        </w:rPr>
        <w:t xml:space="preserve">encuentre en la lista de raya, </w:t>
      </w:r>
      <w:r w:rsidRPr="00613100">
        <w:rPr>
          <w:rFonts w:ascii="Palatino Linotype" w:eastAsia="Palatino Linotype" w:hAnsi="Palatino Linotype" w:cs="Palatino Linotype"/>
          <w:color w:val="000000" w:themeColor="text1"/>
        </w:rPr>
        <w:t>se obliga a cumplir con los deberes inherentes al puesto especificado en el contrato, nombramiento o formato único de Movimiento de Personal.</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lastRenderedPageBreak/>
        <w:t xml:space="preserve">Así, se concluye que el </w:t>
      </w:r>
      <w:r w:rsidRPr="00613100">
        <w:rPr>
          <w:rFonts w:ascii="Palatino Linotype" w:eastAsia="Palatino Linotype" w:hAnsi="Palatino Linotype" w:cs="Palatino Linotype"/>
          <w:b/>
          <w:color w:val="000000" w:themeColor="text1"/>
        </w:rPr>
        <w:t>SUJETO OBLIGADO</w:t>
      </w:r>
      <w:r w:rsidRPr="00613100">
        <w:rPr>
          <w:rFonts w:ascii="Palatino Linotype" w:eastAsia="Palatino Linotype" w:hAnsi="Palatino Linotype" w:cs="Palatino Linotype"/>
          <w:color w:val="000000" w:themeColor="text1"/>
        </w:rPr>
        <w:t xml:space="preserve"> podría contar con personal temporal que sea remunerado, a través de la lista de raya.</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 xml:space="preserve">Motivo por el cual, analizadas las constancias que forman el expediente electrónico, </w:t>
      </w:r>
      <w:r w:rsidRPr="00613100">
        <w:rPr>
          <w:rFonts w:ascii="Palatino Linotype" w:eastAsia="Palatino Linotype" w:hAnsi="Palatino Linotype" w:cs="Palatino Linotype"/>
          <w:b/>
          <w:color w:val="000000" w:themeColor="text1"/>
        </w:rPr>
        <w:t>resultan fundadas</w:t>
      </w:r>
      <w:r w:rsidRPr="00613100">
        <w:rPr>
          <w:rFonts w:ascii="Palatino Linotype" w:eastAsia="Palatino Linotype" w:hAnsi="Palatino Linotype" w:cs="Palatino Linotype"/>
          <w:color w:val="000000" w:themeColor="text1"/>
        </w:rPr>
        <w:t xml:space="preserve"> las razones o motivos de inconformidad hechos valer por el </w:t>
      </w:r>
      <w:r w:rsidRPr="00613100">
        <w:rPr>
          <w:rFonts w:ascii="Palatino Linotype" w:eastAsia="Palatino Linotype" w:hAnsi="Palatino Linotype" w:cs="Palatino Linotype"/>
          <w:b/>
          <w:color w:val="000000" w:themeColor="text1"/>
        </w:rPr>
        <w:t>RECURRENTE</w:t>
      </w:r>
      <w:r w:rsidRPr="00613100">
        <w:rPr>
          <w:rFonts w:ascii="Palatino Linotype" w:eastAsia="Palatino Linotype" w:hAnsi="Palatino Linotype" w:cs="Palatino Linotype"/>
          <w:color w:val="000000" w:themeColor="text1"/>
        </w:rPr>
        <w:t xml:space="preserve"> dentro del recurso de revisión </w:t>
      </w:r>
      <w:r w:rsidRPr="00613100">
        <w:rPr>
          <w:rFonts w:ascii="Palatino Linotype" w:eastAsia="Palatino Linotype" w:hAnsi="Palatino Linotype" w:cs="Palatino Linotype"/>
          <w:b/>
          <w:color w:val="000000" w:themeColor="text1"/>
        </w:rPr>
        <w:t>08828/INFOEM/IP/RR/2025,</w:t>
      </w:r>
      <w:r w:rsidRPr="00613100">
        <w:rPr>
          <w:rFonts w:ascii="Palatino Linotype" w:eastAsia="Palatino Linotype" w:hAnsi="Palatino Linotype" w:cs="Palatino Linotype"/>
          <w:color w:val="000000" w:themeColor="text1"/>
        </w:rPr>
        <w:t xml:space="preserve"> por ello, y con fundamento en la fracción III del numeral 186 de la Ley de Transparencia y Acceso a la Información Pública del Estado de México y Municipios, se </w:t>
      </w:r>
      <w:r w:rsidRPr="00613100">
        <w:rPr>
          <w:rFonts w:ascii="Palatino Linotype" w:eastAsia="Palatino Linotype" w:hAnsi="Palatino Linotype" w:cs="Palatino Linotype"/>
          <w:b/>
          <w:color w:val="000000" w:themeColor="text1"/>
        </w:rPr>
        <w:t>MODIFICA</w:t>
      </w:r>
      <w:r w:rsidRPr="00613100">
        <w:rPr>
          <w:rFonts w:ascii="Palatino Linotype" w:eastAsia="Palatino Linotype" w:hAnsi="Palatino Linotype" w:cs="Palatino Linotype"/>
          <w:color w:val="000000" w:themeColor="text1"/>
        </w:rPr>
        <w:t xml:space="preserve"> la respuesta del </w:t>
      </w:r>
      <w:r w:rsidRPr="00613100">
        <w:rPr>
          <w:rFonts w:ascii="Palatino Linotype" w:eastAsia="Palatino Linotype" w:hAnsi="Palatino Linotype" w:cs="Palatino Linotype"/>
          <w:b/>
          <w:color w:val="000000" w:themeColor="text1"/>
        </w:rPr>
        <w:t>SUJETO OBLIGADO</w:t>
      </w:r>
      <w:r w:rsidRPr="00613100">
        <w:rPr>
          <w:rFonts w:ascii="Palatino Linotype" w:eastAsia="Palatino Linotype" w:hAnsi="Palatino Linotype" w:cs="Palatino Linotype"/>
          <w:color w:val="000000" w:themeColor="text1"/>
        </w:rPr>
        <w:t xml:space="preserve"> y se ordena, en versión pública, </w:t>
      </w:r>
      <w:r w:rsidRPr="00613100">
        <w:rPr>
          <w:rFonts w:ascii="Palatino Linotype" w:eastAsia="Palatino Linotype" w:hAnsi="Palatino Linotype" w:cs="Palatino Linotype"/>
          <w:b/>
          <w:color w:val="000000" w:themeColor="text1"/>
        </w:rPr>
        <w:t>de la primera y segunda quincena de junio de 2025,</w:t>
      </w:r>
      <w:r w:rsidRPr="00613100">
        <w:rPr>
          <w:rFonts w:ascii="Palatino Linotype" w:eastAsia="Palatino Linotype" w:hAnsi="Palatino Linotype" w:cs="Palatino Linotype"/>
          <w:color w:val="000000" w:themeColor="text1"/>
        </w:rPr>
        <w:t xml:space="preserve"> lo siguiente:</w:t>
      </w:r>
    </w:p>
    <w:p w:rsidR="00B42685" w:rsidRPr="00613100" w:rsidRDefault="004F306B" w:rsidP="00006B67">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b/>
          <w:color w:val="000000" w:themeColor="text1"/>
        </w:rPr>
        <w:t>La conciliación de nómina de todos los Servidores Públicos; y</w:t>
      </w:r>
    </w:p>
    <w:p w:rsidR="00B42685" w:rsidRPr="00613100" w:rsidRDefault="004F306B" w:rsidP="00006B67">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b/>
          <w:color w:val="000000" w:themeColor="text1"/>
        </w:rPr>
        <w:t>La lista de raya del personal eventual contratado por el SUJETO OBLIGADO.</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 xml:space="preserve">Para el supuesto de que no se haya generado información relativa la </w:t>
      </w:r>
      <w:r w:rsidRPr="00613100">
        <w:rPr>
          <w:rFonts w:ascii="Palatino Linotype" w:eastAsia="Palatino Linotype" w:hAnsi="Palatino Linotype" w:cs="Palatino Linotype"/>
          <w:b/>
          <w:color w:val="000000" w:themeColor="text1"/>
        </w:rPr>
        <w:t xml:space="preserve">lista de raya </w:t>
      </w:r>
      <w:r w:rsidRPr="00613100">
        <w:rPr>
          <w:rFonts w:ascii="Palatino Linotype" w:eastAsia="Palatino Linotype" w:hAnsi="Palatino Linotype" w:cs="Palatino Linotype"/>
          <w:color w:val="000000" w:themeColor="text1"/>
        </w:rPr>
        <w:t xml:space="preserve">en el periodo referido, bastará con que el </w:t>
      </w:r>
      <w:r w:rsidRPr="00613100">
        <w:rPr>
          <w:rFonts w:ascii="Palatino Linotype" w:eastAsia="Palatino Linotype" w:hAnsi="Palatino Linotype" w:cs="Palatino Linotype"/>
          <w:b/>
          <w:color w:val="000000" w:themeColor="text1"/>
        </w:rPr>
        <w:t>SUJETO OBLIGADO</w:t>
      </w:r>
      <w:r w:rsidRPr="00613100">
        <w:rPr>
          <w:rFonts w:ascii="Palatino Linotype" w:eastAsia="Palatino Linotype" w:hAnsi="Palatino Linotype" w:cs="Palatino Linotype"/>
          <w:color w:val="000000" w:themeColor="text1"/>
        </w:rPr>
        <w:t xml:space="preserve"> lo haga del conocimiento de la parte </w:t>
      </w:r>
      <w:r w:rsidRPr="00613100">
        <w:rPr>
          <w:rFonts w:ascii="Palatino Linotype" w:eastAsia="Palatino Linotype" w:hAnsi="Palatino Linotype" w:cs="Palatino Linotype"/>
          <w:b/>
          <w:color w:val="000000" w:themeColor="text1"/>
        </w:rPr>
        <w:t>RECURRENTE</w:t>
      </w:r>
      <w:r w:rsidRPr="00613100">
        <w:rPr>
          <w:rFonts w:ascii="Palatino Linotype" w:eastAsia="Palatino Linotype" w:hAnsi="Palatino Linotype" w:cs="Palatino Linotype"/>
          <w:color w:val="000000" w:themeColor="text1"/>
        </w:rPr>
        <w:t>, en términos del segundo párrafo del artículo 19 de la Ley de Transparencia Local.</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 xml:space="preserve">Ahora bien, es importante señalar que el artículo 4, párrafo segundo de la Ley de Transparencia y Acceso a la Información Pública del Estado de México y Municipios, dispone lo siguiente: </w:t>
      </w:r>
    </w:p>
    <w:p w:rsidR="00B42685" w:rsidRPr="00613100" w:rsidRDefault="004F306B" w:rsidP="00006B67">
      <w:pPr>
        <w:tabs>
          <w:tab w:val="left" w:pos="426"/>
          <w:tab w:val="left" w:pos="567"/>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w:t>
      </w:r>
      <w:r w:rsidRPr="00613100">
        <w:rPr>
          <w:rFonts w:ascii="Palatino Linotype" w:eastAsia="Palatino Linotype" w:hAnsi="Palatino Linotype" w:cs="Palatino Linotype"/>
          <w:b/>
          <w:i/>
          <w:color w:val="000000" w:themeColor="text1"/>
        </w:rPr>
        <w:t>Artículo 4. …</w:t>
      </w:r>
    </w:p>
    <w:p w:rsidR="00B42685" w:rsidRPr="00613100" w:rsidRDefault="004F306B" w:rsidP="00006B67">
      <w:pPr>
        <w:tabs>
          <w:tab w:val="left" w:pos="426"/>
          <w:tab w:val="left" w:pos="567"/>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42685" w:rsidRPr="00613100" w:rsidRDefault="00B42685" w:rsidP="00006B67">
      <w:pPr>
        <w:tabs>
          <w:tab w:val="left" w:pos="426"/>
          <w:tab w:val="left" w:pos="567"/>
        </w:tabs>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 xml:space="preserve">Así,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 xml:space="preserve">Como apoyo a lo anterior, es aplicable el Criterio 03-17, emitido por el Instituto Nacional de Transparencia, Acceso a la Información y Protección de Datos Personales, que dice: </w:t>
      </w:r>
    </w:p>
    <w:p w:rsidR="00B42685" w:rsidRPr="00613100" w:rsidRDefault="004F306B" w:rsidP="00006B67">
      <w:pPr>
        <w:tabs>
          <w:tab w:val="left" w:pos="426"/>
          <w:tab w:val="left" w:pos="567"/>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“No existe obligación de elaborar documentos ad hoc para atender las solicitudes de acceso a la información.</w:t>
      </w:r>
      <w:r w:rsidRPr="00613100">
        <w:rPr>
          <w:rFonts w:ascii="Palatino Linotype" w:eastAsia="Palatino Linotype" w:hAnsi="Palatino Linotype" w:cs="Palatino Linotype"/>
          <w:i/>
          <w:color w:val="000000" w:themeColor="text1"/>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w:t>
      </w:r>
      <w:r w:rsidRPr="00613100">
        <w:rPr>
          <w:rFonts w:ascii="Palatino Linotype" w:eastAsia="Palatino Linotype" w:hAnsi="Palatino Linotype" w:cs="Palatino Linotype"/>
          <w:i/>
          <w:color w:val="000000" w:themeColor="text1"/>
        </w:rPr>
        <w:lastRenderedPageBreak/>
        <w:t xml:space="preserve">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B42685" w:rsidRPr="00613100" w:rsidRDefault="00B42685" w:rsidP="00006B67">
      <w:pPr>
        <w:tabs>
          <w:tab w:val="left" w:pos="426"/>
          <w:tab w:val="left" w:pos="567"/>
        </w:tabs>
        <w:jc w:val="both"/>
        <w:rPr>
          <w:rFonts w:ascii="Palatino Linotype" w:eastAsia="Palatino Linotype" w:hAnsi="Palatino Linotype" w:cs="Palatino Linotype"/>
          <w:i/>
          <w:color w:val="000000" w:themeColor="text1"/>
        </w:rPr>
      </w:pPr>
    </w:p>
    <w:p w:rsidR="00B42685" w:rsidRPr="00613100" w:rsidRDefault="004F306B" w:rsidP="00006B67">
      <w:pPr>
        <w:tabs>
          <w:tab w:val="left" w:pos="426"/>
          <w:tab w:val="left" w:pos="567"/>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 xml:space="preserve">Resoluciones: </w:t>
      </w:r>
    </w:p>
    <w:p w:rsidR="00B42685" w:rsidRPr="00613100" w:rsidRDefault="004F306B" w:rsidP="00006B67">
      <w:pPr>
        <w:tabs>
          <w:tab w:val="left" w:pos="426"/>
          <w:tab w:val="left" w:pos="567"/>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 xml:space="preserve">RRA 0050/16. Instituto Nacional para la Evaluación de la Educación. 13 julio de 2016. Por unanimidad. Comisionado Ponente: Francisco Javier Acuña Llamas. </w:t>
      </w:r>
    </w:p>
    <w:p w:rsidR="00B42685" w:rsidRPr="00613100" w:rsidRDefault="004F306B" w:rsidP="00006B67">
      <w:pPr>
        <w:tabs>
          <w:tab w:val="left" w:pos="426"/>
          <w:tab w:val="left" w:pos="567"/>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 xml:space="preserve">RRA 0310/16. Instituto Nacional de Transparencia, Acceso a la Información y Protección de Datos Personales. 10 de agosto de 2016. Por unanimidad. Comisionada Ponente. Areli Cano Guadiana. </w:t>
      </w:r>
    </w:p>
    <w:p w:rsidR="00B42685" w:rsidRDefault="004F306B" w:rsidP="00006B67">
      <w:pPr>
        <w:tabs>
          <w:tab w:val="left" w:pos="426"/>
          <w:tab w:val="left" w:pos="567"/>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RRA 1889/16. Secretaría de Hacienda y Crédito Público. 05 de octubre de 2016. Por unanimidad. Comisionada Ponente. Ximena Puente de la Mora.”</w:t>
      </w:r>
    </w:p>
    <w:p w:rsidR="00F6341A" w:rsidRDefault="00F6341A" w:rsidP="00006B67">
      <w:pPr>
        <w:tabs>
          <w:tab w:val="left" w:pos="426"/>
          <w:tab w:val="left" w:pos="567"/>
        </w:tabs>
        <w:jc w:val="both"/>
        <w:rPr>
          <w:rFonts w:ascii="Palatino Linotype" w:eastAsia="Palatino Linotype" w:hAnsi="Palatino Linotype" w:cs="Palatino Linotype"/>
          <w:i/>
          <w:color w:val="000000" w:themeColor="text1"/>
        </w:rPr>
      </w:pPr>
    </w:p>
    <w:p w:rsidR="00F6341A" w:rsidRPr="00613100" w:rsidRDefault="00F6341A" w:rsidP="00006B67">
      <w:pPr>
        <w:tabs>
          <w:tab w:val="left" w:pos="426"/>
          <w:tab w:val="left" w:pos="567"/>
        </w:tabs>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 xml:space="preserve">En esta misma tesitura, es de subrayar que el derecho de acceso a la información pública, consiste en que la información solicitada conste en un soporte documental en cualquiera de sus formas, a saber: expedientes, reportes, estudios, actas, resoluciones, </w:t>
      </w:r>
      <w:r w:rsidRPr="00613100">
        <w:rPr>
          <w:rFonts w:ascii="Palatino Linotype" w:eastAsia="Palatino Linotype" w:hAnsi="Palatino Linotype" w:cs="Palatino Linotype"/>
          <w:b/>
          <w:color w:val="000000" w:themeColor="text1"/>
          <w:u w:val="single"/>
        </w:rPr>
        <w:t>oficios,</w:t>
      </w:r>
      <w:r w:rsidRPr="00613100">
        <w:rPr>
          <w:rFonts w:ascii="Palatino Linotype" w:eastAsia="Palatino Linotype" w:hAnsi="Palatino Linotype" w:cs="Palatino Linotype"/>
          <w:color w:val="000000" w:themeColor="text1"/>
        </w:rPr>
        <w:t xml:space="preserve"> correspondencia, acuerdos, directivas, directrices, circulares, contratos, convenios, instructivos, notas, memorandos, estadísticas o bien, cualquier otro registro que documente el ejercicio de las facultades, funciones y competencias de los Sujetos Obligados; los que, </w:t>
      </w:r>
      <w:r w:rsidRPr="00613100">
        <w:rPr>
          <w:rFonts w:ascii="Palatino Linotype" w:eastAsia="Palatino Linotype" w:hAnsi="Palatino Linotype" w:cs="Palatino Linotype"/>
          <w:color w:val="000000" w:themeColor="text1"/>
        </w:rPr>
        <w:lastRenderedPageBreak/>
        <w:t xml:space="preserve">podrán estar en cualquier medio, sea escrito, impreso, sonoro, visual, electrónico, informático u holográfico, de conformidad con el artículo 3, fracción XI, de la Ley de la materia, el cual dispone lo siguiente: </w:t>
      </w:r>
    </w:p>
    <w:p w:rsidR="00B42685" w:rsidRPr="00613100" w:rsidRDefault="004F306B" w:rsidP="00006B67">
      <w:pP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“Artículo 3.</w:t>
      </w:r>
      <w:r w:rsidRPr="00613100">
        <w:rPr>
          <w:rFonts w:ascii="Palatino Linotype" w:eastAsia="Palatino Linotype" w:hAnsi="Palatino Linotype" w:cs="Palatino Linotype"/>
          <w:i/>
          <w:color w:val="000000" w:themeColor="text1"/>
        </w:rPr>
        <w:t xml:space="preserve"> Para los efectos de la presente Ley se entenderá por: </w:t>
      </w:r>
    </w:p>
    <w:p w:rsidR="00B42685" w:rsidRPr="00613100" w:rsidRDefault="004F306B" w:rsidP="00006B67">
      <w:pP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t xml:space="preserve">(…) </w:t>
      </w:r>
    </w:p>
    <w:p w:rsidR="00B42685" w:rsidRPr="00613100" w:rsidRDefault="004F306B" w:rsidP="00006B67">
      <w:pPr>
        <w:jc w:val="both"/>
        <w:rPr>
          <w:rFonts w:ascii="Palatino Linotype" w:eastAsia="Palatino Linotype" w:hAnsi="Palatino Linotype" w:cs="Palatino Linotype"/>
          <w:b/>
          <w:i/>
          <w:color w:val="000000" w:themeColor="text1"/>
        </w:rPr>
      </w:pPr>
      <w:r w:rsidRPr="00613100">
        <w:rPr>
          <w:rFonts w:ascii="Palatino Linotype" w:eastAsia="Palatino Linotype" w:hAnsi="Palatino Linotype" w:cs="Palatino Linotype"/>
          <w:b/>
          <w:i/>
          <w:color w:val="000000" w:themeColor="text1"/>
        </w:rPr>
        <w:t>XI. Documento:</w:t>
      </w:r>
      <w:r w:rsidRPr="00613100">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613100">
        <w:rPr>
          <w:rFonts w:ascii="Palatino Linotype" w:eastAsia="Palatino Linotype" w:hAnsi="Palatino Linotype" w:cs="Palatino Linotype"/>
          <w:b/>
          <w:i/>
          <w:color w:val="000000" w:themeColor="text1"/>
        </w:rPr>
        <w:t xml:space="preserve">Los documentos podrán estar en cualquier medio, sea escrito, impreso, sonoro, visual, electrónico, informático u holográfico; </w:t>
      </w:r>
    </w:p>
    <w:p w:rsidR="00B42685" w:rsidRPr="00613100" w:rsidRDefault="004F306B" w:rsidP="00006B67">
      <w:pPr>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i/>
          <w:color w:val="000000" w:themeColor="text1"/>
        </w:rPr>
        <w:t>(…)”</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B42685" w:rsidRPr="00613100" w:rsidRDefault="004F306B" w:rsidP="00006B67">
      <w:pPr>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i/>
          <w:color w:val="000000" w:themeColor="text1"/>
        </w:rPr>
        <w:t xml:space="preserve">“CRITERIO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w:t>
      </w:r>
      <w:r w:rsidRPr="00613100">
        <w:rPr>
          <w:rFonts w:ascii="Palatino Linotype" w:eastAsia="Palatino Linotype" w:hAnsi="Palatino Linotype" w:cs="Palatino Linotype"/>
          <w:i/>
          <w:color w:val="000000" w:themeColor="text1"/>
        </w:rPr>
        <w:lastRenderedPageBreak/>
        <w:t>registrada en cualquier soporte documental, que en ejercicio de las atribuciones conferidas, se encuentre en posesión de los Sujetos Obligados.”</w:t>
      </w:r>
    </w:p>
    <w:p w:rsidR="00B42685" w:rsidRDefault="00B42685" w:rsidP="00006B67">
      <w:pPr>
        <w:rPr>
          <w:rFonts w:ascii="Palatino Linotype" w:eastAsia="Palatino Linotype" w:hAnsi="Palatino Linotype" w:cs="Palatino Linotype"/>
          <w:color w:val="000000" w:themeColor="text1"/>
        </w:rPr>
      </w:pPr>
    </w:p>
    <w:p w:rsidR="00B42685" w:rsidRPr="00613100" w:rsidRDefault="004F306B" w:rsidP="00006B67">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b/>
          <w:color w:val="000000" w:themeColor="text1"/>
        </w:rPr>
        <w:t>QUINTO. VERSIÓN PÚBLICA.</w:t>
      </w:r>
    </w:p>
    <w:p w:rsidR="00B42685" w:rsidRPr="00613100" w:rsidRDefault="004F306B" w:rsidP="00006B67">
      <w:pPr>
        <w:keepNext/>
        <w:keepLines/>
        <w:numPr>
          <w:ilvl w:val="0"/>
          <w:numId w:val="5"/>
        </w:numPr>
        <w:spacing w:line="360" w:lineRule="auto"/>
        <w:ind w:left="0" w:firstLine="0"/>
        <w:rPr>
          <w:rFonts w:ascii="Palatino Linotype" w:eastAsia="Palatino Linotype" w:hAnsi="Palatino Linotype" w:cs="Palatino Linotype"/>
          <w:b/>
          <w:color w:val="000000" w:themeColor="text1"/>
        </w:rPr>
      </w:pPr>
      <w:bookmarkStart w:id="10" w:name="_heading=h.3zdbcjghuwan" w:colFirst="0" w:colLast="0"/>
      <w:bookmarkEnd w:id="10"/>
      <w:r w:rsidRPr="00613100">
        <w:rPr>
          <w:rFonts w:ascii="Palatino Linotype" w:eastAsia="Palatino Linotype" w:hAnsi="Palatino Linotype" w:cs="Palatino Linotype"/>
          <w:b/>
          <w:color w:val="000000" w:themeColor="text1"/>
        </w:rPr>
        <w:t xml:space="preserve">Nociones generales. </w:t>
      </w: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Debe destacarse que, debido a la naturaleza de la información solicitada</w:t>
      </w:r>
      <w:r w:rsidRPr="00613100">
        <w:rPr>
          <w:rFonts w:ascii="Palatino Linotype" w:eastAsia="Palatino Linotype" w:hAnsi="Palatino Linotype" w:cs="Palatino Linotype"/>
          <w:b/>
          <w:color w:val="000000" w:themeColor="text1"/>
        </w:rPr>
        <w:t xml:space="preserve">, </w:t>
      </w:r>
      <w:r w:rsidRPr="00613100">
        <w:rPr>
          <w:rFonts w:ascii="Palatino Linotype" w:eastAsia="Palatino Linotype" w:hAnsi="Palatino Linotype" w:cs="Palatino Linotype"/>
          <w:color w:val="000000" w:themeColor="text1"/>
        </w:rPr>
        <w:t xml:space="preserve">eventualmente pudiera obrar datos personales susceptibles de protegerse, el </w:t>
      </w:r>
      <w:r w:rsidRPr="00613100">
        <w:rPr>
          <w:rFonts w:ascii="Palatino Linotype" w:eastAsia="Palatino Linotype" w:hAnsi="Palatino Linotype" w:cs="Palatino Linotype"/>
          <w:b/>
          <w:color w:val="000000" w:themeColor="text1"/>
        </w:rPr>
        <w:t xml:space="preserve">Sujeto Obligado </w:t>
      </w:r>
      <w:r w:rsidRPr="00613100">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No pasa desapercibido para este Órgano Garante que los Sujetos Obligados</w:t>
      </w:r>
      <w:r w:rsidRPr="00613100">
        <w:rPr>
          <w:rFonts w:ascii="Palatino Linotype" w:eastAsia="Palatino Linotype" w:hAnsi="Palatino Linotype" w:cs="Palatino Linotype"/>
          <w:b/>
          <w:color w:val="000000" w:themeColor="text1"/>
        </w:rPr>
        <w:t xml:space="preserve"> </w:t>
      </w:r>
      <w:r w:rsidRPr="00613100">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tbl>
      <w:tblPr>
        <w:tblStyle w:val="a9"/>
        <w:tblW w:w="963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944"/>
      </w:tblGrid>
      <w:tr w:rsidR="00006B67" w:rsidRPr="00613100" w:rsidTr="00F63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B42685" w:rsidRPr="00613100" w:rsidRDefault="004F306B" w:rsidP="00006B67">
            <w:pPr>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a) Requisitos previos.</w:t>
            </w:r>
          </w:p>
        </w:tc>
        <w:tc>
          <w:tcPr>
            <w:tcW w:w="6944" w:type="dxa"/>
          </w:tcPr>
          <w:p w:rsidR="00B42685" w:rsidRPr="00613100" w:rsidRDefault="004F306B" w:rsidP="00006B67">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b w:val="0"/>
                <w:color w:val="000000" w:themeColor="text1"/>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B42685" w:rsidRPr="00613100" w:rsidRDefault="004F306B" w:rsidP="00006B67">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b w:val="0"/>
                <w:color w:val="000000" w:themeColor="text1"/>
                <w:sz w:val="24"/>
                <w:szCs w:val="24"/>
              </w:rPr>
              <w:t>Al hacerlo tienen que precisar de qué información se trata, señalando el supuesto de clasificación (confidencialidad o reserva).</w:t>
            </w:r>
          </w:p>
          <w:p w:rsidR="00B42685" w:rsidRPr="00613100" w:rsidRDefault="004F306B" w:rsidP="00006B67">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b w:val="0"/>
                <w:color w:val="000000" w:themeColor="text1"/>
                <w:sz w:val="24"/>
                <w:szCs w:val="24"/>
              </w:rPr>
              <w:lastRenderedPageBreak/>
              <w:t>Además, se debe señalar el procedimiento, de los tres que establecen los artículos 132 y 106 de la Ley Estatal y General, respectivamente.</w:t>
            </w:r>
          </w:p>
          <w:p w:rsidR="00B42685" w:rsidRPr="00613100" w:rsidRDefault="004F306B" w:rsidP="00006B67">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b w:val="0"/>
                <w:color w:val="000000" w:themeColor="text1"/>
                <w:sz w:val="24"/>
                <w:szCs w:val="24"/>
              </w:rPr>
              <w:t xml:space="preserve">El último de estos requisitos previos consiste en que no se pueden emitir acuerdos de carácter general ni particular, esto es, </w:t>
            </w:r>
            <w:r w:rsidRPr="00613100">
              <w:rPr>
                <w:rFonts w:ascii="Palatino Linotype" w:eastAsia="Palatino Linotype" w:hAnsi="Palatino Linotype" w:cs="Palatino Linotype"/>
                <w:b w:val="0"/>
                <w:color w:val="000000" w:themeColor="text1"/>
                <w:sz w:val="24"/>
                <w:szCs w:val="24"/>
                <w:u w:val="single"/>
              </w:rPr>
              <w:t>no se puede hacer un acuerdo para clasificar de manera general todos los documentos de un expediente o área, sin</w:t>
            </w:r>
            <w:r w:rsidRPr="00613100">
              <w:rPr>
                <w:rFonts w:ascii="Palatino Linotype" w:eastAsia="Palatino Linotype" w:hAnsi="Palatino Linotype" w:cs="Palatino Linotype"/>
                <w:b w:val="0"/>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006B67" w:rsidRPr="00613100" w:rsidTr="00F63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B42685" w:rsidRPr="00613100" w:rsidRDefault="004F306B" w:rsidP="00006B67">
            <w:pPr>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lastRenderedPageBreak/>
              <w:t>b) Supuestos de clasificación.</w:t>
            </w:r>
          </w:p>
        </w:tc>
        <w:tc>
          <w:tcPr>
            <w:tcW w:w="6944" w:type="dxa"/>
          </w:tcPr>
          <w:p w:rsidR="00B42685" w:rsidRPr="00613100" w:rsidRDefault="004F306B" w:rsidP="00006B6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rsidR="00B42685" w:rsidRPr="00613100" w:rsidRDefault="004F306B" w:rsidP="00006B6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B42685" w:rsidRPr="00613100" w:rsidRDefault="004F306B" w:rsidP="00006B6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 xml:space="preserve">El </w:t>
            </w:r>
            <w:r w:rsidRPr="00613100">
              <w:rPr>
                <w:rFonts w:ascii="Palatino Linotype" w:eastAsia="Palatino Linotype" w:hAnsi="Palatino Linotype" w:cs="Palatino Linotype"/>
                <w:b/>
                <w:color w:val="000000" w:themeColor="text1"/>
                <w:sz w:val="24"/>
                <w:szCs w:val="24"/>
              </w:rPr>
              <w:t>Sujeto Obligado</w:t>
            </w:r>
            <w:r w:rsidRPr="00613100">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06B67" w:rsidRPr="00613100" w:rsidTr="00F6341A">
        <w:tc>
          <w:tcPr>
            <w:cnfStyle w:val="001000000000" w:firstRow="0" w:lastRow="0" w:firstColumn="1" w:lastColumn="0" w:oddVBand="0" w:evenVBand="0" w:oddHBand="0" w:evenHBand="0" w:firstRowFirstColumn="0" w:firstRowLastColumn="0" w:lastRowFirstColumn="0" w:lastRowLastColumn="0"/>
            <w:tcW w:w="2689" w:type="dxa"/>
          </w:tcPr>
          <w:p w:rsidR="00B42685" w:rsidRPr="00613100" w:rsidRDefault="004F306B" w:rsidP="00006B67">
            <w:pPr>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c) Formalidades para emitir el acuerdo de clasificación.</w:t>
            </w:r>
          </w:p>
        </w:tc>
        <w:tc>
          <w:tcPr>
            <w:tcW w:w="6944" w:type="dxa"/>
          </w:tcPr>
          <w:p w:rsidR="00B42685" w:rsidRPr="00613100" w:rsidRDefault="004F306B" w:rsidP="00006B6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rsidR="00B42685" w:rsidRPr="00613100" w:rsidRDefault="004F306B" w:rsidP="00006B6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lastRenderedPageBreak/>
              <w:t xml:space="preserve">Es necesario que </w:t>
            </w:r>
            <w:r w:rsidRPr="00613100">
              <w:rPr>
                <w:rFonts w:ascii="Palatino Linotype" w:eastAsia="Palatino Linotype" w:hAnsi="Palatino Linotype" w:cs="Palatino Linotype"/>
                <w:b/>
                <w:color w:val="000000" w:themeColor="text1"/>
                <w:sz w:val="24"/>
                <w:szCs w:val="24"/>
                <w:u w:val="single"/>
              </w:rPr>
              <w:t>el acto reúna con los requisitos elementales</w:t>
            </w:r>
            <w:r w:rsidRPr="00613100">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rsidR="00B42685" w:rsidRPr="00613100" w:rsidRDefault="004F306B" w:rsidP="00006B6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06B67" w:rsidRPr="00613100" w:rsidTr="00F63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B42685" w:rsidRPr="00613100" w:rsidRDefault="00B42685" w:rsidP="00006B67">
            <w:pPr>
              <w:rPr>
                <w:rFonts w:ascii="Palatino Linotype" w:eastAsia="Palatino Linotype" w:hAnsi="Palatino Linotype" w:cs="Palatino Linotype"/>
                <w:color w:val="000000" w:themeColor="text1"/>
                <w:sz w:val="24"/>
                <w:szCs w:val="24"/>
              </w:rPr>
            </w:pPr>
          </w:p>
          <w:p w:rsidR="00B42685" w:rsidRPr="00613100" w:rsidRDefault="004F306B" w:rsidP="00006B67">
            <w:pPr>
              <w:jc w:val="both"/>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 xml:space="preserve">d) Requisitos de fondo del acuerdo de clasificación. </w:t>
            </w:r>
          </w:p>
        </w:tc>
        <w:tc>
          <w:tcPr>
            <w:tcW w:w="6944" w:type="dxa"/>
          </w:tcPr>
          <w:p w:rsidR="00B42685" w:rsidRPr="00613100" w:rsidRDefault="004F306B" w:rsidP="00006B6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13100">
              <w:rPr>
                <w:rFonts w:ascii="Palatino Linotype" w:eastAsia="Palatino Linotype" w:hAnsi="Palatino Linotype" w:cs="Palatino Linotype"/>
                <w:b/>
                <w:color w:val="000000" w:themeColor="text1"/>
                <w:sz w:val="24"/>
                <w:szCs w:val="24"/>
              </w:rPr>
              <w:t>Sujetos Obligados</w:t>
            </w:r>
            <w:r w:rsidRPr="00613100">
              <w:rPr>
                <w:rFonts w:ascii="Palatino Linotype" w:eastAsia="Palatino Linotype" w:hAnsi="Palatino Linotype" w:cs="Palatino Linotype"/>
                <w:color w:val="000000" w:themeColor="text1"/>
                <w:sz w:val="24"/>
                <w:szCs w:val="24"/>
              </w:rPr>
              <w:t xml:space="preserve">, por lo que deberán fundar y motivar debidamente la clasificación. </w:t>
            </w:r>
          </w:p>
          <w:p w:rsidR="00B42685" w:rsidRPr="00613100" w:rsidRDefault="004F306B" w:rsidP="00006B6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 xml:space="preserve">De lo anterior, se desprende que para una correcta </w:t>
            </w:r>
            <w:r w:rsidRPr="00613100">
              <w:rPr>
                <w:rFonts w:ascii="Palatino Linotype" w:eastAsia="Palatino Linotype" w:hAnsi="Palatino Linotype" w:cs="Palatino Linotype"/>
                <w:b/>
                <w:color w:val="000000" w:themeColor="text1"/>
                <w:sz w:val="24"/>
                <w:szCs w:val="24"/>
              </w:rPr>
              <w:t>clasificación total o parcial</w:t>
            </w:r>
            <w:r w:rsidRPr="00613100">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B42685" w:rsidRPr="00613100" w:rsidRDefault="004F306B" w:rsidP="00006B6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w:t>
            </w:r>
            <w:r w:rsidRPr="00613100">
              <w:rPr>
                <w:rFonts w:ascii="Palatino Linotype" w:eastAsia="Palatino Linotype" w:hAnsi="Palatino Linotype" w:cs="Palatino Linotype"/>
                <w:color w:val="000000" w:themeColor="text1"/>
                <w:sz w:val="24"/>
                <w:szCs w:val="24"/>
              </w:rPr>
              <w:lastRenderedPageBreak/>
              <w:t>impugnar la decisión, permitiéndole una real y auténtica defensa.</w:t>
            </w:r>
          </w:p>
          <w:p w:rsidR="00B42685" w:rsidRPr="00613100" w:rsidRDefault="004F306B" w:rsidP="00006B6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rsidR="00B42685" w:rsidRPr="00613100" w:rsidRDefault="004F306B" w:rsidP="00006B6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 xml:space="preserve">Ahora bien, </w:t>
            </w:r>
            <w:r w:rsidRPr="00613100">
              <w:rPr>
                <w:rFonts w:ascii="Palatino Linotype" w:eastAsia="Palatino Linotype" w:hAnsi="Palatino Linotype" w:cs="Palatino Linotype"/>
                <w:b/>
                <w:color w:val="000000" w:themeColor="text1"/>
                <w:sz w:val="24"/>
                <w:szCs w:val="24"/>
                <w:u w:val="single"/>
              </w:rPr>
              <w:t>para cada caso además de fundar y motivar</w:t>
            </w:r>
            <w:r w:rsidRPr="00613100">
              <w:rPr>
                <w:rFonts w:ascii="Palatino Linotype" w:eastAsia="Palatino Linotype" w:hAnsi="Palatino Linotype" w:cs="Palatino Linotype"/>
                <w:color w:val="000000" w:themeColor="text1"/>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06B67" w:rsidRPr="00613100" w:rsidTr="00F6341A">
        <w:tc>
          <w:tcPr>
            <w:cnfStyle w:val="001000000000" w:firstRow="0" w:lastRow="0" w:firstColumn="1" w:lastColumn="0" w:oddVBand="0" w:evenVBand="0" w:oddHBand="0" w:evenHBand="0" w:firstRowFirstColumn="0" w:firstRowLastColumn="0" w:lastRowFirstColumn="0" w:lastRowLastColumn="0"/>
            <w:tcW w:w="2689" w:type="dxa"/>
          </w:tcPr>
          <w:p w:rsidR="00B42685" w:rsidRPr="00613100" w:rsidRDefault="004F306B" w:rsidP="00006B67">
            <w:pPr>
              <w:jc w:val="both"/>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b w:val="0"/>
                <w:color w:val="000000" w:themeColor="text1"/>
                <w:sz w:val="24"/>
                <w:szCs w:val="24"/>
              </w:rPr>
              <w:lastRenderedPageBreak/>
              <w:t>e</w:t>
            </w:r>
            <w:r w:rsidRPr="00613100">
              <w:rPr>
                <w:rFonts w:ascii="Palatino Linotype" w:eastAsia="Palatino Linotype" w:hAnsi="Palatino Linotype" w:cs="Palatino Linotype"/>
                <w:color w:val="000000" w:themeColor="text1"/>
                <w:sz w:val="24"/>
                <w:szCs w:val="24"/>
              </w:rPr>
              <w:t xml:space="preserve">) Condiciones especiales de la clasificación de la información como confidencial. </w:t>
            </w:r>
          </w:p>
        </w:tc>
        <w:tc>
          <w:tcPr>
            <w:tcW w:w="6944" w:type="dxa"/>
          </w:tcPr>
          <w:p w:rsidR="00B42685" w:rsidRPr="00613100" w:rsidRDefault="004F306B" w:rsidP="00006B6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w:t>
            </w:r>
          </w:p>
          <w:p w:rsidR="00B42685" w:rsidRPr="00613100" w:rsidRDefault="004F306B" w:rsidP="00006B6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B42685" w:rsidRPr="00613100" w:rsidRDefault="004F306B" w:rsidP="00006B67">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13100">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B42685" w:rsidRPr="00613100" w:rsidRDefault="00B42685" w:rsidP="00006B67">
      <w:pPr>
        <w:tabs>
          <w:tab w:val="left" w:pos="426"/>
        </w:tabs>
        <w:spacing w:line="360" w:lineRule="auto"/>
        <w:jc w:val="both"/>
        <w:rPr>
          <w:rFonts w:ascii="Palatino Linotype" w:eastAsia="Palatino Linotype" w:hAnsi="Palatino Linotype" w:cs="Palatino Linotype"/>
          <w:b/>
          <w:color w:val="000000" w:themeColor="text1"/>
        </w:rPr>
      </w:pPr>
    </w:p>
    <w:p w:rsidR="00B42685" w:rsidRPr="00613100" w:rsidRDefault="004F306B" w:rsidP="00006B67">
      <w:pPr>
        <w:numPr>
          <w:ilvl w:val="0"/>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b/>
          <w:color w:val="000000" w:themeColor="text1"/>
        </w:rPr>
        <w:t>Del análisis de los datos susceptibles de ser protegidos en la nómina.</w:t>
      </w:r>
    </w:p>
    <w:p w:rsidR="00B42685" w:rsidRPr="00953F1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lastRenderedPageBreak/>
        <w:t xml:space="preserve">Bajo lo anterior, es importante analizar los datos personales susceptibles de ser protegidos, que pudieran estar contenidos en los documentos donde obra lo requerido, tales como </w:t>
      </w:r>
      <w:r w:rsidRPr="00613100">
        <w:rPr>
          <w:rFonts w:ascii="Palatino Linotype" w:eastAsia="Palatino Linotype" w:hAnsi="Palatino Linotype" w:cs="Palatino Linotype"/>
          <w:b/>
          <w:color w:val="000000" w:themeColor="text1"/>
        </w:rPr>
        <w:t xml:space="preserve">Registro Federal de Contribuyentes (RFC), </w:t>
      </w:r>
      <w:r w:rsidRPr="00613100">
        <w:rPr>
          <w:rFonts w:ascii="Palatino Linotype" w:eastAsia="Palatino Linotype" w:hAnsi="Palatino Linotype" w:cs="Palatino Linotype"/>
          <w:color w:val="000000" w:themeColor="text1"/>
        </w:rPr>
        <w:t xml:space="preserve">la </w:t>
      </w:r>
      <w:r w:rsidRPr="00613100">
        <w:rPr>
          <w:rFonts w:ascii="Palatino Linotype" w:eastAsia="Palatino Linotype" w:hAnsi="Palatino Linotype" w:cs="Palatino Linotype"/>
          <w:b/>
          <w:color w:val="000000" w:themeColor="text1"/>
        </w:rPr>
        <w:t>Clave Única de Registro de Población (CURP)</w:t>
      </w:r>
      <w:r w:rsidRPr="00613100">
        <w:rPr>
          <w:rFonts w:ascii="Palatino Linotype" w:eastAsia="Palatino Linotype" w:hAnsi="Palatino Linotype" w:cs="Palatino Linotype"/>
          <w:color w:val="000000" w:themeColor="text1"/>
        </w:rPr>
        <w:t xml:space="preserve">, la </w:t>
      </w:r>
      <w:r w:rsidRPr="00613100">
        <w:rPr>
          <w:rFonts w:ascii="Palatino Linotype" w:eastAsia="Palatino Linotype" w:hAnsi="Palatino Linotype" w:cs="Palatino Linotype"/>
          <w:b/>
          <w:color w:val="000000" w:themeColor="text1"/>
        </w:rPr>
        <w:t xml:space="preserve">Clave de ISSEMyM </w:t>
      </w:r>
      <w:r w:rsidRPr="00613100">
        <w:rPr>
          <w:rFonts w:ascii="Palatino Linotype" w:eastAsia="Palatino Linotype" w:hAnsi="Palatino Linotype" w:cs="Palatino Linotype"/>
          <w:color w:val="000000" w:themeColor="text1"/>
        </w:rPr>
        <w:t xml:space="preserve">u análogos, </w:t>
      </w:r>
      <w:r w:rsidRPr="00613100">
        <w:rPr>
          <w:rFonts w:ascii="Palatino Linotype" w:eastAsia="Palatino Linotype" w:hAnsi="Palatino Linotype" w:cs="Palatino Linotype"/>
          <w:b/>
          <w:color w:val="000000" w:themeColor="text1"/>
        </w:rPr>
        <w:t xml:space="preserve">préstamos o descuentos </w:t>
      </w:r>
      <w:r w:rsidRPr="00613100">
        <w:rPr>
          <w:rFonts w:ascii="Palatino Linotype" w:eastAsia="Palatino Linotype" w:hAnsi="Palatino Linotype" w:cs="Palatino Linotype"/>
          <w:color w:val="000000" w:themeColor="text1"/>
        </w:rPr>
        <w:t xml:space="preserve">realizados al servidor público y la </w:t>
      </w:r>
      <w:r w:rsidRPr="00613100">
        <w:rPr>
          <w:rFonts w:ascii="Palatino Linotype" w:eastAsia="Palatino Linotype" w:hAnsi="Palatino Linotype" w:cs="Palatino Linotype"/>
          <w:b/>
          <w:color w:val="000000" w:themeColor="text1"/>
        </w:rPr>
        <w:t>clave interbancaria de depósito.</w:t>
      </w:r>
    </w:p>
    <w:p w:rsidR="00953F10" w:rsidRPr="00613100" w:rsidRDefault="00953F10" w:rsidP="00953F1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Default="004F306B" w:rsidP="00953F10">
      <w:pPr>
        <w:spacing w:line="360" w:lineRule="auto"/>
        <w:ind w:firstLine="720"/>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b/>
          <w:color w:val="000000" w:themeColor="text1"/>
        </w:rPr>
        <w:t>a) Del Registro Federal de Contribuyentes.</w:t>
      </w: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rsidR="00B42685" w:rsidRPr="00613100" w:rsidRDefault="00B42685" w:rsidP="00006B67">
      <w:pPr>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Del mismo modo, el Registro Federal de Contribuyentes permite tener acceso a programas sociales o becas, obtención de créditos y apoyos, apertura cuentas bancarias, </w:t>
      </w:r>
      <w:r w:rsidRPr="00613100">
        <w:rPr>
          <w:rFonts w:ascii="Palatino Linotype" w:eastAsia="Palatino Linotype" w:hAnsi="Palatino Linotype" w:cs="Palatino Linotype"/>
          <w:color w:val="000000" w:themeColor="text1"/>
        </w:rPr>
        <w:lastRenderedPageBreak/>
        <w:t>participar en Afores, e incluso es un requisito indispensable para realizar el trámite de ingreso a un empleo.</w:t>
      </w:r>
    </w:p>
    <w:p w:rsidR="00B42685" w:rsidRPr="00613100" w:rsidRDefault="00B42685" w:rsidP="00006B67">
      <w:pPr>
        <w:rPr>
          <w:rFonts w:ascii="Palatino Linotype" w:eastAsia="Palatino Linotype" w:hAnsi="Palatino Linotype" w:cs="Palatino Linotype"/>
          <w:color w:val="000000" w:themeColor="text1"/>
        </w:rPr>
      </w:pPr>
    </w:p>
    <w:p w:rsidR="00B42685"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953F10" w:rsidRPr="00613100" w:rsidRDefault="00953F10" w:rsidP="00953F1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En el mismo sentido, resulta aplicable el Criterio 19/17 emitido por el Instituto Nacional de Transparencia, Acceso a la Información, y Protección de Datos Personales, en el cual se señala lo siguiente:</w:t>
      </w:r>
    </w:p>
    <w:p w:rsidR="00B42685" w:rsidRPr="00613100" w:rsidRDefault="004F306B" w:rsidP="00006B67">
      <w:pPr>
        <w:shd w:val="clear" w:color="auto" w:fill="FFFFFF"/>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REGISTRO FEDERAL DE CONTRIBUYENTES (RFC) DE PERSONAS FÍSICAS.</w:t>
      </w:r>
      <w:r w:rsidRPr="00613100">
        <w:rPr>
          <w:rFonts w:ascii="Palatino Linotype" w:eastAsia="Palatino Linotype" w:hAnsi="Palatino Linotype" w:cs="Palatino Linotype"/>
          <w:i/>
          <w:color w:val="000000" w:themeColor="text1"/>
        </w:rPr>
        <w:t xml:space="preserve"> “El RFC es una clave de carácter fiscal, única e irrepetible, que permite identificar al titular, su edad y fecha de nacimiento, por lo que es un dato personal de carácter confidencial.”</w:t>
      </w:r>
    </w:p>
    <w:p w:rsidR="00B42685" w:rsidRDefault="00B42685" w:rsidP="00006B67">
      <w:pPr>
        <w:shd w:val="clear" w:color="auto" w:fill="FFFFFF"/>
        <w:jc w:val="both"/>
        <w:rPr>
          <w:rFonts w:ascii="Palatino Linotype" w:eastAsia="Palatino Linotype" w:hAnsi="Palatino Linotype" w:cs="Palatino Linotype"/>
          <w:i/>
          <w:color w:val="000000" w:themeColor="text1"/>
        </w:rPr>
      </w:pPr>
    </w:p>
    <w:p w:rsidR="002816F3" w:rsidRPr="00613100" w:rsidRDefault="002816F3" w:rsidP="00006B67">
      <w:pPr>
        <w:shd w:val="clear" w:color="auto" w:fill="FFFFFF"/>
        <w:jc w:val="both"/>
        <w:rPr>
          <w:rFonts w:ascii="Palatino Linotype" w:eastAsia="Palatino Linotype" w:hAnsi="Palatino Linotype" w:cs="Palatino Linotype"/>
          <w:i/>
          <w:color w:val="000000" w:themeColor="text1"/>
        </w:rPr>
      </w:pPr>
    </w:p>
    <w:p w:rsidR="00B42685" w:rsidRPr="00613100" w:rsidRDefault="004F306B" w:rsidP="00006B67">
      <w:pPr>
        <w:tabs>
          <w:tab w:val="left" w:pos="426"/>
        </w:tabs>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b/>
          <w:color w:val="000000" w:themeColor="text1"/>
        </w:rPr>
        <w:t>b) De la Clave Única de Registro de Población.</w:t>
      </w: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noProof/>
          <w:color w:val="000000" w:themeColor="text1"/>
          <w:lang w:val="es-MX"/>
        </w:rPr>
        <w:lastRenderedPageBreak/>
        <w:drawing>
          <wp:inline distT="0" distB="0" distL="0" distR="0">
            <wp:extent cx="4795317" cy="3951341"/>
            <wp:effectExtent l="12700" t="12700" r="12700" b="12700"/>
            <wp:docPr id="71" name="image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10;&#10;Descripción generada automáticamente"/>
                    <pic:cNvPicPr preferRelativeResize="0"/>
                  </pic:nvPicPr>
                  <pic:blipFill>
                    <a:blip r:embed="rId21"/>
                    <a:srcRect l="25747" t="8269" r="41253" b="18081"/>
                    <a:stretch>
                      <a:fillRect/>
                    </a:stretch>
                  </pic:blipFill>
                  <pic:spPr>
                    <a:xfrm>
                      <a:off x="0" y="0"/>
                      <a:ext cx="4795317" cy="3951341"/>
                    </a:xfrm>
                    <a:prstGeom prst="rect">
                      <a:avLst/>
                    </a:prstGeom>
                    <a:ln w="12700">
                      <a:solidFill>
                        <a:srgbClr val="000000"/>
                      </a:solidFill>
                      <a:prstDash val="solid"/>
                    </a:ln>
                  </pic:spPr>
                </pic:pic>
              </a:graphicData>
            </a:graphic>
          </wp:inline>
        </w:drawing>
      </w:r>
    </w:p>
    <w:p w:rsidR="00B42685" w:rsidRPr="00613100" w:rsidRDefault="00B42685" w:rsidP="00006B67">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Es 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Entre las características de la CURP, se encuentra:</w:t>
      </w:r>
    </w:p>
    <w:p w:rsidR="00B42685" w:rsidRPr="00613100" w:rsidRDefault="004F306B" w:rsidP="00006B67">
      <w:pPr>
        <w:tabs>
          <w:tab w:val="left" w:pos="426"/>
          <w:tab w:val="left" w:pos="567"/>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 xml:space="preserve">Composición. </w:t>
      </w:r>
      <w:r w:rsidRPr="00613100">
        <w:rPr>
          <w:rFonts w:ascii="Palatino Linotype" w:eastAsia="Palatino Linotype" w:hAnsi="Palatino Linotype" w:cs="Palatino Linotype"/>
          <w:i/>
          <w:color w:val="000000" w:themeColor="text1"/>
        </w:rPr>
        <w:t>Alfanumérica.</w:t>
      </w:r>
    </w:p>
    <w:p w:rsidR="00B42685" w:rsidRPr="00613100" w:rsidRDefault="004F306B" w:rsidP="00006B67">
      <w:pPr>
        <w:tabs>
          <w:tab w:val="left" w:pos="426"/>
          <w:tab w:val="left" w:pos="567"/>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 xml:space="preserve">Longitud. </w:t>
      </w:r>
      <w:r w:rsidRPr="00613100">
        <w:rPr>
          <w:rFonts w:ascii="Palatino Linotype" w:eastAsia="Palatino Linotype" w:hAnsi="Palatino Linotype" w:cs="Palatino Linotype"/>
          <w:i/>
          <w:color w:val="000000" w:themeColor="text1"/>
        </w:rPr>
        <w:t xml:space="preserve"> 18 caracteres.</w:t>
      </w:r>
    </w:p>
    <w:p w:rsidR="00B42685" w:rsidRPr="00613100" w:rsidRDefault="004F306B" w:rsidP="00006B67">
      <w:pPr>
        <w:tabs>
          <w:tab w:val="left" w:pos="426"/>
          <w:tab w:val="left" w:pos="567"/>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 xml:space="preserve">Naturaleza. </w:t>
      </w:r>
      <w:r w:rsidRPr="00613100">
        <w:rPr>
          <w:rFonts w:ascii="Palatino Linotype" w:eastAsia="Palatino Linotype" w:hAnsi="Palatino Linotype" w:cs="Palatino Linotype"/>
          <w:i/>
          <w:color w:val="000000" w:themeColor="text1"/>
        </w:rPr>
        <w:t>Biunívoca.</w:t>
      </w:r>
    </w:p>
    <w:p w:rsidR="00B42685" w:rsidRPr="00613100" w:rsidRDefault="004F306B" w:rsidP="00006B67">
      <w:pPr>
        <w:tabs>
          <w:tab w:val="left" w:pos="426"/>
          <w:tab w:val="left" w:pos="567"/>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lastRenderedPageBreak/>
        <w:t xml:space="preserve">Universalidad. </w:t>
      </w:r>
      <w:r w:rsidRPr="00613100">
        <w:rPr>
          <w:rFonts w:ascii="Palatino Linotype" w:eastAsia="Palatino Linotype" w:hAnsi="Palatino Linotype" w:cs="Palatino Linotype"/>
          <w:i/>
          <w:color w:val="000000" w:themeColor="text1"/>
        </w:rPr>
        <w:t>Se asigna a todas las personas que conforman la población.</w:t>
      </w:r>
    </w:p>
    <w:p w:rsidR="00B42685" w:rsidRPr="00613100" w:rsidRDefault="004F306B" w:rsidP="00006B67">
      <w:pPr>
        <w:tabs>
          <w:tab w:val="left" w:pos="142"/>
          <w:tab w:val="left" w:pos="284"/>
          <w:tab w:val="left" w:pos="426"/>
        </w:tabs>
        <w:jc w:val="both"/>
        <w:rPr>
          <w:rFonts w:ascii="Palatino Linotype" w:eastAsia="Palatino Linotype" w:hAnsi="Palatino Linotype" w:cs="Palatino Linotype"/>
          <w:b/>
          <w:i/>
          <w:color w:val="000000" w:themeColor="text1"/>
        </w:rPr>
      </w:pPr>
      <w:r w:rsidRPr="00613100">
        <w:rPr>
          <w:rFonts w:ascii="Palatino Linotype" w:eastAsia="Palatino Linotype" w:hAnsi="Palatino Linotype" w:cs="Palatino Linotype"/>
          <w:b/>
          <w:i/>
          <w:color w:val="000000" w:themeColor="text1"/>
        </w:rPr>
        <w:t>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rsidR="00B42685" w:rsidRPr="00613100" w:rsidRDefault="00B42685" w:rsidP="00006B67">
      <w:pPr>
        <w:tabs>
          <w:tab w:val="left" w:pos="142"/>
          <w:tab w:val="left" w:pos="284"/>
          <w:tab w:val="left" w:pos="426"/>
        </w:tabs>
        <w:jc w:val="both"/>
        <w:rPr>
          <w:rFonts w:ascii="Palatino Linotype" w:eastAsia="Palatino Linotype" w:hAnsi="Palatino Linotype" w:cs="Palatino Linotype"/>
          <w:i/>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B42685" w:rsidRPr="00613100" w:rsidRDefault="00B42685" w:rsidP="00006B67">
      <w:pPr>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Ante ello, resulta aplicable el Criterio 18/17 emitido por el Instituto Nacional de Transparencia, Acceso a la Información y Protección de Datos Personales, que a la literalidad señala:</w:t>
      </w:r>
    </w:p>
    <w:p w:rsidR="00B42685" w:rsidRPr="00613100" w:rsidRDefault="004F306B" w:rsidP="00006B67">
      <w:pPr>
        <w:shd w:val="clear" w:color="auto" w:fill="FFFFFF"/>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CLAVE ÚNICA DE REGISTRO DE POBLACIÓN (CURP). “</w:t>
      </w:r>
      <w:r w:rsidRPr="00613100">
        <w:rPr>
          <w:rFonts w:ascii="Palatino Linotype" w:eastAsia="Palatino Linotype" w:hAnsi="Palatino Linotype" w:cs="Palatino Linotype"/>
          <w:i/>
          <w:color w:val="000000" w:themeColor="text1"/>
        </w:rPr>
        <w:t xml:space="preserve">La Clave Única de Registro de Población se integra por datos personales que sólo conciernen al particular titular de la misma, como lo son su nombre, apellidos, fecha de nacimiento, lugar de nacimiento y sexo. Dichos datos, constituyen </w:t>
      </w:r>
      <w:r w:rsidRPr="00613100">
        <w:rPr>
          <w:rFonts w:ascii="Palatino Linotype" w:eastAsia="Palatino Linotype" w:hAnsi="Palatino Linotype" w:cs="Palatino Linotype"/>
          <w:i/>
          <w:color w:val="000000" w:themeColor="text1"/>
        </w:rPr>
        <w:lastRenderedPageBreak/>
        <w:t>información que distingue plenamente a una persona física del resto de los habitantes del país, por lo que la CURP está considerada como información confidencial.”</w:t>
      </w:r>
    </w:p>
    <w:p w:rsidR="00B42685" w:rsidRDefault="00B42685" w:rsidP="00006B67">
      <w:pPr>
        <w:tabs>
          <w:tab w:val="left" w:pos="426"/>
        </w:tabs>
        <w:jc w:val="both"/>
        <w:rPr>
          <w:rFonts w:ascii="Palatino Linotype" w:eastAsia="Palatino Linotype" w:hAnsi="Palatino Linotype" w:cs="Palatino Linotype"/>
          <w:color w:val="000000" w:themeColor="text1"/>
        </w:rPr>
      </w:pPr>
    </w:p>
    <w:p w:rsidR="00953F10" w:rsidRPr="00613100" w:rsidRDefault="00953F10" w:rsidP="00006B67">
      <w:pPr>
        <w:tabs>
          <w:tab w:val="left" w:pos="426"/>
        </w:tabs>
        <w:jc w:val="both"/>
        <w:rPr>
          <w:rFonts w:ascii="Palatino Linotype" w:eastAsia="Palatino Linotype" w:hAnsi="Palatino Linotype" w:cs="Palatino Linotype"/>
          <w:color w:val="000000" w:themeColor="text1"/>
        </w:rPr>
      </w:pPr>
    </w:p>
    <w:p w:rsidR="00B42685" w:rsidRPr="00613100" w:rsidRDefault="004F306B" w:rsidP="00006B67">
      <w:pPr>
        <w:tabs>
          <w:tab w:val="left" w:pos="426"/>
        </w:tabs>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b/>
          <w:color w:val="000000" w:themeColor="text1"/>
        </w:rPr>
        <w:t>c) De la clave de identificación del Instituto de Seguridad Social del Estado de México y Municipios.</w:t>
      </w: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rsidR="00B42685" w:rsidRPr="00613100" w:rsidRDefault="00B42685" w:rsidP="00006B67">
      <w:pPr>
        <w:pBdr>
          <w:top w:val="nil"/>
          <w:left w:val="nil"/>
          <w:bottom w:val="nil"/>
          <w:right w:val="nil"/>
          <w:between w:val="nil"/>
        </w:pBdr>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Entre los elementos que integra la credencial expedida se encuentra la Clave ISSEMyM, la cual permite identificar al servidor público que actualmente labora o laboró en alguna institución pública y que tenga vigente su derecho a recibir las prestaciones.</w:t>
      </w:r>
    </w:p>
    <w:p w:rsidR="00B42685" w:rsidRPr="00613100" w:rsidRDefault="00B42685" w:rsidP="00006B67">
      <w:pPr>
        <w:pBdr>
          <w:top w:val="nil"/>
          <w:left w:val="nil"/>
          <w:bottom w:val="nil"/>
          <w:right w:val="nil"/>
          <w:between w:val="nil"/>
        </w:pBdr>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Como se advierte, este número asignado a los derechohabientes en un dato personal que permite la identificación de la persona que goza de las prestaciones que otorga la </w:t>
      </w:r>
      <w:r w:rsidRPr="00613100">
        <w:rPr>
          <w:rFonts w:ascii="Palatino Linotype" w:eastAsia="Palatino Linotype" w:hAnsi="Palatino Linotype" w:cs="Palatino Linotype"/>
          <w:color w:val="000000" w:themeColor="text1"/>
        </w:rPr>
        <w:lastRenderedPageBreak/>
        <w:t>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rsidR="00B42685" w:rsidRPr="00613100" w:rsidRDefault="00B42685" w:rsidP="00006B67">
      <w:pPr>
        <w:jc w:val="both"/>
        <w:rPr>
          <w:rFonts w:ascii="Palatino Linotype" w:eastAsia="Palatino Linotype" w:hAnsi="Palatino Linotype" w:cs="Palatino Linotype"/>
          <w:color w:val="000000" w:themeColor="text1"/>
        </w:rPr>
      </w:pPr>
    </w:p>
    <w:p w:rsidR="00B42685" w:rsidRPr="00613100" w:rsidRDefault="004F306B" w:rsidP="00006B67">
      <w:pPr>
        <w:tabs>
          <w:tab w:val="left" w:pos="426"/>
        </w:tabs>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b/>
          <w:color w:val="000000" w:themeColor="text1"/>
        </w:rPr>
        <w:t>d) Préstamos o descuentos de carácter personal.</w:t>
      </w: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Para entender los límites y alcances de esta restricción, es oportuno traer a colación lo establecido por el artículo 84 de la Ley del Trabajo de los Servidores Públicos del Estado y Municipios, el cual señala que:</w:t>
      </w:r>
    </w:p>
    <w:p w:rsidR="00B42685" w:rsidRPr="00613100" w:rsidRDefault="004F306B" w:rsidP="00006B67">
      <w:pPr>
        <w:tabs>
          <w:tab w:val="left" w:pos="426"/>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“ARTÍCULO 84.</w:t>
      </w:r>
      <w:r w:rsidRPr="00613100">
        <w:rPr>
          <w:rFonts w:ascii="Palatino Linotype" w:eastAsia="Palatino Linotype" w:hAnsi="Palatino Linotype" w:cs="Palatino Linotype"/>
          <w:i/>
          <w:color w:val="000000" w:themeColor="text1"/>
        </w:rPr>
        <w:t xml:space="preserve"> Sólo podrán hacerse retenciones, descuentos o deducciones al sueldo de los servidores públicos por concepto de: </w:t>
      </w:r>
    </w:p>
    <w:p w:rsidR="00B42685" w:rsidRPr="00613100" w:rsidRDefault="004F306B" w:rsidP="00006B67">
      <w:pPr>
        <w:tabs>
          <w:tab w:val="left" w:pos="426"/>
        </w:tabs>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I.</w:t>
      </w:r>
      <w:r w:rsidRPr="00613100">
        <w:rPr>
          <w:rFonts w:ascii="Palatino Linotype" w:eastAsia="Palatino Linotype" w:hAnsi="Palatino Linotype" w:cs="Palatino Linotype"/>
          <w:i/>
          <w:color w:val="000000" w:themeColor="text1"/>
        </w:rPr>
        <w:t xml:space="preserve"> Gravámenes fiscales relacionados con el sueldo; </w:t>
      </w:r>
    </w:p>
    <w:p w:rsidR="00B42685" w:rsidRPr="00613100" w:rsidRDefault="004F306B" w:rsidP="00006B67">
      <w:pP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II.</w:t>
      </w:r>
      <w:r w:rsidRPr="00613100">
        <w:rPr>
          <w:rFonts w:ascii="Palatino Linotype" w:eastAsia="Palatino Linotype" w:hAnsi="Palatino Linotype" w:cs="Palatino Linotype"/>
          <w:i/>
          <w:color w:val="000000" w:themeColor="text1"/>
        </w:rPr>
        <w:t xml:space="preserve"> Deudas contraídas con las instituciones públicas o dependencias por concepto de anticipos de sueldo, pagos hechos con exceso, errores o pérdidas debidamente comprobados; </w:t>
      </w:r>
    </w:p>
    <w:p w:rsidR="00B42685" w:rsidRPr="00613100" w:rsidRDefault="004F306B" w:rsidP="00006B67">
      <w:pP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III.</w:t>
      </w:r>
      <w:r w:rsidRPr="00613100">
        <w:rPr>
          <w:rFonts w:ascii="Palatino Linotype" w:eastAsia="Palatino Linotype" w:hAnsi="Palatino Linotype" w:cs="Palatino Linotype"/>
          <w:i/>
          <w:color w:val="000000" w:themeColor="text1"/>
        </w:rPr>
        <w:t xml:space="preserve"> Cuotas sindicales; </w:t>
      </w:r>
    </w:p>
    <w:p w:rsidR="00B42685" w:rsidRPr="00613100" w:rsidRDefault="004F306B" w:rsidP="00006B67">
      <w:pP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IV.</w:t>
      </w:r>
      <w:r w:rsidRPr="00613100">
        <w:rPr>
          <w:rFonts w:ascii="Palatino Linotype" w:eastAsia="Palatino Linotype" w:hAnsi="Palatino Linotype" w:cs="Palatino Linotype"/>
          <w:i/>
          <w:color w:val="000000" w:themeColor="text1"/>
        </w:rPr>
        <w:t xml:space="preserve"> Cuotas de aportación a fondos para la constitución de cooperativas y de cajas de ahorro, siempre que el servidor público hubiese manifestado previamente, de manera expresa, su conformidad; </w:t>
      </w:r>
    </w:p>
    <w:p w:rsidR="00B42685" w:rsidRPr="00613100" w:rsidRDefault="004F306B" w:rsidP="00006B67">
      <w:pP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V.</w:t>
      </w:r>
      <w:r w:rsidRPr="00613100">
        <w:rPr>
          <w:rFonts w:ascii="Palatino Linotype" w:eastAsia="Palatino Linotype" w:hAnsi="Palatino Linotype" w:cs="Palatino Linotype"/>
          <w:i/>
          <w:color w:val="000000" w:themeColor="text1"/>
        </w:rPr>
        <w:t xml:space="preserve"> Descuentos ordenados por el Instituto de Seguridad Social del Estado de México y Municipios, con motivo de cuotas y obligaciones contraídas con éste por los servidores públicos; </w:t>
      </w:r>
    </w:p>
    <w:p w:rsidR="00B42685" w:rsidRPr="00613100" w:rsidRDefault="004F306B" w:rsidP="00006B67">
      <w:pP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VI.</w:t>
      </w:r>
      <w:r w:rsidRPr="00613100">
        <w:rPr>
          <w:rFonts w:ascii="Palatino Linotype" w:eastAsia="Palatino Linotype" w:hAnsi="Palatino Linotype" w:cs="Palatino Linotype"/>
          <w:i/>
          <w:color w:val="000000" w:themeColor="text1"/>
        </w:rPr>
        <w:t xml:space="preserve"> Obligaciones a cargo del servidor público con las que haya consentido, derivadas de la adquisición o del uso de habitaciones consideradas como de interés social; </w:t>
      </w:r>
    </w:p>
    <w:p w:rsidR="00B42685" w:rsidRPr="00613100" w:rsidRDefault="004F306B" w:rsidP="00006B67">
      <w:pP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VII.</w:t>
      </w:r>
      <w:r w:rsidRPr="00613100">
        <w:rPr>
          <w:rFonts w:ascii="Palatino Linotype" w:eastAsia="Palatino Linotype" w:hAnsi="Palatino Linotype" w:cs="Palatino Linotype"/>
          <w:i/>
          <w:color w:val="000000" w:themeColor="text1"/>
        </w:rPr>
        <w:t xml:space="preserve"> Faltas de puntualidad o de asistencia injustificadas; </w:t>
      </w:r>
    </w:p>
    <w:p w:rsidR="00B42685" w:rsidRPr="00613100" w:rsidRDefault="004F306B" w:rsidP="00006B67">
      <w:pP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VIII.</w:t>
      </w:r>
      <w:r w:rsidRPr="00613100">
        <w:rPr>
          <w:rFonts w:ascii="Palatino Linotype" w:eastAsia="Palatino Linotype" w:hAnsi="Palatino Linotype" w:cs="Palatino Linotype"/>
          <w:i/>
          <w:color w:val="000000" w:themeColor="text1"/>
        </w:rPr>
        <w:t xml:space="preserve"> Pensiones alimenticias ordenadas por la autoridad judicial; o </w:t>
      </w:r>
    </w:p>
    <w:p w:rsidR="00B42685" w:rsidRPr="00613100" w:rsidRDefault="004F306B" w:rsidP="00006B67">
      <w:pP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b/>
          <w:i/>
          <w:color w:val="000000" w:themeColor="text1"/>
        </w:rPr>
        <w:t>IX.</w:t>
      </w:r>
      <w:r w:rsidRPr="00613100">
        <w:rPr>
          <w:rFonts w:ascii="Palatino Linotype" w:eastAsia="Palatino Linotype" w:hAnsi="Palatino Linotype" w:cs="Palatino Linotype"/>
          <w:i/>
          <w:color w:val="000000" w:themeColor="text1"/>
        </w:rPr>
        <w:t xml:space="preserve"> Cualquier otro convenido con instituciones de servicios y aceptado por el servidor público. </w:t>
      </w:r>
    </w:p>
    <w:p w:rsidR="00B42685" w:rsidRPr="00613100" w:rsidRDefault="00B42685" w:rsidP="00006B67">
      <w:pPr>
        <w:jc w:val="both"/>
        <w:rPr>
          <w:rFonts w:ascii="Palatino Linotype" w:eastAsia="Palatino Linotype" w:hAnsi="Palatino Linotype" w:cs="Palatino Linotype"/>
          <w:color w:val="000000" w:themeColor="text1"/>
        </w:rPr>
      </w:pPr>
    </w:p>
    <w:p w:rsidR="00B42685" w:rsidRPr="00613100" w:rsidRDefault="004F306B" w:rsidP="00006B67">
      <w:pPr>
        <w:jc w:val="both"/>
        <w:rPr>
          <w:rFonts w:ascii="Palatino Linotype" w:eastAsia="Palatino Linotype" w:hAnsi="Palatino Linotype" w:cs="Palatino Linotype"/>
          <w:i/>
          <w:color w:val="000000" w:themeColor="text1"/>
        </w:rPr>
      </w:pPr>
      <w:r w:rsidRPr="00613100">
        <w:rPr>
          <w:rFonts w:ascii="Palatino Linotype" w:eastAsia="Palatino Linotype" w:hAnsi="Palatino Linotype" w:cs="Palatino Linotype"/>
          <w:i/>
          <w:color w:val="000000" w:themeColor="text1"/>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B42685" w:rsidRPr="00613100" w:rsidRDefault="00B42685" w:rsidP="00006B67">
      <w:pPr>
        <w:jc w:val="both"/>
        <w:rPr>
          <w:rFonts w:ascii="Palatino Linotype" w:eastAsia="Palatino Linotype" w:hAnsi="Palatino Linotype" w:cs="Palatino Linotype"/>
          <w:b/>
          <w:color w:val="000000" w:themeColor="text1"/>
        </w:rPr>
      </w:pPr>
    </w:p>
    <w:p w:rsidR="00B42685" w:rsidRPr="00613100" w:rsidRDefault="004F306B" w:rsidP="00006B67">
      <w:pPr>
        <w:numPr>
          <w:ilvl w:val="0"/>
          <w:numId w:val="2"/>
        </w:numP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rsidR="00B42685" w:rsidRPr="00613100" w:rsidRDefault="00B42685" w:rsidP="00006B67">
      <w:pPr>
        <w:jc w:val="both"/>
        <w:rPr>
          <w:rFonts w:ascii="Palatino Linotype" w:eastAsia="Palatino Linotype" w:hAnsi="Palatino Linotype" w:cs="Palatino Linotype"/>
          <w:b/>
          <w:color w:val="000000" w:themeColor="text1"/>
        </w:rPr>
      </w:pPr>
    </w:p>
    <w:p w:rsidR="00B42685" w:rsidRPr="00613100" w:rsidRDefault="004F306B" w:rsidP="00006B67">
      <w:pPr>
        <w:numPr>
          <w:ilvl w:val="0"/>
          <w:numId w:val="2"/>
        </w:numP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074F93" w:rsidRPr="00613100" w:rsidRDefault="00074F93" w:rsidP="00074F9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Por lo anteriormente expuesto, este Órgano Garante considera fundadas las razones o motivos de inconformidad que plantea el</w:t>
      </w:r>
      <w:r w:rsidRPr="00613100">
        <w:rPr>
          <w:rFonts w:ascii="Palatino Linotype" w:eastAsia="Palatino Linotype" w:hAnsi="Palatino Linotype" w:cs="Palatino Linotype"/>
          <w:b/>
          <w:color w:val="000000" w:themeColor="text1"/>
        </w:rPr>
        <w:t xml:space="preserve"> RECURRENTE</w:t>
      </w:r>
      <w:r w:rsidRPr="00613100">
        <w:rPr>
          <w:rFonts w:ascii="Palatino Linotype" w:eastAsia="Palatino Linotype" w:hAnsi="Palatino Linotype" w:cs="Palatino Linotype"/>
          <w:color w:val="000000" w:themeColor="text1"/>
        </w:rPr>
        <w:t xml:space="preserve">, determinando </w:t>
      </w:r>
      <w:r w:rsidRPr="00613100">
        <w:rPr>
          <w:rFonts w:ascii="Palatino Linotype" w:eastAsia="Palatino Linotype" w:hAnsi="Palatino Linotype" w:cs="Palatino Linotype"/>
          <w:b/>
          <w:color w:val="000000" w:themeColor="text1"/>
        </w:rPr>
        <w:t xml:space="preserve">MODIFICAR </w:t>
      </w:r>
      <w:r w:rsidRPr="00613100">
        <w:rPr>
          <w:rFonts w:ascii="Palatino Linotype" w:eastAsia="Palatino Linotype" w:hAnsi="Palatino Linotype" w:cs="Palatino Linotype"/>
          <w:color w:val="000000" w:themeColor="text1"/>
        </w:rPr>
        <w:t xml:space="preserve">la </w:t>
      </w:r>
      <w:r w:rsidRPr="00613100">
        <w:rPr>
          <w:rFonts w:ascii="Palatino Linotype" w:eastAsia="Palatino Linotype" w:hAnsi="Palatino Linotype" w:cs="Palatino Linotype"/>
          <w:color w:val="000000" w:themeColor="text1"/>
        </w:rPr>
        <w:lastRenderedPageBreak/>
        <w:t xml:space="preserve">respuesta del </w:t>
      </w:r>
      <w:r w:rsidRPr="00613100">
        <w:rPr>
          <w:rFonts w:ascii="Palatino Linotype" w:eastAsia="Palatino Linotype" w:hAnsi="Palatino Linotype" w:cs="Palatino Linotype"/>
          <w:b/>
          <w:color w:val="000000" w:themeColor="text1"/>
        </w:rPr>
        <w:t>SUJETO OBLIGADO</w:t>
      </w:r>
      <w:r w:rsidRPr="00613100">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613100">
        <w:rPr>
          <w:rFonts w:ascii="Palatino Linotype" w:eastAsia="Palatino Linotype" w:hAnsi="Palatino Linotype" w:cs="Palatino Linotype"/>
          <w:b/>
          <w:color w:val="000000" w:themeColor="text1"/>
        </w:rPr>
        <w:t>ÓRGANO GARANTE</w:t>
      </w:r>
      <w:r w:rsidR="00953F10">
        <w:rPr>
          <w:rFonts w:ascii="Palatino Linotype" w:eastAsia="Palatino Linotype" w:hAnsi="Palatino Linotype" w:cs="Palatino Linotype"/>
          <w:color w:val="000000" w:themeColor="text1"/>
        </w:rPr>
        <w:t xml:space="preserve"> emite los siguientes:</w:t>
      </w:r>
    </w:p>
    <w:p w:rsidR="00B42685"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6341A" w:rsidRPr="00613100" w:rsidRDefault="00F6341A" w:rsidP="00006B6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pStyle w:val="Ttulo1"/>
        <w:spacing w:before="0" w:line="360" w:lineRule="auto"/>
        <w:jc w:val="center"/>
        <w:rPr>
          <w:b w:val="0"/>
          <w:color w:val="000000" w:themeColor="text1"/>
        </w:rPr>
      </w:pPr>
      <w:r w:rsidRPr="00613100">
        <w:rPr>
          <w:color w:val="000000" w:themeColor="text1"/>
        </w:rPr>
        <w:t>R E S O L U T I V O S</w:t>
      </w:r>
    </w:p>
    <w:p w:rsidR="00B42685" w:rsidRPr="00613100" w:rsidRDefault="00B42685" w:rsidP="00006B67">
      <w:pPr>
        <w:spacing w:line="360" w:lineRule="auto"/>
        <w:rPr>
          <w:rFonts w:ascii="Palatino Linotype" w:eastAsia="Palatino Linotype" w:hAnsi="Palatino Linotype" w:cs="Palatino Linotype"/>
          <w:color w:val="000000" w:themeColor="text1"/>
        </w:rPr>
      </w:pPr>
    </w:p>
    <w:p w:rsidR="00B42685" w:rsidRPr="00613100" w:rsidRDefault="004F306B" w:rsidP="00006B67">
      <w:pP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b/>
          <w:color w:val="000000" w:themeColor="text1"/>
        </w:rPr>
        <w:t>PRIMERO</w:t>
      </w:r>
      <w:r w:rsidRPr="00613100">
        <w:rPr>
          <w:rFonts w:ascii="Palatino Linotype" w:eastAsia="Palatino Linotype" w:hAnsi="Palatino Linotype" w:cs="Palatino Linotype"/>
          <w:color w:val="000000" w:themeColor="text1"/>
        </w:rPr>
        <w:t xml:space="preserve">. Resultan fundadas las razones o motivos de inconformidad hechos valer en el Recursos de Revisión </w:t>
      </w:r>
      <w:r w:rsidRPr="00613100">
        <w:rPr>
          <w:rFonts w:ascii="Palatino Linotype" w:eastAsia="Palatino Linotype" w:hAnsi="Palatino Linotype" w:cs="Palatino Linotype"/>
          <w:b/>
          <w:color w:val="000000" w:themeColor="text1"/>
        </w:rPr>
        <w:t xml:space="preserve">08828/INFOEM/IP/RR/2025 </w:t>
      </w:r>
      <w:r w:rsidRPr="00613100">
        <w:rPr>
          <w:rFonts w:ascii="Palatino Linotype" w:eastAsia="Palatino Linotype" w:hAnsi="Palatino Linotype" w:cs="Palatino Linotype"/>
          <w:color w:val="000000" w:themeColor="text1"/>
        </w:rPr>
        <w:t xml:space="preserve">en términos del Considerando </w:t>
      </w:r>
      <w:r w:rsidRPr="00613100">
        <w:rPr>
          <w:rFonts w:ascii="Palatino Linotype" w:eastAsia="Palatino Linotype" w:hAnsi="Palatino Linotype" w:cs="Palatino Linotype"/>
          <w:b/>
          <w:color w:val="000000" w:themeColor="text1"/>
        </w:rPr>
        <w:t xml:space="preserve">CUARTO y QUINTO </w:t>
      </w:r>
      <w:r w:rsidRPr="00613100">
        <w:rPr>
          <w:rFonts w:ascii="Palatino Linotype" w:eastAsia="Palatino Linotype" w:hAnsi="Palatino Linotype" w:cs="Palatino Linotype"/>
          <w:color w:val="000000" w:themeColor="text1"/>
        </w:rPr>
        <w:t xml:space="preserve">de la presente resolución. </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spacing w:line="360" w:lineRule="auto"/>
        <w:jc w:val="both"/>
        <w:rPr>
          <w:rFonts w:ascii="Palatino Linotype" w:eastAsia="Palatino Linotype" w:hAnsi="Palatino Linotype" w:cs="Palatino Linotype"/>
          <w:color w:val="000000" w:themeColor="text1"/>
        </w:rPr>
      </w:pPr>
      <w:bookmarkStart w:id="11" w:name="_heading=h.26in1rg" w:colFirst="0" w:colLast="0"/>
      <w:bookmarkEnd w:id="11"/>
      <w:r w:rsidRPr="00613100">
        <w:rPr>
          <w:rFonts w:ascii="Palatino Linotype" w:eastAsia="Palatino Linotype" w:hAnsi="Palatino Linotype" w:cs="Palatino Linotype"/>
          <w:b/>
          <w:color w:val="000000" w:themeColor="text1"/>
        </w:rPr>
        <w:t xml:space="preserve">SEGUNDO. </w:t>
      </w:r>
      <w:r w:rsidRPr="00613100">
        <w:rPr>
          <w:rFonts w:ascii="Palatino Linotype" w:eastAsia="Palatino Linotype" w:hAnsi="Palatino Linotype" w:cs="Palatino Linotype"/>
          <w:color w:val="000000" w:themeColor="text1"/>
        </w:rPr>
        <w:t xml:space="preserve">Se </w:t>
      </w:r>
      <w:r w:rsidRPr="00613100">
        <w:rPr>
          <w:rFonts w:ascii="Palatino Linotype" w:eastAsia="Palatino Linotype" w:hAnsi="Palatino Linotype" w:cs="Palatino Linotype"/>
          <w:b/>
          <w:color w:val="000000" w:themeColor="text1"/>
        </w:rPr>
        <w:t xml:space="preserve">MODIFICA </w:t>
      </w:r>
      <w:r w:rsidRPr="00613100">
        <w:rPr>
          <w:rFonts w:ascii="Palatino Linotype" w:eastAsia="Palatino Linotype" w:hAnsi="Palatino Linotype" w:cs="Palatino Linotype"/>
          <w:color w:val="000000" w:themeColor="text1"/>
        </w:rPr>
        <w:t xml:space="preserve">la respuesta emitida por el </w:t>
      </w:r>
      <w:r w:rsidRPr="00613100">
        <w:rPr>
          <w:rFonts w:ascii="Palatino Linotype" w:eastAsia="Palatino Linotype" w:hAnsi="Palatino Linotype" w:cs="Palatino Linotype"/>
          <w:b/>
          <w:color w:val="000000" w:themeColor="text1"/>
        </w:rPr>
        <w:t xml:space="preserve">Organismo Público Descentralizado para la Prestación de Los Servicios de Agua Potable Alcantarillado y Saneamiento del Municipio de Naucalpan de Juárez, </w:t>
      </w:r>
      <w:r w:rsidRPr="00613100">
        <w:rPr>
          <w:rFonts w:ascii="Palatino Linotype" w:eastAsia="Palatino Linotype" w:hAnsi="Palatino Linotype" w:cs="Palatino Linotype"/>
          <w:color w:val="000000" w:themeColor="text1"/>
        </w:rPr>
        <w:t>a la solicitud de información pública registrada con el número</w:t>
      </w:r>
      <w:r w:rsidRPr="00613100">
        <w:rPr>
          <w:rFonts w:ascii="Palatino Linotype" w:eastAsia="Palatino Linotype" w:hAnsi="Palatino Linotype" w:cs="Palatino Linotype"/>
          <w:b/>
          <w:color w:val="000000" w:themeColor="text1"/>
        </w:rPr>
        <w:t xml:space="preserve"> 00141/OASNAUCAL/IP/2025</w:t>
      </w:r>
      <w:r w:rsidR="00074F93" w:rsidRPr="00613100">
        <w:rPr>
          <w:rFonts w:ascii="Palatino Linotype" w:eastAsia="Palatino Linotype" w:hAnsi="Palatino Linotype" w:cs="Palatino Linotype"/>
          <w:b/>
          <w:color w:val="000000" w:themeColor="text1"/>
        </w:rPr>
        <w:t xml:space="preserve"> </w:t>
      </w:r>
      <w:r w:rsidRPr="00613100">
        <w:rPr>
          <w:rFonts w:ascii="Palatino Linotype" w:eastAsia="Palatino Linotype" w:hAnsi="Palatino Linotype" w:cs="Palatino Linotype"/>
          <w:color w:val="000000" w:themeColor="text1"/>
        </w:rPr>
        <w:t xml:space="preserve">y se </w:t>
      </w:r>
      <w:r w:rsidRPr="00613100">
        <w:rPr>
          <w:rFonts w:ascii="Palatino Linotype" w:eastAsia="Palatino Linotype" w:hAnsi="Palatino Linotype" w:cs="Palatino Linotype"/>
          <w:b/>
          <w:color w:val="000000" w:themeColor="text1"/>
        </w:rPr>
        <w:t>ORDENA</w:t>
      </w:r>
      <w:r w:rsidRPr="00613100">
        <w:rPr>
          <w:rFonts w:ascii="Palatino Linotype" w:eastAsia="Palatino Linotype" w:hAnsi="Palatino Linotype" w:cs="Palatino Linotype"/>
          <w:color w:val="000000" w:themeColor="text1"/>
        </w:rPr>
        <w:t xml:space="preserve"> entregar vía Sistema de Acceso a la Información Mexiquense (SAIMEX), en versión pública,</w:t>
      </w:r>
      <w:r w:rsidRPr="00613100">
        <w:rPr>
          <w:rFonts w:ascii="Palatino Linotype" w:eastAsia="Palatino Linotype" w:hAnsi="Palatino Linotype" w:cs="Palatino Linotype"/>
          <w:b/>
          <w:color w:val="000000" w:themeColor="text1"/>
        </w:rPr>
        <w:t xml:space="preserve"> de la primera y segunda quincena de junio de 2025,</w:t>
      </w:r>
      <w:r w:rsidRPr="00613100">
        <w:rPr>
          <w:rFonts w:ascii="Palatino Linotype" w:eastAsia="Palatino Linotype" w:hAnsi="Palatino Linotype" w:cs="Palatino Linotype"/>
          <w:color w:val="000000" w:themeColor="text1"/>
        </w:rPr>
        <w:t xml:space="preserve"> lo siguiente:</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b/>
          <w:color w:val="000000" w:themeColor="text1"/>
        </w:rPr>
        <w:t>La conciliación de nómina de todos los Servidores Públicos; y</w:t>
      </w:r>
    </w:p>
    <w:p w:rsidR="00B42685" w:rsidRPr="00613100" w:rsidRDefault="004F306B" w:rsidP="00006B67">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b/>
          <w:color w:val="000000" w:themeColor="text1"/>
        </w:rPr>
        <w:t>La lista de raya del personal eventual contratado por el SUJETO OBLIGADO.</w:t>
      </w:r>
    </w:p>
    <w:p w:rsidR="00B42685" w:rsidRPr="00613100" w:rsidRDefault="004F306B" w:rsidP="00006B67">
      <w:pPr>
        <w:spacing w:line="360" w:lineRule="auto"/>
        <w:jc w:val="both"/>
        <w:rPr>
          <w:rFonts w:ascii="Palatino Linotype" w:eastAsia="Palatino Linotype" w:hAnsi="Palatino Linotype" w:cs="Palatino Linotype"/>
          <w:b/>
          <w:color w:val="000000" w:themeColor="text1"/>
        </w:rPr>
      </w:pPr>
      <w:r w:rsidRPr="00613100">
        <w:rPr>
          <w:rFonts w:ascii="Palatino Linotype" w:eastAsia="Palatino Linotype" w:hAnsi="Palatino Linotype" w:cs="Palatino Linotype"/>
          <w:color w:val="000000" w:themeColor="text1"/>
        </w:rPr>
        <w:lastRenderedPageBreak/>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613100">
        <w:rPr>
          <w:rFonts w:ascii="Palatino Linotype" w:eastAsia="Palatino Linotype" w:hAnsi="Palatino Linotype" w:cs="Palatino Linotype"/>
          <w:b/>
          <w:color w:val="000000" w:themeColor="text1"/>
        </w:rPr>
        <w:t>RECURRENTE.</w:t>
      </w:r>
    </w:p>
    <w:p w:rsidR="00B42685" w:rsidRPr="00613100" w:rsidRDefault="00B42685" w:rsidP="00006B67">
      <w:pPr>
        <w:spacing w:line="360" w:lineRule="auto"/>
        <w:jc w:val="both"/>
        <w:rPr>
          <w:rFonts w:ascii="Palatino Linotype" w:eastAsia="Palatino Linotype" w:hAnsi="Palatino Linotype" w:cs="Palatino Linotype"/>
          <w:b/>
          <w:color w:val="000000" w:themeColor="text1"/>
        </w:rPr>
      </w:pPr>
    </w:p>
    <w:p w:rsidR="00B42685" w:rsidRPr="00613100" w:rsidRDefault="004F306B" w:rsidP="00006B67">
      <w:pP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color w:val="000000" w:themeColor="text1"/>
        </w:rPr>
        <w:t xml:space="preserve">Para el supuesto de que no se haya generado la información que se ordena en el inciso </w:t>
      </w:r>
      <w:r w:rsidRPr="00613100">
        <w:rPr>
          <w:rFonts w:ascii="Palatino Linotype" w:eastAsia="Palatino Linotype" w:hAnsi="Palatino Linotype" w:cs="Palatino Linotype"/>
          <w:b/>
          <w:color w:val="000000" w:themeColor="text1"/>
        </w:rPr>
        <w:t>“B”</w:t>
      </w:r>
      <w:r w:rsidRPr="00613100">
        <w:rPr>
          <w:rFonts w:ascii="Palatino Linotype" w:eastAsia="Palatino Linotype" w:hAnsi="Palatino Linotype" w:cs="Palatino Linotype"/>
          <w:color w:val="000000" w:themeColor="text1"/>
        </w:rPr>
        <w:t xml:space="preserve"> del presente Resolutivo, bastará con que lo haga del conocimiento de la parte </w:t>
      </w:r>
      <w:r w:rsidRPr="00613100">
        <w:rPr>
          <w:rFonts w:ascii="Palatino Linotype" w:eastAsia="Palatino Linotype" w:hAnsi="Palatino Linotype" w:cs="Palatino Linotype"/>
          <w:b/>
          <w:color w:val="000000" w:themeColor="text1"/>
        </w:rPr>
        <w:t>RECURRENTE,</w:t>
      </w:r>
      <w:r w:rsidRPr="00613100">
        <w:rPr>
          <w:rFonts w:ascii="Palatino Linotype" w:eastAsia="Palatino Linotype" w:hAnsi="Palatino Linotype" w:cs="Palatino Linotype"/>
          <w:color w:val="000000" w:themeColor="text1"/>
        </w:rPr>
        <w:t xml:space="preserve"> en términos del segundo párrafo del artículo 19 de la Ley de Transparencia Local.</w:t>
      </w:r>
    </w:p>
    <w:p w:rsidR="00B42685" w:rsidRPr="00613100" w:rsidRDefault="00B42685" w:rsidP="00006B67">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bookmarkStart w:id="12" w:name="_heading=h.4d34og8" w:colFirst="0" w:colLast="0"/>
      <w:bookmarkEnd w:id="12"/>
    </w:p>
    <w:p w:rsidR="00B42685" w:rsidRPr="00613100" w:rsidRDefault="004F306B" w:rsidP="00006B67">
      <w:pPr>
        <w:tabs>
          <w:tab w:val="left" w:pos="8080"/>
        </w:tabs>
        <w:spacing w:line="360" w:lineRule="auto"/>
        <w:jc w:val="both"/>
        <w:rPr>
          <w:rFonts w:ascii="Palatino Linotype" w:eastAsia="Palatino Linotype" w:hAnsi="Palatino Linotype" w:cs="Palatino Linotype"/>
          <w:b/>
          <w:color w:val="000000" w:themeColor="text1"/>
        </w:rPr>
      </w:pPr>
      <w:bookmarkStart w:id="13" w:name="_heading=h.lnxbz9" w:colFirst="0" w:colLast="0"/>
      <w:bookmarkEnd w:id="13"/>
      <w:r w:rsidRPr="00613100">
        <w:rPr>
          <w:rFonts w:ascii="Palatino Linotype" w:eastAsia="Palatino Linotype" w:hAnsi="Palatino Linotype" w:cs="Palatino Linotype"/>
          <w:b/>
          <w:color w:val="000000" w:themeColor="text1"/>
        </w:rPr>
        <w:t xml:space="preserve">TERCERO. NOTIFÍQUESE </w:t>
      </w:r>
      <w:r w:rsidRPr="00613100">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613100">
        <w:rPr>
          <w:rFonts w:ascii="Palatino Linotype" w:eastAsia="Palatino Linotype" w:hAnsi="Palatino Linotype" w:cs="Palatino Linotype"/>
          <w:b/>
          <w:color w:val="000000" w:themeColor="text1"/>
        </w:rPr>
        <w:t>dé cumplimiento a lo ordenado dentro del plazo de diez días hábiles,</w:t>
      </w:r>
      <w:r w:rsidRPr="00613100">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42685" w:rsidRPr="00613100" w:rsidRDefault="00B42685" w:rsidP="00006B67">
      <w:pPr>
        <w:tabs>
          <w:tab w:val="left" w:pos="8080"/>
        </w:tabs>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b/>
          <w:color w:val="000000" w:themeColor="text1"/>
        </w:rPr>
        <w:lastRenderedPageBreak/>
        <w:t xml:space="preserve">CUARTO. </w:t>
      </w:r>
      <w:r w:rsidRPr="00613100">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613100">
        <w:rPr>
          <w:rFonts w:ascii="Palatino Linotype" w:eastAsia="Palatino Linotype" w:hAnsi="Palatino Linotype" w:cs="Palatino Linotype"/>
          <w:b/>
          <w:color w:val="000000" w:themeColor="text1"/>
        </w:rPr>
        <w:t>SUJETO OBLIGADO</w:t>
      </w:r>
      <w:r w:rsidRPr="00613100">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B42685" w:rsidRPr="00613100" w:rsidRDefault="00B42685" w:rsidP="00006B67">
      <w:pPr>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tabs>
          <w:tab w:val="left" w:pos="8080"/>
        </w:tabs>
        <w:spacing w:line="360" w:lineRule="auto"/>
        <w:jc w:val="both"/>
        <w:rPr>
          <w:rFonts w:ascii="Palatino Linotype" w:eastAsia="Palatino Linotype" w:hAnsi="Palatino Linotype" w:cs="Palatino Linotype"/>
          <w:color w:val="000000" w:themeColor="text1"/>
        </w:rPr>
      </w:pPr>
      <w:bookmarkStart w:id="14" w:name="_heading=h.35nkun2" w:colFirst="0" w:colLast="0"/>
      <w:bookmarkEnd w:id="14"/>
      <w:r w:rsidRPr="00613100">
        <w:rPr>
          <w:rFonts w:ascii="Palatino Linotype" w:eastAsia="Palatino Linotype" w:hAnsi="Palatino Linotype" w:cs="Palatino Linotype"/>
          <w:b/>
          <w:color w:val="000000" w:themeColor="text1"/>
        </w:rPr>
        <w:t xml:space="preserve">QUINTO. </w:t>
      </w:r>
      <w:r w:rsidRPr="00613100">
        <w:rPr>
          <w:rFonts w:ascii="Palatino Linotype" w:eastAsia="Palatino Linotype" w:hAnsi="Palatino Linotype" w:cs="Palatino Linotype"/>
          <w:color w:val="000000" w:themeColor="text1"/>
        </w:rPr>
        <w:t>Notifíquese al</w:t>
      </w:r>
      <w:r w:rsidRPr="00613100">
        <w:rPr>
          <w:rFonts w:ascii="Palatino Linotype" w:eastAsia="Palatino Linotype" w:hAnsi="Palatino Linotype" w:cs="Palatino Linotype"/>
          <w:b/>
          <w:color w:val="000000" w:themeColor="text1"/>
        </w:rPr>
        <w:t xml:space="preserve"> RECURRENTE</w:t>
      </w:r>
      <w:r w:rsidRPr="00613100">
        <w:rPr>
          <w:rFonts w:ascii="Palatino Linotype" w:eastAsia="Palatino Linotype" w:hAnsi="Palatino Linotype" w:cs="Palatino Linotype"/>
          <w:color w:val="000000" w:themeColor="text1"/>
        </w:rPr>
        <w:t xml:space="preserve"> la presente resolución, vía </w:t>
      </w:r>
      <w:r w:rsidRPr="00613100">
        <w:rPr>
          <w:rFonts w:ascii="Palatino Linotype" w:eastAsia="Palatino Linotype" w:hAnsi="Palatino Linotype" w:cs="Palatino Linotype"/>
          <w:b/>
          <w:color w:val="000000" w:themeColor="text1"/>
        </w:rPr>
        <w:t>SAIMEX.</w:t>
      </w:r>
    </w:p>
    <w:p w:rsidR="00B42685" w:rsidRPr="00613100" w:rsidRDefault="00B42685" w:rsidP="00006B67">
      <w:pPr>
        <w:tabs>
          <w:tab w:val="left" w:pos="8080"/>
        </w:tabs>
        <w:spacing w:line="360" w:lineRule="auto"/>
        <w:jc w:val="both"/>
        <w:rPr>
          <w:rFonts w:ascii="Palatino Linotype" w:eastAsia="Palatino Linotype" w:hAnsi="Palatino Linotype" w:cs="Palatino Linotype"/>
          <w:color w:val="000000" w:themeColor="text1"/>
        </w:rPr>
      </w:pPr>
    </w:p>
    <w:p w:rsidR="00B42685" w:rsidRPr="00613100" w:rsidRDefault="004F306B" w:rsidP="00006B67">
      <w:pPr>
        <w:shd w:val="clear" w:color="auto" w:fill="FFFFFF"/>
        <w:spacing w:line="360" w:lineRule="auto"/>
        <w:jc w:val="both"/>
        <w:rPr>
          <w:rFonts w:ascii="Palatino Linotype" w:eastAsia="Palatino Linotype" w:hAnsi="Palatino Linotype" w:cs="Palatino Linotype"/>
          <w:color w:val="000000" w:themeColor="text1"/>
        </w:rPr>
      </w:pPr>
      <w:r w:rsidRPr="00613100">
        <w:rPr>
          <w:rFonts w:ascii="Palatino Linotype" w:eastAsia="Palatino Linotype" w:hAnsi="Palatino Linotype" w:cs="Palatino Linotype"/>
          <w:b/>
          <w:color w:val="000000" w:themeColor="text1"/>
        </w:rPr>
        <w:t>SEXTO.</w:t>
      </w:r>
      <w:r w:rsidRPr="00613100">
        <w:rPr>
          <w:rFonts w:ascii="Palatino Linotype" w:eastAsia="Palatino Linotype" w:hAnsi="Palatino Linotype" w:cs="Palatino Linotype"/>
          <w:color w:val="000000" w:themeColor="text1"/>
        </w:rPr>
        <w:t xml:space="preserve"> Se hace del conocimiento del </w:t>
      </w:r>
      <w:r w:rsidRPr="00613100">
        <w:rPr>
          <w:rFonts w:ascii="Palatino Linotype" w:eastAsia="Palatino Linotype" w:hAnsi="Palatino Linotype" w:cs="Palatino Linotype"/>
          <w:b/>
          <w:color w:val="000000" w:themeColor="text1"/>
        </w:rPr>
        <w:t>RECURRENTE</w:t>
      </w:r>
      <w:r w:rsidRPr="00613100">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074F93" w:rsidRPr="00613100" w:rsidRDefault="00074F93" w:rsidP="00006B67">
      <w:pPr>
        <w:shd w:val="clear" w:color="auto" w:fill="FFFFFF"/>
        <w:spacing w:line="360" w:lineRule="auto"/>
        <w:jc w:val="both"/>
        <w:rPr>
          <w:rFonts w:ascii="Palatino Linotype" w:eastAsia="Palatino Linotype" w:hAnsi="Palatino Linotype" w:cs="Palatino Linotype"/>
          <w:color w:val="000000" w:themeColor="text1"/>
        </w:rPr>
      </w:pPr>
    </w:p>
    <w:p w:rsidR="00074F93" w:rsidRPr="00444783" w:rsidRDefault="00613100" w:rsidP="00074F93">
      <w:pPr>
        <w:spacing w:line="360" w:lineRule="auto"/>
        <w:ind w:right="49"/>
        <w:jc w:val="both"/>
        <w:rPr>
          <w:rFonts w:ascii="Palatino Linotype" w:eastAsia="Palatino Linotype" w:hAnsi="Palatino Linotype" w:cs="Palatino Linotype"/>
        </w:rPr>
      </w:pPr>
      <w:bookmarkStart w:id="15" w:name="_heading=h.udolic8t2yzx" w:colFirst="0" w:colLast="0"/>
      <w:bookmarkEnd w:id="15"/>
      <w:r w:rsidRPr="0061310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DIEZ (10) DE SEPTIEMBRE DE DOS MIL VEINTICINCO, ANTE EL SECRETARIO TÉCNICO DEL PLENO ALEXIS TAPIA RAMÍREZ</w:t>
      </w:r>
      <w:r w:rsidR="00074F93" w:rsidRPr="00613100">
        <w:rPr>
          <w:rFonts w:ascii="Palatino Linotype" w:eastAsia="Palatino Linotype" w:hAnsi="Palatino Linotype" w:cs="Palatino Linotype"/>
        </w:rPr>
        <w:t>.</w:t>
      </w:r>
    </w:p>
    <w:p w:rsidR="00B42685" w:rsidRPr="00006B67" w:rsidRDefault="00B42685" w:rsidP="00006B67">
      <w:pPr>
        <w:spacing w:before="240" w:after="240" w:line="360" w:lineRule="auto"/>
        <w:jc w:val="both"/>
        <w:rPr>
          <w:rFonts w:ascii="Palatino Linotype" w:eastAsia="Palatino Linotype" w:hAnsi="Palatino Linotype" w:cs="Palatino Linotype"/>
          <w:color w:val="000000" w:themeColor="text1"/>
        </w:rPr>
      </w:pPr>
    </w:p>
    <w:p w:rsidR="00B42685" w:rsidRPr="00006B67" w:rsidRDefault="00B42685" w:rsidP="00006B67">
      <w:pPr>
        <w:spacing w:before="240" w:after="240" w:line="360" w:lineRule="auto"/>
        <w:jc w:val="both"/>
        <w:rPr>
          <w:rFonts w:ascii="Palatino Linotype" w:eastAsia="Palatino Linotype" w:hAnsi="Palatino Linotype" w:cs="Palatino Linotype"/>
          <w:color w:val="000000" w:themeColor="text1"/>
        </w:rPr>
      </w:pPr>
    </w:p>
    <w:p w:rsidR="00B42685" w:rsidRPr="00006B67" w:rsidRDefault="00B42685" w:rsidP="00006B67">
      <w:pPr>
        <w:spacing w:before="240" w:after="240" w:line="360" w:lineRule="auto"/>
        <w:jc w:val="both"/>
        <w:rPr>
          <w:rFonts w:ascii="Palatino Linotype" w:eastAsia="Palatino Linotype" w:hAnsi="Palatino Linotype" w:cs="Palatino Linotype"/>
          <w:color w:val="000000" w:themeColor="text1"/>
        </w:rPr>
      </w:pPr>
    </w:p>
    <w:p w:rsidR="00B42685" w:rsidRPr="00006B67" w:rsidRDefault="00B42685" w:rsidP="00006B67">
      <w:pPr>
        <w:spacing w:before="240" w:after="240" w:line="360" w:lineRule="auto"/>
        <w:jc w:val="both"/>
        <w:rPr>
          <w:rFonts w:ascii="Palatino Linotype" w:eastAsia="Palatino Linotype" w:hAnsi="Palatino Linotype" w:cs="Palatino Linotype"/>
          <w:color w:val="000000" w:themeColor="text1"/>
        </w:rPr>
      </w:pPr>
    </w:p>
    <w:p w:rsidR="00B42685" w:rsidRPr="00006B67" w:rsidRDefault="00B42685" w:rsidP="00006B67">
      <w:pPr>
        <w:spacing w:before="240" w:after="240" w:line="360" w:lineRule="auto"/>
        <w:jc w:val="both"/>
        <w:rPr>
          <w:rFonts w:ascii="Palatino Linotype" w:eastAsia="Palatino Linotype" w:hAnsi="Palatino Linotype" w:cs="Palatino Linotype"/>
          <w:color w:val="000000" w:themeColor="text1"/>
        </w:rPr>
      </w:pPr>
    </w:p>
    <w:p w:rsidR="00B42685" w:rsidRPr="00006B67" w:rsidRDefault="00B42685" w:rsidP="00006B67">
      <w:pPr>
        <w:spacing w:before="240" w:after="240" w:line="360" w:lineRule="auto"/>
        <w:jc w:val="both"/>
        <w:rPr>
          <w:rFonts w:ascii="Palatino Linotype" w:eastAsia="Palatino Linotype" w:hAnsi="Palatino Linotype" w:cs="Palatino Linotype"/>
          <w:color w:val="000000" w:themeColor="text1"/>
        </w:rPr>
      </w:pPr>
    </w:p>
    <w:p w:rsidR="00B42685" w:rsidRPr="00006B67" w:rsidRDefault="00B42685" w:rsidP="00006B67">
      <w:pPr>
        <w:spacing w:before="240" w:after="240" w:line="360" w:lineRule="auto"/>
        <w:jc w:val="both"/>
        <w:rPr>
          <w:rFonts w:ascii="Palatino Linotype" w:eastAsia="Palatino Linotype" w:hAnsi="Palatino Linotype" w:cs="Palatino Linotype"/>
          <w:color w:val="000000" w:themeColor="text1"/>
        </w:rPr>
      </w:pPr>
    </w:p>
    <w:p w:rsidR="00B42685" w:rsidRPr="00006B67" w:rsidRDefault="00B42685" w:rsidP="00006B67">
      <w:pPr>
        <w:spacing w:before="240" w:after="240" w:line="360" w:lineRule="auto"/>
        <w:jc w:val="both"/>
        <w:rPr>
          <w:rFonts w:ascii="Palatino Linotype" w:eastAsia="Palatino Linotype" w:hAnsi="Palatino Linotype" w:cs="Palatino Linotype"/>
          <w:color w:val="000000" w:themeColor="text1"/>
        </w:rPr>
      </w:pPr>
    </w:p>
    <w:p w:rsidR="00B42685" w:rsidRPr="00006B67" w:rsidRDefault="00B42685" w:rsidP="00006B67">
      <w:pPr>
        <w:spacing w:line="360" w:lineRule="auto"/>
        <w:jc w:val="both"/>
        <w:rPr>
          <w:rFonts w:ascii="Palatino Linotype" w:eastAsia="Palatino Linotype" w:hAnsi="Palatino Linotype" w:cs="Palatino Linotype"/>
          <w:color w:val="000000" w:themeColor="text1"/>
        </w:rPr>
      </w:pPr>
    </w:p>
    <w:p w:rsidR="00B42685" w:rsidRPr="00006B67" w:rsidRDefault="00B42685" w:rsidP="00006B67">
      <w:pPr>
        <w:pStyle w:val="Ttulo2"/>
        <w:spacing w:before="0" w:line="360" w:lineRule="auto"/>
        <w:rPr>
          <w:color w:val="000000" w:themeColor="text1"/>
        </w:rPr>
      </w:pPr>
    </w:p>
    <w:sectPr w:rsidR="00B42685" w:rsidRPr="00006B67" w:rsidSect="00F6341A">
      <w:headerReference w:type="default" r:id="rId22"/>
      <w:footerReference w:type="default" r:id="rId23"/>
      <w:headerReference w:type="first" r:id="rId24"/>
      <w:footerReference w:type="first" r:id="rId25"/>
      <w:pgSz w:w="12240" w:h="15840"/>
      <w:pgMar w:top="1691" w:right="758"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A22" w:rsidRDefault="00467A22">
      <w:r>
        <w:separator/>
      </w:r>
    </w:p>
  </w:endnote>
  <w:endnote w:type="continuationSeparator" w:id="0">
    <w:p w:rsidR="00467A22" w:rsidRDefault="00467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685" w:rsidRDefault="004F306B">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953F10">
      <w:rPr>
        <w:rFonts w:ascii="Palatino Linotype" w:eastAsia="Palatino Linotype" w:hAnsi="Palatino Linotype" w:cs="Palatino Linotype"/>
        <w:b/>
        <w:noProof/>
        <w:color w:val="000000"/>
        <w:sz w:val="22"/>
        <w:szCs w:val="22"/>
      </w:rPr>
      <w:t>2</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953F10">
      <w:rPr>
        <w:rFonts w:ascii="Palatino Linotype" w:eastAsia="Palatino Linotype" w:hAnsi="Palatino Linotype" w:cs="Palatino Linotype"/>
        <w:b/>
        <w:noProof/>
        <w:color w:val="000000"/>
        <w:sz w:val="22"/>
        <w:szCs w:val="22"/>
      </w:rPr>
      <w:t>34</w:t>
    </w:r>
    <w:r>
      <w:rPr>
        <w:rFonts w:ascii="Palatino Linotype" w:eastAsia="Palatino Linotype" w:hAnsi="Palatino Linotype" w:cs="Palatino Linotype"/>
        <w:b/>
        <w:color w:val="000000"/>
        <w:sz w:val="22"/>
        <w:szCs w:val="22"/>
      </w:rPr>
      <w:fldChar w:fldCharType="end"/>
    </w:r>
  </w:p>
  <w:p w:rsidR="00B42685" w:rsidRDefault="00B42685">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B42685" w:rsidRDefault="00B426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685" w:rsidRDefault="004F306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53F10">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53F10">
      <w:rPr>
        <w:rFonts w:ascii="Palatino Linotype" w:eastAsia="Palatino Linotype" w:hAnsi="Palatino Linotype" w:cs="Palatino Linotype"/>
        <w:noProof/>
        <w:color w:val="000000"/>
        <w:sz w:val="22"/>
        <w:szCs w:val="22"/>
      </w:rPr>
      <w:t>34</w:t>
    </w:r>
    <w:r>
      <w:rPr>
        <w:rFonts w:ascii="Palatino Linotype" w:eastAsia="Palatino Linotype" w:hAnsi="Palatino Linotype" w:cs="Palatino Linotype"/>
        <w:color w:val="000000"/>
        <w:sz w:val="22"/>
        <w:szCs w:val="22"/>
      </w:rPr>
      <w:fldChar w:fldCharType="end"/>
    </w:r>
  </w:p>
  <w:p w:rsidR="00B42685" w:rsidRDefault="00B42685">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B42685" w:rsidRDefault="00B426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A22" w:rsidRDefault="00467A22">
      <w:r>
        <w:separator/>
      </w:r>
    </w:p>
  </w:footnote>
  <w:footnote w:type="continuationSeparator" w:id="0">
    <w:p w:rsidR="00467A22" w:rsidRDefault="00467A22">
      <w:r>
        <w:continuationSeparator/>
      </w:r>
    </w:p>
  </w:footnote>
  <w:footnote w:id="1">
    <w:p w:rsidR="00B42685" w:rsidRDefault="004F306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7654"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693"/>
      <w:gridCol w:w="4961"/>
    </w:tblGrid>
    <w:tr w:rsidR="00B42685" w:rsidTr="00006B67">
      <w:trPr>
        <w:trHeight w:val="138"/>
      </w:trPr>
      <w:tc>
        <w:tcPr>
          <w:tcW w:w="2693" w:type="dxa"/>
          <w:vAlign w:val="center"/>
        </w:tcPr>
        <w:p w:rsidR="00B42685" w:rsidRPr="00006B67" w:rsidRDefault="004F306B" w:rsidP="00006B67">
          <w:pPr>
            <w:rPr>
              <w:rFonts w:ascii="Palatino Linotype" w:eastAsia="Palatino Linotype" w:hAnsi="Palatino Linotype" w:cs="Palatino Linotype"/>
              <w:b/>
              <w:color w:val="000000" w:themeColor="text1"/>
              <w:sz w:val="24"/>
              <w:szCs w:val="24"/>
            </w:rPr>
          </w:pPr>
          <w:r w:rsidRPr="00006B67">
            <w:rPr>
              <w:rFonts w:ascii="Palatino Linotype" w:eastAsia="Palatino Linotype" w:hAnsi="Palatino Linotype" w:cs="Palatino Linotype"/>
              <w:b/>
              <w:color w:val="000000" w:themeColor="text1"/>
              <w:sz w:val="24"/>
              <w:szCs w:val="24"/>
            </w:rPr>
            <w:t>Recurso de Revisión:</w:t>
          </w:r>
        </w:p>
      </w:tc>
      <w:tc>
        <w:tcPr>
          <w:tcW w:w="4961" w:type="dxa"/>
          <w:vAlign w:val="center"/>
        </w:tcPr>
        <w:p w:rsidR="00B42685" w:rsidRPr="00006B67" w:rsidRDefault="004F306B" w:rsidP="00F6341A">
          <w:pPr>
            <w:pBdr>
              <w:top w:val="nil"/>
              <w:left w:val="nil"/>
              <w:bottom w:val="nil"/>
              <w:right w:val="nil"/>
              <w:between w:val="nil"/>
            </w:pBdr>
            <w:tabs>
              <w:tab w:val="right" w:pos="8504"/>
            </w:tabs>
            <w:ind w:left="-108"/>
            <w:rPr>
              <w:rFonts w:ascii="Palatino Linotype" w:eastAsia="Palatino Linotype" w:hAnsi="Palatino Linotype" w:cs="Palatino Linotype"/>
              <w:color w:val="000000" w:themeColor="text1"/>
              <w:sz w:val="24"/>
              <w:szCs w:val="24"/>
              <w:highlight w:val="yellow"/>
            </w:rPr>
          </w:pPr>
          <w:r w:rsidRPr="00006B67">
            <w:rPr>
              <w:rFonts w:ascii="Palatino Linotype" w:eastAsia="Palatino Linotype" w:hAnsi="Palatino Linotype" w:cs="Palatino Linotype"/>
              <w:color w:val="000000" w:themeColor="text1"/>
              <w:sz w:val="24"/>
              <w:szCs w:val="24"/>
            </w:rPr>
            <w:t>08828/INFOEM/IP/RR/2025</w:t>
          </w:r>
        </w:p>
      </w:tc>
    </w:tr>
    <w:tr w:rsidR="00B42685" w:rsidTr="00006B67">
      <w:trPr>
        <w:trHeight w:val="321"/>
      </w:trPr>
      <w:tc>
        <w:tcPr>
          <w:tcW w:w="2693" w:type="dxa"/>
          <w:vAlign w:val="center"/>
        </w:tcPr>
        <w:p w:rsidR="00B42685" w:rsidRDefault="004F306B" w:rsidP="00006B67">
          <w:pPr>
            <w:rPr>
              <w:rFonts w:ascii="Palatino Linotype" w:eastAsia="Palatino Linotype" w:hAnsi="Palatino Linotype" w:cs="Palatino Linotype"/>
              <w:b/>
              <w:color w:val="000000" w:themeColor="text1"/>
              <w:sz w:val="24"/>
              <w:szCs w:val="24"/>
            </w:rPr>
          </w:pPr>
          <w:r w:rsidRPr="00006B67">
            <w:rPr>
              <w:rFonts w:ascii="Palatino Linotype" w:eastAsia="Palatino Linotype" w:hAnsi="Palatino Linotype" w:cs="Palatino Linotype"/>
              <w:b/>
              <w:color w:val="000000" w:themeColor="text1"/>
              <w:sz w:val="24"/>
              <w:szCs w:val="24"/>
            </w:rPr>
            <w:t>Sujeto Obligado:</w:t>
          </w:r>
        </w:p>
        <w:p w:rsidR="00006B67" w:rsidRDefault="00006B67" w:rsidP="00006B67">
          <w:pPr>
            <w:rPr>
              <w:rFonts w:ascii="Palatino Linotype" w:eastAsia="Palatino Linotype" w:hAnsi="Palatino Linotype" w:cs="Palatino Linotype"/>
              <w:b/>
              <w:color w:val="000000" w:themeColor="text1"/>
              <w:sz w:val="24"/>
              <w:szCs w:val="24"/>
            </w:rPr>
          </w:pPr>
        </w:p>
        <w:p w:rsidR="00006B67" w:rsidRDefault="00006B67" w:rsidP="00006B67">
          <w:pPr>
            <w:rPr>
              <w:rFonts w:ascii="Palatino Linotype" w:eastAsia="Palatino Linotype" w:hAnsi="Palatino Linotype" w:cs="Palatino Linotype"/>
              <w:b/>
              <w:color w:val="000000" w:themeColor="text1"/>
              <w:sz w:val="24"/>
              <w:szCs w:val="24"/>
            </w:rPr>
          </w:pPr>
        </w:p>
        <w:p w:rsidR="00006B67" w:rsidRPr="00006B67" w:rsidRDefault="00006B67" w:rsidP="00006B67">
          <w:pPr>
            <w:rPr>
              <w:rFonts w:ascii="Palatino Linotype" w:eastAsia="Palatino Linotype" w:hAnsi="Palatino Linotype" w:cs="Palatino Linotype"/>
              <w:b/>
              <w:color w:val="000000" w:themeColor="text1"/>
              <w:sz w:val="24"/>
              <w:szCs w:val="24"/>
            </w:rPr>
          </w:pPr>
        </w:p>
      </w:tc>
      <w:tc>
        <w:tcPr>
          <w:tcW w:w="4961" w:type="dxa"/>
          <w:vAlign w:val="center"/>
        </w:tcPr>
        <w:p w:rsidR="00B42685" w:rsidRPr="00006B67" w:rsidRDefault="004F306B" w:rsidP="00F6341A">
          <w:pPr>
            <w:ind w:left="-108"/>
            <w:rPr>
              <w:rFonts w:ascii="Palatino Linotype" w:eastAsia="Palatino Linotype" w:hAnsi="Palatino Linotype" w:cs="Palatino Linotype"/>
              <w:color w:val="000000" w:themeColor="text1"/>
              <w:sz w:val="24"/>
              <w:szCs w:val="24"/>
            </w:rPr>
          </w:pPr>
          <w:r w:rsidRPr="00006B67">
            <w:rPr>
              <w:rFonts w:ascii="Palatino Linotype" w:eastAsia="Palatino Linotype" w:hAnsi="Palatino Linotype" w:cs="Palatino Linotype"/>
              <w:color w:val="000000" w:themeColor="text1"/>
              <w:sz w:val="24"/>
              <w:szCs w:val="24"/>
            </w:rPr>
            <w:t>Organismo Público Descentralizado para la Prestación de Los Servicios de Agua Potable Alcantarillado y Saneamiento del Municipio de Naucalpan de Juárez</w:t>
          </w:r>
        </w:p>
      </w:tc>
    </w:tr>
    <w:tr w:rsidR="00B42685" w:rsidTr="00006B67">
      <w:trPr>
        <w:trHeight w:val="321"/>
      </w:trPr>
      <w:tc>
        <w:tcPr>
          <w:tcW w:w="2693" w:type="dxa"/>
          <w:vAlign w:val="center"/>
        </w:tcPr>
        <w:p w:rsidR="00B42685" w:rsidRPr="00006B67" w:rsidRDefault="004F306B" w:rsidP="00006B67">
          <w:pPr>
            <w:rPr>
              <w:rFonts w:ascii="Palatino Linotype" w:eastAsia="Palatino Linotype" w:hAnsi="Palatino Linotype" w:cs="Palatino Linotype"/>
              <w:b/>
              <w:color w:val="000000" w:themeColor="text1"/>
              <w:sz w:val="24"/>
              <w:szCs w:val="24"/>
            </w:rPr>
          </w:pPr>
          <w:r w:rsidRPr="00006B67">
            <w:rPr>
              <w:rFonts w:ascii="Palatino Linotype" w:eastAsia="Palatino Linotype" w:hAnsi="Palatino Linotype" w:cs="Palatino Linotype"/>
              <w:b/>
              <w:color w:val="000000" w:themeColor="text1"/>
              <w:sz w:val="24"/>
              <w:szCs w:val="24"/>
            </w:rPr>
            <w:t>Comisionada Ponente:</w:t>
          </w:r>
        </w:p>
      </w:tc>
      <w:tc>
        <w:tcPr>
          <w:tcW w:w="4961" w:type="dxa"/>
          <w:vAlign w:val="center"/>
        </w:tcPr>
        <w:p w:rsidR="00B42685" w:rsidRPr="00006B67" w:rsidRDefault="004F306B" w:rsidP="00F6341A">
          <w:pPr>
            <w:pBdr>
              <w:top w:val="nil"/>
              <w:left w:val="nil"/>
              <w:bottom w:val="nil"/>
              <w:right w:val="nil"/>
              <w:between w:val="nil"/>
            </w:pBdr>
            <w:tabs>
              <w:tab w:val="right" w:pos="8504"/>
            </w:tabs>
            <w:ind w:left="-108"/>
            <w:rPr>
              <w:rFonts w:ascii="Palatino Linotype" w:eastAsia="Palatino Linotype" w:hAnsi="Palatino Linotype" w:cs="Palatino Linotype"/>
              <w:color w:val="000000" w:themeColor="text1"/>
              <w:sz w:val="24"/>
              <w:szCs w:val="24"/>
            </w:rPr>
          </w:pPr>
          <w:r w:rsidRPr="00006B67">
            <w:rPr>
              <w:rFonts w:ascii="Palatino Linotype" w:eastAsia="Palatino Linotype" w:hAnsi="Palatino Linotype" w:cs="Palatino Linotype"/>
              <w:color w:val="000000" w:themeColor="text1"/>
              <w:sz w:val="24"/>
              <w:szCs w:val="24"/>
            </w:rPr>
            <w:t>María del Rosario Mejía Ayala</w:t>
          </w:r>
        </w:p>
      </w:tc>
    </w:tr>
  </w:tbl>
  <w:p w:rsidR="00B42685" w:rsidRDefault="00F6341A">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8240" behindDoc="1" locked="0" layoutInCell="1" hidden="0" allowOverlap="1">
          <wp:simplePos x="0" y="0"/>
          <wp:positionH relativeFrom="page">
            <wp:align>left</wp:align>
          </wp:positionH>
          <wp:positionV relativeFrom="paragraph">
            <wp:posOffset>-1684499</wp:posOffset>
          </wp:positionV>
          <wp:extent cx="7809865" cy="10165715"/>
          <wp:effectExtent l="0" t="0" r="635" b="6985"/>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p w:rsidR="00B42685" w:rsidRDefault="00B426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7512" w:type="dxa"/>
      <w:tblInd w:w="25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93"/>
      <w:gridCol w:w="4819"/>
    </w:tblGrid>
    <w:tr w:rsidR="00006B67" w:rsidTr="00F6341A">
      <w:trPr>
        <w:trHeight w:val="138"/>
      </w:trPr>
      <w:tc>
        <w:tcPr>
          <w:tcW w:w="2693" w:type="dxa"/>
          <w:vAlign w:val="center"/>
        </w:tcPr>
        <w:p w:rsidR="00006B67" w:rsidRPr="00006B67" w:rsidRDefault="00006B67" w:rsidP="00006B67">
          <w:pPr>
            <w:rPr>
              <w:rFonts w:ascii="Palatino Linotype" w:eastAsia="Palatino Linotype" w:hAnsi="Palatino Linotype" w:cs="Palatino Linotype"/>
              <w:b/>
              <w:sz w:val="24"/>
              <w:szCs w:val="24"/>
            </w:rPr>
          </w:pPr>
          <w:r w:rsidRPr="00006B67">
            <w:rPr>
              <w:rFonts w:ascii="Palatino Linotype" w:eastAsia="Palatino Linotype" w:hAnsi="Palatino Linotype" w:cs="Palatino Linotype"/>
              <w:b/>
              <w:sz w:val="24"/>
              <w:szCs w:val="24"/>
            </w:rPr>
            <w:t>Recurso de Revisión:</w:t>
          </w:r>
        </w:p>
      </w:tc>
      <w:tc>
        <w:tcPr>
          <w:tcW w:w="4819" w:type="dxa"/>
          <w:vAlign w:val="center"/>
        </w:tcPr>
        <w:p w:rsidR="00006B67" w:rsidRPr="00006B67" w:rsidRDefault="00006B67" w:rsidP="00F6341A">
          <w:pPr>
            <w:pBdr>
              <w:top w:val="nil"/>
              <w:left w:val="nil"/>
              <w:bottom w:val="nil"/>
              <w:right w:val="nil"/>
              <w:between w:val="nil"/>
            </w:pBdr>
            <w:tabs>
              <w:tab w:val="right" w:pos="8504"/>
            </w:tabs>
            <w:ind w:left="-108" w:right="-73"/>
            <w:rPr>
              <w:rFonts w:ascii="Palatino Linotype" w:eastAsia="Palatino Linotype" w:hAnsi="Palatino Linotype" w:cs="Palatino Linotype"/>
              <w:color w:val="000000"/>
              <w:sz w:val="24"/>
              <w:szCs w:val="24"/>
            </w:rPr>
          </w:pPr>
          <w:r w:rsidRPr="00006B67">
            <w:rPr>
              <w:rFonts w:ascii="Palatino Linotype" w:eastAsia="Palatino Linotype" w:hAnsi="Palatino Linotype" w:cs="Palatino Linotype"/>
              <w:color w:val="000000"/>
              <w:sz w:val="24"/>
              <w:szCs w:val="24"/>
            </w:rPr>
            <w:t>08828/INFOEM/IP/RR/2025</w:t>
          </w:r>
        </w:p>
      </w:tc>
    </w:tr>
    <w:tr w:rsidR="00006B67" w:rsidTr="00F6341A">
      <w:trPr>
        <w:trHeight w:val="227"/>
      </w:trPr>
      <w:tc>
        <w:tcPr>
          <w:tcW w:w="2693" w:type="dxa"/>
          <w:vAlign w:val="center"/>
        </w:tcPr>
        <w:p w:rsidR="00006B67" w:rsidRPr="00006B67" w:rsidRDefault="00006B67" w:rsidP="00006B67">
          <w:pPr>
            <w:rPr>
              <w:rFonts w:ascii="Palatino Linotype" w:eastAsia="Palatino Linotype" w:hAnsi="Palatino Linotype" w:cs="Palatino Linotype"/>
              <w:b/>
              <w:sz w:val="24"/>
              <w:szCs w:val="24"/>
            </w:rPr>
          </w:pPr>
          <w:r w:rsidRPr="00006B67">
            <w:rPr>
              <w:rFonts w:ascii="Palatino Linotype" w:eastAsia="Palatino Linotype" w:hAnsi="Palatino Linotype" w:cs="Palatino Linotype"/>
              <w:b/>
              <w:sz w:val="24"/>
              <w:szCs w:val="24"/>
            </w:rPr>
            <w:t>Recurrente:</w:t>
          </w:r>
        </w:p>
      </w:tc>
      <w:tc>
        <w:tcPr>
          <w:tcW w:w="4819" w:type="dxa"/>
          <w:vAlign w:val="center"/>
        </w:tcPr>
        <w:p w:rsidR="00006B67" w:rsidRPr="00006B67" w:rsidRDefault="00953F10" w:rsidP="00F6341A">
          <w:pPr>
            <w:pBdr>
              <w:top w:val="nil"/>
              <w:left w:val="nil"/>
              <w:bottom w:val="nil"/>
              <w:right w:val="nil"/>
              <w:between w:val="nil"/>
            </w:pBdr>
            <w:tabs>
              <w:tab w:val="right" w:pos="8504"/>
            </w:tabs>
            <w:ind w:left="-108" w:right="-73"/>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w:t>
          </w:r>
        </w:p>
      </w:tc>
    </w:tr>
    <w:tr w:rsidR="00006B67" w:rsidTr="00F6341A">
      <w:trPr>
        <w:trHeight w:val="232"/>
      </w:trPr>
      <w:tc>
        <w:tcPr>
          <w:tcW w:w="2693" w:type="dxa"/>
          <w:vAlign w:val="center"/>
        </w:tcPr>
        <w:p w:rsidR="00006B67" w:rsidRDefault="00006B67" w:rsidP="00006B67">
          <w:pPr>
            <w:rPr>
              <w:rFonts w:ascii="Palatino Linotype" w:eastAsia="Palatino Linotype" w:hAnsi="Palatino Linotype" w:cs="Palatino Linotype"/>
              <w:b/>
              <w:sz w:val="24"/>
              <w:szCs w:val="24"/>
            </w:rPr>
          </w:pPr>
          <w:r w:rsidRPr="00006B67">
            <w:rPr>
              <w:rFonts w:ascii="Palatino Linotype" w:eastAsia="Palatino Linotype" w:hAnsi="Palatino Linotype" w:cs="Palatino Linotype"/>
              <w:b/>
              <w:sz w:val="24"/>
              <w:szCs w:val="24"/>
            </w:rPr>
            <w:t>Sujeto Obligado:</w:t>
          </w:r>
        </w:p>
        <w:p w:rsidR="00006B67" w:rsidRDefault="00006B67" w:rsidP="00006B67">
          <w:pPr>
            <w:rPr>
              <w:rFonts w:ascii="Palatino Linotype" w:eastAsia="Palatino Linotype" w:hAnsi="Palatino Linotype" w:cs="Palatino Linotype"/>
              <w:b/>
              <w:sz w:val="24"/>
              <w:szCs w:val="24"/>
            </w:rPr>
          </w:pPr>
        </w:p>
        <w:p w:rsidR="00006B67" w:rsidRDefault="00006B67" w:rsidP="00006B67">
          <w:pPr>
            <w:rPr>
              <w:rFonts w:ascii="Palatino Linotype" w:eastAsia="Palatino Linotype" w:hAnsi="Palatino Linotype" w:cs="Palatino Linotype"/>
              <w:b/>
              <w:sz w:val="24"/>
              <w:szCs w:val="24"/>
            </w:rPr>
          </w:pPr>
        </w:p>
        <w:p w:rsidR="00006B67" w:rsidRPr="00006B67" w:rsidRDefault="00006B67" w:rsidP="00006B67">
          <w:pPr>
            <w:rPr>
              <w:rFonts w:ascii="Palatino Linotype" w:eastAsia="Palatino Linotype" w:hAnsi="Palatino Linotype" w:cs="Palatino Linotype"/>
              <w:b/>
              <w:sz w:val="24"/>
              <w:szCs w:val="24"/>
            </w:rPr>
          </w:pPr>
        </w:p>
      </w:tc>
      <w:tc>
        <w:tcPr>
          <w:tcW w:w="4819" w:type="dxa"/>
          <w:vAlign w:val="center"/>
        </w:tcPr>
        <w:p w:rsidR="00006B67" w:rsidRPr="00006B67" w:rsidRDefault="00006B67" w:rsidP="00F6341A">
          <w:pPr>
            <w:ind w:left="-108" w:right="-73"/>
            <w:rPr>
              <w:rFonts w:ascii="Palatino Linotype" w:eastAsia="Palatino Linotype" w:hAnsi="Palatino Linotype" w:cs="Palatino Linotype"/>
              <w:sz w:val="24"/>
              <w:szCs w:val="24"/>
            </w:rPr>
          </w:pPr>
          <w:r w:rsidRPr="00006B67">
            <w:rPr>
              <w:rFonts w:ascii="Palatino Linotype" w:eastAsia="Palatino Linotype" w:hAnsi="Palatino Linotype" w:cs="Palatino Linotype"/>
              <w:sz w:val="24"/>
              <w:szCs w:val="24"/>
            </w:rPr>
            <w:t>O</w:t>
          </w:r>
          <w:r w:rsidRPr="00006B67">
            <w:rPr>
              <w:rFonts w:ascii="Palatino Linotype" w:eastAsia="Palatino Linotype" w:hAnsi="Palatino Linotype" w:cs="Palatino Linotype"/>
              <w:color w:val="000000"/>
              <w:sz w:val="24"/>
              <w:szCs w:val="24"/>
            </w:rPr>
            <w:t>rganismo Público Descentralizado para la Prestación de Los Servicios de Agua Potable Alcantarillado y Saneamiento del Municipio de Naucalpan de Juárez</w:t>
          </w:r>
        </w:p>
      </w:tc>
    </w:tr>
    <w:tr w:rsidR="00006B67" w:rsidTr="00F6341A">
      <w:trPr>
        <w:trHeight w:val="320"/>
      </w:trPr>
      <w:tc>
        <w:tcPr>
          <w:tcW w:w="2693" w:type="dxa"/>
          <w:vAlign w:val="center"/>
        </w:tcPr>
        <w:p w:rsidR="00006B67" w:rsidRPr="00006B67" w:rsidRDefault="00006B67" w:rsidP="00006B67">
          <w:pPr>
            <w:rPr>
              <w:rFonts w:ascii="Palatino Linotype" w:eastAsia="Palatino Linotype" w:hAnsi="Palatino Linotype" w:cs="Palatino Linotype"/>
              <w:b/>
              <w:sz w:val="24"/>
              <w:szCs w:val="24"/>
            </w:rPr>
          </w:pPr>
          <w:r w:rsidRPr="00006B67">
            <w:rPr>
              <w:rFonts w:ascii="Palatino Linotype" w:eastAsia="Palatino Linotype" w:hAnsi="Palatino Linotype" w:cs="Palatino Linotype"/>
              <w:b/>
              <w:sz w:val="24"/>
              <w:szCs w:val="24"/>
            </w:rPr>
            <w:t>Comisionada Ponente:</w:t>
          </w:r>
        </w:p>
      </w:tc>
      <w:tc>
        <w:tcPr>
          <w:tcW w:w="4819" w:type="dxa"/>
          <w:vAlign w:val="center"/>
        </w:tcPr>
        <w:p w:rsidR="00006B67" w:rsidRPr="00006B67" w:rsidRDefault="00006B67" w:rsidP="00F6341A">
          <w:pPr>
            <w:pBdr>
              <w:top w:val="nil"/>
              <w:left w:val="nil"/>
              <w:bottom w:val="nil"/>
              <w:right w:val="nil"/>
              <w:between w:val="nil"/>
            </w:pBdr>
            <w:tabs>
              <w:tab w:val="right" w:pos="8504"/>
            </w:tabs>
            <w:ind w:left="-108" w:right="-73"/>
            <w:rPr>
              <w:rFonts w:ascii="Palatino Linotype" w:eastAsia="Palatino Linotype" w:hAnsi="Palatino Linotype" w:cs="Palatino Linotype"/>
              <w:color w:val="000000"/>
              <w:sz w:val="24"/>
              <w:szCs w:val="24"/>
            </w:rPr>
          </w:pPr>
          <w:r w:rsidRPr="00006B67">
            <w:rPr>
              <w:rFonts w:ascii="Palatino Linotype" w:eastAsia="Palatino Linotype" w:hAnsi="Palatino Linotype" w:cs="Palatino Linotype"/>
              <w:color w:val="000000"/>
              <w:sz w:val="24"/>
              <w:szCs w:val="24"/>
            </w:rPr>
            <w:t>María del Rosario Mejía Ayala</w:t>
          </w:r>
        </w:p>
      </w:tc>
    </w:tr>
  </w:tbl>
  <w:p w:rsidR="00B42685" w:rsidRDefault="00F6341A">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9264" behindDoc="1" locked="0" layoutInCell="1" hidden="0" allowOverlap="1">
          <wp:simplePos x="0" y="0"/>
          <wp:positionH relativeFrom="column">
            <wp:posOffset>-1030078</wp:posOffset>
          </wp:positionH>
          <wp:positionV relativeFrom="paragraph">
            <wp:posOffset>-1779845</wp:posOffset>
          </wp:positionV>
          <wp:extent cx="7809876" cy="10165823"/>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B42685" w:rsidRDefault="00B4268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26EB8"/>
    <w:multiLevelType w:val="multilevel"/>
    <w:tmpl w:val="8E1EA8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AB5AF8"/>
    <w:multiLevelType w:val="multilevel"/>
    <w:tmpl w:val="56C66A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F6393D"/>
    <w:multiLevelType w:val="hybridMultilevel"/>
    <w:tmpl w:val="4CF26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280F2A"/>
    <w:multiLevelType w:val="multilevel"/>
    <w:tmpl w:val="D316915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284496"/>
    <w:multiLevelType w:val="multilevel"/>
    <w:tmpl w:val="F3604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BD7228"/>
    <w:multiLevelType w:val="multilevel"/>
    <w:tmpl w:val="70DC0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510C1D"/>
    <w:multiLevelType w:val="multilevel"/>
    <w:tmpl w:val="F1C24B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685"/>
    <w:rsid w:val="00006B67"/>
    <w:rsid w:val="000749FE"/>
    <w:rsid w:val="00074F93"/>
    <w:rsid w:val="00125838"/>
    <w:rsid w:val="002816F3"/>
    <w:rsid w:val="00367F84"/>
    <w:rsid w:val="003A2F6B"/>
    <w:rsid w:val="0044687A"/>
    <w:rsid w:val="00467A22"/>
    <w:rsid w:val="004F306B"/>
    <w:rsid w:val="00613100"/>
    <w:rsid w:val="00953F10"/>
    <w:rsid w:val="00B42685"/>
    <w:rsid w:val="00DE6E22"/>
    <w:rsid w:val="00F634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3AB8D7-4F9C-4592-B8F2-32FBF622C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color w:val="000000"/>
    </w:rPr>
  </w:style>
  <w:style w:type="paragraph" w:styleId="Ttulo2">
    <w:name w:val="heading 2"/>
    <w:basedOn w:val="Normal"/>
    <w:next w:val="Normal"/>
    <w:pPr>
      <w:keepNext/>
      <w:keepLines/>
      <w:spacing w:before="40" w:line="259" w:lineRule="auto"/>
      <w:outlineLvl w:val="1"/>
    </w:pPr>
    <w:rPr>
      <w:rFonts w:ascii="Palatino Linotype" w:eastAsia="Palatino Linotype" w:hAnsi="Palatino Linotype" w:cs="Palatino Linotype"/>
      <w:b/>
      <w:color w:val="000000"/>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40"/>
      <w:outlineLvl w:val="3"/>
    </w:pPr>
    <w:rPr>
      <w:rFonts w:ascii="Calibri" w:eastAsia="Calibri" w:hAnsi="Calibri" w:cs="Calibri"/>
      <w:i/>
      <w:color w:val="366091"/>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next w:val="Normal"/>
    <w:uiPriority w:val="39"/>
    <w:unhideWhenUsed/>
    <w:qFormat/>
    <w:rsid w:val="00CD7893"/>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2"/>
    <w:rPr>
      <w:sz w:val="22"/>
      <w:szCs w:val="22"/>
    </w:rPr>
    <w:tblPr>
      <w:tblStyleRowBandSize w:val="1"/>
      <w:tblStyleColBandSize w:val="1"/>
      <w:tblCellMar>
        <w:left w:w="108" w:type="dxa"/>
        <w:right w:w="108" w:type="dxa"/>
      </w:tblCellMar>
    </w:tblPr>
  </w:style>
  <w:style w:type="table" w:customStyle="1" w:styleId="1">
    <w:name w:val="1"/>
    <w:basedOn w:val="TableNormal2"/>
    <w:rPr>
      <w:sz w:val="22"/>
      <w:szCs w:val="22"/>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rPr>
      <w:sz w:val="22"/>
      <w:szCs w:val="22"/>
    </w:rPr>
    <w:tblPr>
      <w:tblStyleRowBandSize w:val="1"/>
      <w:tblStyleColBandSize w:val="1"/>
      <w:tblCellMar>
        <w:left w:w="108" w:type="dxa"/>
        <w:right w:w="108" w:type="dxa"/>
      </w:tblCellMar>
    </w:tblPr>
  </w:style>
  <w:style w:type="table" w:customStyle="1" w:styleId="a3">
    <w:basedOn w:val="TableNormal2"/>
    <w:rPr>
      <w:sz w:val="22"/>
      <w:szCs w:val="22"/>
    </w:rPr>
    <w:tblPr>
      <w:tblStyleRowBandSize w:val="1"/>
      <w:tblStyleColBandSize w:val="1"/>
      <w:tblCellMar>
        <w:left w:w="108" w:type="dxa"/>
        <w:right w:w="108" w:type="dxa"/>
      </w:tblCellMar>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rPr>
      <w:sz w:val="22"/>
      <w:szCs w:val="22"/>
    </w:rPr>
    <w:tblPr>
      <w:tblStyleRowBandSize w:val="1"/>
      <w:tblStyleColBandSize w:val="1"/>
      <w:tblCellMar>
        <w:left w:w="108" w:type="dxa"/>
        <w:right w:w="108" w:type="dxa"/>
      </w:tblCellMar>
    </w:tblPr>
  </w:style>
  <w:style w:type="table" w:customStyle="1" w:styleId="a7">
    <w:basedOn w:val="TableNormal1"/>
    <w:rPr>
      <w:sz w:val="22"/>
      <w:szCs w:val="22"/>
    </w:rPr>
    <w:tblPr>
      <w:tblStyleRowBandSize w:val="1"/>
      <w:tblStyleColBandSize w:val="1"/>
      <w:tblCellMar>
        <w:left w:w="108" w:type="dxa"/>
        <w:right w:w="108" w:type="dxa"/>
      </w:tblCellMar>
    </w:tblPr>
  </w:style>
  <w:style w:type="table" w:customStyle="1" w:styleId="Tablanormal13">
    <w:name w:val="Tabla normal 13"/>
    <w:basedOn w:val="Tablanormal"/>
    <w:next w:val="Tablanormal1"/>
    <w:uiPriority w:val="41"/>
    <w:rsid w:val="00AB673E"/>
    <w:rPr>
      <w:rFonts w:asciiTheme="minorHAnsi" w:eastAsiaTheme="minorHAnsi" w:hAnsiTheme="minorHAnsi" w:cstheme="minorBid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rPr>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0"/>
    <w:rPr>
      <w:sz w:val="22"/>
      <w:szCs w:val="22"/>
    </w:rPr>
    <w:tblPr>
      <w:tblStyleRowBandSize w:val="1"/>
      <w:tblStyleColBandSize w:val="1"/>
      <w:tblCellMar>
        <w:left w:w="108" w:type="dxa"/>
        <w:right w:w="108" w:type="dxa"/>
      </w:tblCellMar>
    </w:tblPr>
  </w:style>
  <w:style w:type="table" w:customStyle="1" w:styleId="ab">
    <w:basedOn w:val="TableNormal0"/>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12692.page" TargetMode="External"/><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saimex.org.mx/saimex/solicitud/downloadAttach/2512693.page"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AIj4nHz72JwnTJAeTbmKo7cAtA==">CgMxLjAyDmguc3JlOWgwNXE0djBiMghoLmdqZGd4czIJaC4zMGowemxsMgloLjFmb2I5dGUyCWguM3pueXNoNzIJaC4yZXQ5MnAwMghoLnR5amN3dDIJaC4zZHk2dmttMgloLjF0M2g1c2YyDmguM3pkYmNqZ2h1d2FuMgloLjI2aW4xcmcyCWguNGQzNG9nODIIaC5sbnhiejkyCWguMzVua3VuMjIOaC51ZG9saWM4dDJ5eng4AHIhMWhQeVFQeGV5VDRrajFrTVVOUWtsM1h1MG40UndOaG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34</Pages>
  <Words>7672</Words>
  <Characters>42196</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49769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7</cp:revision>
  <cp:lastPrinted>2025-09-11T18:00:00Z</cp:lastPrinted>
  <dcterms:created xsi:type="dcterms:W3CDTF">2025-08-28T01:45:00Z</dcterms:created>
  <dcterms:modified xsi:type="dcterms:W3CDTF">2025-09-25T23:03:00Z</dcterms:modified>
</cp:coreProperties>
</file>