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654D" w14:textId="2D7E8AC9" w:rsidR="00A83B4F" w:rsidRPr="007D74BD" w:rsidRDefault="0029071C" w:rsidP="004309A2">
      <w:pPr>
        <w:shd w:val="clear" w:color="auto" w:fill="FFFFFF"/>
        <w:spacing w:line="360" w:lineRule="auto"/>
        <w:jc w:val="both"/>
        <w:rPr>
          <w:rFonts w:ascii="Palatino Linotype" w:hAnsi="Palatino Linotype" w:cs="Arial"/>
          <w:color w:val="000000"/>
          <w:lang w:val="es-MX" w:eastAsia="es-MX"/>
        </w:rPr>
      </w:pPr>
      <w:r w:rsidRPr="007D74B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06B79" w:rsidRPr="007D74BD">
        <w:rPr>
          <w:rFonts w:ascii="Palatino Linotype" w:hAnsi="Palatino Linotype" w:cs="Arial"/>
          <w:color w:val="000000"/>
          <w:lang w:val="es-MX" w:eastAsia="es-MX"/>
        </w:rPr>
        <w:t>doce</w:t>
      </w:r>
      <w:r w:rsidR="00864828" w:rsidRPr="007D74BD">
        <w:rPr>
          <w:rFonts w:ascii="Palatino Linotype" w:hAnsi="Palatino Linotype" w:cs="Arial"/>
          <w:color w:val="000000"/>
          <w:lang w:val="es-MX" w:eastAsia="es-MX"/>
        </w:rPr>
        <w:t xml:space="preserve"> de marzo</w:t>
      </w:r>
      <w:r w:rsidR="007237B8" w:rsidRPr="007D74BD">
        <w:rPr>
          <w:rFonts w:ascii="Palatino Linotype" w:hAnsi="Palatino Linotype" w:cs="Arial"/>
          <w:color w:val="000000"/>
          <w:lang w:val="es-MX" w:eastAsia="es-MX"/>
        </w:rPr>
        <w:t xml:space="preserve"> </w:t>
      </w:r>
      <w:r w:rsidR="002C7968" w:rsidRPr="007D74BD">
        <w:rPr>
          <w:rFonts w:ascii="Palatino Linotype" w:hAnsi="Palatino Linotype" w:cs="Arial"/>
          <w:color w:val="000000"/>
          <w:lang w:val="es-MX" w:eastAsia="es-MX"/>
        </w:rPr>
        <w:t xml:space="preserve">de </w:t>
      </w:r>
      <w:r w:rsidR="007237B8" w:rsidRPr="007D74BD">
        <w:rPr>
          <w:rFonts w:ascii="Palatino Linotype" w:hAnsi="Palatino Linotype" w:cs="Arial"/>
          <w:color w:val="000000"/>
          <w:lang w:val="es-MX" w:eastAsia="es-MX"/>
        </w:rPr>
        <w:t xml:space="preserve">dos mil </w:t>
      </w:r>
      <w:r w:rsidR="00216776" w:rsidRPr="007D74BD">
        <w:rPr>
          <w:rFonts w:ascii="Palatino Linotype" w:hAnsi="Palatino Linotype" w:cs="Arial"/>
          <w:color w:val="000000"/>
          <w:lang w:val="es-MX" w:eastAsia="es-MX"/>
        </w:rPr>
        <w:t>veinticinco</w:t>
      </w:r>
      <w:r w:rsidRPr="007D74BD">
        <w:rPr>
          <w:rFonts w:ascii="Palatino Linotype" w:hAnsi="Palatino Linotype" w:cs="Arial"/>
          <w:color w:val="000000"/>
          <w:lang w:val="es-MX" w:eastAsia="es-MX"/>
        </w:rPr>
        <w:t>.</w:t>
      </w:r>
    </w:p>
    <w:p w14:paraId="1B5119D6" w14:textId="77777777" w:rsidR="004309A2" w:rsidRPr="007D74BD"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1E244CB7" w:rsidR="009E0E89" w:rsidRPr="007D74BD" w:rsidRDefault="0029071C" w:rsidP="00C753C2">
      <w:pPr>
        <w:tabs>
          <w:tab w:val="left" w:pos="1701"/>
        </w:tabs>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b/>
          <w:lang w:val="es-MX" w:eastAsia="en-US"/>
        </w:rPr>
        <w:t>VISTO</w:t>
      </w:r>
      <w:r w:rsidRPr="007D74BD">
        <w:rPr>
          <w:rFonts w:ascii="Palatino Linotype" w:eastAsiaTheme="minorHAnsi" w:hAnsi="Palatino Linotype" w:cs="Arial"/>
          <w:lang w:val="es-MX" w:eastAsia="en-US"/>
        </w:rPr>
        <w:t xml:space="preserve"> el expediente electrónico formado con motivo del recurso de revisión número </w:t>
      </w:r>
      <w:r w:rsidR="00DF0080" w:rsidRPr="007D74BD">
        <w:rPr>
          <w:rFonts w:ascii="Palatino Linotype" w:eastAsiaTheme="minorHAnsi" w:hAnsi="Palatino Linotype" w:cs="Arial"/>
          <w:b/>
          <w:lang w:val="es-MX" w:eastAsia="en-US"/>
        </w:rPr>
        <w:t>0</w:t>
      </w:r>
      <w:r w:rsidR="00AD30F3" w:rsidRPr="007D74BD">
        <w:rPr>
          <w:rFonts w:ascii="Palatino Linotype" w:eastAsiaTheme="minorHAnsi" w:hAnsi="Palatino Linotype" w:cs="Arial"/>
          <w:b/>
          <w:lang w:val="es-MX" w:eastAsia="en-US"/>
        </w:rPr>
        <w:t>1</w:t>
      </w:r>
      <w:r w:rsidR="00C2706B" w:rsidRPr="007D74BD">
        <w:rPr>
          <w:rFonts w:ascii="Palatino Linotype" w:eastAsiaTheme="minorHAnsi" w:hAnsi="Palatino Linotype" w:cs="Arial"/>
          <w:b/>
          <w:lang w:val="es-MX" w:eastAsia="en-US"/>
        </w:rPr>
        <w:t>36</w:t>
      </w:r>
      <w:r w:rsidR="00AD30F3" w:rsidRPr="007D74BD">
        <w:rPr>
          <w:rFonts w:ascii="Palatino Linotype" w:eastAsiaTheme="minorHAnsi" w:hAnsi="Palatino Linotype" w:cs="Arial"/>
          <w:b/>
          <w:lang w:val="es-MX" w:eastAsia="en-US"/>
        </w:rPr>
        <w:t>5</w:t>
      </w:r>
      <w:r w:rsidRPr="007D74BD">
        <w:rPr>
          <w:rFonts w:ascii="Palatino Linotype" w:eastAsiaTheme="minorHAnsi" w:hAnsi="Palatino Linotype" w:cs="Arial"/>
          <w:b/>
          <w:bCs/>
          <w:lang w:val="es-MX" w:eastAsia="es-MX"/>
        </w:rPr>
        <w:t>/INFOEM/IP/RR/202</w:t>
      </w:r>
      <w:r w:rsidR="00CB3433" w:rsidRPr="007D74BD">
        <w:rPr>
          <w:rFonts w:ascii="Palatino Linotype" w:eastAsiaTheme="minorHAnsi" w:hAnsi="Palatino Linotype" w:cs="Arial"/>
          <w:b/>
          <w:bCs/>
          <w:lang w:val="es-MX" w:eastAsia="es-MX"/>
        </w:rPr>
        <w:t>5</w:t>
      </w:r>
      <w:r w:rsidRPr="007D74BD">
        <w:rPr>
          <w:rFonts w:ascii="Palatino Linotype" w:eastAsiaTheme="minorHAnsi" w:hAnsi="Palatino Linotype" w:cs="Arial"/>
          <w:lang w:val="es-MX" w:eastAsia="en-US"/>
        </w:rPr>
        <w:t xml:space="preserve">, </w:t>
      </w:r>
      <w:r w:rsidR="00266841" w:rsidRPr="007D74BD">
        <w:rPr>
          <w:rFonts w:ascii="Palatino Linotype" w:hAnsi="Palatino Linotype" w:cs="Arial"/>
        </w:rPr>
        <w:t>interpuesto</w:t>
      </w:r>
      <w:r w:rsidR="005327BF" w:rsidRPr="007D74BD">
        <w:rPr>
          <w:rFonts w:ascii="Palatino Linotype" w:hAnsi="Palatino Linotype" w:cs="Arial"/>
        </w:rPr>
        <w:t xml:space="preserve"> por</w:t>
      </w:r>
      <w:r w:rsidR="00864828" w:rsidRPr="007D74BD">
        <w:rPr>
          <w:rFonts w:ascii="Palatino Linotype" w:hAnsi="Palatino Linotype" w:cs="Arial"/>
        </w:rPr>
        <w:t xml:space="preserve"> </w:t>
      </w:r>
      <w:r w:rsidR="00C2706B" w:rsidRPr="007D74BD">
        <w:rPr>
          <w:rFonts w:ascii="Palatino Linotype" w:hAnsi="Palatino Linotype" w:cs="Arial"/>
        </w:rPr>
        <w:t>persona que señala nombre de identificación</w:t>
      </w:r>
      <w:r w:rsidR="005F1F89" w:rsidRPr="007D74BD">
        <w:rPr>
          <w:rFonts w:ascii="Palatino Linotype" w:hAnsi="Palatino Linotype" w:cs="Arial"/>
        </w:rPr>
        <w:t>,</w:t>
      </w:r>
      <w:r w:rsidR="005F1F89" w:rsidRPr="007D74BD">
        <w:rPr>
          <w:rFonts w:ascii="Palatino Linotype" w:hAnsi="Palatino Linotype" w:cs="Arial"/>
          <w:b/>
        </w:rPr>
        <w:t xml:space="preserve"> </w:t>
      </w:r>
      <w:r w:rsidR="005F1F89" w:rsidRPr="007D74BD">
        <w:rPr>
          <w:rFonts w:ascii="Palatino Linotype" w:hAnsi="Palatino Linotype" w:cs="Arial"/>
        </w:rPr>
        <w:t>en lo sucesivo</w:t>
      </w:r>
      <w:r w:rsidR="0090178D" w:rsidRPr="007D74BD">
        <w:rPr>
          <w:rFonts w:ascii="Palatino Linotype" w:hAnsi="Palatino Linotype" w:cs="Arial"/>
        </w:rPr>
        <w:t xml:space="preserve"> la parte </w:t>
      </w:r>
      <w:r w:rsidR="005F1F89" w:rsidRPr="007D74BD">
        <w:rPr>
          <w:rFonts w:ascii="Palatino Linotype" w:hAnsi="Palatino Linotype" w:cs="Arial"/>
          <w:b/>
        </w:rPr>
        <w:t>Recurrente</w:t>
      </w:r>
      <w:r w:rsidRPr="007D74BD">
        <w:rPr>
          <w:rFonts w:ascii="Palatino Linotype" w:eastAsiaTheme="minorHAnsi" w:hAnsi="Palatino Linotype" w:cs="Arial"/>
          <w:lang w:val="es-MX" w:eastAsia="en-US"/>
        </w:rPr>
        <w:t xml:space="preserve">, en contra de la </w:t>
      </w:r>
      <w:r w:rsidR="004367FB" w:rsidRPr="007D74BD">
        <w:rPr>
          <w:rFonts w:ascii="Palatino Linotype" w:eastAsiaTheme="minorHAnsi" w:hAnsi="Palatino Linotype" w:cs="Arial"/>
          <w:lang w:val="es-MX" w:eastAsia="en-US"/>
        </w:rPr>
        <w:t xml:space="preserve">falta </w:t>
      </w:r>
      <w:r w:rsidRPr="007D74BD">
        <w:rPr>
          <w:rFonts w:ascii="Palatino Linotype" w:eastAsiaTheme="minorHAnsi" w:hAnsi="Palatino Linotype" w:cs="Arial"/>
          <w:lang w:val="es-MX" w:eastAsia="en-US"/>
        </w:rPr>
        <w:t>respuesta de</w:t>
      </w:r>
      <w:r w:rsidR="003B63F7" w:rsidRPr="007D74BD">
        <w:rPr>
          <w:rFonts w:ascii="Palatino Linotype" w:eastAsiaTheme="minorHAnsi" w:hAnsi="Palatino Linotype" w:cs="Arial"/>
          <w:lang w:val="es-MX" w:eastAsia="en-US"/>
        </w:rPr>
        <w:t>l</w:t>
      </w:r>
      <w:r w:rsidR="003B63F7" w:rsidRPr="007D74BD">
        <w:rPr>
          <w:rFonts w:ascii="Palatino Linotype" w:eastAsiaTheme="minorHAnsi" w:hAnsi="Palatino Linotype" w:cs="Arial"/>
          <w:b/>
          <w:lang w:val="es-MX" w:eastAsia="en-US"/>
        </w:rPr>
        <w:t xml:space="preserve"> </w:t>
      </w:r>
      <w:r w:rsidR="00DE4773" w:rsidRPr="007D74BD">
        <w:rPr>
          <w:rFonts w:ascii="Palatino Linotype" w:eastAsiaTheme="minorHAnsi" w:hAnsi="Palatino Linotype" w:cs="Arial"/>
          <w:b/>
          <w:lang w:val="es-MX" w:eastAsia="en-US"/>
        </w:rPr>
        <w:t xml:space="preserve">Ayuntamiento de </w:t>
      </w:r>
      <w:r w:rsidR="00020D0B" w:rsidRPr="007D74BD">
        <w:rPr>
          <w:rFonts w:ascii="Palatino Linotype" w:eastAsiaTheme="minorHAnsi" w:hAnsi="Palatino Linotype" w:cs="Arial"/>
          <w:b/>
          <w:lang w:val="es-MX" w:eastAsia="en-US"/>
        </w:rPr>
        <w:t>Ecatepec de Morelos</w:t>
      </w:r>
      <w:r w:rsidRPr="007D74BD">
        <w:rPr>
          <w:rFonts w:ascii="Palatino Linotype" w:eastAsiaTheme="minorHAnsi" w:hAnsi="Palatino Linotype" w:cs="Arial"/>
          <w:lang w:val="es-MX" w:eastAsia="en-US"/>
        </w:rPr>
        <w:t>,</w:t>
      </w:r>
      <w:r w:rsidRPr="007D74BD">
        <w:rPr>
          <w:rFonts w:ascii="Palatino Linotype" w:eastAsiaTheme="minorHAnsi" w:hAnsi="Palatino Linotype" w:cs="Arial"/>
          <w:b/>
          <w:lang w:val="es-MX" w:eastAsia="en-US"/>
        </w:rPr>
        <w:t xml:space="preserve"> </w:t>
      </w:r>
      <w:r w:rsidRPr="007D74BD">
        <w:rPr>
          <w:rFonts w:ascii="Palatino Linotype" w:eastAsiaTheme="minorHAnsi" w:hAnsi="Palatino Linotype" w:cs="Arial"/>
          <w:lang w:val="es-MX" w:eastAsia="en-US"/>
        </w:rPr>
        <w:t>en lo subsecuente</w:t>
      </w:r>
      <w:r w:rsidRPr="007D74BD">
        <w:rPr>
          <w:rFonts w:ascii="Palatino Linotype" w:eastAsiaTheme="minorHAnsi" w:hAnsi="Palatino Linotype" w:cs="Arial"/>
          <w:b/>
          <w:lang w:val="es-MX" w:eastAsia="en-US"/>
        </w:rPr>
        <w:t xml:space="preserve"> El Sujeto Obligado, </w:t>
      </w:r>
      <w:r w:rsidRPr="007D74BD">
        <w:rPr>
          <w:rFonts w:ascii="Palatino Linotype" w:eastAsiaTheme="minorHAnsi" w:hAnsi="Palatino Linotype" w:cs="Arial"/>
          <w:lang w:val="es-MX" w:eastAsia="en-US"/>
        </w:rPr>
        <w:t>se procede a dictar la presente resolución.</w:t>
      </w:r>
      <w:r w:rsidR="00020D0B" w:rsidRPr="007D74BD">
        <w:rPr>
          <w:rFonts w:ascii="Palatino Linotype" w:eastAsiaTheme="minorHAnsi" w:hAnsi="Palatino Linotype" w:cs="Arial"/>
          <w:lang w:val="es-MX" w:eastAsia="en-US"/>
        </w:rPr>
        <w:t xml:space="preserve"> </w:t>
      </w:r>
    </w:p>
    <w:p w14:paraId="18792ADD" w14:textId="77777777" w:rsidR="00C753C2" w:rsidRPr="007D74BD"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7D74BD" w:rsidRDefault="0029071C" w:rsidP="00C753C2">
      <w:pPr>
        <w:spacing w:line="360" w:lineRule="auto"/>
        <w:jc w:val="center"/>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A N T E C E D E N T E S</w:t>
      </w:r>
    </w:p>
    <w:p w14:paraId="4AFE5A3C" w14:textId="77777777" w:rsidR="00C753C2" w:rsidRPr="007D74BD"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7D74BD" w:rsidRDefault="0029071C" w:rsidP="0029071C">
      <w:pPr>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PRIMERO. De la solicitud de información.</w:t>
      </w:r>
    </w:p>
    <w:p w14:paraId="7E2B1AA5" w14:textId="0EA7E8EA" w:rsidR="004309A2" w:rsidRPr="007D74BD" w:rsidRDefault="0029071C" w:rsidP="00DF0080">
      <w:pPr>
        <w:spacing w:line="360" w:lineRule="auto"/>
        <w:jc w:val="both"/>
        <w:rPr>
          <w:rFonts w:ascii="Palatino Linotype" w:eastAsiaTheme="minorHAnsi" w:hAnsi="Palatino Linotype" w:cs="Arial"/>
          <w:szCs w:val="22"/>
          <w:lang w:val="es-MX" w:eastAsia="en-US"/>
        </w:rPr>
      </w:pPr>
      <w:r w:rsidRPr="007D74BD">
        <w:rPr>
          <w:rFonts w:ascii="Palatino Linotype" w:eastAsiaTheme="minorHAnsi" w:hAnsi="Palatino Linotype" w:cs="Arial"/>
          <w:szCs w:val="22"/>
          <w:lang w:val="es-MX" w:eastAsia="en-US"/>
        </w:rPr>
        <w:t xml:space="preserve">En </w:t>
      </w:r>
      <w:r w:rsidR="00DE4773" w:rsidRPr="007D74BD">
        <w:rPr>
          <w:rFonts w:ascii="Palatino Linotype" w:eastAsiaTheme="minorHAnsi" w:hAnsi="Palatino Linotype" w:cs="Arial"/>
          <w:szCs w:val="22"/>
          <w:lang w:val="es-MX" w:eastAsia="en-US"/>
        </w:rPr>
        <w:t>veinte</w:t>
      </w:r>
      <w:r w:rsidR="00864828" w:rsidRPr="007D74BD">
        <w:rPr>
          <w:rFonts w:ascii="Palatino Linotype" w:eastAsiaTheme="minorHAnsi" w:hAnsi="Palatino Linotype" w:cs="Arial"/>
          <w:szCs w:val="22"/>
          <w:lang w:val="es-MX" w:eastAsia="en-US"/>
        </w:rPr>
        <w:t xml:space="preserve"> de enero de dos mil veinticinco</w:t>
      </w:r>
      <w:r w:rsidRPr="007D74BD">
        <w:rPr>
          <w:rFonts w:ascii="Palatino Linotype" w:eastAsiaTheme="minorHAnsi" w:hAnsi="Palatino Linotype" w:cs="Arial"/>
          <w:szCs w:val="22"/>
          <w:lang w:val="es-MX" w:eastAsia="en-US"/>
        </w:rPr>
        <w:t xml:space="preserve">, </w:t>
      </w:r>
      <w:r w:rsidR="007F7BF0" w:rsidRPr="007D74BD">
        <w:rPr>
          <w:rFonts w:ascii="Palatino Linotype" w:eastAsiaTheme="minorHAnsi" w:hAnsi="Palatino Linotype" w:cs="Arial"/>
          <w:szCs w:val="22"/>
          <w:lang w:val="es-MX" w:eastAsia="en-US"/>
        </w:rPr>
        <w:t>la parte</w:t>
      </w:r>
      <w:r w:rsidRPr="007D74BD">
        <w:rPr>
          <w:rFonts w:ascii="Palatino Linotype" w:eastAsiaTheme="minorHAnsi" w:hAnsi="Palatino Linotype" w:cs="Arial"/>
          <w:szCs w:val="22"/>
          <w:lang w:val="es-MX" w:eastAsia="en-US"/>
        </w:rPr>
        <w:t xml:space="preserve"> </w:t>
      </w:r>
      <w:r w:rsidRPr="007D74BD">
        <w:rPr>
          <w:rFonts w:ascii="Palatino Linotype" w:eastAsiaTheme="minorHAnsi" w:hAnsi="Palatino Linotype" w:cs="Arial"/>
          <w:b/>
          <w:szCs w:val="22"/>
          <w:lang w:val="es-MX" w:eastAsia="en-US"/>
        </w:rPr>
        <w:t>Recurrente</w:t>
      </w:r>
      <w:r w:rsidRPr="007D74BD">
        <w:rPr>
          <w:rFonts w:ascii="Palatino Linotype" w:eastAsiaTheme="minorHAnsi" w:hAnsi="Palatino Linotype" w:cs="Arial"/>
          <w:szCs w:val="22"/>
          <w:lang w:val="es-MX" w:eastAsia="en-US"/>
        </w:rPr>
        <w:t xml:space="preserve">, presentó a través del Sistema de Acceso a la Información Mexiquense </w:t>
      </w:r>
      <w:r w:rsidRPr="007D74BD">
        <w:rPr>
          <w:rFonts w:ascii="Palatino Linotype" w:eastAsiaTheme="minorHAnsi" w:hAnsi="Palatino Linotype" w:cs="Arial"/>
          <w:b/>
          <w:szCs w:val="22"/>
          <w:lang w:val="es-MX" w:eastAsia="en-US"/>
        </w:rPr>
        <w:t>(SAIMEX),</w:t>
      </w:r>
      <w:r w:rsidRPr="007D74BD">
        <w:rPr>
          <w:rFonts w:ascii="Palatino Linotype" w:eastAsiaTheme="minorHAnsi" w:hAnsi="Palatino Linotype" w:cs="Arial"/>
          <w:szCs w:val="22"/>
          <w:lang w:val="es-MX" w:eastAsia="en-US"/>
        </w:rPr>
        <w:t xml:space="preserve"> ante el </w:t>
      </w:r>
      <w:r w:rsidRPr="007D74BD">
        <w:rPr>
          <w:rFonts w:ascii="Palatino Linotype" w:eastAsiaTheme="minorHAnsi" w:hAnsi="Palatino Linotype" w:cs="Arial"/>
          <w:b/>
          <w:szCs w:val="22"/>
          <w:lang w:val="es-MX" w:eastAsia="en-US"/>
        </w:rPr>
        <w:t>Sujeto Obligado</w:t>
      </w:r>
      <w:r w:rsidRPr="007D74BD">
        <w:rPr>
          <w:rFonts w:ascii="Palatino Linotype" w:eastAsiaTheme="minorHAnsi" w:hAnsi="Palatino Linotype" w:cs="Arial"/>
          <w:szCs w:val="22"/>
          <w:lang w:val="es-MX" w:eastAsia="en-US"/>
        </w:rPr>
        <w:t>, la solicitud de acceso a la información pública, a la que se le</w:t>
      </w:r>
      <w:r w:rsidR="00C753C2" w:rsidRPr="007D74BD">
        <w:rPr>
          <w:rFonts w:ascii="Palatino Linotype" w:eastAsiaTheme="minorHAnsi" w:hAnsi="Palatino Linotype" w:cs="Arial"/>
          <w:szCs w:val="22"/>
          <w:lang w:val="es-MX" w:eastAsia="en-US"/>
        </w:rPr>
        <w:t xml:space="preserve"> asignó el número de expediente</w:t>
      </w:r>
      <w:r w:rsidR="003B63F7" w:rsidRPr="007D74BD">
        <w:rPr>
          <w:rFonts w:ascii="Palatino Linotype" w:eastAsiaTheme="minorHAnsi" w:hAnsi="Palatino Linotype" w:cs="Arial"/>
          <w:b/>
          <w:szCs w:val="22"/>
          <w:lang w:val="es-MX" w:eastAsia="en-US"/>
        </w:rPr>
        <w:t xml:space="preserve"> </w:t>
      </w:r>
      <w:r w:rsidR="00020D0B" w:rsidRPr="007D74BD">
        <w:rPr>
          <w:rFonts w:ascii="Palatino Linotype" w:eastAsiaTheme="minorHAnsi" w:hAnsi="Palatino Linotype" w:cs="Arial"/>
          <w:b/>
          <w:szCs w:val="22"/>
          <w:lang w:val="es-MX" w:eastAsia="en-US"/>
        </w:rPr>
        <w:t>00067/ECATEPEC/IP/2025</w:t>
      </w:r>
      <w:r w:rsidRPr="007D74BD">
        <w:rPr>
          <w:rFonts w:ascii="Palatino Linotype" w:eastAsiaTheme="minorHAnsi" w:hAnsi="Palatino Linotype" w:cs="Arial"/>
          <w:szCs w:val="22"/>
          <w:lang w:val="es-MX" w:eastAsia="en-US"/>
        </w:rPr>
        <w:t>, mediante la cual solicitó lo siguiente:</w:t>
      </w:r>
    </w:p>
    <w:p w14:paraId="5E9B7D71" w14:textId="77777777" w:rsidR="00377DDD" w:rsidRPr="007D74BD" w:rsidRDefault="00377DDD" w:rsidP="00DF0080">
      <w:pPr>
        <w:spacing w:line="360" w:lineRule="auto"/>
        <w:jc w:val="both"/>
        <w:rPr>
          <w:rFonts w:ascii="Palatino Linotype" w:eastAsiaTheme="minorHAnsi" w:hAnsi="Palatino Linotype" w:cs="Arial"/>
          <w:szCs w:val="22"/>
          <w:lang w:val="es-MX" w:eastAsia="en-US"/>
        </w:rPr>
      </w:pPr>
    </w:p>
    <w:p w14:paraId="58D1202C" w14:textId="7ABB15FF" w:rsidR="004309A2" w:rsidRPr="007D74BD" w:rsidRDefault="0029071C" w:rsidP="002329AD">
      <w:pPr>
        <w:spacing w:line="276" w:lineRule="auto"/>
        <w:ind w:left="284" w:right="332"/>
        <w:jc w:val="both"/>
        <w:rPr>
          <w:rFonts w:ascii="Palatino Linotype" w:hAnsi="Palatino Linotype"/>
          <w:i/>
          <w:szCs w:val="20"/>
          <w:lang w:val="es-ES_tradnl"/>
        </w:rPr>
      </w:pPr>
      <w:r w:rsidRPr="007D74BD">
        <w:rPr>
          <w:rFonts w:ascii="Palatino Linotype" w:hAnsi="Palatino Linotype"/>
          <w:i/>
          <w:szCs w:val="20"/>
          <w:lang w:val="es-MX"/>
        </w:rPr>
        <w:t>“</w:t>
      </w:r>
      <w:r w:rsidR="00020D0B" w:rsidRPr="007D74BD">
        <w:rPr>
          <w:rFonts w:ascii="Palatino Linotype" w:hAnsi="Palatino Linotype"/>
          <w:i/>
          <w:szCs w:val="20"/>
          <w:lang w:val="es-MX" w:eastAsia="es-MX"/>
        </w:rPr>
        <w:t xml:space="preserve">La C. Biol. Katy Elizabeth Domínguez Flores, Directora de Medio Ambiente y Ecología, suscribió el Oficio </w:t>
      </w:r>
      <w:proofErr w:type="spellStart"/>
      <w:r w:rsidR="00020D0B" w:rsidRPr="007D74BD">
        <w:rPr>
          <w:rFonts w:ascii="Palatino Linotype" w:hAnsi="Palatino Linotype"/>
          <w:i/>
          <w:szCs w:val="20"/>
          <w:lang w:val="es-MX" w:eastAsia="es-MX"/>
        </w:rPr>
        <w:t>DMAyE</w:t>
      </w:r>
      <w:proofErr w:type="spellEnd"/>
      <w:r w:rsidR="00020D0B" w:rsidRPr="007D74BD">
        <w:rPr>
          <w:rFonts w:ascii="Palatino Linotype" w:hAnsi="Palatino Linotype"/>
          <w:i/>
          <w:szCs w:val="20"/>
          <w:lang w:val="es-MX" w:eastAsia="es-MX"/>
        </w:rPr>
        <w:t xml:space="preserve">/ECA/742/DIVNA/2024 de fecha 07 de noviembre de 2024, en el que se señala: “De tal manera que le hago de su conocimiento que está autoridad no genero ningún tipo de muestra que se tuviera que analizar mediante medios científicos por un tercero, así mismo no son facultades que sean establecidas en los artículos 65 y 66 del Bando Municipal Vigente.” Por lo anterior, agradeceré presente argumentos y/o pruebas que obren en los archivos de la H. Dirección de Medio Ambiente y Ecología, que motivaron su </w:t>
      </w:r>
      <w:proofErr w:type="gramStart"/>
      <w:r w:rsidR="00020D0B" w:rsidRPr="007D74BD">
        <w:rPr>
          <w:rFonts w:ascii="Palatino Linotype" w:hAnsi="Palatino Linotype"/>
          <w:i/>
          <w:szCs w:val="20"/>
          <w:lang w:val="es-MX" w:eastAsia="es-MX"/>
        </w:rPr>
        <w:t>respuesta.</w:t>
      </w:r>
      <w:r w:rsidR="003B63F7" w:rsidRPr="007D74BD">
        <w:rPr>
          <w:rFonts w:ascii="Palatino Linotype" w:hAnsi="Palatino Linotype"/>
          <w:i/>
          <w:szCs w:val="20"/>
          <w:lang w:val="es-MX" w:eastAsia="es-MX"/>
        </w:rPr>
        <w:t>.</w:t>
      </w:r>
      <w:proofErr w:type="gramEnd"/>
      <w:r w:rsidRPr="007D74BD">
        <w:rPr>
          <w:rFonts w:ascii="Palatino Linotype" w:hAnsi="Palatino Linotype"/>
          <w:i/>
          <w:szCs w:val="20"/>
          <w:lang w:val="es-MX"/>
        </w:rPr>
        <w:t>”</w:t>
      </w:r>
      <w:r w:rsidRPr="007D74BD">
        <w:rPr>
          <w:rFonts w:ascii="Palatino Linotype" w:hAnsi="Palatino Linotype"/>
          <w:i/>
          <w:szCs w:val="20"/>
          <w:lang w:val="es-ES_tradnl"/>
        </w:rPr>
        <w:t xml:space="preserve"> (Sic).</w:t>
      </w:r>
    </w:p>
    <w:p w14:paraId="5F3F1F59" w14:textId="77777777" w:rsidR="00377DDD" w:rsidRPr="007D74BD"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Pr="007D74B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7D74BD">
        <w:rPr>
          <w:rFonts w:ascii="Palatino Linotype" w:hAnsi="Palatino Linotype"/>
          <w:b/>
          <w:lang w:val="es-ES_tradnl"/>
        </w:rPr>
        <w:t>MODALIDAD DE ENTREGA:</w:t>
      </w:r>
      <w:r w:rsidRPr="007D74BD">
        <w:rPr>
          <w:rFonts w:ascii="Palatino Linotype" w:hAnsi="Palatino Linotype"/>
          <w:lang w:val="es-ES_tradnl"/>
        </w:rPr>
        <w:t xml:space="preserve"> </w:t>
      </w:r>
      <w:r w:rsidRPr="007D74BD">
        <w:rPr>
          <w:rFonts w:ascii="Palatino Linotype" w:eastAsiaTheme="minorHAnsi" w:hAnsi="Palatino Linotype" w:cstheme="minorBidi"/>
          <w:color w:val="000000"/>
          <w:lang w:val="es-MX" w:eastAsia="en-US"/>
        </w:rPr>
        <w:t xml:space="preserve">A través </w:t>
      </w:r>
      <w:r w:rsidR="00E64EF7" w:rsidRPr="007D74BD">
        <w:rPr>
          <w:rFonts w:ascii="Palatino Linotype" w:eastAsiaTheme="minorHAnsi" w:hAnsi="Palatino Linotype" w:cstheme="minorBidi"/>
          <w:color w:val="000000"/>
          <w:lang w:val="es-MX" w:eastAsia="en-US"/>
        </w:rPr>
        <w:t xml:space="preserve">de </w:t>
      </w:r>
      <w:r w:rsidR="000768A8" w:rsidRPr="007D74BD">
        <w:rPr>
          <w:rFonts w:ascii="Palatino Linotype" w:eastAsiaTheme="minorHAnsi" w:hAnsi="Palatino Linotype" w:cstheme="minorBidi"/>
          <w:color w:val="000000"/>
          <w:lang w:val="es-MX" w:eastAsia="en-US"/>
        </w:rPr>
        <w:t>del SAIMEX</w:t>
      </w:r>
      <w:r w:rsidRPr="007D74BD">
        <w:rPr>
          <w:rFonts w:ascii="Palatino Linotype" w:eastAsiaTheme="minorHAnsi" w:hAnsi="Palatino Linotype" w:cstheme="minorBidi"/>
          <w:color w:val="000000"/>
          <w:lang w:val="es-MX" w:eastAsia="en-US"/>
        </w:rPr>
        <w:t>.</w:t>
      </w:r>
    </w:p>
    <w:p w14:paraId="03EF24CC" w14:textId="77777777" w:rsidR="00FB22AA" w:rsidRPr="007D74BD"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7D74BD" w:rsidRDefault="001B4DC9" w:rsidP="0029071C">
      <w:pPr>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SEGUNDO</w:t>
      </w:r>
      <w:r w:rsidR="00393EAF" w:rsidRPr="007D74BD">
        <w:rPr>
          <w:rFonts w:ascii="Palatino Linotype" w:eastAsiaTheme="minorHAnsi" w:hAnsi="Palatino Linotype" w:cs="Arial"/>
          <w:b/>
          <w:sz w:val="28"/>
          <w:lang w:val="es-MX" w:eastAsia="en-US"/>
        </w:rPr>
        <w:t xml:space="preserve">. </w:t>
      </w:r>
      <w:r w:rsidR="0029071C" w:rsidRPr="007D74BD">
        <w:rPr>
          <w:rFonts w:ascii="Palatino Linotype" w:eastAsiaTheme="minorHAnsi" w:hAnsi="Palatino Linotype" w:cs="Arial"/>
          <w:b/>
          <w:sz w:val="28"/>
          <w:lang w:val="es-MX" w:eastAsia="en-US"/>
        </w:rPr>
        <w:t xml:space="preserve">De la </w:t>
      </w:r>
      <w:r w:rsidR="007B4673" w:rsidRPr="007D74BD">
        <w:rPr>
          <w:rFonts w:ascii="Palatino Linotype" w:eastAsiaTheme="minorHAnsi" w:hAnsi="Palatino Linotype" w:cs="Arial"/>
          <w:b/>
          <w:sz w:val="28"/>
          <w:lang w:val="es-MX" w:eastAsia="en-US"/>
        </w:rPr>
        <w:t xml:space="preserve">falta de </w:t>
      </w:r>
      <w:r w:rsidR="0029071C" w:rsidRPr="007D74BD">
        <w:rPr>
          <w:rFonts w:ascii="Palatino Linotype" w:eastAsiaTheme="minorHAnsi" w:hAnsi="Palatino Linotype" w:cs="Arial"/>
          <w:b/>
          <w:sz w:val="28"/>
          <w:lang w:val="es-MX" w:eastAsia="en-US"/>
        </w:rPr>
        <w:t xml:space="preserve">respuesta del Sujeto Obligado. </w:t>
      </w:r>
    </w:p>
    <w:p w14:paraId="24C3467C" w14:textId="77777777" w:rsidR="006A200A" w:rsidRPr="007D74BD" w:rsidRDefault="006A200A" w:rsidP="004309A2">
      <w:pPr>
        <w:spacing w:line="360" w:lineRule="auto"/>
        <w:jc w:val="both"/>
        <w:rPr>
          <w:rFonts w:ascii="Palatino Linotype" w:eastAsiaTheme="minorHAnsi" w:hAnsi="Palatino Linotype" w:cs="Arial"/>
          <w:lang w:val="es-MX" w:eastAsia="en-US"/>
        </w:rPr>
      </w:pPr>
    </w:p>
    <w:p w14:paraId="21818EA7" w14:textId="73ECD191" w:rsidR="004309A2" w:rsidRPr="007D74BD" w:rsidRDefault="00393EAF" w:rsidP="004309A2">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7D74BD" w:rsidRDefault="00393EAF" w:rsidP="004309A2">
      <w:pPr>
        <w:spacing w:line="360" w:lineRule="auto"/>
        <w:jc w:val="both"/>
        <w:rPr>
          <w:rFonts w:ascii="Palatino Linotype" w:hAnsi="Palatino Linotype"/>
          <w:szCs w:val="22"/>
          <w:lang w:val="es-MX" w:eastAsia="es-MX"/>
        </w:rPr>
      </w:pPr>
    </w:p>
    <w:p w14:paraId="024A662D" w14:textId="6C9C2780" w:rsidR="0029071C" w:rsidRPr="007D74BD" w:rsidRDefault="001B4DC9" w:rsidP="0029071C">
      <w:pPr>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TERCERO</w:t>
      </w:r>
      <w:r w:rsidR="0029071C" w:rsidRPr="007D74BD">
        <w:rPr>
          <w:rFonts w:ascii="Palatino Linotype" w:eastAsiaTheme="minorHAnsi" w:hAnsi="Palatino Linotype" w:cs="Arial"/>
          <w:b/>
          <w:sz w:val="28"/>
          <w:lang w:val="es-MX" w:eastAsia="en-US"/>
        </w:rPr>
        <w:t>. Del recurso de revisión.</w:t>
      </w:r>
    </w:p>
    <w:p w14:paraId="30ACC6FD" w14:textId="32613E77" w:rsidR="00021DCF" w:rsidRPr="007D74BD" w:rsidRDefault="00021DCF" w:rsidP="00021DCF">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bCs/>
          <w:lang w:val="es-MX" w:eastAsia="en-US"/>
        </w:rPr>
        <w:t>Ante la falta de respuesta</w:t>
      </w:r>
      <w:r w:rsidRPr="007D74BD">
        <w:rPr>
          <w:rFonts w:ascii="Palatino Linotype" w:eastAsiaTheme="minorHAnsi" w:hAnsi="Palatino Linotype" w:cs="Arial"/>
          <w:b/>
          <w:lang w:val="es-MX" w:eastAsia="en-US"/>
        </w:rPr>
        <w:t xml:space="preserve"> </w:t>
      </w:r>
      <w:r w:rsidRPr="007D74BD">
        <w:rPr>
          <w:rFonts w:ascii="Palatino Linotype" w:eastAsiaTheme="minorHAnsi" w:hAnsi="Palatino Linotype" w:cs="Arial"/>
          <w:lang w:val="es-MX" w:eastAsia="en-US"/>
        </w:rPr>
        <w:t xml:space="preserve">del </w:t>
      </w:r>
      <w:r w:rsidRPr="007D74BD">
        <w:rPr>
          <w:rFonts w:ascii="Palatino Linotype" w:eastAsiaTheme="minorHAnsi" w:hAnsi="Palatino Linotype" w:cs="Arial"/>
          <w:b/>
          <w:lang w:val="es-MX" w:eastAsia="en-US"/>
        </w:rPr>
        <w:t>Sujeto Obligado</w:t>
      </w:r>
      <w:r w:rsidRPr="007D74BD">
        <w:rPr>
          <w:rFonts w:ascii="Palatino Linotype" w:eastAsiaTheme="minorHAnsi" w:hAnsi="Palatino Linotype" w:cs="Arial"/>
          <w:lang w:val="es-MX" w:eastAsia="en-US"/>
        </w:rPr>
        <w:t xml:space="preserve">, la parte </w:t>
      </w:r>
      <w:r w:rsidRPr="007D74BD">
        <w:rPr>
          <w:rFonts w:ascii="Palatino Linotype" w:eastAsiaTheme="minorHAnsi" w:hAnsi="Palatino Linotype" w:cs="Arial"/>
          <w:b/>
          <w:lang w:val="es-MX" w:eastAsia="en-US"/>
        </w:rPr>
        <w:t>Recurrente</w:t>
      </w:r>
      <w:r w:rsidRPr="007D74BD">
        <w:rPr>
          <w:rFonts w:ascii="Palatino Linotype" w:eastAsiaTheme="minorHAnsi" w:hAnsi="Palatino Linotype" w:cs="Arial"/>
          <w:lang w:val="es-MX" w:eastAsia="en-US"/>
        </w:rPr>
        <w:t xml:space="preserve"> interpuso su recurso de revisión el </w:t>
      </w:r>
      <w:r w:rsidR="002A3F1A" w:rsidRPr="007D74BD">
        <w:rPr>
          <w:rFonts w:ascii="Palatino Linotype" w:eastAsiaTheme="minorHAnsi" w:hAnsi="Palatino Linotype" w:cs="Arial"/>
          <w:lang w:val="es-MX" w:eastAsia="en-US"/>
        </w:rPr>
        <w:t>catorce</w:t>
      </w:r>
      <w:r w:rsidR="006A200A" w:rsidRPr="007D74BD">
        <w:rPr>
          <w:rFonts w:ascii="Palatino Linotype" w:eastAsiaTheme="minorHAnsi" w:hAnsi="Palatino Linotype" w:cs="Arial"/>
          <w:lang w:val="es-MX" w:eastAsia="en-US"/>
        </w:rPr>
        <w:t xml:space="preserve"> de febrero</w:t>
      </w:r>
      <w:r w:rsidR="00D02C55" w:rsidRPr="007D74BD">
        <w:rPr>
          <w:rFonts w:ascii="Palatino Linotype" w:eastAsiaTheme="minorHAnsi" w:hAnsi="Palatino Linotype" w:cs="Arial"/>
          <w:lang w:val="es-MX" w:eastAsia="en-US"/>
        </w:rPr>
        <w:t xml:space="preserve"> de dos mil veinticinco</w:t>
      </w:r>
      <w:r w:rsidRPr="007D74BD">
        <w:rPr>
          <w:rFonts w:ascii="Palatino Linotype" w:eastAsiaTheme="minorHAnsi" w:hAnsi="Palatino Linotype" w:cs="Arial"/>
          <w:lang w:val="es-MX" w:eastAsia="en-US"/>
        </w:rPr>
        <w:t>, registrado</w:t>
      </w:r>
      <w:r w:rsidRPr="007D74BD">
        <w:rPr>
          <w:rFonts w:ascii="Palatino Linotype" w:eastAsiaTheme="minorHAnsi" w:hAnsi="Palatino Linotype" w:cs="Arial"/>
          <w:b/>
          <w:lang w:val="es-MX" w:eastAsia="en-US"/>
        </w:rPr>
        <w:t xml:space="preserve"> </w:t>
      </w:r>
      <w:r w:rsidRPr="007D74BD">
        <w:rPr>
          <w:rFonts w:ascii="Palatino Linotype" w:eastAsiaTheme="minorHAnsi" w:hAnsi="Palatino Linotype" w:cs="Arial"/>
          <w:lang w:val="es-MX" w:eastAsia="en-US"/>
        </w:rPr>
        <w:t xml:space="preserve">en el SAIMEX con número de expediente </w:t>
      </w:r>
      <w:r w:rsidRPr="007D74BD">
        <w:rPr>
          <w:rFonts w:ascii="Palatino Linotype" w:eastAsiaTheme="minorHAnsi" w:hAnsi="Palatino Linotype" w:cs="Arial"/>
          <w:b/>
          <w:bCs/>
          <w:lang w:val="es-MX" w:eastAsia="es-MX"/>
        </w:rPr>
        <w:t>0</w:t>
      </w:r>
      <w:r w:rsidR="00484FED" w:rsidRPr="007D74BD">
        <w:rPr>
          <w:rFonts w:ascii="Palatino Linotype" w:eastAsiaTheme="minorHAnsi" w:hAnsi="Palatino Linotype" w:cs="Arial"/>
          <w:b/>
          <w:bCs/>
          <w:lang w:val="es-MX" w:eastAsia="es-MX"/>
        </w:rPr>
        <w:t>1</w:t>
      </w:r>
      <w:r w:rsidR="002A3F1A" w:rsidRPr="007D74BD">
        <w:rPr>
          <w:rFonts w:ascii="Palatino Linotype" w:eastAsiaTheme="minorHAnsi" w:hAnsi="Palatino Linotype" w:cs="Arial"/>
          <w:b/>
          <w:bCs/>
          <w:lang w:val="es-MX" w:eastAsia="es-MX"/>
        </w:rPr>
        <w:t>36</w:t>
      </w:r>
      <w:r w:rsidR="00484FED" w:rsidRPr="007D74BD">
        <w:rPr>
          <w:rFonts w:ascii="Palatino Linotype" w:eastAsiaTheme="minorHAnsi" w:hAnsi="Palatino Linotype" w:cs="Arial"/>
          <w:b/>
          <w:bCs/>
          <w:lang w:val="es-MX" w:eastAsia="es-MX"/>
        </w:rPr>
        <w:t>5</w:t>
      </w:r>
      <w:r w:rsidRPr="007D74BD">
        <w:rPr>
          <w:rFonts w:ascii="Palatino Linotype" w:eastAsiaTheme="minorHAnsi" w:hAnsi="Palatino Linotype" w:cs="Arial"/>
          <w:b/>
          <w:bCs/>
          <w:lang w:val="es-MX" w:eastAsia="es-MX"/>
        </w:rPr>
        <w:t>/INFOEM/IP/RR/202</w:t>
      </w:r>
      <w:r w:rsidR="00D02C55" w:rsidRPr="007D74BD">
        <w:rPr>
          <w:rFonts w:ascii="Palatino Linotype" w:eastAsiaTheme="minorHAnsi" w:hAnsi="Palatino Linotype" w:cs="Arial"/>
          <w:b/>
          <w:bCs/>
          <w:lang w:val="es-MX" w:eastAsia="es-MX"/>
        </w:rPr>
        <w:t>5</w:t>
      </w:r>
      <w:r w:rsidRPr="007D74BD">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7D74BD"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375BE47B" w:rsidR="00021DCF" w:rsidRPr="007D74BD" w:rsidRDefault="00021DCF" w:rsidP="00023DA9">
      <w:pPr>
        <w:numPr>
          <w:ilvl w:val="0"/>
          <w:numId w:val="14"/>
        </w:numPr>
        <w:pBdr>
          <w:top w:val="nil"/>
          <w:left w:val="nil"/>
          <w:bottom w:val="nil"/>
          <w:right w:val="nil"/>
          <w:between w:val="nil"/>
        </w:pBdr>
        <w:spacing w:after="160" w:line="360" w:lineRule="auto"/>
        <w:jc w:val="both"/>
        <w:rPr>
          <w:rFonts w:eastAsia="Palatino Linotype"/>
        </w:rPr>
      </w:pPr>
      <w:r w:rsidRPr="007D74BD">
        <w:rPr>
          <w:rFonts w:ascii="Palatino Linotype" w:eastAsia="Palatino Linotype" w:hAnsi="Palatino Linotype" w:cs="Palatino Linotype"/>
          <w:b/>
          <w:color w:val="000000"/>
          <w:lang w:val="es-ES_tradnl"/>
        </w:rPr>
        <w:t xml:space="preserve">Acto Impugnado: </w:t>
      </w:r>
      <w:r w:rsidRPr="007D74BD">
        <w:rPr>
          <w:rFonts w:ascii="Palatino Linotype" w:eastAsia="Palatino Linotype" w:hAnsi="Palatino Linotype"/>
        </w:rPr>
        <w:t>“</w:t>
      </w:r>
      <w:r w:rsidR="003B7506" w:rsidRPr="007D74BD">
        <w:rPr>
          <w:rFonts w:ascii="Palatino Linotype" w:eastAsia="Palatino Linotype" w:hAnsi="Palatino Linotype"/>
        </w:rPr>
        <w:t xml:space="preserve">La C. Biol. Katy Elizabeth Domínguez Flores, Directora de Medio Ambiente y Ecología, suscribió el Oficio </w:t>
      </w:r>
      <w:proofErr w:type="spellStart"/>
      <w:r w:rsidR="003B7506" w:rsidRPr="007D74BD">
        <w:rPr>
          <w:rFonts w:ascii="Palatino Linotype" w:eastAsia="Palatino Linotype" w:hAnsi="Palatino Linotype"/>
        </w:rPr>
        <w:t>DMAyE</w:t>
      </w:r>
      <w:proofErr w:type="spellEnd"/>
      <w:r w:rsidR="003B7506" w:rsidRPr="007D74BD">
        <w:rPr>
          <w:rFonts w:ascii="Palatino Linotype" w:eastAsia="Palatino Linotype" w:hAnsi="Palatino Linotype"/>
        </w:rPr>
        <w:t>/ECA/742/DIVNA/2024 de fecha 07 de noviembre de 2024, en el que se señala: “De tal manera que le hago de su conocimiento que está autoridad no genero ningún tipo de muestra que se tuviera que analizar mediante medios científicos por un tercero, así mismo no son facultades que sean establecidas en los artículos 65 y 66 del Bando Municipal Vigente.” Por lo anterior, agradeceré presente argumentos y/o pruebas que obren en los archivos de la H. Dirección de Medio Ambiente y Ecología, que motivaron su respuesta</w:t>
      </w:r>
      <w:r w:rsidR="00507C0C" w:rsidRPr="007D74BD">
        <w:rPr>
          <w:rFonts w:ascii="Palatino Linotype" w:eastAsia="Palatino Linotype" w:hAnsi="Palatino Linotype"/>
        </w:rPr>
        <w:t>.</w:t>
      </w:r>
      <w:r w:rsidRPr="007D74BD">
        <w:rPr>
          <w:rFonts w:ascii="Palatino Linotype" w:eastAsia="Palatino Linotype" w:hAnsi="Palatino Linotype"/>
        </w:rPr>
        <w:t>” (Sic)</w:t>
      </w:r>
      <w:r w:rsidRPr="007D74BD">
        <w:rPr>
          <w:rFonts w:eastAsia="Palatino Linotype"/>
        </w:rPr>
        <w:t xml:space="preserve"> </w:t>
      </w:r>
    </w:p>
    <w:p w14:paraId="00930ED4" w14:textId="489E8F45" w:rsidR="00021DCF" w:rsidRPr="007D74BD" w:rsidRDefault="00021DCF" w:rsidP="00023DA9">
      <w:pPr>
        <w:numPr>
          <w:ilvl w:val="0"/>
          <w:numId w:val="14"/>
        </w:numPr>
        <w:pBdr>
          <w:top w:val="nil"/>
          <w:left w:val="nil"/>
          <w:bottom w:val="nil"/>
          <w:right w:val="nil"/>
          <w:between w:val="nil"/>
        </w:pBdr>
        <w:spacing w:after="160" w:line="360" w:lineRule="auto"/>
        <w:jc w:val="both"/>
        <w:rPr>
          <w:rFonts w:eastAsia="Palatino Linotype"/>
          <w:lang w:val="es-ES_tradnl"/>
        </w:rPr>
      </w:pPr>
      <w:r w:rsidRPr="007D74BD">
        <w:rPr>
          <w:rFonts w:ascii="Palatino Linotype" w:eastAsia="Palatino Linotype" w:hAnsi="Palatino Linotype" w:cs="Palatino Linotype"/>
          <w:b/>
          <w:color w:val="000000"/>
          <w:lang w:val="es-ES_tradnl"/>
        </w:rPr>
        <w:lastRenderedPageBreak/>
        <w:t>Razones o Motivos de Inconformidad</w:t>
      </w:r>
      <w:r w:rsidRPr="007D74BD">
        <w:rPr>
          <w:rFonts w:ascii="Palatino Linotype" w:eastAsia="Palatino Linotype" w:hAnsi="Palatino Linotype" w:cs="Palatino Linotype"/>
          <w:color w:val="000000"/>
          <w:lang w:val="es-ES_tradnl"/>
        </w:rPr>
        <w:t xml:space="preserve">: </w:t>
      </w:r>
      <w:r w:rsidRPr="007D74BD">
        <w:rPr>
          <w:rFonts w:ascii="Palatino Linotype" w:eastAsia="Palatino Linotype" w:hAnsi="Palatino Linotype"/>
          <w:lang w:val="es-ES_tradnl"/>
        </w:rPr>
        <w:t>“</w:t>
      </w:r>
      <w:r w:rsidR="003B7506" w:rsidRPr="007D74BD">
        <w:rPr>
          <w:rFonts w:ascii="Palatino Linotype" w:eastAsia="Palatino Linotype" w:hAnsi="Palatino Linotype"/>
          <w:lang w:val="es-ES_tradnl"/>
        </w:rPr>
        <w:t>Al 14 de febrero de 2025, no se cuenta con una respuesta del H. Ayuntamiento de Ecatepec de Morelos.</w:t>
      </w:r>
      <w:r w:rsidRPr="007D74BD">
        <w:rPr>
          <w:rFonts w:ascii="Palatino Linotype" w:eastAsia="Palatino Linotype" w:hAnsi="Palatino Linotype"/>
          <w:lang w:val="es-ES_tradnl"/>
        </w:rPr>
        <w:t>” (Sic)</w:t>
      </w:r>
      <w:r w:rsidRPr="007D74BD">
        <w:rPr>
          <w:rFonts w:eastAsia="Palatino Linotype"/>
          <w:lang w:val="es-ES_tradnl"/>
        </w:rPr>
        <w:t xml:space="preserve"> </w:t>
      </w:r>
    </w:p>
    <w:p w14:paraId="24AC99CF" w14:textId="77777777" w:rsidR="00021DCF" w:rsidRPr="007D74BD"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7D74BD" w:rsidRDefault="001B4DC9" w:rsidP="0029071C">
      <w:pPr>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CUARTO</w:t>
      </w:r>
      <w:r w:rsidR="0029071C" w:rsidRPr="007D74BD">
        <w:rPr>
          <w:rFonts w:ascii="Palatino Linotype" w:eastAsiaTheme="minorHAnsi" w:hAnsi="Palatino Linotype" w:cs="Arial"/>
          <w:b/>
          <w:sz w:val="28"/>
          <w:lang w:val="es-MX" w:eastAsia="en-US"/>
        </w:rPr>
        <w:t>. Del turno del recurso de revisión.</w:t>
      </w:r>
    </w:p>
    <w:p w14:paraId="0F0F3445" w14:textId="0B1A41FC" w:rsidR="00414479" w:rsidRPr="007D74BD"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7D74BD">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7D74BD">
        <w:rPr>
          <w:rFonts w:ascii="Palatino Linotype" w:eastAsia="Palatino Linotype" w:hAnsi="Palatino Linotype" w:cs="Palatino Linotype"/>
          <w:b/>
          <w:bCs/>
          <w:color w:val="000000"/>
          <w:lang w:val="es-ES_tradnl" w:eastAsia="en-US"/>
        </w:rPr>
        <w:t>Comisionado Presidente J</w:t>
      </w:r>
      <w:r w:rsidRPr="007D74BD">
        <w:rPr>
          <w:rFonts w:ascii="Palatino Linotype" w:eastAsia="Palatino Linotype" w:hAnsi="Palatino Linotype" w:cs="Palatino Linotype"/>
          <w:b/>
          <w:color w:val="000000"/>
          <w:lang w:val="es-ES_tradnl" w:eastAsia="en-US"/>
        </w:rPr>
        <w:t>osé Martínez Vilchis</w:t>
      </w:r>
      <w:r w:rsidRPr="007D74BD">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7D74BD">
        <w:rPr>
          <w:rFonts w:ascii="Palatino Linotype" w:eastAsia="Palatino Linotype" w:hAnsi="Palatino Linotype" w:cs="Palatino Linotype"/>
          <w:color w:val="000000"/>
          <w:lang w:val="es-ES_tradnl" w:eastAsia="en-US"/>
        </w:rPr>
        <w:t>desechamiento</w:t>
      </w:r>
      <w:proofErr w:type="spellEnd"/>
      <w:r w:rsidRPr="007D74BD">
        <w:rPr>
          <w:rFonts w:ascii="Palatino Linotype" w:eastAsia="Palatino Linotype" w:hAnsi="Palatino Linotype" w:cs="Palatino Linotype"/>
          <w:color w:val="000000"/>
          <w:lang w:val="es-ES_tradnl" w:eastAsia="en-US"/>
        </w:rPr>
        <w:t xml:space="preserve">, por lo que el </w:t>
      </w:r>
      <w:r w:rsidR="00484FED" w:rsidRPr="007D74BD">
        <w:rPr>
          <w:rFonts w:ascii="Palatino Linotype" w:eastAsia="Palatino Linotype" w:hAnsi="Palatino Linotype" w:cs="Palatino Linotype"/>
          <w:color w:val="000000"/>
          <w:lang w:val="es-ES_tradnl" w:eastAsia="en-US"/>
        </w:rPr>
        <w:t>dieciocho</w:t>
      </w:r>
      <w:r w:rsidR="00023DA9" w:rsidRPr="007D74BD">
        <w:rPr>
          <w:rFonts w:ascii="Palatino Linotype" w:eastAsia="Palatino Linotype" w:hAnsi="Palatino Linotype" w:cs="Palatino Linotype"/>
          <w:color w:val="000000"/>
          <w:lang w:val="es-ES_tradnl" w:eastAsia="en-US"/>
        </w:rPr>
        <w:t xml:space="preserve"> de febrero</w:t>
      </w:r>
      <w:r w:rsidR="009436C4" w:rsidRPr="007D74BD">
        <w:rPr>
          <w:rFonts w:ascii="Palatino Linotype" w:eastAsia="Palatino Linotype" w:hAnsi="Palatino Linotype" w:cs="Palatino Linotype"/>
          <w:color w:val="000000"/>
          <w:lang w:val="es-ES_tradnl" w:eastAsia="en-US"/>
        </w:rPr>
        <w:t xml:space="preserve"> de dos mil veinticinco</w:t>
      </w:r>
      <w:r w:rsidRPr="007D74BD">
        <w:rPr>
          <w:rFonts w:ascii="Palatino Linotype" w:eastAsia="Palatino Linotype" w:hAnsi="Palatino Linotype" w:cs="Palatino Linotype"/>
          <w:color w:val="000000"/>
          <w:lang w:val="es-ES_tradnl" w:eastAsia="en-US"/>
        </w:rPr>
        <w:t xml:space="preserve">, el recurso de revisión fue admitido y se puso a </w:t>
      </w:r>
      <w:r w:rsidRPr="007D74BD">
        <w:rPr>
          <w:rFonts w:ascii="Palatino Linotype" w:eastAsiaTheme="minorHAnsi" w:hAnsi="Palatino Linotype" w:cstheme="minorBidi"/>
          <w:lang w:val="es-MX" w:eastAsia="en-US"/>
        </w:rPr>
        <w:t xml:space="preserve">a </w:t>
      </w:r>
      <w:r w:rsidR="00484FED" w:rsidRPr="007D74BD">
        <w:rPr>
          <w:rFonts w:ascii="Palatino Linotype" w:eastAsiaTheme="minorHAnsi" w:hAnsi="Palatino Linotype" w:cstheme="minorBidi"/>
          <w:lang w:val="es-MX" w:eastAsia="en-US"/>
        </w:rPr>
        <w:t>disposición</w:t>
      </w:r>
      <w:r w:rsidRPr="007D74BD">
        <w:rPr>
          <w:rFonts w:ascii="Palatino Linotype" w:eastAsiaTheme="minorHAnsi" w:hAnsi="Palatino Linotype" w:cstheme="minorBidi"/>
          <w:lang w:val="es-MX" w:eastAsia="en-US"/>
        </w:rPr>
        <w:t xml:space="preserve"> de las partes, para que, en un plazo </w:t>
      </w:r>
      <w:r w:rsidR="00484FED" w:rsidRPr="007D74BD">
        <w:rPr>
          <w:rFonts w:ascii="Palatino Linotype" w:eastAsiaTheme="minorHAnsi" w:hAnsi="Palatino Linotype" w:cstheme="minorBidi"/>
          <w:lang w:val="es-MX" w:eastAsia="en-US"/>
        </w:rPr>
        <w:t>máximo</w:t>
      </w:r>
      <w:r w:rsidRPr="007D74BD">
        <w:rPr>
          <w:rFonts w:ascii="Palatino Linotype" w:eastAsiaTheme="minorHAnsi" w:hAnsi="Palatino Linotype" w:cstheme="minorBidi"/>
          <w:lang w:val="es-MX" w:eastAsia="en-US"/>
        </w:rPr>
        <w:t xml:space="preserve"> de siete </w:t>
      </w:r>
      <w:r w:rsidR="00484FED" w:rsidRPr="007D74BD">
        <w:rPr>
          <w:rFonts w:ascii="Palatino Linotype" w:eastAsiaTheme="minorHAnsi" w:hAnsi="Palatino Linotype" w:cstheme="minorBidi"/>
          <w:lang w:val="es-MX" w:eastAsia="en-US"/>
        </w:rPr>
        <w:t>días</w:t>
      </w:r>
      <w:r w:rsidRPr="007D74BD">
        <w:rPr>
          <w:rFonts w:ascii="Palatino Linotype" w:eastAsiaTheme="minorHAnsi" w:hAnsi="Palatino Linotype" w:cstheme="minorBidi"/>
          <w:lang w:val="es-MX" w:eastAsia="en-US"/>
        </w:rPr>
        <w:t xml:space="preserve"> </w:t>
      </w:r>
      <w:r w:rsidR="00484FED" w:rsidRPr="007D74BD">
        <w:rPr>
          <w:rFonts w:ascii="Palatino Linotype" w:eastAsiaTheme="minorHAnsi" w:hAnsi="Palatino Linotype" w:cstheme="minorBidi"/>
          <w:lang w:val="es-MX" w:eastAsia="en-US"/>
        </w:rPr>
        <w:t>hábiles</w:t>
      </w:r>
      <w:r w:rsidRPr="007D74BD">
        <w:rPr>
          <w:rFonts w:ascii="Palatino Linotype" w:eastAsiaTheme="minorHAnsi" w:hAnsi="Palatino Linotype" w:cstheme="minorBidi"/>
          <w:lang w:val="es-MX" w:eastAsia="en-US"/>
        </w:rPr>
        <w:t>, manifiesten lo que a su derecho convenga.</w:t>
      </w:r>
    </w:p>
    <w:p w14:paraId="7BB82A5D" w14:textId="77777777" w:rsidR="00812B0F" w:rsidRPr="007D74BD"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7D74BD" w:rsidRDefault="001B4DC9" w:rsidP="0029071C">
      <w:pPr>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QUINTO</w:t>
      </w:r>
      <w:r w:rsidR="0029071C" w:rsidRPr="007D74BD">
        <w:rPr>
          <w:rFonts w:ascii="Palatino Linotype" w:eastAsiaTheme="minorHAnsi" w:hAnsi="Palatino Linotype" w:cs="Arial"/>
          <w:b/>
          <w:sz w:val="28"/>
          <w:lang w:val="es-MX" w:eastAsia="en-US"/>
        </w:rPr>
        <w:t>. De la etapa de manifestaciones y/o alegatos.</w:t>
      </w:r>
    </w:p>
    <w:p w14:paraId="18EE88C0" w14:textId="539C3CDA" w:rsidR="00414479" w:rsidRPr="007D74BD" w:rsidRDefault="00D61EBB" w:rsidP="00D61EBB">
      <w:pPr>
        <w:spacing w:line="360" w:lineRule="auto"/>
        <w:jc w:val="both"/>
        <w:rPr>
          <w:rFonts w:ascii="Palatino Linotype" w:hAnsi="Palatino Linotype" w:cs="Arial"/>
        </w:rPr>
      </w:pPr>
      <w:r w:rsidRPr="007D74BD">
        <w:rPr>
          <w:rFonts w:ascii="Palatino Linotype" w:hAnsi="Palatino Linotype" w:cs="Arial"/>
        </w:rPr>
        <w:t xml:space="preserve">Así, una vez abierta la etapa de instrucción, en el sumario obra que </w:t>
      </w:r>
      <w:r w:rsidRPr="007D74BD">
        <w:rPr>
          <w:rFonts w:ascii="Palatino Linotype" w:hAnsi="Palatino Linotype" w:cs="Arial"/>
          <w:b/>
        </w:rPr>
        <w:t>El Sujeto Obligado</w:t>
      </w:r>
      <w:r w:rsidRPr="007D74BD">
        <w:rPr>
          <w:rFonts w:ascii="Palatino Linotype" w:hAnsi="Palatino Linotype" w:cs="Arial"/>
        </w:rPr>
        <w:t>,</w:t>
      </w:r>
      <w:r w:rsidR="00414479" w:rsidRPr="007D74BD">
        <w:rPr>
          <w:rFonts w:ascii="Palatino Linotype" w:hAnsi="Palatino Linotype" w:cs="Arial"/>
        </w:rPr>
        <w:t xml:space="preserve"> </w:t>
      </w:r>
      <w:r w:rsidR="001B5028" w:rsidRPr="007D74BD">
        <w:rPr>
          <w:rFonts w:ascii="Palatino Linotype" w:hAnsi="Palatino Linotype" w:cs="Arial"/>
        </w:rPr>
        <w:t xml:space="preserve">fue omiso en </w:t>
      </w:r>
      <w:r w:rsidR="000616A9" w:rsidRPr="007D74BD">
        <w:rPr>
          <w:rFonts w:ascii="Palatino Linotype" w:hAnsi="Palatino Linotype" w:cs="Arial"/>
        </w:rPr>
        <w:t>rendir su informe justificado.</w:t>
      </w:r>
    </w:p>
    <w:p w14:paraId="482ECFD6" w14:textId="77777777" w:rsidR="00414479" w:rsidRPr="007D74BD" w:rsidRDefault="00414479" w:rsidP="00D61EBB">
      <w:pPr>
        <w:spacing w:line="360" w:lineRule="auto"/>
        <w:jc w:val="both"/>
        <w:rPr>
          <w:rFonts w:ascii="Palatino Linotype" w:hAnsi="Palatino Linotype" w:cs="Arial"/>
        </w:rPr>
      </w:pPr>
    </w:p>
    <w:p w14:paraId="4E3F2C2E" w14:textId="4D59BC40" w:rsidR="00A35BEF" w:rsidRPr="007D74BD" w:rsidRDefault="00D36738" w:rsidP="00D61EBB">
      <w:pPr>
        <w:spacing w:line="360" w:lineRule="auto"/>
        <w:jc w:val="both"/>
        <w:rPr>
          <w:rFonts w:ascii="Palatino Linotype" w:hAnsi="Palatino Linotype" w:cs="Arial"/>
        </w:rPr>
      </w:pPr>
      <w:r w:rsidRPr="007D74BD">
        <w:rPr>
          <w:rFonts w:ascii="Palatino Linotype" w:hAnsi="Palatino Linotype" w:cs="Arial"/>
        </w:rPr>
        <w:t>P</w:t>
      </w:r>
      <w:r w:rsidR="00D61EBB" w:rsidRPr="007D74BD">
        <w:rPr>
          <w:rFonts w:ascii="Palatino Linotype" w:hAnsi="Palatino Linotype" w:cs="Arial"/>
        </w:rPr>
        <w:t>or otra parte,</w:t>
      </w:r>
      <w:r w:rsidR="00AC7BC9" w:rsidRPr="007D74BD">
        <w:rPr>
          <w:rFonts w:ascii="Palatino Linotype" w:hAnsi="Palatino Linotype" w:cs="Arial"/>
        </w:rPr>
        <w:t xml:space="preserve"> se aprecia que</w:t>
      </w:r>
      <w:r w:rsidR="00D61EBB" w:rsidRPr="007D74BD">
        <w:rPr>
          <w:rFonts w:ascii="Palatino Linotype" w:hAnsi="Palatino Linotype" w:cs="Arial"/>
        </w:rPr>
        <w:t xml:space="preserve"> la parte </w:t>
      </w:r>
      <w:r w:rsidR="00D61EBB" w:rsidRPr="007D74BD">
        <w:rPr>
          <w:rFonts w:ascii="Palatino Linotype" w:hAnsi="Palatino Linotype" w:cs="Arial"/>
          <w:b/>
        </w:rPr>
        <w:t>Recurrente</w:t>
      </w:r>
      <w:r w:rsidR="00A35BEF" w:rsidRPr="007D74BD">
        <w:t xml:space="preserve"> </w:t>
      </w:r>
      <w:r w:rsidR="00A35BEF" w:rsidRPr="007D74BD">
        <w:rPr>
          <w:rFonts w:ascii="Palatino Linotype" w:hAnsi="Palatino Linotype" w:cs="Arial"/>
        </w:rPr>
        <w:t xml:space="preserve">la parte Recurrente </w:t>
      </w:r>
      <w:r w:rsidR="001B3981" w:rsidRPr="007D74BD">
        <w:rPr>
          <w:rFonts w:ascii="Palatino Linotype" w:hAnsi="Palatino Linotype" w:cs="Arial"/>
        </w:rPr>
        <w:t xml:space="preserve">manifestó que </w:t>
      </w:r>
      <w:r w:rsidR="00241E6D" w:rsidRPr="007D74BD">
        <w:rPr>
          <w:rFonts w:ascii="Palatino Linotype" w:hAnsi="Palatino Linotype" w:cs="Arial"/>
        </w:rPr>
        <w:t>a</w:t>
      </w:r>
      <w:r w:rsidR="001B3981" w:rsidRPr="007D74BD">
        <w:rPr>
          <w:rFonts w:ascii="Palatino Linotype" w:hAnsi="Palatino Linotype" w:cs="Arial"/>
        </w:rPr>
        <w:t xml:space="preserve">l día 20 de febrero de la </w:t>
      </w:r>
      <w:r w:rsidR="00241E6D" w:rsidRPr="007D74BD">
        <w:rPr>
          <w:rFonts w:ascii="Palatino Linotype" w:hAnsi="Palatino Linotype" w:cs="Arial"/>
        </w:rPr>
        <w:t>anualidad</w:t>
      </w:r>
      <w:r w:rsidR="001B3981" w:rsidRPr="007D74BD">
        <w:rPr>
          <w:rFonts w:ascii="Palatino Linotype" w:hAnsi="Palatino Linotype" w:cs="Arial"/>
        </w:rPr>
        <w:t xml:space="preserve"> en </w:t>
      </w:r>
      <w:r w:rsidR="00241E6D" w:rsidRPr="007D74BD">
        <w:rPr>
          <w:rFonts w:ascii="Palatino Linotype" w:hAnsi="Palatino Linotype" w:cs="Arial"/>
        </w:rPr>
        <w:t>curso, no cuenta con una respuesta a su solicitud de información. A su manifestación adjunta el acuerdo de admisión del recurso de revisión,</w:t>
      </w:r>
      <w:r w:rsidR="00A35BEF" w:rsidRPr="007D74BD">
        <w:rPr>
          <w:rFonts w:ascii="Palatino Linotype" w:hAnsi="Palatino Linotype" w:cs="Arial"/>
        </w:rPr>
        <w:t xml:space="preserve"> lo cual se corrobora con la siguiente imagen.</w:t>
      </w:r>
    </w:p>
    <w:p w14:paraId="489D67C1" w14:textId="1370FE3E" w:rsidR="00A35BEF" w:rsidRPr="007D74BD" w:rsidRDefault="001B3981" w:rsidP="00D61EBB">
      <w:pPr>
        <w:spacing w:line="360" w:lineRule="auto"/>
        <w:jc w:val="both"/>
        <w:rPr>
          <w:rFonts w:ascii="Palatino Linotype" w:hAnsi="Palatino Linotype" w:cs="Arial"/>
        </w:rPr>
      </w:pPr>
      <w:r w:rsidRPr="007D74BD">
        <w:rPr>
          <w:rFonts w:ascii="Palatino Linotype" w:hAnsi="Palatino Linotype" w:cs="Arial"/>
          <w:noProof/>
        </w:rPr>
        <w:lastRenderedPageBreak/>
        <w:drawing>
          <wp:inline distT="0" distB="0" distL="0" distR="0" wp14:anchorId="5AE37C90" wp14:editId="684BD68A">
            <wp:extent cx="5791835" cy="17164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791835" cy="1716405"/>
                    </a:xfrm>
                    <a:prstGeom prst="rect">
                      <a:avLst/>
                    </a:prstGeom>
                  </pic:spPr>
                </pic:pic>
              </a:graphicData>
            </a:graphic>
          </wp:inline>
        </w:drawing>
      </w:r>
    </w:p>
    <w:p w14:paraId="11ADC9F4" w14:textId="4EB10E6A" w:rsidR="00A618AB"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noProof/>
          <w:sz w:val="28"/>
        </w:rPr>
        <w:drawing>
          <wp:anchor distT="0" distB="0" distL="114300" distR="114300" simplePos="0" relativeHeight="251658240" behindDoc="0" locked="0" layoutInCell="1" allowOverlap="1" wp14:anchorId="11530899" wp14:editId="7D601731">
            <wp:simplePos x="0" y="0"/>
            <wp:positionH relativeFrom="margin">
              <wp:posOffset>688340</wp:posOffset>
            </wp:positionH>
            <wp:positionV relativeFrom="paragraph">
              <wp:posOffset>7620</wp:posOffset>
            </wp:positionV>
            <wp:extent cx="4631690" cy="31299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4631690" cy="3129915"/>
                    </a:xfrm>
                    <a:prstGeom prst="rect">
                      <a:avLst/>
                    </a:prstGeom>
                  </pic:spPr>
                </pic:pic>
              </a:graphicData>
            </a:graphic>
            <wp14:sizeRelH relativeFrom="margin">
              <wp14:pctWidth>0</wp14:pctWidth>
            </wp14:sizeRelH>
            <wp14:sizeRelV relativeFrom="margin">
              <wp14:pctHeight>0</wp14:pctHeight>
            </wp14:sizeRelV>
          </wp:anchor>
        </w:drawing>
      </w:r>
    </w:p>
    <w:p w14:paraId="70B948AA" w14:textId="759EBFE9"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306A3BA2" w14:textId="7A8EADDE"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70B466F6"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280BE84A"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534FCC0F"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381980B0"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2AA5161F"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2CEE996F"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680F65DD" w14:textId="77777777" w:rsidR="00B84875" w:rsidRPr="007D74BD" w:rsidRDefault="00B84875"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588100FA" w:rsidR="0029071C" w:rsidRPr="007D74BD" w:rsidRDefault="001B4DC9" w:rsidP="0029071C">
      <w:pPr>
        <w:tabs>
          <w:tab w:val="left" w:pos="3206"/>
        </w:tabs>
        <w:spacing w:line="360" w:lineRule="auto"/>
        <w:jc w:val="both"/>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SEXTO</w:t>
      </w:r>
      <w:r w:rsidR="0029071C" w:rsidRPr="007D74BD">
        <w:rPr>
          <w:rFonts w:ascii="Palatino Linotype" w:eastAsiaTheme="minorHAnsi" w:hAnsi="Palatino Linotype" w:cs="Arial"/>
          <w:b/>
          <w:sz w:val="28"/>
          <w:lang w:val="es-MX" w:eastAsia="en-US"/>
        </w:rPr>
        <w:t>. Del cierre de instrucción.</w:t>
      </w:r>
      <w:r w:rsidR="0029071C" w:rsidRPr="007D74BD">
        <w:rPr>
          <w:rFonts w:ascii="Palatino Linotype" w:eastAsiaTheme="minorHAnsi" w:hAnsi="Palatino Linotype" w:cs="Arial"/>
          <w:b/>
          <w:sz w:val="28"/>
          <w:lang w:val="es-MX" w:eastAsia="en-US"/>
        </w:rPr>
        <w:tab/>
      </w:r>
    </w:p>
    <w:p w14:paraId="0CF3A43B" w14:textId="5BC7ADCC" w:rsidR="00744630" w:rsidRPr="007D74BD" w:rsidRDefault="0029071C" w:rsidP="000007FD">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 xml:space="preserve">Así, una vez transcurrido el término legal, </w:t>
      </w:r>
      <w:r w:rsidR="00DC1583" w:rsidRPr="007D74BD">
        <w:rPr>
          <w:rFonts w:ascii="Palatino Linotype" w:eastAsiaTheme="minorHAnsi" w:hAnsi="Palatino Linotype" w:cs="Arial"/>
          <w:lang w:val="es-MX" w:eastAsia="en-US"/>
        </w:rPr>
        <w:t>permitió decretarse</w:t>
      </w:r>
      <w:r w:rsidRPr="007D74BD">
        <w:rPr>
          <w:rFonts w:ascii="Palatino Linotype" w:eastAsiaTheme="minorHAnsi" w:hAnsi="Palatino Linotype" w:cs="Arial"/>
          <w:lang w:val="es-MX" w:eastAsia="en-US"/>
        </w:rPr>
        <w:t xml:space="preserve"> el cierre de instrucción en fecha </w:t>
      </w:r>
      <w:r w:rsidR="00B84875" w:rsidRPr="007D74BD">
        <w:rPr>
          <w:rFonts w:ascii="Palatino Linotype" w:eastAsiaTheme="minorHAnsi" w:hAnsi="Palatino Linotype" w:cs="Arial"/>
          <w:lang w:val="es-MX" w:eastAsia="en-US"/>
        </w:rPr>
        <w:t>cinco de marzo</w:t>
      </w:r>
      <w:r w:rsidR="007D2332" w:rsidRPr="007D74BD">
        <w:rPr>
          <w:rFonts w:ascii="Palatino Linotype" w:eastAsiaTheme="minorHAnsi" w:hAnsi="Palatino Linotype" w:cs="Arial"/>
          <w:lang w:val="es-MX" w:eastAsia="en-US"/>
        </w:rPr>
        <w:t xml:space="preserve"> de dos mil veinticinco</w:t>
      </w:r>
      <w:r w:rsidRPr="007D74BD">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7D74BD" w:rsidRDefault="005327BF" w:rsidP="00B96A17">
      <w:pPr>
        <w:spacing w:line="360" w:lineRule="auto"/>
        <w:jc w:val="both"/>
        <w:rPr>
          <w:rFonts w:ascii="Palatino Linotype" w:hAnsi="Palatino Linotype"/>
          <w:lang w:val="es-MX"/>
        </w:rPr>
      </w:pPr>
    </w:p>
    <w:p w14:paraId="2FDBFDAE" w14:textId="77777777" w:rsidR="00E74701" w:rsidRPr="007D74BD" w:rsidRDefault="00E74701" w:rsidP="00D57F74">
      <w:pPr>
        <w:spacing w:line="360" w:lineRule="auto"/>
        <w:jc w:val="center"/>
        <w:rPr>
          <w:rFonts w:ascii="Palatino Linotype" w:eastAsiaTheme="minorHAnsi" w:hAnsi="Palatino Linotype" w:cs="Arial"/>
          <w:b/>
          <w:sz w:val="28"/>
          <w:lang w:val="es-MX" w:eastAsia="en-US"/>
        </w:rPr>
      </w:pPr>
      <w:r w:rsidRPr="007D74BD">
        <w:rPr>
          <w:rFonts w:ascii="Palatino Linotype" w:eastAsiaTheme="minorHAnsi" w:hAnsi="Palatino Linotype" w:cs="Arial"/>
          <w:b/>
          <w:sz w:val="28"/>
          <w:lang w:val="es-MX" w:eastAsia="en-US"/>
        </w:rPr>
        <w:t>C O N S I D E R A N</w:t>
      </w:r>
      <w:r w:rsidR="00D57F74" w:rsidRPr="007D74BD">
        <w:rPr>
          <w:rFonts w:ascii="Palatino Linotype" w:eastAsiaTheme="minorHAnsi" w:hAnsi="Palatino Linotype" w:cs="Arial"/>
          <w:b/>
          <w:sz w:val="28"/>
          <w:lang w:val="es-MX" w:eastAsia="en-US"/>
        </w:rPr>
        <w:t xml:space="preserve"> D O </w:t>
      </w:r>
    </w:p>
    <w:p w14:paraId="259FBCF3" w14:textId="77777777" w:rsidR="00D57F74" w:rsidRPr="007D74BD"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7D74BD" w:rsidRDefault="00B341AE" w:rsidP="00B341AE">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b/>
          <w:lang w:val="es-MX" w:eastAsia="en-US"/>
        </w:rPr>
        <w:lastRenderedPageBreak/>
        <w:t>PRIMERO. De la competencia</w:t>
      </w:r>
      <w:r w:rsidRPr="007D74BD">
        <w:rPr>
          <w:rFonts w:ascii="Palatino Linotype" w:eastAsiaTheme="minorHAnsi" w:hAnsi="Palatino Linotype" w:cs="Arial"/>
          <w:lang w:val="es-MX" w:eastAsia="en-US"/>
        </w:rPr>
        <w:t>.</w:t>
      </w:r>
    </w:p>
    <w:p w14:paraId="2607322A" w14:textId="77777777" w:rsidR="00B341AE" w:rsidRPr="007D74BD" w:rsidRDefault="00B341AE" w:rsidP="00B341AE">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7D74BD"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7D74BD"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7D74BD">
        <w:rPr>
          <w:rFonts w:ascii="Palatino Linotype" w:eastAsiaTheme="minorHAnsi" w:hAnsi="Palatino Linotype" w:cs="Arial"/>
          <w:b/>
          <w:lang w:val="es-MX" w:eastAsia="en-US"/>
        </w:rPr>
        <w:t xml:space="preserve">SEGUNDO. De la </w:t>
      </w:r>
      <w:r w:rsidRPr="007D74BD">
        <w:rPr>
          <w:rFonts w:ascii="Palatino Linotype" w:eastAsia="Palatino Linotype" w:hAnsi="Palatino Linotype" w:cs="Palatino Linotype"/>
          <w:b/>
          <w:lang w:val="es-MX" w:eastAsia="en-US"/>
        </w:rPr>
        <w:t>Oportunidad y Procedencia del Recurso de Revisión</w:t>
      </w:r>
      <w:r w:rsidRPr="007D74BD">
        <w:rPr>
          <w:rFonts w:ascii="Palatino Linotype" w:eastAsia="Palatino Linotype" w:hAnsi="Palatino Linotype" w:cs="Palatino Linotype"/>
          <w:lang w:val="es-MX" w:eastAsia="en-US"/>
        </w:rPr>
        <w:t>.</w:t>
      </w:r>
    </w:p>
    <w:p w14:paraId="398B02F7" w14:textId="10552183" w:rsidR="00B341AE" w:rsidRPr="007D74BD"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7D74BD">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7D74BD">
        <w:rPr>
          <w:rFonts w:ascii="Palatino Linotype" w:eastAsiaTheme="minorHAnsi" w:hAnsi="Palatino Linotype" w:cstheme="minorBidi"/>
          <w:lang w:val="es-MX" w:eastAsia="en-US"/>
        </w:rPr>
        <w:t xml:space="preserve">el solicitante </w:t>
      </w:r>
      <w:r w:rsidR="00CC30A4" w:rsidRPr="007D74BD">
        <w:rPr>
          <w:rFonts w:ascii="Palatino Linotype" w:eastAsiaTheme="minorHAnsi" w:hAnsi="Palatino Linotype" w:cstheme="minorBidi"/>
          <w:lang w:val="es-MX" w:eastAsia="en-US"/>
        </w:rPr>
        <w:t>podrá</w:t>
      </w:r>
      <w:r w:rsidRPr="007D74BD">
        <w:rPr>
          <w:rFonts w:ascii="Palatino Linotype" w:eastAsiaTheme="minorHAnsi" w:hAnsi="Palatino Linotype" w:cstheme="minorBidi"/>
          <w:lang w:val="es-MX" w:eastAsia="en-US"/>
        </w:rPr>
        <w:t xml:space="preserve">́ interponer, por sí mismo o a </w:t>
      </w:r>
      <w:r w:rsidR="00CC30A4" w:rsidRPr="007D74BD">
        <w:rPr>
          <w:rFonts w:ascii="Palatino Linotype" w:eastAsiaTheme="minorHAnsi" w:hAnsi="Palatino Linotype" w:cstheme="minorBidi"/>
          <w:lang w:val="es-MX" w:eastAsia="en-US"/>
        </w:rPr>
        <w:t>través</w:t>
      </w:r>
      <w:r w:rsidRPr="007D74BD">
        <w:rPr>
          <w:rFonts w:ascii="Palatino Linotype" w:eastAsiaTheme="minorHAnsi" w:hAnsi="Palatino Linotype" w:cstheme="minorBidi"/>
          <w:lang w:val="es-MX" w:eastAsia="en-US"/>
        </w:rPr>
        <w:t xml:space="preserve"> de su representante, de manera directa o por medios </w:t>
      </w:r>
      <w:r w:rsidR="00CC30A4" w:rsidRPr="007D74BD">
        <w:rPr>
          <w:rFonts w:ascii="Palatino Linotype" w:eastAsiaTheme="minorHAnsi" w:hAnsi="Palatino Linotype" w:cstheme="minorBidi"/>
          <w:lang w:val="es-MX" w:eastAsia="en-US"/>
        </w:rPr>
        <w:t>electrónicos</w:t>
      </w:r>
      <w:r w:rsidRPr="007D74BD">
        <w:rPr>
          <w:rFonts w:ascii="Palatino Linotype" w:eastAsiaTheme="minorHAnsi" w:hAnsi="Palatino Linotype" w:cstheme="minorBidi"/>
          <w:lang w:val="es-MX" w:eastAsia="en-US"/>
        </w:rPr>
        <w:t xml:space="preserve">, recurso de </w:t>
      </w:r>
      <w:r w:rsidR="00CC30A4" w:rsidRPr="007D74BD">
        <w:rPr>
          <w:rFonts w:ascii="Palatino Linotype" w:eastAsiaTheme="minorHAnsi" w:hAnsi="Palatino Linotype" w:cstheme="minorBidi"/>
          <w:lang w:val="es-MX" w:eastAsia="en-US"/>
        </w:rPr>
        <w:t>revisión</w:t>
      </w:r>
      <w:r w:rsidRPr="007D74BD">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7D74BD">
        <w:rPr>
          <w:rFonts w:ascii="Palatino Linotype" w:eastAsiaTheme="minorHAnsi" w:hAnsi="Palatino Linotype" w:cstheme="minorBidi"/>
          <w:lang w:val="es-MX" w:eastAsia="en-US"/>
        </w:rPr>
        <w:t>días</w:t>
      </w:r>
      <w:r w:rsidRPr="007D74BD">
        <w:rPr>
          <w:rFonts w:ascii="Palatino Linotype" w:eastAsiaTheme="minorHAnsi" w:hAnsi="Palatino Linotype" w:cstheme="minorBidi"/>
          <w:lang w:val="es-MX" w:eastAsia="en-US"/>
        </w:rPr>
        <w:t xml:space="preserve"> </w:t>
      </w:r>
      <w:r w:rsidR="00CC30A4" w:rsidRPr="007D74BD">
        <w:rPr>
          <w:rFonts w:ascii="Palatino Linotype" w:eastAsiaTheme="minorHAnsi" w:hAnsi="Palatino Linotype" w:cstheme="minorBidi"/>
          <w:lang w:val="es-MX" w:eastAsia="en-US"/>
        </w:rPr>
        <w:t>hábiles</w:t>
      </w:r>
      <w:r w:rsidRPr="007D74BD">
        <w:rPr>
          <w:rFonts w:ascii="Palatino Linotype" w:eastAsiaTheme="minorHAnsi" w:hAnsi="Palatino Linotype" w:cstheme="minorBidi"/>
          <w:lang w:val="es-MX" w:eastAsia="en-US"/>
        </w:rPr>
        <w:t xml:space="preserve">, siguientes a la fecha de la </w:t>
      </w:r>
      <w:r w:rsidR="00CC30A4" w:rsidRPr="007D74BD">
        <w:rPr>
          <w:rFonts w:ascii="Palatino Linotype" w:eastAsiaTheme="minorHAnsi" w:hAnsi="Palatino Linotype" w:cstheme="minorBidi"/>
          <w:lang w:val="es-MX" w:eastAsia="en-US"/>
        </w:rPr>
        <w:t>notificación</w:t>
      </w:r>
      <w:r w:rsidRPr="007D74BD">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7D74BD">
        <w:rPr>
          <w:rFonts w:ascii="Palatino Linotype" w:eastAsiaTheme="minorHAnsi" w:hAnsi="Palatino Linotype" w:cstheme="minorBidi"/>
          <w:lang w:val="es-MX" w:eastAsia="en-US"/>
        </w:rPr>
        <w:t>información</w:t>
      </w:r>
      <w:r w:rsidRPr="007D74BD">
        <w:rPr>
          <w:rFonts w:ascii="Palatino Linotype" w:eastAsiaTheme="minorHAnsi" w:hAnsi="Palatino Linotype" w:cstheme="minorBidi"/>
          <w:lang w:val="es-MX" w:eastAsia="en-US"/>
        </w:rPr>
        <w:t xml:space="preserve"> </w:t>
      </w:r>
      <w:r w:rsidR="00CC30A4" w:rsidRPr="007D74BD">
        <w:rPr>
          <w:rFonts w:ascii="Palatino Linotype" w:eastAsiaTheme="minorHAnsi" w:hAnsi="Palatino Linotype" w:cstheme="minorBidi"/>
          <w:lang w:val="es-MX" w:eastAsia="en-US"/>
        </w:rPr>
        <w:t>pública</w:t>
      </w:r>
      <w:r w:rsidRPr="007D74BD">
        <w:rPr>
          <w:rFonts w:ascii="Palatino Linotype" w:eastAsiaTheme="minorHAnsi" w:hAnsi="Palatino Linotype" w:cstheme="minorBidi"/>
          <w:lang w:val="es-MX" w:eastAsia="en-US"/>
        </w:rPr>
        <w:t xml:space="preserve">, el recurso </w:t>
      </w:r>
      <w:r w:rsidR="00660854" w:rsidRPr="007D74BD">
        <w:rPr>
          <w:rFonts w:ascii="Palatino Linotype" w:eastAsiaTheme="minorHAnsi" w:hAnsi="Palatino Linotype" w:cstheme="minorBidi"/>
          <w:lang w:val="es-MX" w:eastAsia="en-US"/>
        </w:rPr>
        <w:t>podrá</w:t>
      </w:r>
      <w:r w:rsidRPr="007D74BD">
        <w:rPr>
          <w:rFonts w:ascii="Palatino Linotype" w:eastAsiaTheme="minorHAnsi" w:hAnsi="Palatino Linotype" w:cstheme="minorBidi"/>
          <w:lang w:val="es-MX" w:eastAsia="en-US"/>
        </w:rPr>
        <w:t xml:space="preserve"> ser interpuesto en cualquier momento, </w:t>
      </w:r>
      <w:r w:rsidRPr="007D74BD">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7D74BD"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7D74BD"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7D74BD">
        <w:rPr>
          <w:rFonts w:ascii="Palatino Linotype" w:eastAsiaTheme="minorHAnsi" w:hAnsi="Palatino Linotype" w:cs="Arial"/>
          <w:lang w:val="es-MX" w:eastAsia="en-US"/>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7D74BD">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7D74BD">
        <w:rPr>
          <w:rFonts w:ascii="Palatino Linotype" w:eastAsia="Palatino Linotype" w:hAnsi="Palatino Linotype" w:cs="Palatino Linotype"/>
          <w:b/>
          <w:lang w:val="es-MX" w:eastAsia="en-US"/>
        </w:rPr>
        <w:t>Recurrente</w:t>
      </w:r>
      <w:r w:rsidRPr="007D74BD">
        <w:rPr>
          <w:rFonts w:ascii="Palatino Linotype" w:eastAsia="Palatino Linotype" w:hAnsi="Palatino Linotype" w:cs="Palatino Linotype"/>
          <w:lang w:val="es-MX" w:eastAsia="en-US"/>
        </w:rPr>
        <w:t xml:space="preserve">, por lo que, en el presente caso, al haber sido presentado el recurso de revisión vía </w:t>
      </w:r>
      <w:r w:rsidRPr="007D74BD">
        <w:rPr>
          <w:rFonts w:ascii="Palatino Linotype" w:eastAsia="Palatino Linotype" w:hAnsi="Palatino Linotype" w:cs="Palatino Linotype"/>
          <w:b/>
          <w:lang w:val="es-MX" w:eastAsia="en-US"/>
        </w:rPr>
        <w:t>SAIMEX</w:t>
      </w:r>
      <w:r w:rsidRPr="007D74BD">
        <w:rPr>
          <w:rFonts w:ascii="Palatino Linotype" w:eastAsia="Palatino Linotype" w:hAnsi="Palatino Linotype" w:cs="Palatino Linotype"/>
          <w:lang w:val="es-MX" w:eastAsia="en-US"/>
        </w:rPr>
        <w:t>, dicho requisito resulta innecesario.</w:t>
      </w:r>
    </w:p>
    <w:p w14:paraId="25FA4BCB" w14:textId="77777777" w:rsidR="00B341AE" w:rsidRPr="007D74BD"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7D74BD" w:rsidRDefault="00B341AE" w:rsidP="00B341AE">
      <w:pPr>
        <w:spacing w:before="240" w:after="240" w:line="360" w:lineRule="auto"/>
        <w:jc w:val="both"/>
        <w:rPr>
          <w:rFonts w:ascii="Palatino Linotype" w:eastAsia="Palatino Linotype" w:hAnsi="Palatino Linotype" w:cs="Palatino Linotype"/>
          <w:i/>
          <w:lang w:val="es-MX" w:eastAsia="en-US"/>
        </w:rPr>
      </w:pPr>
      <w:r w:rsidRPr="007D74BD">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D74BD">
        <w:rPr>
          <w:rFonts w:ascii="Palatino Linotype" w:eastAsia="Palatino Linotype" w:hAnsi="Palatino Linotype" w:cs="Palatino Linotype"/>
          <w:b/>
          <w:lang w:val="es-MX" w:eastAsia="en-US"/>
        </w:rPr>
        <w:t>Sujeto Obligado</w:t>
      </w:r>
      <w:r w:rsidRPr="007D74BD">
        <w:rPr>
          <w:rFonts w:ascii="Palatino Linotype" w:eastAsia="Palatino Linotype" w:hAnsi="Palatino Linotype" w:cs="Palatino Linotype"/>
          <w:lang w:val="es-MX" w:eastAsia="en-US"/>
        </w:rPr>
        <w:t xml:space="preserve">, hipótesis jurídica que se actualiza en este caso, aunado a que la parte </w:t>
      </w:r>
      <w:r w:rsidRPr="007D74BD">
        <w:rPr>
          <w:rFonts w:ascii="Palatino Linotype" w:eastAsia="Palatino Linotype" w:hAnsi="Palatino Linotype" w:cs="Palatino Linotype"/>
          <w:b/>
          <w:lang w:val="es-MX" w:eastAsia="en-US"/>
        </w:rPr>
        <w:t>Recurrente</w:t>
      </w:r>
      <w:r w:rsidRPr="007D74BD">
        <w:rPr>
          <w:rFonts w:ascii="Palatino Linotype" w:eastAsia="Palatino Linotype" w:hAnsi="Palatino Linotype" w:cs="Palatino Linotype"/>
          <w:lang w:val="es-MX" w:eastAsia="en-US"/>
        </w:rPr>
        <w:t xml:space="preserve"> combate falta de trámite por el </w:t>
      </w:r>
      <w:r w:rsidRPr="007D74BD">
        <w:rPr>
          <w:rFonts w:ascii="Palatino Linotype" w:eastAsia="Palatino Linotype" w:hAnsi="Palatino Linotype" w:cs="Palatino Linotype"/>
          <w:b/>
          <w:lang w:val="es-MX" w:eastAsia="en-US"/>
        </w:rPr>
        <w:t>Sujeto Obligado</w:t>
      </w:r>
      <w:r w:rsidRPr="007D74BD">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7D74BD"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7D74BD" w:rsidRDefault="00B341AE" w:rsidP="00B341AE">
      <w:pPr>
        <w:autoSpaceDE w:val="0"/>
        <w:autoSpaceDN w:val="0"/>
        <w:adjustRightInd w:val="0"/>
        <w:spacing w:line="360" w:lineRule="auto"/>
        <w:jc w:val="both"/>
        <w:rPr>
          <w:rFonts w:ascii="Palatino Linotype" w:hAnsi="Palatino Linotype" w:cs="Arial"/>
        </w:rPr>
      </w:pPr>
      <w:r w:rsidRPr="007D74BD">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7D74BD"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7D74BD" w:rsidRDefault="00B341AE" w:rsidP="00B341AE">
      <w:pPr>
        <w:autoSpaceDE w:val="0"/>
        <w:autoSpaceDN w:val="0"/>
        <w:adjustRightInd w:val="0"/>
        <w:spacing w:line="360" w:lineRule="auto"/>
        <w:jc w:val="both"/>
        <w:rPr>
          <w:rFonts w:ascii="Palatino Linotype" w:hAnsi="Palatino Linotype" w:cs="Arial"/>
        </w:rPr>
      </w:pPr>
    </w:p>
    <w:p w14:paraId="2FEEA053" w14:textId="6CAC4E1F" w:rsidR="00C755DB" w:rsidRPr="007D74BD"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7D74BD">
        <w:rPr>
          <w:rFonts w:ascii="Palatino Linotype" w:hAnsi="Palatino Linotype" w:cs="Arial"/>
          <w:b/>
          <w:sz w:val="28"/>
          <w:szCs w:val="28"/>
        </w:rPr>
        <w:t xml:space="preserve">TERCERO. </w:t>
      </w:r>
      <w:r w:rsidR="00C755DB" w:rsidRPr="007D74BD">
        <w:rPr>
          <w:rFonts w:ascii="Palatino Linotype" w:hAnsi="Palatino Linotype" w:cs="Arial"/>
          <w:b/>
          <w:sz w:val="28"/>
          <w:szCs w:val="28"/>
        </w:rPr>
        <w:t>De las causales de sobreseimiento.</w:t>
      </w:r>
    </w:p>
    <w:p w14:paraId="5E391A8B" w14:textId="77777777" w:rsidR="00C755DB" w:rsidRPr="007D74BD" w:rsidRDefault="00C755DB" w:rsidP="00B341AE">
      <w:pPr>
        <w:widowControl w:val="0"/>
        <w:autoSpaceDE w:val="0"/>
        <w:autoSpaceDN w:val="0"/>
        <w:adjustRightInd w:val="0"/>
        <w:spacing w:line="360" w:lineRule="auto"/>
        <w:jc w:val="both"/>
        <w:rPr>
          <w:rFonts w:ascii="Palatino Linotype" w:hAnsi="Palatino Linotype" w:cs="Arial"/>
          <w:bCs/>
          <w:sz w:val="28"/>
          <w:szCs w:val="28"/>
        </w:rPr>
      </w:pPr>
    </w:p>
    <w:p w14:paraId="03B77806" w14:textId="293DFE3D" w:rsidR="00B341AE" w:rsidRPr="007D74BD" w:rsidRDefault="00B341AE" w:rsidP="00B341AE">
      <w:pPr>
        <w:widowControl w:val="0"/>
        <w:autoSpaceDE w:val="0"/>
        <w:autoSpaceDN w:val="0"/>
        <w:adjustRightInd w:val="0"/>
        <w:spacing w:line="360" w:lineRule="auto"/>
        <w:jc w:val="both"/>
        <w:rPr>
          <w:rFonts w:ascii="Palatino Linotype" w:hAnsi="Palatino Linotype" w:cs="Arial"/>
          <w:bCs/>
          <w:sz w:val="28"/>
          <w:szCs w:val="28"/>
        </w:rPr>
      </w:pPr>
    </w:p>
    <w:p w14:paraId="308442D1" w14:textId="77777777" w:rsidR="00B341AE" w:rsidRPr="007D74BD" w:rsidRDefault="00B341AE" w:rsidP="00B341AE">
      <w:pPr>
        <w:spacing w:line="360" w:lineRule="auto"/>
        <w:contextualSpacing/>
        <w:jc w:val="both"/>
        <w:rPr>
          <w:rFonts w:ascii="Palatino Linotype" w:hAnsi="Palatino Linotype" w:cs="Arial"/>
          <w:color w:val="000000"/>
          <w:lang w:val="es-ES_tradnl" w:eastAsia="es-MX"/>
        </w:rPr>
      </w:pPr>
      <w:r w:rsidRPr="007D74BD">
        <w:rPr>
          <w:rFonts w:ascii="Palatino Linotype" w:eastAsia="MS Mincho" w:hAnsi="Palatino Linotype"/>
        </w:rPr>
        <w:t>E</w:t>
      </w:r>
      <w:r w:rsidRPr="007D74BD">
        <w:rPr>
          <w:rFonts w:ascii="Palatino Linotype" w:eastAsia="MS Mincho" w:hAnsi="Palatino Linotype"/>
          <w:lang w:val="es-ES_tradnl"/>
        </w:rPr>
        <w:t xml:space="preserve">l derecho de acceso a la información pública es un </w:t>
      </w:r>
      <w:r w:rsidRPr="007D74BD">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D74BD">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7D74BD" w:rsidRDefault="00B341AE" w:rsidP="00B341AE">
      <w:pPr>
        <w:spacing w:line="360" w:lineRule="auto"/>
        <w:contextualSpacing/>
        <w:jc w:val="both"/>
        <w:rPr>
          <w:rFonts w:ascii="Palatino Linotype" w:hAnsi="Palatino Linotype"/>
          <w:lang w:eastAsia="es-MX"/>
        </w:rPr>
      </w:pPr>
    </w:p>
    <w:p w14:paraId="7F9D4ABD" w14:textId="11F2D48A" w:rsidR="00B341AE" w:rsidRPr="007D74BD" w:rsidRDefault="00B341AE" w:rsidP="00B341AE">
      <w:pPr>
        <w:autoSpaceDE w:val="0"/>
        <w:autoSpaceDN w:val="0"/>
        <w:adjustRightInd w:val="0"/>
        <w:spacing w:line="360" w:lineRule="auto"/>
        <w:jc w:val="both"/>
        <w:rPr>
          <w:rFonts w:ascii="Palatino Linotype" w:hAnsi="Palatino Linotype" w:cs="Arial"/>
        </w:rPr>
      </w:pPr>
      <w:r w:rsidRPr="007D74BD">
        <w:rPr>
          <w:rFonts w:ascii="Palatino Linotype" w:hAnsi="Palatino Linotype" w:cs="Arial"/>
        </w:rPr>
        <w:t xml:space="preserve">Por lo que en cumplimiento a las obligaciones que establece nuestra Carta Magna, la Constitución Estatal y la Ley de la materia le imponen, el </w:t>
      </w:r>
      <w:r w:rsidRPr="007D74BD">
        <w:rPr>
          <w:rFonts w:ascii="Palatino Linotype" w:hAnsi="Palatino Linotype" w:cs="Arial"/>
          <w:b/>
        </w:rPr>
        <w:t>Sujeto Obligado</w:t>
      </w:r>
      <w:r w:rsidRPr="007D74BD">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D74BD">
        <w:rPr>
          <w:rFonts w:ascii="Palatino Linotype" w:hAnsi="Palatino Linotype" w:cs="Arial"/>
          <w:b/>
        </w:rPr>
        <w:t>Sujeto Obligado</w:t>
      </w:r>
      <w:r w:rsidRPr="007D74BD">
        <w:rPr>
          <w:rFonts w:ascii="Palatino Linotype" w:hAnsi="Palatino Linotype" w:cs="Arial"/>
        </w:rPr>
        <w:t xml:space="preserve"> fue omiso en dar respuesta a la solicitud de información dentro de los plazos establecidos en la Ley de Transparencia Loca</w:t>
      </w:r>
      <w:r w:rsidR="00962747" w:rsidRPr="007D74BD">
        <w:rPr>
          <w:rFonts w:ascii="Palatino Linotype" w:hAnsi="Palatino Linotype" w:cs="Arial"/>
        </w:rPr>
        <w:t>l</w:t>
      </w:r>
      <w:r w:rsidRPr="007D74BD">
        <w:rPr>
          <w:rFonts w:ascii="Palatino Linotype" w:hAnsi="Palatino Linotype" w:cs="Arial"/>
        </w:rPr>
        <w:t>.</w:t>
      </w:r>
    </w:p>
    <w:p w14:paraId="50493250" w14:textId="77777777" w:rsidR="00B341AE" w:rsidRPr="007D74BD"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7D74BD" w:rsidRDefault="00B341AE" w:rsidP="00B341AE">
      <w:pPr>
        <w:autoSpaceDE w:val="0"/>
        <w:autoSpaceDN w:val="0"/>
        <w:adjustRightInd w:val="0"/>
        <w:spacing w:line="360" w:lineRule="auto"/>
        <w:jc w:val="both"/>
        <w:rPr>
          <w:rFonts w:ascii="Palatino Linotype" w:hAnsi="Palatino Linotype" w:cs="Arial"/>
        </w:rPr>
      </w:pPr>
      <w:r w:rsidRPr="007D74BD">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7D74BD">
        <w:rPr>
          <w:rFonts w:ascii="Palatino Linotype" w:eastAsia="Calibri" w:hAnsi="Palatino Linotype" w:cs="Arial"/>
          <w:color w:val="000000" w:themeColor="text1"/>
        </w:rPr>
        <w:t xml:space="preserve">en la fracción VII del artículo 179 de la </w:t>
      </w:r>
      <w:r w:rsidRPr="007D74BD">
        <w:rPr>
          <w:rFonts w:ascii="Palatino Linotype" w:eastAsia="Calibri" w:hAnsi="Palatino Linotype" w:cs="Arial"/>
          <w:bCs/>
          <w:color w:val="000000" w:themeColor="text1"/>
        </w:rPr>
        <w:t>Ley de Transparencia y Acceso a la Información Pública del Estado de México y Municipios</w:t>
      </w:r>
      <w:r w:rsidRPr="007D74BD">
        <w:rPr>
          <w:rFonts w:ascii="Palatino Linotype" w:eastAsia="Calibri" w:hAnsi="Palatino Linotype" w:cs="Arial"/>
          <w:color w:val="000000" w:themeColor="text1"/>
        </w:rPr>
        <w:t>,</w:t>
      </w:r>
      <w:r w:rsidRPr="007D74BD">
        <w:rPr>
          <w:rFonts w:ascii="Palatino Linotype" w:eastAsia="Calibri" w:hAnsi="Palatino Linotype" w:cs="Arial"/>
          <w:b/>
          <w:color w:val="000000" w:themeColor="text1"/>
        </w:rPr>
        <w:t xml:space="preserve"> </w:t>
      </w:r>
      <w:r w:rsidRPr="007D74BD">
        <w:rPr>
          <w:rFonts w:ascii="Palatino Linotype" w:eastAsia="Calibri" w:hAnsi="Palatino Linotype" w:cs="Arial"/>
          <w:bCs/>
          <w:color w:val="000000" w:themeColor="text1"/>
        </w:rPr>
        <w:t>y</w:t>
      </w:r>
      <w:r w:rsidRPr="007D74BD">
        <w:rPr>
          <w:rFonts w:ascii="Palatino Linotype" w:eastAsia="Calibri" w:hAnsi="Palatino Linotype" w:cs="Arial"/>
          <w:b/>
          <w:color w:val="000000" w:themeColor="text1"/>
        </w:rPr>
        <w:t xml:space="preserve"> </w:t>
      </w:r>
      <w:r w:rsidRPr="007D74BD">
        <w:rPr>
          <w:rFonts w:ascii="Palatino Linotype" w:hAnsi="Palatino Linotype" w:cs="Arial"/>
        </w:rPr>
        <w:t>por tanto, procedente la interposición del recurso de revisión.</w:t>
      </w:r>
    </w:p>
    <w:p w14:paraId="0F6DEF50" w14:textId="12FAFB16" w:rsidR="009C1CD1" w:rsidRPr="007D74BD" w:rsidRDefault="00EA2560" w:rsidP="00B341AE">
      <w:pPr>
        <w:autoSpaceDE w:val="0"/>
        <w:autoSpaceDN w:val="0"/>
        <w:adjustRightInd w:val="0"/>
        <w:spacing w:line="360" w:lineRule="auto"/>
        <w:jc w:val="both"/>
        <w:rPr>
          <w:rFonts w:ascii="Palatino Linotype" w:hAnsi="Palatino Linotype" w:cs="Arial"/>
        </w:rPr>
      </w:pPr>
      <w:r w:rsidRPr="007D74BD">
        <w:rPr>
          <w:rFonts w:ascii="Palatino Linotype" w:hAnsi="Palatino Linotype" w:cs="Arial"/>
        </w:rPr>
        <w:lastRenderedPageBreak/>
        <w:t xml:space="preserve">Ahora bien, no se pierde de vista que de la solicitud de información </w:t>
      </w:r>
      <w:r w:rsidR="00BC4E1D" w:rsidRPr="007D74BD">
        <w:rPr>
          <w:rFonts w:ascii="Palatino Linotype" w:hAnsi="Palatino Linotype" w:cs="Arial"/>
        </w:rPr>
        <w:t>00067/ECATEPEC/IP/2025</w:t>
      </w:r>
      <w:r w:rsidR="00470282" w:rsidRPr="007D74BD">
        <w:rPr>
          <w:rFonts w:ascii="Palatino Linotype" w:hAnsi="Palatino Linotype" w:cs="Arial"/>
        </w:rPr>
        <w:t xml:space="preserve">, </w:t>
      </w:r>
      <w:r w:rsidR="00BC4E1D" w:rsidRPr="007D74BD">
        <w:rPr>
          <w:rFonts w:ascii="Palatino Linotype" w:hAnsi="Palatino Linotype" w:cs="Arial"/>
        </w:rPr>
        <w:t>la solicitante no desea acceder a documentación a través del ejercicio del derecho de acceso</w:t>
      </w:r>
      <w:r w:rsidR="009C1CD1" w:rsidRPr="007D74BD">
        <w:rPr>
          <w:rFonts w:ascii="Palatino Linotype" w:hAnsi="Palatino Linotype" w:cs="Arial"/>
        </w:rPr>
        <w:t xml:space="preserve"> </w:t>
      </w:r>
      <w:r w:rsidR="00BC4E1D" w:rsidRPr="007D74BD">
        <w:rPr>
          <w:rFonts w:ascii="Palatino Linotype" w:hAnsi="Palatino Linotype" w:cs="Arial"/>
        </w:rPr>
        <w:t xml:space="preserve">a  la información, </w:t>
      </w:r>
      <w:r w:rsidR="009C1CD1" w:rsidRPr="007D74BD">
        <w:rPr>
          <w:rFonts w:ascii="Palatino Linotype" w:hAnsi="Palatino Linotype" w:cs="Arial"/>
        </w:rPr>
        <w:t>más</w:t>
      </w:r>
      <w:r w:rsidR="00BC4E1D" w:rsidRPr="007D74BD">
        <w:rPr>
          <w:rFonts w:ascii="Palatino Linotype" w:hAnsi="Palatino Linotype" w:cs="Arial"/>
        </w:rPr>
        <w:t xml:space="preserve"> bien, requiere un </w:t>
      </w:r>
      <w:r w:rsidR="009C1CD1" w:rsidRPr="007D74BD">
        <w:rPr>
          <w:rFonts w:ascii="Palatino Linotype" w:hAnsi="Palatino Linotype" w:cs="Arial"/>
        </w:rPr>
        <w:t>pronunciamiento</w:t>
      </w:r>
      <w:r w:rsidR="00BC4E1D" w:rsidRPr="007D74BD">
        <w:rPr>
          <w:rFonts w:ascii="Palatino Linotype" w:hAnsi="Palatino Linotype" w:cs="Arial"/>
        </w:rPr>
        <w:t xml:space="preserve"> específico recaída a una situación específica del Sujeto Obligado, ya que en la solicitud se desprende lo siguiente: “</w:t>
      </w:r>
      <w:r w:rsidR="009C1CD1" w:rsidRPr="007D74BD">
        <w:rPr>
          <w:rFonts w:ascii="Palatino Linotype" w:hAnsi="Palatino Linotype" w:cs="Arial"/>
          <w:i/>
          <w:iCs/>
        </w:rPr>
        <w:t>Por lo anterior, agradeceré presente argumentos y/o pruebas que obren en los archivos de la H. Dirección de Medio Ambiente y Ecología, que motivaron su respuesta</w:t>
      </w:r>
      <w:r w:rsidR="009C1CD1" w:rsidRPr="007D74BD">
        <w:rPr>
          <w:rFonts w:ascii="Palatino Linotype" w:hAnsi="Palatino Linotype" w:cs="Arial"/>
        </w:rPr>
        <w:t>.</w:t>
      </w:r>
      <w:r w:rsidR="00BC4E1D" w:rsidRPr="007D74BD">
        <w:rPr>
          <w:rFonts w:ascii="Palatino Linotype" w:hAnsi="Palatino Linotype" w:cs="Arial"/>
        </w:rPr>
        <w:t>”</w:t>
      </w:r>
      <w:r w:rsidR="009C1CD1" w:rsidRPr="007D74BD">
        <w:rPr>
          <w:rFonts w:ascii="Palatino Linotype" w:hAnsi="Palatino Linotype" w:cs="Arial"/>
        </w:rPr>
        <w:t xml:space="preserve"> Lo anterior nos lleva a colegir que está realizando una consulta, con motivo del Derecho de Petición. </w:t>
      </w:r>
    </w:p>
    <w:p w14:paraId="4BA385E8" w14:textId="77777777" w:rsidR="00EA2560" w:rsidRPr="007D74BD" w:rsidRDefault="00EA2560" w:rsidP="00B341AE">
      <w:pPr>
        <w:autoSpaceDE w:val="0"/>
        <w:autoSpaceDN w:val="0"/>
        <w:adjustRightInd w:val="0"/>
        <w:spacing w:line="360" w:lineRule="auto"/>
        <w:jc w:val="both"/>
        <w:rPr>
          <w:rFonts w:ascii="Palatino Linotype" w:hAnsi="Palatino Linotype" w:cs="Arial"/>
        </w:rPr>
      </w:pPr>
    </w:p>
    <w:p w14:paraId="7CAB43A4" w14:textId="03A0C8E8" w:rsidR="009C1CD1" w:rsidRPr="007D74BD" w:rsidRDefault="00772AF9" w:rsidP="009C1CD1">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T</w:t>
      </w:r>
      <w:r w:rsidR="009C1CD1" w:rsidRPr="007D74BD">
        <w:rPr>
          <w:rFonts w:ascii="Palatino Linotype" w:eastAsiaTheme="minorHAnsi" w:hAnsi="Palatino Linotype" w:cs="Arial"/>
          <w:lang w:val="es-MX" w:eastAsia="en-US"/>
        </w:rPr>
        <w:t xml:space="preserve">oda vez que se desprende no requiere acceso a documentos, que es la materia de la que versa el Acceso a la Información, sino que refiere el pronunciamiento de la Autoridad en sentido de responder, justificar y explicar la interrogante que le </w:t>
      </w:r>
      <w:r w:rsidRPr="007D74BD">
        <w:rPr>
          <w:rFonts w:ascii="Palatino Linotype" w:eastAsiaTheme="minorHAnsi" w:hAnsi="Palatino Linotype" w:cs="Arial"/>
          <w:lang w:val="es-MX" w:eastAsia="en-US"/>
        </w:rPr>
        <w:t>es</w:t>
      </w:r>
      <w:r w:rsidR="009C1CD1" w:rsidRPr="007D74BD">
        <w:rPr>
          <w:rFonts w:ascii="Palatino Linotype" w:eastAsiaTheme="minorHAnsi" w:hAnsi="Palatino Linotype" w:cs="Arial"/>
          <w:lang w:val="es-MX" w:eastAsia="en-US"/>
        </w:rPr>
        <w:t xml:space="preserve"> planteada. </w:t>
      </w:r>
    </w:p>
    <w:p w14:paraId="514EDE0B" w14:textId="77777777" w:rsidR="009C1CD1" w:rsidRPr="007D74BD" w:rsidRDefault="009C1CD1" w:rsidP="009C1CD1">
      <w:pPr>
        <w:spacing w:line="360" w:lineRule="auto"/>
        <w:jc w:val="both"/>
        <w:rPr>
          <w:rFonts w:ascii="Palatino Linotype" w:eastAsiaTheme="minorHAnsi" w:hAnsi="Palatino Linotype" w:cs="Arial"/>
          <w:lang w:val="es-MX" w:eastAsia="en-US"/>
        </w:rPr>
      </w:pPr>
    </w:p>
    <w:p w14:paraId="59A92263" w14:textId="77777777" w:rsidR="009C1CD1" w:rsidRPr="007D74BD" w:rsidRDefault="009C1CD1" w:rsidP="009C1CD1">
      <w:pPr>
        <w:spacing w:line="360" w:lineRule="auto"/>
        <w:ind w:right="141"/>
        <w:jc w:val="both"/>
        <w:rPr>
          <w:rFonts w:ascii="Palatino Linotype" w:hAnsi="Palatino Linotype" w:cs="Arial"/>
          <w:bCs/>
        </w:rPr>
      </w:pPr>
      <w:r w:rsidRPr="007D74BD">
        <w:rPr>
          <w:rFonts w:ascii="Palatino Linotype" w:hAnsi="Palatino Linotype" w:cs="Arial"/>
        </w:rPr>
        <w:t xml:space="preserve">Así que, hay que hacer un énfasis en que </w:t>
      </w:r>
      <w:r w:rsidRPr="007D74BD">
        <w:rPr>
          <w:rFonts w:ascii="Palatino Linotype" w:eastAsia="MS Mincho" w:hAnsi="Palatino Linotype"/>
        </w:rPr>
        <w:t>son solicitudes que deben señalarse</w:t>
      </w:r>
      <w:r w:rsidRPr="007D74BD">
        <w:rPr>
          <w:rFonts w:ascii="Palatino Linotype" w:hAnsi="Palatino Linotype"/>
          <w:i/>
        </w:rPr>
        <w:t xml:space="preserve">, </w:t>
      </w:r>
      <w:r w:rsidRPr="007D74BD">
        <w:rPr>
          <w:rFonts w:ascii="Palatino Linotype" w:hAnsi="Palatino Linotype" w:cs="Arial"/>
        </w:rPr>
        <w:t xml:space="preserve">no constituyen un derecho de acceso a la información pública y por lo tanto </w:t>
      </w:r>
      <w:r w:rsidRPr="007D74BD">
        <w:rPr>
          <w:rFonts w:ascii="Palatino Linotype" w:hAnsi="Palatino Linotype" w:cs="Arial"/>
          <w:b/>
          <w:u w:val="single"/>
        </w:rPr>
        <w:t>no es atendible mediante una solicitud de Acceso a la Información</w:t>
      </w:r>
      <w:r w:rsidRPr="007D74BD">
        <w:rPr>
          <w:rFonts w:ascii="Palatino Linotype" w:hAnsi="Palatino Linotype" w:cs="Arial"/>
        </w:rPr>
        <w:t xml:space="preserve">, porque se tratan de manifestaciones subjetivas vertidas por el particular, </w:t>
      </w:r>
      <w:r w:rsidRPr="007D74BD">
        <w:rPr>
          <w:rFonts w:ascii="Palatino Linotype" w:hAnsi="Palatino Linotype" w:cs="Arial"/>
          <w:b/>
        </w:rPr>
        <w:t>interrogantes</w:t>
      </w:r>
      <w:r w:rsidRPr="007D74BD">
        <w:rPr>
          <w:rFonts w:ascii="Palatino Linotype" w:hAnsi="Palatino Linotype" w:cs="Arial"/>
        </w:rPr>
        <w:t xml:space="preserve"> y declaraciones que no se colman con la entrega de documentos, situación que conlleva a afirmar que se está en presencia del ejercicio del </w:t>
      </w:r>
      <w:r w:rsidRPr="007D74BD">
        <w:rPr>
          <w:rFonts w:ascii="Palatino Linotype" w:hAnsi="Palatino Linotype" w:cs="Arial"/>
          <w:b/>
          <w:u w:val="single"/>
        </w:rPr>
        <w:t>DERECHO DE PETICIÓN</w:t>
      </w:r>
      <w:r w:rsidRPr="007D74BD">
        <w:rPr>
          <w:rFonts w:ascii="Palatino Linotype" w:hAnsi="Palatino Linotype" w:cs="Arial"/>
        </w:rPr>
        <w:t>.</w:t>
      </w:r>
    </w:p>
    <w:p w14:paraId="48991A5D" w14:textId="77777777" w:rsidR="009C1CD1" w:rsidRPr="007D74BD" w:rsidRDefault="009C1CD1" w:rsidP="009C1CD1">
      <w:pPr>
        <w:spacing w:line="360" w:lineRule="auto"/>
        <w:jc w:val="both"/>
        <w:rPr>
          <w:rFonts w:ascii="Palatino Linotype" w:hAnsi="Palatino Linotype"/>
          <w:sz w:val="22"/>
          <w:szCs w:val="22"/>
        </w:rPr>
      </w:pPr>
    </w:p>
    <w:p w14:paraId="349538EE" w14:textId="77777777" w:rsidR="009C1CD1" w:rsidRPr="007D74BD" w:rsidRDefault="009C1CD1" w:rsidP="009C1CD1">
      <w:pPr>
        <w:spacing w:line="360" w:lineRule="auto"/>
        <w:ind w:right="141"/>
        <w:jc w:val="both"/>
        <w:rPr>
          <w:rFonts w:ascii="Palatino Linotype" w:hAnsi="Palatino Linotype" w:cs="Arial"/>
        </w:rPr>
      </w:pPr>
      <w:r w:rsidRPr="007D74BD">
        <w:rPr>
          <w:rFonts w:ascii="Palatino Linotype" w:hAnsi="Palatino Linotype" w:cs="Arial"/>
        </w:rPr>
        <w:t xml:space="preserve">Por lo que la entrega de una razón o un razonamiento por parte del </w:t>
      </w:r>
      <w:r w:rsidRPr="007D74BD">
        <w:rPr>
          <w:rFonts w:ascii="Palatino Linotype" w:hAnsi="Palatino Linotype" w:cs="Arial"/>
          <w:b/>
        </w:rPr>
        <w:t>Sujeto Obligado</w:t>
      </w:r>
      <w:r w:rsidRPr="007D74BD">
        <w:rPr>
          <w:rFonts w:ascii="Palatino Linotype" w:hAnsi="Palatino Linotype" w:cs="Arial"/>
        </w:rPr>
        <w:t xml:space="preserve"> no es algo que la ley establezca como atribución, derecho, o facultad; pues ello implicaría un juicio de valor referente a </w:t>
      </w:r>
      <w:r w:rsidRPr="007D74BD">
        <w:rPr>
          <w:rFonts w:ascii="Palatino Linotype" w:hAnsi="Palatino Linotype" w:cs="Arial"/>
          <w:b/>
          <w:u w:val="single"/>
        </w:rPr>
        <w:t>un cuestionamiento</w:t>
      </w:r>
      <w:r w:rsidRPr="007D74BD">
        <w:rPr>
          <w:rFonts w:ascii="Palatino Linotype" w:hAnsi="Palatino Linotype" w:cs="Arial"/>
        </w:rPr>
        <w:t xml:space="preserve"> realizado, los cuales, </w:t>
      </w:r>
      <w:r w:rsidRPr="007D74BD">
        <w:rPr>
          <w:rFonts w:ascii="Palatino Linotype" w:hAnsi="Palatino Linotype" w:cs="Arial"/>
          <w:b/>
          <w:u w:val="single"/>
        </w:rPr>
        <w:t xml:space="preserve">al </w:t>
      </w:r>
      <w:r w:rsidRPr="007D74BD">
        <w:rPr>
          <w:rFonts w:ascii="Palatino Linotype" w:hAnsi="Palatino Linotype" w:cs="Arial"/>
          <w:b/>
          <w:u w:val="single"/>
        </w:rPr>
        <w:lastRenderedPageBreak/>
        <w:t>constituir interrogantes</w:t>
      </w:r>
      <w:r w:rsidRPr="007D74BD">
        <w:rPr>
          <w:rFonts w:ascii="Palatino Linotype" w:hAnsi="Palatino Linotype" w:cs="Arial"/>
        </w:rPr>
        <w:t xml:space="preserve">, </w:t>
      </w:r>
      <w:r w:rsidRPr="007D74BD">
        <w:rPr>
          <w:rFonts w:ascii="Palatino Linotype" w:hAnsi="Palatino Linotype" w:cs="Arial"/>
          <w:b/>
          <w:u w:val="single"/>
        </w:rPr>
        <w:t>inquietudes</w:t>
      </w:r>
      <w:r w:rsidRPr="007D74BD">
        <w:rPr>
          <w:rFonts w:ascii="Palatino Linotype" w:hAnsi="Palatino Linotype" w:cs="Arial"/>
        </w:rPr>
        <w:t xml:space="preserve"> y manifestaciones se satisfacen vía derecho de petición.</w:t>
      </w:r>
    </w:p>
    <w:p w14:paraId="5BB5BF74" w14:textId="77777777" w:rsidR="009C1CD1" w:rsidRPr="007D74BD" w:rsidRDefault="009C1CD1" w:rsidP="009C1CD1">
      <w:pPr>
        <w:spacing w:line="360" w:lineRule="auto"/>
        <w:jc w:val="both"/>
        <w:rPr>
          <w:rFonts w:ascii="Palatino Linotype" w:hAnsi="Palatino Linotype" w:cs="Arial"/>
        </w:rPr>
      </w:pPr>
      <w:r w:rsidRPr="007D74BD">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667E996F" w14:textId="77777777" w:rsidR="009C1CD1" w:rsidRPr="007D74BD" w:rsidRDefault="009C1CD1" w:rsidP="009C1CD1">
      <w:pPr>
        <w:spacing w:line="360" w:lineRule="auto"/>
        <w:jc w:val="both"/>
        <w:rPr>
          <w:rFonts w:ascii="Palatino Linotype" w:hAnsi="Palatino Linotype" w:cs="Arial"/>
        </w:rPr>
      </w:pPr>
    </w:p>
    <w:p w14:paraId="21D11E6D" w14:textId="77777777" w:rsidR="009C1CD1" w:rsidRPr="007D74BD" w:rsidRDefault="009C1CD1" w:rsidP="009C1CD1">
      <w:pPr>
        <w:spacing w:line="360" w:lineRule="auto"/>
        <w:jc w:val="both"/>
        <w:rPr>
          <w:rFonts w:ascii="Palatino Linotype" w:hAnsi="Palatino Linotype" w:cs="Arial"/>
        </w:rPr>
      </w:pPr>
      <w:r w:rsidRPr="007D74BD">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7D74BD">
        <w:rPr>
          <w:rFonts w:ascii="Palatino Linotype" w:hAnsi="Palatino Linotype" w:cs="Arial"/>
          <w:b/>
        </w:rPr>
        <w:t>cualquier otro registro que documente el ejercicio de las facultades, funciones y competencias de los Sujetos Obligados</w:t>
      </w:r>
      <w:r w:rsidRPr="007D74BD">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6E891309" w14:textId="77777777" w:rsidR="009C1CD1" w:rsidRPr="007D74BD" w:rsidRDefault="009C1CD1" w:rsidP="009C1CD1">
      <w:pPr>
        <w:spacing w:line="360" w:lineRule="auto"/>
        <w:jc w:val="both"/>
        <w:rPr>
          <w:rFonts w:ascii="Palatino Linotype" w:hAnsi="Palatino Linotype" w:cs="Arial"/>
        </w:rPr>
      </w:pPr>
    </w:p>
    <w:p w14:paraId="1BAC3F80" w14:textId="77777777" w:rsidR="009C1CD1" w:rsidRPr="007D74BD" w:rsidRDefault="009C1CD1" w:rsidP="009C1CD1">
      <w:pPr>
        <w:spacing w:line="360" w:lineRule="auto"/>
        <w:ind w:right="49"/>
        <w:jc w:val="both"/>
        <w:rPr>
          <w:rFonts w:ascii="Palatino Linotype" w:hAnsi="Palatino Linotype" w:cs="Arial"/>
          <w:b/>
          <w:u w:val="single"/>
        </w:rPr>
      </w:pPr>
      <w:r w:rsidRPr="007D74BD">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7D74BD">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7D74BD">
        <w:rPr>
          <w:rFonts w:ascii="Palatino Linotype" w:hAnsi="Palatino Linotype" w:cs="Arial"/>
          <w:bCs/>
          <w:lang w:eastAsia="es-CO"/>
        </w:rPr>
        <w:t xml:space="preserve">segundo supuesto </w:t>
      </w:r>
      <w:r w:rsidRPr="007D74BD">
        <w:rPr>
          <w:rFonts w:ascii="Palatino Linotype" w:hAnsi="Palatino Linotype" w:cs="Arial"/>
          <w:b/>
          <w:bCs/>
          <w:u w:val="single"/>
          <w:lang w:eastAsia="es-CO"/>
        </w:rPr>
        <w:t>la solicitud de acceso a la información pública se encamina primordialmente a</w:t>
      </w:r>
      <w:r w:rsidRPr="007D74BD">
        <w:rPr>
          <w:rFonts w:ascii="Palatino Linotype" w:hAnsi="Palatino Linotype" w:cs="Arial"/>
          <w:b/>
          <w:u w:val="single"/>
        </w:rPr>
        <w:t xml:space="preserve"> permitir el </w:t>
      </w:r>
      <w:r w:rsidRPr="007D74BD">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7D74BD">
        <w:rPr>
          <w:rFonts w:ascii="Palatino Linotype" w:hAnsi="Palatino Linotype" w:cs="Arial"/>
          <w:b/>
          <w:u w:val="single"/>
        </w:rPr>
        <w:t>la autoridad.</w:t>
      </w:r>
    </w:p>
    <w:p w14:paraId="3A0CD576" w14:textId="77777777" w:rsidR="009C1CD1" w:rsidRPr="007D74BD" w:rsidRDefault="009C1CD1" w:rsidP="009C1CD1">
      <w:pPr>
        <w:spacing w:line="360" w:lineRule="auto"/>
        <w:ind w:right="49"/>
        <w:jc w:val="both"/>
        <w:rPr>
          <w:rFonts w:ascii="Palatino Linotype" w:eastAsiaTheme="minorHAnsi" w:hAnsi="Palatino Linotype" w:cstheme="minorBidi"/>
          <w:lang w:val="es-MX" w:eastAsia="es-MX"/>
        </w:rPr>
      </w:pPr>
    </w:p>
    <w:p w14:paraId="1965E00B" w14:textId="77777777" w:rsidR="009C1CD1" w:rsidRPr="007D74BD" w:rsidRDefault="009C1CD1" w:rsidP="009C1CD1">
      <w:pPr>
        <w:shd w:val="clear" w:color="auto" w:fill="FFFFFF"/>
        <w:spacing w:after="160" w:line="360" w:lineRule="auto"/>
        <w:jc w:val="both"/>
        <w:rPr>
          <w:rFonts w:ascii="Palatino Linotype" w:hAnsi="Palatino Linotype"/>
          <w:color w:val="222222"/>
        </w:rPr>
      </w:pPr>
      <w:r w:rsidRPr="007D74BD">
        <w:rPr>
          <w:rFonts w:ascii="Palatino Linotype" w:eastAsiaTheme="minorHAnsi" w:hAnsi="Palatino Linotype" w:cs="Arial"/>
          <w:lang w:val="es-MX" w:eastAsia="en-US"/>
        </w:rPr>
        <w:lastRenderedPageBreak/>
        <w:t xml:space="preserve">Por otra vertiente, </w:t>
      </w:r>
      <w:r w:rsidRPr="007D74BD">
        <w:rPr>
          <w:rFonts w:ascii="Palatino Linotype" w:hAnsi="Palatino Linotype"/>
          <w:color w:val="222222"/>
        </w:rPr>
        <w:t>debe dejarse claro que al haber existido un pronunciamiento por parte del </w:t>
      </w:r>
      <w:r w:rsidRPr="007D74BD">
        <w:rPr>
          <w:rFonts w:ascii="Palatino Linotype" w:hAnsi="Palatino Linotype"/>
          <w:b/>
          <w:bCs/>
          <w:color w:val="222222"/>
        </w:rPr>
        <w:t>Sujeto Obligado</w:t>
      </w:r>
      <w:r w:rsidRPr="007D74BD">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7450C71B" w14:textId="77777777" w:rsidR="009C1CD1" w:rsidRPr="007D74BD" w:rsidRDefault="009C1CD1" w:rsidP="009C1CD1">
      <w:pPr>
        <w:rPr>
          <w:lang w:val="es-MX"/>
        </w:rPr>
      </w:pPr>
    </w:p>
    <w:p w14:paraId="59F35117" w14:textId="77777777" w:rsidR="009C1CD1" w:rsidRPr="007D74BD" w:rsidRDefault="009C1CD1" w:rsidP="009C1CD1">
      <w:pPr>
        <w:shd w:val="clear" w:color="auto" w:fill="FFFFFF"/>
        <w:spacing w:line="221" w:lineRule="atLeast"/>
        <w:ind w:left="851" w:right="1276"/>
        <w:jc w:val="both"/>
        <w:rPr>
          <w:color w:val="222222"/>
          <w:sz w:val="22"/>
        </w:rPr>
      </w:pPr>
      <w:r w:rsidRPr="007D74BD">
        <w:rPr>
          <w:rFonts w:ascii="Palatino Linotype" w:hAnsi="Palatino Linotype"/>
          <w:i/>
          <w:iCs/>
          <w:color w:val="222222"/>
          <w:sz w:val="22"/>
        </w:rPr>
        <w:t>“</w:t>
      </w:r>
      <w:r w:rsidRPr="007D74BD">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7D74BD">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67AC9FA" w14:textId="77777777" w:rsidR="009C1CD1" w:rsidRPr="007D74BD" w:rsidRDefault="009C1CD1" w:rsidP="009C1CD1">
      <w:pPr>
        <w:spacing w:line="360" w:lineRule="auto"/>
        <w:jc w:val="both"/>
        <w:rPr>
          <w:rFonts w:ascii="Palatino Linotype" w:eastAsia="MS Mincho" w:hAnsi="Palatino Linotype" w:cs="Arial"/>
          <w:sz w:val="22"/>
          <w:szCs w:val="22"/>
          <w:lang w:val="es-MX"/>
        </w:rPr>
      </w:pPr>
    </w:p>
    <w:p w14:paraId="0FA367DF" w14:textId="77777777" w:rsidR="009C1CD1" w:rsidRPr="007D74BD" w:rsidRDefault="009C1CD1" w:rsidP="009C1CD1">
      <w:pPr>
        <w:autoSpaceDE w:val="0"/>
        <w:autoSpaceDN w:val="0"/>
        <w:adjustRightInd w:val="0"/>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Hasta lo aquí expuesto, se advierte que se actualiza la hipótesis prevista en el artículo 191, fracción VI, de la Ley de Transparencia y Acceso a la Información Pública del Estado de México y Municipios en vigor, que a la letra establece lo siguiente:</w:t>
      </w:r>
    </w:p>
    <w:p w14:paraId="0AD486A5" w14:textId="77777777" w:rsidR="009C1CD1" w:rsidRPr="007D74BD" w:rsidRDefault="009C1CD1" w:rsidP="009C1CD1">
      <w:pPr>
        <w:autoSpaceDE w:val="0"/>
        <w:autoSpaceDN w:val="0"/>
        <w:adjustRightInd w:val="0"/>
        <w:spacing w:line="360" w:lineRule="auto"/>
        <w:jc w:val="both"/>
        <w:rPr>
          <w:rFonts w:ascii="Palatino Linotype" w:eastAsiaTheme="minorHAnsi" w:hAnsi="Palatino Linotype" w:cs="Arial"/>
          <w:lang w:val="es-MX" w:eastAsia="en-US"/>
        </w:rPr>
      </w:pPr>
    </w:p>
    <w:p w14:paraId="163E1700" w14:textId="77777777" w:rsidR="009C1CD1" w:rsidRPr="007D74BD" w:rsidRDefault="009C1CD1" w:rsidP="009C1CD1">
      <w:pPr>
        <w:autoSpaceDE w:val="0"/>
        <w:autoSpaceDN w:val="0"/>
        <w:adjustRightInd w:val="0"/>
        <w:ind w:left="567" w:right="616"/>
        <w:jc w:val="both"/>
        <w:rPr>
          <w:rFonts w:ascii="Palatino Linotype" w:eastAsiaTheme="minorHAnsi" w:hAnsi="Palatino Linotype" w:cs="Arial"/>
          <w:i/>
          <w:sz w:val="22"/>
          <w:lang w:val="es-MX" w:eastAsia="en-US"/>
        </w:rPr>
      </w:pPr>
      <w:r w:rsidRPr="007D74BD">
        <w:rPr>
          <w:rFonts w:ascii="Palatino Linotype" w:eastAsiaTheme="minorHAnsi" w:hAnsi="Palatino Linotype" w:cs="Arial"/>
          <w:i/>
          <w:sz w:val="22"/>
          <w:lang w:val="es-MX" w:eastAsia="en-US"/>
        </w:rPr>
        <w:t>“</w:t>
      </w:r>
      <w:r w:rsidRPr="007D74BD">
        <w:rPr>
          <w:rFonts w:ascii="Palatino Linotype" w:eastAsiaTheme="minorHAnsi" w:hAnsi="Palatino Linotype" w:cs="Arial"/>
          <w:b/>
          <w:i/>
          <w:sz w:val="22"/>
          <w:lang w:val="es-MX" w:eastAsia="en-US"/>
        </w:rPr>
        <w:t>Artículo 191</w:t>
      </w:r>
      <w:r w:rsidRPr="007D74BD">
        <w:rPr>
          <w:rFonts w:ascii="Palatino Linotype" w:eastAsiaTheme="minorHAnsi" w:hAnsi="Palatino Linotype" w:cs="Arial"/>
          <w:i/>
          <w:sz w:val="22"/>
          <w:lang w:val="es-MX" w:eastAsia="en-US"/>
        </w:rPr>
        <w:t>. El recurso será desechado por improcedente cuando:</w:t>
      </w:r>
    </w:p>
    <w:p w14:paraId="6705112C" w14:textId="77777777" w:rsidR="009C1CD1" w:rsidRPr="007D74BD" w:rsidRDefault="009C1CD1" w:rsidP="009C1CD1">
      <w:pPr>
        <w:autoSpaceDE w:val="0"/>
        <w:autoSpaceDN w:val="0"/>
        <w:adjustRightInd w:val="0"/>
        <w:ind w:left="567" w:right="616"/>
        <w:jc w:val="both"/>
        <w:rPr>
          <w:rFonts w:ascii="Palatino Linotype" w:eastAsiaTheme="minorHAnsi" w:hAnsi="Palatino Linotype" w:cs="Arial"/>
          <w:i/>
          <w:sz w:val="22"/>
          <w:lang w:val="es-MX" w:eastAsia="en-US"/>
        </w:rPr>
      </w:pPr>
      <w:r w:rsidRPr="007D74BD">
        <w:rPr>
          <w:rFonts w:ascii="Palatino Linotype" w:eastAsiaTheme="minorHAnsi" w:hAnsi="Palatino Linotype" w:cs="Arial"/>
          <w:i/>
          <w:sz w:val="22"/>
          <w:lang w:val="es-MX" w:eastAsia="en-US"/>
        </w:rPr>
        <w:t>(…)</w:t>
      </w:r>
    </w:p>
    <w:p w14:paraId="4870AB56" w14:textId="77777777" w:rsidR="009C1CD1" w:rsidRPr="007D74BD" w:rsidRDefault="009C1CD1" w:rsidP="009C1CD1">
      <w:pPr>
        <w:autoSpaceDE w:val="0"/>
        <w:autoSpaceDN w:val="0"/>
        <w:adjustRightInd w:val="0"/>
        <w:ind w:left="567" w:right="616"/>
        <w:jc w:val="both"/>
        <w:rPr>
          <w:rFonts w:ascii="Palatino Linotype" w:eastAsiaTheme="minorHAnsi" w:hAnsi="Palatino Linotype" w:cs="Arial"/>
          <w:b/>
          <w:i/>
          <w:sz w:val="22"/>
          <w:lang w:val="es-MX" w:eastAsia="en-US"/>
        </w:rPr>
      </w:pPr>
      <w:r w:rsidRPr="007D74BD">
        <w:rPr>
          <w:rFonts w:ascii="Palatino Linotype" w:eastAsiaTheme="minorHAnsi" w:hAnsi="Palatino Linotype" w:cs="Arial"/>
          <w:b/>
          <w:i/>
          <w:sz w:val="22"/>
          <w:lang w:val="es-MX" w:eastAsia="en-US"/>
        </w:rPr>
        <w:t xml:space="preserve">VI. </w:t>
      </w:r>
      <w:r w:rsidRPr="007D74BD">
        <w:rPr>
          <w:rFonts w:ascii="Palatino Linotype" w:eastAsiaTheme="minorHAnsi" w:hAnsi="Palatino Linotype" w:cs="Arial"/>
          <w:bCs/>
          <w:i/>
          <w:sz w:val="22"/>
          <w:u w:val="single"/>
          <w:lang w:val="es-MX" w:eastAsia="en-US"/>
        </w:rPr>
        <w:t>Se trate de una consulta, o trámite en específico; y;</w:t>
      </w:r>
      <w:r w:rsidRPr="007D74BD">
        <w:rPr>
          <w:rFonts w:ascii="Palatino Linotype" w:eastAsiaTheme="minorHAnsi" w:hAnsi="Palatino Linotype" w:cs="Arial"/>
          <w:b/>
          <w:i/>
          <w:sz w:val="22"/>
          <w:lang w:val="es-MX" w:eastAsia="en-US"/>
        </w:rPr>
        <w:t xml:space="preserve"> </w:t>
      </w:r>
    </w:p>
    <w:p w14:paraId="2569E0BB" w14:textId="77777777" w:rsidR="009C1CD1" w:rsidRPr="007D74BD" w:rsidRDefault="009C1CD1" w:rsidP="009C1CD1">
      <w:pPr>
        <w:autoSpaceDE w:val="0"/>
        <w:autoSpaceDN w:val="0"/>
        <w:adjustRightInd w:val="0"/>
        <w:ind w:left="567" w:right="616"/>
        <w:jc w:val="both"/>
        <w:rPr>
          <w:rFonts w:ascii="Palatino Linotype" w:eastAsiaTheme="minorHAnsi" w:hAnsi="Palatino Linotype" w:cs="Arial"/>
          <w:i/>
          <w:sz w:val="22"/>
          <w:lang w:val="es-MX" w:eastAsia="en-US"/>
        </w:rPr>
      </w:pPr>
      <w:r w:rsidRPr="007D74BD">
        <w:rPr>
          <w:rFonts w:ascii="Palatino Linotype" w:eastAsiaTheme="minorHAnsi" w:hAnsi="Palatino Linotype" w:cs="Arial"/>
          <w:i/>
          <w:sz w:val="22"/>
          <w:lang w:val="es-MX" w:eastAsia="en-US"/>
        </w:rPr>
        <w:t>(…)</w:t>
      </w:r>
    </w:p>
    <w:p w14:paraId="69DF1B48" w14:textId="77777777" w:rsidR="009C1CD1" w:rsidRPr="007D74BD" w:rsidRDefault="009C1CD1" w:rsidP="009C1CD1">
      <w:pPr>
        <w:autoSpaceDE w:val="0"/>
        <w:autoSpaceDN w:val="0"/>
        <w:adjustRightInd w:val="0"/>
        <w:spacing w:line="360" w:lineRule="auto"/>
        <w:jc w:val="both"/>
        <w:rPr>
          <w:rFonts w:ascii="Palatino Linotype" w:eastAsiaTheme="minorHAnsi" w:hAnsi="Palatino Linotype" w:cs="Arial"/>
          <w:szCs w:val="22"/>
          <w:lang w:val="es-MX" w:eastAsia="en-US"/>
        </w:rPr>
      </w:pPr>
    </w:p>
    <w:p w14:paraId="2F267F96" w14:textId="77777777" w:rsidR="009C1CD1" w:rsidRPr="007D74BD" w:rsidRDefault="009C1CD1" w:rsidP="009C1CD1">
      <w:pPr>
        <w:autoSpaceDE w:val="0"/>
        <w:autoSpaceDN w:val="0"/>
        <w:adjustRightInd w:val="0"/>
        <w:spacing w:line="360" w:lineRule="auto"/>
        <w:jc w:val="both"/>
        <w:rPr>
          <w:rFonts w:ascii="Palatino Linotype" w:hAnsi="Palatino Linotype" w:cs="Arial"/>
        </w:rPr>
      </w:pPr>
      <w:r w:rsidRPr="007D74BD">
        <w:rPr>
          <w:rFonts w:ascii="Palatino Linotype" w:eastAsiaTheme="minorHAnsi" w:hAnsi="Palatino Linotype" w:cs="Arial"/>
          <w:szCs w:val="22"/>
          <w:lang w:val="es-MX" w:eastAsia="en-US"/>
        </w:rPr>
        <w:lastRenderedPageBreak/>
        <w:t xml:space="preserve">En conclusión, la ley de la materia establece </w:t>
      </w:r>
      <w:r w:rsidRPr="007D74BD">
        <w:rPr>
          <w:rFonts w:ascii="Palatino Linotype" w:hAnsi="Palatino Linotype" w:cs="Arial"/>
        </w:rPr>
        <w:t>en la fracción IV, del artículo 192, de la Ley de Transparencia vigente en la entidad, que a la letra establecen:</w:t>
      </w:r>
    </w:p>
    <w:p w14:paraId="72F95C94" w14:textId="77777777" w:rsidR="009C1CD1" w:rsidRPr="007D74BD" w:rsidRDefault="009C1CD1" w:rsidP="009C1CD1">
      <w:pPr>
        <w:autoSpaceDE w:val="0"/>
        <w:autoSpaceDN w:val="0"/>
        <w:adjustRightInd w:val="0"/>
        <w:spacing w:line="360" w:lineRule="auto"/>
        <w:jc w:val="both"/>
        <w:rPr>
          <w:rFonts w:ascii="Palatino Linotype" w:hAnsi="Palatino Linotype" w:cs="Arial"/>
        </w:rPr>
      </w:pPr>
    </w:p>
    <w:p w14:paraId="636197B8" w14:textId="77777777" w:rsidR="009C1CD1" w:rsidRPr="007D74BD" w:rsidRDefault="009C1CD1" w:rsidP="009C1CD1">
      <w:pPr>
        <w:autoSpaceDE w:val="0"/>
        <w:autoSpaceDN w:val="0"/>
        <w:adjustRightInd w:val="0"/>
        <w:ind w:left="708"/>
        <w:jc w:val="both"/>
        <w:rPr>
          <w:rFonts w:ascii="Palatino Linotype" w:hAnsi="Palatino Linotype"/>
          <w:i/>
          <w:sz w:val="22"/>
        </w:rPr>
      </w:pPr>
      <w:r w:rsidRPr="007D74BD">
        <w:rPr>
          <w:rFonts w:ascii="Palatino Linotype" w:hAnsi="Palatino Linotype"/>
          <w:i/>
          <w:sz w:val="22"/>
        </w:rPr>
        <w:t>“</w:t>
      </w:r>
      <w:r w:rsidRPr="007D74BD">
        <w:rPr>
          <w:rFonts w:ascii="Palatino Linotype" w:hAnsi="Palatino Linotype"/>
          <w:b/>
          <w:i/>
          <w:sz w:val="22"/>
        </w:rPr>
        <w:t xml:space="preserve">Artículo 192. </w:t>
      </w:r>
      <w:r w:rsidRPr="007D74BD">
        <w:rPr>
          <w:rFonts w:ascii="Palatino Linotype" w:hAnsi="Palatino Linotype"/>
          <w:b/>
          <w:i/>
          <w:sz w:val="22"/>
          <w:u w:val="single"/>
        </w:rPr>
        <w:t>El recurso será sobreseído, en todo o en parte, cuando una vez admitido, se actualicen alguno de los siguientes supuestos</w:t>
      </w:r>
      <w:r w:rsidRPr="007D74BD">
        <w:rPr>
          <w:rFonts w:ascii="Palatino Linotype" w:hAnsi="Palatino Linotype"/>
          <w:i/>
          <w:sz w:val="22"/>
        </w:rPr>
        <w:t>:</w:t>
      </w:r>
    </w:p>
    <w:p w14:paraId="320654B9" w14:textId="77777777" w:rsidR="009C1CD1" w:rsidRPr="007D74BD" w:rsidRDefault="009C1CD1" w:rsidP="009C1CD1">
      <w:pPr>
        <w:autoSpaceDE w:val="0"/>
        <w:autoSpaceDN w:val="0"/>
        <w:adjustRightInd w:val="0"/>
        <w:ind w:left="708"/>
        <w:jc w:val="both"/>
        <w:rPr>
          <w:rFonts w:ascii="Palatino Linotype" w:hAnsi="Palatino Linotype"/>
          <w:i/>
          <w:sz w:val="22"/>
        </w:rPr>
      </w:pPr>
    </w:p>
    <w:p w14:paraId="37ECFFBF" w14:textId="77777777" w:rsidR="009C1CD1" w:rsidRPr="007D74BD" w:rsidRDefault="009C1CD1" w:rsidP="009C1CD1">
      <w:pPr>
        <w:numPr>
          <w:ilvl w:val="0"/>
          <w:numId w:val="19"/>
        </w:numPr>
        <w:autoSpaceDE w:val="0"/>
        <w:autoSpaceDN w:val="0"/>
        <w:adjustRightInd w:val="0"/>
        <w:spacing w:after="160" w:line="256" w:lineRule="auto"/>
        <w:jc w:val="both"/>
        <w:rPr>
          <w:rFonts w:ascii="Palatino Linotype" w:hAnsi="Palatino Linotype"/>
          <w:i/>
          <w:sz w:val="22"/>
        </w:rPr>
      </w:pPr>
      <w:r w:rsidRPr="007D74BD">
        <w:rPr>
          <w:rFonts w:ascii="Palatino Linotype" w:hAnsi="Palatino Linotype"/>
          <w:i/>
          <w:sz w:val="22"/>
        </w:rPr>
        <w:t xml:space="preserve">El recurrente se desista expresamente del recurso; </w:t>
      </w:r>
    </w:p>
    <w:p w14:paraId="1A1C0141" w14:textId="77777777" w:rsidR="009C1CD1" w:rsidRPr="007D74BD" w:rsidRDefault="009C1CD1" w:rsidP="009C1CD1">
      <w:pPr>
        <w:numPr>
          <w:ilvl w:val="0"/>
          <w:numId w:val="19"/>
        </w:numPr>
        <w:autoSpaceDE w:val="0"/>
        <w:autoSpaceDN w:val="0"/>
        <w:adjustRightInd w:val="0"/>
        <w:spacing w:after="160" w:line="256" w:lineRule="auto"/>
        <w:jc w:val="both"/>
        <w:rPr>
          <w:rFonts w:ascii="Palatino Linotype" w:hAnsi="Palatino Linotype" w:cs="Arial"/>
          <w:i/>
          <w:sz w:val="22"/>
        </w:rPr>
      </w:pPr>
      <w:r w:rsidRPr="007D74BD">
        <w:rPr>
          <w:rFonts w:ascii="Palatino Linotype" w:hAnsi="Palatino Linotype"/>
          <w:i/>
          <w:sz w:val="22"/>
        </w:rPr>
        <w:t xml:space="preserve">El recurrente fallezca o, tratándose de personas jurídicas colectivas, se disuelva; </w:t>
      </w:r>
    </w:p>
    <w:p w14:paraId="3F68DD4D" w14:textId="77777777" w:rsidR="009C1CD1" w:rsidRPr="007D74BD" w:rsidRDefault="009C1CD1" w:rsidP="009C1CD1">
      <w:pPr>
        <w:numPr>
          <w:ilvl w:val="0"/>
          <w:numId w:val="19"/>
        </w:numPr>
        <w:autoSpaceDE w:val="0"/>
        <w:autoSpaceDN w:val="0"/>
        <w:adjustRightInd w:val="0"/>
        <w:spacing w:after="160" w:line="256" w:lineRule="auto"/>
        <w:jc w:val="both"/>
        <w:rPr>
          <w:rFonts w:ascii="Palatino Linotype" w:hAnsi="Palatino Linotype" w:cs="Arial"/>
          <w:i/>
          <w:sz w:val="22"/>
        </w:rPr>
      </w:pPr>
      <w:r w:rsidRPr="007D74BD">
        <w:rPr>
          <w:rFonts w:ascii="Palatino Linotype" w:hAnsi="Palatino Linotype"/>
          <w:i/>
          <w:sz w:val="22"/>
        </w:rPr>
        <w:t xml:space="preserve">El sujeto obligado responsable del acto lo modifique o revoque de tal manera que el recurso de revisión quede sin materia; </w:t>
      </w:r>
    </w:p>
    <w:p w14:paraId="34FE9FC6" w14:textId="77777777" w:rsidR="009C1CD1" w:rsidRPr="007D74BD" w:rsidRDefault="009C1CD1" w:rsidP="009C1CD1">
      <w:pPr>
        <w:numPr>
          <w:ilvl w:val="0"/>
          <w:numId w:val="19"/>
        </w:numPr>
        <w:autoSpaceDE w:val="0"/>
        <w:autoSpaceDN w:val="0"/>
        <w:adjustRightInd w:val="0"/>
        <w:spacing w:after="160" w:line="256" w:lineRule="auto"/>
        <w:jc w:val="both"/>
        <w:rPr>
          <w:rFonts w:ascii="Palatino Linotype" w:hAnsi="Palatino Linotype" w:cs="Arial"/>
          <w:i/>
          <w:sz w:val="22"/>
        </w:rPr>
      </w:pPr>
      <w:r w:rsidRPr="007D74BD">
        <w:rPr>
          <w:rFonts w:ascii="Palatino Linotype" w:hAnsi="Palatino Linotype"/>
          <w:b/>
          <w:i/>
          <w:sz w:val="22"/>
          <w:u w:val="single"/>
        </w:rPr>
        <w:t>Admitido el recurso de revisión, aparezca alguna causal de improcedencia en los términos de la presente Ley</w:t>
      </w:r>
      <w:r w:rsidRPr="007D74BD">
        <w:rPr>
          <w:rFonts w:ascii="Palatino Linotype" w:hAnsi="Palatino Linotype"/>
          <w:i/>
          <w:sz w:val="22"/>
        </w:rPr>
        <w:t xml:space="preserve">; y </w:t>
      </w:r>
    </w:p>
    <w:p w14:paraId="27444FBD" w14:textId="77777777" w:rsidR="009C1CD1" w:rsidRPr="007D74BD" w:rsidRDefault="009C1CD1" w:rsidP="009C1CD1">
      <w:pPr>
        <w:numPr>
          <w:ilvl w:val="0"/>
          <w:numId w:val="19"/>
        </w:numPr>
        <w:autoSpaceDE w:val="0"/>
        <w:autoSpaceDN w:val="0"/>
        <w:adjustRightInd w:val="0"/>
        <w:spacing w:after="160" w:line="256" w:lineRule="auto"/>
        <w:jc w:val="both"/>
        <w:rPr>
          <w:rFonts w:ascii="Palatino Linotype" w:hAnsi="Palatino Linotype" w:cs="Arial"/>
          <w:i/>
          <w:sz w:val="22"/>
        </w:rPr>
      </w:pPr>
      <w:r w:rsidRPr="007D74BD">
        <w:rPr>
          <w:rFonts w:ascii="Palatino Linotype" w:hAnsi="Palatino Linotype"/>
          <w:i/>
          <w:sz w:val="22"/>
        </w:rPr>
        <w:t>Cuando por cualquier motivo quede sin materia el recurso.”</w:t>
      </w:r>
    </w:p>
    <w:p w14:paraId="02B3D337" w14:textId="77777777" w:rsidR="009C1CD1" w:rsidRPr="007D74BD" w:rsidRDefault="009C1CD1" w:rsidP="009C1CD1">
      <w:pPr>
        <w:autoSpaceDE w:val="0"/>
        <w:autoSpaceDN w:val="0"/>
        <w:adjustRightInd w:val="0"/>
        <w:ind w:left="1488"/>
        <w:jc w:val="both"/>
        <w:rPr>
          <w:rFonts w:ascii="Palatino Linotype" w:hAnsi="Palatino Linotype" w:cs="Arial"/>
          <w:i/>
          <w:sz w:val="14"/>
        </w:rPr>
      </w:pPr>
    </w:p>
    <w:p w14:paraId="47BA9862" w14:textId="77777777" w:rsidR="009C1CD1" w:rsidRPr="007D74BD" w:rsidRDefault="009C1CD1" w:rsidP="009C1CD1">
      <w:pPr>
        <w:autoSpaceDE w:val="0"/>
        <w:autoSpaceDN w:val="0"/>
        <w:adjustRightInd w:val="0"/>
        <w:spacing w:line="360" w:lineRule="auto"/>
        <w:jc w:val="both"/>
        <w:rPr>
          <w:rFonts w:ascii="Palatino Linotype" w:hAnsi="Palatino Linotype"/>
          <w:sz w:val="14"/>
        </w:rPr>
      </w:pPr>
    </w:p>
    <w:p w14:paraId="5C74B24E" w14:textId="77777777" w:rsidR="009C1CD1" w:rsidRPr="007D74BD" w:rsidRDefault="009C1CD1" w:rsidP="009C1CD1">
      <w:pPr>
        <w:autoSpaceDE w:val="0"/>
        <w:autoSpaceDN w:val="0"/>
        <w:adjustRightInd w:val="0"/>
        <w:spacing w:line="360" w:lineRule="auto"/>
        <w:jc w:val="both"/>
        <w:rPr>
          <w:rFonts w:ascii="Palatino Linotype" w:hAnsi="Palatino Linotype"/>
          <w:b/>
          <w:u w:val="single"/>
        </w:rPr>
      </w:pPr>
      <w:r w:rsidRPr="007D74BD">
        <w:rPr>
          <w:rFonts w:ascii="Palatino Linotype" w:hAnsi="Palatino Linotype"/>
        </w:rPr>
        <w:t xml:space="preserve">Es importante resaltar a manera de analogía que la Suprema Corte de Justicia de la Nación mediante el número 2 de la Serie </w:t>
      </w:r>
      <w:r w:rsidRPr="007D74BD">
        <w:rPr>
          <w:rFonts w:ascii="Palatino Linotype" w:hAnsi="Palatino Linotype"/>
          <w:i/>
        </w:rPr>
        <w:t xml:space="preserve">Estudios Introductorios sobre el Juicio de Amparo </w:t>
      </w:r>
      <w:r w:rsidRPr="007D74BD">
        <w:rPr>
          <w:rFonts w:ascii="Palatino Linotype" w:hAnsi="Palatino Linotype"/>
        </w:rPr>
        <w:t xml:space="preserve">relativo a </w:t>
      </w:r>
      <w:r w:rsidRPr="007D74BD">
        <w:rPr>
          <w:rFonts w:ascii="Palatino Linotype" w:hAnsi="Palatino Linotype"/>
          <w:i/>
        </w:rPr>
        <w:t xml:space="preserve">LA IMPROCEDENCIA DE LA ACCIÓN DE AMPARO </w:t>
      </w:r>
      <w:r w:rsidRPr="007D74BD">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7D74BD">
        <w:rPr>
          <w:rFonts w:ascii="Palatino Linotype" w:hAnsi="Palatino Linotype"/>
          <w:b/>
          <w:u w:val="single"/>
        </w:rPr>
        <w:t>lo que generará que la demanda sea desechada; o bien, después de admitida la demanda, lo que tendrá como consecuencia que se sobresea en el juicio.</w:t>
      </w:r>
    </w:p>
    <w:p w14:paraId="03E94EDA" w14:textId="77777777" w:rsidR="009C1CD1" w:rsidRPr="007D74BD" w:rsidRDefault="009C1CD1" w:rsidP="009C1CD1">
      <w:pPr>
        <w:autoSpaceDE w:val="0"/>
        <w:autoSpaceDN w:val="0"/>
        <w:adjustRightInd w:val="0"/>
        <w:spacing w:line="360" w:lineRule="auto"/>
        <w:jc w:val="both"/>
        <w:rPr>
          <w:rFonts w:ascii="Palatino Linotype" w:hAnsi="Palatino Linotype"/>
          <w:b/>
          <w:u w:val="single"/>
        </w:rPr>
      </w:pPr>
    </w:p>
    <w:p w14:paraId="2882C5FB" w14:textId="77777777" w:rsidR="009C1CD1" w:rsidRPr="007D74BD" w:rsidRDefault="009C1CD1" w:rsidP="009C1CD1">
      <w:pPr>
        <w:spacing w:line="360" w:lineRule="auto"/>
        <w:jc w:val="both"/>
        <w:rPr>
          <w:rFonts w:ascii="Palatino Linotype" w:eastAsia="Calibri" w:hAnsi="Palatino Linotype" w:cs="Calibri"/>
          <w:bCs/>
          <w:szCs w:val="22"/>
          <w:lang w:val="es-MX" w:eastAsia="es-MX"/>
        </w:rPr>
      </w:pPr>
      <w:r w:rsidRPr="007D74BD">
        <w:rPr>
          <w:rFonts w:ascii="Palatino Linotype" w:eastAsia="Calibri" w:hAnsi="Palatino Linotype" w:cs="Calibri"/>
          <w:bCs/>
          <w:szCs w:val="22"/>
          <w:lang w:val="es-MX" w:eastAsia="es-MX"/>
        </w:rPr>
        <w:t xml:space="preserve">Por tanto, al acreditarse la procedencia del sobreseimiento, este Instituto está imposibilitado para analizar las cuestiones de fondo, en virtud de que el </w:t>
      </w:r>
      <w:r w:rsidRPr="007D74BD">
        <w:rPr>
          <w:rFonts w:ascii="Palatino Linotype" w:eastAsia="Calibri" w:hAnsi="Palatino Linotype" w:cs="Calibri"/>
          <w:bCs/>
          <w:szCs w:val="22"/>
          <w:lang w:val="es-MX" w:eastAsia="es-MX"/>
        </w:rPr>
        <w:lastRenderedPageBreak/>
        <w:t>sobreseimiento constituye un acto procesal que termina el proceso por cuestiones ajenas al fondo del asunto, lo anterior conforme a la jurisprudencia identificada como el registro digital 220705 2, en la que se estipula lo siguiente:</w:t>
      </w:r>
    </w:p>
    <w:p w14:paraId="3BF1FE48" w14:textId="77777777" w:rsidR="009C1CD1" w:rsidRPr="007D74BD" w:rsidRDefault="009C1CD1" w:rsidP="009C1CD1">
      <w:pPr>
        <w:spacing w:line="360" w:lineRule="auto"/>
        <w:jc w:val="both"/>
        <w:rPr>
          <w:rFonts w:ascii="Palatino Linotype" w:eastAsia="Palatino Linotype" w:hAnsi="Palatino Linotype" w:cs="Palatino Linotype"/>
          <w:szCs w:val="22"/>
          <w:lang w:val="es-ES_tradnl" w:eastAsia="es-MX"/>
        </w:rPr>
      </w:pPr>
    </w:p>
    <w:p w14:paraId="4DB4F0AA" w14:textId="77777777" w:rsidR="009C1CD1" w:rsidRPr="007D74BD" w:rsidRDefault="009C1CD1" w:rsidP="009C1CD1">
      <w:pPr>
        <w:ind w:left="567" w:right="567"/>
        <w:jc w:val="both"/>
        <w:rPr>
          <w:rFonts w:ascii="Palatino Linotype" w:eastAsia="Palatino Linotype" w:hAnsi="Palatino Linotype" w:cs="Palatino Linotype"/>
          <w:b/>
          <w:bCs/>
          <w:iCs/>
          <w:sz w:val="22"/>
          <w:szCs w:val="22"/>
          <w:lang w:val="es-ES_tradnl"/>
        </w:rPr>
      </w:pPr>
      <w:r w:rsidRPr="007D74BD">
        <w:rPr>
          <w:rFonts w:ascii="Palatino Linotype" w:eastAsia="Palatino Linotype" w:hAnsi="Palatino Linotype" w:cs="Palatino Linotype"/>
          <w:b/>
          <w:bCs/>
          <w:i/>
          <w:iCs/>
          <w:sz w:val="22"/>
          <w:szCs w:val="22"/>
          <w:lang w:val="es-ES_tradnl"/>
        </w:rPr>
        <w:t>SOBRESEIMIENTO. IMPIDE EL ESTUDIO DE LAS CUESTIONES DE FONDO.</w:t>
      </w:r>
    </w:p>
    <w:p w14:paraId="318181CD" w14:textId="77777777" w:rsidR="009C1CD1" w:rsidRPr="007D74BD" w:rsidRDefault="009C1CD1" w:rsidP="009C1CD1">
      <w:pPr>
        <w:ind w:left="567" w:right="567"/>
        <w:jc w:val="both"/>
        <w:rPr>
          <w:rFonts w:ascii="Palatino Linotype" w:eastAsia="Palatino Linotype" w:hAnsi="Palatino Linotype" w:cs="Palatino Linotype"/>
          <w:iCs/>
          <w:sz w:val="22"/>
          <w:szCs w:val="22"/>
          <w:lang w:val="es-ES_tradnl"/>
        </w:rPr>
      </w:pPr>
      <w:r w:rsidRPr="007D74BD">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505D595B" w14:textId="77777777" w:rsidR="009C1CD1" w:rsidRPr="007D74BD" w:rsidRDefault="009C1CD1" w:rsidP="009C1CD1">
      <w:pPr>
        <w:autoSpaceDE w:val="0"/>
        <w:autoSpaceDN w:val="0"/>
        <w:adjustRightInd w:val="0"/>
        <w:spacing w:line="360" w:lineRule="auto"/>
        <w:jc w:val="both"/>
        <w:rPr>
          <w:rFonts w:ascii="Palatino Linotype" w:hAnsi="Palatino Linotype"/>
        </w:rPr>
      </w:pPr>
    </w:p>
    <w:p w14:paraId="2839E7A1" w14:textId="77777777" w:rsidR="009C1CD1" w:rsidRPr="007D74BD" w:rsidRDefault="009C1CD1" w:rsidP="009C1CD1">
      <w:pPr>
        <w:autoSpaceDE w:val="0"/>
        <w:autoSpaceDN w:val="0"/>
        <w:adjustRightInd w:val="0"/>
        <w:spacing w:line="360" w:lineRule="auto"/>
        <w:jc w:val="both"/>
        <w:rPr>
          <w:rFonts w:ascii="Palatino Linotype" w:hAnsi="Palatino Linotype"/>
        </w:rPr>
      </w:pPr>
      <w:r w:rsidRPr="007D74BD">
        <w:rPr>
          <w:rFonts w:ascii="Palatino Linotype" w:hAnsi="Palatino Linotype"/>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5077D0B9" w14:textId="77777777" w:rsidR="009C1CD1" w:rsidRPr="007D74BD" w:rsidRDefault="009C1CD1" w:rsidP="009C1CD1">
      <w:pPr>
        <w:autoSpaceDE w:val="0"/>
        <w:autoSpaceDN w:val="0"/>
        <w:adjustRightInd w:val="0"/>
        <w:spacing w:line="360" w:lineRule="auto"/>
        <w:jc w:val="both"/>
        <w:rPr>
          <w:rFonts w:ascii="Palatino Linotype" w:hAnsi="Palatino Linotype"/>
        </w:rPr>
      </w:pPr>
    </w:p>
    <w:p w14:paraId="1F8F1CC1" w14:textId="77777777" w:rsidR="009C1CD1" w:rsidRPr="007D74BD" w:rsidRDefault="009C1CD1" w:rsidP="009C1CD1">
      <w:pPr>
        <w:autoSpaceDE w:val="0"/>
        <w:autoSpaceDN w:val="0"/>
        <w:adjustRightInd w:val="0"/>
        <w:spacing w:line="360" w:lineRule="auto"/>
        <w:jc w:val="both"/>
        <w:rPr>
          <w:rFonts w:ascii="Palatino Linotype" w:hAnsi="Palatino Linotype"/>
        </w:rPr>
      </w:pPr>
      <w:r w:rsidRPr="007D74BD">
        <w:rPr>
          <w:rFonts w:ascii="Palatino Linotype" w:hAnsi="Palatino Linotype"/>
        </w:rPr>
        <w:t xml:space="preserve">Finalmente, no se deja de lado que se dejan a salvo los derechos del Particular a fin de que, de considerarlo pertinente, interponga una nueva solicitud de acceso ante el </w:t>
      </w:r>
      <w:r w:rsidRPr="007D74BD">
        <w:rPr>
          <w:rFonts w:ascii="Palatino Linotype" w:hAnsi="Palatino Linotype"/>
          <w:b/>
        </w:rPr>
        <w:t>Sujeto Obligado</w:t>
      </w:r>
      <w:r w:rsidRPr="007D74BD">
        <w:rPr>
          <w:rFonts w:ascii="Palatino Linotype" w:hAnsi="Palatino Linotype"/>
        </w:rPr>
        <w:t>, a fin de solicitar la información de su interés.</w:t>
      </w:r>
    </w:p>
    <w:p w14:paraId="504EDFE5" w14:textId="77777777" w:rsidR="009C1CD1" w:rsidRPr="007D74BD" w:rsidRDefault="009C1CD1" w:rsidP="009C1CD1">
      <w:pPr>
        <w:autoSpaceDE w:val="0"/>
        <w:autoSpaceDN w:val="0"/>
        <w:adjustRightInd w:val="0"/>
        <w:spacing w:line="360" w:lineRule="auto"/>
        <w:jc w:val="both"/>
        <w:rPr>
          <w:rFonts w:ascii="Palatino Linotype" w:hAnsi="Palatino Linotype"/>
          <w:b/>
          <w:u w:val="single"/>
        </w:rPr>
      </w:pPr>
    </w:p>
    <w:p w14:paraId="7CF02E7A" w14:textId="5CA69CB1" w:rsidR="009C1CD1" w:rsidRPr="007D74BD" w:rsidRDefault="009C1CD1" w:rsidP="009C1CD1">
      <w:pPr>
        <w:spacing w:line="360" w:lineRule="auto"/>
        <w:ind w:right="51"/>
        <w:jc w:val="both"/>
        <w:rPr>
          <w:rFonts w:ascii="Palatino Linotype" w:hAnsi="Palatino Linotype" w:cs="Arial"/>
          <w:bCs/>
          <w:lang w:eastAsia="es-MX"/>
        </w:rPr>
      </w:pPr>
      <w:r w:rsidRPr="007D74BD">
        <w:rPr>
          <w:rFonts w:ascii="Palatino Linotype" w:hAnsi="Palatino Linotype" w:cs="Arial"/>
        </w:rPr>
        <w:t>En mérito de lo expuesto en líneas anteriores</w:t>
      </w:r>
      <w:r w:rsidRPr="007D74BD">
        <w:rPr>
          <w:rFonts w:ascii="Palatino Linotype" w:hAnsi="Palatino Linotype"/>
          <w:noProof/>
          <w:lang w:eastAsia="es-MX"/>
        </w:rPr>
        <w:t xml:space="preserve">, resultan parcialmente procedentes los motivos de inconformidad que arguye </w:t>
      </w:r>
      <w:r w:rsidRPr="007D74BD">
        <w:rPr>
          <w:rFonts w:ascii="Palatino Linotype" w:hAnsi="Palatino Linotype"/>
          <w:b/>
          <w:noProof/>
          <w:lang w:eastAsia="es-MX"/>
        </w:rPr>
        <w:t>El Recurrente</w:t>
      </w:r>
      <w:r w:rsidRPr="007D74BD">
        <w:rPr>
          <w:rFonts w:ascii="Palatino Linotype" w:hAnsi="Palatino Linotype"/>
          <w:noProof/>
          <w:lang w:eastAsia="es-MX"/>
        </w:rPr>
        <w:t xml:space="preserve"> en su medio de impugnación que fue materia de estudio, </w:t>
      </w:r>
      <w:r w:rsidRPr="007D74BD">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7D74BD">
        <w:rPr>
          <w:rFonts w:ascii="Palatino Linotype" w:hAnsi="Palatino Linotype" w:cs="Arial"/>
          <w:b/>
        </w:rPr>
        <w:t>SOBRESEE</w:t>
      </w:r>
      <w:r w:rsidRPr="007D74BD">
        <w:rPr>
          <w:rFonts w:ascii="Palatino Linotype" w:hAnsi="Palatino Linotype" w:cs="Arial"/>
        </w:rPr>
        <w:t xml:space="preserve"> el recurso de revisión </w:t>
      </w:r>
      <w:r w:rsidR="00857982" w:rsidRPr="007D74BD">
        <w:rPr>
          <w:rFonts w:ascii="Palatino Linotype" w:eastAsiaTheme="minorEastAsia" w:hAnsi="Palatino Linotype" w:cstheme="minorBidi"/>
          <w:b/>
          <w:lang w:val="es-ES_tradnl"/>
        </w:rPr>
        <w:t>01365/INFOEM/IP/RR/2025</w:t>
      </w:r>
      <w:r w:rsidRPr="007D74BD">
        <w:rPr>
          <w:rFonts w:ascii="Palatino Linotype" w:eastAsiaTheme="minorEastAsia" w:hAnsi="Palatino Linotype" w:cstheme="minorBidi"/>
          <w:lang w:val="es-ES_tradnl"/>
        </w:rPr>
        <w:t>,</w:t>
      </w:r>
      <w:r w:rsidRPr="007D74BD">
        <w:rPr>
          <w:rFonts w:ascii="Palatino Linotype" w:eastAsiaTheme="minorEastAsia" w:hAnsi="Palatino Linotype" w:cstheme="minorBidi"/>
          <w:b/>
          <w:lang w:val="es-ES_tradnl"/>
        </w:rPr>
        <w:t xml:space="preserve"> </w:t>
      </w:r>
      <w:r w:rsidRPr="007D74BD">
        <w:rPr>
          <w:rFonts w:ascii="Palatino Linotype" w:hAnsi="Palatino Linotype" w:cs="Arial"/>
          <w:bCs/>
          <w:lang w:eastAsia="es-MX"/>
        </w:rPr>
        <w:t>que ha sido materia del presente fallo.</w:t>
      </w:r>
    </w:p>
    <w:p w14:paraId="2533F9CE" w14:textId="77777777" w:rsidR="009C1CD1" w:rsidRPr="007D74BD" w:rsidRDefault="009C1CD1" w:rsidP="009C1CD1">
      <w:pPr>
        <w:tabs>
          <w:tab w:val="left" w:pos="8931"/>
        </w:tabs>
        <w:spacing w:line="360" w:lineRule="auto"/>
        <w:ind w:right="51"/>
        <w:jc w:val="both"/>
        <w:rPr>
          <w:rFonts w:ascii="Palatino Linotype" w:eastAsiaTheme="minorHAnsi" w:hAnsi="Palatino Linotype" w:cstheme="minorBidi"/>
          <w:lang w:val="es-MX" w:eastAsia="en-US"/>
        </w:rPr>
      </w:pPr>
    </w:p>
    <w:p w14:paraId="5603147F" w14:textId="77777777" w:rsidR="009C1CD1" w:rsidRPr="007D74BD" w:rsidRDefault="009C1CD1" w:rsidP="009C1CD1">
      <w:pPr>
        <w:tabs>
          <w:tab w:val="left" w:pos="8931"/>
        </w:tabs>
        <w:spacing w:line="360" w:lineRule="auto"/>
        <w:ind w:right="51"/>
        <w:jc w:val="both"/>
        <w:rPr>
          <w:rFonts w:ascii="Palatino Linotype" w:eastAsiaTheme="minorHAnsi" w:hAnsi="Palatino Linotype" w:cstheme="minorBidi"/>
          <w:lang w:val="es-MX" w:eastAsia="en-US"/>
        </w:rPr>
      </w:pPr>
      <w:r w:rsidRPr="007D74BD">
        <w:rPr>
          <w:rFonts w:ascii="Palatino Linotype" w:eastAsiaTheme="minorHAnsi" w:hAnsi="Palatino Linotype" w:cstheme="minorBidi"/>
          <w:lang w:val="es-MX" w:eastAsia="en-US"/>
        </w:rPr>
        <w:lastRenderedPageBreak/>
        <w:t>Por lo antes expuesto y fundado es de resolverse y,</w:t>
      </w:r>
    </w:p>
    <w:p w14:paraId="4F3642F9" w14:textId="77777777" w:rsidR="009C1CD1" w:rsidRPr="007D74BD" w:rsidRDefault="009C1CD1" w:rsidP="009C1CD1">
      <w:pPr>
        <w:tabs>
          <w:tab w:val="left" w:pos="8931"/>
        </w:tabs>
        <w:spacing w:line="360" w:lineRule="auto"/>
        <w:ind w:right="51"/>
        <w:jc w:val="both"/>
        <w:rPr>
          <w:rFonts w:ascii="Palatino Linotype" w:eastAsiaTheme="minorHAnsi" w:hAnsi="Palatino Linotype" w:cstheme="minorBidi"/>
          <w:lang w:val="es-MX" w:eastAsia="en-US"/>
        </w:rPr>
      </w:pPr>
    </w:p>
    <w:p w14:paraId="6FB42771" w14:textId="77777777" w:rsidR="009C1CD1" w:rsidRPr="007D74BD" w:rsidRDefault="009C1CD1" w:rsidP="009C1CD1">
      <w:pPr>
        <w:spacing w:line="360" w:lineRule="auto"/>
        <w:jc w:val="center"/>
        <w:rPr>
          <w:rFonts w:ascii="Palatino Linotype" w:hAnsi="Palatino Linotype" w:cstheme="minorBidi"/>
          <w:b/>
          <w:bCs/>
          <w:spacing w:val="60"/>
          <w:sz w:val="28"/>
          <w:szCs w:val="22"/>
          <w:lang w:val="es-ES_tradnl" w:eastAsia="en-US"/>
        </w:rPr>
      </w:pPr>
      <w:r w:rsidRPr="007D74BD">
        <w:rPr>
          <w:rFonts w:ascii="Palatino Linotype" w:hAnsi="Palatino Linotype" w:cstheme="minorBidi"/>
          <w:b/>
          <w:bCs/>
          <w:spacing w:val="60"/>
          <w:sz w:val="28"/>
          <w:szCs w:val="22"/>
          <w:lang w:val="es-ES_tradnl" w:eastAsia="en-US"/>
        </w:rPr>
        <w:t>SE    RESUELVE</w:t>
      </w:r>
    </w:p>
    <w:p w14:paraId="6D5A03D9" w14:textId="77777777" w:rsidR="009C1CD1" w:rsidRPr="007D74BD" w:rsidRDefault="009C1CD1" w:rsidP="009C1CD1">
      <w:pPr>
        <w:spacing w:line="360" w:lineRule="auto"/>
        <w:jc w:val="center"/>
        <w:rPr>
          <w:rFonts w:ascii="Palatino Linotype" w:hAnsi="Palatino Linotype" w:cstheme="minorBidi"/>
          <w:b/>
          <w:bCs/>
          <w:spacing w:val="60"/>
          <w:szCs w:val="22"/>
          <w:lang w:val="es-ES_tradnl" w:eastAsia="en-US"/>
        </w:rPr>
      </w:pPr>
    </w:p>
    <w:p w14:paraId="315287F4" w14:textId="681CA11E" w:rsidR="009C1CD1" w:rsidRPr="007D74BD" w:rsidRDefault="009C1CD1" w:rsidP="009C1CD1">
      <w:pPr>
        <w:spacing w:line="360" w:lineRule="auto"/>
        <w:jc w:val="both"/>
        <w:rPr>
          <w:rFonts w:ascii="Palatino Linotype" w:eastAsiaTheme="minorEastAsia" w:hAnsi="Palatino Linotype" w:cstheme="minorBidi"/>
          <w:lang w:val="es-ES_tradnl" w:eastAsia="en-US"/>
        </w:rPr>
      </w:pPr>
      <w:r w:rsidRPr="007D74BD">
        <w:rPr>
          <w:rFonts w:ascii="Palatino Linotype" w:hAnsi="Palatino Linotype" w:cstheme="minorBidi"/>
          <w:b/>
          <w:bCs/>
          <w:sz w:val="28"/>
          <w:szCs w:val="22"/>
          <w:lang w:val="es-MX" w:eastAsia="es-MX"/>
        </w:rPr>
        <w:t>PRIMERO</w:t>
      </w:r>
      <w:r w:rsidRPr="007D74BD">
        <w:rPr>
          <w:rFonts w:ascii="Palatino Linotype" w:hAnsi="Palatino Linotype" w:cstheme="minorBidi"/>
          <w:sz w:val="28"/>
          <w:szCs w:val="22"/>
          <w:lang w:val="es-MX" w:eastAsia="es-MX"/>
        </w:rPr>
        <w:t xml:space="preserve">. </w:t>
      </w:r>
      <w:r w:rsidRPr="007D74BD">
        <w:rPr>
          <w:rFonts w:ascii="Palatino Linotype" w:eastAsiaTheme="minorHAnsi" w:hAnsi="Palatino Linotype" w:cs="Arial"/>
          <w:lang w:val="es-ES_tradnl" w:eastAsia="en-US"/>
        </w:rPr>
        <w:t xml:space="preserve">Se </w:t>
      </w:r>
      <w:r w:rsidRPr="007D74BD">
        <w:rPr>
          <w:rFonts w:ascii="Palatino Linotype" w:eastAsiaTheme="minorHAnsi" w:hAnsi="Palatino Linotype" w:cs="Arial"/>
          <w:b/>
          <w:lang w:val="es-ES_tradnl" w:eastAsia="en-US"/>
        </w:rPr>
        <w:t>SOBRESEE</w:t>
      </w:r>
      <w:r w:rsidRPr="007D74BD">
        <w:rPr>
          <w:rFonts w:ascii="Palatino Linotype" w:eastAsiaTheme="minorHAnsi" w:hAnsi="Palatino Linotype" w:cs="Arial"/>
          <w:lang w:val="es-ES_tradnl" w:eastAsia="en-US"/>
        </w:rPr>
        <w:t xml:space="preserve"> el recurso de revisión número </w:t>
      </w:r>
      <w:r w:rsidR="00857982" w:rsidRPr="007D74BD">
        <w:rPr>
          <w:rFonts w:ascii="Palatino Linotype" w:eastAsiaTheme="minorEastAsia" w:hAnsi="Palatino Linotype" w:cstheme="minorBidi"/>
          <w:b/>
          <w:lang w:val="es-ES_tradnl" w:eastAsia="en-US"/>
        </w:rPr>
        <w:t>01365/INFOEM/IP/RR/2025</w:t>
      </w:r>
      <w:r w:rsidRPr="007D74BD">
        <w:rPr>
          <w:rFonts w:ascii="Palatino Linotype" w:eastAsiaTheme="minorEastAsia" w:hAnsi="Palatino Linotype" w:cstheme="minorBidi"/>
          <w:lang w:val="es-ES_tradnl" w:eastAsia="en-US"/>
        </w:rPr>
        <w:t xml:space="preserve">, por improcedente en términos de los artículos 191, fracción VI y 192, fracción IV, de la Ley de Transparencia y Acceso a la Información Pública del Estado de México y Municipios, y en términos del Considerando </w:t>
      </w:r>
      <w:r w:rsidRPr="007D74BD">
        <w:rPr>
          <w:rFonts w:ascii="Palatino Linotype" w:eastAsiaTheme="minorEastAsia" w:hAnsi="Palatino Linotype" w:cstheme="minorBidi"/>
          <w:b/>
          <w:lang w:val="es-ES_tradnl" w:eastAsia="en-US"/>
        </w:rPr>
        <w:t>CUARTO</w:t>
      </w:r>
      <w:r w:rsidRPr="007D74BD">
        <w:rPr>
          <w:rFonts w:ascii="Palatino Linotype" w:eastAsiaTheme="minorEastAsia" w:hAnsi="Palatino Linotype" w:cstheme="minorBidi"/>
          <w:lang w:val="es-ES_tradnl" w:eastAsia="en-US"/>
        </w:rPr>
        <w:t xml:space="preserve"> de la presente resolución.</w:t>
      </w:r>
    </w:p>
    <w:p w14:paraId="463679AD" w14:textId="77777777" w:rsidR="009C1CD1" w:rsidRPr="007D74BD" w:rsidRDefault="009C1CD1" w:rsidP="009C1CD1">
      <w:pPr>
        <w:spacing w:line="360" w:lineRule="auto"/>
        <w:jc w:val="both"/>
        <w:rPr>
          <w:rFonts w:ascii="Palatino Linotype" w:eastAsiaTheme="minorEastAsia" w:hAnsi="Palatino Linotype" w:cstheme="minorBidi"/>
          <w:lang w:val="es-ES_tradnl" w:eastAsia="en-US"/>
        </w:rPr>
      </w:pPr>
    </w:p>
    <w:p w14:paraId="32E6BA1D" w14:textId="77777777" w:rsidR="009C1CD1" w:rsidRPr="007D74BD" w:rsidRDefault="009C1CD1" w:rsidP="009C1CD1">
      <w:pPr>
        <w:spacing w:line="360" w:lineRule="auto"/>
        <w:jc w:val="both"/>
        <w:rPr>
          <w:rFonts w:ascii="Palatino Linotype" w:eastAsiaTheme="minorHAnsi" w:hAnsi="Palatino Linotype" w:cstheme="minorBidi"/>
          <w:lang w:val="es-MX" w:eastAsia="en-US"/>
        </w:rPr>
      </w:pPr>
      <w:r w:rsidRPr="007D74BD">
        <w:rPr>
          <w:rFonts w:ascii="Palatino Linotype" w:eastAsiaTheme="minorHAnsi" w:hAnsi="Palatino Linotype" w:cstheme="minorBidi"/>
          <w:b/>
          <w:sz w:val="28"/>
          <w:lang w:val="es-MX" w:eastAsia="en-US"/>
        </w:rPr>
        <w:t>SEGUNDO.</w:t>
      </w:r>
      <w:r w:rsidRPr="007D74BD">
        <w:rPr>
          <w:rFonts w:ascii="Palatino Linotype" w:eastAsiaTheme="minorHAnsi" w:hAnsi="Palatino Linotype" w:cs="Arial"/>
          <w:sz w:val="28"/>
          <w:lang w:val="es-MX" w:eastAsia="en-US"/>
        </w:rPr>
        <w:t xml:space="preserve"> </w:t>
      </w:r>
      <w:r w:rsidRPr="007D74BD">
        <w:rPr>
          <w:rFonts w:ascii="Palatino Linotype" w:eastAsiaTheme="minorHAnsi" w:hAnsi="Palatino Linotype" w:cstheme="minorBidi"/>
          <w:b/>
          <w:lang w:val="es-MX" w:eastAsia="en-US"/>
        </w:rPr>
        <w:t>NOTIFÍQUESE</w:t>
      </w:r>
      <w:r w:rsidRPr="007D74BD">
        <w:rPr>
          <w:rFonts w:ascii="Palatino Linotype" w:eastAsiaTheme="minorHAnsi" w:hAnsi="Palatino Linotype" w:cstheme="minorBidi"/>
          <w:lang w:val="es-MX" w:eastAsia="en-US"/>
        </w:rPr>
        <w:t xml:space="preserve"> vía Sistema de Acceso a la Información Mexiquense </w:t>
      </w:r>
      <w:r w:rsidRPr="007D74BD">
        <w:rPr>
          <w:rFonts w:ascii="Palatino Linotype" w:eastAsiaTheme="minorHAnsi" w:hAnsi="Palatino Linotype" w:cstheme="minorBidi"/>
          <w:b/>
          <w:lang w:val="es-MX" w:eastAsia="en-US"/>
        </w:rPr>
        <w:t>(SAIMEX)</w:t>
      </w:r>
      <w:r w:rsidRPr="007D74BD">
        <w:rPr>
          <w:rFonts w:ascii="Palatino Linotype" w:eastAsiaTheme="minorHAnsi" w:hAnsi="Palatino Linotype" w:cstheme="minorBidi"/>
          <w:lang w:val="es-MX" w:eastAsia="en-US"/>
        </w:rPr>
        <w:t xml:space="preserve">, la presente resolución al Titular de la Unidad de Transparencia del </w:t>
      </w:r>
      <w:r w:rsidRPr="007D74BD">
        <w:rPr>
          <w:rFonts w:ascii="Palatino Linotype" w:eastAsiaTheme="minorHAnsi" w:hAnsi="Palatino Linotype" w:cstheme="minorBidi"/>
          <w:b/>
          <w:lang w:val="es-MX" w:eastAsia="en-US"/>
        </w:rPr>
        <w:t>Sujeto Obligado</w:t>
      </w:r>
      <w:r w:rsidRPr="007D74BD">
        <w:rPr>
          <w:rFonts w:ascii="Palatino Linotype" w:eastAsiaTheme="minorHAnsi" w:hAnsi="Palatino Linotype" w:cstheme="minorBidi"/>
          <w:lang w:val="es-MX" w:eastAsia="en-US"/>
        </w:rPr>
        <w:t>.</w:t>
      </w:r>
    </w:p>
    <w:p w14:paraId="587EC353" w14:textId="77777777" w:rsidR="009C1CD1" w:rsidRPr="007D74BD" w:rsidRDefault="009C1CD1" w:rsidP="009C1CD1">
      <w:pPr>
        <w:spacing w:line="360" w:lineRule="auto"/>
        <w:jc w:val="both"/>
        <w:rPr>
          <w:rFonts w:ascii="Palatino Linotype" w:eastAsiaTheme="minorHAnsi" w:hAnsi="Palatino Linotype" w:cstheme="minorBidi"/>
          <w:lang w:val="es-MX" w:eastAsia="en-US"/>
        </w:rPr>
      </w:pPr>
    </w:p>
    <w:p w14:paraId="12182A5C" w14:textId="77777777" w:rsidR="009C1CD1" w:rsidRPr="007D74BD" w:rsidRDefault="009C1CD1" w:rsidP="009C1CD1">
      <w:pPr>
        <w:spacing w:line="360" w:lineRule="auto"/>
        <w:jc w:val="both"/>
        <w:rPr>
          <w:rFonts w:ascii="Palatino Linotype" w:eastAsiaTheme="minorHAnsi" w:hAnsi="Palatino Linotype" w:cstheme="minorBidi"/>
          <w:lang w:val="es-MX" w:eastAsia="en-US"/>
        </w:rPr>
      </w:pPr>
      <w:r w:rsidRPr="007D74BD">
        <w:rPr>
          <w:rFonts w:ascii="Palatino Linotype" w:eastAsiaTheme="minorHAnsi" w:hAnsi="Palatino Linotype" w:cs="Arial"/>
          <w:b/>
          <w:sz w:val="28"/>
          <w:lang w:val="es-MX" w:eastAsia="en-US"/>
        </w:rPr>
        <w:t xml:space="preserve">TERCERO. </w:t>
      </w:r>
      <w:r w:rsidRPr="007D74BD">
        <w:rPr>
          <w:rFonts w:ascii="Palatino Linotype" w:eastAsiaTheme="minorHAnsi" w:hAnsi="Palatino Linotype" w:cstheme="minorBidi"/>
          <w:b/>
          <w:lang w:val="es-MX" w:eastAsia="en-US"/>
        </w:rPr>
        <w:t>NOTIFÍQUESE</w:t>
      </w:r>
      <w:r w:rsidRPr="007D74BD">
        <w:rPr>
          <w:rFonts w:ascii="Palatino Linotype" w:eastAsiaTheme="minorHAnsi" w:hAnsi="Palatino Linotype" w:cstheme="minorBidi"/>
          <w:lang w:val="es-MX" w:eastAsia="en-US"/>
        </w:rPr>
        <w:t xml:space="preserve"> al </w:t>
      </w:r>
      <w:r w:rsidRPr="007D74BD">
        <w:rPr>
          <w:rFonts w:ascii="Palatino Linotype" w:eastAsiaTheme="minorHAnsi" w:hAnsi="Palatino Linotype" w:cstheme="minorBidi"/>
          <w:b/>
          <w:lang w:val="es-MX" w:eastAsia="en-US"/>
        </w:rPr>
        <w:t xml:space="preserve">Recurrente </w:t>
      </w:r>
      <w:r w:rsidRPr="007D74BD">
        <w:rPr>
          <w:rFonts w:ascii="Palatino Linotype" w:eastAsiaTheme="minorHAnsi" w:hAnsi="Palatino Linotype" w:cstheme="minorBidi"/>
          <w:lang w:val="es-MX" w:eastAsia="en-US"/>
        </w:rPr>
        <w:t xml:space="preserve">la presente resolución vía Sistema de Acceso a la Información Mexiquense </w:t>
      </w:r>
      <w:r w:rsidRPr="007D74BD">
        <w:rPr>
          <w:rFonts w:ascii="Palatino Linotype" w:eastAsiaTheme="minorHAnsi" w:hAnsi="Palatino Linotype" w:cstheme="minorBidi"/>
          <w:b/>
          <w:lang w:val="es-MX" w:eastAsia="en-US"/>
        </w:rPr>
        <w:t>(SAIMEX)</w:t>
      </w:r>
      <w:r w:rsidRPr="007D74BD">
        <w:rPr>
          <w:rFonts w:ascii="Palatino Linotype" w:eastAsiaTheme="minorHAnsi" w:hAnsi="Palatino Linotype" w:cstheme="minorBidi"/>
          <w:lang w:val="es-MX" w:eastAsia="en-US"/>
        </w:rPr>
        <w:t xml:space="preserve">, y </w:t>
      </w:r>
      <w:r w:rsidRPr="007D74BD">
        <w:rPr>
          <w:rFonts w:ascii="Palatino Linotype" w:eastAsiaTheme="minorHAnsi" w:hAnsi="Palatino Linotype" w:cs="Arial"/>
          <w:lang w:val="es-MX" w:eastAsia="en-US"/>
        </w:rPr>
        <w:t>hágase</w:t>
      </w:r>
      <w:r w:rsidRPr="007D74BD">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00360A93" w14:textId="77777777" w:rsidR="00772AF9" w:rsidRPr="007D74BD" w:rsidRDefault="00772AF9" w:rsidP="009C1CD1">
      <w:pPr>
        <w:spacing w:line="360" w:lineRule="auto"/>
        <w:jc w:val="both"/>
        <w:rPr>
          <w:rFonts w:ascii="Palatino Linotype" w:eastAsiaTheme="minorHAnsi" w:hAnsi="Palatino Linotype" w:cstheme="minorBidi"/>
          <w:lang w:val="es-MX" w:eastAsia="en-US"/>
        </w:rPr>
      </w:pPr>
    </w:p>
    <w:p w14:paraId="57537907" w14:textId="4CF14B37" w:rsidR="00B341AE" w:rsidRPr="00B341AE" w:rsidRDefault="00B341AE" w:rsidP="00B341AE">
      <w:pPr>
        <w:spacing w:line="360" w:lineRule="auto"/>
        <w:jc w:val="both"/>
        <w:rPr>
          <w:rFonts w:ascii="Palatino Linotype" w:eastAsiaTheme="minorHAnsi" w:hAnsi="Palatino Linotype" w:cs="Arial"/>
          <w:lang w:val="es-MX" w:eastAsia="en-US"/>
        </w:rPr>
      </w:pPr>
      <w:r w:rsidRPr="007D74BD">
        <w:rPr>
          <w:rFonts w:ascii="Palatino Linotype" w:eastAsiaTheme="minorHAnsi" w:hAnsi="Palatino Linotype" w:cs="Arial"/>
          <w:lang w:val="es-MX" w:eastAsia="en-US"/>
        </w:rPr>
        <w:t>ASÍ LO RESUELVE, POR UNANIMIDAD DE VOTOS EL PLENO DEL</w:t>
      </w:r>
      <w:r w:rsidRPr="007D74B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D74BD">
        <w:rPr>
          <w:rFonts w:ascii="Palatino Linotype" w:eastAsiaTheme="minorHAnsi" w:hAnsi="Palatino Linotype" w:cs="Arial"/>
          <w:lang w:val="es-MX" w:eastAsia="en-US"/>
        </w:rPr>
        <w:t xml:space="preserve">, CONFORMADO POR LOS COMISIONADOS JOSÉ MARTÍNEZ VILCHIS, MARÍA </w:t>
      </w:r>
      <w:r w:rsidRPr="007D74BD">
        <w:rPr>
          <w:rFonts w:ascii="Palatino Linotype" w:eastAsiaTheme="minorHAnsi" w:hAnsi="Palatino Linotype" w:cs="Arial"/>
          <w:lang w:val="es-MX" w:eastAsia="en-US"/>
        </w:rPr>
        <w:lastRenderedPageBreak/>
        <w:t xml:space="preserve">DEL ROSARIO MEJÍA AYALA, SHARON CRISTINA MORALES MARTÍNEZ, LUIS GUSTAVO PARRA NORIEGA Y GUADALUPE RAMÍREZ PEÑA, EN LA </w:t>
      </w:r>
      <w:r w:rsidR="00514361" w:rsidRPr="007D74BD">
        <w:rPr>
          <w:rFonts w:ascii="Palatino Linotype" w:eastAsiaTheme="minorHAnsi" w:hAnsi="Palatino Linotype" w:cs="Arial"/>
          <w:lang w:val="es-MX" w:eastAsia="en-US"/>
        </w:rPr>
        <w:t>NOVENA</w:t>
      </w:r>
      <w:r w:rsidRPr="007D74BD">
        <w:rPr>
          <w:rFonts w:ascii="Palatino Linotype" w:eastAsiaTheme="minorHAnsi" w:hAnsi="Palatino Linotype" w:cs="Arial"/>
          <w:lang w:val="es-MX" w:eastAsia="en-US"/>
        </w:rPr>
        <w:t xml:space="preserve"> SESIÓN ORDINARIA CELEBRADA EL </w:t>
      </w:r>
      <w:r w:rsidR="00514361" w:rsidRPr="007D74BD">
        <w:rPr>
          <w:rFonts w:ascii="Palatino Linotype" w:eastAsiaTheme="minorHAnsi" w:hAnsi="Palatino Linotype" w:cs="Arial"/>
          <w:lang w:val="es-MX" w:eastAsia="en-US"/>
        </w:rPr>
        <w:t>DOCE</w:t>
      </w:r>
      <w:r w:rsidR="00E24920" w:rsidRPr="007D74BD">
        <w:rPr>
          <w:rFonts w:ascii="Palatino Linotype" w:eastAsiaTheme="minorHAnsi" w:hAnsi="Palatino Linotype" w:cs="Arial"/>
          <w:lang w:val="es-MX" w:eastAsia="en-US"/>
        </w:rPr>
        <w:t xml:space="preserve"> DE </w:t>
      </w:r>
      <w:r w:rsidR="008C52F9" w:rsidRPr="007D74BD">
        <w:rPr>
          <w:rFonts w:ascii="Palatino Linotype" w:eastAsiaTheme="minorHAnsi" w:hAnsi="Palatino Linotype" w:cs="Arial"/>
          <w:lang w:val="es-MX" w:eastAsia="en-US"/>
        </w:rPr>
        <w:t>MARZO</w:t>
      </w:r>
      <w:r w:rsidRPr="007D74BD">
        <w:rPr>
          <w:rFonts w:ascii="Palatino Linotype" w:eastAsiaTheme="minorHAnsi" w:hAnsi="Palatino Linotype" w:cs="Arial"/>
          <w:lang w:val="es-MX" w:eastAsia="en-US"/>
        </w:rPr>
        <w:t xml:space="preserve"> DE DOS MIL </w:t>
      </w:r>
      <w:r w:rsidR="00815D32" w:rsidRPr="007D74BD">
        <w:rPr>
          <w:rFonts w:ascii="Palatino Linotype" w:eastAsiaTheme="minorHAnsi" w:hAnsi="Palatino Linotype" w:cs="Arial"/>
          <w:lang w:val="es-MX" w:eastAsia="en-US"/>
        </w:rPr>
        <w:t>VEINTICINCO</w:t>
      </w:r>
      <w:r w:rsidRPr="007D74BD">
        <w:rPr>
          <w:rFonts w:ascii="Palatino Linotype" w:eastAsiaTheme="minorHAnsi" w:hAnsi="Palatino Linotype" w:cs="Arial"/>
          <w:lang w:val="es-MX" w:eastAsia="en-US"/>
        </w:rPr>
        <w:t>, ANTE EL SECRETARIO TÉCNICO DEL PLENO, ALEXIS TAPIA RAMÍREZ. ----</w:t>
      </w:r>
      <w:r w:rsidR="00815D32" w:rsidRPr="007D74BD">
        <w:rPr>
          <w:rFonts w:ascii="Palatino Linotype" w:eastAsiaTheme="minorHAnsi" w:hAnsi="Palatino Linotype" w:cs="Arial"/>
          <w:lang w:val="es-MX" w:eastAsia="en-US"/>
        </w:rPr>
        <w:t>---------------------------------------------</w:t>
      </w:r>
      <w:r w:rsidRPr="007D74BD">
        <w:rPr>
          <w:rFonts w:ascii="Palatino Linotype" w:eastAsiaTheme="minorHAnsi" w:hAnsi="Palatino Linotype" w:cs="Arial"/>
          <w:lang w:val="es-MX" w:eastAsia="en-US"/>
        </w:rPr>
        <w:t>---------------------------------------</w:t>
      </w:r>
      <w:r w:rsidR="002C7968" w:rsidRPr="007D74BD">
        <w:rPr>
          <w:rFonts w:ascii="Palatino Linotype" w:eastAsiaTheme="minorHAnsi" w:hAnsi="Palatino Linotype" w:cs="Arial"/>
          <w:lang w:val="es-MX" w:eastAsia="en-US"/>
        </w:rPr>
        <w:t>----------------------------------------------------------------------------------------------------------------------------------------------------------------------------------------------------------------------------------------------------------------------------------------------------------------------------------------------------------------------------------------------------------------------------------------------------------------------------------------------------------------------------------------------------------------------------------------------------------------------------------------------------------------------------------------------------------------------------------------------------------------------------------------------------------------------------------------------------------------------------------------------------------------------------------------------------------------------------------------------------------------------------------------------------------------------------------------------------------------------------------------------------------------------------------------------------------------------------------------------------------------------------------------------------------------------------------------------------------------------------------------------------------------------------------------------------------------------------------------------------------------------------------------------------------------------------------------------------------------------------------------------------------------------------------------------------------------------------------------------------------------------------------------------------------------------------------------------------------------------------------------------------------------------------------------------------------------------------------------------------------------------------------------------------------------------------------------------------------------------------------------------------------------------------------------------------------------------------------------------------------------------------------------------------------------------------------------------------------------------------------</w:t>
      </w:r>
      <w:bookmarkStart w:id="0" w:name="_GoBack"/>
      <w:bookmarkEnd w:id="0"/>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10"/>
      <w:headerReference w:type="default" r:id="rId11"/>
      <w:footerReference w:type="default" r:id="rId12"/>
      <w:headerReference w:type="first" r:id="rId13"/>
      <w:footerReference w:type="first" r:id="rId14"/>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9328" w14:textId="77777777" w:rsidR="00F709E9" w:rsidRDefault="00F709E9" w:rsidP="000B5E25">
      <w:r>
        <w:separator/>
      </w:r>
    </w:p>
  </w:endnote>
  <w:endnote w:type="continuationSeparator" w:id="0">
    <w:p w14:paraId="7C9C40F5" w14:textId="77777777" w:rsidR="00F709E9" w:rsidRDefault="00F709E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FCE8" w14:textId="2E0AE365"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74BD">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74BD">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768E" w14:textId="6160515B"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74B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74BD">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07E2" w14:textId="77777777" w:rsidR="00F709E9" w:rsidRDefault="00F709E9" w:rsidP="000B5E25">
      <w:r>
        <w:separator/>
      </w:r>
    </w:p>
  </w:footnote>
  <w:footnote w:type="continuationSeparator" w:id="0">
    <w:p w14:paraId="482B9446" w14:textId="77777777" w:rsidR="00F709E9" w:rsidRDefault="00F709E9" w:rsidP="000B5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C0A5" w14:textId="77777777" w:rsidR="00EB62E8" w:rsidRDefault="007D74B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5D4E905" w:rsidR="00EB62E8" w:rsidRPr="0029071C" w:rsidRDefault="00800EC7"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06B79">
            <w:rPr>
              <w:rFonts w:ascii="Palatino Linotype" w:hAnsi="Palatino Linotype"/>
              <w:sz w:val="22"/>
              <w:szCs w:val="22"/>
              <w:lang w:val="es-ES_tradnl"/>
            </w:rPr>
            <w:t>1</w:t>
          </w:r>
          <w:r w:rsidR="00C2706B">
            <w:rPr>
              <w:rFonts w:ascii="Palatino Linotype" w:hAnsi="Palatino Linotype"/>
              <w:sz w:val="22"/>
              <w:szCs w:val="22"/>
              <w:lang w:val="es-ES_tradnl"/>
            </w:rPr>
            <w:t>36</w:t>
          </w:r>
          <w:r w:rsidR="00206B79">
            <w:rPr>
              <w:rFonts w:ascii="Palatino Linotype" w:hAnsi="Palatino Linotype"/>
              <w:sz w:val="22"/>
              <w:szCs w:val="22"/>
              <w:lang w:val="es-ES_tradnl"/>
            </w:rPr>
            <w:t>5</w:t>
          </w:r>
          <w:r w:rsidR="00EB62E8"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8830ADD" w:rsidR="00EB62E8" w:rsidRPr="0029071C" w:rsidRDefault="00C2706B" w:rsidP="0090178D">
          <w:pPr>
            <w:spacing w:line="276" w:lineRule="auto"/>
            <w:jc w:val="right"/>
            <w:rPr>
              <w:rFonts w:ascii="Palatino Linotype" w:hAnsi="Palatino Linotype"/>
              <w:sz w:val="22"/>
              <w:szCs w:val="22"/>
            </w:rPr>
          </w:pPr>
          <w:r w:rsidRPr="00C2706B">
            <w:rPr>
              <w:rFonts w:ascii="Palatino Linotype" w:hAnsi="Palatino Linotype"/>
              <w:sz w:val="22"/>
              <w:szCs w:val="22"/>
            </w:rPr>
            <w:t>Ayuntamiento de Ecatepec de Morelos</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7D74B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237F4C2" w:rsidR="00EB62E8" w:rsidRPr="0029071C" w:rsidRDefault="00EB62E8"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06B79">
            <w:rPr>
              <w:rFonts w:ascii="Palatino Linotype" w:hAnsi="Palatino Linotype"/>
              <w:sz w:val="22"/>
              <w:szCs w:val="22"/>
              <w:lang w:val="es-ES_tradnl"/>
            </w:rPr>
            <w:t>1</w:t>
          </w:r>
          <w:r w:rsidR="00C2706B">
            <w:rPr>
              <w:rFonts w:ascii="Palatino Linotype" w:hAnsi="Palatino Linotype"/>
              <w:sz w:val="22"/>
              <w:szCs w:val="22"/>
              <w:lang w:val="es-ES_tradnl"/>
            </w:rPr>
            <w:t>36</w:t>
          </w:r>
          <w:r w:rsidR="00206B79">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761BB0E" w:rsidR="00EB62E8" w:rsidRPr="006D30E6" w:rsidRDefault="0099130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F428A86" w:rsidR="00EB62E8" w:rsidRPr="0029071C" w:rsidRDefault="00C2706B" w:rsidP="0090178D">
          <w:pPr>
            <w:spacing w:line="276" w:lineRule="auto"/>
            <w:jc w:val="right"/>
            <w:rPr>
              <w:rFonts w:ascii="Palatino Linotype" w:hAnsi="Palatino Linotype"/>
              <w:sz w:val="22"/>
              <w:szCs w:val="22"/>
            </w:rPr>
          </w:pPr>
          <w:r w:rsidRPr="00C2706B">
            <w:rPr>
              <w:rFonts w:ascii="Palatino Linotype" w:hAnsi="Palatino Linotype"/>
              <w:sz w:val="22"/>
              <w:szCs w:val="22"/>
            </w:rPr>
            <w:t>Ayuntamiento de Ecatepec de Morelos</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7D74B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8"/>
  </w:num>
  <w:num w:numId="3">
    <w:abstractNumId w:val="4"/>
  </w:num>
  <w:num w:numId="4">
    <w:abstractNumId w:val="6"/>
  </w:num>
  <w:num w:numId="5">
    <w:abstractNumId w:val="13"/>
  </w:num>
  <w:num w:numId="6">
    <w:abstractNumId w:val="0"/>
  </w:num>
  <w:num w:numId="7">
    <w:abstractNumId w:val="9"/>
  </w:num>
  <w:num w:numId="8">
    <w:abstractNumId w:val="7"/>
  </w:num>
  <w:num w:numId="9">
    <w:abstractNumId w:val="2"/>
  </w:num>
  <w:num w:numId="10">
    <w:abstractNumId w:val="3"/>
  </w:num>
  <w:num w:numId="11">
    <w:abstractNumId w:val="18"/>
  </w:num>
  <w:num w:numId="12">
    <w:abstractNumId w:val="12"/>
  </w:num>
  <w:num w:numId="13">
    <w:abstractNumId w:val="11"/>
  </w:num>
  <w:num w:numId="14">
    <w:abstractNumId w:val="14"/>
  </w:num>
  <w:num w:numId="15">
    <w:abstractNumId w:val="1"/>
  </w:num>
  <w:num w:numId="16">
    <w:abstractNumId w:val="16"/>
  </w:num>
  <w:num w:numId="17">
    <w:abstractNumId w:val="5"/>
  </w:num>
  <w:num w:numId="18">
    <w:abstractNumId w:val="15"/>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0D0B"/>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35E"/>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3981"/>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1E6D"/>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3F1A"/>
    <w:rsid w:val="002A4B43"/>
    <w:rsid w:val="002A676F"/>
    <w:rsid w:val="002B48AD"/>
    <w:rsid w:val="002C0BE5"/>
    <w:rsid w:val="002C240F"/>
    <w:rsid w:val="002C7968"/>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1A0E"/>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03A2"/>
    <w:rsid w:val="003B153A"/>
    <w:rsid w:val="003B1C85"/>
    <w:rsid w:val="003B3224"/>
    <w:rsid w:val="003B4CF3"/>
    <w:rsid w:val="003B63F7"/>
    <w:rsid w:val="003B70B0"/>
    <w:rsid w:val="003B7506"/>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70282"/>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1C6"/>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6775F"/>
    <w:rsid w:val="00673084"/>
    <w:rsid w:val="006762A5"/>
    <w:rsid w:val="00681058"/>
    <w:rsid w:val="006810FF"/>
    <w:rsid w:val="00681ED0"/>
    <w:rsid w:val="00683574"/>
    <w:rsid w:val="00684C32"/>
    <w:rsid w:val="0069065D"/>
    <w:rsid w:val="00694976"/>
    <w:rsid w:val="00696D7B"/>
    <w:rsid w:val="006A200A"/>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2AF9"/>
    <w:rsid w:val="007764BB"/>
    <w:rsid w:val="007779D5"/>
    <w:rsid w:val="007828DC"/>
    <w:rsid w:val="00782922"/>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D74BD"/>
    <w:rsid w:val="007E2B21"/>
    <w:rsid w:val="007E52D5"/>
    <w:rsid w:val="007E534B"/>
    <w:rsid w:val="007E6296"/>
    <w:rsid w:val="007E6F30"/>
    <w:rsid w:val="007E7C02"/>
    <w:rsid w:val="007F7462"/>
    <w:rsid w:val="007F7BF0"/>
    <w:rsid w:val="00800A80"/>
    <w:rsid w:val="00800EC7"/>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57982"/>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546"/>
    <w:rsid w:val="008C170A"/>
    <w:rsid w:val="008C3ADE"/>
    <w:rsid w:val="008C3B24"/>
    <w:rsid w:val="008C52F9"/>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1309"/>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C1CD1"/>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26F"/>
    <w:rsid w:val="00AC687D"/>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1058"/>
    <w:rsid w:val="00B72FCB"/>
    <w:rsid w:val="00B7320F"/>
    <w:rsid w:val="00B802A5"/>
    <w:rsid w:val="00B8098B"/>
    <w:rsid w:val="00B80C9E"/>
    <w:rsid w:val="00B82DE9"/>
    <w:rsid w:val="00B83E10"/>
    <w:rsid w:val="00B84875"/>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C4E1D"/>
    <w:rsid w:val="00BD14B3"/>
    <w:rsid w:val="00BD1819"/>
    <w:rsid w:val="00BD269F"/>
    <w:rsid w:val="00BD4B93"/>
    <w:rsid w:val="00BD677A"/>
    <w:rsid w:val="00BD74AF"/>
    <w:rsid w:val="00BE1107"/>
    <w:rsid w:val="00BE233B"/>
    <w:rsid w:val="00BE7180"/>
    <w:rsid w:val="00BE7A6E"/>
    <w:rsid w:val="00BF0AD4"/>
    <w:rsid w:val="00BF2FBF"/>
    <w:rsid w:val="00BF4AAA"/>
    <w:rsid w:val="00BF58D2"/>
    <w:rsid w:val="00BF6E0F"/>
    <w:rsid w:val="00C0414E"/>
    <w:rsid w:val="00C058C8"/>
    <w:rsid w:val="00C07220"/>
    <w:rsid w:val="00C145A0"/>
    <w:rsid w:val="00C20F80"/>
    <w:rsid w:val="00C21BDE"/>
    <w:rsid w:val="00C2417C"/>
    <w:rsid w:val="00C249A6"/>
    <w:rsid w:val="00C2706B"/>
    <w:rsid w:val="00C27FA1"/>
    <w:rsid w:val="00C37A05"/>
    <w:rsid w:val="00C4326C"/>
    <w:rsid w:val="00C46059"/>
    <w:rsid w:val="00C464BA"/>
    <w:rsid w:val="00C468F3"/>
    <w:rsid w:val="00C50EC6"/>
    <w:rsid w:val="00C56DD5"/>
    <w:rsid w:val="00C57395"/>
    <w:rsid w:val="00C63F7B"/>
    <w:rsid w:val="00C6588E"/>
    <w:rsid w:val="00C70447"/>
    <w:rsid w:val="00C753C2"/>
    <w:rsid w:val="00C755DB"/>
    <w:rsid w:val="00C802FB"/>
    <w:rsid w:val="00C8473B"/>
    <w:rsid w:val="00C8502C"/>
    <w:rsid w:val="00C85653"/>
    <w:rsid w:val="00C86669"/>
    <w:rsid w:val="00C87949"/>
    <w:rsid w:val="00CA216C"/>
    <w:rsid w:val="00CA4BF9"/>
    <w:rsid w:val="00CA62C6"/>
    <w:rsid w:val="00CA7698"/>
    <w:rsid w:val="00CB3433"/>
    <w:rsid w:val="00CB54CA"/>
    <w:rsid w:val="00CB5558"/>
    <w:rsid w:val="00CC0700"/>
    <w:rsid w:val="00CC0B81"/>
    <w:rsid w:val="00CC2F50"/>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23BF"/>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A2560"/>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709E9"/>
    <w:rsid w:val="00F712EE"/>
    <w:rsid w:val="00F7363B"/>
    <w:rsid w:val="00F73BB1"/>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2166925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295601288">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60925033">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ED9B-99C4-4962-AE37-04E2CA22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3382</Words>
  <Characters>18606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13</cp:revision>
  <dcterms:created xsi:type="dcterms:W3CDTF">2025-03-05T17:54:00Z</dcterms:created>
  <dcterms:modified xsi:type="dcterms:W3CDTF">2025-05-09T01:52:00Z</dcterms:modified>
</cp:coreProperties>
</file>