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9730"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ED45A0">
        <w:rPr>
          <w:rFonts w:ascii="Palatino Linotype" w:eastAsia="Palatino Linotype" w:hAnsi="Palatino Linotype" w:cs="Palatino Linotype"/>
          <w:sz w:val="22"/>
          <w:szCs w:val="22"/>
        </w:rPr>
        <w:t xml:space="preserve">                                                                                                                                                                                                      </w:t>
      </w:r>
      <w:r w:rsidRPr="00A8685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veintiséis de marzo de dos mil veinticinco.</w:t>
      </w:r>
    </w:p>
    <w:p w14:paraId="5E94F4E3"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VISTO</w:t>
      </w:r>
      <w:r w:rsidRPr="00A8685E">
        <w:rPr>
          <w:rFonts w:ascii="Palatino Linotype" w:eastAsia="Palatino Linotype" w:hAnsi="Palatino Linotype" w:cs="Palatino Linotype"/>
          <w:sz w:val="22"/>
          <w:szCs w:val="22"/>
        </w:rPr>
        <w:t xml:space="preserve"> el expediente formado con motivo del recurso de revisión </w:t>
      </w:r>
      <w:r w:rsidRPr="00A8685E">
        <w:rPr>
          <w:rFonts w:ascii="Palatino Linotype" w:eastAsia="Palatino Linotype" w:hAnsi="Palatino Linotype" w:cs="Palatino Linotype"/>
          <w:b/>
          <w:sz w:val="22"/>
          <w:szCs w:val="22"/>
        </w:rPr>
        <w:t>01109/INFOEM/IP/RR/2025</w:t>
      </w:r>
      <w:r w:rsidRPr="00A8685E">
        <w:rPr>
          <w:rFonts w:ascii="Palatino Linotype" w:eastAsia="Palatino Linotype" w:hAnsi="Palatino Linotype" w:cs="Palatino Linotype"/>
          <w:sz w:val="22"/>
          <w:szCs w:val="22"/>
        </w:rPr>
        <w:t>, por</w:t>
      </w:r>
      <w:r w:rsidRPr="00A8685E">
        <w:rPr>
          <w:rFonts w:ascii="Palatino Linotype" w:eastAsia="Palatino Linotype" w:hAnsi="Palatino Linotype" w:cs="Palatino Linotype"/>
          <w:b/>
          <w:sz w:val="22"/>
          <w:szCs w:val="22"/>
        </w:rPr>
        <w:t xml:space="preserve"> </w:t>
      </w:r>
      <w:r w:rsidRPr="00A8685E">
        <w:rPr>
          <w:rFonts w:ascii="Palatino Linotype" w:eastAsia="Palatino Linotype" w:hAnsi="Palatino Linotype" w:cs="Palatino Linotype"/>
          <w:sz w:val="22"/>
          <w:szCs w:val="22"/>
        </w:rPr>
        <w:t>interpuesto por</w:t>
      </w:r>
      <w:r w:rsidRPr="00A8685E">
        <w:rPr>
          <w:rFonts w:ascii="Palatino Linotype" w:eastAsia="Palatino Linotype" w:hAnsi="Palatino Linotype" w:cs="Palatino Linotype"/>
          <w:b/>
          <w:sz w:val="22"/>
          <w:szCs w:val="22"/>
        </w:rPr>
        <w:t xml:space="preserve"> un particular que no proporcionó su nombre,</w:t>
      </w:r>
      <w:r w:rsidRPr="00A8685E">
        <w:rPr>
          <w:rFonts w:ascii="Palatino Linotype" w:eastAsia="Palatino Linotype" w:hAnsi="Palatino Linotype" w:cs="Palatino Linotype"/>
          <w:sz w:val="22"/>
          <w:szCs w:val="22"/>
        </w:rPr>
        <w:t xml:space="preserve"> en lo sucesivo la parte </w:t>
      </w:r>
      <w:r w:rsidRPr="00A8685E">
        <w:rPr>
          <w:rFonts w:ascii="Palatino Linotype" w:eastAsia="Palatino Linotype" w:hAnsi="Palatino Linotype" w:cs="Palatino Linotype"/>
          <w:b/>
          <w:sz w:val="22"/>
          <w:szCs w:val="22"/>
        </w:rPr>
        <w:t>RECURRENTE,</w:t>
      </w:r>
      <w:r w:rsidRPr="00A8685E">
        <w:rPr>
          <w:rFonts w:ascii="Palatino Linotype" w:eastAsia="Palatino Linotype" w:hAnsi="Palatino Linotype" w:cs="Palatino Linotype"/>
          <w:sz w:val="22"/>
          <w:szCs w:val="22"/>
        </w:rPr>
        <w:t xml:space="preserve"> en contra de la respuesta a su solicitud por parte del </w:t>
      </w:r>
      <w:r w:rsidRPr="00A8685E">
        <w:rPr>
          <w:rFonts w:ascii="Palatino Linotype" w:eastAsia="Palatino Linotype" w:hAnsi="Palatino Linotype" w:cs="Palatino Linotype"/>
          <w:b/>
          <w:sz w:val="22"/>
          <w:szCs w:val="22"/>
        </w:rPr>
        <w:t xml:space="preserve">Ayuntamiento de Toluca, </w:t>
      </w:r>
      <w:r w:rsidRPr="00A8685E">
        <w:rPr>
          <w:rFonts w:ascii="Palatino Linotype" w:eastAsia="Palatino Linotype" w:hAnsi="Palatino Linotype" w:cs="Palatino Linotype"/>
          <w:sz w:val="22"/>
          <w:szCs w:val="22"/>
        </w:rPr>
        <w:t xml:space="preserve">en lo sucesivo el </w:t>
      </w:r>
      <w:r w:rsidRPr="00A8685E">
        <w:rPr>
          <w:rFonts w:ascii="Palatino Linotype" w:eastAsia="Palatino Linotype" w:hAnsi="Palatino Linotype" w:cs="Palatino Linotype"/>
          <w:b/>
          <w:sz w:val="22"/>
          <w:szCs w:val="22"/>
        </w:rPr>
        <w:t xml:space="preserve">SUJETO OBLIGADO, </w:t>
      </w:r>
      <w:r w:rsidRPr="00A8685E">
        <w:rPr>
          <w:rFonts w:ascii="Palatino Linotype" w:eastAsia="Palatino Linotype" w:hAnsi="Palatino Linotype" w:cs="Palatino Linotype"/>
          <w:sz w:val="22"/>
          <w:szCs w:val="22"/>
        </w:rPr>
        <w:t>se procede a dictar la presente resolución con base en los siguientes:</w:t>
      </w:r>
    </w:p>
    <w:p w14:paraId="13838A40" w14:textId="77777777" w:rsidR="001C12ED" w:rsidRPr="00A8685E" w:rsidRDefault="005239E6">
      <w:pPr>
        <w:spacing w:before="240" w:after="240" w:line="360" w:lineRule="auto"/>
        <w:jc w:val="center"/>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I. A N T E C E D E N T E S</w:t>
      </w:r>
    </w:p>
    <w:p w14:paraId="385B6E4D"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1. Solicitud de acceso a la información.</w:t>
      </w:r>
      <w:r w:rsidRPr="00A8685E">
        <w:rPr>
          <w:rFonts w:ascii="Palatino Linotype" w:eastAsia="Palatino Linotype" w:hAnsi="Palatino Linotype" w:cs="Palatino Linotype"/>
          <w:sz w:val="22"/>
          <w:szCs w:val="22"/>
        </w:rPr>
        <w:t xml:space="preserve"> Con fecha </w:t>
      </w:r>
      <w:r w:rsidRPr="00A8685E">
        <w:rPr>
          <w:rFonts w:ascii="Palatino Linotype" w:eastAsia="Palatino Linotype" w:hAnsi="Palatino Linotype" w:cs="Palatino Linotype"/>
          <w:b/>
          <w:sz w:val="22"/>
          <w:szCs w:val="22"/>
        </w:rPr>
        <w:t>quince de enero de dos mil veinticinco</w:t>
      </w:r>
      <w:r w:rsidRPr="00A8685E">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A8685E">
        <w:rPr>
          <w:rFonts w:ascii="Palatino Linotype" w:eastAsia="Palatino Linotype" w:hAnsi="Palatino Linotype" w:cs="Palatino Linotype"/>
          <w:b/>
          <w:sz w:val="22"/>
          <w:szCs w:val="22"/>
        </w:rPr>
        <w:t>SAIMEX,</w:t>
      </w:r>
      <w:r w:rsidRPr="00A8685E">
        <w:rPr>
          <w:rFonts w:ascii="Palatino Linotype" w:eastAsia="Palatino Linotype" w:hAnsi="Palatino Linotype" w:cs="Palatino Linotype"/>
          <w:sz w:val="22"/>
          <w:szCs w:val="22"/>
        </w:rPr>
        <w:t xml:space="preserve"> ante el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la solicitud de acceso a la información pública, a la que se le asignó el número</w:t>
      </w:r>
      <w:r w:rsidRPr="00A8685E">
        <w:rPr>
          <w:rFonts w:ascii="Palatino Linotype" w:eastAsia="Palatino Linotype" w:hAnsi="Palatino Linotype" w:cs="Palatino Linotype"/>
          <w:b/>
          <w:sz w:val="22"/>
          <w:szCs w:val="22"/>
        </w:rPr>
        <w:t xml:space="preserve"> 00282/TOLUCAIP/2025, </w:t>
      </w:r>
      <w:r w:rsidRPr="00A8685E">
        <w:rPr>
          <w:rFonts w:ascii="Palatino Linotype" w:eastAsia="Palatino Linotype" w:hAnsi="Palatino Linotype" w:cs="Palatino Linotype"/>
          <w:sz w:val="22"/>
          <w:szCs w:val="22"/>
        </w:rPr>
        <w:t xml:space="preserve">mediante la cual requirió la información siguiente:  </w:t>
      </w:r>
    </w:p>
    <w:p w14:paraId="26A34A87" w14:textId="77777777" w:rsidR="001C12ED" w:rsidRPr="00A8685E" w:rsidRDefault="005239E6">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8685E">
        <w:rPr>
          <w:rFonts w:ascii="Palatino Linotype" w:eastAsia="Palatino Linotype" w:hAnsi="Palatino Linotype" w:cs="Palatino Linotype"/>
          <w:i/>
          <w:sz w:val="22"/>
          <w:szCs w:val="22"/>
        </w:rPr>
        <w:t>“SOLICITO TODA SU INFORMACIÓN PÚBLICA DE OFICIO EN EXEL.DEL AÑO 2024” (Sic)</w:t>
      </w:r>
    </w:p>
    <w:p w14:paraId="616EEC9D" w14:textId="77777777" w:rsidR="001C12ED" w:rsidRPr="00A8685E" w:rsidRDefault="001C12ED">
      <w:pPr>
        <w:ind w:left="851" w:right="902"/>
        <w:jc w:val="both"/>
        <w:rPr>
          <w:rFonts w:ascii="Palatino Linotype" w:eastAsia="Palatino Linotype" w:hAnsi="Palatino Linotype" w:cs="Palatino Linotype"/>
          <w:i/>
          <w:sz w:val="22"/>
          <w:szCs w:val="22"/>
        </w:rPr>
      </w:pPr>
    </w:p>
    <w:p w14:paraId="77783F7D"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Modalidad de Entrega:</w:t>
      </w:r>
      <w:r w:rsidRPr="00A8685E">
        <w:rPr>
          <w:rFonts w:ascii="Palatino Linotype" w:eastAsia="Palatino Linotype" w:hAnsi="Palatino Linotype" w:cs="Palatino Linotype"/>
          <w:sz w:val="22"/>
          <w:szCs w:val="22"/>
        </w:rPr>
        <w:t xml:space="preserve"> A través de SAIMEX.</w:t>
      </w:r>
    </w:p>
    <w:p w14:paraId="5B28934C"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3EA7B23C" w14:textId="77777777" w:rsidR="001C12ED" w:rsidRPr="00A8685E" w:rsidRDefault="005239E6">
      <w:pPr>
        <w:spacing w:after="240" w:line="360" w:lineRule="auto"/>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 xml:space="preserve">2. Respuesta. </w:t>
      </w:r>
      <w:r w:rsidRPr="00A8685E">
        <w:rPr>
          <w:rFonts w:ascii="Palatino Linotype" w:eastAsia="Palatino Linotype" w:hAnsi="Palatino Linotype" w:cs="Palatino Linotype"/>
          <w:sz w:val="22"/>
          <w:szCs w:val="22"/>
        </w:rPr>
        <w:t xml:space="preserve">Con fecha </w:t>
      </w:r>
      <w:r w:rsidRPr="00A8685E">
        <w:rPr>
          <w:rFonts w:ascii="Palatino Linotype" w:eastAsia="Palatino Linotype" w:hAnsi="Palatino Linotype" w:cs="Palatino Linotype"/>
          <w:b/>
          <w:sz w:val="22"/>
          <w:szCs w:val="22"/>
        </w:rPr>
        <w:t>seis de febrero de dos mil veinticinco</w:t>
      </w:r>
      <w:r w:rsidRPr="00A8685E">
        <w:rPr>
          <w:rFonts w:ascii="Palatino Linotype" w:eastAsia="Palatino Linotype" w:hAnsi="Palatino Linotype" w:cs="Palatino Linotype"/>
          <w:sz w:val="22"/>
          <w:szCs w:val="22"/>
        </w:rPr>
        <w:t xml:space="preserve">, el </w:t>
      </w:r>
      <w:r w:rsidRPr="00A8685E">
        <w:rPr>
          <w:rFonts w:ascii="Palatino Linotype" w:eastAsia="Palatino Linotype" w:hAnsi="Palatino Linotype" w:cs="Palatino Linotype"/>
          <w:b/>
          <w:sz w:val="22"/>
          <w:szCs w:val="22"/>
        </w:rPr>
        <w:t xml:space="preserve">SUJETO OBLIGADO </w:t>
      </w:r>
      <w:r w:rsidRPr="00A8685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26D89A7" w14:textId="77777777" w:rsidR="001C12ED" w:rsidRPr="00A8685E" w:rsidRDefault="005239E6">
      <w:pPr>
        <w:spacing w:before="240" w:after="240"/>
        <w:ind w:left="851"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sidRPr="00A8685E">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7F46AE0C" w14:textId="77777777" w:rsidR="001C12ED" w:rsidRPr="00A8685E" w:rsidRDefault="005239E6">
      <w:pPr>
        <w:spacing w:before="240" w:after="240"/>
        <w:ind w:left="851"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En atención a la solicitud con folio 00282/TOLUCA/IP/2025, me permito adjuntar al presente la respuesta correspondiente. Sin más por el momento, reciba un saludo.</w:t>
      </w:r>
    </w:p>
    <w:p w14:paraId="558FEF27" w14:textId="77777777" w:rsidR="001C12ED" w:rsidRPr="00A8685E" w:rsidRDefault="005239E6">
      <w:pPr>
        <w:spacing w:before="240" w:after="240"/>
        <w:ind w:left="851"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ATENTAMENTE</w:t>
      </w:r>
    </w:p>
    <w:p w14:paraId="0DD6A17C" w14:textId="77777777" w:rsidR="001C12ED" w:rsidRPr="00A8685E" w:rsidRDefault="005239E6">
      <w:pPr>
        <w:spacing w:before="240" w:after="240"/>
        <w:ind w:left="851"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Dr. Nahum Miguel Mendoza Morales” (Sic)</w:t>
      </w:r>
    </w:p>
    <w:p w14:paraId="7DFDBE40"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El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xml:space="preserve"> adjuntó los siguientes archivos electrónicos:</w:t>
      </w:r>
    </w:p>
    <w:p w14:paraId="0A78A3E6" w14:textId="77777777" w:rsidR="001C12ED" w:rsidRPr="00A8685E" w:rsidRDefault="005239E6">
      <w:pPr>
        <w:numPr>
          <w:ilvl w:val="0"/>
          <w:numId w:val="5"/>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 xml:space="preserve">RESPUESTA 282.2025.pdf: </w:t>
      </w:r>
      <w:r w:rsidRPr="00A8685E">
        <w:rPr>
          <w:rFonts w:ascii="Palatino Linotype" w:eastAsia="Palatino Linotype" w:hAnsi="Palatino Linotype" w:cs="Palatino Linotype"/>
          <w:sz w:val="22"/>
          <w:szCs w:val="22"/>
        </w:rPr>
        <w:t>Documento sin número de oficio suscrito por el Titular de la Unidad de Transparencia, mediante el cual refiere que la información puede ser consultada en la dirección electrónica siguiente:</w:t>
      </w:r>
    </w:p>
    <w:p w14:paraId="513471C4" w14:textId="77777777" w:rsidR="001C12ED" w:rsidRPr="00A8685E" w:rsidRDefault="005239E6">
      <w:pPr>
        <w:pBdr>
          <w:top w:val="nil"/>
          <w:left w:val="nil"/>
          <w:bottom w:val="nil"/>
          <w:right w:val="nil"/>
          <w:between w:val="nil"/>
        </w:pBdr>
        <w:spacing w:before="240" w:after="240" w:line="360" w:lineRule="auto"/>
        <w:ind w:left="720" w:right="49"/>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noProof/>
          <w:sz w:val="22"/>
          <w:szCs w:val="22"/>
          <w:lang w:val="es-MX"/>
        </w:rPr>
        <w:drawing>
          <wp:inline distT="0" distB="0" distL="0" distR="0" wp14:anchorId="5FDA6634" wp14:editId="588FB188">
            <wp:extent cx="2219635" cy="228632"/>
            <wp:effectExtent l="0" t="0" r="0" b="0"/>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9635" cy="228632"/>
                    </a:xfrm>
                    <a:prstGeom prst="rect">
                      <a:avLst/>
                    </a:prstGeom>
                    <a:ln/>
                  </pic:spPr>
                </pic:pic>
              </a:graphicData>
            </a:graphic>
          </wp:inline>
        </w:drawing>
      </w:r>
    </w:p>
    <w:p w14:paraId="63FD436B"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3. Interposición del recurso de revisión. </w:t>
      </w:r>
      <w:r w:rsidRPr="00A8685E">
        <w:rPr>
          <w:rFonts w:ascii="Palatino Linotype" w:eastAsia="Palatino Linotype" w:hAnsi="Palatino Linotype" w:cs="Palatino Linotype"/>
          <w:sz w:val="22"/>
          <w:szCs w:val="22"/>
        </w:rPr>
        <w:t xml:space="preserve">Inconforme con los términos de la respuesta emitida por parte del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xml:space="preserve">, el once de febrero de dos mil veinticinco, la parte </w:t>
      </w:r>
      <w:r w:rsidRPr="00A8685E">
        <w:rPr>
          <w:rFonts w:ascii="Palatino Linotype" w:eastAsia="Palatino Linotype" w:hAnsi="Palatino Linotype" w:cs="Palatino Linotype"/>
          <w:b/>
          <w:sz w:val="22"/>
          <w:szCs w:val="22"/>
        </w:rPr>
        <w:t>RECURRENTE</w:t>
      </w:r>
      <w:r w:rsidRPr="00A8685E">
        <w:rPr>
          <w:rFonts w:ascii="Palatino Linotype" w:eastAsia="Palatino Linotype" w:hAnsi="Palatino Linotype" w:cs="Palatino Linotype"/>
          <w:sz w:val="22"/>
          <w:szCs w:val="22"/>
        </w:rPr>
        <w:t xml:space="preserve"> interpuso el recurso de revisión a través de </w:t>
      </w:r>
      <w:r w:rsidRPr="00A8685E">
        <w:rPr>
          <w:rFonts w:ascii="Palatino Linotype" w:eastAsia="Palatino Linotype" w:hAnsi="Palatino Linotype" w:cs="Palatino Linotype"/>
          <w:b/>
          <w:sz w:val="22"/>
          <w:szCs w:val="22"/>
        </w:rPr>
        <w:t xml:space="preserve">SAIMEX; </w:t>
      </w:r>
      <w:r w:rsidRPr="00A8685E">
        <w:rPr>
          <w:rFonts w:ascii="Palatino Linotype" w:eastAsia="Palatino Linotype" w:hAnsi="Palatino Linotype" w:cs="Palatino Linotype"/>
          <w:sz w:val="22"/>
          <w:szCs w:val="22"/>
        </w:rPr>
        <w:t>en donde se manifestó de la siguiente manera:</w:t>
      </w:r>
    </w:p>
    <w:p w14:paraId="06104A33" w14:textId="77777777" w:rsidR="001C12ED" w:rsidRPr="00A8685E" w:rsidRDefault="005239E6">
      <w:pPr>
        <w:numPr>
          <w:ilvl w:val="0"/>
          <w:numId w:val="5"/>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 xml:space="preserve">Acto impugnado: </w:t>
      </w:r>
    </w:p>
    <w:p w14:paraId="39FB3057" w14:textId="77777777" w:rsidR="001C12ED" w:rsidRPr="00A8685E" w:rsidRDefault="005239E6">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“la respuesta de la unidad de transparencia” (Sic)</w:t>
      </w:r>
    </w:p>
    <w:p w14:paraId="747A3AB7" w14:textId="77777777" w:rsidR="001C12ED" w:rsidRPr="00A8685E" w:rsidRDefault="001C12ED">
      <w:pPr>
        <w:ind w:left="851" w:right="902"/>
        <w:jc w:val="both"/>
        <w:rPr>
          <w:rFonts w:ascii="Palatino Linotype" w:eastAsia="Palatino Linotype" w:hAnsi="Palatino Linotype" w:cs="Palatino Linotype"/>
          <w:i/>
          <w:sz w:val="22"/>
          <w:szCs w:val="22"/>
        </w:rPr>
      </w:pPr>
    </w:p>
    <w:p w14:paraId="102B78C4" w14:textId="77777777" w:rsidR="001C12ED" w:rsidRPr="00A8685E" w:rsidRDefault="005239E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Y Razones o motivos de inconformidad</w:t>
      </w:r>
      <w:r w:rsidRPr="00A8685E">
        <w:rPr>
          <w:rFonts w:ascii="Palatino Linotype" w:eastAsia="Palatino Linotype" w:hAnsi="Palatino Linotype" w:cs="Palatino Linotype"/>
          <w:sz w:val="22"/>
          <w:szCs w:val="22"/>
        </w:rPr>
        <w:t>:</w:t>
      </w:r>
    </w:p>
    <w:p w14:paraId="6EC4BB76" w14:textId="77777777" w:rsidR="001C12ED" w:rsidRPr="00A8685E" w:rsidRDefault="005239E6">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A8685E">
        <w:rPr>
          <w:rFonts w:ascii="Palatino Linotype" w:eastAsia="Palatino Linotype" w:hAnsi="Palatino Linotype" w:cs="Palatino Linotype"/>
          <w:i/>
          <w:sz w:val="22"/>
          <w:szCs w:val="22"/>
        </w:rPr>
        <w:t>“solo ganan tiempo con dolo y me mandan a un link que no sirve y no me entrega la información” (Sic)</w:t>
      </w:r>
    </w:p>
    <w:p w14:paraId="0C5889EB" w14:textId="77777777" w:rsidR="001C12ED" w:rsidRPr="00A8685E" w:rsidRDefault="001C12ED">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3BAFAD26" w14:textId="77777777" w:rsidR="001C12ED" w:rsidRPr="00A8685E" w:rsidRDefault="005239E6">
      <w:pPr>
        <w:spacing w:line="360" w:lineRule="auto"/>
        <w:ind w:right="51"/>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4. Turno. </w:t>
      </w:r>
      <w:r w:rsidRPr="00A8685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A8685E">
        <w:rPr>
          <w:rFonts w:ascii="Palatino Linotype" w:eastAsia="Palatino Linotype" w:hAnsi="Palatino Linotype" w:cs="Palatino Linotype"/>
          <w:sz w:val="22"/>
          <w:szCs w:val="22"/>
        </w:rPr>
        <w:lastRenderedPageBreak/>
        <w:t xml:space="preserve">a la Comisionada </w:t>
      </w:r>
      <w:r w:rsidRPr="00A8685E">
        <w:rPr>
          <w:rFonts w:ascii="Palatino Linotype" w:eastAsia="Palatino Linotype" w:hAnsi="Palatino Linotype" w:cs="Palatino Linotype"/>
          <w:b/>
          <w:sz w:val="22"/>
          <w:szCs w:val="22"/>
        </w:rPr>
        <w:t xml:space="preserve">Guadalupe Ramírez Peña, </w:t>
      </w:r>
      <w:r w:rsidRPr="00A8685E">
        <w:rPr>
          <w:rFonts w:ascii="Palatino Linotype" w:eastAsia="Palatino Linotype" w:hAnsi="Palatino Linotype" w:cs="Palatino Linotype"/>
          <w:sz w:val="22"/>
          <w:szCs w:val="22"/>
        </w:rPr>
        <w:t xml:space="preserve">a efecto de que analizara sobre su admisión o su </w:t>
      </w:r>
      <w:proofErr w:type="spellStart"/>
      <w:r w:rsidRPr="00A8685E">
        <w:rPr>
          <w:rFonts w:ascii="Palatino Linotype" w:eastAsia="Palatino Linotype" w:hAnsi="Palatino Linotype" w:cs="Palatino Linotype"/>
          <w:sz w:val="22"/>
          <w:szCs w:val="22"/>
        </w:rPr>
        <w:t>desechamiento</w:t>
      </w:r>
      <w:proofErr w:type="spellEnd"/>
      <w:r w:rsidRPr="00A8685E">
        <w:rPr>
          <w:rFonts w:ascii="Palatino Linotype" w:eastAsia="Palatino Linotype" w:hAnsi="Palatino Linotype" w:cs="Palatino Linotype"/>
          <w:sz w:val="22"/>
          <w:szCs w:val="22"/>
        </w:rPr>
        <w:t>.</w:t>
      </w:r>
    </w:p>
    <w:p w14:paraId="5D926E28" w14:textId="77777777" w:rsidR="001C12ED" w:rsidRPr="00A8685E" w:rsidRDefault="001C12ED">
      <w:pPr>
        <w:spacing w:line="360" w:lineRule="auto"/>
        <w:ind w:right="51"/>
        <w:jc w:val="both"/>
        <w:rPr>
          <w:rFonts w:ascii="Palatino Linotype" w:eastAsia="Palatino Linotype" w:hAnsi="Palatino Linotype" w:cs="Palatino Linotype"/>
          <w:sz w:val="22"/>
          <w:szCs w:val="22"/>
        </w:rPr>
      </w:pPr>
    </w:p>
    <w:p w14:paraId="5598EF30" w14:textId="77777777" w:rsidR="001C12ED" w:rsidRPr="00A8685E" w:rsidRDefault="005239E6">
      <w:pPr>
        <w:spacing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5. Admisión del Recurso de revisión.</w:t>
      </w:r>
      <w:r w:rsidRPr="00A8685E">
        <w:rPr>
          <w:rFonts w:ascii="Palatino Linotype" w:eastAsia="Palatino Linotype" w:hAnsi="Palatino Linotype" w:cs="Palatino Linotype"/>
          <w:sz w:val="22"/>
          <w:szCs w:val="22"/>
        </w:rPr>
        <w:t xml:space="preserve"> Con fecha</w:t>
      </w:r>
      <w:r w:rsidRPr="00A8685E">
        <w:rPr>
          <w:rFonts w:ascii="Palatino Linotype" w:eastAsia="Palatino Linotype" w:hAnsi="Palatino Linotype" w:cs="Palatino Linotype"/>
          <w:b/>
          <w:sz w:val="22"/>
          <w:szCs w:val="22"/>
        </w:rPr>
        <w:t xml:space="preserve"> catorce de febrero de dos mil veinticinco, </w:t>
      </w:r>
      <w:r w:rsidRPr="00A8685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8685E">
        <w:rPr>
          <w:rFonts w:ascii="Palatino Linotype" w:eastAsia="Palatino Linotype" w:hAnsi="Palatino Linotype" w:cs="Palatino Linotype"/>
          <w:b/>
          <w:sz w:val="22"/>
          <w:szCs w:val="22"/>
        </w:rPr>
        <w:t xml:space="preserve">SUJETO OBLIGADO </w:t>
      </w:r>
      <w:r w:rsidRPr="00A8685E">
        <w:rPr>
          <w:rFonts w:ascii="Palatino Linotype" w:eastAsia="Palatino Linotype" w:hAnsi="Palatino Linotype" w:cs="Palatino Linotype"/>
          <w:sz w:val="22"/>
          <w:szCs w:val="22"/>
        </w:rPr>
        <w:t>presentara su informe justificado.</w:t>
      </w:r>
    </w:p>
    <w:p w14:paraId="671CEB89" w14:textId="77777777" w:rsidR="001C12ED" w:rsidRPr="00A8685E" w:rsidRDefault="005239E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A8685E">
        <w:rPr>
          <w:rFonts w:ascii="Palatino Linotype" w:eastAsia="Palatino Linotype" w:hAnsi="Palatino Linotype" w:cs="Palatino Linotype"/>
          <w:b/>
          <w:sz w:val="22"/>
          <w:szCs w:val="22"/>
        </w:rPr>
        <w:t>6. Manifestaciones</w:t>
      </w:r>
      <w:r w:rsidRPr="00A8685E">
        <w:rPr>
          <w:rFonts w:ascii="Palatino Linotype" w:eastAsia="Palatino Linotype" w:hAnsi="Palatino Linotype" w:cs="Palatino Linotype"/>
          <w:sz w:val="22"/>
          <w:szCs w:val="22"/>
        </w:rPr>
        <w:t xml:space="preserve">. De las constancias que obran en el expediente electrónico del SAIMEX, se aprecia que el Sujeto Obligado rindió su informe justificado el </w:t>
      </w:r>
      <w:r w:rsidRPr="00A8685E">
        <w:rPr>
          <w:rFonts w:ascii="Palatino Linotype" w:eastAsia="Palatino Linotype" w:hAnsi="Palatino Linotype" w:cs="Palatino Linotype"/>
          <w:b/>
          <w:sz w:val="22"/>
          <w:szCs w:val="22"/>
        </w:rPr>
        <w:t>veinticinco de febrero de dos mil veinticinco</w:t>
      </w:r>
      <w:r w:rsidRPr="00A8685E">
        <w:rPr>
          <w:rFonts w:ascii="Palatino Linotype" w:eastAsia="Palatino Linotype" w:hAnsi="Palatino Linotype" w:cs="Palatino Linotype"/>
          <w:sz w:val="22"/>
          <w:szCs w:val="22"/>
        </w:rPr>
        <w:t xml:space="preserve">, a través del documento electrónico </w:t>
      </w:r>
      <w:r w:rsidRPr="00A8685E">
        <w:rPr>
          <w:rFonts w:ascii="Palatino Linotype" w:eastAsia="Palatino Linotype" w:hAnsi="Palatino Linotype" w:cs="Palatino Linotype"/>
          <w:b/>
          <w:i/>
          <w:sz w:val="22"/>
          <w:szCs w:val="22"/>
        </w:rPr>
        <w:t>RR-1109-2025</w:t>
      </w:r>
      <w:r w:rsidRPr="00A8685E">
        <w:rPr>
          <w:rFonts w:ascii="Palatino Linotype" w:eastAsia="Palatino Linotype" w:hAnsi="Palatino Linotype" w:cs="Palatino Linotype"/>
          <w:sz w:val="22"/>
          <w:szCs w:val="22"/>
        </w:rPr>
        <w:t>.</w:t>
      </w:r>
      <w:r w:rsidRPr="00A8685E">
        <w:rPr>
          <w:rFonts w:ascii="Palatino Linotype" w:eastAsia="Palatino Linotype" w:hAnsi="Palatino Linotype" w:cs="Palatino Linotype"/>
          <w:b/>
          <w:i/>
          <w:sz w:val="22"/>
          <w:szCs w:val="22"/>
        </w:rPr>
        <w:t>pdf</w:t>
      </w:r>
      <w:r w:rsidRPr="00A8685E">
        <w:rPr>
          <w:rFonts w:ascii="Palatino Linotype" w:eastAsia="Palatino Linotype" w:hAnsi="Palatino Linotype" w:cs="Palatino Linotype"/>
          <w:sz w:val="22"/>
          <w:szCs w:val="22"/>
        </w:rPr>
        <w:t xml:space="preserve">, adjuntándose el mismo documento en dos ocasiones. Dicho informe justificado se puso a disposición del Recurrente el </w:t>
      </w:r>
      <w:r w:rsidRPr="00A8685E">
        <w:rPr>
          <w:rFonts w:ascii="Palatino Linotype" w:eastAsia="Palatino Linotype" w:hAnsi="Palatino Linotype" w:cs="Palatino Linotype"/>
          <w:b/>
          <w:sz w:val="22"/>
          <w:szCs w:val="22"/>
        </w:rPr>
        <w:t>dieciocho de marzo de dos mil veinticinco</w:t>
      </w:r>
      <w:r w:rsidRPr="00A8685E">
        <w:rPr>
          <w:rFonts w:ascii="Palatino Linotype" w:eastAsia="Palatino Linotype" w:hAnsi="Palatino Linotype" w:cs="Palatino Linotype"/>
          <w:sz w:val="22"/>
          <w:szCs w:val="22"/>
        </w:rPr>
        <w:t>; sin embargo, se describe su contenido medular; siendo el siguiente:</w:t>
      </w:r>
    </w:p>
    <w:p w14:paraId="5B84E493" w14:textId="77777777" w:rsidR="001C12ED" w:rsidRPr="00A8685E" w:rsidRDefault="005239E6">
      <w:pPr>
        <w:widowControl w:val="0"/>
        <w:numPr>
          <w:ilvl w:val="0"/>
          <w:numId w:val="1"/>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RR-1109-2025.pdf: </w:t>
      </w:r>
      <w:r w:rsidRPr="00A8685E">
        <w:rPr>
          <w:rFonts w:ascii="Palatino Linotype" w:eastAsia="Palatino Linotype" w:hAnsi="Palatino Linotype" w:cs="Palatino Linotype"/>
          <w:sz w:val="22"/>
          <w:szCs w:val="22"/>
        </w:rPr>
        <w:t>Documento sin número de oficio suscrito por el Titular de la Unidad de Transparencia</w:t>
      </w:r>
      <w:r w:rsidRPr="00A8685E">
        <w:rPr>
          <w:rFonts w:ascii="Palatino Linotype" w:eastAsia="Palatino Linotype" w:hAnsi="Palatino Linotype" w:cs="Palatino Linotype"/>
          <w:b/>
          <w:sz w:val="22"/>
          <w:szCs w:val="22"/>
        </w:rPr>
        <w:t xml:space="preserve"> </w:t>
      </w:r>
      <w:r w:rsidRPr="00A8685E">
        <w:rPr>
          <w:rFonts w:ascii="Palatino Linotype" w:eastAsia="Palatino Linotype" w:hAnsi="Palatino Linotype" w:cs="Palatino Linotype"/>
          <w:sz w:val="22"/>
          <w:szCs w:val="22"/>
        </w:rPr>
        <w:t>mediante el cual ratifica su respuesta inicial, argumentando</w:t>
      </w:r>
      <w:r w:rsidRPr="00A8685E">
        <w:rPr>
          <w:rFonts w:ascii="Palatino Linotype" w:eastAsia="Palatino Linotype" w:hAnsi="Palatino Linotype" w:cs="Palatino Linotype"/>
          <w:b/>
          <w:sz w:val="22"/>
          <w:szCs w:val="22"/>
        </w:rPr>
        <w:t xml:space="preserve"> </w:t>
      </w:r>
      <w:r w:rsidRPr="00A8685E">
        <w:rPr>
          <w:rFonts w:ascii="Palatino Linotype" w:eastAsia="Palatino Linotype" w:hAnsi="Palatino Linotype" w:cs="Palatino Linotype"/>
          <w:sz w:val="22"/>
          <w:szCs w:val="22"/>
        </w:rPr>
        <w:t>que la información requerida puede ser consultada en la dirección electrónica proporcionada en respuesta.</w:t>
      </w:r>
    </w:p>
    <w:p w14:paraId="1441B445"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7. Cierre de instrucción. </w:t>
      </w:r>
      <w:r w:rsidRPr="00A8685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A8685E">
        <w:rPr>
          <w:rFonts w:ascii="Palatino Linotype" w:eastAsia="Palatino Linotype" w:hAnsi="Palatino Linotype" w:cs="Palatino Linotype"/>
          <w:b/>
          <w:sz w:val="22"/>
          <w:szCs w:val="22"/>
        </w:rPr>
        <w:t>veinticinco</w:t>
      </w:r>
      <w:r w:rsidRPr="00A8685E">
        <w:rPr>
          <w:rFonts w:ascii="Palatino Linotype" w:eastAsia="Palatino Linotype" w:hAnsi="Palatino Linotype" w:cs="Palatino Linotype"/>
          <w:sz w:val="22"/>
          <w:szCs w:val="22"/>
        </w:rPr>
        <w:t xml:space="preserve"> </w:t>
      </w:r>
      <w:r w:rsidRPr="00A8685E">
        <w:rPr>
          <w:rFonts w:ascii="Palatino Linotype" w:eastAsia="Palatino Linotype" w:hAnsi="Palatino Linotype" w:cs="Palatino Linotype"/>
          <w:b/>
          <w:sz w:val="22"/>
          <w:szCs w:val="22"/>
        </w:rPr>
        <w:t xml:space="preserve">de marzo de dos mil veinticinco, </w:t>
      </w:r>
      <w:r w:rsidRPr="00A8685E">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37AD7EE1"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15E93FFA" w14:textId="77777777" w:rsidR="001C12ED" w:rsidRPr="00A8685E" w:rsidRDefault="005239E6">
      <w:pPr>
        <w:widowControl w:val="0"/>
        <w:spacing w:line="360" w:lineRule="auto"/>
        <w:jc w:val="center"/>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II. C O N S I D E R A N D O S</w:t>
      </w:r>
    </w:p>
    <w:p w14:paraId="3048232D" w14:textId="77777777" w:rsidR="001C12ED" w:rsidRPr="00A8685E" w:rsidRDefault="001C12ED">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5A7A4884"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Primero. Competencia.</w:t>
      </w:r>
      <w:r w:rsidRPr="00A8685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3CE19F"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A8685E">
        <w:rPr>
          <w:rFonts w:ascii="Palatino Linotype" w:eastAsia="Palatino Linotype" w:hAnsi="Palatino Linotype" w:cs="Palatino Linotype"/>
          <w:b/>
          <w:sz w:val="22"/>
          <w:szCs w:val="22"/>
        </w:rPr>
        <w:t xml:space="preserve">Segundo. Oportunidad y Procedibilidad del Recurso de Revisión. </w:t>
      </w:r>
      <w:r w:rsidRPr="00A8685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A8594A"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0776657F" w14:textId="77777777" w:rsidR="001C12ED" w:rsidRPr="00A8685E" w:rsidRDefault="005239E6">
      <w:pPr>
        <w:ind w:left="851" w:right="900"/>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 xml:space="preserve">“Artículo 178. </w:t>
      </w:r>
      <w:r w:rsidRPr="00A8685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420650B"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xml:space="preserve"> remitió la respuesta a la solicitud de información el </w:t>
      </w:r>
      <w:r w:rsidRPr="00A8685E">
        <w:rPr>
          <w:rFonts w:ascii="Palatino Linotype" w:eastAsia="Palatino Linotype" w:hAnsi="Palatino Linotype" w:cs="Palatino Linotype"/>
          <w:b/>
          <w:sz w:val="22"/>
          <w:szCs w:val="22"/>
        </w:rPr>
        <w:t xml:space="preserve">seis de febrero de dos mil veinticinco, </w:t>
      </w:r>
      <w:r w:rsidRPr="00A8685E">
        <w:rPr>
          <w:rFonts w:ascii="Palatino Linotype" w:eastAsia="Palatino Linotype" w:hAnsi="Palatino Linotype" w:cs="Palatino Linotype"/>
          <w:sz w:val="22"/>
          <w:szCs w:val="22"/>
        </w:rPr>
        <w:t xml:space="preserve">mientras que el recurso de revisión interpuesto por la parte </w:t>
      </w:r>
      <w:r w:rsidRPr="00A8685E">
        <w:rPr>
          <w:rFonts w:ascii="Palatino Linotype" w:eastAsia="Palatino Linotype" w:hAnsi="Palatino Linotype" w:cs="Palatino Linotype"/>
          <w:b/>
          <w:sz w:val="22"/>
          <w:szCs w:val="22"/>
        </w:rPr>
        <w:t>RECURRENTE</w:t>
      </w:r>
      <w:r w:rsidRPr="00A8685E">
        <w:rPr>
          <w:rFonts w:ascii="Palatino Linotype" w:eastAsia="Palatino Linotype" w:hAnsi="Palatino Linotype" w:cs="Palatino Linotype"/>
          <w:sz w:val="22"/>
          <w:szCs w:val="22"/>
        </w:rPr>
        <w:t xml:space="preserve">, se tuvo por presentado el día </w:t>
      </w:r>
      <w:r w:rsidRPr="00A8685E">
        <w:rPr>
          <w:rFonts w:ascii="Palatino Linotype" w:eastAsia="Palatino Linotype" w:hAnsi="Palatino Linotype" w:cs="Palatino Linotype"/>
          <w:b/>
          <w:sz w:val="22"/>
          <w:szCs w:val="22"/>
        </w:rPr>
        <w:t>once de febrero del año dos mil veinticinco</w:t>
      </w:r>
      <w:r w:rsidRPr="00A8685E">
        <w:rPr>
          <w:rFonts w:ascii="Palatino Linotype" w:eastAsia="Palatino Linotype" w:hAnsi="Palatino Linotype" w:cs="Palatino Linotype"/>
          <w:sz w:val="22"/>
          <w:szCs w:val="22"/>
        </w:rPr>
        <w:t>; esto es, al tercer día hábil siguiente en que tuvo conocimiento de la respuesta.</w:t>
      </w:r>
    </w:p>
    <w:p w14:paraId="49D141C5"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A8685E">
        <w:rPr>
          <w:rFonts w:ascii="Palatino Linotype" w:eastAsia="Palatino Linotype" w:hAnsi="Palatino Linotype" w:cs="Palatino Linotype"/>
          <w:b/>
          <w:sz w:val="22"/>
          <w:szCs w:val="22"/>
        </w:rPr>
        <w:t>RECURRENTE</w:t>
      </w:r>
      <w:r w:rsidRPr="00A8685E">
        <w:rPr>
          <w:rFonts w:ascii="Palatino Linotype" w:eastAsia="Palatino Linotype" w:hAnsi="Palatino Linotype" w:cs="Palatino Linotype"/>
          <w:sz w:val="22"/>
          <w:szCs w:val="22"/>
        </w:rPr>
        <w:t>, no proporcionó su nombre</w:t>
      </w:r>
      <w:r w:rsidRPr="00A8685E">
        <w:rPr>
          <w:rFonts w:ascii="Palatino Linotype" w:eastAsia="Palatino Linotype" w:hAnsi="Palatino Linotype" w:cs="Palatino Linotype"/>
          <w:b/>
          <w:sz w:val="22"/>
          <w:szCs w:val="22"/>
        </w:rPr>
        <w:t>,</w:t>
      </w:r>
      <w:r w:rsidRPr="00A8685E">
        <w:rPr>
          <w:rFonts w:ascii="Palatino Linotype" w:eastAsia="Palatino Linotype" w:hAnsi="Palatino Linotype" w:cs="Palatino Linotype"/>
          <w:sz w:val="22"/>
          <w:szCs w:val="22"/>
        </w:rPr>
        <w:t xml:space="preserve"> como se advierte en el detalle de 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BD4F62F" w14:textId="77777777" w:rsidR="001C12ED" w:rsidRPr="00A8685E" w:rsidRDefault="005239E6">
      <w:pPr>
        <w:spacing w:before="240" w:after="240" w:line="276" w:lineRule="auto"/>
        <w:ind w:left="851" w:right="902"/>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r w:rsidRPr="00A8685E">
        <w:rPr>
          <w:rFonts w:ascii="Palatino Linotype" w:eastAsia="Palatino Linotype" w:hAnsi="Palatino Linotype" w:cs="Palatino Linotype"/>
          <w:b/>
          <w:i/>
          <w:sz w:val="22"/>
          <w:szCs w:val="22"/>
        </w:rPr>
        <w:t xml:space="preserve">Las solicitudes </w:t>
      </w:r>
      <w:r w:rsidRPr="00A8685E">
        <w:rPr>
          <w:rFonts w:ascii="Palatino Linotype" w:eastAsia="Palatino Linotype" w:hAnsi="Palatino Linotype" w:cs="Palatino Linotype"/>
          <w:i/>
          <w:sz w:val="22"/>
          <w:szCs w:val="22"/>
        </w:rPr>
        <w:t xml:space="preserve">anónimas, con </w:t>
      </w:r>
      <w:r w:rsidRPr="00A8685E">
        <w:rPr>
          <w:rFonts w:ascii="Palatino Linotype" w:eastAsia="Palatino Linotype" w:hAnsi="Palatino Linotype" w:cs="Palatino Linotype"/>
          <w:b/>
          <w:i/>
          <w:sz w:val="22"/>
          <w:szCs w:val="22"/>
        </w:rPr>
        <w:t>nombre incompleto o seudónimo</w:t>
      </w:r>
      <w:r w:rsidRPr="00A8685E">
        <w:rPr>
          <w:rFonts w:ascii="Palatino Linotype" w:eastAsia="Palatino Linotype" w:hAnsi="Palatino Linotype" w:cs="Palatino Linotype"/>
          <w:i/>
          <w:sz w:val="22"/>
          <w:szCs w:val="22"/>
        </w:rPr>
        <w:t xml:space="preserve"> </w:t>
      </w:r>
      <w:r w:rsidRPr="00A8685E">
        <w:rPr>
          <w:rFonts w:ascii="Palatino Linotype" w:eastAsia="Palatino Linotype" w:hAnsi="Palatino Linotype" w:cs="Palatino Linotype"/>
          <w:b/>
          <w:i/>
          <w:sz w:val="22"/>
          <w:szCs w:val="22"/>
        </w:rPr>
        <w:t>serán procedentes para su trámite por parte del sujeto obligado ante quien se presente</w:t>
      </w:r>
      <w:r w:rsidRPr="00A8685E">
        <w:rPr>
          <w:rFonts w:ascii="Palatino Linotype" w:eastAsia="Palatino Linotype" w:hAnsi="Palatino Linotype" w:cs="Palatino Linotype"/>
          <w:i/>
          <w:sz w:val="22"/>
          <w:szCs w:val="22"/>
        </w:rPr>
        <w:t>. No podrá requerirse información adicional con motivo del nombre proporcionado por el solicitante."(Sic)</w:t>
      </w:r>
    </w:p>
    <w:p w14:paraId="33F55E30"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72B2DAE"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 en el artículo 179, fracción IX de la ley de la materia, que a la letra dice:</w:t>
      </w:r>
    </w:p>
    <w:p w14:paraId="7E8448AB" w14:textId="77777777" w:rsidR="001C12ED" w:rsidRPr="00A8685E" w:rsidRDefault="005239E6">
      <w:pPr>
        <w:ind w:left="851" w:right="104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r w:rsidRPr="00A8685E">
        <w:rPr>
          <w:rFonts w:ascii="Palatino Linotype" w:eastAsia="Palatino Linotype" w:hAnsi="Palatino Linotype" w:cs="Palatino Linotype"/>
          <w:b/>
          <w:i/>
          <w:sz w:val="22"/>
          <w:szCs w:val="22"/>
        </w:rPr>
        <w:t xml:space="preserve">Artículo 179. </w:t>
      </w:r>
      <w:r w:rsidRPr="00A8685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3E4CDDF" w14:textId="77777777" w:rsidR="001C12ED" w:rsidRPr="00A8685E" w:rsidRDefault="005239E6">
      <w:pPr>
        <w:ind w:left="851" w:right="104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p>
    <w:p w14:paraId="6BBAA054" w14:textId="77777777" w:rsidR="001C12ED" w:rsidRPr="00A8685E" w:rsidRDefault="005239E6">
      <w:pPr>
        <w:ind w:left="851" w:right="104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IX. La entrega o puesta a disposición de información en un formato incomprensible y/o no accesible para el solicitante;</w:t>
      </w:r>
    </w:p>
    <w:p w14:paraId="71A598D2" w14:textId="77777777" w:rsidR="001C12ED" w:rsidRPr="00A8685E" w:rsidRDefault="005239E6">
      <w:pPr>
        <w:ind w:left="851" w:right="104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p>
    <w:p w14:paraId="78E4961D" w14:textId="77777777" w:rsidR="001C12ED" w:rsidRPr="00A8685E" w:rsidRDefault="005239E6">
      <w:pPr>
        <w:spacing w:before="280" w:after="28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Tercero. Materia de Revisión</w:t>
      </w:r>
      <w:r w:rsidRPr="00A8685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A8685E">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A8685E">
        <w:rPr>
          <w:rFonts w:ascii="Palatino Linotype" w:eastAsia="Palatino Linotype" w:hAnsi="Palatino Linotype" w:cs="Palatino Linotype"/>
          <w:sz w:val="22"/>
          <w:szCs w:val="22"/>
        </w:rPr>
        <w:t xml:space="preserve">del </w:t>
      </w:r>
      <w:r w:rsidRPr="00A8685E">
        <w:rPr>
          <w:rFonts w:ascii="Palatino Linotype" w:eastAsia="Palatino Linotype" w:hAnsi="Palatino Linotype" w:cs="Palatino Linotype"/>
          <w:b/>
          <w:sz w:val="22"/>
          <w:szCs w:val="22"/>
        </w:rPr>
        <w:t>RECURRENTE</w:t>
      </w:r>
      <w:r w:rsidRPr="00A8685E">
        <w:rPr>
          <w:rFonts w:ascii="Palatino Linotype" w:eastAsia="Palatino Linotype" w:hAnsi="Palatino Linotype" w:cs="Palatino Linotype"/>
          <w:sz w:val="22"/>
          <w:szCs w:val="22"/>
        </w:rPr>
        <w:t>, o en su defecto, en caso de ser procedente, ordenar la entrega de información.</w:t>
      </w:r>
    </w:p>
    <w:p w14:paraId="745FD10A"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Cuarto. Estudio de fondo del asunto. </w:t>
      </w:r>
      <w:r w:rsidRPr="00A8685E">
        <w:rPr>
          <w:rFonts w:ascii="Palatino Linotype" w:eastAsia="Palatino Linotype" w:hAnsi="Palatino Linotype" w:cs="Palatino Linotype"/>
          <w:sz w:val="22"/>
          <w:szCs w:val="22"/>
        </w:rPr>
        <w:t xml:space="preserve">Es conveniente analizar si la respuesta del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AE36C3D" w14:textId="77777777" w:rsidR="001C12ED" w:rsidRPr="00A8685E" w:rsidRDefault="005239E6">
      <w:pPr>
        <w:spacing w:before="240"/>
        <w:ind w:left="709" w:right="760"/>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r w:rsidRPr="00A8685E">
        <w:rPr>
          <w:rFonts w:ascii="Palatino Linotype" w:eastAsia="Palatino Linotype" w:hAnsi="Palatino Linotype" w:cs="Palatino Linotype"/>
          <w:b/>
          <w:i/>
          <w:sz w:val="22"/>
          <w:szCs w:val="22"/>
        </w:rPr>
        <w:t>Artículo 4</w:t>
      </w:r>
      <w:r w:rsidRPr="00A8685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1BC2087" w14:textId="77777777" w:rsidR="001C12ED" w:rsidRPr="00A8685E" w:rsidRDefault="005239E6">
      <w:pPr>
        <w:ind w:left="709" w:right="760"/>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8685E">
        <w:rPr>
          <w:rFonts w:ascii="Palatino Linotype" w:eastAsia="Palatino Linotype" w:hAnsi="Palatino Linotype" w:cs="Palatino Linotype"/>
          <w:i/>
          <w:sz w:val="22"/>
          <w:szCs w:val="22"/>
        </w:rPr>
        <w:t xml:space="preserve">, en los términos y condiciones que </w:t>
      </w:r>
      <w:r w:rsidRPr="00A8685E">
        <w:rPr>
          <w:rFonts w:ascii="Palatino Linotype" w:eastAsia="Palatino Linotype" w:hAnsi="Palatino Linotype" w:cs="Palatino Linotype"/>
          <w:i/>
          <w:sz w:val="22"/>
          <w:szCs w:val="22"/>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388FA4" w14:textId="77777777" w:rsidR="001C12ED" w:rsidRPr="00A8685E" w:rsidRDefault="005239E6">
      <w:pPr>
        <w:ind w:left="709" w:right="760"/>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8685E">
        <w:rPr>
          <w:rFonts w:ascii="Palatino Linotype" w:eastAsia="Palatino Linotype" w:hAnsi="Palatino Linotype" w:cs="Palatino Linotype"/>
          <w:i/>
          <w:sz w:val="22"/>
          <w:szCs w:val="22"/>
        </w:rPr>
        <w:t>.”</w:t>
      </w:r>
    </w:p>
    <w:p w14:paraId="19EB740D"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78CFD8A8"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8B79F3D"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1764CAE4" w14:textId="77777777" w:rsidR="001C12ED" w:rsidRPr="00A8685E" w:rsidRDefault="005239E6">
      <w:pPr>
        <w:ind w:left="567" w:right="758"/>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“Artículo 12.-</w:t>
      </w:r>
      <w:r w:rsidRPr="00A8685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0C85D9B" w14:textId="77777777" w:rsidR="001C12ED" w:rsidRPr="00A8685E" w:rsidRDefault="001C12ED">
      <w:pPr>
        <w:ind w:left="567" w:right="758"/>
        <w:jc w:val="both"/>
        <w:rPr>
          <w:rFonts w:ascii="Palatino Linotype" w:eastAsia="Palatino Linotype" w:hAnsi="Palatino Linotype" w:cs="Palatino Linotype"/>
          <w:i/>
          <w:sz w:val="22"/>
          <w:szCs w:val="22"/>
        </w:rPr>
      </w:pPr>
    </w:p>
    <w:p w14:paraId="71BBAF70" w14:textId="77777777" w:rsidR="001C12ED" w:rsidRPr="00A8685E" w:rsidRDefault="005239E6">
      <w:pPr>
        <w:ind w:left="567" w:right="758"/>
        <w:jc w:val="both"/>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8685E">
        <w:rPr>
          <w:rFonts w:ascii="Palatino Linotype" w:eastAsia="Palatino Linotype" w:hAnsi="Palatino Linotype" w:cs="Palatino Linotype"/>
          <w:i/>
          <w:sz w:val="22"/>
          <w:szCs w:val="22"/>
        </w:rPr>
        <w:t xml:space="preserve">. </w:t>
      </w:r>
      <w:r w:rsidRPr="00A8685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8465B5D" w14:textId="77777777" w:rsidR="001C12ED" w:rsidRPr="00A8685E" w:rsidRDefault="001C12ED">
      <w:pPr>
        <w:ind w:left="567" w:right="758"/>
        <w:jc w:val="both"/>
        <w:rPr>
          <w:rFonts w:ascii="Palatino Linotype" w:eastAsia="Palatino Linotype" w:hAnsi="Palatino Linotype" w:cs="Palatino Linotype"/>
          <w:i/>
          <w:sz w:val="22"/>
          <w:szCs w:val="22"/>
        </w:rPr>
      </w:pPr>
    </w:p>
    <w:p w14:paraId="4E2BEC68" w14:textId="77777777" w:rsidR="001C12ED" w:rsidRPr="00A8685E" w:rsidRDefault="005239E6">
      <w:pPr>
        <w:spacing w:line="360" w:lineRule="auto"/>
        <w:ind w:right="-93"/>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A8685E">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061921A9" w14:textId="77777777" w:rsidR="001C12ED" w:rsidRPr="00A8685E" w:rsidRDefault="001C12ED">
      <w:pPr>
        <w:spacing w:line="360" w:lineRule="auto"/>
        <w:ind w:right="-93"/>
        <w:jc w:val="both"/>
        <w:rPr>
          <w:rFonts w:ascii="Palatino Linotype" w:eastAsia="Palatino Linotype" w:hAnsi="Palatino Linotype" w:cs="Palatino Linotype"/>
          <w:sz w:val="22"/>
          <w:szCs w:val="22"/>
        </w:rPr>
      </w:pPr>
    </w:p>
    <w:p w14:paraId="0D2CF5A3" w14:textId="77777777" w:rsidR="001C12ED" w:rsidRPr="00A8685E" w:rsidRDefault="005239E6">
      <w:pPr>
        <w:spacing w:line="360" w:lineRule="auto"/>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A8685E">
        <w:rPr>
          <w:rFonts w:ascii="Palatino Linotype" w:eastAsia="Palatino Linotype" w:hAnsi="Palatino Linotype" w:cs="Palatino Linotype"/>
          <w:b/>
          <w:sz w:val="22"/>
          <w:szCs w:val="22"/>
        </w:rPr>
        <w:t xml:space="preserve"> </w:t>
      </w:r>
    </w:p>
    <w:p w14:paraId="10D82C42" w14:textId="77777777" w:rsidR="001C12ED" w:rsidRPr="00A8685E" w:rsidRDefault="001C12ED">
      <w:pPr>
        <w:ind w:left="851" w:right="850"/>
        <w:jc w:val="both"/>
        <w:rPr>
          <w:rFonts w:ascii="Palatino Linotype" w:eastAsia="Palatino Linotype" w:hAnsi="Palatino Linotype" w:cs="Palatino Linotype"/>
          <w:sz w:val="22"/>
          <w:szCs w:val="22"/>
        </w:rPr>
      </w:pPr>
    </w:p>
    <w:p w14:paraId="5026A2BD" w14:textId="77777777" w:rsidR="001C12ED" w:rsidRPr="00A8685E" w:rsidRDefault="005239E6">
      <w:pPr>
        <w:ind w:left="851" w:right="90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r w:rsidRPr="00A8685E">
        <w:rPr>
          <w:rFonts w:ascii="Palatino Linotype" w:eastAsia="Palatino Linotype" w:hAnsi="Palatino Linotype" w:cs="Palatino Linotype"/>
          <w:b/>
          <w:i/>
          <w:sz w:val="22"/>
          <w:szCs w:val="22"/>
        </w:rPr>
        <w:t>No existe obligación de elaborar documentos ad hoc para atender las solicitudes de acceso a la información.</w:t>
      </w:r>
      <w:r w:rsidRPr="00A8685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53E006D" w14:textId="77777777" w:rsidR="001C12ED" w:rsidRPr="00A8685E" w:rsidRDefault="005239E6">
      <w:pPr>
        <w:ind w:left="851" w:right="90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Resoluciones: </w:t>
      </w:r>
    </w:p>
    <w:p w14:paraId="66A358A5" w14:textId="77777777" w:rsidR="001C12ED" w:rsidRPr="00A8685E" w:rsidRDefault="005239E6">
      <w:pPr>
        <w:ind w:left="851" w:right="90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238CA64F" w14:textId="77777777" w:rsidR="001C12ED" w:rsidRPr="00A8685E" w:rsidRDefault="005239E6">
      <w:pPr>
        <w:ind w:left="851" w:right="90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5D4DB8B" w14:textId="77777777" w:rsidR="001C12ED" w:rsidRPr="00A8685E" w:rsidRDefault="005239E6">
      <w:pPr>
        <w:ind w:left="851" w:right="901"/>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31F76233" w14:textId="77777777" w:rsidR="001C12ED" w:rsidRPr="00A8685E" w:rsidRDefault="001C12ED">
      <w:pPr>
        <w:spacing w:line="360" w:lineRule="auto"/>
        <w:ind w:right="-93"/>
        <w:jc w:val="both"/>
        <w:rPr>
          <w:rFonts w:ascii="Palatino Linotype" w:eastAsia="Palatino Linotype" w:hAnsi="Palatino Linotype" w:cs="Palatino Linotype"/>
          <w:sz w:val="22"/>
          <w:szCs w:val="22"/>
        </w:rPr>
      </w:pPr>
    </w:p>
    <w:p w14:paraId="7A7F1E48"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9B9B59A"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6478C21D"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7BBC567"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4990C55A"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1EFEBBB" w14:textId="77777777" w:rsidR="001C12ED" w:rsidRPr="00A8685E" w:rsidRDefault="001C12ED">
      <w:pPr>
        <w:ind w:left="851" w:right="899"/>
        <w:jc w:val="both"/>
        <w:rPr>
          <w:rFonts w:ascii="Palatino Linotype" w:eastAsia="Palatino Linotype" w:hAnsi="Palatino Linotype" w:cs="Palatino Linotype"/>
          <w:i/>
          <w:sz w:val="22"/>
          <w:szCs w:val="22"/>
        </w:rPr>
      </w:pPr>
    </w:p>
    <w:p w14:paraId="7C333D32"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r w:rsidRPr="00A8685E">
        <w:rPr>
          <w:rFonts w:ascii="Palatino Linotype" w:eastAsia="Palatino Linotype" w:hAnsi="Palatino Linotype" w:cs="Palatino Linotype"/>
          <w:b/>
          <w:i/>
          <w:sz w:val="22"/>
          <w:szCs w:val="22"/>
        </w:rPr>
        <w:t xml:space="preserve">Artículo 3. </w:t>
      </w:r>
      <w:r w:rsidRPr="00A8685E">
        <w:rPr>
          <w:rFonts w:ascii="Palatino Linotype" w:eastAsia="Palatino Linotype" w:hAnsi="Palatino Linotype" w:cs="Palatino Linotype"/>
          <w:i/>
          <w:sz w:val="22"/>
          <w:szCs w:val="22"/>
        </w:rPr>
        <w:t>Para los efectos de la presente Ley se entenderá por:</w:t>
      </w:r>
    </w:p>
    <w:p w14:paraId="54BFA651"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w:t>
      </w:r>
    </w:p>
    <w:p w14:paraId="575C54B4"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XI. Documento:</w:t>
      </w:r>
      <w:r w:rsidRPr="00A8685E">
        <w:rPr>
          <w:rFonts w:ascii="Palatino Linotype" w:eastAsia="Palatino Linotype" w:hAnsi="Palatino Linotype" w:cs="Palatino Linotype"/>
          <w:i/>
          <w:sz w:val="22"/>
          <w:szCs w:val="22"/>
        </w:rPr>
        <w:t xml:space="preserve"> Los expedientes, reportes, estudios, actas</w:t>
      </w:r>
      <w:r w:rsidRPr="00A8685E">
        <w:rPr>
          <w:rFonts w:ascii="Palatino Linotype" w:eastAsia="Palatino Linotype" w:hAnsi="Palatino Linotype" w:cs="Palatino Linotype"/>
          <w:b/>
          <w:i/>
          <w:sz w:val="22"/>
          <w:szCs w:val="22"/>
        </w:rPr>
        <w:t>,</w:t>
      </w:r>
      <w:r w:rsidRPr="00A8685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C2A7115" w14:textId="77777777" w:rsidR="001C12ED" w:rsidRPr="00A8685E" w:rsidRDefault="001C12ED">
      <w:pPr>
        <w:ind w:left="851" w:right="899"/>
        <w:jc w:val="both"/>
        <w:rPr>
          <w:rFonts w:ascii="Palatino Linotype" w:eastAsia="Palatino Linotype" w:hAnsi="Palatino Linotype" w:cs="Palatino Linotype"/>
          <w:sz w:val="22"/>
          <w:szCs w:val="22"/>
        </w:rPr>
      </w:pPr>
    </w:p>
    <w:p w14:paraId="5340F77D"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E634D79" w14:textId="77777777" w:rsidR="001C12ED" w:rsidRPr="00A8685E" w:rsidRDefault="001C12ED">
      <w:pPr>
        <w:ind w:left="851" w:right="899"/>
        <w:jc w:val="both"/>
        <w:rPr>
          <w:rFonts w:ascii="Palatino Linotype" w:eastAsia="Palatino Linotype" w:hAnsi="Palatino Linotype" w:cs="Palatino Linotype"/>
          <w:sz w:val="22"/>
          <w:szCs w:val="22"/>
        </w:rPr>
      </w:pPr>
    </w:p>
    <w:p w14:paraId="42A01DB5" w14:textId="77777777" w:rsidR="001C12ED" w:rsidRPr="00A8685E" w:rsidRDefault="005239E6">
      <w:pPr>
        <w:ind w:left="851" w:right="899"/>
        <w:jc w:val="both"/>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sz w:val="22"/>
          <w:szCs w:val="22"/>
        </w:rPr>
        <w:t>“</w:t>
      </w:r>
      <w:r w:rsidRPr="00A8685E">
        <w:rPr>
          <w:rFonts w:ascii="Palatino Linotype" w:eastAsia="Palatino Linotype" w:hAnsi="Palatino Linotype" w:cs="Palatino Linotype"/>
          <w:b/>
          <w:i/>
          <w:sz w:val="22"/>
          <w:szCs w:val="22"/>
        </w:rPr>
        <w:t>CRITERIO 0002-11</w:t>
      </w:r>
    </w:p>
    <w:p w14:paraId="13A0813F"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8685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F8B1539"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5B9DC2F" w14:textId="77777777" w:rsidR="001C12ED" w:rsidRPr="00A8685E" w:rsidRDefault="005239E6">
      <w:pPr>
        <w:ind w:left="851" w:right="899"/>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640E4EC" w14:textId="77777777" w:rsidR="001C12ED" w:rsidRPr="00A8685E" w:rsidRDefault="005239E6">
      <w:pPr>
        <w:ind w:left="851" w:right="899"/>
        <w:jc w:val="both"/>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29AF027" w14:textId="77777777" w:rsidR="001C12ED" w:rsidRPr="00A8685E" w:rsidRDefault="005239E6">
      <w:pPr>
        <w:ind w:left="851" w:right="899"/>
        <w:jc w:val="both"/>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2CFBC769"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521DC64F" w14:textId="77777777" w:rsidR="001C12ED" w:rsidRPr="00A8685E" w:rsidRDefault="005239E6">
      <w:pPr>
        <w:spacing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A8685E">
        <w:rPr>
          <w:rFonts w:ascii="Palatino Linotype" w:eastAsia="Palatino Linotype" w:hAnsi="Palatino Linotype" w:cs="Palatino Linotype"/>
          <w:b/>
          <w:sz w:val="22"/>
          <w:szCs w:val="22"/>
        </w:rPr>
        <w:t>Ayuntamiento de Toluca</w:t>
      </w:r>
      <w:r w:rsidRPr="00A8685E">
        <w:rPr>
          <w:rFonts w:ascii="Palatino Linotype" w:eastAsia="Palatino Linotype" w:hAnsi="Palatino Linotype" w:cs="Palatino Linotype"/>
          <w:sz w:val="22"/>
          <w:szCs w:val="22"/>
        </w:rPr>
        <w:t xml:space="preserve">, lo siguiente: </w:t>
      </w:r>
    </w:p>
    <w:p w14:paraId="5B4DA342" w14:textId="77777777" w:rsidR="001C12ED" w:rsidRPr="00A8685E" w:rsidRDefault="005239E6">
      <w:pPr>
        <w:pBdr>
          <w:top w:val="nil"/>
          <w:left w:val="nil"/>
          <w:bottom w:val="nil"/>
          <w:right w:val="nil"/>
          <w:between w:val="nil"/>
        </w:pBdr>
        <w:spacing w:after="240" w:line="360" w:lineRule="auto"/>
        <w:ind w:left="567" w:right="616"/>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i/>
          <w:sz w:val="22"/>
          <w:szCs w:val="22"/>
        </w:rPr>
        <w:t>“SOLICITO TODA SU INFORMACIÓN PÚBLICA DE OFICIO EN EXEL.DEL AÑO 2024”</w:t>
      </w:r>
    </w:p>
    <w:p w14:paraId="4C7CFDA8"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respuesta, Ayuntamiento de Toluca refirió, tanto en respuesta como en informe justificado, que la información puede ser consultada en la plataforma de IPOMEX, por medio de la siguiente liga electrónica.</w:t>
      </w:r>
    </w:p>
    <w:p w14:paraId="721BF856" w14:textId="77777777" w:rsidR="001C12ED" w:rsidRPr="00A8685E" w:rsidRDefault="005239E6">
      <w:pPr>
        <w:spacing w:after="240" w:line="360" w:lineRule="auto"/>
        <w:ind w:right="49"/>
        <w:jc w:val="center"/>
        <w:rPr>
          <w:rFonts w:ascii="Palatino Linotype" w:eastAsia="Palatino Linotype" w:hAnsi="Palatino Linotype" w:cs="Palatino Linotype"/>
          <w:sz w:val="22"/>
          <w:szCs w:val="22"/>
        </w:rPr>
      </w:pPr>
      <w:r w:rsidRPr="00A8685E">
        <w:rPr>
          <w:rFonts w:ascii="Palatino Linotype" w:eastAsia="Palatino Linotype" w:hAnsi="Palatino Linotype" w:cs="Palatino Linotype"/>
          <w:b/>
          <w:noProof/>
          <w:sz w:val="22"/>
          <w:szCs w:val="22"/>
          <w:lang w:val="es-MX"/>
        </w:rPr>
        <w:drawing>
          <wp:inline distT="0" distB="0" distL="0" distR="0" wp14:anchorId="1B9A83AD" wp14:editId="11BA5273">
            <wp:extent cx="2219635" cy="228632"/>
            <wp:effectExtent l="0" t="0" r="0" b="0"/>
            <wp:docPr id="770201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9635" cy="228632"/>
                    </a:xfrm>
                    <a:prstGeom prst="rect">
                      <a:avLst/>
                    </a:prstGeom>
                    <a:ln/>
                  </pic:spPr>
                </pic:pic>
              </a:graphicData>
            </a:graphic>
          </wp:inline>
        </w:drawing>
      </w:r>
    </w:p>
    <w:p w14:paraId="3612E112"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 xml:space="preserve">El Recurrente se inconformó por la respuesta del Titular de la Unidad de Transparencia, argumentando que sólo ganan tiempo con dolo, envían un link que no sirve y no entregan información. </w:t>
      </w:r>
    </w:p>
    <w:p w14:paraId="0D5143B0"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Primeramente es necesario referir que el término que utilizó el Recurrente corresponde a la Ley de Transparencia y Acceso a la Información Pública del Estado de México y Municipios, que se abrogó mediante el Decreto número 83, Transitorio Tercero, publicado en el Periódico Oficial “Gaceta de Gobierno” el cuatro de mayo de 2016, la cual establecía lo siguiente:</w:t>
      </w:r>
    </w:p>
    <w:p w14:paraId="019E69BE" w14:textId="77777777" w:rsidR="001C12ED" w:rsidRPr="00A8685E" w:rsidRDefault="005239E6">
      <w:pPr>
        <w:spacing w:line="276" w:lineRule="auto"/>
        <w:ind w:left="567" w:right="616"/>
        <w:jc w:val="center"/>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TITULO TERCERO</w:t>
      </w:r>
    </w:p>
    <w:p w14:paraId="354B5758" w14:textId="77777777" w:rsidR="001C12ED" w:rsidRPr="00A8685E" w:rsidRDefault="005239E6">
      <w:pPr>
        <w:spacing w:line="276" w:lineRule="auto"/>
        <w:ind w:left="567" w:right="616"/>
        <w:jc w:val="center"/>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DE LA INFORMACION</w:t>
      </w:r>
    </w:p>
    <w:p w14:paraId="2662A316" w14:textId="77777777" w:rsidR="001C12ED" w:rsidRPr="00A8685E" w:rsidRDefault="005239E6">
      <w:pPr>
        <w:spacing w:line="276" w:lineRule="auto"/>
        <w:ind w:left="567" w:right="616"/>
        <w:jc w:val="center"/>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Capítulo I</w:t>
      </w:r>
    </w:p>
    <w:p w14:paraId="31175959" w14:textId="77777777" w:rsidR="001C12ED" w:rsidRPr="00A8685E" w:rsidRDefault="005239E6">
      <w:pPr>
        <w:spacing w:line="276"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De la información Pública de Oficio</w:t>
      </w:r>
    </w:p>
    <w:p w14:paraId="67CB7F10"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12.- Los Sujetos Obligados deberán tener disponible en medio impreso o electrónico, de manera permanente y actualizada, de forma sencilla, precisa y entendible para los particulares, la información siguiente: </w:t>
      </w:r>
    </w:p>
    <w:p w14:paraId="04D6753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 Leyes, reglamentos, decretos, acuerdos, convenios, manuales de organización y procedimientos y demás disposiciones en los que se establezca su marco jurídico de actuación; </w:t>
      </w:r>
    </w:p>
    <w:p w14:paraId="325AE25F"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II. Directorio de servidores públicos de mandos medios y superiores con referencia particular a su nombramiento oficial, puesto funcional, remuneración de acuerdo con lo previsto por el Código Financiero; datos que deberán señalarse de forma independiente por dependencia y entidad pública de cada Sujeto Obligado; </w:t>
      </w:r>
    </w:p>
    <w:p w14:paraId="63AB1CD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III. Los programas anuales de obras y, en su caso, la información relativa a los procesos de licitación y contratación del área de su responsabilidad; </w:t>
      </w:r>
    </w:p>
    <w:p w14:paraId="367F5FF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IV. La que contenga los sistemas, procesos, oficinas, ubicación, costos y responsables de atender las solicitudes de acceso a la información, así como el registro de las solicitudes recibidas y atendidas; </w:t>
      </w:r>
    </w:p>
    <w:p w14:paraId="4F9269F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 Nombre, dirección, teléfono y horarios de atención al público de los responsables de las Unidades de Información; </w:t>
      </w:r>
    </w:p>
    <w:p w14:paraId="3EF808A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VI. La contenida en los acuerdos y actas de las reuniones oficiales, de cualquier órgano colegiado de los Sujetos Obligados; </w:t>
      </w:r>
    </w:p>
    <w:p w14:paraId="4C70423C"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VII. Presupuesto asignado y los informes sobre su ejecución, en los términos que establece el Presupuesto de Egresos del Gobierno del Estado; </w:t>
      </w:r>
    </w:p>
    <w:p w14:paraId="09A9DCA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VIII. Padrones de beneficiarios de los programas desarrollados por el Estado y los municipios, así como información disponible sobre el diseño, montos, acceso y ejecución de los programas de subsidio, siempre y cuando la publicación de estos datos no produzca discriminación. Esta disposición sólo será aplicable en aquellos programas que por su naturaleza y características permitan la integración de los padrones de referencia; </w:t>
      </w:r>
    </w:p>
    <w:p w14:paraId="5482B8E0"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IX. La situación financiera de los municipios, Poder Legislativo y sus órganos, Poder Judicial y Consejo de la Judicatura, Tribunales Administrativos, Órganos Autónomos, así como de la deuda pública municipal, conforme a las disposiciones legales aplicables; </w:t>
      </w:r>
    </w:p>
    <w:p w14:paraId="35FB4AC8"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 La que proporcionen los partidos políticos a la autoridad electoral, a la que sólo tendrán acceso los mexicanos; </w:t>
      </w:r>
    </w:p>
    <w:p w14:paraId="0470B998"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 Los procesos de licitación y contratación para la adquisición de bienes, arrendamientos y prestación de servicios que hayan celebrado en el área de su responsabilidad con personas físicas o morales de derecho privado; </w:t>
      </w:r>
    </w:p>
    <w:p w14:paraId="738CB50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XII. Convenios que suscriban con otros entes de los sectores público, social y privado; </w:t>
      </w:r>
    </w:p>
    <w:p w14:paraId="7809282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XIII. Mecanismos de participación ciudadana en los procesos de elaboración, implementación y evaluación de políticas públicas y toma de decisiones; </w:t>
      </w:r>
    </w:p>
    <w:p w14:paraId="125647F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XIV. Planeación, programación y contenidos de la información que difundan a través de los diversos medios escritos y electrónicos; </w:t>
      </w:r>
    </w:p>
    <w:p w14:paraId="1312D86C"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 Agenda de reuniones públicas a las que convoquen los titulares de los sujetos obligados; </w:t>
      </w:r>
    </w:p>
    <w:p w14:paraId="550561FA"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 Índices de Información clasificada como reservada y listado de bases de datos personales que cada sujeto obligado posee y maneja; </w:t>
      </w:r>
    </w:p>
    <w:p w14:paraId="4A8C9D3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XVII. Expedientes concluidos relativos a la expedición de autorizaciones, permisos, licencias, certificaciones y concesiones; </w:t>
      </w:r>
    </w:p>
    <w:p w14:paraId="0F79432B"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XVIII. Los informes de las auditorías realizadas por los órganos de control interno, la Secretaría de la Contraloría, los órganos de control interno de los Poderes Legislativo y Judicial, las contralorías de los órganos autónomos, el Órgano Superior de Fiscalización, las contralorías municipales y por los despachos externos y las aclaraciones que correspondan; </w:t>
      </w:r>
    </w:p>
    <w:p w14:paraId="3A1294D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XIX. Programas de trabajo e informes anuales de actividades de acuerdo con cada plan o programa establecido por los Sujetos Obligados; </w:t>
      </w:r>
    </w:p>
    <w:p w14:paraId="75E4321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 Los indicadores establecidos por los Sujetos Obligados, tomando en cuenta las metas y objetivos planteados en el Plan Estatal de Desarrollo y demás ordenamientos aplicables; </w:t>
      </w:r>
    </w:p>
    <w:p w14:paraId="4E61F16C"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XXI. Los trámites y servicios ofrecidos así como los requisitos para acceder a los mismos; </w:t>
      </w:r>
    </w:p>
    <w:p w14:paraId="1E77931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XXII. Informes y estadísticas que tengan que realizar en términos del Código Administrativo del Estado de México. </w:t>
      </w:r>
    </w:p>
    <w:p w14:paraId="6C522DBF"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XXIII. Las cuentas públicas, estatal y municipales.</w:t>
      </w:r>
    </w:p>
    <w:p w14:paraId="27B1DD2B" w14:textId="77777777" w:rsidR="001C12ED" w:rsidRPr="00A8685E" w:rsidRDefault="001C12ED">
      <w:pPr>
        <w:spacing w:line="276" w:lineRule="auto"/>
        <w:ind w:left="567" w:right="616"/>
        <w:jc w:val="both"/>
        <w:rPr>
          <w:rFonts w:ascii="Palatino Linotype" w:eastAsia="Palatino Linotype" w:hAnsi="Palatino Linotype" w:cs="Palatino Linotype"/>
          <w:i/>
          <w:sz w:val="20"/>
          <w:szCs w:val="20"/>
        </w:rPr>
      </w:pPr>
    </w:p>
    <w:p w14:paraId="6D7E79EF"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Se insiste que este término referido por el particular era utilizado en la Ley de Transparencia que fue abrogada en el año 2016, las cuales contemplaban XXIII fracciones. Entonces, al haber requerido la información correspondiente del año 2024, es que resulta aplicable la normatividad vigente, cuyo término correcto son </w:t>
      </w:r>
      <w:r w:rsidRPr="00A8685E">
        <w:rPr>
          <w:rFonts w:ascii="Palatino Linotype" w:eastAsia="Palatino Linotype" w:hAnsi="Palatino Linotype" w:cs="Palatino Linotype"/>
          <w:b/>
          <w:sz w:val="22"/>
          <w:szCs w:val="22"/>
        </w:rPr>
        <w:t>Obligaciones de Transparencia Comunes las cuales se integran de LII fracciones</w:t>
      </w:r>
      <w:r w:rsidRPr="00A8685E">
        <w:rPr>
          <w:rFonts w:ascii="Palatino Linotype" w:eastAsia="Palatino Linotype" w:hAnsi="Palatino Linotype" w:cs="Palatino Linotype"/>
          <w:sz w:val="22"/>
          <w:szCs w:val="22"/>
        </w:rPr>
        <w:t>, como se aprecia a continuación:</w:t>
      </w:r>
    </w:p>
    <w:p w14:paraId="2818B252" w14:textId="77777777" w:rsidR="001C12ED" w:rsidRPr="00A8685E" w:rsidRDefault="005239E6">
      <w:pPr>
        <w:spacing w:line="276"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Capítulo II</w:t>
      </w:r>
    </w:p>
    <w:p w14:paraId="567DCE3A" w14:textId="77777777" w:rsidR="001C12ED" w:rsidRPr="00A8685E" w:rsidRDefault="005239E6">
      <w:pPr>
        <w:spacing w:line="276"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De las Obligaciones de Transparencia Comunes</w:t>
      </w:r>
    </w:p>
    <w:p w14:paraId="335D6A20"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1BD2C69"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 El marco normativo aplicable al sujeto obligado, en el que deberá incluirse leyes, códigos, reglamentos, decretos de creación, acuerdos, convenios, manuales de organización y procedimientos, reglas de operación, criterios, políticas, entre otros; </w:t>
      </w:r>
    </w:p>
    <w:p w14:paraId="715D895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2C6BB118"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III. Las facultades de cada área; </w:t>
      </w:r>
    </w:p>
    <w:p w14:paraId="3A75A66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IV. Las metas, objetivos e indicadores de las áreas de los sujetos obligados de conformidad con los programas de trabajo e informes anuales de actividades de acuerdo con el Plan Estatal de Desarrollo, Plan de Desarrollo Municipal, en su caso y demás ordenamientos aplicables; </w:t>
      </w:r>
    </w:p>
    <w:p w14:paraId="4E7CCE1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 Los indicadores relacionados con temas de interés público o trascendencia social que conforme a sus funciones, deban establecer, así como las matrices elaboradas para tal efecto; </w:t>
      </w:r>
    </w:p>
    <w:p w14:paraId="24FA8BE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VI. Los indicadores que permitan rendir cuenta de sus objetivos y resultados, así como las matrices elaboradas para tal efecto; </w:t>
      </w:r>
    </w:p>
    <w:p w14:paraId="3AD56D4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 </w:t>
      </w:r>
    </w:p>
    <w:p w14:paraId="28CD8F7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71057FD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IX. Los gastos de representación y viáticos, así como el objeto e informe de comisión correspondiente; </w:t>
      </w:r>
    </w:p>
    <w:p w14:paraId="7B05B94F"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 El número total de las plazas y del personal de base y de confianza, especificando el total de las vacantes, por nivel de puesto, para cada unidad administrativa; </w:t>
      </w:r>
    </w:p>
    <w:p w14:paraId="25A30F0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XI. Las contrataciones de servicios profesionales por honorarios, señalando los nombres de los prestadores de servicios, los servicios contratados, el monto de los honorarios y el periodo de contratación;</w:t>
      </w:r>
    </w:p>
    <w:p w14:paraId="7B85293B"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XII. El perfil de los puestos de los servidores públicos a su servicio en los casos que aplique; </w:t>
      </w:r>
    </w:p>
    <w:p w14:paraId="3E8BAF86"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XIII. La información en versión pública de las declaraciones patrimoniales y de intereses de los servidores públicos que así lo determinen, en los sistemas habilitados para ello, de acuerdo a la normatividad aplicable; </w:t>
      </w:r>
    </w:p>
    <w:p w14:paraId="0FD98186"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XIV. La información de los programas de subsidios, estímulos y apoyos, en el que se deberá informar respecto de los programas de transferencia, de servicios, de infraestructura social y de subsidio, en los que se deberá contener lo siguiente: </w:t>
      </w:r>
    </w:p>
    <w:p w14:paraId="264A9CFD"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 Área; </w:t>
      </w:r>
    </w:p>
    <w:p w14:paraId="17756F4D"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b) Denominación del programa; </w:t>
      </w:r>
    </w:p>
    <w:p w14:paraId="0F3BAB33"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c) Periodo de vigencia; </w:t>
      </w:r>
    </w:p>
    <w:p w14:paraId="7F238F47"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d) Diseño, objetivos y alcances; </w:t>
      </w:r>
    </w:p>
    <w:p w14:paraId="123C8923"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e) Metas físicas; </w:t>
      </w:r>
    </w:p>
    <w:p w14:paraId="3765BE6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f) Población beneficiada estimada; </w:t>
      </w:r>
    </w:p>
    <w:p w14:paraId="5545980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g) Monto aprobado, modificado y ejercido, así como los calendarios de su programación presupuestal; </w:t>
      </w:r>
    </w:p>
    <w:p w14:paraId="69E744D9"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h) Requisitos y procedimientos de acceso; </w:t>
      </w:r>
    </w:p>
    <w:p w14:paraId="68492B05"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 Procedimiento de queja o inconformidad ciudadana; </w:t>
      </w:r>
    </w:p>
    <w:p w14:paraId="5A045820"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j) Mecanismos de exigibilidad; </w:t>
      </w:r>
    </w:p>
    <w:p w14:paraId="73B5A06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k) Mecanismos e informes de evaluación y seguimiento de recomendaciones; </w:t>
      </w:r>
    </w:p>
    <w:p w14:paraId="19D6CADC"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l) Indicadores con nombre, definición, método de cálculo, unidad de medida; dimensión, frecuencia de medición, nombre de las bases de datos utilizadas para su cálculo; m) Formas de participación social; </w:t>
      </w:r>
    </w:p>
    <w:p w14:paraId="60312C1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n) Articulación con otros programas sociales; </w:t>
      </w:r>
    </w:p>
    <w:p w14:paraId="59765EB4"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ñ) Vínculo a las reglas de operación o documento equivalente; </w:t>
      </w:r>
    </w:p>
    <w:p w14:paraId="2D1BF72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o) Informes periódicos sobre la ejecución y los resultados de las evaluaciones realizadas; y </w:t>
      </w:r>
    </w:p>
    <w:p w14:paraId="24E4A1BB"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 </w:t>
      </w:r>
    </w:p>
    <w:p w14:paraId="721D364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 Agenda de reuniones públicas a las que convoquen los titulares de los sujetos obligados; </w:t>
      </w:r>
    </w:p>
    <w:p w14:paraId="65B76C1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 El domicilio de la Unidad de Transparencia y su ubicación, así como el nombre, teléfono oficial y horarios de atención al público de los responsables de las unidades de información; </w:t>
      </w:r>
    </w:p>
    <w:p w14:paraId="48B9F689"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XVII. Dirección electrónica donde podrán recibirse las solicitudes para obtener la información, así como el registro de las solicitudes recibidas y atendidas; </w:t>
      </w:r>
    </w:p>
    <w:p w14:paraId="2133B33F"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XVIII. Las convocatorias a concursos para ocupar cargos públicos y los resultados finales de los mismos; </w:t>
      </w:r>
    </w:p>
    <w:p w14:paraId="57704AA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XIX. Índices semestrales en formatos abiertos de los expedientes clasificados como reservados que cada sujeto obligado posee y maneja; </w:t>
      </w:r>
    </w:p>
    <w:p w14:paraId="09EDEA6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 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p w14:paraId="0746283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XXI. La información curricular, desde el nivel de jefe de departamento o equivalente, hasta el titular del sujeto obligado, así como, en su caso, las sanciones administrativas de que haya sido objeto;</w:t>
      </w:r>
    </w:p>
    <w:p w14:paraId="2980B12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XXII. El listado de Servidores Públicos con sanciones administrativas definitivas, especificando la causa de sanción y la disposición; </w:t>
      </w:r>
    </w:p>
    <w:p w14:paraId="4919C8D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XXIII. Los servicios que ofrecen señalando los requisitos para acceder a ellos, así como los tiempos de respuesta; </w:t>
      </w:r>
    </w:p>
    <w:p w14:paraId="7D3BA4F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XXIV. Los trámites, requisitos y formatos que ofrecen, así como los tiempos de respuesta; </w:t>
      </w:r>
    </w:p>
    <w:p w14:paraId="743594E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XXV. La información financiera sobre el presupuesto asignado, así como los informes del ejercicio trimestral del gasto, en términos de la Ley General de Contabilidad Gubernamental y demás disposiciones jurídicas aplicables; </w:t>
      </w:r>
    </w:p>
    <w:p w14:paraId="469DC8F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XXVI. La información relativa a la deuda pública, en términos de las disposiciones jurídicas aplicables: Los datos de todos los financiamientos contratados, así como de los movimientos que se efectúen, en la que se incluya: </w:t>
      </w:r>
    </w:p>
    <w:p w14:paraId="2E33995A"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 Los montos de financiamiento contratados; </w:t>
      </w:r>
    </w:p>
    <w:p w14:paraId="0C8EE193"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b) Los plazos; </w:t>
      </w:r>
    </w:p>
    <w:p w14:paraId="607069A4"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c) Las tasas de interés; y </w:t>
      </w:r>
    </w:p>
    <w:p w14:paraId="53919CFB"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d) Las garantías. </w:t>
      </w:r>
    </w:p>
    <w:p w14:paraId="14403250"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XXVII. Los montos destinados a gastos relativos a todos los programas y campañas de comunicación social y publicidad oficial desglosada por tipo de medio, proveedores, número de contrato y concepto; </w:t>
      </w:r>
    </w:p>
    <w:p w14:paraId="7DD6D47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XXVIII. Los informes de resultados de las auditorías al ejercicio presupuestal de cada sujeto obligado que se realicen y, en su caso, las aclaraciones que correspondan; </w:t>
      </w:r>
    </w:p>
    <w:p w14:paraId="35A1DC48"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1D8C8429" w14:textId="77777777" w:rsidR="001C12ED" w:rsidRPr="00A8685E" w:rsidRDefault="005239E6">
      <w:pPr>
        <w:spacing w:line="276" w:lineRule="auto"/>
        <w:ind w:left="709"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 De licitaciones públicas o procedimientos de invitación restringida: </w:t>
      </w:r>
    </w:p>
    <w:p w14:paraId="32B6CFB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2A4C845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2) Los nombres de los participantes o invitados; </w:t>
      </w:r>
    </w:p>
    <w:p w14:paraId="547EC38B"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3) El nombre del ganador y las razones que lo justifican; </w:t>
      </w:r>
    </w:p>
    <w:p w14:paraId="1E208A95"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4) El área solicitante y la responsable de su ejecución; </w:t>
      </w:r>
    </w:p>
    <w:p w14:paraId="61713CDC"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5) Las convocatorias e invitaciones emitidas; </w:t>
      </w:r>
    </w:p>
    <w:p w14:paraId="5038AFB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6) Los dictámenes y fallo de adjudicación; </w:t>
      </w:r>
    </w:p>
    <w:p w14:paraId="29BAF47A"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7) El contrato y, en su caso, sus anexos; </w:t>
      </w:r>
    </w:p>
    <w:p w14:paraId="0441A7B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65CCD91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9) La partida presupuestal, de conformidad con el clasificador por objeto del gasto, en el caso de ser aplicable; </w:t>
      </w:r>
    </w:p>
    <w:p w14:paraId="7EB07874"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5309F014"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3F4C058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12) Los informes de avance físico y financiero sobre las obras o servicios contratados; </w:t>
      </w:r>
    </w:p>
    <w:p w14:paraId="627C28B0"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13) El convenio de terminación; y </w:t>
      </w:r>
    </w:p>
    <w:p w14:paraId="5031C752"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14) El finiquito.</w:t>
      </w:r>
    </w:p>
    <w:p w14:paraId="20B87766" w14:textId="77777777" w:rsidR="001C12ED" w:rsidRPr="00A8685E" w:rsidRDefault="001C12ED">
      <w:pPr>
        <w:spacing w:line="276" w:lineRule="auto"/>
        <w:ind w:left="567" w:right="616"/>
        <w:jc w:val="both"/>
        <w:rPr>
          <w:rFonts w:ascii="Palatino Linotype" w:eastAsia="Palatino Linotype" w:hAnsi="Palatino Linotype" w:cs="Palatino Linotype"/>
          <w:i/>
          <w:sz w:val="22"/>
          <w:szCs w:val="22"/>
        </w:rPr>
      </w:pPr>
    </w:p>
    <w:p w14:paraId="5FC93907" w14:textId="77777777" w:rsidR="001C12ED" w:rsidRPr="00A8685E" w:rsidRDefault="005239E6">
      <w:pPr>
        <w:spacing w:line="276" w:lineRule="auto"/>
        <w:ind w:left="709"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b) De las adjudicaciones directas: </w:t>
      </w:r>
    </w:p>
    <w:p w14:paraId="459DAB7E"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 La propuesta enviada por el participante; </w:t>
      </w:r>
    </w:p>
    <w:p w14:paraId="4CC8D478"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2) Los motivos y fundamentos legales aplicados para llevarla a cabo; </w:t>
      </w:r>
    </w:p>
    <w:p w14:paraId="4F8BD550"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3) La autorización del ejercicio de la opción; </w:t>
      </w:r>
    </w:p>
    <w:p w14:paraId="4283301C"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3DD9780A"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5) El nombre de la persona física o jurídica colectiva adjudicada; </w:t>
      </w:r>
    </w:p>
    <w:p w14:paraId="5ADEF79D"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6) La unidad administrativa solicitante y la responsable de su ejecución; </w:t>
      </w:r>
    </w:p>
    <w:p w14:paraId="36CE3606"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1FFB64EA"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0A5B2B98"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9) Los informes de avance sobre las obras o servicios contratados; </w:t>
      </w:r>
    </w:p>
    <w:p w14:paraId="66A41DBD"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10) El convenio de terminación; y </w:t>
      </w:r>
    </w:p>
    <w:p w14:paraId="4115CC5A" w14:textId="77777777" w:rsidR="001C12ED" w:rsidRPr="00A8685E" w:rsidRDefault="005239E6">
      <w:pPr>
        <w:spacing w:line="276" w:lineRule="auto"/>
        <w:ind w:left="851"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11) El finiquito. </w:t>
      </w:r>
    </w:p>
    <w:p w14:paraId="7C4D79B9"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 El resultado de la dictaminación de los estados financieros; </w:t>
      </w:r>
    </w:p>
    <w:p w14:paraId="4343B70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XXXI. Los montos, criterios, convocatorias y listado de personas físicas o jurídicas colectivas, a quienes, por cualquier motivo, se les asigne o permita usar recursos públicos o, en los términos de las disposiciones jurídicas aplicables, realicen actos de autoridad. Asimismo, los informes que dichas personas les entreguen sobre el uso y destino de dichos recursos; </w:t>
      </w:r>
    </w:p>
    <w:p w14:paraId="17D15519"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54BA537B"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 xml:space="preserve">XXXIII. Los informes que por disposición legal generen los sujetos obligados; </w:t>
      </w:r>
    </w:p>
    <w:p w14:paraId="0B2186C1"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XXXIV. Las estadísticas que generen en cumplimiento de sus facultades, competencias o funciones con la mayor desagregación posible; </w:t>
      </w:r>
    </w:p>
    <w:p w14:paraId="203B514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XXXV. Informes de avances programáticos o presupuestales, balances generales y estado financiero; </w:t>
      </w:r>
    </w:p>
    <w:p w14:paraId="1EA94531"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XXXVI. Padrón de proveedores y contratistas; </w:t>
      </w:r>
    </w:p>
    <w:p w14:paraId="5ED03813"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XXXVII. Los convenios de coordinación, de concertación, entre otros, que suscriban con otros entes de los sectores público, social y privado; </w:t>
      </w:r>
    </w:p>
    <w:p w14:paraId="7504117B"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XXXVIII. El inventario de bienes muebles e inmuebles en posesión y propiedad; </w:t>
      </w:r>
    </w:p>
    <w:p w14:paraId="381FA10F"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XXXIX. Las recomendaciones emitidas por los órganos públicos del Estado mexicano u organismos internacionales garantes de los derechos humanos, así como las acciones que han llevado a cabo para su atención; </w:t>
      </w:r>
    </w:p>
    <w:p w14:paraId="30727C3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 Las resoluciones y laudos que se emitan en procesos o procedimientos seguidos en forma de juicio; </w:t>
      </w:r>
    </w:p>
    <w:p w14:paraId="33141390"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XLI. Los mecanismos de participación ciudadana en los procesos de elaboración, implementación y evaluación de políticas públicas y toma de decisiones y demás mecanismos de participación; </w:t>
      </w:r>
    </w:p>
    <w:p w14:paraId="243F3D07"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XLII. Los programas que ofrecen, incluyendo información sobre la población, objetivo y destino, tiempos de respuesta, requisitos y formatos para acceder a los mismos; </w:t>
      </w:r>
    </w:p>
    <w:p w14:paraId="2914F47C"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XLIII. Las actas y resoluciones del Comité de Transparencia de los sujetos obligados; </w:t>
      </w:r>
    </w:p>
    <w:p w14:paraId="23F402B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XLIV. Todas las evaluaciones y encuestas que hagan los sujetos obligados a programas financiados con recursos públicos;</w:t>
      </w:r>
    </w:p>
    <w:p w14:paraId="63187C1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XLV. Los estudios financiados con recursos públicos; </w:t>
      </w:r>
    </w:p>
    <w:p w14:paraId="3D5C9FB9"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XLVI. El listado de jubilados y pensionados y el monto que reciben; </w:t>
      </w:r>
    </w:p>
    <w:p w14:paraId="2568463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XLVII. Los ingresos recibidos por cualquier concepto señalando el nombre de los responsables de recibirlos, administrarlos y ejercerlos, indicando el destino de cada uno de ellos; </w:t>
      </w:r>
    </w:p>
    <w:p w14:paraId="2C5B5752"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XLVIII. Donaciones hechas a terceros en dinero o en especie; </w:t>
      </w:r>
    </w:p>
    <w:p w14:paraId="4731B15E"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XLIX. El catálogo de disposición y guía de archivo documental; </w:t>
      </w:r>
    </w:p>
    <w:p w14:paraId="586E2F0D"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L. Las actas de sesiones ordinarias y extraordinarias, así como las opiniones y recomendaciones de los consejos consultivos; </w:t>
      </w:r>
    </w:p>
    <w:p w14:paraId="160FDFA4"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LI.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w:t>
      </w:r>
      <w:r w:rsidRPr="00A8685E">
        <w:rPr>
          <w:rFonts w:ascii="Palatino Linotype" w:eastAsia="Palatino Linotype" w:hAnsi="Palatino Linotype" w:cs="Palatino Linotype"/>
          <w:i/>
          <w:sz w:val="22"/>
          <w:szCs w:val="22"/>
        </w:rPr>
        <w:lastRenderedPageBreak/>
        <w:t xml:space="preserve">requerimiento, así como, en su caso, la mención de que cuenta con la autorización judicial correspondiente; y </w:t>
      </w:r>
    </w:p>
    <w:p w14:paraId="7A0348DA" w14:textId="77777777" w:rsidR="001C12ED" w:rsidRPr="00A8685E" w:rsidRDefault="005239E6">
      <w:pPr>
        <w:spacing w:line="276"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LII. Cualquier otra información que sea de utilidad o se considere relevante, además de la que, con base en la información estadística, responda a las preguntas hechas con más frecuencia por el público</w:t>
      </w:r>
    </w:p>
    <w:p w14:paraId="6B0ECED3"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 </w:t>
      </w:r>
    </w:p>
    <w:p w14:paraId="322169C4"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Dicho lo anterior, es necesario traer a contexto </w:t>
      </w:r>
      <w:proofErr w:type="gramStart"/>
      <w:r w:rsidRPr="00A8685E">
        <w:rPr>
          <w:rFonts w:ascii="Palatino Linotype" w:eastAsia="Palatino Linotype" w:hAnsi="Palatino Linotype" w:cs="Palatino Linotype"/>
          <w:sz w:val="22"/>
          <w:szCs w:val="22"/>
        </w:rPr>
        <w:t>los artículo</w:t>
      </w:r>
      <w:proofErr w:type="gramEnd"/>
      <w:r w:rsidRPr="00A8685E">
        <w:rPr>
          <w:rFonts w:ascii="Palatino Linotype" w:eastAsia="Palatino Linotype" w:hAnsi="Palatino Linotype" w:cs="Palatino Linotype"/>
          <w:sz w:val="22"/>
          <w:szCs w:val="22"/>
        </w:rPr>
        <w:t xml:space="preserve"> 75, 76, 77, 79, 82, 88 de la Ley de Transparencia y Acceso a la Información Pública del Estado de México y Municipios vigente: </w:t>
      </w:r>
    </w:p>
    <w:p w14:paraId="46E35A72" w14:textId="77777777" w:rsidR="001C12ED" w:rsidRPr="00A8685E" w:rsidRDefault="005239E6">
      <w:pPr>
        <w:spacing w:line="360"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TÍTULO QUINTO</w:t>
      </w:r>
    </w:p>
    <w:p w14:paraId="1B11A3E1" w14:textId="77777777" w:rsidR="001C12ED" w:rsidRPr="00A8685E" w:rsidRDefault="005239E6">
      <w:pPr>
        <w:spacing w:line="360"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DE LAS OBLIGACIONES DE TRANSPARENCIA</w:t>
      </w:r>
    </w:p>
    <w:p w14:paraId="0EC8A7C3" w14:textId="77777777" w:rsidR="001C12ED" w:rsidRPr="00A8685E" w:rsidRDefault="005239E6">
      <w:pPr>
        <w:spacing w:line="360"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Capítulo I</w:t>
      </w:r>
    </w:p>
    <w:p w14:paraId="42D8A015" w14:textId="77777777" w:rsidR="001C12ED" w:rsidRPr="00A8685E" w:rsidRDefault="005239E6">
      <w:pPr>
        <w:spacing w:line="360" w:lineRule="auto"/>
        <w:ind w:left="567" w:right="616"/>
        <w:jc w:val="center"/>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i/>
          <w:sz w:val="22"/>
          <w:szCs w:val="22"/>
        </w:rPr>
        <w:t>De los Postulados para la</w:t>
      </w:r>
    </w:p>
    <w:p w14:paraId="0B8220F8" w14:textId="77777777" w:rsidR="001C12ED" w:rsidRPr="00A8685E" w:rsidRDefault="005239E6">
      <w:pPr>
        <w:spacing w:line="360" w:lineRule="auto"/>
        <w:ind w:left="567" w:right="616"/>
        <w:jc w:val="center"/>
        <w:rPr>
          <w:rFonts w:ascii="Palatino Linotype" w:eastAsia="Palatino Linotype" w:hAnsi="Palatino Linotype" w:cs="Palatino Linotype"/>
          <w:b/>
          <w:i/>
          <w:sz w:val="20"/>
          <w:szCs w:val="20"/>
        </w:rPr>
      </w:pPr>
      <w:r w:rsidRPr="00A8685E">
        <w:rPr>
          <w:rFonts w:ascii="Palatino Linotype" w:eastAsia="Palatino Linotype" w:hAnsi="Palatino Linotype" w:cs="Palatino Linotype"/>
          <w:b/>
          <w:i/>
          <w:sz w:val="22"/>
          <w:szCs w:val="22"/>
        </w:rPr>
        <w:t>Publicación de la Información</w:t>
      </w:r>
    </w:p>
    <w:p w14:paraId="1A378DAF"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75. Es obligación de los sujetos obligados el poner a disposición de los particulares la información a que se refiere esta Ley a través de sus sitios de Internet y de la Plataforma Nacional. </w:t>
      </w:r>
    </w:p>
    <w:p w14:paraId="60431FE7" w14:textId="77777777" w:rsidR="001C12ED" w:rsidRPr="00A8685E" w:rsidRDefault="005239E6">
      <w:pPr>
        <w:spacing w:after="240" w:line="360" w:lineRule="auto"/>
        <w:ind w:left="567" w:right="616"/>
        <w:jc w:val="both"/>
        <w:rPr>
          <w:rFonts w:ascii="Palatino Linotype" w:eastAsia="Palatino Linotype" w:hAnsi="Palatino Linotype" w:cs="Palatino Linotype"/>
          <w:i/>
          <w:sz w:val="20"/>
          <w:szCs w:val="20"/>
        </w:rPr>
      </w:pPr>
      <w:r w:rsidRPr="00A8685E">
        <w:rPr>
          <w:rFonts w:ascii="Palatino Linotype" w:eastAsia="Palatino Linotype" w:hAnsi="Palatino Linotype" w:cs="Palatino Linotype"/>
          <w:i/>
          <w:sz w:val="22"/>
          <w:szCs w:val="22"/>
        </w:rPr>
        <w:t>La Plataforma electrónica promoverá el uso de la información original escaneada y las versiones en datos abiertos y/o formatos editables, según corresponda, de los documentos fuente.</w:t>
      </w:r>
    </w:p>
    <w:p w14:paraId="0A2BDD01"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Artículo 76. La publicación de la información derivada de las obligaciones de transparencia a que se refiere esta Ley, deberá realizarse conforme a los criterios establecidos por la misma, además de observar los lineamientos técnicos que emita el Sistema Nacional respecto a los formatos de publicación de la información para asegurar que la información sea veraz, confiable, oportuna, congruente, integral, actualizada, accesible, comprensible y verificable.</w:t>
      </w:r>
    </w:p>
    <w:p w14:paraId="4FCA1B0C" w14:textId="77777777" w:rsidR="001C12ED" w:rsidRPr="00A8685E" w:rsidRDefault="005239E6">
      <w:pPr>
        <w:spacing w:after="240" w:line="360" w:lineRule="auto"/>
        <w:ind w:left="567" w:right="616"/>
        <w:jc w:val="both"/>
        <w:rPr>
          <w:rFonts w:ascii="Palatino Linotype" w:eastAsia="Palatino Linotype" w:hAnsi="Palatino Linotype" w:cs="Palatino Linotype"/>
          <w:i/>
          <w:sz w:val="20"/>
          <w:szCs w:val="20"/>
        </w:rPr>
      </w:pPr>
      <w:r w:rsidRPr="00A8685E">
        <w:rPr>
          <w:rFonts w:ascii="Palatino Linotype" w:eastAsia="Palatino Linotype" w:hAnsi="Palatino Linotype" w:cs="Palatino Linotype"/>
          <w:i/>
          <w:sz w:val="22"/>
          <w:szCs w:val="22"/>
        </w:rPr>
        <w:lastRenderedPageBreak/>
        <w:t xml:space="preserve"> La publicación de la información derivada de las obligaciones de transparencia deberá sujetarse a los lineamientos para la homologación en la presentación de la información a la que hace referencia este Título por parte de los sujetos obligados.</w:t>
      </w:r>
    </w:p>
    <w:p w14:paraId="177C713B"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77.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w:t>
      </w:r>
    </w:p>
    <w:p w14:paraId="1C109E0E"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La publicación de la información deberá indicar el sujeto obligado encargado de generarla, así como la fecha de su última actualización.</w:t>
      </w:r>
    </w:p>
    <w:p w14:paraId="448C4CB6" w14:textId="77777777" w:rsidR="001C12ED" w:rsidRPr="00A8685E" w:rsidRDefault="001C12ED">
      <w:pPr>
        <w:spacing w:after="240" w:line="360" w:lineRule="auto"/>
        <w:ind w:left="567" w:right="616"/>
        <w:jc w:val="both"/>
        <w:rPr>
          <w:rFonts w:ascii="Palatino Linotype" w:eastAsia="Palatino Linotype" w:hAnsi="Palatino Linotype" w:cs="Palatino Linotype"/>
          <w:i/>
          <w:sz w:val="20"/>
          <w:szCs w:val="20"/>
        </w:rPr>
      </w:pPr>
    </w:p>
    <w:p w14:paraId="5567C2D9" w14:textId="77777777" w:rsidR="001C12ED" w:rsidRPr="00A8685E" w:rsidRDefault="005239E6">
      <w:pPr>
        <w:spacing w:after="240" w:line="360" w:lineRule="auto"/>
        <w:ind w:left="567" w:right="616"/>
        <w:jc w:val="both"/>
        <w:rPr>
          <w:rFonts w:ascii="Palatino Linotype" w:eastAsia="Palatino Linotype" w:hAnsi="Palatino Linotype" w:cs="Palatino Linotype"/>
          <w:i/>
          <w:sz w:val="20"/>
          <w:szCs w:val="20"/>
        </w:rPr>
      </w:pPr>
      <w:r w:rsidRPr="00A8685E">
        <w:rPr>
          <w:rFonts w:ascii="Palatino Linotype" w:eastAsia="Palatino Linotype" w:hAnsi="Palatino Linotype" w:cs="Palatino Linotype"/>
          <w:i/>
          <w:sz w:val="22"/>
          <w:szCs w:val="22"/>
        </w:rPr>
        <w:t>Artículo 79. La página de inicio de los portales de Internet de los sujetos obligados tendrá un vínculo de acceso directo al sitio donde se encuentra la información pública a la que se refiere este Título, el cual deberá contar con un buscador, que permitan acceder de manera sencilla a la información que en ellas se contenga</w:t>
      </w:r>
    </w:p>
    <w:p w14:paraId="08AAEBC8" w14:textId="77777777" w:rsidR="001C12ED" w:rsidRPr="00A8685E" w:rsidRDefault="001C12ED">
      <w:pPr>
        <w:spacing w:after="240" w:line="360" w:lineRule="auto"/>
        <w:ind w:left="567" w:right="616"/>
        <w:jc w:val="both"/>
        <w:rPr>
          <w:rFonts w:ascii="Palatino Linotype" w:eastAsia="Palatino Linotype" w:hAnsi="Palatino Linotype" w:cs="Palatino Linotype"/>
          <w:i/>
          <w:sz w:val="20"/>
          <w:szCs w:val="20"/>
        </w:rPr>
      </w:pPr>
    </w:p>
    <w:p w14:paraId="20240F2E"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82. Los sujetos obligados deberán llevar a cabo el proceso de sistematización correspondiente para la debida generación, integración y actualización del listado de información que debe ponerse a disposición, según corresponda a cada sujeto obligado. </w:t>
      </w:r>
    </w:p>
    <w:p w14:paraId="2267220B" w14:textId="77777777" w:rsidR="001C12ED" w:rsidRPr="00A8685E" w:rsidRDefault="005239E6">
      <w:pPr>
        <w:spacing w:after="240" w:line="360" w:lineRule="auto"/>
        <w:ind w:left="567" w:right="616"/>
        <w:jc w:val="both"/>
        <w:rPr>
          <w:rFonts w:ascii="Palatino Linotype" w:eastAsia="Palatino Linotype" w:hAnsi="Palatino Linotype" w:cs="Palatino Linotype"/>
          <w:b/>
          <w:i/>
          <w:sz w:val="20"/>
          <w:szCs w:val="20"/>
        </w:rPr>
      </w:pPr>
      <w:r w:rsidRPr="00A8685E">
        <w:rPr>
          <w:rFonts w:ascii="Palatino Linotype" w:eastAsia="Palatino Linotype" w:hAnsi="Palatino Linotype" w:cs="Palatino Linotype"/>
          <w:b/>
          <w:i/>
          <w:sz w:val="22"/>
          <w:szCs w:val="22"/>
        </w:rPr>
        <w:t>La publicación de la información referida a las obligaciones de transparencia, deberá indicar la unidad administrativa responsable de generarla o poseerla y que son responsables de publicar y actualizar la información.</w:t>
      </w:r>
    </w:p>
    <w:p w14:paraId="6991BAAA"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lastRenderedPageBreak/>
        <w:t>Artículo 88. La información referente a las obligaciones de transparencia será puesta a disposición de los particulares por cualquier medio que facilite su acceso, dando preferencia al uso de sistemas computacionales y las nuevas tecnologías de información.</w:t>
      </w:r>
    </w:p>
    <w:p w14:paraId="16B2EE37"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La información correspondiente a las obligaciones de transparencia se pondrá a disposición de los Recurrentes en los sitios de internet y en la Plataforma Nacional, utilizando versiones en formatos abiertos y accesibles, debiendo actualizar dicha información, por lo menos cada tres meses. </w:t>
      </w:r>
      <w:r w:rsidRPr="00A8685E">
        <w:rPr>
          <w:rFonts w:ascii="Palatino Linotype" w:eastAsia="Palatino Linotype" w:hAnsi="Palatino Linotype" w:cs="Palatino Linotype"/>
          <w:b/>
          <w:sz w:val="22"/>
          <w:szCs w:val="22"/>
        </w:rPr>
        <w:t>La publicación de la información debe incluir la unidad administrativa responsable de generarla o poseerla y que son responsables de publicar y actualizar la información.</w:t>
      </w:r>
    </w:p>
    <w:p w14:paraId="69698161"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el mismo sentido, resulta conveniente referir lo que dispone el artículo 53 de la normatividad en cita, cuyo contenido es el siguiente:</w:t>
      </w:r>
    </w:p>
    <w:p w14:paraId="0F95586F" w14:textId="77777777" w:rsidR="001C12ED" w:rsidRPr="00A8685E" w:rsidRDefault="005239E6">
      <w:pPr>
        <w:spacing w:after="240"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Artículo 53. Las Unidades de Transparencia tendrán las siguientes funciones: </w:t>
      </w:r>
    </w:p>
    <w:p w14:paraId="6F6E46E7" w14:textId="77777777" w:rsidR="001C12ED" w:rsidRPr="00A8685E" w:rsidRDefault="005239E6">
      <w:pPr>
        <w:spacing w:after="240" w:line="360" w:lineRule="auto"/>
        <w:ind w:left="567" w:right="616"/>
        <w:jc w:val="both"/>
        <w:rPr>
          <w:rFonts w:ascii="Palatino Linotype" w:eastAsia="Palatino Linotype" w:hAnsi="Palatino Linotype" w:cs="Palatino Linotype"/>
          <w:i/>
          <w:sz w:val="20"/>
          <w:szCs w:val="20"/>
        </w:rPr>
      </w:pPr>
      <w:r w:rsidRPr="00A8685E">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74A30F0A"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De lo anterior, se tiene que las unidades administrativas son las responsables de generar, poseer, publicar y actualizar; asimismo, la normatividad dispone que corresponde a las Unidades de Transparencia </w:t>
      </w:r>
      <w:r w:rsidRPr="00A8685E">
        <w:rPr>
          <w:rFonts w:ascii="Palatino Linotype" w:eastAsia="Palatino Linotype" w:hAnsi="Palatino Linotype" w:cs="Palatino Linotype"/>
          <w:b/>
          <w:sz w:val="22"/>
          <w:szCs w:val="22"/>
        </w:rPr>
        <w:t xml:space="preserve">recabar, difundir y actualizar </w:t>
      </w:r>
      <w:r w:rsidRPr="00A8685E">
        <w:rPr>
          <w:rFonts w:ascii="Palatino Linotype" w:eastAsia="Palatino Linotype" w:hAnsi="Palatino Linotype" w:cs="Palatino Linotype"/>
          <w:sz w:val="22"/>
          <w:szCs w:val="22"/>
        </w:rPr>
        <w:t xml:space="preserve">la información relativa a las obligaciones de transparencia comunes y específicas. Dicho lo anterior, tanto las unidades administrativas como la unidad de transparencia son las encargadas de administrar la información relacionadas con las obligaciones de transparencia. </w:t>
      </w:r>
    </w:p>
    <w:p w14:paraId="2E84EE0B"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En mérito de lo expuesto, resulta importante señalar que de la revisión al expediente electrónico se advierte que quién dio respuesta a la solicitud es la unidad de transparencia, </w:t>
      </w:r>
      <w:r w:rsidRPr="00A8685E">
        <w:rPr>
          <w:rFonts w:ascii="Palatino Linotype" w:eastAsia="Palatino Linotype" w:hAnsi="Palatino Linotype" w:cs="Palatino Linotype"/>
          <w:sz w:val="22"/>
          <w:szCs w:val="22"/>
        </w:rPr>
        <w:lastRenderedPageBreak/>
        <w:t>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CACD5C4"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4D919BC4"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661186B1"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496921FF"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614A0A7A"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7080D82A" w14:textId="77777777" w:rsidR="001C12ED" w:rsidRPr="00A8685E" w:rsidRDefault="005239E6">
      <w:pPr>
        <w:spacing w:after="240"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w:t>
      </w:r>
      <w:r w:rsidRPr="00A8685E">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9F1A80A" w14:textId="77777777" w:rsidR="001C12ED" w:rsidRPr="00A8685E" w:rsidRDefault="005239E6">
      <w:pPr>
        <w:spacing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este orden de ideas, se reitera que la Unidad de Transparencia es la unidad administrativa competente, ello de conformidad con lo previsto por la Ley de Transparencia y Acceso a la Información Pública del Estado de México y Municipios.</w:t>
      </w:r>
    </w:p>
    <w:p w14:paraId="66C846F2"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Dicho lo anterior, el Sujeto Obligado en su respuesta entregó una dirección electrónica, donde se puede consultar la información requerida por el particular. Por tal motivo, es necesario precisar que la Ley de Transparencia y Acceso a la Información Pública del Estado de México y Municipios establece en su artículo 11 que en la entrega de la información se deberá garantizar que ésta sea accesible, actualizada, completa, congruente, confiable, verificable, veraz, integral, oportuna y expedita. Asimismo, el artículo 161 de la Ley en comento, refiere lo siguiente:</w:t>
      </w:r>
    </w:p>
    <w:p w14:paraId="2C569E69"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1207FC96" w14:textId="77777777" w:rsidR="001C12ED" w:rsidRPr="00A8685E" w:rsidRDefault="005239E6">
      <w:pPr>
        <w:spacing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771C32F" w14:textId="77777777" w:rsidR="001C12ED" w:rsidRPr="00A8685E" w:rsidRDefault="005239E6">
      <w:pPr>
        <w:spacing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(Énfasis añadido)</w:t>
      </w:r>
    </w:p>
    <w:p w14:paraId="4259C0DC"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08488926"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61C22662"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Esta dirección electrónica debe ser precisa, de tal modo que no implique realizar una búsqueda en toda la información que ahí se encuentre, debiendo cumplir una serie de requisitos, a saber:</w:t>
      </w:r>
    </w:p>
    <w:p w14:paraId="7047648D"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7DE96516" w14:textId="77777777" w:rsidR="001C12ED" w:rsidRPr="00A8685E" w:rsidRDefault="005239E6">
      <w:pPr>
        <w:spacing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 dirección electrónica debe señalarse en un plazo no mayor a cinco días hábiles;</w:t>
      </w:r>
    </w:p>
    <w:p w14:paraId="7DD80489" w14:textId="77777777" w:rsidR="001C12ED" w:rsidRPr="00A8685E" w:rsidRDefault="005239E6">
      <w:pPr>
        <w:spacing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 dirección electrónica debe ser precisa, de tal modo que no implique realizar una búsqueda en toda la información que ahí se encuentre; y,</w:t>
      </w:r>
    </w:p>
    <w:p w14:paraId="6332EC3C" w14:textId="77777777" w:rsidR="001C12ED" w:rsidRPr="00A8685E" w:rsidRDefault="005239E6">
      <w:pPr>
        <w:spacing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 dirección electrónica debe ir acompañada del procedimiento a seguir, en caso de que la información se encuentre en distintos puntos del sitio electrónico referido; y,</w:t>
      </w:r>
    </w:p>
    <w:p w14:paraId="339DAC5D" w14:textId="77777777" w:rsidR="001C12ED" w:rsidRPr="00A8685E" w:rsidRDefault="005239E6">
      <w:pPr>
        <w:spacing w:line="360" w:lineRule="auto"/>
        <w:ind w:left="284"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La dirección electrónica se debe entregar en formato abierto, para que el Recurrente pueda copiar y pegar sin la necesidad de transcribir la liga electrónica.</w:t>
      </w:r>
    </w:p>
    <w:p w14:paraId="42EA3B36"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2EEE4EC6"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Ahora bien, de la revisión de esta, se logra vislumbrar que en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750D8B3"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43960B8A"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Asimismo, establece que al proporcionar información pública es necesario que sea en un formato que no tenga ninguna restricción en el acceso o reutilización, por lo que, es </w:t>
      </w:r>
      <w:r w:rsidRPr="00A8685E">
        <w:rPr>
          <w:rFonts w:ascii="Palatino Linotype" w:eastAsia="Palatino Linotype" w:hAnsi="Palatino Linotype" w:cs="Palatino Linotype"/>
          <w:sz w:val="22"/>
          <w:szCs w:val="22"/>
        </w:rPr>
        <w:lastRenderedPageBreak/>
        <w:t>necesario que los datos digitales (como ligas electrónicas), se proporcionen en un formato abierto.</w:t>
      </w:r>
    </w:p>
    <w:p w14:paraId="6E459608"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7E999622"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5217F79"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51243F2A" w14:textId="77777777" w:rsidR="001C12ED" w:rsidRPr="00A8685E" w:rsidRDefault="005239E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 xml:space="preserve">Dato abierto: </w:t>
      </w:r>
      <w:r w:rsidRPr="00A8685E">
        <w:rPr>
          <w:rFonts w:ascii="Palatino Linotype" w:eastAsia="Palatino Linotype" w:hAnsi="Palatino Linotype" w:cs="Palatino Linotype"/>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69811E9" w14:textId="77777777" w:rsidR="001C12ED" w:rsidRPr="00A8685E" w:rsidRDefault="001C12ED">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42F407D0" w14:textId="77777777" w:rsidR="001C12ED" w:rsidRPr="00A8685E" w:rsidRDefault="005239E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8685E">
        <w:rPr>
          <w:rFonts w:ascii="Palatino Linotype" w:eastAsia="Palatino Linotype" w:hAnsi="Palatino Linotype" w:cs="Palatino Linotype"/>
          <w:b/>
          <w:sz w:val="22"/>
          <w:szCs w:val="22"/>
        </w:rPr>
        <w:t xml:space="preserve">Formato accesible: </w:t>
      </w:r>
      <w:r w:rsidRPr="00A8685E">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6DC8D42" w14:textId="77777777" w:rsidR="001C12ED" w:rsidRPr="00A8685E" w:rsidRDefault="001C12ED">
      <w:pPr>
        <w:spacing w:line="360" w:lineRule="auto"/>
        <w:jc w:val="both"/>
        <w:rPr>
          <w:rFonts w:ascii="Palatino Linotype" w:eastAsia="Palatino Linotype" w:hAnsi="Palatino Linotype" w:cs="Palatino Linotype"/>
          <w:sz w:val="22"/>
          <w:szCs w:val="22"/>
        </w:rPr>
      </w:pPr>
    </w:p>
    <w:p w14:paraId="7623D685" w14:textId="77777777" w:rsidR="001C12ED" w:rsidRPr="00A8685E" w:rsidRDefault="005239E6">
      <w:pPr>
        <w:spacing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57E99956"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37AC5D2C" w14:textId="77777777" w:rsidR="001C12ED" w:rsidRPr="00A8685E" w:rsidRDefault="005239E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En el presente asunto, el Sujeto Obligado entregó una dirección electrónica en formato cerrado, lo que propicia que el Recurrente deba transcribir cada uno de los caracteres, lo que facilita a errores y con ello la imposibilidad o dificultad para acceder a la información. </w:t>
      </w:r>
    </w:p>
    <w:p w14:paraId="6A7F2E29" w14:textId="77777777" w:rsidR="001C12ED" w:rsidRPr="00A8685E" w:rsidRDefault="001C12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C1AB82F" w14:textId="77777777" w:rsidR="001C12ED" w:rsidRPr="00A8685E" w:rsidRDefault="005239E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Tal y como se aprecia, la dirección electrónica incumple lo que estipula el artículo 161 antes citado, en razón de lo siguiente:</w:t>
      </w:r>
    </w:p>
    <w:p w14:paraId="18189C06" w14:textId="77777777" w:rsidR="001C12ED" w:rsidRPr="00A8685E" w:rsidRDefault="001C12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3264775" w14:textId="77777777" w:rsidR="001C12ED" w:rsidRPr="00A8685E" w:rsidRDefault="005239E6">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La dirección electrónica se encuentra en formato cerrado, por lo que no resulta accesible para el Recurrente; y,</w:t>
      </w:r>
    </w:p>
    <w:p w14:paraId="6E900C99" w14:textId="77777777" w:rsidR="001C12ED" w:rsidRPr="00A8685E" w:rsidRDefault="005239E6">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Se encuentra fuera del plazo de cinco días establecidos para tal efecto.</w:t>
      </w:r>
    </w:p>
    <w:p w14:paraId="27403329" w14:textId="77777777" w:rsidR="001C12ED" w:rsidRPr="00A8685E" w:rsidRDefault="001C12ED">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64F773C0" w14:textId="77777777" w:rsidR="001C12ED" w:rsidRPr="00A8685E" w:rsidRDefault="005239E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En conclusión, se determina que la información proporcionada por el Sujeto Obligado no colma el derecho accionado por el Recurrente, ya que las direcciones electrónicas se proporcionaron en formato cerrado, lo que impide que se conozca el contenido de la misma y, además, fuera del plazo que establece el artículo 161 antes citado.</w:t>
      </w:r>
    </w:p>
    <w:p w14:paraId="04206E03" w14:textId="77777777" w:rsidR="001C12ED" w:rsidRPr="00A8685E" w:rsidRDefault="001C12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B2913B9" w14:textId="77777777" w:rsidR="001C12ED" w:rsidRPr="00A8685E" w:rsidRDefault="005239E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Además de lo anterior, al transcribir la dirección electrónica dirige al siguiente contenido:</w:t>
      </w:r>
    </w:p>
    <w:p w14:paraId="21E6879C" w14:textId="77777777" w:rsidR="001C12ED" w:rsidRPr="00A8685E" w:rsidRDefault="005239E6">
      <w:pPr>
        <w:pBdr>
          <w:top w:val="nil"/>
          <w:left w:val="nil"/>
          <w:bottom w:val="nil"/>
          <w:right w:val="nil"/>
          <w:between w:val="nil"/>
        </w:pBdr>
        <w:spacing w:line="360" w:lineRule="auto"/>
        <w:ind w:right="-150"/>
        <w:jc w:val="center"/>
        <w:rPr>
          <w:rFonts w:ascii="Palatino Linotype" w:eastAsia="Palatino Linotype" w:hAnsi="Palatino Linotype" w:cs="Palatino Linotype"/>
          <w:sz w:val="22"/>
          <w:szCs w:val="22"/>
        </w:rPr>
      </w:pPr>
      <w:r w:rsidRPr="00A8685E">
        <w:rPr>
          <w:rFonts w:ascii="Palatino Linotype" w:eastAsia="Palatino Linotype" w:hAnsi="Palatino Linotype" w:cs="Palatino Linotype"/>
          <w:noProof/>
          <w:sz w:val="22"/>
          <w:szCs w:val="22"/>
          <w:lang w:val="es-MX"/>
        </w:rPr>
        <w:drawing>
          <wp:inline distT="0" distB="0" distL="0" distR="0" wp14:anchorId="33F9CE02" wp14:editId="11610077">
            <wp:extent cx="5612130" cy="3032760"/>
            <wp:effectExtent l="0" t="0" r="0" b="0"/>
            <wp:docPr id="7702015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3032760"/>
                    </a:xfrm>
                    <a:prstGeom prst="rect">
                      <a:avLst/>
                    </a:prstGeom>
                    <a:ln/>
                  </pic:spPr>
                </pic:pic>
              </a:graphicData>
            </a:graphic>
          </wp:inline>
        </w:drawing>
      </w:r>
    </w:p>
    <w:p w14:paraId="23ED38A0"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5EA21A81"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lastRenderedPageBreak/>
        <w:t>El Sujeto Obligado entregó una dirección electrónica del IPOMEX 4.0, donde se localizan todos los Sujetos Obligados, más no así de manera específica el Ayuntamiento de Toluca, lo cual robustece el hecho de que la información proporcionada no colma el derecho accionado por el Recurrente, ya que si bien dirige al apartado donde se localizan las obligaciones de transparencia común, lo cierto es que no se indicó el procedimiento específico para poder acceder a la información del Ayuntamiento de Toluca.</w:t>
      </w:r>
    </w:p>
    <w:p w14:paraId="0BDFB28A"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1FD10C49"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Por lo que, para atender de manera específica los requerimientos del particular, el Ayuntamiento de Toluca deberá señalar nuevamente la dirección electrónica o hipervínculo donde se localizan específicamente las obligaciones de transparencia común del Ayuntamiento de Toluca, junto con el procedimiento a seguir para descargar la información en formato Excel (xlsx).</w:t>
      </w:r>
    </w:p>
    <w:p w14:paraId="31D1102E"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3C668F60"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No pasa desapercibido que el Recurrente solicitó la información en formato Excel, para lo cual se debe recordar que la publicación de las obligaciones de transparencia promoverá el uso de la información original, en versiones de datos abiertos y formatos accesibles, según correspondan los documentos fuentes. </w:t>
      </w:r>
    </w:p>
    <w:p w14:paraId="45972779"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52D21F61"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Por su parte, los </w:t>
      </w:r>
      <w:r w:rsidRPr="00A8685E">
        <w:rPr>
          <w:rFonts w:ascii="Palatino Linotype" w:eastAsia="Palatino Linotype" w:hAnsi="Palatino Linotype" w:cs="Palatino Linotype"/>
          <w:i/>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A8685E">
        <w:rPr>
          <w:rFonts w:ascii="Palatino Linotype" w:eastAsia="Palatino Linotype" w:hAnsi="Palatino Linotype" w:cs="Palatino Linotype"/>
          <w:sz w:val="22"/>
          <w:szCs w:val="22"/>
        </w:rPr>
        <w:t xml:space="preserve"> establecen los criterios para la generación de información bajo el enfoque de datos abiertos señalando lo siguiente:</w:t>
      </w:r>
    </w:p>
    <w:p w14:paraId="620A9E95" w14:textId="77777777" w:rsidR="001C12ED" w:rsidRPr="00A8685E" w:rsidRDefault="001C12ED">
      <w:pPr>
        <w:spacing w:line="360" w:lineRule="auto"/>
        <w:ind w:right="49"/>
        <w:jc w:val="both"/>
      </w:pPr>
    </w:p>
    <w:p w14:paraId="4C72ABDF" w14:textId="77777777" w:rsidR="001C12ED" w:rsidRPr="00A8685E" w:rsidRDefault="005239E6">
      <w:pPr>
        <w:spacing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b/>
          <w:i/>
          <w:sz w:val="22"/>
          <w:szCs w:val="22"/>
        </w:rPr>
        <w:t>Décimo tercero.</w:t>
      </w:r>
      <w:r w:rsidRPr="00A8685E">
        <w:rPr>
          <w:rFonts w:ascii="Palatino Linotype" w:eastAsia="Palatino Linotype" w:hAnsi="Palatino Linotype" w:cs="Palatino Linotype"/>
          <w:i/>
          <w:sz w:val="22"/>
          <w:szCs w:val="22"/>
        </w:rPr>
        <w:t xml:space="preserve"> La información publicada por los sujetos obligados deberá ofrecerse en un formato que permita su reutilización por las personas usuarias y por las </w:t>
      </w:r>
      <w:r w:rsidRPr="00A8685E">
        <w:rPr>
          <w:rFonts w:ascii="Palatino Linotype" w:eastAsia="Palatino Linotype" w:hAnsi="Palatino Linotype" w:cs="Palatino Linotype"/>
          <w:i/>
          <w:sz w:val="22"/>
          <w:szCs w:val="22"/>
        </w:rPr>
        <w:lastRenderedPageBreak/>
        <w:t xml:space="preserve">computadoras y/o dispositivos electrónicos, es decir, presentarse mediante el enfoque de datos abiertos y en concordancia con la Política Nacional de Datos Abiertos, para lograr la disponibilidad y aprovechamiento de los datos generados y/o en poder de los sujetos obligados por parte de la sociedad. </w:t>
      </w:r>
    </w:p>
    <w:p w14:paraId="66385982" w14:textId="77777777" w:rsidR="001C12ED" w:rsidRPr="00A8685E" w:rsidRDefault="005239E6">
      <w:pPr>
        <w:spacing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 La información a la que remitan los sujetos obligados a través de los hipervínculos requeridos en estos lineamientos deberá, cuando así corresponda a su naturaleza, posibilitar la exportación del conjunto de datos publicados de forma estructurada para facilitar su consumo, uso e interpretación. El formato de los archivos digitales y/o electrónicos utilizados pueden ser, entre otros, CVS (por sus siglas en inglés </w:t>
      </w:r>
      <w:proofErr w:type="spellStart"/>
      <w:r w:rsidRPr="00A8685E">
        <w:rPr>
          <w:rFonts w:ascii="Palatino Linotype" w:eastAsia="Palatino Linotype" w:hAnsi="Palatino Linotype" w:cs="Palatino Linotype"/>
          <w:i/>
          <w:sz w:val="22"/>
          <w:szCs w:val="22"/>
        </w:rPr>
        <w:t>Comma-Separated</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Values</w:t>
      </w:r>
      <w:proofErr w:type="spellEnd"/>
      <w:r w:rsidRPr="00A8685E">
        <w:rPr>
          <w:rFonts w:ascii="Palatino Linotype" w:eastAsia="Palatino Linotype" w:hAnsi="Palatino Linotype" w:cs="Palatino Linotype"/>
          <w:i/>
          <w:sz w:val="22"/>
          <w:szCs w:val="22"/>
        </w:rPr>
        <w:t xml:space="preserve">) y de estándar abierto, según convenga, de acuerdo con cada conjunto de datos, ya sea XML (Extensible </w:t>
      </w:r>
      <w:proofErr w:type="spellStart"/>
      <w:r w:rsidRPr="00A8685E">
        <w:rPr>
          <w:rFonts w:ascii="Palatino Linotype" w:eastAsia="Palatino Linotype" w:hAnsi="Palatino Linotype" w:cs="Palatino Linotype"/>
          <w:i/>
          <w:sz w:val="22"/>
          <w:szCs w:val="22"/>
        </w:rPr>
        <w:t>Markup</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Language</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JSon</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Javascript</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Object</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Notation</w:t>
      </w:r>
      <w:proofErr w:type="spellEnd"/>
      <w:r w:rsidRPr="00A8685E">
        <w:rPr>
          <w:rFonts w:ascii="Palatino Linotype" w:eastAsia="Palatino Linotype" w:hAnsi="Palatino Linotype" w:cs="Palatino Linotype"/>
          <w:i/>
          <w:sz w:val="22"/>
          <w:szCs w:val="22"/>
        </w:rPr>
        <w:t>), RDF (</w:t>
      </w:r>
      <w:proofErr w:type="spellStart"/>
      <w:r w:rsidRPr="00A8685E">
        <w:rPr>
          <w:rFonts w:ascii="Palatino Linotype" w:eastAsia="Palatino Linotype" w:hAnsi="Palatino Linotype" w:cs="Palatino Linotype"/>
          <w:i/>
          <w:sz w:val="22"/>
          <w:szCs w:val="22"/>
        </w:rPr>
        <w:t>Resource</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Description</w:t>
      </w:r>
      <w:proofErr w:type="spellEnd"/>
      <w:r w:rsidRPr="00A8685E">
        <w:rPr>
          <w:rFonts w:ascii="Palatino Linotype" w:eastAsia="Palatino Linotype" w:hAnsi="Palatino Linotype" w:cs="Palatino Linotype"/>
          <w:i/>
          <w:sz w:val="22"/>
          <w:szCs w:val="22"/>
        </w:rPr>
        <w:t xml:space="preserve"> Framework), </w:t>
      </w:r>
      <w:proofErr w:type="spellStart"/>
      <w:r w:rsidRPr="00A8685E">
        <w:rPr>
          <w:rFonts w:ascii="Palatino Linotype" w:eastAsia="Palatino Linotype" w:hAnsi="Palatino Linotype" w:cs="Palatino Linotype"/>
          <w:i/>
          <w:sz w:val="22"/>
          <w:szCs w:val="22"/>
        </w:rPr>
        <w:t>GEOJSon</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Geospatial</w:t>
      </w:r>
      <w:proofErr w:type="spellEnd"/>
      <w:r w:rsidRPr="00A8685E">
        <w:rPr>
          <w:rFonts w:ascii="Palatino Linotype" w:eastAsia="Palatino Linotype" w:hAnsi="Palatino Linotype" w:cs="Palatino Linotype"/>
          <w:i/>
          <w:sz w:val="22"/>
          <w:szCs w:val="22"/>
        </w:rPr>
        <w:t xml:space="preserve"> Data </w:t>
      </w:r>
      <w:proofErr w:type="spellStart"/>
      <w:r w:rsidRPr="00A8685E">
        <w:rPr>
          <w:rFonts w:ascii="Palatino Linotype" w:eastAsia="Palatino Linotype" w:hAnsi="Palatino Linotype" w:cs="Palatino Linotype"/>
          <w:i/>
          <w:sz w:val="22"/>
          <w:szCs w:val="22"/>
        </w:rPr>
        <w:t>Interchange</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based</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on</w:t>
      </w:r>
      <w:proofErr w:type="spellEnd"/>
      <w:r w:rsidRPr="00A8685E">
        <w:rPr>
          <w:rFonts w:ascii="Palatino Linotype" w:eastAsia="Palatino Linotype" w:hAnsi="Palatino Linotype" w:cs="Palatino Linotype"/>
          <w:i/>
          <w:sz w:val="22"/>
          <w:szCs w:val="22"/>
        </w:rPr>
        <w:t xml:space="preserve"> JavaScript </w:t>
      </w:r>
      <w:proofErr w:type="spellStart"/>
      <w:r w:rsidRPr="00A8685E">
        <w:rPr>
          <w:rFonts w:ascii="Palatino Linotype" w:eastAsia="Palatino Linotype" w:hAnsi="Palatino Linotype" w:cs="Palatino Linotype"/>
          <w:i/>
          <w:sz w:val="22"/>
          <w:szCs w:val="22"/>
        </w:rPr>
        <w:t>Object</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Notation</w:t>
      </w:r>
      <w:proofErr w:type="spellEnd"/>
      <w:r w:rsidRPr="00A8685E">
        <w:rPr>
          <w:rFonts w:ascii="Palatino Linotype" w:eastAsia="Palatino Linotype" w:hAnsi="Palatino Linotype" w:cs="Palatino Linotype"/>
          <w:i/>
          <w:sz w:val="22"/>
          <w:szCs w:val="22"/>
        </w:rPr>
        <w:t>), KML (</w:t>
      </w:r>
      <w:proofErr w:type="spellStart"/>
      <w:r w:rsidRPr="00A8685E">
        <w:rPr>
          <w:rFonts w:ascii="Palatino Linotype" w:eastAsia="Palatino Linotype" w:hAnsi="Palatino Linotype" w:cs="Palatino Linotype"/>
          <w:i/>
          <w:sz w:val="22"/>
          <w:szCs w:val="22"/>
        </w:rPr>
        <w:t>Keyhole</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Markup</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Language</w:t>
      </w:r>
      <w:proofErr w:type="spellEnd"/>
      <w:r w:rsidRPr="00A8685E">
        <w:rPr>
          <w:rFonts w:ascii="Palatino Linotype" w:eastAsia="Palatino Linotype" w:hAnsi="Palatino Linotype" w:cs="Palatino Linotype"/>
          <w:i/>
          <w:sz w:val="22"/>
          <w:szCs w:val="22"/>
        </w:rPr>
        <w:t>), DBF (Data Base File) y/o propietarios como SHP (</w:t>
      </w:r>
      <w:proofErr w:type="spellStart"/>
      <w:r w:rsidRPr="00A8685E">
        <w:rPr>
          <w:rFonts w:ascii="Palatino Linotype" w:eastAsia="Palatino Linotype" w:hAnsi="Palatino Linotype" w:cs="Palatino Linotype"/>
          <w:i/>
          <w:sz w:val="22"/>
          <w:szCs w:val="22"/>
        </w:rPr>
        <w:t>Shapefile</w:t>
      </w:r>
      <w:proofErr w:type="spellEnd"/>
      <w:r w:rsidRPr="00A8685E">
        <w:rPr>
          <w:rFonts w:ascii="Palatino Linotype" w:eastAsia="Palatino Linotype" w:hAnsi="Palatino Linotype" w:cs="Palatino Linotype"/>
          <w:i/>
          <w:sz w:val="22"/>
          <w:szCs w:val="22"/>
        </w:rPr>
        <w:t xml:space="preserve">) y </w:t>
      </w:r>
      <w:r w:rsidRPr="00A8685E">
        <w:rPr>
          <w:rFonts w:ascii="Palatino Linotype" w:eastAsia="Palatino Linotype" w:hAnsi="Palatino Linotype" w:cs="Palatino Linotype"/>
          <w:b/>
          <w:i/>
          <w:sz w:val="22"/>
          <w:szCs w:val="22"/>
        </w:rPr>
        <w:t>XLSX (Microsoft Excel</w:t>
      </w:r>
      <w:r w:rsidRPr="00A8685E">
        <w:rPr>
          <w:rFonts w:ascii="Palatino Linotype" w:eastAsia="Palatino Linotype" w:hAnsi="Palatino Linotype" w:cs="Palatino Linotype"/>
          <w:i/>
          <w:sz w:val="22"/>
          <w:szCs w:val="22"/>
        </w:rPr>
        <w:t xml:space="preserve"> Open XML </w:t>
      </w:r>
      <w:proofErr w:type="spellStart"/>
      <w:r w:rsidRPr="00A8685E">
        <w:rPr>
          <w:rFonts w:ascii="Palatino Linotype" w:eastAsia="Palatino Linotype" w:hAnsi="Palatino Linotype" w:cs="Palatino Linotype"/>
          <w:i/>
          <w:sz w:val="22"/>
          <w:szCs w:val="22"/>
        </w:rPr>
        <w:t>Spreadsheet</w:t>
      </w:r>
      <w:proofErr w:type="spellEnd"/>
      <w:r w:rsidRPr="00A8685E">
        <w:rPr>
          <w:rFonts w:ascii="Palatino Linotype" w:eastAsia="Palatino Linotype" w:hAnsi="Palatino Linotype" w:cs="Palatino Linotype"/>
          <w:i/>
          <w:sz w:val="22"/>
          <w:szCs w:val="22"/>
        </w:rPr>
        <w:t xml:space="preserve">). </w:t>
      </w:r>
    </w:p>
    <w:p w14:paraId="1ACEC5B7" w14:textId="77777777" w:rsidR="001C12ED" w:rsidRPr="00A8685E" w:rsidRDefault="005239E6">
      <w:pPr>
        <w:spacing w:line="360" w:lineRule="auto"/>
        <w:ind w:left="567" w:right="616"/>
        <w:jc w:val="both"/>
        <w:rPr>
          <w:rFonts w:ascii="Palatino Linotype" w:eastAsia="Palatino Linotype" w:hAnsi="Palatino Linotype" w:cs="Palatino Linotype"/>
          <w:i/>
          <w:sz w:val="22"/>
          <w:szCs w:val="22"/>
        </w:rPr>
      </w:pPr>
      <w:r w:rsidRPr="00A8685E">
        <w:rPr>
          <w:rFonts w:ascii="Palatino Linotype" w:eastAsia="Palatino Linotype" w:hAnsi="Palatino Linotype" w:cs="Palatino Linotype"/>
          <w:i/>
          <w:sz w:val="22"/>
          <w:szCs w:val="22"/>
        </w:rPr>
        <w:t xml:space="preserve">II. Cuando se trate de documentos que deben difundirse con firmas y son publicados en formato PDF (formato de documento portátil por sus siglas en inglés Portable </w:t>
      </w:r>
      <w:proofErr w:type="spellStart"/>
      <w:r w:rsidRPr="00A8685E">
        <w:rPr>
          <w:rFonts w:ascii="Palatino Linotype" w:eastAsia="Palatino Linotype" w:hAnsi="Palatino Linotype" w:cs="Palatino Linotype"/>
          <w:i/>
          <w:sz w:val="22"/>
          <w:szCs w:val="22"/>
        </w:rPr>
        <w:t>Document</w:t>
      </w:r>
      <w:proofErr w:type="spellEnd"/>
      <w:r w:rsidRPr="00A8685E">
        <w:rPr>
          <w:rFonts w:ascii="Palatino Linotype" w:eastAsia="Palatino Linotype" w:hAnsi="Palatino Linotype" w:cs="Palatino Linotype"/>
          <w:i/>
          <w:sz w:val="22"/>
          <w:szCs w:val="22"/>
        </w:rPr>
        <w:t xml:space="preserve"> </w:t>
      </w:r>
      <w:proofErr w:type="spellStart"/>
      <w:r w:rsidRPr="00A8685E">
        <w:rPr>
          <w:rFonts w:ascii="Palatino Linotype" w:eastAsia="Palatino Linotype" w:hAnsi="Palatino Linotype" w:cs="Palatino Linotype"/>
          <w:i/>
          <w:sz w:val="22"/>
          <w:szCs w:val="22"/>
        </w:rPr>
        <w:t>Format</w:t>
      </w:r>
      <w:proofErr w:type="spellEnd"/>
      <w:r w:rsidRPr="00A8685E">
        <w:rPr>
          <w:rFonts w:ascii="Palatino Linotype" w:eastAsia="Palatino Linotype" w:hAnsi="Palatino Linotype" w:cs="Palatino Linotype"/>
          <w:i/>
          <w:sz w:val="22"/>
          <w:szCs w:val="22"/>
        </w:rPr>
        <w:t>), se deberá incluir, adicionalmente, una versión en un formato que permita utilizar o manejar nuevamente la información, tal como documentos en formato predeterminado de Open Office u Open XML de Microsoft Office (con extensiones .Docx, .Xlsx y .</w:t>
      </w:r>
      <w:proofErr w:type="spellStart"/>
      <w:r w:rsidRPr="00A8685E">
        <w:rPr>
          <w:rFonts w:ascii="Palatino Linotype" w:eastAsia="Palatino Linotype" w:hAnsi="Palatino Linotype" w:cs="Palatino Linotype"/>
          <w:i/>
          <w:sz w:val="22"/>
          <w:szCs w:val="22"/>
        </w:rPr>
        <w:t>Pptx</w:t>
      </w:r>
      <w:proofErr w:type="spellEnd"/>
      <w:r w:rsidRPr="00A8685E">
        <w:rPr>
          <w:rFonts w:ascii="Palatino Linotype" w:eastAsia="Palatino Linotype" w:hAnsi="Palatino Linotype" w:cs="Palatino Linotype"/>
          <w:i/>
          <w:sz w:val="22"/>
          <w:szCs w:val="22"/>
        </w:rPr>
        <w:t>), y si se usa formato PDF debe contener reconocimiento de texto, siempre y cuando la naturaleza del documento primario lo permita, entre otros;</w:t>
      </w:r>
    </w:p>
    <w:p w14:paraId="0983D021"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20D442E1"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Los lineamientos en mención, refieren una seria de formatos que los Sujeto Obligados podrán utilizar para cumplir con las obligaciones de transparencia común, entre los que se encuentra el formato XLSX (Microsoft Excel).</w:t>
      </w:r>
    </w:p>
    <w:p w14:paraId="0A1670C2" w14:textId="77777777" w:rsidR="001C12ED" w:rsidRPr="00A8685E" w:rsidRDefault="001C12ED">
      <w:pPr>
        <w:spacing w:line="360" w:lineRule="auto"/>
        <w:ind w:right="49"/>
        <w:jc w:val="both"/>
        <w:rPr>
          <w:rFonts w:ascii="Palatino Linotype" w:eastAsia="Palatino Linotype" w:hAnsi="Palatino Linotype" w:cs="Palatino Linotype"/>
          <w:sz w:val="22"/>
          <w:szCs w:val="22"/>
        </w:rPr>
      </w:pPr>
    </w:p>
    <w:p w14:paraId="19F06CBD" w14:textId="77777777" w:rsidR="001C12ED" w:rsidRPr="00A8685E" w:rsidRDefault="005239E6">
      <w:pPr>
        <w:spacing w:line="360" w:lineRule="auto"/>
        <w:ind w:right="49"/>
        <w:jc w:val="both"/>
        <w:rPr>
          <w:rFonts w:ascii="Palatino Linotype" w:eastAsia="Palatino Linotype" w:hAnsi="Palatino Linotype" w:cs="Palatino Linotype"/>
          <w:sz w:val="22"/>
          <w:szCs w:val="22"/>
        </w:rPr>
      </w:pPr>
      <w:bookmarkStart w:id="4" w:name="_heading=h.874jid6rz2tw" w:colFirst="0" w:colLast="0"/>
      <w:bookmarkEnd w:id="4"/>
      <w:r w:rsidRPr="00A8685E">
        <w:rPr>
          <w:rFonts w:ascii="Palatino Linotype" w:eastAsia="Palatino Linotype" w:hAnsi="Palatino Linotype" w:cs="Palatino Linotype"/>
          <w:sz w:val="22"/>
          <w:szCs w:val="22"/>
        </w:rPr>
        <w:lastRenderedPageBreak/>
        <w:t>Por lo anterior, se ORDENA al Sujeto Obligado a entregar las direcciones electrónicas o hipervínculos en formato abierto, indicándole el procedimiento para acceder a la información matera del presente estudio, relativa a las obligaciones de transparencia común correspondientes al ejercicio fiscal 2024.</w:t>
      </w:r>
    </w:p>
    <w:p w14:paraId="37885338" w14:textId="77777777" w:rsidR="001C12ED" w:rsidRPr="00A8685E" w:rsidRDefault="005239E6">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5" w:name="_heading=h.lnxbz9" w:colFirst="0" w:colLast="0"/>
      <w:bookmarkEnd w:id="5"/>
      <w:r w:rsidRPr="00A8685E">
        <w:rPr>
          <w:rFonts w:ascii="Palatino Linotype" w:eastAsia="Palatino Linotype" w:hAnsi="Palatino Linotype" w:cs="Palatino Linotype"/>
          <w:b/>
          <w:sz w:val="22"/>
          <w:szCs w:val="22"/>
        </w:rPr>
        <w:t>III. R E S U E L V E</w:t>
      </w:r>
    </w:p>
    <w:p w14:paraId="03ED6CE8"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bookmarkStart w:id="6" w:name="_heading=h.1fob9te" w:colFirst="0" w:colLast="0"/>
      <w:bookmarkEnd w:id="6"/>
      <w:r w:rsidRPr="00A8685E">
        <w:rPr>
          <w:rFonts w:ascii="Palatino Linotype" w:eastAsia="Palatino Linotype" w:hAnsi="Palatino Linotype" w:cs="Palatino Linotype"/>
          <w:b/>
          <w:sz w:val="22"/>
          <w:szCs w:val="22"/>
        </w:rPr>
        <w:t xml:space="preserve">Primero. </w:t>
      </w:r>
      <w:r w:rsidRPr="00A8685E">
        <w:rPr>
          <w:rFonts w:ascii="Palatino Linotype" w:eastAsia="Palatino Linotype" w:hAnsi="Palatino Linotype" w:cs="Palatino Linotype"/>
          <w:sz w:val="22"/>
          <w:szCs w:val="22"/>
        </w:rPr>
        <w:t xml:space="preserve">Resultan </w:t>
      </w:r>
      <w:r w:rsidRPr="00A8685E">
        <w:rPr>
          <w:rFonts w:ascii="Palatino Linotype" w:eastAsia="Palatino Linotype" w:hAnsi="Palatino Linotype" w:cs="Palatino Linotype"/>
          <w:b/>
          <w:sz w:val="22"/>
          <w:szCs w:val="22"/>
        </w:rPr>
        <w:t>fundadas</w:t>
      </w:r>
      <w:r w:rsidRPr="00A8685E">
        <w:rPr>
          <w:rFonts w:ascii="Palatino Linotype" w:eastAsia="Palatino Linotype" w:hAnsi="Palatino Linotype" w:cs="Palatino Linotype"/>
          <w:sz w:val="22"/>
          <w:szCs w:val="22"/>
        </w:rPr>
        <w:t xml:space="preserve"> las razones o motivos de inconformidad hechos valer por </w:t>
      </w:r>
      <w:r w:rsidRPr="00A8685E">
        <w:rPr>
          <w:rFonts w:ascii="Palatino Linotype" w:eastAsia="Palatino Linotype" w:hAnsi="Palatino Linotype" w:cs="Palatino Linotype"/>
          <w:b/>
          <w:sz w:val="22"/>
          <w:szCs w:val="22"/>
        </w:rPr>
        <w:t>la parte Recurrente</w:t>
      </w:r>
      <w:r w:rsidRPr="00A8685E">
        <w:rPr>
          <w:rFonts w:ascii="Palatino Linotype" w:eastAsia="Palatino Linotype" w:hAnsi="Palatino Linotype" w:cs="Palatino Linotype"/>
          <w:sz w:val="22"/>
          <w:szCs w:val="22"/>
        </w:rPr>
        <w:t xml:space="preserve"> en el recurso de revisión </w:t>
      </w:r>
      <w:r w:rsidRPr="00A8685E">
        <w:rPr>
          <w:rFonts w:ascii="Palatino Linotype" w:eastAsia="Palatino Linotype" w:hAnsi="Palatino Linotype" w:cs="Palatino Linotype"/>
          <w:b/>
          <w:sz w:val="22"/>
          <w:szCs w:val="22"/>
        </w:rPr>
        <w:t>01109/INFOEM/IP/RR/2025</w:t>
      </w:r>
      <w:r w:rsidRPr="00A8685E">
        <w:rPr>
          <w:rFonts w:ascii="Palatino Linotype" w:eastAsia="Palatino Linotype" w:hAnsi="Palatino Linotype" w:cs="Palatino Linotype"/>
          <w:sz w:val="22"/>
          <w:szCs w:val="22"/>
        </w:rPr>
        <w:t xml:space="preserve">; por lo que, en términos de </w:t>
      </w:r>
      <w:r w:rsidRPr="00A8685E">
        <w:rPr>
          <w:rFonts w:ascii="Palatino Linotype" w:eastAsia="Palatino Linotype" w:hAnsi="Palatino Linotype" w:cs="Palatino Linotype"/>
          <w:b/>
          <w:sz w:val="22"/>
          <w:szCs w:val="22"/>
        </w:rPr>
        <w:t>Considerando</w:t>
      </w:r>
      <w:r w:rsidRPr="00A8685E">
        <w:rPr>
          <w:rFonts w:ascii="Palatino Linotype" w:eastAsia="Palatino Linotype" w:hAnsi="Palatino Linotype" w:cs="Palatino Linotype"/>
          <w:sz w:val="22"/>
          <w:szCs w:val="22"/>
        </w:rPr>
        <w:t xml:space="preserve"> </w:t>
      </w:r>
      <w:r w:rsidRPr="00A8685E">
        <w:rPr>
          <w:rFonts w:ascii="Palatino Linotype" w:eastAsia="Palatino Linotype" w:hAnsi="Palatino Linotype" w:cs="Palatino Linotype"/>
          <w:b/>
          <w:sz w:val="22"/>
          <w:szCs w:val="22"/>
        </w:rPr>
        <w:t xml:space="preserve">Cuarto </w:t>
      </w:r>
      <w:r w:rsidRPr="00A8685E">
        <w:rPr>
          <w:rFonts w:ascii="Palatino Linotype" w:eastAsia="Palatino Linotype" w:hAnsi="Palatino Linotype" w:cs="Palatino Linotype"/>
          <w:sz w:val="22"/>
          <w:szCs w:val="22"/>
        </w:rPr>
        <w:t xml:space="preserve">de esta resolución, se </w:t>
      </w:r>
      <w:r w:rsidRPr="00A8685E">
        <w:rPr>
          <w:rFonts w:ascii="Palatino Linotype" w:eastAsia="Palatino Linotype" w:hAnsi="Palatino Linotype" w:cs="Palatino Linotype"/>
          <w:b/>
          <w:sz w:val="22"/>
          <w:szCs w:val="22"/>
        </w:rPr>
        <w:t xml:space="preserve">REVOCA </w:t>
      </w:r>
      <w:r w:rsidRPr="00A8685E">
        <w:rPr>
          <w:rFonts w:ascii="Palatino Linotype" w:eastAsia="Palatino Linotype" w:hAnsi="Palatino Linotype" w:cs="Palatino Linotype"/>
          <w:sz w:val="22"/>
          <w:szCs w:val="22"/>
        </w:rPr>
        <w:t xml:space="preserve">la respuesta emitida por el </w:t>
      </w:r>
      <w:r w:rsidRPr="00A8685E">
        <w:rPr>
          <w:rFonts w:ascii="Palatino Linotype" w:eastAsia="Palatino Linotype" w:hAnsi="Palatino Linotype" w:cs="Palatino Linotype"/>
          <w:b/>
          <w:sz w:val="22"/>
          <w:szCs w:val="22"/>
        </w:rPr>
        <w:t xml:space="preserve">Sujeto Obligado.  </w:t>
      </w:r>
    </w:p>
    <w:p w14:paraId="4677A06D"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Segundo. </w:t>
      </w:r>
      <w:r w:rsidRPr="00A8685E">
        <w:rPr>
          <w:rFonts w:ascii="Palatino Linotype" w:eastAsia="Palatino Linotype" w:hAnsi="Palatino Linotype" w:cs="Palatino Linotype"/>
          <w:sz w:val="22"/>
          <w:szCs w:val="22"/>
        </w:rPr>
        <w:t xml:space="preserve">Se </w:t>
      </w:r>
      <w:r w:rsidRPr="00A8685E">
        <w:rPr>
          <w:rFonts w:ascii="Palatino Linotype" w:eastAsia="Palatino Linotype" w:hAnsi="Palatino Linotype" w:cs="Palatino Linotype"/>
          <w:b/>
          <w:sz w:val="22"/>
          <w:szCs w:val="22"/>
        </w:rPr>
        <w:t>Ordena</w:t>
      </w:r>
      <w:r w:rsidRPr="00A8685E">
        <w:rPr>
          <w:rFonts w:ascii="Palatino Linotype" w:eastAsia="Palatino Linotype" w:hAnsi="Palatino Linotype" w:cs="Palatino Linotype"/>
          <w:sz w:val="22"/>
          <w:szCs w:val="22"/>
        </w:rPr>
        <w:t xml:space="preserve"> al </w:t>
      </w:r>
      <w:r w:rsidRPr="00A8685E">
        <w:rPr>
          <w:rFonts w:ascii="Palatino Linotype" w:eastAsia="Palatino Linotype" w:hAnsi="Palatino Linotype" w:cs="Palatino Linotype"/>
          <w:b/>
          <w:sz w:val="22"/>
          <w:szCs w:val="22"/>
        </w:rPr>
        <w:t>Sujeto Obligado</w:t>
      </w:r>
      <w:r w:rsidRPr="00A8685E">
        <w:rPr>
          <w:rFonts w:ascii="Palatino Linotype" w:eastAsia="Palatino Linotype" w:hAnsi="Palatino Linotype" w:cs="Palatino Linotype"/>
          <w:sz w:val="22"/>
          <w:szCs w:val="22"/>
        </w:rPr>
        <w:t xml:space="preserve">, en términos del Considerando </w:t>
      </w:r>
      <w:r w:rsidRPr="00A8685E">
        <w:rPr>
          <w:rFonts w:ascii="Palatino Linotype" w:eastAsia="Palatino Linotype" w:hAnsi="Palatino Linotype" w:cs="Palatino Linotype"/>
          <w:b/>
          <w:sz w:val="22"/>
          <w:szCs w:val="22"/>
        </w:rPr>
        <w:t xml:space="preserve">Cuarto </w:t>
      </w:r>
      <w:r w:rsidRPr="00A8685E">
        <w:rPr>
          <w:rFonts w:ascii="Palatino Linotype" w:eastAsia="Palatino Linotype" w:hAnsi="Palatino Linotype" w:cs="Palatino Linotype"/>
          <w:sz w:val="22"/>
          <w:szCs w:val="22"/>
        </w:rPr>
        <w:t>de esta resolución, haga entrega vía SAIMEX, lo siguiente:</w:t>
      </w:r>
    </w:p>
    <w:p w14:paraId="76524C83" w14:textId="77777777" w:rsidR="001C12ED" w:rsidRPr="00A8685E" w:rsidRDefault="005239E6">
      <w:pPr>
        <w:numPr>
          <w:ilvl w:val="0"/>
          <w:numId w:val="4"/>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r w:rsidRPr="00A8685E">
        <w:rPr>
          <w:rFonts w:ascii="Palatino Linotype" w:eastAsia="Palatino Linotype" w:hAnsi="Palatino Linotype" w:cs="Palatino Linotype"/>
          <w:b/>
          <w:sz w:val="22"/>
          <w:szCs w:val="22"/>
        </w:rPr>
        <w:t xml:space="preserve">Hipervínculo en formato abierto, donde consten las Obligaciones de Transparencia Comunes y específicas aplicables al Ayuntamiento de Toluca, del uno de enero al treinta y uno de diciembre de dos mil veinticuatro. </w:t>
      </w:r>
    </w:p>
    <w:p w14:paraId="4E4E3267" w14:textId="77777777" w:rsidR="001C12ED" w:rsidRPr="00A8685E" w:rsidRDefault="005239E6">
      <w:pPr>
        <w:spacing w:before="240" w:after="240" w:line="360" w:lineRule="auto"/>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Tercero.  Notifíquese vía SAIMEX, </w:t>
      </w:r>
      <w:r w:rsidRPr="00A8685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8F07A27"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lastRenderedPageBreak/>
        <w:t xml:space="preserve">Cuarto. </w:t>
      </w:r>
      <w:r w:rsidRPr="00A8685E">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8AF0C0" w14:textId="77777777" w:rsidR="001C12ED" w:rsidRPr="00A8685E" w:rsidRDefault="005239E6">
      <w:pPr>
        <w:spacing w:before="240" w:after="240"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b/>
          <w:sz w:val="22"/>
          <w:szCs w:val="22"/>
        </w:rPr>
        <w:t xml:space="preserve">Quinto. Notifíquese vía SAIMEX, </w:t>
      </w:r>
      <w:r w:rsidRPr="00A8685E">
        <w:rPr>
          <w:rFonts w:ascii="Palatino Linotype" w:eastAsia="Palatino Linotype" w:hAnsi="Palatino Linotype" w:cs="Palatino Linotype"/>
          <w:sz w:val="22"/>
          <w:szCs w:val="22"/>
        </w:rPr>
        <w:t>a</w:t>
      </w:r>
      <w:r w:rsidRPr="00A8685E">
        <w:rPr>
          <w:rFonts w:ascii="Palatino Linotype" w:eastAsia="Palatino Linotype" w:hAnsi="Palatino Linotype" w:cs="Palatino Linotype"/>
          <w:b/>
          <w:sz w:val="22"/>
          <w:szCs w:val="22"/>
        </w:rPr>
        <w:t xml:space="preserve"> la parte Recurrente</w:t>
      </w:r>
      <w:r w:rsidRPr="00A8685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6942D3A2" w14:textId="77777777" w:rsidR="001C12ED" w:rsidRPr="00ED45A0" w:rsidRDefault="005239E6">
      <w:pPr>
        <w:spacing w:line="360" w:lineRule="auto"/>
        <w:ind w:right="49"/>
        <w:jc w:val="both"/>
        <w:rPr>
          <w:rFonts w:ascii="Palatino Linotype" w:eastAsia="Palatino Linotype" w:hAnsi="Palatino Linotype" w:cs="Palatino Linotype"/>
          <w:sz w:val="22"/>
          <w:szCs w:val="22"/>
        </w:rPr>
      </w:pPr>
      <w:r w:rsidRPr="00A8685E">
        <w:rPr>
          <w:rFonts w:ascii="Palatino Linotype" w:eastAsia="Palatino Linotype" w:hAnsi="Palatino Linotype" w:cs="Palatino Linotype"/>
          <w:sz w:val="22"/>
          <w:szCs w:val="22"/>
        </w:rPr>
        <w:t xml:space="preserve">  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DEL DOS MIL VEINTICINCO, ANTE EL SECRETARIO TÉCNICO DEL PLENO ALEXIS TAPIA RAMÍREZ.</w:t>
      </w:r>
    </w:p>
    <w:p w14:paraId="43BDDE8B" w14:textId="77777777" w:rsidR="001C12ED" w:rsidRPr="00ED45A0" w:rsidRDefault="001C12ED">
      <w:pPr>
        <w:spacing w:before="240" w:after="240" w:line="360" w:lineRule="auto"/>
        <w:jc w:val="both"/>
        <w:rPr>
          <w:rFonts w:ascii="Palatino Linotype" w:eastAsia="Palatino Linotype" w:hAnsi="Palatino Linotype" w:cs="Palatino Linotype"/>
          <w:sz w:val="22"/>
          <w:szCs w:val="22"/>
        </w:rPr>
      </w:pPr>
    </w:p>
    <w:p w14:paraId="660F5B87" w14:textId="77777777" w:rsidR="001C12ED" w:rsidRPr="00ED45A0" w:rsidRDefault="001C12ED">
      <w:pPr>
        <w:spacing w:before="240" w:after="240" w:line="360" w:lineRule="auto"/>
        <w:jc w:val="both"/>
        <w:rPr>
          <w:rFonts w:ascii="Palatino Linotype" w:eastAsia="Palatino Linotype" w:hAnsi="Palatino Linotype" w:cs="Palatino Linotype"/>
          <w:sz w:val="22"/>
          <w:szCs w:val="22"/>
        </w:rPr>
      </w:pPr>
    </w:p>
    <w:p w14:paraId="76372C7F" w14:textId="77777777" w:rsidR="001C12ED" w:rsidRPr="00ED45A0" w:rsidRDefault="001C12ED">
      <w:pPr>
        <w:spacing w:before="240" w:after="240" w:line="360" w:lineRule="auto"/>
        <w:jc w:val="both"/>
        <w:rPr>
          <w:rFonts w:ascii="Palatino Linotype" w:eastAsia="Palatino Linotype" w:hAnsi="Palatino Linotype" w:cs="Palatino Linotype"/>
          <w:sz w:val="22"/>
          <w:szCs w:val="22"/>
        </w:rPr>
      </w:pPr>
    </w:p>
    <w:p w14:paraId="3DB2F7E7" w14:textId="77777777" w:rsidR="001C12ED" w:rsidRPr="00ED45A0" w:rsidRDefault="001C12ED">
      <w:pPr>
        <w:spacing w:before="240" w:after="240" w:line="360" w:lineRule="auto"/>
        <w:jc w:val="both"/>
        <w:rPr>
          <w:rFonts w:ascii="Palatino Linotype" w:eastAsia="Palatino Linotype" w:hAnsi="Palatino Linotype" w:cs="Palatino Linotype"/>
          <w:sz w:val="22"/>
          <w:szCs w:val="22"/>
        </w:rPr>
      </w:pPr>
    </w:p>
    <w:p w14:paraId="15DD24D3" w14:textId="49B57C56" w:rsidR="001C12ED" w:rsidRPr="00ED45A0" w:rsidRDefault="001C12ED">
      <w:pPr>
        <w:spacing w:before="240" w:after="240" w:line="360" w:lineRule="auto"/>
        <w:jc w:val="both"/>
        <w:rPr>
          <w:rFonts w:ascii="Palatino Linotype" w:eastAsia="Palatino Linotype" w:hAnsi="Palatino Linotype" w:cs="Palatino Linotype"/>
          <w:sz w:val="22"/>
          <w:szCs w:val="22"/>
        </w:rPr>
      </w:pPr>
    </w:p>
    <w:p w14:paraId="526FC615" w14:textId="250F017A" w:rsidR="00ED45A0" w:rsidRPr="00ED45A0" w:rsidRDefault="00ED45A0">
      <w:pPr>
        <w:spacing w:before="240" w:after="240" w:line="360" w:lineRule="auto"/>
        <w:jc w:val="both"/>
        <w:rPr>
          <w:rFonts w:ascii="Palatino Linotype" w:eastAsia="Palatino Linotype" w:hAnsi="Palatino Linotype" w:cs="Palatino Linotype"/>
          <w:sz w:val="22"/>
          <w:szCs w:val="22"/>
        </w:rPr>
      </w:pPr>
    </w:p>
    <w:p w14:paraId="4BB863BC" w14:textId="7BD708E5" w:rsidR="00ED45A0" w:rsidRPr="00ED45A0" w:rsidRDefault="00ED45A0">
      <w:pPr>
        <w:spacing w:before="240" w:after="240" w:line="360" w:lineRule="auto"/>
        <w:jc w:val="both"/>
        <w:rPr>
          <w:rFonts w:ascii="Palatino Linotype" w:eastAsia="Palatino Linotype" w:hAnsi="Palatino Linotype" w:cs="Palatino Linotype"/>
          <w:sz w:val="22"/>
          <w:szCs w:val="22"/>
        </w:rPr>
      </w:pPr>
    </w:p>
    <w:p w14:paraId="037D4516" w14:textId="77777777" w:rsidR="00ED45A0" w:rsidRPr="00ED45A0" w:rsidRDefault="00ED45A0">
      <w:pPr>
        <w:spacing w:before="240" w:after="240" w:line="360" w:lineRule="auto"/>
        <w:jc w:val="both"/>
        <w:rPr>
          <w:rFonts w:ascii="Palatino Linotype" w:eastAsia="Palatino Linotype" w:hAnsi="Palatino Linotype" w:cs="Palatino Linotype"/>
          <w:sz w:val="22"/>
          <w:szCs w:val="22"/>
        </w:rPr>
      </w:pPr>
    </w:p>
    <w:sectPr w:rsidR="00ED45A0" w:rsidRPr="00ED45A0">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A12C" w14:textId="77777777" w:rsidR="004559C8" w:rsidRDefault="004559C8">
      <w:r>
        <w:separator/>
      </w:r>
    </w:p>
  </w:endnote>
  <w:endnote w:type="continuationSeparator" w:id="0">
    <w:p w14:paraId="0F4C82D6" w14:textId="77777777" w:rsidR="004559C8" w:rsidRDefault="0045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2615" w14:textId="77777777" w:rsidR="001C12ED" w:rsidRDefault="005239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8685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8685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D87DAF4" w14:textId="77777777" w:rsidR="001C12ED" w:rsidRDefault="001C12E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EB94" w14:textId="77777777" w:rsidR="001C12ED" w:rsidRDefault="005239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8685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8685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7D35020" w14:textId="77777777" w:rsidR="001C12ED" w:rsidRDefault="001C12E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71C8" w14:textId="77777777" w:rsidR="004559C8" w:rsidRDefault="004559C8">
      <w:r>
        <w:separator/>
      </w:r>
    </w:p>
  </w:footnote>
  <w:footnote w:type="continuationSeparator" w:id="0">
    <w:p w14:paraId="7FDB39FA" w14:textId="77777777" w:rsidR="004559C8" w:rsidRDefault="0045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4847" w14:textId="77777777" w:rsidR="001C12ED" w:rsidRDefault="005239E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CA57CB" wp14:editId="56970D8B">
          <wp:simplePos x="0" y="0"/>
          <wp:positionH relativeFrom="column">
            <wp:posOffset>-1080128</wp:posOffset>
          </wp:positionH>
          <wp:positionV relativeFrom="paragraph">
            <wp:posOffset>-488308</wp:posOffset>
          </wp:positionV>
          <wp:extent cx="7809865" cy="10165715"/>
          <wp:effectExtent l="0" t="0" r="0" b="0"/>
          <wp:wrapNone/>
          <wp:docPr id="7702015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1C12ED" w14:paraId="302DCD9E" w14:textId="77777777">
      <w:tc>
        <w:tcPr>
          <w:tcW w:w="2489" w:type="dxa"/>
          <w:shd w:val="clear" w:color="auto" w:fill="auto"/>
        </w:tcPr>
        <w:p w14:paraId="20B17981"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38F0132" w14:textId="77777777" w:rsidR="001C12ED" w:rsidRDefault="005239E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01109/INFOEM/IP/RR/2025</w:t>
          </w:r>
        </w:p>
      </w:tc>
    </w:tr>
    <w:tr w:rsidR="001C12ED" w14:paraId="7C974248" w14:textId="77777777">
      <w:trPr>
        <w:trHeight w:val="228"/>
      </w:trPr>
      <w:tc>
        <w:tcPr>
          <w:tcW w:w="2489" w:type="dxa"/>
          <w:shd w:val="clear" w:color="auto" w:fill="auto"/>
          <w:vAlign w:val="center"/>
        </w:tcPr>
        <w:p w14:paraId="6835FE83"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A71D8CE" w14:textId="77777777" w:rsidR="001C12ED" w:rsidRDefault="005239E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1C12ED" w14:paraId="015CAA49" w14:textId="77777777">
      <w:tc>
        <w:tcPr>
          <w:tcW w:w="2489" w:type="dxa"/>
          <w:shd w:val="clear" w:color="auto" w:fill="auto"/>
          <w:vAlign w:val="center"/>
        </w:tcPr>
        <w:p w14:paraId="51D6B047" w14:textId="77777777" w:rsidR="001C12ED" w:rsidRDefault="005239E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43571D4" w14:textId="77777777" w:rsidR="001C12ED" w:rsidRDefault="005239E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FD64F2" w14:textId="77777777" w:rsidR="001C12ED" w:rsidRDefault="005239E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C90" w14:textId="77777777" w:rsidR="001C12ED" w:rsidRDefault="005239E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c"/>
      <w:tblW w:w="5670" w:type="dxa"/>
      <w:tblInd w:w="3261" w:type="dxa"/>
      <w:tblLayout w:type="fixed"/>
      <w:tblLook w:val="0400" w:firstRow="0" w:lastRow="0" w:firstColumn="0" w:lastColumn="0" w:noHBand="0" w:noVBand="1"/>
    </w:tblPr>
    <w:tblGrid>
      <w:gridCol w:w="2551"/>
      <w:gridCol w:w="3119"/>
    </w:tblGrid>
    <w:tr w:rsidR="001C12ED" w14:paraId="0D08F8AB" w14:textId="77777777">
      <w:tc>
        <w:tcPr>
          <w:tcW w:w="2551" w:type="dxa"/>
          <w:shd w:val="clear" w:color="auto" w:fill="auto"/>
          <w:vAlign w:val="center"/>
        </w:tcPr>
        <w:p w14:paraId="5DF0232F"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08297DE" w14:textId="77777777" w:rsidR="001C12ED" w:rsidRDefault="005239E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01109/INFOEM/IP/RR/2025</w:t>
          </w:r>
        </w:p>
      </w:tc>
    </w:tr>
    <w:tr w:rsidR="001C12ED" w14:paraId="740350CF" w14:textId="77777777">
      <w:trPr>
        <w:trHeight w:val="130"/>
      </w:trPr>
      <w:tc>
        <w:tcPr>
          <w:tcW w:w="2551" w:type="dxa"/>
          <w:shd w:val="clear" w:color="auto" w:fill="auto"/>
          <w:vAlign w:val="center"/>
        </w:tcPr>
        <w:p w14:paraId="2C386382"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A4E2C3A" w14:textId="77777777" w:rsidR="001C12ED" w:rsidRDefault="005239E6">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7BEF5EA4" wp14:editId="290EAEEB">
                <wp:simplePos x="0" y="0"/>
                <wp:positionH relativeFrom="column">
                  <wp:posOffset>-4425309</wp:posOffset>
                </wp:positionH>
                <wp:positionV relativeFrom="paragraph">
                  <wp:posOffset>-361943</wp:posOffset>
                </wp:positionV>
                <wp:extent cx="7809865" cy="10165715"/>
                <wp:effectExtent l="0" t="0" r="0" b="0"/>
                <wp:wrapNone/>
                <wp:docPr id="7702015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1C12ED" w14:paraId="2C75B3C1" w14:textId="77777777">
      <w:trPr>
        <w:trHeight w:val="228"/>
      </w:trPr>
      <w:tc>
        <w:tcPr>
          <w:tcW w:w="2551" w:type="dxa"/>
          <w:shd w:val="clear" w:color="auto" w:fill="auto"/>
          <w:vAlign w:val="center"/>
        </w:tcPr>
        <w:p w14:paraId="3E4007B1"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973D9C2" w14:textId="77777777" w:rsidR="001C12ED" w:rsidRDefault="005239E6">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1C12ED" w14:paraId="004F957C" w14:textId="77777777">
      <w:tc>
        <w:tcPr>
          <w:tcW w:w="2551" w:type="dxa"/>
          <w:shd w:val="clear" w:color="auto" w:fill="auto"/>
          <w:vAlign w:val="center"/>
        </w:tcPr>
        <w:p w14:paraId="3A7DC982" w14:textId="77777777" w:rsidR="001C12ED" w:rsidRDefault="005239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6A84444" w14:textId="77777777" w:rsidR="001C12ED" w:rsidRDefault="005239E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26730B" w14:textId="77777777" w:rsidR="001C12ED" w:rsidRDefault="001C12E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9BD"/>
    <w:multiLevelType w:val="multilevel"/>
    <w:tmpl w:val="C1D80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3247B5"/>
    <w:multiLevelType w:val="multilevel"/>
    <w:tmpl w:val="7A84782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419DF"/>
    <w:multiLevelType w:val="multilevel"/>
    <w:tmpl w:val="7EDE8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90318"/>
    <w:multiLevelType w:val="multilevel"/>
    <w:tmpl w:val="C7189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F70313"/>
    <w:multiLevelType w:val="multilevel"/>
    <w:tmpl w:val="235A7FB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ED"/>
    <w:rsid w:val="001C12ED"/>
    <w:rsid w:val="004559C8"/>
    <w:rsid w:val="005239E6"/>
    <w:rsid w:val="00591D69"/>
    <w:rsid w:val="008E50E6"/>
    <w:rsid w:val="00A8685E"/>
    <w:rsid w:val="00ED45A0"/>
    <w:rsid w:val="00F20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D87F"/>
  <w15:docId w15:val="{90F37402-4F06-439A-A205-44D61FAF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GSqsYMr9/wwQqDzjhMK8itHQg==">CgMxLjAyCGguZ2pkZ3hzMgloLjMwajB6bGwyCWguMnM4ZXlvMTIIaC50eWpjd3QyDmguODc0amlkNnJ6MnR3MghoLmxueGJ6OTIJaC4xZm9iOXRlOAByITFfczZzQU9QMVQ4VXFnUHhhNzlURnlvQlc4OU5fV0ZkSw==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8743</Words>
  <Characters>48087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2025-03-31T15:49:00Z</cp:lastPrinted>
  <dcterms:created xsi:type="dcterms:W3CDTF">2025-04-07T22:33:00Z</dcterms:created>
  <dcterms:modified xsi:type="dcterms:W3CDTF">2025-04-07T22:33:00Z</dcterms:modified>
</cp:coreProperties>
</file>