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D04AF"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7E2D3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veinte de noviembre de dos mil veinticinco. </w:t>
      </w:r>
    </w:p>
    <w:p w14:paraId="78E96B3D" w14:textId="3126747F" w:rsidR="000524F1" w:rsidRPr="007E2D31" w:rsidRDefault="00AF3B29">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7E2D31">
        <w:rPr>
          <w:rFonts w:ascii="Palatino Linotype" w:eastAsia="Palatino Linotype" w:hAnsi="Palatino Linotype" w:cs="Palatino Linotype"/>
          <w:b/>
          <w:bCs/>
          <w:sz w:val="22"/>
          <w:szCs w:val="22"/>
        </w:rPr>
        <w:t>VISTO</w:t>
      </w:r>
      <w:r w:rsidRPr="007E2D31">
        <w:rPr>
          <w:rFonts w:ascii="Palatino Linotype" w:eastAsia="Palatino Linotype" w:hAnsi="Palatino Linotype" w:cs="Palatino Linotype"/>
          <w:sz w:val="22"/>
          <w:szCs w:val="22"/>
        </w:rPr>
        <w:t xml:space="preserve"> el expediente formado con motivo del recurso de revisión </w:t>
      </w:r>
      <w:r w:rsidRPr="007E2D31">
        <w:rPr>
          <w:rFonts w:ascii="Palatino Linotype" w:eastAsia="Palatino Linotype" w:hAnsi="Palatino Linotype" w:cs="Palatino Linotype"/>
          <w:b/>
          <w:bCs/>
          <w:sz w:val="22"/>
          <w:szCs w:val="22"/>
        </w:rPr>
        <w:t>09279/INFOEM/IP/RR/2025</w:t>
      </w:r>
      <w:r w:rsidRPr="007E2D31">
        <w:rPr>
          <w:rFonts w:ascii="Palatino Linotype" w:eastAsia="Palatino Linotype" w:hAnsi="Palatino Linotype" w:cs="Palatino Linotype"/>
          <w:sz w:val="22"/>
          <w:szCs w:val="22"/>
        </w:rPr>
        <w:t>, interpuesto por</w:t>
      </w:r>
      <w:r w:rsidRPr="007E2D31">
        <w:rPr>
          <w:rFonts w:ascii="Palatino Linotype" w:eastAsia="Palatino Linotype" w:hAnsi="Palatino Linotype" w:cs="Palatino Linotype"/>
          <w:b/>
          <w:bCs/>
          <w:sz w:val="22"/>
          <w:szCs w:val="22"/>
        </w:rPr>
        <w:t xml:space="preserve"> </w:t>
      </w:r>
      <w:r w:rsidR="0042501D" w:rsidRPr="0042501D">
        <w:rPr>
          <w:rFonts w:ascii="Palatino Linotype" w:eastAsia="Palatino Linotype" w:hAnsi="Palatino Linotype" w:cs="Palatino Linotype"/>
          <w:b/>
          <w:bCs/>
          <w:sz w:val="22"/>
          <w:szCs w:val="22"/>
        </w:rPr>
        <w:t>XXXXXXXXX XXXXX XXXX</w:t>
      </w:r>
      <w:r w:rsidRPr="0042501D">
        <w:rPr>
          <w:rFonts w:ascii="Palatino Linotype" w:eastAsia="Palatino Linotype" w:hAnsi="Palatino Linotype" w:cs="Palatino Linotype"/>
          <w:b/>
          <w:bCs/>
          <w:sz w:val="22"/>
          <w:szCs w:val="22"/>
        </w:rPr>
        <w:t>,</w:t>
      </w:r>
      <w:r w:rsidRPr="007E2D31">
        <w:rPr>
          <w:rFonts w:ascii="Palatino Linotype" w:eastAsia="Palatino Linotype" w:hAnsi="Palatino Linotype" w:cs="Palatino Linotype"/>
          <w:sz w:val="22"/>
          <w:szCs w:val="22"/>
        </w:rPr>
        <w:t xml:space="preserve"> en lo sucesivo</w:t>
      </w:r>
      <w:r w:rsidRPr="007E2D31">
        <w:rPr>
          <w:rFonts w:ascii="Palatino Linotype" w:eastAsia="Palatino Linotype" w:hAnsi="Palatino Linotype" w:cs="Palatino Linotype"/>
          <w:b/>
          <w:bCs/>
          <w:sz w:val="22"/>
          <w:szCs w:val="22"/>
        </w:rPr>
        <w:t xml:space="preserve"> </w:t>
      </w:r>
      <w:r w:rsidRPr="007E2D31">
        <w:rPr>
          <w:rFonts w:ascii="Palatino Linotype" w:eastAsia="Palatino Linotype" w:hAnsi="Palatino Linotype" w:cs="Palatino Linotype"/>
          <w:sz w:val="22"/>
          <w:szCs w:val="22"/>
        </w:rPr>
        <w:t xml:space="preserve">la parte </w:t>
      </w:r>
      <w:r w:rsidRPr="007E2D31">
        <w:rPr>
          <w:rFonts w:ascii="Palatino Linotype" w:eastAsia="Palatino Linotype" w:hAnsi="Palatino Linotype" w:cs="Palatino Linotype"/>
          <w:b/>
          <w:bCs/>
          <w:sz w:val="22"/>
          <w:szCs w:val="22"/>
        </w:rPr>
        <w:t>Recurrente,</w:t>
      </w:r>
      <w:r w:rsidRPr="007E2D31">
        <w:rPr>
          <w:rFonts w:ascii="Palatino Linotype" w:eastAsia="Palatino Linotype" w:hAnsi="Palatino Linotype" w:cs="Palatino Linotype"/>
          <w:sz w:val="22"/>
          <w:szCs w:val="22"/>
        </w:rPr>
        <w:t xml:space="preserve"> en contra de la respuesta a la solicitud de información con número de folio</w:t>
      </w:r>
      <w:r w:rsidRPr="007E2D31">
        <w:rPr>
          <w:rFonts w:ascii="Palatino Linotype" w:eastAsia="Palatino Linotype" w:hAnsi="Palatino Linotype" w:cs="Palatino Linotype"/>
          <w:b/>
          <w:bCs/>
          <w:sz w:val="22"/>
          <w:szCs w:val="22"/>
        </w:rPr>
        <w:t xml:space="preserve"> 01201/CUAUTIZC/IP/2025, </w:t>
      </w:r>
      <w:r w:rsidRPr="007E2D31">
        <w:rPr>
          <w:rFonts w:ascii="Palatino Linotype" w:eastAsia="Palatino Linotype" w:hAnsi="Palatino Linotype" w:cs="Palatino Linotype"/>
          <w:sz w:val="22"/>
          <w:szCs w:val="22"/>
        </w:rPr>
        <w:t xml:space="preserve">por parte del </w:t>
      </w:r>
      <w:r w:rsidRPr="007E2D31">
        <w:rPr>
          <w:rFonts w:ascii="Palatino Linotype" w:eastAsia="Palatino Linotype" w:hAnsi="Palatino Linotype" w:cs="Palatino Linotype"/>
          <w:b/>
          <w:bCs/>
          <w:sz w:val="22"/>
          <w:szCs w:val="22"/>
        </w:rPr>
        <w:t xml:space="preserve">Ayuntamiento de Cuautitlán Izcalli, </w:t>
      </w:r>
      <w:r w:rsidRPr="007E2D31">
        <w:rPr>
          <w:rFonts w:ascii="Palatino Linotype" w:eastAsia="Palatino Linotype" w:hAnsi="Palatino Linotype" w:cs="Palatino Linotype"/>
          <w:sz w:val="22"/>
          <w:szCs w:val="22"/>
        </w:rPr>
        <w:t xml:space="preserve">en lo sucesivo 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 xml:space="preserve">se procede a dictar la presente resolución con base en los siguientes: </w:t>
      </w:r>
    </w:p>
    <w:p w14:paraId="2DC3EFCF" w14:textId="77777777" w:rsidR="000524F1" w:rsidRPr="007E2D31" w:rsidRDefault="00AF3B29">
      <w:pPr>
        <w:spacing w:before="240" w:after="240" w:line="360" w:lineRule="auto"/>
        <w:jc w:val="center"/>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b/>
          <w:bCs/>
          <w:sz w:val="22"/>
          <w:szCs w:val="22"/>
        </w:rPr>
        <w:t>I. A N T E C E D E N T E S</w:t>
      </w:r>
    </w:p>
    <w:p w14:paraId="50D39A5C"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7E2D31">
        <w:rPr>
          <w:rFonts w:ascii="Palatino Linotype" w:eastAsia="Palatino Linotype" w:hAnsi="Palatino Linotype" w:cs="Palatino Linotype"/>
          <w:b/>
          <w:bCs/>
          <w:sz w:val="22"/>
          <w:szCs w:val="22"/>
        </w:rPr>
        <w:t>1. Solicitud de acceso a la información.</w:t>
      </w:r>
      <w:r w:rsidRPr="007E2D31">
        <w:rPr>
          <w:rFonts w:ascii="Palatino Linotype" w:eastAsia="Palatino Linotype" w:hAnsi="Palatino Linotype" w:cs="Palatino Linotype"/>
          <w:sz w:val="22"/>
          <w:szCs w:val="22"/>
        </w:rPr>
        <w:t xml:space="preserve"> El </w:t>
      </w:r>
      <w:r w:rsidRPr="007E2D31">
        <w:rPr>
          <w:rFonts w:ascii="Palatino Linotype" w:eastAsia="Palatino Linotype" w:hAnsi="Palatino Linotype" w:cs="Palatino Linotype"/>
          <w:b/>
          <w:bCs/>
          <w:sz w:val="22"/>
          <w:szCs w:val="22"/>
        </w:rPr>
        <w:t>veinte de junio de dos mil veinticinco,</w:t>
      </w:r>
      <w:r w:rsidRPr="007E2D31">
        <w:rPr>
          <w:rFonts w:ascii="Palatino Linotype" w:eastAsia="Palatino Linotype" w:hAnsi="Palatino Linotype" w:cs="Palatino Linotype"/>
          <w:sz w:val="22"/>
          <w:szCs w:val="22"/>
        </w:rPr>
        <w:t xml:space="preserve"> la parte </w:t>
      </w:r>
      <w:r w:rsidRPr="007E2D31">
        <w:rPr>
          <w:rFonts w:ascii="Palatino Linotype" w:eastAsia="Palatino Linotype" w:hAnsi="Palatino Linotype" w:cs="Palatino Linotype"/>
          <w:b/>
          <w:bCs/>
          <w:sz w:val="22"/>
          <w:szCs w:val="22"/>
        </w:rPr>
        <w:t xml:space="preserve">Recurrente </w:t>
      </w:r>
      <w:r w:rsidRPr="007E2D31">
        <w:rPr>
          <w:rFonts w:ascii="Palatino Linotype" w:eastAsia="Palatino Linotype" w:hAnsi="Palatino Linotype" w:cs="Palatino Linotype"/>
          <w:sz w:val="22"/>
          <w:szCs w:val="22"/>
        </w:rPr>
        <w:t xml:space="preserve">presentó la solicitud de acceso a la información pública ante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a través del Sistema de Acceso a la Información Mexiquense, en lo subsecuente el </w:t>
      </w:r>
      <w:r w:rsidRPr="007E2D31">
        <w:rPr>
          <w:rFonts w:ascii="Palatino Linotype" w:eastAsia="Palatino Linotype" w:hAnsi="Palatino Linotype" w:cs="Palatino Linotype"/>
          <w:b/>
          <w:bCs/>
          <w:sz w:val="22"/>
          <w:szCs w:val="22"/>
        </w:rPr>
        <w:t>SAIMEX,</w:t>
      </w:r>
      <w:r w:rsidRPr="007E2D31">
        <w:rPr>
          <w:rFonts w:ascii="Palatino Linotype" w:eastAsia="Palatino Linotype" w:hAnsi="Palatino Linotype" w:cs="Palatino Linotype"/>
          <w:sz w:val="22"/>
          <w:szCs w:val="22"/>
        </w:rPr>
        <w:t xml:space="preserve"> mediante la cual requirió lo siguiente:</w:t>
      </w:r>
    </w:p>
    <w:p w14:paraId="60D5A42C" w14:textId="77777777" w:rsidR="000524F1" w:rsidRPr="007E2D31" w:rsidRDefault="00AF3B29">
      <w:pPr>
        <w:spacing w:before="120" w:after="120"/>
        <w:ind w:left="851" w:right="902"/>
        <w:jc w:val="both"/>
        <w:rPr>
          <w:rFonts w:ascii="Palatino Linotype" w:eastAsia="Palatino Linotype" w:hAnsi="Palatino Linotype" w:cs="Palatino Linotype"/>
          <w:b/>
          <w:bCs/>
          <w:i/>
          <w:iCs/>
          <w:sz w:val="22"/>
          <w:szCs w:val="22"/>
        </w:rPr>
      </w:pPr>
      <w:r w:rsidRPr="007E2D31">
        <w:rPr>
          <w:rFonts w:ascii="Palatino Linotype" w:eastAsia="Palatino Linotype" w:hAnsi="Palatino Linotype" w:cs="Palatino Linotype"/>
          <w:i/>
          <w:iCs/>
          <w:sz w:val="22"/>
          <w:szCs w:val="22"/>
        </w:rPr>
        <w:t xml:space="preserve"> “Relacion actualizada del personal adscrito al Area de Presidencia municipal de Cuautitlan Izcalli, a partir del 1° de enero del presente año y hasta la fecha en la que se entregue la informacion, desclosado por cada servidor publico 1. Nombre completo, 2. Puesto que desempeña, 3. Nivel tabular o clave presupuestal, 4. funciones especificas asignadas, 5. Funciones especificas asignadas, 5.Percepciones economicas mensuales (bruto y neto), 6. Fecha de ingreso y 7.Tipo de contratacion</w:t>
      </w:r>
      <w:r w:rsidRPr="007E2D31">
        <w:rPr>
          <w:rFonts w:ascii="Palatino Linotype" w:eastAsia="Palatino Linotype" w:hAnsi="Palatino Linotype" w:cs="Palatino Linotype"/>
          <w:b/>
          <w:bCs/>
          <w:i/>
          <w:iCs/>
          <w:sz w:val="22"/>
          <w:szCs w:val="22"/>
        </w:rPr>
        <w:t>”</w:t>
      </w:r>
      <w:r w:rsidRPr="007E2D31">
        <w:rPr>
          <w:rFonts w:ascii="Palatino Linotype" w:eastAsia="Palatino Linotype" w:hAnsi="Palatino Linotype" w:cs="Palatino Linotype"/>
          <w:i/>
          <w:iCs/>
          <w:sz w:val="22"/>
          <w:szCs w:val="22"/>
        </w:rPr>
        <w:t xml:space="preserve"> (sic) </w:t>
      </w:r>
    </w:p>
    <w:p w14:paraId="7F080346"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7E2D31">
        <w:rPr>
          <w:rFonts w:ascii="Palatino Linotype" w:eastAsia="Palatino Linotype" w:hAnsi="Palatino Linotype" w:cs="Palatino Linotype"/>
          <w:b/>
          <w:bCs/>
          <w:sz w:val="22"/>
          <w:szCs w:val="22"/>
        </w:rPr>
        <w:t>Modalidad de Entrega:</w:t>
      </w:r>
      <w:r w:rsidRPr="007E2D31">
        <w:rPr>
          <w:rFonts w:ascii="Palatino Linotype" w:eastAsia="Palatino Linotype" w:hAnsi="Palatino Linotype" w:cs="Palatino Linotype"/>
          <w:sz w:val="22"/>
          <w:szCs w:val="22"/>
        </w:rPr>
        <w:t xml:space="preserve"> a través del</w:t>
      </w:r>
      <w:r w:rsidRPr="007E2D31">
        <w:rPr>
          <w:rFonts w:ascii="Palatino Linotype" w:eastAsia="Palatino Linotype" w:hAnsi="Palatino Linotype" w:cs="Palatino Linotype"/>
          <w:b/>
          <w:bCs/>
          <w:sz w:val="22"/>
          <w:szCs w:val="22"/>
        </w:rPr>
        <w:t xml:space="preserve"> SAIMEX.</w:t>
      </w:r>
    </w:p>
    <w:p w14:paraId="717285B8" w14:textId="77777777" w:rsidR="000524F1" w:rsidRPr="007E2D31" w:rsidRDefault="00AF3B29">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lastRenderedPageBreak/>
        <w:t xml:space="preserve">2. Prórroga. </w:t>
      </w:r>
      <w:r w:rsidRPr="007E2D31">
        <w:rPr>
          <w:rFonts w:ascii="Palatino Linotype" w:eastAsia="Palatino Linotype" w:hAnsi="Palatino Linotype" w:cs="Palatino Linotype"/>
          <w:sz w:val="22"/>
          <w:szCs w:val="22"/>
        </w:rPr>
        <w:t xml:space="preserve">El </w:t>
      </w:r>
      <w:r w:rsidRPr="007E2D31">
        <w:rPr>
          <w:rFonts w:ascii="Palatino Linotype" w:eastAsia="Palatino Linotype" w:hAnsi="Palatino Linotype" w:cs="Palatino Linotype"/>
          <w:b/>
          <w:bCs/>
          <w:sz w:val="22"/>
          <w:szCs w:val="22"/>
        </w:rPr>
        <w:t xml:space="preserve">diez de julio de dos mil veinticinco, </w:t>
      </w:r>
      <w:r w:rsidRPr="007E2D31">
        <w:rPr>
          <w:rFonts w:ascii="Palatino Linotype" w:eastAsia="Palatino Linotype" w:hAnsi="Palatino Linotype" w:cs="Palatino Linotype"/>
          <w:sz w:val="22"/>
          <w:szCs w:val="22"/>
        </w:rPr>
        <w:t xml:space="preserve">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notificó a la persona solicitante la prórroga para dar respuesta a la solicitud</w:t>
      </w:r>
      <w:r w:rsidRPr="007E2D31">
        <w:rPr>
          <w:rFonts w:ascii="Palatino Linotype" w:eastAsia="Palatino Linotype" w:hAnsi="Palatino Linotype" w:cs="Palatino Linotype"/>
          <w:b/>
          <w:bCs/>
          <w:sz w:val="22"/>
          <w:szCs w:val="22"/>
        </w:rPr>
        <w:t>,</w:t>
      </w:r>
      <w:r w:rsidRPr="007E2D31">
        <w:rPr>
          <w:rFonts w:ascii="Palatino Linotype" w:eastAsia="Palatino Linotype" w:hAnsi="Palatino Linotype" w:cs="Palatino Linotype"/>
          <w:sz w:val="22"/>
          <w:szCs w:val="22"/>
        </w:rPr>
        <w:t xml:space="preserve"> medularmente en los siguientes términos:</w:t>
      </w:r>
    </w:p>
    <w:p w14:paraId="5180D642" w14:textId="77777777" w:rsidR="000524F1" w:rsidRPr="007E2D31" w:rsidRDefault="00AF3B29">
      <w:pPr>
        <w:spacing w:before="240" w:after="24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6A889E7" w14:textId="77777777" w:rsidR="000524F1" w:rsidRPr="007E2D31" w:rsidRDefault="00AF3B29">
      <w:pPr>
        <w:spacing w:before="240" w:after="24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Se aprueba por unanimidad la prórroga solicitada.” (sic)</w:t>
      </w:r>
    </w:p>
    <w:p w14:paraId="1ABF3A49"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Como refiere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352BD46B"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t xml:space="preserve">3. Respuesta. </w:t>
      </w:r>
      <w:r w:rsidRPr="007E2D31">
        <w:rPr>
          <w:rFonts w:ascii="Palatino Linotype" w:eastAsia="Palatino Linotype" w:hAnsi="Palatino Linotype" w:cs="Palatino Linotype"/>
          <w:sz w:val="22"/>
          <w:szCs w:val="22"/>
        </w:rPr>
        <w:t xml:space="preserve">El </w:t>
      </w:r>
      <w:r w:rsidRPr="007E2D31">
        <w:rPr>
          <w:rFonts w:ascii="Palatino Linotype" w:eastAsia="Palatino Linotype" w:hAnsi="Palatino Linotype" w:cs="Palatino Linotype"/>
          <w:b/>
          <w:bCs/>
          <w:sz w:val="22"/>
          <w:szCs w:val="22"/>
        </w:rPr>
        <w:t>treinta de julio de dos mil veinticinco,</w:t>
      </w:r>
      <w:r w:rsidRPr="007E2D31">
        <w:rPr>
          <w:rFonts w:ascii="Palatino Linotype" w:eastAsia="Palatino Linotype" w:hAnsi="Palatino Linotype" w:cs="Palatino Linotype"/>
          <w:sz w:val="22"/>
          <w:szCs w:val="22"/>
        </w:rPr>
        <w:t xml:space="preserve"> 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6D80D4CD" w14:textId="77777777" w:rsidR="000524F1" w:rsidRPr="007E2D31" w:rsidRDefault="00AF3B29">
      <w:pPr>
        <w:spacing w:before="240" w:after="24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“…Se procede a notificar la respuesta a la solicitud de información pública. Así mismo se hace de su conocimiento que usted puede interponer su recurso de revisión dentro del plazo de 15 días hábiles contados a partir de la fecha en que se realice la notificación vía electrónica, a través del SAIMEX...” (sic)</w:t>
      </w:r>
    </w:p>
    <w:p w14:paraId="0270A4B4"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adjuntó lo siguiente:</w:t>
      </w:r>
    </w:p>
    <w:p w14:paraId="366B33FB"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lastRenderedPageBreak/>
        <w:t>- Oficio número DA/TRANSP/0196/2025, mediante el cual el servidor público habilitado de la Dirección de Administración, manifestó que de la búsqueda exhaustiva y minuciosa en los archivos y bases de datos que obran en la Dirección, y de acuerdo con lo establecido en el artículo 161 de la Ley de Transparencia y Acceso a la Información Pública del Estado de México y Municipios, la información referente a los servidores públicos adscritos a Presidencia Municipal, así como las percepciones mensuales, las cuales podrá consultar a través de la dirección electrónica que proporcionó en formato cerrado.</w:t>
      </w:r>
    </w:p>
    <w:p w14:paraId="49B5EC91"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Asimismo, señaló que al ingresar en la dirección electrónica proporcionada, la cual  corresponde al artículo 92 de la Ley de Transparencia y Acceso a la Información Pública del Estado de México y Municipios, fracción VIII A Remuneraciones, en donde se establece el ejercicio 2025, área inmediata superior, área, remuneraciones y detalle y al dar click en este último, se aprecian los datos del servidor público como nombre, área de adscripción, puesto, la remuneración mensual bruta y neta, así como en el rubro de percepciones monetarias se visualiza las prestaciones económicas.</w:t>
      </w:r>
    </w:p>
    <w:p w14:paraId="634152FC"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Y, por lo que se refiere a las funciones de los servidores públicos, indicó que son asignadas por su jefe Inmediato, de acuerdo al cargo y atribuciones de la unidad administrativa en la que se encuentren adscritos, de conformidad con las disposiciones legales y reglamentarias aplicables, ajustándose a los lineamientos, normas y políticas que se fijen y las que en su caso establezcan en el ámbito de su respectiva competencia, como lo dispone el artículo 252 del Reglamento Orgánico de la Administración Pública Municipal de Cuautitlán Izcalli, Estado de México, motivo por el cual la información solicitada no obra en los archivos de la Dirección de Administración.</w:t>
      </w:r>
    </w:p>
    <w:p w14:paraId="5C19855B"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t xml:space="preserve">4. Interposición del recurso de revisión. </w:t>
      </w:r>
      <w:r w:rsidRPr="007E2D31">
        <w:rPr>
          <w:rFonts w:ascii="Palatino Linotype" w:eastAsia="Palatino Linotype" w:hAnsi="Palatino Linotype" w:cs="Palatino Linotype"/>
          <w:sz w:val="22"/>
          <w:szCs w:val="22"/>
        </w:rPr>
        <w:t xml:space="preserve">Inconforme con los términos de la respuesta emitida por parte del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el </w:t>
      </w:r>
      <w:r w:rsidRPr="007E2D31">
        <w:rPr>
          <w:rFonts w:ascii="Palatino Linotype" w:eastAsia="Palatino Linotype" w:hAnsi="Palatino Linotype" w:cs="Palatino Linotype"/>
          <w:b/>
          <w:bCs/>
          <w:sz w:val="22"/>
          <w:szCs w:val="22"/>
        </w:rPr>
        <w:t>siete de agosto de dos mil veinticinco,</w:t>
      </w:r>
      <w:r w:rsidRPr="007E2D31">
        <w:rPr>
          <w:rFonts w:ascii="Palatino Linotype" w:eastAsia="Palatino Linotype" w:hAnsi="Palatino Linotype" w:cs="Palatino Linotype"/>
          <w:sz w:val="22"/>
          <w:szCs w:val="22"/>
        </w:rPr>
        <w:t xml:space="preserve"> la parte </w:t>
      </w:r>
      <w:r w:rsidRPr="007E2D31">
        <w:rPr>
          <w:rFonts w:ascii="Palatino Linotype" w:eastAsia="Palatino Linotype" w:hAnsi="Palatino Linotype" w:cs="Palatino Linotype"/>
          <w:b/>
          <w:bCs/>
          <w:sz w:val="22"/>
          <w:szCs w:val="22"/>
        </w:rPr>
        <w:t>Recurrente</w:t>
      </w:r>
      <w:r w:rsidRPr="007E2D31">
        <w:rPr>
          <w:rFonts w:ascii="Palatino Linotype" w:eastAsia="Palatino Linotype" w:hAnsi="Palatino Linotype" w:cs="Palatino Linotype"/>
          <w:sz w:val="22"/>
          <w:szCs w:val="22"/>
        </w:rPr>
        <w:t xml:space="preserve"> interpuso el recurso de revisión a través de </w:t>
      </w:r>
      <w:r w:rsidRPr="007E2D31">
        <w:rPr>
          <w:rFonts w:ascii="Palatino Linotype" w:eastAsia="Palatino Linotype" w:hAnsi="Palatino Linotype" w:cs="Palatino Linotype"/>
          <w:b/>
          <w:bCs/>
          <w:sz w:val="22"/>
          <w:szCs w:val="22"/>
        </w:rPr>
        <w:t xml:space="preserve">SAIMEX, </w:t>
      </w:r>
      <w:r w:rsidRPr="007E2D31">
        <w:rPr>
          <w:rFonts w:ascii="Palatino Linotype" w:eastAsia="Palatino Linotype" w:hAnsi="Palatino Linotype" w:cs="Palatino Linotype"/>
          <w:sz w:val="22"/>
          <w:szCs w:val="22"/>
        </w:rPr>
        <w:t>en donde se manifestó de la siguiente manera:</w:t>
      </w:r>
    </w:p>
    <w:p w14:paraId="5A1DDEE8" w14:textId="77777777" w:rsidR="000524F1" w:rsidRPr="007E2D31" w:rsidRDefault="00AF3B29">
      <w:pPr>
        <w:spacing w:before="240" w:after="240" w:line="360" w:lineRule="auto"/>
        <w:ind w:right="49"/>
        <w:jc w:val="both"/>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b/>
          <w:bCs/>
          <w:sz w:val="22"/>
          <w:szCs w:val="22"/>
        </w:rPr>
        <w:t xml:space="preserve">Acto impugnado: </w:t>
      </w:r>
    </w:p>
    <w:p w14:paraId="46FD44DF" w14:textId="77777777" w:rsidR="000524F1" w:rsidRPr="007E2D31" w:rsidRDefault="00AF3B29">
      <w:pPr>
        <w:ind w:left="851" w:right="900"/>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“La respuesta a la solicitud no cuenta con la información solicitada” (sic)</w:t>
      </w:r>
    </w:p>
    <w:p w14:paraId="7D47E9A3" w14:textId="77777777" w:rsidR="000524F1" w:rsidRPr="007E2D31" w:rsidRDefault="00AF3B29">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7E2D31">
        <w:rPr>
          <w:rFonts w:ascii="Palatino Linotype" w:eastAsia="Palatino Linotype" w:hAnsi="Palatino Linotype" w:cs="Palatino Linotype"/>
          <w:b/>
          <w:bCs/>
          <w:sz w:val="22"/>
          <w:szCs w:val="22"/>
        </w:rPr>
        <w:t>Y, Razones o motivos de inconformidad</w:t>
      </w:r>
      <w:r w:rsidRPr="007E2D31">
        <w:rPr>
          <w:rFonts w:ascii="Palatino Linotype" w:eastAsia="Palatino Linotype" w:hAnsi="Palatino Linotype" w:cs="Palatino Linotype"/>
          <w:sz w:val="22"/>
          <w:szCs w:val="22"/>
        </w:rPr>
        <w:t>:</w:t>
      </w:r>
    </w:p>
    <w:p w14:paraId="4ADB0F1F" w14:textId="77777777" w:rsidR="000524F1" w:rsidRPr="007E2D31" w:rsidRDefault="00AF3B29">
      <w:pPr>
        <w:tabs>
          <w:tab w:val="left" w:pos="2745"/>
        </w:tabs>
        <w:spacing w:before="240" w:after="24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 xml:space="preserve">“No se brinda la información de manera especifica y </w:t>
      </w:r>
      <w:r w:rsidRPr="007E2D31">
        <w:rPr>
          <w:rFonts w:ascii="Palatino Linotype" w:eastAsia="Palatino Linotype" w:hAnsi="Palatino Linotype" w:cs="Palatino Linotype"/>
          <w:b/>
          <w:bCs/>
          <w:i/>
          <w:iCs/>
          <w:sz w:val="22"/>
          <w:szCs w:val="22"/>
          <w:u w:val="single"/>
        </w:rPr>
        <w:t>la respuesta contiene un link inaccesible</w:t>
      </w:r>
      <w:r w:rsidRPr="007E2D31">
        <w:rPr>
          <w:rFonts w:ascii="Palatino Linotype" w:eastAsia="Palatino Linotype" w:hAnsi="Palatino Linotype" w:cs="Palatino Linotype"/>
          <w:i/>
          <w:iCs/>
          <w:sz w:val="22"/>
          <w:szCs w:val="22"/>
        </w:rPr>
        <w:t>” (sic)</w:t>
      </w:r>
    </w:p>
    <w:p w14:paraId="50DFEA4F" w14:textId="77777777" w:rsidR="000524F1" w:rsidRPr="007E2D31" w:rsidRDefault="00AF3B29">
      <w:pPr>
        <w:spacing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t xml:space="preserve">5. Turno. </w:t>
      </w:r>
      <w:r w:rsidRPr="007E2D3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E2D31">
        <w:rPr>
          <w:rFonts w:ascii="Palatino Linotype" w:eastAsia="Palatino Linotype" w:hAnsi="Palatino Linotype" w:cs="Palatino Linotype"/>
          <w:b/>
          <w:bCs/>
          <w:sz w:val="22"/>
          <w:szCs w:val="22"/>
        </w:rPr>
        <w:t xml:space="preserve">Guadalupe Ramírez Peña, </w:t>
      </w:r>
      <w:r w:rsidRPr="007E2D31">
        <w:rPr>
          <w:rFonts w:ascii="Palatino Linotype" w:eastAsia="Palatino Linotype" w:hAnsi="Palatino Linotype" w:cs="Palatino Linotype"/>
          <w:sz w:val="22"/>
          <w:szCs w:val="22"/>
        </w:rPr>
        <w:t>a efecto de que analizara sobre su admisión o su desechamiento.</w:t>
      </w:r>
    </w:p>
    <w:p w14:paraId="392CAE91" w14:textId="77777777" w:rsidR="000524F1" w:rsidRPr="007E2D31" w:rsidRDefault="00AF3B29">
      <w:pPr>
        <w:spacing w:before="240" w:after="240" w:line="360" w:lineRule="auto"/>
        <w:jc w:val="both"/>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b/>
          <w:bCs/>
          <w:sz w:val="22"/>
          <w:szCs w:val="22"/>
        </w:rPr>
        <w:t>6. Admisión del Recurso de revisión.</w:t>
      </w:r>
      <w:r w:rsidRPr="007E2D31">
        <w:rPr>
          <w:rFonts w:ascii="Palatino Linotype" w:eastAsia="Palatino Linotype" w:hAnsi="Palatino Linotype" w:cs="Palatino Linotype"/>
          <w:sz w:val="22"/>
          <w:szCs w:val="22"/>
        </w:rPr>
        <w:t xml:space="preserve"> El</w:t>
      </w:r>
      <w:r w:rsidRPr="007E2D31">
        <w:rPr>
          <w:rFonts w:ascii="Palatino Linotype" w:eastAsia="Palatino Linotype" w:hAnsi="Palatino Linotype" w:cs="Palatino Linotype"/>
          <w:b/>
          <w:bCs/>
          <w:sz w:val="22"/>
          <w:szCs w:val="22"/>
        </w:rPr>
        <w:t xml:space="preserve"> doce de agosto de dos mil veinticinco, </w:t>
      </w:r>
      <w:r w:rsidRPr="007E2D31">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presentara su informe justificado.</w:t>
      </w:r>
    </w:p>
    <w:p w14:paraId="0231D0AA"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7E2D31">
        <w:rPr>
          <w:rFonts w:ascii="Palatino Linotype" w:eastAsia="Palatino Linotype" w:hAnsi="Palatino Linotype" w:cs="Palatino Linotype"/>
          <w:b/>
          <w:bCs/>
          <w:sz w:val="22"/>
          <w:szCs w:val="22"/>
        </w:rPr>
        <w:t>7. Manifestaciones</w:t>
      </w:r>
      <w:r w:rsidRPr="007E2D31">
        <w:rPr>
          <w:rFonts w:ascii="Palatino Linotype" w:eastAsia="Palatino Linotype" w:hAnsi="Palatino Linotype" w:cs="Palatino Linotype"/>
          <w:sz w:val="22"/>
          <w:szCs w:val="22"/>
        </w:rPr>
        <w:t xml:space="preserve">. El </w:t>
      </w:r>
      <w:r w:rsidRPr="007E2D31">
        <w:rPr>
          <w:rFonts w:ascii="Palatino Linotype" w:eastAsia="Palatino Linotype" w:hAnsi="Palatino Linotype" w:cs="Palatino Linotype"/>
          <w:b/>
          <w:bCs/>
          <w:sz w:val="22"/>
          <w:szCs w:val="22"/>
        </w:rPr>
        <w:t>dieciocho de agosto de</w:t>
      </w: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sz w:val="22"/>
          <w:szCs w:val="22"/>
        </w:rPr>
        <w:t>dos mil veinticinco</w:t>
      </w:r>
      <w:r w:rsidRPr="007E2D31">
        <w:rPr>
          <w:rFonts w:ascii="Palatino Linotype" w:eastAsia="Palatino Linotype" w:hAnsi="Palatino Linotype" w:cs="Palatino Linotype"/>
          <w:sz w:val="22"/>
          <w:szCs w:val="22"/>
        </w:rPr>
        <w:t xml:space="preserve">,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remitió, a través del SAIMEX lo siguiente:</w:t>
      </w:r>
    </w:p>
    <w:p w14:paraId="4C1EB105"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Oficio número DA/TRANSP/0266/2025, mediante el cual el servidor público habilitado de la Dirección de Administración ratificó la respuesta proporcionada en primera instancia, reiterando que se proporcionó al ciudadano recurrente la información que ya se encuentra disponible en un medio impreso, cuya dirección electrónica proporcionó para efectos de a consulta, en términos de los artículos 12 y 161 de Ley de Transparencia y Acceso a la Información Pública del Estado de México y Municipio.</w:t>
      </w:r>
    </w:p>
    <w:p w14:paraId="5079ED8D"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709B17CE" w14:textId="77777777" w:rsidR="000524F1" w:rsidRPr="007E2D31" w:rsidRDefault="00AF3B29">
      <w:pPr>
        <w:widowControl w:val="0"/>
        <w:spacing w:before="240" w:line="360" w:lineRule="auto"/>
        <w:jc w:val="both"/>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b/>
          <w:bCs/>
          <w:sz w:val="22"/>
          <w:szCs w:val="22"/>
        </w:rPr>
        <w:t xml:space="preserve">8. Cierre de instrucción. </w:t>
      </w:r>
      <w:r w:rsidRPr="007E2D3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7E2D31">
        <w:rPr>
          <w:rFonts w:ascii="Palatino Linotype" w:eastAsia="Palatino Linotype" w:hAnsi="Palatino Linotype" w:cs="Palatino Linotype"/>
          <w:b/>
          <w:bCs/>
          <w:sz w:val="22"/>
          <w:szCs w:val="22"/>
        </w:rPr>
        <w:t>once de noviembre de dos mil veinticinco</w:t>
      </w:r>
      <w:r w:rsidRPr="007E2D3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8ED3506" w14:textId="77777777" w:rsidR="000524F1" w:rsidRPr="007E2D31" w:rsidRDefault="00AF3B29">
      <w:pPr>
        <w:widowControl w:val="0"/>
        <w:spacing w:before="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t>9. Ampliación del término para resolver</w:t>
      </w:r>
      <w:r w:rsidRPr="007E2D31">
        <w:rPr>
          <w:rFonts w:ascii="Palatino Linotype" w:eastAsia="Palatino Linotype" w:hAnsi="Palatino Linotype" w:cs="Palatino Linotype"/>
          <w:sz w:val="22"/>
          <w:szCs w:val="22"/>
        </w:rPr>
        <w:t xml:space="preserve">. El </w:t>
      </w:r>
      <w:r w:rsidRPr="007E2D31">
        <w:rPr>
          <w:rFonts w:ascii="Palatino Linotype" w:eastAsia="Palatino Linotype" w:hAnsi="Palatino Linotype" w:cs="Palatino Linotype"/>
          <w:b/>
          <w:bCs/>
          <w:sz w:val="22"/>
          <w:szCs w:val="22"/>
        </w:rPr>
        <w:t>once de noviembre de dos mil veinticinco</w:t>
      </w:r>
      <w:r w:rsidRPr="007E2D31">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F17CBF9"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EF8CA0E"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96C3036"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825923"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1A28587" w14:textId="77777777" w:rsidR="000524F1" w:rsidRPr="007E2D31" w:rsidRDefault="00AF3B29">
      <w:pPr>
        <w:spacing w:before="240" w:after="240" w:line="360" w:lineRule="auto"/>
        <w:jc w:val="both"/>
        <w:rPr>
          <w:rFonts w:ascii="Palatino Linotype" w:eastAsia="Palatino Linotype" w:hAnsi="Palatino Linotype" w:cs="Palatino Linotype"/>
          <w:strike/>
          <w:sz w:val="22"/>
          <w:szCs w:val="22"/>
        </w:rPr>
      </w:pPr>
      <w:r w:rsidRPr="007E2D3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2E988E0" w14:textId="77777777" w:rsidR="000524F1" w:rsidRPr="007E2D31" w:rsidRDefault="00AF3B29">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4434C461" w14:textId="77777777" w:rsidR="000524F1" w:rsidRPr="007E2D31" w:rsidRDefault="00AF3B29">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Actividad Procesal del interesado. Acciones u omisiones del interesado.</w:t>
      </w:r>
    </w:p>
    <w:p w14:paraId="375E9042" w14:textId="77777777" w:rsidR="000524F1" w:rsidRPr="007E2D31" w:rsidRDefault="00AF3B29">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41D117B5" w14:textId="77777777" w:rsidR="000524F1" w:rsidRPr="007E2D31" w:rsidRDefault="00AF3B29">
      <w:pPr>
        <w:tabs>
          <w:tab w:val="left" w:pos="567"/>
        </w:tabs>
        <w:spacing w:before="240" w:after="240" w:line="360" w:lineRule="auto"/>
        <w:ind w:left="284"/>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0D874B88"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694C8B" w14:textId="77777777" w:rsidR="000524F1" w:rsidRPr="007E2D31" w:rsidRDefault="00AF3B29">
      <w:pPr>
        <w:spacing w:before="240" w:after="240" w:line="360" w:lineRule="auto"/>
        <w:jc w:val="both"/>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7E2D31">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7E2D31">
        <w:rPr>
          <w:rFonts w:ascii="Palatino Linotype" w:eastAsia="Palatino Linotype" w:hAnsi="Palatino Linotype" w:cs="Palatino Linotype"/>
          <w:sz w:val="22"/>
          <w:szCs w:val="22"/>
        </w:rPr>
        <w:t>, visible en la Gaceta del Seminario Judicial de la Federación con el registro digital 205635.</w:t>
      </w:r>
    </w:p>
    <w:p w14:paraId="54AA2372"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1EBA09"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1BD3BB25" w14:textId="77777777" w:rsidR="000524F1" w:rsidRPr="007E2D31" w:rsidRDefault="00AF3B29">
      <w:pPr>
        <w:spacing w:before="120"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sz w:val="22"/>
          <w:szCs w:val="22"/>
        </w:rPr>
        <w:t xml:space="preserve"> consultable en el Seminario Judicial de la Federación y su gaceta, con el registro digital 2002351.</w:t>
      </w:r>
    </w:p>
    <w:p w14:paraId="24BF460C" w14:textId="77777777" w:rsidR="000524F1" w:rsidRPr="007E2D31" w:rsidRDefault="00AF3B29">
      <w:pPr>
        <w:spacing w:before="120"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sz w:val="22"/>
          <w:szCs w:val="22"/>
        </w:rPr>
        <w:t>, visible en el Seminario Judicial de la Federación y su gaceta, con el registro digital 2002350.</w:t>
      </w:r>
    </w:p>
    <w:p w14:paraId="58EEF866"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2BC4A2D"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6C769A7A" w14:textId="77777777" w:rsidR="000524F1" w:rsidRPr="007E2D31" w:rsidRDefault="00AF3B29">
      <w:pPr>
        <w:widowControl w:val="0"/>
        <w:spacing w:before="240" w:after="240" w:line="360" w:lineRule="auto"/>
        <w:jc w:val="center"/>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b/>
          <w:bCs/>
          <w:sz w:val="22"/>
          <w:szCs w:val="22"/>
        </w:rPr>
        <w:t>II. C O N S I D E R A N D O S</w:t>
      </w:r>
    </w:p>
    <w:p w14:paraId="1D113D5F"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t>Primero. Competencia.</w:t>
      </w:r>
      <w:r w:rsidRPr="007E2D3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96C3383"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7E2D31">
        <w:rPr>
          <w:rFonts w:ascii="Palatino Linotype" w:eastAsia="Palatino Linotype" w:hAnsi="Palatino Linotype" w:cs="Palatino Linotype"/>
          <w:b/>
          <w:bCs/>
          <w:sz w:val="22"/>
          <w:szCs w:val="22"/>
        </w:rPr>
        <w:t>Segundo. Oportunidad y Procedibilidad del Recurso de Revisión</w:t>
      </w:r>
      <w:r w:rsidRPr="007E2D31">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70105CE"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 xml:space="preserve">remitió la respuesta a la solicitud de información el día </w:t>
      </w:r>
      <w:r w:rsidRPr="007E2D31">
        <w:rPr>
          <w:rFonts w:ascii="Palatino Linotype" w:eastAsia="Palatino Linotype" w:hAnsi="Palatino Linotype" w:cs="Palatino Linotype"/>
          <w:b/>
          <w:bCs/>
          <w:sz w:val="22"/>
          <w:szCs w:val="22"/>
        </w:rPr>
        <w:t xml:space="preserve">treinta de julio de dos mil veinticinco, </w:t>
      </w:r>
      <w:r w:rsidRPr="007E2D31">
        <w:rPr>
          <w:rFonts w:ascii="Palatino Linotype" w:eastAsia="Palatino Linotype" w:hAnsi="Palatino Linotype" w:cs="Palatino Linotype"/>
          <w:sz w:val="22"/>
          <w:szCs w:val="22"/>
        </w:rPr>
        <w:t xml:space="preserve">mientras que el recurso de revisión interpuesto por la parte </w:t>
      </w:r>
      <w:r w:rsidRPr="007E2D31">
        <w:rPr>
          <w:rFonts w:ascii="Palatino Linotype" w:eastAsia="Palatino Linotype" w:hAnsi="Palatino Linotype" w:cs="Palatino Linotype"/>
          <w:b/>
          <w:bCs/>
          <w:sz w:val="22"/>
          <w:szCs w:val="22"/>
        </w:rPr>
        <w:t xml:space="preserve">Recurrente, </w:t>
      </w:r>
      <w:r w:rsidRPr="007E2D31">
        <w:rPr>
          <w:rFonts w:ascii="Palatino Linotype" w:eastAsia="Palatino Linotype" w:hAnsi="Palatino Linotype" w:cs="Palatino Linotype"/>
          <w:sz w:val="22"/>
          <w:szCs w:val="22"/>
        </w:rPr>
        <w:t>se tuvo por presentado el día</w:t>
      </w:r>
      <w:r w:rsidRPr="007E2D31">
        <w:rPr>
          <w:rFonts w:ascii="Palatino Linotype" w:eastAsia="Palatino Linotype" w:hAnsi="Palatino Linotype" w:cs="Palatino Linotype"/>
          <w:b/>
          <w:bCs/>
          <w:sz w:val="22"/>
          <w:szCs w:val="22"/>
        </w:rPr>
        <w:t xml:space="preserve"> siete de agosto de dos mil veinticinco, </w:t>
      </w:r>
      <w:r w:rsidRPr="007E2D31">
        <w:rPr>
          <w:rFonts w:ascii="Palatino Linotype" w:eastAsia="Palatino Linotype" w:hAnsi="Palatino Linotype" w:cs="Palatino Linotype"/>
          <w:sz w:val="22"/>
          <w:szCs w:val="22"/>
        </w:rPr>
        <w:t>esto es, al cuarto día hábil posterior a aquel en el que tuvo conocimiento de la respuesta impugnada. En este sentido, se concluye que el presente recurso de revisión se encuentra dentro de los márgenes temporales previstos en las disposiciones legales referidas.</w:t>
      </w:r>
    </w:p>
    <w:p w14:paraId="4D4861D0"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CDD4852"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7E2D31">
        <w:rPr>
          <w:rFonts w:ascii="Palatino Linotype" w:eastAsia="Palatino Linotype" w:hAnsi="Palatino Linotype" w:cs="Palatino Linotype"/>
          <w:b/>
          <w:bCs/>
          <w:sz w:val="22"/>
          <w:szCs w:val="22"/>
        </w:rPr>
        <w:t>Recurrente</w:t>
      </w:r>
      <w:r w:rsidRPr="007E2D31">
        <w:rPr>
          <w:rFonts w:ascii="Palatino Linotype" w:eastAsia="Palatino Linotype" w:hAnsi="Palatino Linotype" w:cs="Palatino Linotype"/>
          <w:sz w:val="22"/>
          <w:szCs w:val="22"/>
        </w:rPr>
        <w:t xml:space="preserve"> en sus motivos de inconformidad, de acuerdo al artículo 179, fracciones I y IX del ordenamiento legal citado, que a la letra dice: </w:t>
      </w:r>
    </w:p>
    <w:p w14:paraId="002C50E1" w14:textId="77777777" w:rsidR="000524F1" w:rsidRPr="007E2D31" w:rsidRDefault="00AF3B29">
      <w:pPr>
        <w:tabs>
          <w:tab w:val="left" w:pos="7938"/>
        </w:tabs>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Artículo 179.</w:t>
      </w:r>
      <w:r w:rsidRPr="007E2D31">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3F27682F" w14:textId="77777777" w:rsidR="000524F1" w:rsidRPr="007E2D31" w:rsidRDefault="00AF3B29">
      <w:pPr>
        <w:tabs>
          <w:tab w:val="left" w:pos="7938"/>
        </w:tabs>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w:t>
      </w:r>
      <w:r w:rsidRPr="007E2D31">
        <w:rPr>
          <w:rFonts w:ascii="Palatino Linotype" w:eastAsia="Palatino Linotype" w:hAnsi="Palatino Linotype" w:cs="Palatino Linotype"/>
          <w:i/>
          <w:iCs/>
          <w:sz w:val="22"/>
          <w:szCs w:val="22"/>
        </w:rPr>
        <w:t xml:space="preserve"> La negativa a la información solicitada;</w:t>
      </w:r>
    </w:p>
    <w:p w14:paraId="65D49F80" w14:textId="77777777" w:rsidR="000524F1" w:rsidRPr="007E2D31" w:rsidRDefault="00AF3B29">
      <w:pPr>
        <w:tabs>
          <w:tab w:val="left" w:pos="7938"/>
        </w:tabs>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w:t>
      </w:r>
      <w:r w:rsidRPr="007E2D31">
        <w:rPr>
          <w:rFonts w:ascii="Palatino Linotype" w:eastAsia="Palatino Linotype" w:hAnsi="Palatino Linotype" w:cs="Palatino Linotype"/>
          <w:i/>
          <w:iCs/>
          <w:sz w:val="22"/>
          <w:szCs w:val="22"/>
        </w:rPr>
        <w:t>..</w:t>
      </w:r>
    </w:p>
    <w:p w14:paraId="28F7E438" w14:textId="77777777" w:rsidR="000524F1" w:rsidRPr="007E2D31" w:rsidRDefault="00AF3B29">
      <w:pPr>
        <w:spacing w:before="240" w:after="240" w:line="360" w:lineRule="auto"/>
        <w:ind w:left="851"/>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i/>
          <w:iCs/>
          <w:sz w:val="22"/>
          <w:szCs w:val="22"/>
        </w:rPr>
        <w:t>IX. La entrega o puesta a disposición de información en un formato incomprensible y/o no accesible para el solicitante;</w:t>
      </w:r>
    </w:p>
    <w:p w14:paraId="48FAEF57" w14:textId="77777777" w:rsidR="000524F1" w:rsidRPr="007E2D31" w:rsidRDefault="00AF3B29">
      <w:pPr>
        <w:spacing w:before="240" w:after="240" w:line="360" w:lineRule="auto"/>
        <w:jc w:val="both"/>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b/>
          <w:bCs/>
          <w:sz w:val="22"/>
          <w:szCs w:val="22"/>
        </w:rPr>
        <w:t xml:space="preserve">Tercero. Materia de la revisión. </w:t>
      </w:r>
      <w:r w:rsidRPr="007E2D3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E2D31">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7E2D31">
        <w:rPr>
          <w:rFonts w:ascii="Palatino Linotype" w:eastAsia="Palatino Linotype" w:hAnsi="Palatino Linotype" w:cs="Palatino Linotype"/>
          <w:sz w:val="22"/>
          <w:szCs w:val="22"/>
        </w:rPr>
        <w:t xml:space="preserve">de la parte </w:t>
      </w:r>
      <w:r w:rsidRPr="007E2D31">
        <w:rPr>
          <w:rFonts w:ascii="Palatino Linotype" w:eastAsia="Palatino Linotype" w:hAnsi="Palatino Linotype" w:cs="Palatino Linotype"/>
          <w:b/>
          <w:bCs/>
          <w:sz w:val="22"/>
          <w:szCs w:val="22"/>
        </w:rPr>
        <w:t>Recurrente</w:t>
      </w:r>
      <w:r w:rsidRPr="007E2D31">
        <w:rPr>
          <w:rFonts w:ascii="Palatino Linotype" w:eastAsia="Palatino Linotype" w:hAnsi="Palatino Linotype" w:cs="Palatino Linotype"/>
          <w:sz w:val="22"/>
          <w:szCs w:val="22"/>
        </w:rPr>
        <w:t>, o en su defecto, en caso de ser procedente, ordenar la entrega de información.</w:t>
      </w:r>
    </w:p>
    <w:p w14:paraId="5DBCC2E2"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7E2D31">
        <w:rPr>
          <w:rFonts w:ascii="Palatino Linotype" w:eastAsia="Palatino Linotype" w:hAnsi="Palatino Linotype" w:cs="Palatino Linotype"/>
          <w:b/>
          <w:bCs/>
          <w:sz w:val="22"/>
          <w:szCs w:val="22"/>
        </w:rPr>
        <w:t xml:space="preserve">Cuarto. Estudio del asunto. </w:t>
      </w:r>
      <w:r w:rsidRPr="007E2D31">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D8D2F9F"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Artículo 4</w:t>
      </w:r>
      <w:r w:rsidRPr="007E2D31">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C68A03C"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7E2D31">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D7DD7C"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7E2D31">
        <w:rPr>
          <w:rFonts w:ascii="Palatino Linotype" w:eastAsia="Palatino Linotype" w:hAnsi="Palatino Linotype" w:cs="Palatino Linotype"/>
          <w:i/>
          <w:iCs/>
          <w:sz w:val="22"/>
          <w:szCs w:val="22"/>
        </w:rPr>
        <w:t>.”</w:t>
      </w:r>
    </w:p>
    <w:p w14:paraId="1858C706"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0D7F717"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“Artículo 12.-</w:t>
      </w:r>
      <w:r w:rsidRPr="007E2D31">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182EF2E4"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7E2D31">
        <w:rPr>
          <w:rFonts w:ascii="Palatino Linotype" w:eastAsia="Palatino Linotype" w:hAnsi="Palatino Linotype" w:cs="Palatino Linotype"/>
          <w:i/>
          <w:iCs/>
          <w:sz w:val="22"/>
          <w:szCs w:val="22"/>
        </w:rPr>
        <w:t xml:space="preserve">. </w:t>
      </w:r>
      <w:r w:rsidRPr="007E2D31">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5C28DDE2" w14:textId="77777777" w:rsidR="000524F1" w:rsidRPr="007E2D31" w:rsidRDefault="00AF3B29">
      <w:pPr>
        <w:spacing w:before="240" w:after="240" w:line="360" w:lineRule="auto"/>
        <w:ind w:right="-93"/>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6D504C4" w14:textId="77777777" w:rsidR="000524F1" w:rsidRPr="007E2D31" w:rsidRDefault="00AF3B29">
      <w:pPr>
        <w:spacing w:before="240" w:after="240" w:line="360" w:lineRule="auto"/>
        <w:jc w:val="both"/>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7E2D31">
        <w:rPr>
          <w:rFonts w:ascii="Palatino Linotype" w:eastAsia="Palatino Linotype" w:hAnsi="Palatino Linotype" w:cs="Palatino Linotype"/>
          <w:b/>
          <w:bCs/>
          <w:sz w:val="22"/>
          <w:szCs w:val="22"/>
        </w:rPr>
        <w:t xml:space="preserve"> </w:t>
      </w:r>
    </w:p>
    <w:p w14:paraId="552488A0"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 xml:space="preserve"> “</w:t>
      </w:r>
      <w:r w:rsidRPr="007E2D31">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7E2D31">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59A4F84" w14:textId="77777777" w:rsidR="000524F1" w:rsidRPr="007E2D31" w:rsidRDefault="00AF3B29">
      <w:pPr>
        <w:spacing w:before="120" w:after="12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BE982A6" w14:textId="77777777" w:rsidR="000524F1" w:rsidRPr="007E2D31" w:rsidRDefault="00AF3B29">
      <w:pPr>
        <w:spacing w:before="120" w:after="12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845F259"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 xml:space="preserve">Artículo 3. </w:t>
      </w:r>
      <w:r w:rsidRPr="007E2D31">
        <w:rPr>
          <w:rFonts w:ascii="Palatino Linotype" w:eastAsia="Palatino Linotype" w:hAnsi="Palatino Linotype" w:cs="Palatino Linotype"/>
          <w:i/>
          <w:iCs/>
          <w:sz w:val="22"/>
          <w:szCs w:val="22"/>
        </w:rPr>
        <w:t>Para los efectos de la presente Ley se entenderá por:</w:t>
      </w:r>
    </w:p>
    <w:p w14:paraId="7E6F0437"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p>
    <w:p w14:paraId="0401A18D"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XI. Documento:</w:t>
      </w:r>
      <w:r w:rsidRPr="007E2D31">
        <w:rPr>
          <w:rFonts w:ascii="Palatino Linotype" w:eastAsia="Palatino Linotype" w:hAnsi="Palatino Linotype" w:cs="Palatino Linotype"/>
          <w:i/>
          <w:iCs/>
          <w:sz w:val="22"/>
          <w:szCs w:val="22"/>
        </w:rPr>
        <w:t xml:space="preserve"> Los expedientes, reportes, estudios, actas</w:t>
      </w:r>
      <w:r w:rsidRPr="007E2D31">
        <w:rPr>
          <w:rFonts w:ascii="Palatino Linotype" w:eastAsia="Palatino Linotype" w:hAnsi="Palatino Linotype" w:cs="Palatino Linotype"/>
          <w:b/>
          <w:bCs/>
          <w:i/>
          <w:iCs/>
          <w:sz w:val="22"/>
          <w:szCs w:val="22"/>
        </w:rPr>
        <w:t>,</w:t>
      </w:r>
      <w:r w:rsidRPr="007E2D31">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D9F6388"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6BA32EB"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sz w:val="22"/>
          <w:szCs w:val="22"/>
        </w:rPr>
        <w:t>“</w:t>
      </w:r>
      <w:r w:rsidRPr="007E2D31">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7E2D31">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404B65"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1D993C6F"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AB02087"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71DCA957"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395967B1" w14:textId="77777777" w:rsidR="000524F1" w:rsidRPr="007E2D31" w:rsidRDefault="00AF3B29">
      <w:pPr>
        <w:spacing w:before="240" w:after="240" w:line="360" w:lineRule="auto"/>
        <w:ind w:right="51"/>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5EBB928"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2F2B14CA" w14:textId="77777777" w:rsidR="000524F1" w:rsidRPr="007E2D31" w:rsidRDefault="00AF3B29">
      <w:pPr>
        <w:spacing w:before="240" w:after="240" w:line="360" w:lineRule="auto"/>
        <w:ind w:right="51"/>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7E2D31">
        <w:rPr>
          <w:rFonts w:ascii="Palatino Linotype" w:eastAsia="Palatino Linotype" w:hAnsi="Palatino Linotype" w:cs="Palatino Linotype"/>
          <w:b/>
          <w:bCs/>
          <w:sz w:val="22"/>
          <w:szCs w:val="22"/>
        </w:rPr>
        <w:t>Recurrente</w:t>
      </w:r>
      <w:r w:rsidRPr="007E2D31">
        <w:rPr>
          <w:rFonts w:ascii="Palatino Linotype" w:eastAsia="Palatino Linotype" w:hAnsi="Palatino Linotype" w:cs="Palatino Linotype"/>
          <w:sz w:val="22"/>
          <w:szCs w:val="22"/>
        </w:rPr>
        <w:t xml:space="preserve"> requirió al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le proporcione, información consistente en lo siguiente:</w:t>
      </w:r>
    </w:p>
    <w:p w14:paraId="22C95A62"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1. Relación actualizada del personal adscrito al Área de Presidencia Municipal de Cuautitlán Izcalli, a partir del 1 de enero al veinte de junio de dos mil veinticinco, desglosado por servidor público, que contenga:  nombre completo, puesto que desempeña, nivel tabular o clave presupuestal; funciones específicas asignadas; percepciones económicas mensuales (bruto y neto); fecha de ingreso y tipo de contratación.</w:t>
      </w:r>
    </w:p>
    <w:p w14:paraId="219D22A4"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Cabe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446BA88"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86EBBC9" w14:textId="77777777" w:rsidR="000524F1" w:rsidRPr="007E2D31" w:rsidRDefault="00AF3B29">
      <w:pPr>
        <w:spacing w:before="240" w:after="240" w:line="360" w:lineRule="auto"/>
        <w:ind w:right="51"/>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B26F9B1"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145D5D1"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 Dirección de Administración, como la dependencia de la administración pública municipal centralizada competente para conocer de la información que es del interés de la persona solicitante.</w:t>
      </w:r>
    </w:p>
    <w:p w14:paraId="6F287695"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Como sustento a lo anterior, no obsta mencionar que de conformidad con los artículos 198, fracciones I y III, 199, 200, 201 y 202 del Reglamento Orgánico de la Administración Pública municipal de Cuautitlán Izcalli, la Dirección de Administración, a través del Enlace Jurídico, la coordinación de Enlaces Jurídicos, y la Subdirección de Recursos Humanos, cuenta con las siguientes atribuciones:</w:t>
      </w:r>
    </w:p>
    <w:p w14:paraId="7E5A3327"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 Suscribir los contratos laborales, en términos de la Ley del Trabajo de las personas servidoras públicas del Estado y Municipios; </w:t>
      </w:r>
    </w:p>
    <w:p w14:paraId="656962AA"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Establecer y dirigir los procesos para seleccionar, contratar y capacitar al personal de la Administración Pública Municipal;</w:t>
      </w:r>
    </w:p>
    <w:p w14:paraId="16FB0B92"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 Expedir y firmar los nombramientos de las personas servidoras públicas que no sean competencia del Ayuntamiento, en términos de la Ley del Trabajo de las personas servidoras públicas del Estado y Municipios, la Ley Orgánica y del presente Reglamento; </w:t>
      </w:r>
    </w:p>
    <w:p w14:paraId="37F7A486"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 Emitir las credenciales oficiales de identificación de las personas servidoras públicas municipales; </w:t>
      </w:r>
    </w:p>
    <w:p w14:paraId="326F8345"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 Autorizar las altas, bajas, cambios, permisos, licencias, comisiones del personal de la Administración Pública Municipal centralizada y desconcentrada para su trámite y efectos legales aplicables; </w:t>
      </w:r>
    </w:p>
    <w:p w14:paraId="7B0BB8B1"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Instruir la integración y actualización de los expedientes laborales de las personas servidoras públicas en términos de la normatividad aplicable;</w:t>
      </w:r>
    </w:p>
    <w:p w14:paraId="0BB95B36"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Realizar los movimientos de personal ante el Instituto de Seguridad Social del Estado de México y Municipios;</w:t>
      </w:r>
    </w:p>
    <w:p w14:paraId="60ECD24C"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Analizar las normas jurídicas que regulan el ejercicio de las atribuciones y responsabilidades de la Dirección de Administración;</w:t>
      </w:r>
    </w:p>
    <w:p w14:paraId="784CA9D6"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Brindar asesoría y asistencia legal a la persona titular de la Dirección de Administración a la que está adscrita y demás instancias que la conforman, homologando criterios de aplicación de las normas jurídicas que regulan el ejercicio de sus atribuciones legales y administrativas;</w:t>
      </w:r>
    </w:p>
    <w:p w14:paraId="301C7D17" w14:textId="77777777" w:rsidR="000524F1" w:rsidRPr="007E2D31" w:rsidRDefault="00AF3B29">
      <w:pPr>
        <w:spacing w:before="240" w:after="240" w:line="360" w:lineRule="auto"/>
        <w:ind w:left="284"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Elaborar en coordinación con el Enlace Administrativo, los manuales de organización, de procedimientos y de trámites, en su caso;</w:t>
      </w:r>
    </w:p>
    <w:p w14:paraId="4FF7A90E"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Con base en las atribuciones citadas se advierte que la Dirección de Administración cuenta con competencia para generar, administrar y/o poseer la información que es del interés de la persona solicitante, por lo tanto, se colige que la Unidad de Transparencia, en cumplimiento en los artículos 53, fracción IV y  162 de la Ley de Transparencia y Acceso a la Información Pública del Estado de México y Municipios,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en virtud de que llevó a cabo los pasos que le conmina sus funciones, de acuerdo con la referida Ley, ya que solicitó la información a la unidad administrativa que de acuerdo con sus atribuciones puede dar atención a la misma.</w:t>
      </w:r>
    </w:p>
    <w:p w14:paraId="6B1D65C9" w14:textId="77777777" w:rsidR="000524F1" w:rsidRPr="007E2D31" w:rsidRDefault="00AF3B29">
      <w:pPr>
        <w:tabs>
          <w:tab w:val="left" w:pos="3544"/>
        </w:tabs>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En este contexto, en respuesta la persona servidora pública habilitada, en términos del artículo 161 de la Ley de Transparencia y Acceso a la Información Pública del Estado de México y Municipios, manifestó que la información referente a los servidores públicos adscritos a Presidencia Municipal, así como las percepciones mensuales se encontraba publicada en medios electrónicos, por lo que para efectos de la consulta proporcionó una liga electrónica, señalando que al ingresar en la dirección electrónica proporcionada, la cual  corresponde al artículo 92 de la Ley de Transparencia y Acceso a la Información Pública del Estado de México y Municipios, fracción VIII A Remuneraciones, en donde se establece el ejercicio 2025, área inmediata superior, área, remuneraciones y detalle y al dar click en este último, se aprecian los datos del servidor público como nombre, área de adscripción, puesto, la remuneración mensual bruta y neta, así como en el rubro de percepciones monetarias se visualiza las prestaciones económicas.</w:t>
      </w:r>
    </w:p>
    <w:p w14:paraId="61D6B8D8"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Y, por lo que se refiere a las funciones de los servidores públicos, indicó que son asignadas por su jefe Inmediato, de acuerdo al cargo y atribuciones de la unidad administrativa en la que se encuentren adscritos, de conformidad con las disposiciones legales y reglamentarias aplicables, ajustándose a los lineamientos, normas y políticas que se fijen y las que en su caso establezcan en el ámbito de su respectiva competencia, como lo dispone el artículo 252 del Reglamento Orgánico de la Administración Pública Municipal de Cuautitlán Izcalli, Estado de México, motivo por el cual la información solicitada no obra en los archivos de la Dirección de Administración.</w:t>
      </w:r>
    </w:p>
    <w:p w14:paraId="057E14CF" w14:textId="77777777" w:rsidR="000524F1" w:rsidRPr="007E2D31" w:rsidRDefault="00AF3B29">
      <w:pPr>
        <w:tabs>
          <w:tab w:val="left" w:pos="3544"/>
        </w:tabs>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Sin embargo, es de señalar que la liga electrónica se proporcionó a través de un documento digitalizado en formato cerrado, que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 decir, letras, números, signos, espacios, etcétera, existe una gran probabilidad de cometer errores en la captura, lo cual implica invariablemente la imposibilidad de acceder a la información, tal y como se desprende del motivo de inconformidad hecho valer por la parte </w:t>
      </w:r>
      <w:r w:rsidRPr="007E2D31">
        <w:rPr>
          <w:rFonts w:ascii="Palatino Linotype" w:eastAsia="Palatino Linotype" w:hAnsi="Palatino Linotype" w:cs="Palatino Linotype"/>
          <w:b/>
          <w:bCs/>
          <w:sz w:val="22"/>
          <w:szCs w:val="22"/>
        </w:rPr>
        <w:t xml:space="preserve">Recurrente, </w:t>
      </w:r>
      <w:r w:rsidRPr="007E2D31">
        <w:rPr>
          <w:rFonts w:ascii="Palatino Linotype" w:eastAsia="Palatino Linotype" w:hAnsi="Palatino Linotype" w:cs="Palatino Linotype"/>
          <w:sz w:val="22"/>
          <w:szCs w:val="22"/>
        </w:rPr>
        <w:t>donde señaló que “la respuesta contenía un link inaccesible”, por lo que no le fue proporcionada la información solicitada de manera específica.</w:t>
      </w:r>
    </w:p>
    <w:p w14:paraId="50F0F09C" w14:textId="77777777" w:rsidR="000524F1" w:rsidRPr="007E2D31" w:rsidRDefault="00AF3B29">
      <w:pPr>
        <w:tabs>
          <w:tab w:val="left" w:pos="3544"/>
        </w:tabs>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Es por ello es que se insta al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Pr="007E2D31">
        <w:rPr>
          <w:rFonts w:ascii="Palatino Linotype" w:eastAsia="Palatino Linotype" w:hAnsi="Palatino Linotype" w:cs="Palatino Linotype"/>
          <w:b/>
          <w:bCs/>
          <w:sz w:val="22"/>
          <w:szCs w:val="22"/>
          <w:u w:val="single"/>
        </w:rPr>
        <w:t>preferentemente a través de enlaces o hipervínculos, que permitan la conexión directa a la página o sitio en el que se aloja la información, al dar clic al mismo</w:t>
      </w:r>
      <w:r w:rsidRPr="007E2D31">
        <w:rPr>
          <w:rFonts w:ascii="Palatino Linotype" w:eastAsia="Palatino Linotype" w:hAnsi="Palatino Linotype" w:cs="Palatino Linotype"/>
          <w:sz w:val="22"/>
          <w:szCs w:val="22"/>
        </w:rPr>
        <w:t>, con la finalidad de asegurar el acceso a la información que es de su interés.</w:t>
      </w:r>
    </w:p>
    <w:p w14:paraId="464B7F57"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Ahora bien, en la etapa de manifestaciones 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 xml:space="preserve">ratificó en lo sustancial la respuesta proporcionada en primera instancia, mientras que la parte </w:t>
      </w:r>
      <w:r w:rsidRPr="007E2D31">
        <w:rPr>
          <w:rFonts w:ascii="Palatino Linotype" w:eastAsia="Palatino Linotype" w:hAnsi="Palatino Linotype" w:cs="Palatino Linotype"/>
          <w:b/>
          <w:bCs/>
          <w:sz w:val="22"/>
          <w:szCs w:val="22"/>
        </w:rPr>
        <w:t xml:space="preserve">Recurrente, </w:t>
      </w:r>
      <w:r w:rsidRPr="007E2D31">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5961114F" w14:textId="77777777" w:rsidR="000524F1" w:rsidRPr="007E2D31" w:rsidRDefault="00AF3B29">
      <w:pPr>
        <w:spacing w:before="280" w:after="28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 xml:space="preserve">en contraposición con el motivo de inconformidad alegado por la parte </w:t>
      </w:r>
      <w:r w:rsidRPr="007E2D31">
        <w:rPr>
          <w:rFonts w:ascii="Palatino Linotype" w:eastAsia="Palatino Linotype" w:hAnsi="Palatino Linotype" w:cs="Palatino Linotype"/>
          <w:b/>
          <w:bCs/>
          <w:sz w:val="22"/>
          <w:szCs w:val="22"/>
        </w:rPr>
        <w:t xml:space="preserve">Recurrente, </w:t>
      </w:r>
      <w:r w:rsidRPr="007E2D31">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7BE1E255" w14:textId="77777777" w:rsidR="000524F1" w:rsidRPr="007E2D31" w:rsidRDefault="00AF3B29">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En este tenor, no pasa por alto, que la persona solicitante, al no ser experta en la materia, al momento de presentar su solicitud, omitió señalar de manera clara el o los documentos a los cuales pretende acceder, por lo que de la lectura del requerimiento se pudiera interpretar que esta pretende le sea entregado un documento a modo que contenga la información que es de su interés, situación que como señaló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contraviene lo establecido en el artículo 12 de la Ley de Transparencia y Acceso a la Información Pública del Estado de México y Municipios, sin embargo, no debe perderse de vista que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con la finalidad de que la persona solicitante pueda buscar conforme a su interés.</w:t>
      </w:r>
    </w:p>
    <w:p w14:paraId="23B4C088" w14:textId="77777777" w:rsidR="000524F1" w:rsidRPr="007E2D31" w:rsidRDefault="00AF3B2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Como sustento a lo anterior resulta aplicable el criterio orientador con clave de control SO/016/2017, emitido por el entonces Instituto Nacional de Transparencia, Acceso a la Información y Protección de Datos Personales, INAI, establece lo siguiente: </w:t>
      </w:r>
    </w:p>
    <w:p w14:paraId="684AD960" w14:textId="77777777" w:rsidR="000524F1" w:rsidRPr="007E2D31" w:rsidRDefault="00AF3B29">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i/>
          <w:iCs/>
          <w:sz w:val="22"/>
          <w:szCs w:val="22"/>
        </w:rPr>
        <w:t xml:space="preserve">Expresión documental. </w:t>
      </w:r>
      <w:r w:rsidRPr="007E2D31">
        <w:rPr>
          <w:rFonts w:ascii="Palatino Linotype" w:eastAsia="Palatino Linotype" w:hAnsi="Palatino Linotype" w:cs="Palatino Linotype"/>
          <w:i/>
          <w:iCs/>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A822C04"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0EDF5DC3" w14:textId="77777777" w:rsidR="000524F1" w:rsidRPr="007E2D31" w:rsidRDefault="00AF3B29">
      <w:pPr>
        <w:spacing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Bajo esta línea de pensamiento, debe decirse que la información que es del interés de la persona solicitante encuentra vinculada a las obligaciones de transparencia establecidas en la Ley de Transparencia y Acceso a la Información Pública del Estado de México y Municipios, relativa a la estructura orgánica, el directorio así como las remuneraciones de todos los servidores públicos, contempladas en el artículo 92, fracciones II, VII y VIII de la Ley de Transparencia y Acceso a la Información Pública del Estado de México y Municipios, que se transcribe a continuación:</w:t>
      </w:r>
    </w:p>
    <w:p w14:paraId="2A1CC02F" w14:textId="77777777" w:rsidR="000524F1" w:rsidRPr="007E2D31" w:rsidRDefault="00AF3B29">
      <w:pPr>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“Artículo 92.</w:t>
      </w:r>
      <w:r w:rsidRPr="007E2D31">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2C058359" w14:textId="77777777" w:rsidR="000524F1" w:rsidRPr="007E2D31" w:rsidRDefault="00AF3B29">
      <w:pPr>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w:t>
      </w:r>
    </w:p>
    <w:p w14:paraId="6A8CB09E" w14:textId="77777777" w:rsidR="000524F1" w:rsidRPr="007E2D31" w:rsidRDefault="00AF3B29">
      <w:pPr>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xml:space="preserve">II. Su estructura orgánica completa, en un formato </w:t>
      </w:r>
      <w:r w:rsidRPr="007E2D31">
        <w:rPr>
          <w:rFonts w:ascii="Palatino Linotype" w:eastAsia="Palatino Linotype" w:hAnsi="Palatino Linotype" w:cs="Palatino Linotype"/>
          <w:b/>
          <w:bCs/>
          <w:i/>
          <w:iCs/>
          <w:sz w:val="22"/>
          <w:szCs w:val="22"/>
          <w:u w:val="single"/>
        </w:rPr>
        <w:t>que permita vincular cada parte de la estructura</w:t>
      </w:r>
      <w:r w:rsidRPr="007E2D31">
        <w:rPr>
          <w:rFonts w:ascii="Palatino Linotype" w:eastAsia="Palatino Linotype" w:hAnsi="Palatino Linotype" w:cs="Palatino Linotype"/>
          <w:b/>
          <w:bCs/>
          <w:i/>
          <w:iCs/>
          <w:sz w:val="22"/>
          <w:szCs w:val="22"/>
        </w:rPr>
        <w:t xml:space="preserve">, </w:t>
      </w:r>
      <w:r w:rsidRPr="007E2D31">
        <w:rPr>
          <w:rFonts w:ascii="Palatino Linotype" w:eastAsia="Palatino Linotype" w:hAnsi="Palatino Linotype" w:cs="Palatino Linotype"/>
          <w:b/>
          <w:bCs/>
          <w:i/>
          <w:iCs/>
          <w:sz w:val="22"/>
          <w:szCs w:val="22"/>
          <w:u w:val="single"/>
        </w:rPr>
        <w:t>las atribuciones y responsabilidades que le corresponden a cada servidor público</w:t>
      </w:r>
      <w:r w:rsidRPr="007E2D31">
        <w:rPr>
          <w:rFonts w:ascii="Palatino Linotype" w:eastAsia="Palatino Linotype" w:hAnsi="Palatino Linotype" w:cs="Palatino Linotype"/>
          <w:i/>
          <w:iCs/>
          <w:sz w:val="22"/>
          <w:szCs w:val="22"/>
          <w:u w:val="single"/>
        </w:rPr>
        <w:t>,</w:t>
      </w:r>
      <w:r w:rsidRPr="007E2D31">
        <w:rPr>
          <w:rFonts w:ascii="Palatino Linotype" w:eastAsia="Palatino Linotype" w:hAnsi="Palatino Linotype" w:cs="Palatino Linotype"/>
          <w:i/>
          <w:iCs/>
          <w:sz w:val="22"/>
          <w:szCs w:val="22"/>
        </w:rPr>
        <w:t xml:space="preserve"> prestador de servicios profesionales o miembro de los sujetos obligados, de conformidad con las disposiciones jurídicas aplicables;”</w:t>
      </w:r>
    </w:p>
    <w:p w14:paraId="32607B96" w14:textId="77777777" w:rsidR="000524F1" w:rsidRPr="007E2D31" w:rsidRDefault="00AF3B29">
      <w:pPr>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w:t>
      </w:r>
      <w:r w:rsidRPr="007E2D31">
        <w:rPr>
          <w:rFonts w:ascii="Palatino Linotype" w:eastAsia="Palatino Linotype" w:hAnsi="Palatino Linotype" w:cs="Palatino Linotype"/>
          <w:i/>
          <w:iCs/>
          <w:sz w:val="22"/>
          <w:szCs w:val="22"/>
        </w:rPr>
        <w:t>..</w:t>
      </w:r>
    </w:p>
    <w:p w14:paraId="3A71E955" w14:textId="77777777" w:rsidR="000524F1" w:rsidRPr="007E2D31" w:rsidRDefault="00AF3B29">
      <w:pPr>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VII.</w:t>
      </w:r>
      <w:r w:rsidRPr="007E2D31">
        <w:rPr>
          <w:rFonts w:ascii="Palatino Linotype" w:eastAsia="Palatino Linotype" w:hAnsi="Palatino Linotype" w:cs="Palatino Linotype"/>
          <w:i/>
          <w:iCs/>
          <w:sz w:val="22"/>
          <w:szCs w:val="22"/>
        </w:rPr>
        <w:t xml:space="preserve"> </w:t>
      </w:r>
      <w:r w:rsidRPr="007E2D31">
        <w:rPr>
          <w:rFonts w:ascii="Palatino Linotype" w:eastAsia="Palatino Linotype" w:hAnsi="Palatino Linotype" w:cs="Palatino Linotype"/>
          <w:b/>
          <w:bCs/>
          <w:i/>
          <w:iCs/>
          <w:sz w:val="22"/>
          <w:szCs w:val="22"/>
        </w:rPr>
        <w:t>El directorio de todos los servidores públicos</w:t>
      </w:r>
      <w:r w:rsidRPr="007E2D31">
        <w:rPr>
          <w:rFonts w:ascii="Palatino Linotype" w:eastAsia="Palatino Linotype" w:hAnsi="Palatino Linotype" w:cs="Palatino Linotype"/>
          <w:i/>
          <w:iCs/>
          <w:sz w:val="22"/>
          <w:szCs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3F11326D" w14:textId="77777777" w:rsidR="000524F1" w:rsidRPr="007E2D31" w:rsidRDefault="00AF3B29">
      <w:pPr>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 xml:space="preserve">El directorio deberá incluir, al menos el </w:t>
      </w:r>
      <w:r w:rsidRPr="007E2D31">
        <w:rPr>
          <w:rFonts w:ascii="Palatino Linotype" w:eastAsia="Palatino Linotype" w:hAnsi="Palatino Linotype" w:cs="Palatino Linotype"/>
          <w:b/>
          <w:bCs/>
          <w:i/>
          <w:iCs/>
          <w:sz w:val="22"/>
          <w:szCs w:val="22"/>
        </w:rPr>
        <w:t>nombre, cargo o nombramiento oficial asignado, nivel del puesto en la estructura orgánica, fecha de alta en el cargo,</w:t>
      </w:r>
      <w:r w:rsidRPr="007E2D31">
        <w:rPr>
          <w:rFonts w:ascii="Palatino Linotype" w:eastAsia="Palatino Linotype" w:hAnsi="Palatino Linotype" w:cs="Palatino Linotype"/>
          <w:i/>
          <w:iCs/>
          <w:sz w:val="22"/>
          <w:szCs w:val="22"/>
        </w:rPr>
        <w:t xml:space="preserve"> número telefónico, domicilio para recibir correspondencia y dirección de correo electrónico oficiales, datos que deberán señalarse de forma independiente por dependencia y entidad pública de cada sujeto obligado;</w:t>
      </w:r>
    </w:p>
    <w:p w14:paraId="11C8638E" w14:textId="77777777" w:rsidR="000524F1" w:rsidRPr="007E2D31" w:rsidRDefault="00AF3B29">
      <w:pPr>
        <w:spacing w:before="240" w:after="24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VIII</w:t>
      </w:r>
      <w:r w:rsidRPr="007E2D31">
        <w:rPr>
          <w:rFonts w:ascii="Palatino Linotype" w:eastAsia="Palatino Linotype" w:hAnsi="Palatino Linotype" w:cs="Palatino Linotype"/>
          <w:i/>
          <w:iCs/>
          <w:sz w:val="22"/>
          <w:szCs w:val="22"/>
        </w:rPr>
        <w:t xml:space="preserve">. </w:t>
      </w:r>
      <w:r w:rsidRPr="007E2D31">
        <w:rPr>
          <w:rFonts w:ascii="Palatino Linotype" w:eastAsia="Palatino Linotype" w:hAnsi="Palatino Linotype" w:cs="Palatino Linotype"/>
          <w:b/>
          <w:bCs/>
          <w:i/>
          <w:iCs/>
          <w:sz w:val="22"/>
          <w:szCs w:val="22"/>
        </w:rPr>
        <w:t xml:space="preserve">La remuneración bruta y neta de todos los servidores </w:t>
      </w:r>
      <w:r w:rsidRPr="007E2D31">
        <w:rPr>
          <w:rFonts w:ascii="Palatino Linotype" w:eastAsia="Palatino Linotype" w:hAnsi="Palatino Linotype" w:cs="Palatino Linotype"/>
          <w:i/>
          <w:iCs/>
          <w:sz w:val="22"/>
          <w:szCs w:val="22"/>
        </w:rPr>
        <w:t>públicos de base o de confianza, de todas las percepciones, incluyendo sueldos, prestaciones, gratificaciones, primas, comisiones, dietas, bonos, estímulos, ingresos y sistemas de compensación, señalando la periodicidad de dicha remuneración;”</w:t>
      </w:r>
    </w:p>
    <w:p w14:paraId="4F9FFDE6" w14:textId="77777777" w:rsidR="000524F1" w:rsidRPr="007E2D31" w:rsidRDefault="00AF3B2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Respecto de ñas atribuciones y responsabilidades que correspondan a cada servidor público,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47DC4D0D" w14:textId="77777777" w:rsidR="000524F1" w:rsidRPr="007E2D31" w:rsidRDefault="000524F1">
      <w:pPr>
        <w:rPr>
          <w:rFonts w:ascii="Palatino Linotype" w:eastAsia="Palatino Linotype" w:hAnsi="Palatino Linotype" w:cs="Palatino Linotype"/>
          <w:sz w:val="22"/>
          <w:szCs w:val="22"/>
        </w:rPr>
      </w:pPr>
    </w:p>
    <w:p w14:paraId="6984C629"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i/>
          <w:iCs/>
          <w:sz w:val="22"/>
          <w:szCs w:val="22"/>
        </w:rPr>
        <w:t xml:space="preserve">“II. Su estructura orgánica completa, </w:t>
      </w:r>
      <w:r w:rsidRPr="007E2D31">
        <w:rPr>
          <w:rFonts w:ascii="Palatino Linotype" w:eastAsia="Palatino Linotype" w:hAnsi="Palatino Linotype" w:cs="Palatino Linotype"/>
          <w:b/>
          <w:bCs/>
          <w:i/>
          <w:iCs/>
          <w:sz w:val="22"/>
          <w:szCs w:val="22"/>
        </w:rPr>
        <w:t xml:space="preserve">en un formato que permita vincular cada parte de la estructura, </w:t>
      </w:r>
      <w:r w:rsidRPr="007E2D31">
        <w:rPr>
          <w:rFonts w:ascii="Palatino Linotype" w:eastAsia="Palatino Linotype" w:hAnsi="Palatino Linotype" w:cs="Palatino Linotype"/>
          <w:b/>
          <w:bCs/>
          <w:i/>
          <w:iCs/>
          <w:sz w:val="22"/>
          <w:szCs w:val="22"/>
          <w:u w:val="single"/>
        </w:rPr>
        <w:t>las atribuciones y responsabilidades que le corresponden a cada servidor público</w:t>
      </w:r>
      <w:r w:rsidRPr="007E2D31">
        <w:rPr>
          <w:rFonts w:ascii="Palatino Linotype" w:eastAsia="Palatino Linotype" w:hAnsi="Palatino Linotype" w:cs="Palatino Linotype"/>
          <w:b/>
          <w:bCs/>
          <w:i/>
          <w:iCs/>
          <w:sz w:val="22"/>
          <w:szCs w:val="22"/>
        </w:rPr>
        <w:t>,</w:t>
      </w:r>
      <w:r w:rsidRPr="007E2D31">
        <w:rPr>
          <w:rFonts w:ascii="Palatino Linotype" w:eastAsia="Palatino Linotype" w:hAnsi="Palatino Linotype" w:cs="Palatino Linotype"/>
          <w:i/>
          <w:iCs/>
          <w:sz w:val="22"/>
          <w:szCs w:val="22"/>
        </w:rPr>
        <w:t xml:space="preserve"> prestador de servicios profesionales o miembro de los sujetos obligados de conformidad con las disposiciones aplicables</w:t>
      </w:r>
    </w:p>
    <w:p w14:paraId="25B2F5F4"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i/>
          <w:iCs/>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 xml:space="preserve"> de tal forma que sea posible visualizar los niveles jerárquicos y sus relaciones de dependencia de acuerdo con el estatuto orgánico u otro ordenamiento que le aplique</w:t>
      </w:r>
      <w:r w:rsidRPr="007E2D31">
        <w:rPr>
          <w:rFonts w:ascii="Palatino Linotype" w:eastAsia="Palatino Linotype" w:hAnsi="Palatino Linotype" w:cs="Palatino Linotype"/>
          <w:i/>
          <w:iCs/>
          <w:sz w:val="22"/>
          <w:szCs w:val="22"/>
        </w:rPr>
        <w:t>. Se deberá publicar la estructura vigente, es decir, la que está en operación en el sujeto obligado y ha sido aprobada y/o dictaminada por la autoridad competente. </w:t>
      </w:r>
    </w:p>
    <w:p w14:paraId="5D924A0F"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i/>
          <w:iCs/>
          <w:sz w:val="22"/>
          <w:szCs w:val="22"/>
        </w:rPr>
        <w:t>En aquellos casos en los que dicha estructura no corresponda con la funcional, deberá especificarse cuáles puestos se encuentran en tránsito de aprobación por parte de las autoridades competentes. </w:t>
      </w:r>
    </w:p>
    <w:p w14:paraId="50301909"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i/>
          <w:iCs/>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603D4436"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i/>
          <w:iCs/>
          <w:sz w:val="22"/>
          <w:szCs w:val="22"/>
          <w:u w:val="single"/>
        </w:rPr>
        <w:t>La estructura orgánica deberá incluir al titular del sujeto obligado y todos los servidores públicos adscritos a las unidades administrativas, áreas, institutos o los que correspondan, incluido el personal de gabinete de apoyo u homólogo, prestadores de servicios profesionales, miembros de los sujetos obligados, así como los respectivos niveles de adjunto, homólogo o cualquier otro equivalente, según la denominación que se le dé.</w:t>
      </w:r>
    </w:p>
    <w:p w14:paraId="296EB292"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i/>
          <w:iCs/>
          <w:sz w:val="22"/>
          <w:szCs w:val="22"/>
        </w:rPr>
        <w:t>…</w:t>
      </w:r>
    </w:p>
    <w:p w14:paraId="16C5548C"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u w:val="single"/>
        </w:rPr>
      </w:pPr>
      <w:r w:rsidRPr="007E2D31">
        <w:rPr>
          <w:rFonts w:ascii="Palatino Linotype" w:eastAsia="Palatino Linotype" w:hAnsi="Palatino Linotype" w:cs="Palatino Linotype"/>
          <w:b/>
          <w:bCs/>
          <w:i/>
          <w:iCs/>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2B49399B" w14:textId="77777777" w:rsidR="000524F1" w:rsidRPr="007E2D31" w:rsidRDefault="00AF3B29">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i/>
          <w:iCs/>
          <w:noProof/>
          <w:sz w:val="22"/>
          <w:szCs w:val="22"/>
        </w:rPr>
        <w:drawing>
          <wp:inline distT="0" distB="0" distL="0" distR="0" wp14:anchorId="41C2586F" wp14:editId="57C76F71">
            <wp:extent cx="4699051" cy="1675795"/>
            <wp:effectExtent l="0" t="0" r="0" b="0"/>
            <wp:docPr id="2140131862" name="image7.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7.png" descr="https://lh7-us.googleusercontent.com/Em2T3FepT9VaJWw0tVO9TivCdmh6uCuZwpDBqMJDlWo9INEMu2dwLOf_dpW7-U0ArpYyJ1B94JFvCsgwNp-9v93PEM8cRC19Sz4VR8mr0gx6EZbdEvmx84HPZVaDwZveqEaoT8C-JB6q6fmYTLFn"/>
                    <pic:cNvPicPr preferRelativeResize="0"/>
                  </pic:nvPicPr>
                  <pic:blipFill>
                    <a:blip r:embed="rId8"/>
                    <a:srcRect b="55620"/>
                    <a:stretch>
                      <a:fillRect/>
                    </a:stretch>
                  </pic:blipFill>
                  <pic:spPr>
                    <a:xfrm>
                      <a:off x="0" y="0"/>
                      <a:ext cx="4699051" cy="1675795"/>
                    </a:xfrm>
                    <a:prstGeom prst="rect">
                      <a:avLst/>
                    </a:prstGeom>
                    <a:ln/>
                  </pic:spPr>
                </pic:pic>
              </a:graphicData>
            </a:graphic>
          </wp:inline>
        </w:drawing>
      </w:r>
      <w:r w:rsidRPr="007E2D31">
        <w:rPr>
          <w:noProof/>
        </w:rPr>
        <mc:AlternateContent>
          <mc:Choice Requires="wpg">
            <w:drawing>
              <wp:anchor distT="0" distB="0" distL="114300" distR="114300" simplePos="0" relativeHeight="251658240" behindDoc="0" locked="0" layoutInCell="1" hidden="0" allowOverlap="1" wp14:anchorId="190B2914" wp14:editId="5C33B4BD">
                <wp:simplePos x="0" y="0"/>
                <wp:positionH relativeFrom="column">
                  <wp:posOffset>608844</wp:posOffset>
                </wp:positionH>
                <wp:positionV relativeFrom="paragraph">
                  <wp:posOffset>805323</wp:posOffset>
                </wp:positionV>
                <wp:extent cx="4359934" cy="943873"/>
                <wp:effectExtent l="0" t="0" r="0" b="0"/>
                <wp:wrapNone/>
                <wp:docPr id="2140131852" name="Rectángulo 2140131852"/>
                <wp:cNvGraphicFramePr/>
                <a:graphic xmlns:a="http://schemas.openxmlformats.org/drawingml/2006/main">
                  <a:graphicData uri="http://schemas.microsoft.com/office/word/2010/wordprocessingShape">
                    <wps:wsp>
                      <wps:cNvSpPr/>
                      <wps:spPr>
                        <a:xfrm>
                          <a:off x="3185083" y="3327114"/>
                          <a:ext cx="4321834" cy="905773"/>
                        </a:xfrm>
                        <a:prstGeom prst="rect">
                          <a:avLst/>
                        </a:prstGeom>
                        <a:noFill/>
                        <a:ln w="38100" cap="flat" cmpd="sng">
                          <a:solidFill>
                            <a:srgbClr val="C00000"/>
                          </a:solidFill>
                          <a:prstDash val="solid"/>
                          <a:round/>
                          <a:headEnd type="none" w="sm" len="sm"/>
                          <a:tailEnd type="none" w="sm" len="sm"/>
                        </a:ln>
                      </wps:spPr>
                      <wps:txbx>
                        <w:txbxContent>
                          <w:p w14:paraId="4F2AFAAD"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608844</wp:posOffset>
                </wp:positionH>
                <wp:positionV relativeFrom="paragraph">
                  <wp:posOffset>805323</wp:posOffset>
                </wp:positionV>
                <wp:extent cx="4359934" cy="943873"/>
                <wp:effectExtent b="0" l="0" r="0" t="0"/>
                <wp:wrapNone/>
                <wp:docPr id="2140131852"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4359934" cy="943873"/>
                        </a:xfrm>
                        <a:prstGeom prst="rect"/>
                        <a:ln/>
                      </pic:spPr>
                    </pic:pic>
                  </a:graphicData>
                </a:graphic>
              </wp:anchor>
            </w:drawing>
          </mc:Fallback>
        </mc:AlternateContent>
      </w:r>
    </w:p>
    <w:p w14:paraId="3333B25F" w14:textId="77777777" w:rsidR="000524F1" w:rsidRPr="007E2D31" w:rsidRDefault="000524F1">
      <w:pPr>
        <w:pBdr>
          <w:top w:val="nil"/>
          <w:left w:val="nil"/>
          <w:bottom w:val="nil"/>
          <w:right w:val="nil"/>
          <w:between w:val="nil"/>
        </w:pBdr>
        <w:ind w:left="567" w:right="900"/>
        <w:jc w:val="both"/>
        <w:rPr>
          <w:rFonts w:ascii="Palatino Linotype" w:eastAsia="Palatino Linotype" w:hAnsi="Palatino Linotype" w:cs="Palatino Linotype"/>
          <w:sz w:val="22"/>
          <w:szCs w:val="22"/>
        </w:rPr>
      </w:pPr>
    </w:p>
    <w:p w14:paraId="614EAFCA" w14:textId="77777777" w:rsidR="000524F1" w:rsidRPr="007E2D31" w:rsidRDefault="00AF3B29">
      <w:pPr>
        <w:pBdr>
          <w:top w:val="nil"/>
          <w:left w:val="nil"/>
          <w:bottom w:val="nil"/>
          <w:right w:val="nil"/>
          <w:between w:val="nil"/>
        </w:pBdr>
        <w:ind w:left="567" w:right="90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i/>
          <w:iCs/>
          <w:noProof/>
          <w:sz w:val="22"/>
          <w:szCs w:val="22"/>
        </w:rPr>
        <w:drawing>
          <wp:inline distT="0" distB="0" distL="0" distR="0" wp14:anchorId="46A993A5" wp14:editId="72920ABD">
            <wp:extent cx="4460179" cy="1792035"/>
            <wp:effectExtent l="0" t="0" r="0" b="0"/>
            <wp:docPr id="2140131864" name="image7.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7.png" descr="https://lh7-us.googleusercontent.com/Em2T3FepT9VaJWw0tVO9TivCdmh6uCuZwpDBqMJDlWo9INEMu2dwLOf_dpW7-U0ArpYyJ1B94JFvCsgwNp-9v93PEM8cRC19Sz4VR8mr0gx6EZbdEvmx84HPZVaDwZveqEaoT8C-JB6q6fmYTLFn"/>
                    <pic:cNvPicPr preferRelativeResize="0"/>
                  </pic:nvPicPr>
                  <pic:blipFill>
                    <a:blip r:embed="rId8"/>
                    <a:srcRect t="48276"/>
                    <a:stretch>
                      <a:fillRect/>
                    </a:stretch>
                  </pic:blipFill>
                  <pic:spPr>
                    <a:xfrm>
                      <a:off x="0" y="0"/>
                      <a:ext cx="4460179" cy="1792035"/>
                    </a:xfrm>
                    <a:prstGeom prst="rect">
                      <a:avLst/>
                    </a:prstGeom>
                    <a:ln/>
                  </pic:spPr>
                </pic:pic>
              </a:graphicData>
            </a:graphic>
          </wp:inline>
        </w:drawing>
      </w:r>
      <w:r w:rsidRPr="007E2D31">
        <w:rPr>
          <w:noProof/>
        </w:rPr>
        <mc:AlternateContent>
          <mc:Choice Requires="wpg">
            <w:drawing>
              <wp:anchor distT="0" distB="0" distL="114300" distR="114300" simplePos="0" relativeHeight="251659264" behindDoc="0" locked="0" layoutInCell="1" hidden="0" allowOverlap="1" wp14:anchorId="67B2E0C8" wp14:editId="546636B1">
                <wp:simplePos x="0" y="0"/>
                <wp:positionH relativeFrom="column">
                  <wp:posOffset>626098</wp:posOffset>
                </wp:positionH>
                <wp:positionV relativeFrom="paragraph">
                  <wp:posOffset>-97896</wp:posOffset>
                </wp:positionV>
                <wp:extent cx="4359934" cy="279640"/>
                <wp:effectExtent l="0" t="0" r="0" b="0"/>
                <wp:wrapNone/>
                <wp:docPr id="2140131856" name="Rectángulo 2140131856"/>
                <wp:cNvGraphicFramePr/>
                <a:graphic xmlns:a="http://schemas.openxmlformats.org/drawingml/2006/main">
                  <a:graphicData uri="http://schemas.microsoft.com/office/word/2010/wordprocessingShape">
                    <wps:wsp>
                      <wps:cNvSpPr/>
                      <wps:spPr>
                        <a:xfrm rot="10800000" flipH="1">
                          <a:off x="3185083" y="3659230"/>
                          <a:ext cx="4321834" cy="241540"/>
                        </a:xfrm>
                        <a:prstGeom prst="rect">
                          <a:avLst/>
                        </a:prstGeom>
                        <a:noFill/>
                        <a:ln w="38100" cap="flat" cmpd="sng">
                          <a:solidFill>
                            <a:srgbClr val="C00000"/>
                          </a:solidFill>
                          <a:prstDash val="solid"/>
                          <a:round/>
                          <a:headEnd type="none" w="sm" len="sm"/>
                          <a:tailEnd type="none" w="sm" len="sm"/>
                        </a:ln>
                      </wps:spPr>
                      <wps:txbx>
                        <w:txbxContent>
                          <w:p w14:paraId="21A6D87C"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626098</wp:posOffset>
                </wp:positionH>
                <wp:positionV relativeFrom="paragraph">
                  <wp:posOffset>-97896</wp:posOffset>
                </wp:positionV>
                <wp:extent cx="4359934" cy="279640"/>
                <wp:effectExtent b="0" l="0" r="0" t="0"/>
                <wp:wrapNone/>
                <wp:docPr id="2140131856"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4359934" cy="279640"/>
                        </a:xfrm>
                        <a:prstGeom prst="rect"/>
                        <a:ln/>
                      </pic:spPr>
                    </pic:pic>
                  </a:graphicData>
                </a:graphic>
              </wp:anchor>
            </w:drawing>
          </mc:Fallback>
        </mc:AlternateContent>
      </w:r>
      <w:r w:rsidRPr="007E2D31">
        <w:rPr>
          <w:noProof/>
        </w:rPr>
        <mc:AlternateContent>
          <mc:Choice Requires="wpg">
            <w:drawing>
              <wp:anchor distT="0" distB="0" distL="114300" distR="114300" simplePos="0" relativeHeight="251660288" behindDoc="0" locked="0" layoutInCell="1" hidden="0" allowOverlap="1" wp14:anchorId="704CFC90" wp14:editId="54821F77">
                <wp:simplePos x="0" y="0"/>
                <wp:positionH relativeFrom="column">
                  <wp:posOffset>617471</wp:posOffset>
                </wp:positionH>
                <wp:positionV relativeFrom="paragraph">
                  <wp:posOffset>316109</wp:posOffset>
                </wp:positionV>
                <wp:extent cx="4359934" cy="460795"/>
                <wp:effectExtent l="0" t="0" r="0" b="0"/>
                <wp:wrapNone/>
                <wp:docPr id="2140131857" name="Rectángulo 2140131857"/>
                <wp:cNvGraphicFramePr/>
                <a:graphic xmlns:a="http://schemas.openxmlformats.org/drawingml/2006/main">
                  <a:graphicData uri="http://schemas.microsoft.com/office/word/2010/wordprocessingShape">
                    <wps:wsp>
                      <wps:cNvSpPr/>
                      <wps:spPr>
                        <a:xfrm rot="10800000" flipH="1">
                          <a:off x="3185083" y="3568653"/>
                          <a:ext cx="4321834" cy="422695"/>
                        </a:xfrm>
                        <a:prstGeom prst="rect">
                          <a:avLst/>
                        </a:prstGeom>
                        <a:noFill/>
                        <a:ln w="38100" cap="flat" cmpd="sng">
                          <a:solidFill>
                            <a:srgbClr val="C00000"/>
                          </a:solidFill>
                          <a:prstDash val="solid"/>
                          <a:round/>
                          <a:headEnd type="none" w="sm" len="sm"/>
                          <a:tailEnd type="none" w="sm" len="sm"/>
                        </a:ln>
                      </wps:spPr>
                      <wps:txbx>
                        <w:txbxContent>
                          <w:p w14:paraId="5D9CAFB8"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617471</wp:posOffset>
                </wp:positionH>
                <wp:positionV relativeFrom="paragraph">
                  <wp:posOffset>316109</wp:posOffset>
                </wp:positionV>
                <wp:extent cx="4359934" cy="460795"/>
                <wp:effectExtent b="0" l="0" r="0" t="0"/>
                <wp:wrapNone/>
                <wp:docPr id="214013185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4359934" cy="460795"/>
                        </a:xfrm>
                        <a:prstGeom prst="rect"/>
                        <a:ln/>
                      </pic:spPr>
                    </pic:pic>
                  </a:graphicData>
                </a:graphic>
              </wp:anchor>
            </w:drawing>
          </mc:Fallback>
        </mc:AlternateContent>
      </w:r>
    </w:p>
    <w:p w14:paraId="22BACAF3" w14:textId="77777777" w:rsidR="000524F1" w:rsidRPr="007E2D31" w:rsidRDefault="00AF3B29">
      <w:pPr>
        <w:tabs>
          <w:tab w:val="left" w:pos="3544"/>
        </w:tabs>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De lo anterior se desprende que la información que deben publicar los Sujetos Obligados en cumplimiento a dicha obligación de transparencia, debe estar estructurada en un formato que permita vincular cada parte de la estructura orgánica y las atribuciones y responsabilidades que le correspondan a cada servidor público, de acuerdo con el puesto o cargo que ostentan, y la norma que establece sus atribuciones, responsabilidades o funciones según sea el caso y el fundamento legal que sustenta el puesto.</w:t>
      </w:r>
    </w:p>
    <w:p w14:paraId="73089BB3"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Por lo que se refiere a las remuneraciones, es de señalar que 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la </w:t>
      </w:r>
      <w:r w:rsidRPr="007E2D31">
        <w:rPr>
          <w:rFonts w:ascii="Palatino Linotype" w:eastAsia="Palatino Linotype" w:hAnsi="Palatino Linotype" w:cs="Palatino Linotype"/>
          <w:i/>
          <w:iCs/>
          <w:sz w:val="22"/>
          <w:szCs w:val="22"/>
        </w:rPr>
        <w:t>conciliación de nómina</w:t>
      </w:r>
      <w:r w:rsidRPr="007E2D31">
        <w:rPr>
          <w:rFonts w:ascii="Palatino Linotype" w:eastAsia="Palatino Linotype" w:hAnsi="Palatino Linotype" w:cs="Palatino Linotype"/>
          <w:sz w:val="22"/>
          <w:szCs w:val="22"/>
        </w:rPr>
        <w:t>,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2C4A108C"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 la nómina, se encuentra contenida en el Módulo 4 Información Administrativa, Submódulo Nómina (Plataforma Digital), como se muestra a continuación:</w:t>
      </w:r>
    </w:p>
    <w:p w14:paraId="3069A1B4" w14:textId="77777777" w:rsidR="000524F1" w:rsidRPr="007E2D31" w:rsidRDefault="00AF3B29">
      <w:pPr>
        <w:spacing w:before="240" w:after="240" w:line="360" w:lineRule="auto"/>
        <w:jc w:val="center"/>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noProof/>
          <w:sz w:val="22"/>
          <w:szCs w:val="22"/>
        </w:rPr>
        <w:drawing>
          <wp:inline distT="0" distB="0" distL="0" distR="0" wp14:anchorId="1EFDFB83" wp14:editId="10A69DEB">
            <wp:extent cx="4046400" cy="1994400"/>
            <wp:effectExtent l="0" t="0" r="0" b="0"/>
            <wp:docPr id="21401318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046400" cy="1994400"/>
                    </a:xfrm>
                    <a:prstGeom prst="rect">
                      <a:avLst/>
                    </a:prstGeom>
                    <a:ln/>
                  </pic:spPr>
                </pic:pic>
              </a:graphicData>
            </a:graphic>
          </wp:inline>
        </w:drawing>
      </w:r>
    </w:p>
    <w:p w14:paraId="5F6D3DDF" w14:textId="77777777" w:rsidR="000524F1" w:rsidRPr="007E2D31" w:rsidRDefault="00AF3B29">
      <w:pPr>
        <w:spacing w:before="240" w:after="240" w:line="360" w:lineRule="auto"/>
        <w:jc w:val="center"/>
        <w:rPr>
          <w:rFonts w:ascii="Palatino Linotype" w:eastAsia="Palatino Linotype" w:hAnsi="Palatino Linotype" w:cs="Palatino Linotype"/>
          <w:sz w:val="22"/>
          <w:szCs w:val="22"/>
        </w:rPr>
      </w:pPr>
      <w:r w:rsidRPr="007E2D31">
        <w:rPr>
          <w:rFonts w:ascii="Palatino Linotype" w:eastAsia="Palatino Linotype" w:hAnsi="Palatino Linotype" w:cs="Palatino Linotype"/>
          <w:noProof/>
          <w:sz w:val="22"/>
          <w:szCs w:val="22"/>
        </w:rPr>
        <w:drawing>
          <wp:inline distT="0" distB="0" distL="0" distR="0" wp14:anchorId="6305053A" wp14:editId="52A67F80">
            <wp:extent cx="4500000" cy="2839326"/>
            <wp:effectExtent l="0" t="0" r="0" b="0"/>
            <wp:docPr id="21401318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b="18245"/>
                    <a:stretch>
                      <a:fillRect/>
                    </a:stretch>
                  </pic:blipFill>
                  <pic:spPr>
                    <a:xfrm>
                      <a:off x="0" y="0"/>
                      <a:ext cx="4500000" cy="2839326"/>
                    </a:xfrm>
                    <a:prstGeom prst="rect">
                      <a:avLst/>
                    </a:prstGeom>
                    <a:ln/>
                  </pic:spPr>
                </pic:pic>
              </a:graphicData>
            </a:graphic>
          </wp:inline>
        </w:drawing>
      </w:r>
      <w:r w:rsidRPr="007E2D31">
        <w:rPr>
          <w:noProof/>
        </w:rPr>
        <mc:AlternateContent>
          <mc:Choice Requires="wpg">
            <w:drawing>
              <wp:anchor distT="0" distB="0" distL="114300" distR="114300" simplePos="0" relativeHeight="251661312" behindDoc="0" locked="0" layoutInCell="1" hidden="0" allowOverlap="1" wp14:anchorId="58762DE3" wp14:editId="48CB35E1">
                <wp:simplePos x="0" y="0"/>
                <wp:positionH relativeFrom="column">
                  <wp:posOffset>545575</wp:posOffset>
                </wp:positionH>
                <wp:positionV relativeFrom="paragraph">
                  <wp:posOffset>1984993</wp:posOffset>
                </wp:positionV>
                <wp:extent cx="4520979" cy="441754"/>
                <wp:effectExtent l="0" t="0" r="0" b="0"/>
                <wp:wrapNone/>
                <wp:docPr id="2140131851" name="Rectángulo 2140131851"/>
                <wp:cNvGraphicFramePr/>
                <a:graphic xmlns:a="http://schemas.openxmlformats.org/drawingml/2006/main">
                  <a:graphicData uri="http://schemas.microsoft.com/office/word/2010/wordprocessingShape">
                    <wps:wsp>
                      <wps:cNvSpPr/>
                      <wps:spPr>
                        <a:xfrm>
                          <a:off x="3104561" y="3578173"/>
                          <a:ext cx="4482879" cy="403654"/>
                        </a:xfrm>
                        <a:prstGeom prst="rect">
                          <a:avLst/>
                        </a:prstGeom>
                        <a:noFill/>
                        <a:ln w="38100" cap="flat" cmpd="sng">
                          <a:solidFill>
                            <a:srgbClr val="C00000"/>
                          </a:solidFill>
                          <a:prstDash val="solid"/>
                          <a:miter lim="800000"/>
                          <a:headEnd type="none" w="sm" len="sm"/>
                          <a:tailEnd type="none" w="sm" len="sm"/>
                        </a:ln>
                      </wps:spPr>
                      <wps:txbx>
                        <w:txbxContent>
                          <w:p w14:paraId="382D81B4"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545575</wp:posOffset>
                </wp:positionH>
                <wp:positionV relativeFrom="paragraph">
                  <wp:posOffset>1984993</wp:posOffset>
                </wp:positionV>
                <wp:extent cx="4520979" cy="441754"/>
                <wp:effectExtent b="0" l="0" r="0" t="0"/>
                <wp:wrapNone/>
                <wp:docPr id="2140131851"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520979" cy="441754"/>
                        </a:xfrm>
                        <a:prstGeom prst="rect"/>
                        <a:ln/>
                      </pic:spPr>
                    </pic:pic>
                  </a:graphicData>
                </a:graphic>
              </wp:anchor>
            </w:drawing>
          </mc:Fallback>
        </mc:AlternateContent>
      </w:r>
    </w:p>
    <w:p w14:paraId="7CEB78C9"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 La finalidad de la conciliación de nómina consiste en presentar el concentrado mensual, de manera quincenal, de las cifras derivadas de todas las erogaciones realizadas por concepto de remuneraciones al trabajo, registradas en la nómina; las cuales deben de coincidir con las contenidas en los registros contables, por concepto de remuneraciones al trabajo personal.</w:t>
      </w:r>
    </w:p>
    <w:p w14:paraId="7085C2FC" w14:textId="77777777" w:rsidR="000524F1" w:rsidRPr="007E2D31" w:rsidRDefault="00AF3B29">
      <w:pPr>
        <w:spacing w:before="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Y, debe presentarse a través de los formatos XLSX y TXT, siendo el primero el siguiente:</w:t>
      </w:r>
    </w:p>
    <w:p w14:paraId="56962313" w14:textId="77777777" w:rsidR="000524F1" w:rsidRPr="007E2D31" w:rsidRDefault="00AF3B29">
      <w:pPr>
        <w:spacing w:before="240" w:line="360" w:lineRule="auto"/>
        <w:ind w:right="49"/>
        <w:jc w:val="center"/>
        <w:rPr>
          <w:rFonts w:ascii="Palatino Linotype" w:eastAsia="Palatino Linotype" w:hAnsi="Palatino Linotype" w:cs="Palatino Linotype"/>
          <w:sz w:val="22"/>
          <w:szCs w:val="22"/>
        </w:rPr>
      </w:pPr>
      <w:r w:rsidRPr="007E2D31">
        <w:rPr>
          <w:rFonts w:ascii="Palatino Linotype" w:eastAsia="Palatino Linotype" w:hAnsi="Palatino Linotype" w:cs="Palatino Linotype"/>
          <w:noProof/>
          <w:sz w:val="22"/>
          <w:szCs w:val="22"/>
        </w:rPr>
        <w:drawing>
          <wp:inline distT="0" distB="0" distL="0" distR="0" wp14:anchorId="36DEDF77" wp14:editId="1F2FB332">
            <wp:extent cx="4733925" cy="4198661"/>
            <wp:effectExtent l="0" t="0" r="0" b="0"/>
            <wp:docPr id="21401318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b="23204"/>
                    <a:stretch>
                      <a:fillRect/>
                    </a:stretch>
                  </pic:blipFill>
                  <pic:spPr>
                    <a:xfrm>
                      <a:off x="0" y="0"/>
                      <a:ext cx="4733925" cy="4198661"/>
                    </a:xfrm>
                    <a:prstGeom prst="rect">
                      <a:avLst/>
                    </a:prstGeom>
                    <a:ln/>
                  </pic:spPr>
                </pic:pic>
              </a:graphicData>
            </a:graphic>
          </wp:inline>
        </w:drawing>
      </w:r>
    </w:p>
    <w:p w14:paraId="58CC6E89" w14:textId="77777777" w:rsidR="000524F1" w:rsidRPr="007E2D31" w:rsidRDefault="00AF3B29">
      <w:pPr>
        <w:spacing w:before="240" w:line="360" w:lineRule="auto"/>
        <w:ind w:right="49"/>
        <w:jc w:val="center"/>
        <w:rPr>
          <w:rFonts w:ascii="Palatino Linotype" w:eastAsia="Palatino Linotype" w:hAnsi="Palatino Linotype" w:cs="Palatino Linotype"/>
          <w:sz w:val="22"/>
          <w:szCs w:val="22"/>
        </w:rPr>
      </w:pPr>
      <w:r w:rsidRPr="007E2D31">
        <w:rPr>
          <w:rFonts w:ascii="Palatino Linotype" w:eastAsia="Palatino Linotype" w:hAnsi="Palatino Linotype" w:cs="Palatino Linotype"/>
          <w:noProof/>
          <w:sz w:val="22"/>
          <w:szCs w:val="22"/>
        </w:rPr>
        <w:drawing>
          <wp:inline distT="0" distB="0" distL="0" distR="0" wp14:anchorId="03FA4C46" wp14:editId="344CDB5E">
            <wp:extent cx="4733925" cy="1224227"/>
            <wp:effectExtent l="0" t="0" r="0" b="0"/>
            <wp:docPr id="21401318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77682" b="-74"/>
                    <a:stretch>
                      <a:fillRect/>
                    </a:stretch>
                  </pic:blipFill>
                  <pic:spPr>
                    <a:xfrm>
                      <a:off x="0" y="0"/>
                      <a:ext cx="4733925" cy="1224227"/>
                    </a:xfrm>
                    <a:prstGeom prst="rect">
                      <a:avLst/>
                    </a:prstGeom>
                    <a:ln/>
                  </pic:spPr>
                </pic:pic>
              </a:graphicData>
            </a:graphic>
          </wp:inline>
        </w:drawing>
      </w:r>
    </w:p>
    <w:p w14:paraId="35B9676B"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Para el llenado de dicho formato se deben observar las siguientes consideraciones:</w:t>
      </w:r>
    </w:p>
    <w:p w14:paraId="24C1520F" w14:textId="77777777" w:rsidR="000524F1" w:rsidRPr="007E2D31" w:rsidRDefault="00AF3B29">
      <w:pPr>
        <w:spacing w:before="240" w:after="240" w:line="360" w:lineRule="auto"/>
        <w:ind w:right="51"/>
        <w:jc w:val="center"/>
        <w:rPr>
          <w:rFonts w:ascii="Palatino Linotype" w:eastAsia="Palatino Linotype" w:hAnsi="Palatino Linotype" w:cs="Palatino Linotype"/>
          <w:sz w:val="22"/>
          <w:szCs w:val="22"/>
        </w:rPr>
      </w:pPr>
      <w:r w:rsidRPr="007E2D31">
        <w:rPr>
          <w:rFonts w:ascii="Palatino Linotype" w:eastAsia="Palatino Linotype" w:hAnsi="Palatino Linotype" w:cs="Palatino Linotype"/>
          <w:noProof/>
          <w:sz w:val="22"/>
          <w:szCs w:val="22"/>
        </w:rPr>
        <w:drawing>
          <wp:inline distT="0" distB="0" distL="0" distR="0" wp14:anchorId="038878FF" wp14:editId="25968BEE">
            <wp:extent cx="4644000" cy="1276864"/>
            <wp:effectExtent l="0" t="0" r="0" b="0"/>
            <wp:docPr id="21401318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44000" cy="1276864"/>
                    </a:xfrm>
                    <a:prstGeom prst="rect">
                      <a:avLst/>
                    </a:prstGeom>
                    <a:ln/>
                  </pic:spPr>
                </pic:pic>
              </a:graphicData>
            </a:graphic>
          </wp:inline>
        </w:drawing>
      </w:r>
      <w:r w:rsidRPr="007E2D31">
        <w:rPr>
          <w:rFonts w:ascii="Palatino Linotype" w:eastAsia="Palatino Linotype" w:hAnsi="Palatino Linotype" w:cs="Palatino Linotype"/>
          <w:noProof/>
          <w:sz w:val="22"/>
          <w:szCs w:val="22"/>
        </w:rPr>
        <w:drawing>
          <wp:inline distT="0" distB="0" distL="0" distR="0" wp14:anchorId="1B82F345" wp14:editId="09BB4E53">
            <wp:extent cx="4642622" cy="3952456"/>
            <wp:effectExtent l="0" t="0" r="0" b="0"/>
            <wp:docPr id="21401318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18981"/>
                    <a:stretch>
                      <a:fillRect/>
                    </a:stretch>
                  </pic:blipFill>
                  <pic:spPr>
                    <a:xfrm>
                      <a:off x="0" y="0"/>
                      <a:ext cx="4642622" cy="3952456"/>
                    </a:xfrm>
                    <a:prstGeom prst="rect">
                      <a:avLst/>
                    </a:prstGeom>
                    <a:ln/>
                  </pic:spPr>
                </pic:pic>
              </a:graphicData>
            </a:graphic>
          </wp:inline>
        </w:drawing>
      </w:r>
      <w:r w:rsidRPr="007E2D31">
        <w:rPr>
          <w:rFonts w:ascii="Palatino Linotype" w:eastAsia="Palatino Linotype" w:hAnsi="Palatino Linotype" w:cs="Palatino Linotype"/>
          <w:noProof/>
          <w:sz w:val="22"/>
          <w:szCs w:val="22"/>
        </w:rPr>
        <w:drawing>
          <wp:inline distT="0" distB="0" distL="0" distR="0" wp14:anchorId="71B878BA" wp14:editId="4CFC68B6">
            <wp:extent cx="4642622" cy="881560"/>
            <wp:effectExtent l="0" t="0" r="0" b="0"/>
            <wp:docPr id="21401318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81504" b="423"/>
                    <a:stretch>
                      <a:fillRect/>
                    </a:stretch>
                  </pic:blipFill>
                  <pic:spPr>
                    <a:xfrm>
                      <a:off x="0" y="0"/>
                      <a:ext cx="4642622" cy="881560"/>
                    </a:xfrm>
                    <a:prstGeom prst="rect">
                      <a:avLst/>
                    </a:prstGeom>
                    <a:ln/>
                  </pic:spPr>
                </pic:pic>
              </a:graphicData>
            </a:graphic>
          </wp:inline>
        </w:drawing>
      </w:r>
      <w:r w:rsidRPr="007E2D31">
        <w:rPr>
          <w:noProof/>
        </w:rPr>
        <mc:AlternateContent>
          <mc:Choice Requires="wpg">
            <w:drawing>
              <wp:anchor distT="0" distB="0" distL="114300" distR="114300" simplePos="0" relativeHeight="251662336" behindDoc="0" locked="0" layoutInCell="1" hidden="0" allowOverlap="1" wp14:anchorId="0A49F2C0" wp14:editId="51F2610D">
                <wp:simplePos x="0" y="0"/>
                <wp:positionH relativeFrom="column">
                  <wp:posOffset>447513</wp:posOffset>
                </wp:positionH>
                <wp:positionV relativeFrom="paragraph">
                  <wp:posOffset>2828883</wp:posOffset>
                </wp:positionV>
                <wp:extent cx="4697730" cy="388053"/>
                <wp:effectExtent l="0" t="0" r="0" b="0"/>
                <wp:wrapNone/>
                <wp:docPr id="2140131859" name="Rectángulo 2140131859"/>
                <wp:cNvGraphicFramePr/>
                <a:graphic xmlns:a="http://schemas.openxmlformats.org/drawingml/2006/main">
                  <a:graphicData uri="http://schemas.microsoft.com/office/word/2010/wordprocessingShape">
                    <wps:wsp>
                      <wps:cNvSpPr/>
                      <wps:spPr>
                        <a:xfrm>
                          <a:off x="3016185" y="3605024"/>
                          <a:ext cx="4659630" cy="349953"/>
                        </a:xfrm>
                        <a:prstGeom prst="rect">
                          <a:avLst/>
                        </a:prstGeom>
                        <a:noFill/>
                        <a:ln w="38100" cap="flat" cmpd="sng">
                          <a:solidFill>
                            <a:srgbClr val="C00000"/>
                          </a:solidFill>
                          <a:prstDash val="solid"/>
                          <a:round/>
                          <a:headEnd type="none" w="sm" len="sm"/>
                          <a:tailEnd type="none" w="sm" len="sm"/>
                        </a:ln>
                      </wps:spPr>
                      <wps:txbx>
                        <w:txbxContent>
                          <w:p w14:paraId="525B55B0"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447513</wp:posOffset>
                </wp:positionH>
                <wp:positionV relativeFrom="paragraph">
                  <wp:posOffset>2828883</wp:posOffset>
                </wp:positionV>
                <wp:extent cx="4697730" cy="388053"/>
                <wp:effectExtent b="0" l="0" r="0" t="0"/>
                <wp:wrapNone/>
                <wp:docPr id="2140131859"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4697730" cy="388053"/>
                        </a:xfrm>
                        <a:prstGeom prst="rect"/>
                        <a:ln/>
                      </pic:spPr>
                    </pic:pic>
                  </a:graphicData>
                </a:graphic>
              </wp:anchor>
            </w:drawing>
          </mc:Fallback>
        </mc:AlternateContent>
      </w:r>
      <w:r w:rsidRPr="007E2D31">
        <w:rPr>
          <w:noProof/>
        </w:rPr>
        <mc:AlternateContent>
          <mc:Choice Requires="wpg">
            <w:drawing>
              <wp:anchor distT="0" distB="0" distL="114300" distR="114300" simplePos="0" relativeHeight="251663360" behindDoc="0" locked="0" layoutInCell="1" hidden="0" allowOverlap="1" wp14:anchorId="5A821D7E" wp14:editId="4CB24895">
                <wp:simplePos x="0" y="0"/>
                <wp:positionH relativeFrom="column">
                  <wp:posOffset>447513</wp:posOffset>
                </wp:positionH>
                <wp:positionV relativeFrom="paragraph">
                  <wp:posOffset>1350280</wp:posOffset>
                </wp:positionV>
                <wp:extent cx="4697730" cy="573121"/>
                <wp:effectExtent l="0" t="0" r="0" b="0"/>
                <wp:wrapNone/>
                <wp:docPr id="2140131858" name="Rectángulo 2140131858"/>
                <wp:cNvGraphicFramePr/>
                <a:graphic xmlns:a="http://schemas.openxmlformats.org/drawingml/2006/main">
                  <a:graphicData uri="http://schemas.microsoft.com/office/word/2010/wordprocessingShape">
                    <wps:wsp>
                      <wps:cNvSpPr/>
                      <wps:spPr>
                        <a:xfrm>
                          <a:off x="3016185" y="3512490"/>
                          <a:ext cx="4659630" cy="535021"/>
                        </a:xfrm>
                        <a:prstGeom prst="rect">
                          <a:avLst/>
                        </a:prstGeom>
                        <a:noFill/>
                        <a:ln w="38100" cap="flat" cmpd="sng">
                          <a:solidFill>
                            <a:srgbClr val="C00000"/>
                          </a:solidFill>
                          <a:prstDash val="solid"/>
                          <a:round/>
                          <a:headEnd type="none" w="sm" len="sm"/>
                          <a:tailEnd type="none" w="sm" len="sm"/>
                        </a:ln>
                      </wps:spPr>
                      <wps:txbx>
                        <w:txbxContent>
                          <w:p w14:paraId="4BC787F1"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447513</wp:posOffset>
                </wp:positionH>
                <wp:positionV relativeFrom="paragraph">
                  <wp:posOffset>1350280</wp:posOffset>
                </wp:positionV>
                <wp:extent cx="4697730" cy="573121"/>
                <wp:effectExtent b="0" l="0" r="0" t="0"/>
                <wp:wrapNone/>
                <wp:docPr id="2140131858"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4697730" cy="573121"/>
                        </a:xfrm>
                        <a:prstGeom prst="rect"/>
                        <a:ln/>
                      </pic:spPr>
                    </pic:pic>
                  </a:graphicData>
                </a:graphic>
              </wp:anchor>
            </w:drawing>
          </mc:Fallback>
        </mc:AlternateContent>
      </w:r>
      <w:r w:rsidRPr="007E2D31">
        <w:rPr>
          <w:noProof/>
        </w:rPr>
        <mc:AlternateContent>
          <mc:Choice Requires="wpg">
            <w:drawing>
              <wp:anchor distT="0" distB="0" distL="114300" distR="114300" simplePos="0" relativeHeight="251664384" behindDoc="0" locked="0" layoutInCell="1" hidden="0" allowOverlap="1" wp14:anchorId="6E9765DA" wp14:editId="412B4159">
                <wp:simplePos x="0" y="0"/>
                <wp:positionH relativeFrom="column">
                  <wp:posOffset>456899</wp:posOffset>
                </wp:positionH>
                <wp:positionV relativeFrom="paragraph">
                  <wp:posOffset>3937080</wp:posOffset>
                </wp:positionV>
                <wp:extent cx="4698331" cy="271563"/>
                <wp:effectExtent l="0" t="0" r="0" b="0"/>
                <wp:wrapNone/>
                <wp:docPr id="2140131854" name="Rectángulo 2140131854"/>
                <wp:cNvGraphicFramePr/>
                <a:graphic xmlns:a="http://schemas.openxmlformats.org/drawingml/2006/main">
                  <a:graphicData uri="http://schemas.microsoft.com/office/word/2010/wordprocessingShape">
                    <wps:wsp>
                      <wps:cNvSpPr/>
                      <wps:spPr>
                        <a:xfrm>
                          <a:off x="3015885" y="3663269"/>
                          <a:ext cx="4660231" cy="233463"/>
                        </a:xfrm>
                        <a:prstGeom prst="rect">
                          <a:avLst/>
                        </a:prstGeom>
                        <a:noFill/>
                        <a:ln w="38100" cap="flat" cmpd="sng">
                          <a:solidFill>
                            <a:srgbClr val="C00000"/>
                          </a:solidFill>
                          <a:prstDash val="solid"/>
                          <a:round/>
                          <a:headEnd type="none" w="sm" len="sm"/>
                          <a:tailEnd type="none" w="sm" len="sm"/>
                        </a:ln>
                      </wps:spPr>
                      <wps:txbx>
                        <w:txbxContent>
                          <w:p w14:paraId="476DAD4D"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456899</wp:posOffset>
                </wp:positionH>
                <wp:positionV relativeFrom="paragraph">
                  <wp:posOffset>3937080</wp:posOffset>
                </wp:positionV>
                <wp:extent cx="4698331" cy="271563"/>
                <wp:effectExtent b="0" l="0" r="0" t="0"/>
                <wp:wrapNone/>
                <wp:docPr id="214013185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4698331" cy="271563"/>
                        </a:xfrm>
                        <a:prstGeom prst="rect"/>
                        <a:ln/>
                      </pic:spPr>
                    </pic:pic>
                  </a:graphicData>
                </a:graphic>
              </wp:anchor>
            </w:drawing>
          </mc:Fallback>
        </mc:AlternateContent>
      </w:r>
      <w:r w:rsidRPr="007E2D31">
        <w:rPr>
          <w:noProof/>
        </w:rPr>
        <mc:AlternateContent>
          <mc:Choice Requires="wpg">
            <w:drawing>
              <wp:anchor distT="0" distB="0" distL="114300" distR="114300" simplePos="0" relativeHeight="251665408" behindDoc="0" locked="0" layoutInCell="1" hidden="0" allowOverlap="1" wp14:anchorId="3376D590" wp14:editId="70EBD42B">
                <wp:simplePos x="0" y="0"/>
                <wp:positionH relativeFrom="column">
                  <wp:posOffset>457200</wp:posOffset>
                </wp:positionH>
                <wp:positionV relativeFrom="paragraph">
                  <wp:posOffset>2076342</wp:posOffset>
                </wp:positionV>
                <wp:extent cx="4697730" cy="573121"/>
                <wp:effectExtent l="0" t="0" r="0" b="0"/>
                <wp:wrapNone/>
                <wp:docPr id="2140131855" name="Rectángulo 2140131855"/>
                <wp:cNvGraphicFramePr/>
                <a:graphic xmlns:a="http://schemas.openxmlformats.org/drawingml/2006/main">
                  <a:graphicData uri="http://schemas.microsoft.com/office/word/2010/wordprocessingShape">
                    <wps:wsp>
                      <wps:cNvSpPr/>
                      <wps:spPr>
                        <a:xfrm>
                          <a:off x="3016185" y="3512490"/>
                          <a:ext cx="4659630" cy="535021"/>
                        </a:xfrm>
                        <a:prstGeom prst="rect">
                          <a:avLst/>
                        </a:prstGeom>
                        <a:noFill/>
                        <a:ln w="38100" cap="flat" cmpd="sng">
                          <a:solidFill>
                            <a:srgbClr val="C00000"/>
                          </a:solidFill>
                          <a:prstDash val="solid"/>
                          <a:round/>
                          <a:headEnd type="none" w="sm" len="sm"/>
                          <a:tailEnd type="none" w="sm" len="sm"/>
                        </a:ln>
                      </wps:spPr>
                      <wps:txbx>
                        <w:txbxContent>
                          <w:p w14:paraId="34D18F3E"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wp:posOffset>
                </wp:positionH>
                <wp:positionV relativeFrom="paragraph">
                  <wp:posOffset>2076342</wp:posOffset>
                </wp:positionV>
                <wp:extent cx="4697730" cy="573121"/>
                <wp:effectExtent b="0" l="0" r="0" t="0"/>
                <wp:wrapNone/>
                <wp:docPr id="2140131855"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4697730" cy="573121"/>
                        </a:xfrm>
                        <a:prstGeom prst="rect"/>
                        <a:ln/>
                      </pic:spPr>
                    </pic:pic>
                  </a:graphicData>
                </a:graphic>
              </wp:anchor>
            </w:drawing>
          </mc:Fallback>
        </mc:AlternateContent>
      </w:r>
      <w:r w:rsidRPr="007E2D31">
        <w:rPr>
          <w:noProof/>
        </w:rPr>
        <mc:AlternateContent>
          <mc:Choice Requires="wpg">
            <w:drawing>
              <wp:anchor distT="0" distB="0" distL="114300" distR="114300" simplePos="0" relativeHeight="251666432" behindDoc="0" locked="0" layoutInCell="1" hidden="0" allowOverlap="1" wp14:anchorId="2237742D" wp14:editId="4470B43F">
                <wp:simplePos x="0" y="0"/>
                <wp:positionH relativeFrom="column">
                  <wp:posOffset>432921</wp:posOffset>
                </wp:positionH>
                <wp:positionV relativeFrom="paragraph">
                  <wp:posOffset>4929708</wp:posOffset>
                </wp:positionV>
                <wp:extent cx="4746287" cy="252109"/>
                <wp:effectExtent l="0" t="0" r="0" b="0"/>
                <wp:wrapNone/>
                <wp:docPr id="2140131853" name="Rectángulo 2140131853"/>
                <wp:cNvGraphicFramePr/>
                <a:graphic xmlns:a="http://schemas.openxmlformats.org/drawingml/2006/main">
                  <a:graphicData uri="http://schemas.microsoft.com/office/word/2010/wordprocessingShape">
                    <wps:wsp>
                      <wps:cNvSpPr/>
                      <wps:spPr>
                        <a:xfrm>
                          <a:off x="2991907" y="3672996"/>
                          <a:ext cx="4708187" cy="214009"/>
                        </a:xfrm>
                        <a:prstGeom prst="rect">
                          <a:avLst/>
                        </a:prstGeom>
                        <a:noFill/>
                        <a:ln w="38100" cap="flat" cmpd="sng">
                          <a:solidFill>
                            <a:srgbClr val="C00000"/>
                          </a:solidFill>
                          <a:prstDash val="solid"/>
                          <a:round/>
                          <a:headEnd type="none" w="sm" len="sm"/>
                          <a:tailEnd type="none" w="sm" len="sm"/>
                        </a:ln>
                      </wps:spPr>
                      <wps:txbx>
                        <w:txbxContent>
                          <w:p w14:paraId="1821E46C" w14:textId="77777777" w:rsidR="000524F1" w:rsidRDefault="000524F1">
                            <w:pPr>
                              <w:textDirection w:val="btLr"/>
                            </w:pPr>
                          </w:p>
                        </w:txbxContent>
                      </wps:txbx>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432921</wp:posOffset>
                </wp:positionH>
                <wp:positionV relativeFrom="paragraph">
                  <wp:posOffset>4929708</wp:posOffset>
                </wp:positionV>
                <wp:extent cx="4746287" cy="252109"/>
                <wp:effectExtent b="0" l="0" r="0" t="0"/>
                <wp:wrapNone/>
                <wp:docPr id="2140131853"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4746287" cy="252109"/>
                        </a:xfrm>
                        <a:prstGeom prst="rect"/>
                        <a:ln/>
                      </pic:spPr>
                    </pic:pic>
                  </a:graphicData>
                </a:graphic>
              </wp:anchor>
            </w:drawing>
          </mc:Fallback>
        </mc:AlternateContent>
      </w:r>
    </w:p>
    <w:p w14:paraId="2775C94A"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Como se logra vislumbrar, el formato de conciliación de nómina que es remitido por los entes fiscalizables municipales al Órgano Superior de Fiscalización del Estado de México, como parte de los informes trimestrales para dar cumplimiento a sus obligaciones fiscales, contiene los rubros: Número Progresivo, Número de quincena, Número de empleado, R.F.C, CURP, Número de seguridad social (ISSEMYM), </w:t>
      </w:r>
      <w:r w:rsidRPr="007E2D31">
        <w:rPr>
          <w:rFonts w:ascii="Palatino Linotype" w:eastAsia="Palatino Linotype" w:hAnsi="Palatino Linotype" w:cs="Palatino Linotype"/>
          <w:b/>
          <w:bCs/>
          <w:sz w:val="22"/>
          <w:szCs w:val="22"/>
          <w:u w:val="single"/>
        </w:rPr>
        <w:t>Nombre completo</w:t>
      </w:r>
      <w:r w:rsidRPr="007E2D31">
        <w:rPr>
          <w:rFonts w:ascii="Palatino Linotype" w:eastAsia="Palatino Linotype" w:hAnsi="Palatino Linotype" w:cs="Palatino Linotype"/>
          <w:sz w:val="22"/>
          <w:szCs w:val="22"/>
          <w:u w:val="single"/>
        </w:rPr>
        <w:t>: Apellido Paterno, Apellido Materno, Nombre (s),</w:t>
      </w: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sz w:val="22"/>
          <w:szCs w:val="22"/>
          <w:u w:val="single"/>
        </w:rPr>
        <w:t>Fecha de alta,</w:t>
      </w:r>
      <w:r w:rsidRPr="007E2D31">
        <w:rPr>
          <w:rFonts w:ascii="Palatino Linotype" w:eastAsia="Palatino Linotype" w:hAnsi="Palatino Linotype" w:cs="Palatino Linotype"/>
          <w:sz w:val="22"/>
          <w:szCs w:val="22"/>
        </w:rPr>
        <w:t xml:space="preserve"> Fecha de baja, </w:t>
      </w:r>
      <w:r w:rsidRPr="007E2D31">
        <w:rPr>
          <w:rFonts w:ascii="Palatino Linotype" w:eastAsia="Palatino Linotype" w:hAnsi="Palatino Linotype" w:cs="Palatino Linotype"/>
          <w:b/>
          <w:bCs/>
          <w:sz w:val="22"/>
          <w:szCs w:val="22"/>
        </w:rPr>
        <w:t>Puesto funcional</w:t>
      </w: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sz w:val="22"/>
          <w:szCs w:val="22"/>
          <w:u w:val="single"/>
        </w:rPr>
        <w:t>Nivel y/o rango,</w:t>
      </w:r>
      <w:r w:rsidRPr="007E2D31">
        <w:rPr>
          <w:rFonts w:ascii="Palatino Linotype" w:eastAsia="Palatino Linotype" w:hAnsi="Palatino Linotype" w:cs="Palatino Linotype"/>
          <w:sz w:val="22"/>
          <w:szCs w:val="22"/>
        </w:rPr>
        <w:t xml:space="preserve"> No. de horas laboradas</w:t>
      </w:r>
      <w:r w:rsidRPr="007E2D31">
        <w:rPr>
          <w:rFonts w:ascii="Palatino Linotype" w:eastAsia="Palatino Linotype" w:hAnsi="Palatino Linotype" w:cs="Palatino Linotype"/>
          <w:sz w:val="22"/>
          <w:szCs w:val="22"/>
          <w:u w:val="single"/>
        </w:rPr>
        <w:t xml:space="preserve">, </w:t>
      </w:r>
      <w:r w:rsidRPr="007E2D31">
        <w:rPr>
          <w:rFonts w:ascii="Palatino Linotype" w:eastAsia="Palatino Linotype" w:hAnsi="Palatino Linotype" w:cs="Palatino Linotype"/>
          <w:b/>
          <w:bCs/>
          <w:sz w:val="22"/>
          <w:szCs w:val="22"/>
          <w:u w:val="single"/>
        </w:rPr>
        <w:t>Adscripción,</w:t>
      </w:r>
      <w:r w:rsidRPr="007E2D31">
        <w:rPr>
          <w:rFonts w:ascii="Palatino Linotype" w:eastAsia="Palatino Linotype" w:hAnsi="Palatino Linotype" w:cs="Palatino Linotype"/>
          <w:sz w:val="22"/>
          <w:szCs w:val="22"/>
          <w:u w:val="single"/>
        </w:rPr>
        <w:t xml:space="preserve"> </w:t>
      </w:r>
      <w:r w:rsidRPr="007E2D31">
        <w:rPr>
          <w:rFonts w:ascii="Palatino Linotype" w:eastAsia="Palatino Linotype" w:hAnsi="Palatino Linotype" w:cs="Palatino Linotype"/>
          <w:b/>
          <w:bCs/>
          <w:sz w:val="22"/>
          <w:szCs w:val="22"/>
          <w:u w:val="single"/>
        </w:rPr>
        <w:t>Categoría: Confianza, Sindicalizado o Eventual</w:t>
      </w: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sz w:val="22"/>
          <w:szCs w:val="22"/>
        </w:rPr>
        <w:t>Percepciones ordinarias</w:t>
      </w:r>
      <w:r w:rsidRPr="007E2D31">
        <w:rPr>
          <w:rFonts w:ascii="Palatino Linotype" w:eastAsia="Palatino Linotype" w:hAnsi="Palatino Linotype" w:cs="Palatino Linotype"/>
          <w:sz w:val="22"/>
          <w:szCs w:val="22"/>
        </w:rPr>
        <w:t xml:space="preserve"> (de acuerdo al tabulador), </w:t>
      </w:r>
      <w:r w:rsidRPr="007E2D31">
        <w:rPr>
          <w:rFonts w:ascii="Palatino Linotype" w:eastAsia="Palatino Linotype" w:hAnsi="Palatino Linotype" w:cs="Palatino Linotype"/>
          <w:b/>
          <w:bCs/>
          <w:sz w:val="22"/>
          <w:szCs w:val="22"/>
        </w:rPr>
        <w:t>Percepciones extraordinarias</w:t>
      </w: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sz w:val="22"/>
          <w:szCs w:val="22"/>
          <w:u w:val="single"/>
        </w:rPr>
        <w:t>Total de percepciones brutas</w:t>
      </w:r>
      <w:r w:rsidRPr="007E2D31">
        <w:rPr>
          <w:rFonts w:ascii="Palatino Linotype" w:eastAsia="Palatino Linotype" w:hAnsi="Palatino Linotype" w:cs="Palatino Linotype"/>
          <w:b/>
          <w:bCs/>
          <w:sz w:val="22"/>
          <w:szCs w:val="22"/>
        </w:rPr>
        <w:t xml:space="preserve">; Deducciones; Total de deducciones, </w:t>
      </w:r>
      <w:r w:rsidRPr="007E2D31">
        <w:rPr>
          <w:rFonts w:ascii="Palatino Linotype" w:eastAsia="Palatino Linotype" w:hAnsi="Palatino Linotype" w:cs="Palatino Linotype"/>
          <w:b/>
          <w:bCs/>
          <w:sz w:val="22"/>
          <w:szCs w:val="22"/>
          <w:u w:val="single"/>
        </w:rPr>
        <w:t>Total neto</w:t>
      </w:r>
      <w:r w:rsidRPr="007E2D31">
        <w:rPr>
          <w:rFonts w:ascii="Palatino Linotype" w:eastAsia="Palatino Linotype" w:hAnsi="Palatino Linotype" w:cs="Palatino Linotype"/>
          <w:sz w:val="22"/>
          <w:szCs w:val="22"/>
          <w:u w:val="single"/>
        </w:rPr>
        <w:t>,</w:t>
      </w:r>
      <w:r w:rsidRPr="007E2D31">
        <w:rPr>
          <w:rFonts w:ascii="Palatino Linotype" w:eastAsia="Palatino Linotype" w:hAnsi="Palatino Linotype" w:cs="Palatino Linotype"/>
          <w:sz w:val="22"/>
          <w:szCs w:val="22"/>
        </w:rPr>
        <w:t xml:space="preserve"> Días pagados, Nombre de la fuente de financiamiento, Póliza, y Medio de pago.</w:t>
      </w:r>
    </w:p>
    <w:p w14:paraId="6CB7EC6E"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8" w:name="_heading=h.4xb7pa5jnpec" w:colFirst="0" w:colLast="0"/>
      <w:bookmarkEnd w:id="8"/>
      <w:r w:rsidRPr="007E2D31">
        <w:rPr>
          <w:rFonts w:ascii="Palatino Linotype" w:eastAsia="Palatino Linotype" w:hAnsi="Palatino Linotype" w:cs="Palatino Linotype"/>
          <w:sz w:val="22"/>
          <w:szCs w:val="22"/>
        </w:rPr>
        <w:t xml:space="preserve">En este orden de ideas, se estima que para tener por satisfecho el Derecho de acceso,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previa búsqueda exhaustiva y razonable en los archivos de las áreas competentes, deberá hacer entrega del o los documentos que den cuenta de lo solicitado, esto es de la relación del personal adscrito a la presidencia municipal a partir del uno de enero al veinte de junio de dos mil veinticinco, que contenga el nombre completo de cada servidor público, puesto, nivel tabular o clave presupuestal, percepciones brutas y netas, la fecha de ingreso y el tipo de contratación, pudiendo ser, de manera enunciativa, más no limitativa, la conculcación de la nómina,  así como el o los documentos que den cuenta de las funciones específicas asignadas a cada servidor público en funciones al veinte de junio de dos mil veinticinco, en versión pública de ser procedente de conformidad con el considerando siguiente.</w:t>
      </w:r>
    </w:p>
    <w:p w14:paraId="66F61BEA" w14:textId="77777777" w:rsidR="000524F1" w:rsidRPr="007E2D31" w:rsidRDefault="00AF3B29">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De lo hasta aquí expuesto, se concluye que los motivos de inconformidad de la parte </w:t>
      </w:r>
      <w:r w:rsidRPr="007E2D31">
        <w:rPr>
          <w:rFonts w:ascii="Palatino Linotype" w:eastAsia="Palatino Linotype" w:hAnsi="Palatino Linotype" w:cs="Palatino Linotype"/>
          <w:b/>
          <w:bCs/>
          <w:sz w:val="22"/>
          <w:szCs w:val="22"/>
        </w:rPr>
        <w:t xml:space="preserve">Recurrente </w:t>
      </w:r>
      <w:r w:rsidRPr="007E2D31">
        <w:rPr>
          <w:rFonts w:ascii="Palatino Linotype" w:eastAsia="Palatino Linotype" w:hAnsi="Palatino Linotype" w:cs="Palatino Linotype"/>
          <w:sz w:val="22"/>
          <w:szCs w:val="22"/>
        </w:rPr>
        <w:t xml:space="preserve">devienen fundados, siendo procedente </w:t>
      </w:r>
      <w:r w:rsidRPr="007E2D31">
        <w:rPr>
          <w:rFonts w:ascii="Palatino Linotype" w:eastAsia="Palatino Linotype" w:hAnsi="Palatino Linotype" w:cs="Palatino Linotype"/>
          <w:i/>
          <w:iCs/>
          <w:sz w:val="22"/>
          <w:szCs w:val="22"/>
        </w:rPr>
        <w:t xml:space="preserve">Revocar </w:t>
      </w:r>
      <w:r w:rsidRPr="007E2D31">
        <w:rPr>
          <w:rFonts w:ascii="Palatino Linotype" w:eastAsia="Palatino Linotype" w:hAnsi="Palatino Linotype" w:cs="Palatino Linotype"/>
          <w:sz w:val="22"/>
          <w:szCs w:val="22"/>
        </w:rPr>
        <w:t xml:space="preserve">la respuesta proporcionada por el </w:t>
      </w:r>
      <w:r w:rsidRPr="007E2D31">
        <w:rPr>
          <w:rFonts w:ascii="Palatino Linotype" w:eastAsia="Palatino Linotype" w:hAnsi="Palatino Linotype" w:cs="Palatino Linotype"/>
          <w:b/>
          <w:bCs/>
          <w:sz w:val="22"/>
          <w:szCs w:val="22"/>
        </w:rPr>
        <w:t xml:space="preserve">Sujeto Obligado </w:t>
      </w:r>
      <w:r w:rsidRPr="007E2D31">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A99C5D7" w14:textId="77777777" w:rsidR="000524F1" w:rsidRPr="007E2D31" w:rsidRDefault="00AF3B29">
      <w:pPr>
        <w:spacing w:before="240" w:after="240" w:line="360" w:lineRule="auto"/>
        <w:ind w:right="51"/>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t xml:space="preserve">Quinto. Versión Pública. </w:t>
      </w:r>
      <w:r w:rsidRPr="007E2D31">
        <w:rPr>
          <w:rFonts w:ascii="Palatino Linotype" w:eastAsia="Palatino Linotype" w:hAnsi="Palatino Linotype" w:cs="Palatino Linotype"/>
          <w:sz w:val="22"/>
          <w:szCs w:val="22"/>
        </w:rPr>
        <w:t>Cómo fue debidamente apuntado,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84776D0"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8A5DBC1"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DEC8549" w14:textId="77777777" w:rsidR="000524F1" w:rsidRPr="007E2D31" w:rsidRDefault="00AF3B29">
      <w:pPr>
        <w:spacing w:before="240" w:after="240" w:line="360" w:lineRule="auto"/>
        <w:ind w:right="49"/>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45C1F2E6"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sz w:val="22"/>
          <w:szCs w:val="22"/>
        </w:rPr>
        <w:t> </w:t>
      </w: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Artículo 3.</w:t>
      </w:r>
      <w:r w:rsidRPr="007E2D31">
        <w:rPr>
          <w:rFonts w:ascii="Palatino Linotype" w:eastAsia="Palatino Linotype" w:hAnsi="Palatino Linotype" w:cs="Palatino Linotype"/>
          <w:i/>
          <w:iCs/>
          <w:sz w:val="22"/>
          <w:szCs w:val="22"/>
        </w:rPr>
        <w:t xml:space="preserve"> Para los efectos de la presente Ley se entenderá por:</w:t>
      </w:r>
    </w:p>
    <w:p w14:paraId="3C902FEE"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p>
    <w:p w14:paraId="028B9727"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IX. Datos personales</w:t>
      </w:r>
      <w:r w:rsidRPr="007E2D31">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403276E7"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p>
    <w:p w14:paraId="6B085D8D"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XX. Información clasificada</w:t>
      </w:r>
      <w:r w:rsidRPr="007E2D31">
        <w:rPr>
          <w:rFonts w:ascii="Palatino Linotype" w:eastAsia="Palatino Linotype" w:hAnsi="Palatino Linotype" w:cs="Palatino Linotype"/>
          <w:i/>
          <w:iCs/>
          <w:sz w:val="22"/>
          <w:szCs w:val="22"/>
        </w:rPr>
        <w:t>: Aquella considerada por la presente Ley como reservada o confidencial;</w:t>
      </w:r>
    </w:p>
    <w:p w14:paraId="3AF9CEB4"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XXI. Información confidencial</w:t>
      </w:r>
      <w:r w:rsidRPr="007E2D31">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C7B9933"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p>
    <w:p w14:paraId="4CB0E9C8"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XXXII. Protección de Datos Personales</w:t>
      </w:r>
      <w:r w:rsidRPr="007E2D31">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3A057699"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p>
    <w:p w14:paraId="7EA3965B" w14:textId="77777777" w:rsidR="000524F1" w:rsidRPr="007E2D31" w:rsidRDefault="00AF3B29">
      <w:pPr>
        <w:tabs>
          <w:tab w:val="left" w:pos="1276"/>
        </w:tabs>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XLV. Versión pública</w:t>
      </w:r>
      <w:r w:rsidRPr="007E2D31">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64CC2BE6"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Artículo 6</w:t>
      </w:r>
      <w:r w:rsidRPr="007E2D31">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7BD06BA"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p>
    <w:p w14:paraId="79B7BDD2"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Artículo 91.</w:t>
      </w:r>
      <w:r w:rsidRPr="007E2D31">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7E2D31">
        <w:rPr>
          <w:rFonts w:ascii="Palatino Linotype" w:eastAsia="Palatino Linotype" w:hAnsi="Palatino Linotype" w:cs="Palatino Linotype"/>
          <w:i/>
          <w:iCs/>
          <w:sz w:val="22"/>
          <w:szCs w:val="22"/>
        </w:rPr>
        <w:br/>
        <w:t>…</w:t>
      </w:r>
    </w:p>
    <w:p w14:paraId="18FA2098"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Artículo 132.</w:t>
      </w:r>
      <w:r w:rsidRPr="007E2D31">
        <w:rPr>
          <w:rFonts w:ascii="Palatino Linotype" w:eastAsia="Palatino Linotype" w:hAnsi="Palatino Linotype" w:cs="Palatino Linotype"/>
          <w:i/>
          <w:iCs/>
          <w:sz w:val="22"/>
          <w:szCs w:val="22"/>
        </w:rPr>
        <w:t xml:space="preserve"> La clasificación de la información se llevará a cabo en el momento en que:</w:t>
      </w:r>
    </w:p>
    <w:p w14:paraId="4EC13212"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w:t>
      </w:r>
      <w:r w:rsidRPr="007E2D31">
        <w:rPr>
          <w:rFonts w:ascii="Palatino Linotype" w:eastAsia="Palatino Linotype" w:hAnsi="Palatino Linotype" w:cs="Palatino Linotype"/>
          <w:i/>
          <w:iCs/>
          <w:sz w:val="22"/>
          <w:szCs w:val="22"/>
        </w:rPr>
        <w:t>. Se reciba una solicitud de acceso a la información;</w:t>
      </w:r>
    </w:p>
    <w:p w14:paraId="64AAC7FC"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w:t>
      </w:r>
      <w:r w:rsidRPr="007E2D31">
        <w:rPr>
          <w:rFonts w:ascii="Palatino Linotype" w:eastAsia="Palatino Linotype" w:hAnsi="Palatino Linotype" w:cs="Palatino Linotype"/>
          <w:i/>
          <w:iCs/>
          <w:sz w:val="22"/>
          <w:szCs w:val="22"/>
        </w:rPr>
        <w:t xml:space="preserve"> Se determine mediante resolución de autoridad competente; o</w:t>
      </w:r>
    </w:p>
    <w:p w14:paraId="06C6FA86"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III.</w:t>
      </w:r>
      <w:r w:rsidRPr="007E2D31">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1A859058"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w:t>
      </w:r>
    </w:p>
    <w:p w14:paraId="10FF3326"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Artículo 137.</w:t>
      </w:r>
      <w:r w:rsidRPr="007E2D31">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959EE9B"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Artículo 143.</w:t>
      </w:r>
      <w:r w:rsidRPr="007E2D31">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7A2373D1" w14:textId="77777777" w:rsidR="000524F1" w:rsidRPr="007E2D31" w:rsidRDefault="00AF3B29">
      <w:pPr>
        <w:spacing w:before="120" w:after="120"/>
        <w:ind w:left="1134"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w:t>
      </w:r>
      <w:r w:rsidRPr="007E2D31">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D1F0C04" w14:textId="77777777" w:rsidR="000524F1" w:rsidRPr="007E2D31" w:rsidRDefault="00AF3B29">
      <w:pPr>
        <w:spacing w:before="240" w:after="240" w:line="360" w:lineRule="auto"/>
        <w:ind w:right="5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6B1CCF4A" w14:textId="77777777" w:rsidR="000524F1" w:rsidRPr="007E2D31" w:rsidRDefault="00AF3B29">
      <w:pPr>
        <w:spacing w:before="240" w:after="240" w:line="360" w:lineRule="auto"/>
        <w:ind w:right="5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B4941EB"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E2D31">
        <w:rPr>
          <w:rFonts w:ascii="Palatino Linotype" w:eastAsia="Palatino Linotype" w:hAnsi="Palatino Linotype" w:cs="Palatino Linotype"/>
          <w:b/>
          <w:bCs/>
          <w:sz w:val="22"/>
          <w:szCs w:val="22"/>
        </w:rPr>
        <w:t>Registro Federal de Contribuyentes</w:t>
      </w:r>
      <w:r w:rsidRPr="007E2D31">
        <w:rPr>
          <w:rFonts w:ascii="Palatino Linotype" w:eastAsia="Palatino Linotype" w:hAnsi="Palatino Linotype" w:cs="Palatino Linotype"/>
          <w:sz w:val="22"/>
          <w:szCs w:val="22"/>
        </w:rPr>
        <w:t xml:space="preserve"> (RFC), la </w:t>
      </w:r>
      <w:r w:rsidRPr="007E2D31">
        <w:rPr>
          <w:rFonts w:ascii="Palatino Linotype" w:eastAsia="Palatino Linotype" w:hAnsi="Palatino Linotype" w:cs="Palatino Linotype"/>
          <w:b/>
          <w:bCs/>
          <w:sz w:val="22"/>
          <w:szCs w:val="22"/>
        </w:rPr>
        <w:t>Clave Única de Registro de Población</w:t>
      </w:r>
      <w:r w:rsidRPr="007E2D31">
        <w:rPr>
          <w:rFonts w:ascii="Palatino Linotype" w:eastAsia="Palatino Linotype" w:hAnsi="Palatino Linotype" w:cs="Palatino Linotype"/>
          <w:sz w:val="22"/>
          <w:szCs w:val="22"/>
        </w:rPr>
        <w:t xml:space="preserve"> (CURP), la </w:t>
      </w:r>
      <w:r w:rsidRPr="007E2D31">
        <w:rPr>
          <w:rFonts w:ascii="Palatino Linotype" w:eastAsia="Palatino Linotype" w:hAnsi="Palatino Linotype" w:cs="Palatino Linotype"/>
          <w:b/>
          <w:bCs/>
          <w:sz w:val="22"/>
          <w:szCs w:val="22"/>
        </w:rPr>
        <w:t>Clave de cualquier tipo de seguridad social</w:t>
      </w:r>
      <w:r w:rsidRPr="007E2D31">
        <w:rPr>
          <w:rFonts w:ascii="Palatino Linotype" w:eastAsia="Palatino Linotype" w:hAnsi="Palatino Linotype" w:cs="Palatino Linotype"/>
          <w:sz w:val="22"/>
          <w:szCs w:val="22"/>
        </w:rPr>
        <w:t xml:space="preserve"> (ISSEMYM, u otros), los </w:t>
      </w:r>
      <w:r w:rsidRPr="007E2D31">
        <w:rPr>
          <w:rFonts w:ascii="Palatino Linotype" w:eastAsia="Palatino Linotype" w:hAnsi="Palatino Linotype" w:cs="Palatino Linotype"/>
          <w:b/>
          <w:bCs/>
          <w:sz w:val="22"/>
          <w:szCs w:val="22"/>
        </w:rPr>
        <w:t>números de cuentas bancarias</w:t>
      </w:r>
      <w:r w:rsidRPr="007E2D31">
        <w:rPr>
          <w:rFonts w:ascii="Palatino Linotype" w:eastAsia="Palatino Linotype" w:hAnsi="Palatino Linotype" w:cs="Palatino Linotype"/>
          <w:sz w:val="22"/>
          <w:szCs w:val="22"/>
        </w:rPr>
        <w:t xml:space="preserve">, claves estandarizadas – interbancarias - (CLABES) y de tarjetas, los </w:t>
      </w:r>
      <w:r w:rsidRPr="007E2D31">
        <w:rPr>
          <w:rFonts w:ascii="Palatino Linotype" w:eastAsia="Palatino Linotype" w:hAnsi="Palatino Linotype" w:cs="Palatino Linotype"/>
          <w:b/>
          <w:bCs/>
          <w:sz w:val="22"/>
          <w:szCs w:val="22"/>
        </w:rPr>
        <w:t>préstamos o descuentos</w:t>
      </w:r>
      <w:r w:rsidRPr="007E2D31">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7E2D31">
        <w:rPr>
          <w:rFonts w:ascii="Palatino Linotype" w:eastAsia="Palatino Linotype" w:hAnsi="Palatino Linotype" w:cs="Palatino Linotype"/>
          <w:b/>
          <w:bCs/>
          <w:sz w:val="22"/>
          <w:szCs w:val="22"/>
        </w:rPr>
        <w:t xml:space="preserve"> número de empleado, </w:t>
      </w:r>
      <w:r w:rsidRPr="007E2D31">
        <w:rPr>
          <w:rFonts w:ascii="Palatino Linotype" w:eastAsia="Palatino Linotype" w:hAnsi="Palatino Linotype" w:cs="Palatino Linotype"/>
          <w:sz w:val="22"/>
          <w:szCs w:val="22"/>
        </w:rPr>
        <w:t>y cualquier información de carácter fiscal.</w:t>
      </w:r>
    </w:p>
    <w:p w14:paraId="5472ADE9" w14:textId="77777777" w:rsidR="000524F1" w:rsidRPr="007E2D31" w:rsidRDefault="00AF3B29">
      <w:pPr>
        <w:spacing w:before="240" w:after="240" w:line="360" w:lineRule="auto"/>
        <w:ind w:right="5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E869FCE"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Por cuanto hace al </w:t>
      </w:r>
      <w:r w:rsidRPr="007E2D31">
        <w:rPr>
          <w:rFonts w:ascii="Palatino Linotype" w:eastAsia="Palatino Linotype" w:hAnsi="Palatino Linotype" w:cs="Palatino Linotype"/>
          <w:b/>
          <w:bCs/>
          <w:sz w:val="22"/>
          <w:szCs w:val="22"/>
        </w:rPr>
        <w:t>Registro Federal de Contribuyentes, RFC,</w:t>
      </w:r>
      <w:r w:rsidRPr="007E2D31">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1DAD8BB6"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5D591D8"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Lo anterior se apoya del criterio orientador con clave de control SO/019/2017, emitido por el entonces Instituto Nacional de Transparencia, Acceso a la Información y Protección de Datos Personales, INAI, el cual es del tenor literal siguiente:</w:t>
      </w:r>
    </w:p>
    <w:p w14:paraId="0D48E550"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xml:space="preserve"> “Registro Federal de Contribuyentes (RFC) de personas físicas</w:t>
      </w:r>
      <w:r w:rsidRPr="007E2D31">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4091D95F"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64CEAE7"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De igual manera la </w:t>
      </w:r>
      <w:r w:rsidRPr="007E2D31">
        <w:rPr>
          <w:rFonts w:ascii="Palatino Linotype" w:eastAsia="Palatino Linotype" w:hAnsi="Palatino Linotype" w:cs="Palatino Linotype"/>
          <w:b/>
          <w:bCs/>
          <w:sz w:val="22"/>
          <w:szCs w:val="22"/>
        </w:rPr>
        <w:t>Clave Única de Registro de Población</w:t>
      </w: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sz w:val="22"/>
          <w:szCs w:val="22"/>
        </w:rPr>
        <w:t>CURP,</w:t>
      </w:r>
      <w:r w:rsidRPr="007E2D31">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FDC6E25"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Argumento que se apoya del criterio orientador con Clave de control SO/018/2017, emitido por el entonces Instituto Nacional de Transparencia, Acceso a la Información y Protección de Datos Personales, INAI, el cual refiere:</w:t>
      </w:r>
    </w:p>
    <w:p w14:paraId="067A4D33"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xml:space="preserve"> “Clave Única de Registro de Población (CURP). </w:t>
      </w:r>
      <w:r w:rsidRPr="007E2D31">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CF04325"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Por lo que respecta a la </w:t>
      </w:r>
      <w:r w:rsidRPr="007E2D31">
        <w:rPr>
          <w:rFonts w:ascii="Palatino Linotype" w:eastAsia="Palatino Linotype" w:hAnsi="Palatino Linotype" w:cs="Palatino Linotype"/>
          <w:b/>
          <w:bCs/>
          <w:sz w:val="22"/>
          <w:szCs w:val="22"/>
        </w:rPr>
        <w:t>clave de seguridad social</w:t>
      </w:r>
      <w:r w:rsidRPr="007E2D31">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484C9CF6"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Respecto de los </w:t>
      </w:r>
      <w:r w:rsidRPr="007E2D31">
        <w:rPr>
          <w:rFonts w:ascii="Palatino Linotype" w:eastAsia="Palatino Linotype" w:hAnsi="Palatino Linotype" w:cs="Palatino Linotype"/>
          <w:b/>
          <w:bCs/>
          <w:sz w:val="22"/>
          <w:szCs w:val="22"/>
        </w:rPr>
        <w:t>números de cuentas bancari</w:t>
      </w:r>
      <w:r w:rsidRPr="007E2D31">
        <w:rPr>
          <w:rFonts w:ascii="Palatino Linotype" w:eastAsia="Palatino Linotype" w:hAnsi="Palatino Linotype" w:cs="Palatino Linotype"/>
          <w:sz w:val="22"/>
          <w:szCs w:val="22"/>
        </w:rPr>
        <w:t xml:space="preserve">as, </w:t>
      </w:r>
      <w:r w:rsidRPr="007E2D31">
        <w:rPr>
          <w:rFonts w:ascii="Palatino Linotype" w:eastAsia="Palatino Linotype" w:hAnsi="Palatino Linotype" w:cs="Palatino Linotype"/>
          <w:b/>
          <w:bCs/>
          <w:sz w:val="22"/>
          <w:szCs w:val="22"/>
        </w:rPr>
        <w:t>claves estandarizadas –interbancarias- (CLABES) y de tarjetas</w:t>
      </w:r>
      <w:r w:rsidRPr="007E2D31">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3E2E5DE3"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3D4A31C"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5F823440"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211B553E"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30A1E4C5"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4DD22AB7"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Cuentas bancarias y/o CLABE interbancaria de personas físicas y morales privadas.</w:t>
      </w:r>
      <w:r w:rsidRPr="007E2D31">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2BD7D75"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7E2D31">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0A82B637"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9" w:name="_heading=h.35nkun2" w:colFirst="0" w:colLast="0"/>
      <w:bookmarkEnd w:id="9"/>
      <w:r w:rsidRPr="007E2D31">
        <w:rPr>
          <w:rFonts w:ascii="Palatino Linotype" w:eastAsia="Palatino Linotype" w:hAnsi="Palatino Linotype" w:cs="Palatino Linotype"/>
          <w:sz w:val="22"/>
          <w:szCs w:val="22"/>
        </w:rPr>
        <w:t xml:space="preserve">Por cuanto hace a los </w:t>
      </w:r>
      <w:r w:rsidRPr="007E2D31">
        <w:rPr>
          <w:rFonts w:ascii="Palatino Linotype" w:eastAsia="Palatino Linotype" w:hAnsi="Palatino Linotype" w:cs="Palatino Linotype"/>
          <w:b/>
          <w:bCs/>
          <w:sz w:val="22"/>
          <w:szCs w:val="22"/>
        </w:rPr>
        <w:t>préstamos o descuentos de carácter personal</w:t>
      </w:r>
      <w:r w:rsidRPr="007E2D31">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5395251C"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1BBD87CE" w14:textId="77777777" w:rsidR="000524F1" w:rsidRPr="007E2D31" w:rsidRDefault="00AF3B29">
      <w:pPr>
        <w:spacing w:before="120" w:after="120"/>
        <w:ind w:left="851" w:right="902"/>
        <w:jc w:val="both"/>
        <w:rPr>
          <w:rFonts w:ascii="Palatino Linotype" w:eastAsia="Palatino Linotype" w:hAnsi="Palatino Linotype" w:cs="Palatino Linotype"/>
          <w:b/>
          <w:bCs/>
          <w:i/>
          <w:iCs/>
          <w:sz w:val="22"/>
          <w:szCs w:val="22"/>
        </w:rPr>
      </w:pPr>
      <w:bookmarkStart w:id="10" w:name="_heading=h.1ksv4uv" w:colFirst="0" w:colLast="0"/>
      <w:bookmarkEnd w:id="10"/>
      <w:r w:rsidRPr="007E2D31">
        <w:rPr>
          <w:rFonts w:ascii="Palatino Linotype" w:eastAsia="Palatino Linotype" w:hAnsi="Palatino Linotype" w:cs="Palatino Linotype"/>
          <w:b/>
          <w:bCs/>
          <w:i/>
          <w:iCs/>
          <w:sz w:val="22"/>
          <w:szCs w:val="22"/>
        </w:rPr>
        <w:t xml:space="preserve">“ARTÍCULO 84. </w:t>
      </w:r>
      <w:r w:rsidRPr="007E2D31">
        <w:rPr>
          <w:rFonts w:ascii="Palatino Linotype" w:eastAsia="Palatino Linotype" w:hAnsi="Palatino Linotype" w:cs="Palatino Linotype"/>
          <w:i/>
          <w:iCs/>
          <w:sz w:val="22"/>
          <w:szCs w:val="22"/>
        </w:rPr>
        <w:t>Sólo podrán hacerse retenciones, descuentos o deducciones al sueldo de los servidores públicos por concepto de:</w:t>
      </w:r>
    </w:p>
    <w:p w14:paraId="510F9B23"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w:t>
      </w:r>
      <w:r w:rsidRPr="007E2D31">
        <w:rPr>
          <w:rFonts w:ascii="Palatino Linotype" w:eastAsia="Palatino Linotype" w:hAnsi="Palatino Linotype" w:cs="Palatino Linotype"/>
          <w:i/>
          <w:iCs/>
          <w:sz w:val="22"/>
          <w:szCs w:val="22"/>
        </w:rPr>
        <w:t xml:space="preserve"> Gravámenes fiscales relacionados con el sueldo;</w:t>
      </w:r>
    </w:p>
    <w:p w14:paraId="5EBF7B7C"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w:t>
      </w:r>
      <w:r w:rsidRPr="007E2D31">
        <w:rPr>
          <w:rFonts w:ascii="Palatino Linotype" w:eastAsia="Palatino Linotype" w:hAnsi="Palatino Linotype" w:cs="Palatino Linotype"/>
          <w:i/>
          <w:iCs/>
          <w:sz w:val="22"/>
          <w:szCs w:val="22"/>
        </w:rPr>
        <w:t xml:space="preserve"> Deudas contraídas con las instituciones públicas o dependencias por concepto de anticipos de sueldo, pagos hechos con exceso, errores o pérdidas debidamente comprobados;</w:t>
      </w:r>
    </w:p>
    <w:p w14:paraId="72F121DB"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III.</w:t>
      </w:r>
      <w:r w:rsidRPr="007E2D31">
        <w:rPr>
          <w:rFonts w:ascii="Palatino Linotype" w:eastAsia="Palatino Linotype" w:hAnsi="Palatino Linotype" w:cs="Palatino Linotype"/>
          <w:i/>
          <w:iCs/>
          <w:sz w:val="22"/>
          <w:szCs w:val="22"/>
        </w:rPr>
        <w:t xml:space="preserve"> </w:t>
      </w:r>
      <w:r w:rsidRPr="007E2D31">
        <w:rPr>
          <w:rFonts w:ascii="Palatino Linotype" w:eastAsia="Palatino Linotype" w:hAnsi="Palatino Linotype" w:cs="Palatino Linotype"/>
          <w:b/>
          <w:bCs/>
          <w:i/>
          <w:iCs/>
          <w:sz w:val="22"/>
          <w:szCs w:val="22"/>
        </w:rPr>
        <w:t>Cuotas sindicales</w:t>
      </w:r>
      <w:r w:rsidRPr="007E2D31">
        <w:rPr>
          <w:rFonts w:ascii="Palatino Linotype" w:eastAsia="Palatino Linotype" w:hAnsi="Palatino Linotype" w:cs="Palatino Linotype"/>
          <w:i/>
          <w:iCs/>
          <w:sz w:val="22"/>
          <w:szCs w:val="22"/>
        </w:rPr>
        <w:t>;</w:t>
      </w:r>
    </w:p>
    <w:p w14:paraId="27ACB849"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IV.</w:t>
      </w:r>
      <w:r w:rsidRPr="007E2D31">
        <w:rPr>
          <w:rFonts w:ascii="Palatino Linotype" w:eastAsia="Palatino Linotype" w:hAnsi="Palatino Linotype" w:cs="Palatino Linotype"/>
          <w:i/>
          <w:iCs/>
          <w:sz w:val="22"/>
          <w:szCs w:val="22"/>
        </w:rPr>
        <w:t xml:space="preserve"> Cuotas de aportación a fondos para la constitución de cooperativas y de cajas de ahorro, siempre que el servidor público hubiese manifestado previamente, de manera expresa, su conformidad;</w:t>
      </w:r>
    </w:p>
    <w:p w14:paraId="28268763"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w:t>
      </w:r>
      <w:r w:rsidRPr="007E2D31">
        <w:rPr>
          <w:rFonts w:ascii="Palatino Linotype" w:eastAsia="Palatino Linotype" w:hAnsi="Palatino Linotype" w:cs="Palatino Linotype"/>
          <w:i/>
          <w:iCs/>
          <w:sz w:val="22"/>
          <w:szCs w:val="22"/>
        </w:rPr>
        <w:t xml:space="preserve"> Descuentos ordenados por el Instituto de Seguridad Social del Estado de México y Municipios, con motivo de cuotas y obligaciones contraídas con éste por los servidores públicos;</w:t>
      </w:r>
    </w:p>
    <w:p w14:paraId="6924A3A6"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VI.</w:t>
      </w:r>
      <w:r w:rsidRPr="007E2D31">
        <w:rPr>
          <w:rFonts w:ascii="Palatino Linotype" w:eastAsia="Palatino Linotype" w:hAnsi="Palatino Linotype" w:cs="Palatino Linotype"/>
          <w:i/>
          <w:iCs/>
          <w:sz w:val="22"/>
          <w:szCs w:val="22"/>
        </w:rPr>
        <w:t xml:space="preserve"> Obligaciones a cargo del servidor público con las que haya consentido, derivadas de la adquisición o del uso de habitaciones consideradas como de interés social;</w:t>
      </w:r>
    </w:p>
    <w:p w14:paraId="3DA70A78"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VII.</w:t>
      </w:r>
      <w:r w:rsidRPr="007E2D31">
        <w:rPr>
          <w:rFonts w:ascii="Palatino Linotype" w:eastAsia="Palatino Linotype" w:hAnsi="Palatino Linotype" w:cs="Palatino Linotype"/>
          <w:i/>
          <w:iCs/>
          <w:sz w:val="22"/>
          <w:szCs w:val="22"/>
        </w:rPr>
        <w:t xml:space="preserve"> Faltas de puntualidad o de asistencia injustificadas;</w:t>
      </w:r>
    </w:p>
    <w:p w14:paraId="4C497E67"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VIII. Pensiones alimenticias ordenadas por la autoridad judicial;</w:t>
      </w:r>
      <w:r w:rsidRPr="007E2D31">
        <w:rPr>
          <w:rFonts w:ascii="Palatino Linotype" w:eastAsia="Palatino Linotype" w:hAnsi="Palatino Linotype" w:cs="Palatino Linotype"/>
          <w:i/>
          <w:iCs/>
          <w:sz w:val="22"/>
          <w:szCs w:val="22"/>
        </w:rPr>
        <w:t xml:space="preserve"> o</w:t>
      </w:r>
    </w:p>
    <w:p w14:paraId="3A8302F8" w14:textId="77777777" w:rsidR="000524F1" w:rsidRPr="007E2D31" w:rsidRDefault="00AF3B29">
      <w:pPr>
        <w:spacing w:before="120" w:after="120"/>
        <w:ind w:left="851" w:right="902"/>
        <w:jc w:val="both"/>
        <w:rPr>
          <w:rFonts w:ascii="Palatino Linotype" w:eastAsia="Palatino Linotype" w:hAnsi="Palatino Linotype" w:cs="Palatino Linotype"/>
          <w:b/>
          <w:bCs/>
          <w:i/>
          <w:iCs/>
          <w:sz w:val="22"/>
          <w:szCs w:val="22"/>
        </w:rPr>
      </w:pPr>
      <w:r w:rsidRPr="007E2D31">
        <w:rPr>
          <w:rFonts w:ascii="Palatino Linotype" w:eastAsia="Palatino Linotype" w:hAnsi="Palatino Linotype" w:cs="Palatino Linotype"/>
          <w:b/>
          <w:bCs/>
          <w:i/>
          <w:iCs/>
          <w:sz w:val="22"/>
          <w:szCs w:val="22"/>
        </w:rPr>
        <w:t>IX. Cualquier otro convenido con instituciones de servicios y aceptado por el servidor público.</w:t>
      </w:r>
    </w:p>
    <w:p w14:paraId="4F15BDDB"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0216BA1"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6D2AB6A2"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De este modo, los </w:t>
      </w:r>
      <w:r w:rsidRPr="007E2D31">
        <w:rPr>
          <w:rFonts w:ascii="Palatino Linotype" w:eastAsia="Palatino Linotype" w:hAnsi="Palatino Linotype" w:cs="Palatino Linotype"/>
          <w:b/>
          <w:bCs/>
          <w:sz w:val="22"/>
          <w:szCs w:val="22"/>
        </w:rPr>
        <w:t>descuentos o deducciones por cuotas sindicales</w:t>
      </w: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sz w:val="22"/>
          <w:szCs w:val="22"/>
        </w:rPr>
        <w:t>pensiones alimenticias</w:t>
      </w:r>
      <w:r w:rsidRPr="007E2D31">
        <w:rPr>
          <w:rFonts w:ascii="Palatino Linotype" w:eastAsia="Palatino Linotype" w:hAnsi="Palatino Linotype" w:cs="Palatino Linotype"/>
          <w:sz w:val="22"/>
          <w:szCs w:val="22"/>
        </w:rPr>
        <w:t xml:space="preserve"> o </w:t>
      </w:r>
      <w:r w:rsidRPr="007E2D31">
        <w:rPr>
          <w:rFonts w:ascii="Palatino Linotype" w:eastAsia="Palatino Linotype" w:hAnsi="Palatino Linotype" w:cs="Palatino Linotype"/>
          <w:b/>
          <w:bCs/>
          <w:sz w:val="22"/>
          <w:szCs w:val="22"/>
        </w:rPr>
        <w:t>créditos adquiridos con instituciones privadas</w:t>
      </w:r>
      <w:r w:rsidRPr="007E2D31">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7E2D31">
        <w:rPr>
          <w:rFonts w:ascii="Palatino Linotype" w:eastAsia="Palatino Linotype" w:hAnsi="Palatino Linotype" w:cs="Palatino Linotype"/>
          <w:b/>
          <w:bCs/>
          <w:sz w:val="22"/>
          <w:szCs w:val="22"/>
        </w:rPr>
        <w:t>es información que no es de carácter público, sino que constituye información confidencial</w:t>
      </w:r>
      <w:r w:rsidRPr="007E2D31">
        <w:rPr>
          <w:rFonts w:ascii="Palatino Linotype" w:eastAsia="Palatino Linotype" w:hAnsi="Palatino Linotype" w:cs="Palatino Linotype"/>
          <w:sz w:val="22"/>
          <w:szCs w:val="22"/>
        </w:rPr>
        <w:t xml:space="preserve"> en virtud de que corresponde con decisiones personales, y por tanto, se debe clasificar.</w:t>
      </w:r>
    </w:p>
    <w:p w14:paraId="1AAD5911"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073EB087"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0B06EC3C"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Con relación al </w:t>
      </w:r>
      <w:r w:rsidRPr="007E2D31">
        <w:rPr>
          <w:rFonts w:ascii="Palatino Linotype" w:eastAsia="Palatino Linotype" w:hAnsi="Palatino Linotype" w:cs="Palatino Linotype"/>
          <w:b/>
          <w:bCs/>
          <w:sz w:val="22"/>
          <w:szCs w:val="22"/>
        </w:rPr>
        <w:t>número de empleado</w:t>
      </w:r>
      <w:r w:rsidRPr="007E2D31">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7E2D31">
        <w:rPr>
          <w:rFonts w:ascii="Palatino Linotype" w:eastAsia="Palatino Linotype" w:hAnsi="Palatino Linotype" w:cs="Palatino Linotype"/>
          <w:sz w:val="22"/>
          <w:szCs w:val="22"/>
          <w:vertAlign w:val="superscript"/>
        </w:rPr>
        <w:footnoteReference w:id="1"/>
      </w:r>
      <w:r w:rsidRPr="007E2D31">
        <w:rPr>
          <w:rFonts w:ascii="Palatino Linotype" w:eastAsia="Palatino Linotype" w:hAnsi="Palatino Linotype" w:cs="Palatino Linotype"/>
          <w:sz w:val="22"/>
          <w:szCs w:val="22"/>
        </w:rPr>
        <w:t>.</w:t>
      </w:r>
    </w:p>
    <w:p w14:paraId="23A16E53"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0312264C" w14:textId="77777777" w:rsidR="000524F1" w:rsidRPr="007E2D31" w:rsidRDefault="00AF3B29">
      <w:pPr>
        <w:tabs>
          <w:tab w:val="left" w:pos="7655"/>
        </w:tabs>
        <w:spacing w:before="120" w:after="120"/>
        <w:ind w:left="992" w:right="99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xml:space="preserve">“Número de empleado. </w:t>
      </w:r>
      <w:r w:rsidRPr="007E2D31">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6A53D14D"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2C9170CF" w14:textId="77777777" w:rsidR="000524F1" w:rsidRPr="007E2D31" w:rsidRDefault="00AF3B29">
      <w:pPr>
        <w:spacing w:before="240" w:after="240" w:line="360" w:lineRule="auto"/>
        <w:ind w:right="50"/>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62A18D03"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“Artículo 49.</w:t>
      </w:r>
      <w:r w:rsidRPr="007E2D31">
        <w:rPr>
          <w:rFonts w:ascii="Palatino Linotype" w:eastAsia="Palatino Linotype" w:hAnsi="Palatino Linotype" w:cs="Palatino Linotype"/>
          <w:i/>
          <w:iCs/>
          <w:sz w:val="22"/>
          <w:szCs w:val="22"/>
        </w:rPr>
        <w:t xml:space="preserve"> </w:t>
      </w:r>
      <w:r w:rsidRPr="007E2D31">
        <w:rPr>
          <w:rFonts w:ascii="Palatino Linotype" w:eastAsia="Palatino Linotype" w:hAnsi="Palatino Linotype" w:cs="Palatino Linotype"/>
          <w:b/>
          <w:bCs/>
          <w:i/>
          <w:iCs/>
          <w:sz w:val="22"/>
          <w:szCs w:val="22"/>
        </w:rPr>
        <w:t>Los Comités de Transparencia</w:t>
      </w:r>
      <w:r w:rsidRPr="007E2D31">
        <w:rPr>
          <w:rFonts w:ascii="Palatino Linotype" w:eastAsia="Palatino Linotype" w:hAnsi="Palatino Linotype" w:cs="Palatino Linotype"/>
          <w:i/>
          <w:iCs/>
          <w:sz w:val="22"/>
          <w:szCs w:val="22"/>
        </w:rPr>
        <w:t xml:space="preserve"> tendrán las siguientes atribuciones:</w:t>
      </w:r>
    </w:p>
    <w:p w14:paraId="6AABA7CB"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VIII. Aprobar, modificar o revocar la clasificación de la información</w:t>
      </w:r>
      <w:r w:rsidRPr="007E2D31">
        <w:rPr>
          <w:rFonts w:ascii="Palatino Linotype" w:eastAsia="Palatino Linotype" w:hAnsi="Palatino Linotype" w:cs="Palatino Linotype"/>
          <w:i/>
          <w:iCs/>
          <w:sz w:val="22"/>
          <w:szCs w:val="22"/>
        </w:rPr>
        <w:t>…”</w:t>
      </w:r>
    </w:p>
    <w:p w14:paraId="565112AD"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Artículo 53.</w:t>
      </w:r>
      <w:r w:rsidRPr="007E2D31">
        <w:rPr>
          <w:rFonts w:ascii="Palatino Linotype" w:eastAsia="Palatino Linotype" w:hAnsi="Palatino Linotype" w:cs="Palatino Linotype"/>
          <w:i/>
          <w:iCs/>
          <w:sz w:val="22"/>
          <w:szCs w:val="22"/>
        </w:rPr>
        <w:t xml:space="preserve"> Las </w:t>
      </w:r>
      <w:r w:rsidRPr="007E2D31">
        <w:rPr>
          <w:rFonts w:ascii="Palatino Linotype" w:eastAsia="Palatino Linotype" w:hAnsi="Palatino Linotype" w:cs="Palatino Linotype"/>
          <w:b/>
          <w:bCs/>
          <w:i/>
          <w:iCs/>
          <w:sz w:val="22"/>
          <w:szCs w:val="22"/>
        </w:rPr>
        <w:t>Unidades de Transparencia</w:t>
      </w:r>
      <w:r w:rsidRPr="007E2D31">
        <w:rPr>
          <w:rFonts w:ascii="Palatino Linotype" w:eastAsia="Palatino Linotype" w:hAnsi="Palatino Linotype" w:cs="Palatino Linotype"/>
          <w:i/>
          <w:iCs/>
          <w:sz w:val="22"/>
          <w:szCs w:val="22"/>
        </w:rPr>
        <w:t xml:space="preserve"> tendrán las siguientes </w:t>
      </w:r>
      <w:r w:rsidRPr="007E2D31">
        <w:rPr>
          <w:rFonts w:ascii="Palatino Linotype" w:eastAsia="Palatino Linotype" w:hAnsi="Palatino Linotype" w:cs="Palatino Linotype"/>
          <w:b/>
          <w:bCs/>
          <w:i/>
          <w:iCs/>
          <w:sz w:val="22"/>
          <w:szCs w:val="22"/>
        </w:rPr>
        <w:t>funciones</w:t>
      </w:r>
      <w:r w:rsidRPr="007E2D31">
        <w:rPr>
          <w:rFonts w:ascii="Palatino Linotype" w:eastAsia="Palatino Linotype" w:hAnsi="Palatino Linotype" w:cs="Palatino Linotype"/>
          <w:i/>
          <w:iCs/>
          <w:sz w:val="22"/>
          <w:szCs w:val="22"/>
        </w:rPr>
        <w:t>:</w:t>
      </w:r>
    </w:p>
    <w:p w14:paraId="7F466151"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X. Presentar ante el Comité, el proyecto de clasificación de información</w:t>
      </w:r>
      <w:r w:rsidRPr="007E2D31">
        <w:rPr>
          <w:rFonts w:ascii="Palatino Linotype" w:eastAsia="Palatino Linotype" w:hAnsi="Palatino Linotype" w:cs="Palatino Linotype"/>
          <w:i/>
          <w:iCs/>
          <w:sz w:val="22"/>
          <w:szCs w:val="22"/>
        </w:rPr>
        <w:t xml:space="preserve">…” </w:t>
      </w:r>
    </w:p>
    <w:p w14:paraId="4A1064E6"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“Artículo 59.</w:t>
      </w:r>
      <w:r w:rsidRPr="007E2D31">
        <w:rPr>
          <w:rFonts w:ascii="Palatino Linotype" w:eastAsia="Palatino Linotype" w:hAnsi="Palatino Linotype" w:cs="Palatino Linotype"/>
          <w:i/>
          <w:iCs/>
          <w:sz w:val="22"/>
          <w:szCs w:val="22"/>
        </w:rPr>
        <w:t xml:space="preserve"> Los </w:t>
      </w:r>
      <w:r w:rsidRPr="007E2D31">
        <w:rPr>
          <w:rFonts w:ascii="Palatino Linotype" w:eastAsia="Palatino Linotype" w:hAnsi="Palatino Linotype" w:cs="Palatino Linotype"/>
          <w:b/>
          <w:bCs/>
          <w:i/>
          <w:iCs/>
          <w:sz w:val="22"/>
          <w:szCs w:val="22"/>
        </w:rPr>
        <w:t>servidores públicos habilitados</w:t>
      </w:r>
      <w:r w:rsidRPr="007E2D31">
        <w:rPr>
          <w:rFonts w:ascii="Palatino Linotype" w:eastAsia="Palatino Linotype" w:hAnsi="Palatino Linotype" w:cs="Palatino Linotype"/>
          <w:i/>
          <w:iCs/>
          <w:sz w:val="22"/>
          <w:szCs w:val="22"/>
        </w:rPr>
        <w:t xml:space="preserve"> tendrán las </w:t>
      </w:r>
      <w:r w:rsidRPr="007E2D31">
        <w:rPr>
          <w:rFonts w:ascii="Palatino Linotype" w:eastAsia="Palatino Linotype" w:hAnsi="Palatino Linotype" w:cs="Palatino Linotype"/>
          <w:b/>
          <w:bCs/>
          <w:i/>
          <w:iCs/>
          <w:sz w:val="22"/>
          <w:szCs w:val="22"/>
        </w:rPr>
        <w:t>funciones</w:t>
      </w:r>
      <w:r w:rsidRPr="007E2D31">
        <w:rPr>
          <w:rFonts w:ascii="Palatino Linotype" w:eastAsia="Palatino Linotype" w:hAnsi="Palatino Linotype" w:cs="Palatino Linotype"/>
          <w:i/>
          <w:iCs/>
          <w:sz w:val="22"/>
          <w:szCs w:val="22"/>
        </w:rPr>
        <w:t xml:space="preserve"> siguientes:</w:t>
      </w:r>
    </w:p>
    <w:p w14:paraId="71FBAAC9"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7E2D31">
        <w:rPr>
          <w:rFonts w:ascii="Palatino Linotype" w:eastAsia="Palatino Linotype" w:hAnsi="Palatino Linotype" w:cs="Palatino Linotype"/>
          <w:i/>
          <w:iCs/>
          <w:sz w:val="22"/>
          <w:szCs w:val="22"/>
        </w:rPr>
        <w:t>, la cual tendrá los fundamentos y argumentos en que se basa dicha propuesta…”</w:t>
      </w:r>
    </w:p>
    <w:p w14:paraId="5ED3DC0D"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0ADC275"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2509ACEA"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Artículo 149.</w:t>
      </w:r>
      <w:r w:rsidRPr="007E2D31">
        <w:rPr>
          <w:rFonts w:ascii="Palatino Linotype" w:eastAsia="Palatino Linotype" w:hAnsi="Palatino Linotype" w:cs="Palatino Linotype"/>
          <w:i/>
          <w:iCs/>
          <w:sz w:val="22"/>
          <w:szCs w:val="22"/>
        </w:rPr>
        <w:t xml:space="preserve"> El </w:t>
      </w:r>
      <w:r w:rsidRPr="007E2D31">
        <w:rPr>
          <w:rFonts w:ascii="Palatino Linotype" w:eastAsia="Palatino Linotype" w:hAnsi="Palatino Linotype" w:cs="Palatino Linotype"/>
          <w:b/>
          <w:bCs/>
          <w:i/>
          <w:iCs/>
          <w:sz w:val="22"/>
          <w:szCs w:val="22"/>
        </w:rPr>
        <w:t>acuerdo que clasifique la información como confidencial</w:t>
      </w:r>
      <w:r w:rsidRPr="007E2D31">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7F3B5F80" w14:textId="77777777" w:rsidR="000524F1" w:rsidRPr="007E2D31" w:rsidRDefault="00AF3B29">
      <w:pPr>
        <w:spacing w:before="240" w:after="240" w:line="360" w:lineRule="auto"/>
        <w:ind w:right="51"/>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Es decir,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23CBBCAE" w14:textId="77777777" w:rsidR="000524F1" w:rsidRPr="007E2D31" w:rsidRDefault="00AF3B29">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5A123527"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xml:space="preserve"> “Quincuagésimo. </w:t>
      </w:r>
      <w:r w:rsidRPr="007E2D31">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78E0020"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xml:space="preserve">Quincuagésimo primero. </w:t>
      </w:r>
      <w:r w:rsidRPr="007E2D31">
        <w:rPr>
          <w:rFonts w:ascii="Palatino Linotype" w:eastAsia="Palatino Linotype" w:hAnsi="Palatino Linotype" w:cs="Palatino Linotype"/>
          <w:i/>
          <w:iCs/>
          <w:sz w:val="22"/>
          <w:szCs w:val="22"/>
        </w:rPr>
        <w:t xml:space="preserve">Toda acta del Comité de Transparencia deberá contener: </w:t>
      </w:r>
    </w:p>
    <w:p w14:paraId="6DA76EC4"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w:t>
      </w:r>
      <w:r w:rsidRPr="007E2D31">
        <w:rPr>
          <w:rFonts w:ascii="Palatino Linotype" w:eastAsia="Palatino Linotype" w:hAnsi="Palatino Linotype" w:cs="Palatino Linotype"/>
          <w:i/>
          <w:iCs/>
          <w:sz w:val="22"/>
          <w:szCs w:val="22"/>
        </w:rPr>
        <w:t xml:space="preserve"> El número de sesión y fecha; </w:t>
      </w:r>
    </w:p>
    <w:p w14:paraId="4B51364F"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w:t>
      </w:r>
      <w:r w:rsidRPr="007E2D31">
        <w:rPr>
          <w:rFonts w:ascii="Palatino Linotype" w:eastAsia="Palatino Linotype" w:hAnsi="Palatino Linotype" w:cs="Palatino Linotype"/>
          <w:i/>
          <w:iCs/>
          <w:sz w:val="22"/>
          <w:szCs w:val="22"/>
        </w:rPr>
        <w:t xml:space="preserve">. El nombre del área que solicitó la clasificación de información; </w:t>
      </w:r>
    </w:p>
    <w:p w14:paraId="059D5E21"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III</w:t>
      </w:r>
      <w:r w:rsidRPr="007E2D31">
        <w:rPr>
          <w:rFonts w:ascii="Palatino Linotype" w:eastAsia="Palatino Linotype" w:hAnsi="Palatino Linotype" w:cs="Palatino Linotype"/>
          <w:i/>
          <w:iCs/>
          <w:sz w:val="22"/>
          <w:szCs w:val="22"/>
        </w:rPr>
        <w:t xml:space="preserve">. La fundamentación legal y motivación correspondiente; </w:t>
      </w:r>
    </w:p>
    <w:p w14:paraId="0130BAE9"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IV</w:t>
      </w:r>
      <w:r w:rsidRPr="007E2D31">
        <w:rPr>
          <w:rFonts w:ascii="Palatino Linotype" w:eastAsia="Palatino Linotype" w:hAnsi="Palatino Linotype" w:cs="Palatino Linotype"/>
          <w:i/>
          <w:iCs/>
          <w:sz w:val="22"/>
          <w:szCs w:val="22"/>
        </w:rPr>
        <w:t xml:space="preserve">. La resolución o resoluciones aprobadas; y </w:t>
      </w:r>
    </w:p>
    <w:p w14:paraId="457F227C"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V</w:t>
      </w:r>
      <w:r w:rsidRPr="007E2D31">
        <w:rPr>
          <w:rFonts w:ascii="Palatino Linotype" w:eastAsia="Palatino Linotype" w:hAnsi="Palatino Linotype" w:cs="Palatino Linotype"/>
          <w:i/>
          <w:iCs/>
          <w:sz w:val="22"/>
          <w:szCs w:val="22"/>
        </w:rPr>
        <w:t xml:space="preserve">. La rúbrica o firma digital de cada integrante del Comité de Transparencia. </w:t>
      </w:r>
    </w:p>
    <w:p w14:paraId="395ABE79"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6949FB93"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w:t>
      </w:r>
      <w:r w:rsidRPr="007E2D31">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56452B84"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7E2D31">
        <w:rPr>
          <w:rFonts w:ascii="Palatino Linotype" w:eastAsia="Palatino Linotype" w:hAnsi="Palatino Linotype" w:cs="Palatino Linotype"/>
          <w:b/>
          <w:bCs/>
          <w:i/>
          <w:iCs/>
          <w:sz w:val="22"/>
          <w:szCs w:val="22"/>
        </w:rPr>
        <w:t>II</w:t>
      </w:r>
      <w:r w:rsidRPr="007E2D31">
        <w:rPr>
          <w:rFonts w:ascii="Palatino Linotype" w:eastAsia="Palatino Linotype" w:hAnsi="Palatino Linotype" w:cs="Palatino Linotype"/>
          <w:i/>
          <w:iCs/>
          <w:sz w:val="22"/>
          <w:szCs w:val="22"/>
        </w:rPr>
        <w:t>. Descripción de las partes o secciones reservadas, en caso de clasificación parcial</w:t>
      </w:r>
      <w:r w:rsidRPr="007E2D31">
        <w:rPr>
          <w:rFonts w:ascii="Palatino Linotype" w:eastAsia="Palatino Linotype" w:hAnsi="Palatino Linotype" w:cs="Palatino Linotype"/>
          <w:b/>
          <w:bCs/>
          <w:i/>
          <w:iCs/>
          <w:sz w:val="22"/>
          <w:szCs w:val="22"/>
        </w:rPr>
        <w:t xml:space="preserve">; </w:t>
      </w:r>
    </w:p>
    <w:p w14:paraId="36A33D1F"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III.</w:t>
      </w:r>
      <w:r w:rsidRPr="007E2D31">
        <w:rPr>
          <w:rFonts w:ascii="Palatino Linotype" w:eastAsia="Palatino Linotype" w:hAnsi="Palatino Linotype" w:cs="Palatino Linotype"/>
          <w:i/>
          <w:iCs/>
          <w:sz w:val="22"/>
          <w:szCs w:val="22"/>
        </w:rPr>
        <w:t xml:space="preserve"> El periodo por el que mantendrá su clasificación y fecha de expiración; y </w:t>
      </w:r>
    </w:p>
    <w:p w14:paraId="2F6CA3C2"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IV.</w:t>
      </w:r>
      <w:r w:rsidRPr="007E2D31">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75D3069D"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3BB1BDA1" w14:textId="77777777" w:rsidR="000524F1" w:rsidRPr="007E2D31" w:rsidRDefault="00AF3B29">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CC4A86D"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F7E1666" w14:textId="77777777" w:rsidR="000524F1" w:rsidRPr="007E2D31" w:rsidRDefault="00AF3B29">
      <w:pPr>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r w:rsidRPr="007E2D31">
        <w:rPr>
          <w:rFonts w:ascii="Palatino Linotype" w:eastAsia="Palatino Linotype" w:hAnsi="Palatino Linotype" w:cs="Palatino Linotype"/>
          <w:b/>
          <w:bCs/>
          <w:i/>
          <w:iCs/>
          <w:sz w:val="22"/>
          <w:szCs w:val="22"/>
        </w:rPr>
        <w:t>Quincuagésimo segundo</w:t>
      </w:r>
      <w:r w:rsidRPr="007E2D31">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32DEE64" w14:textId="77777777" w:rsidR="000524F1" w:rsidRPr="007E2D31" w:rsidRDefault="00AF3B29">
      <w:pPr>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441F5A07" w14:textId="77777777" w:rsidR="000524F1" w:rsidRPr="007E2D31" w:rsidRDefault="00AF3B29">
      <w:pPr>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w:t>
      </w:r>
      <w:r w:rsidRPr="007E2D31">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01CDA75F" w14:textId="77777777" w:rsidR="000524F1" w:rsidRPr="007E2D31" w:rsidRDefault="00AF3B29">
      <w:pPr>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w:t>
      </w:r>
      <w:r w:rsidRPr="007E2D31">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499A9F68" w14:textId="77777777" w:rsidR="000524F1" w:rsidRPr="007E2D31" w:rsidRDefault="00AF3B29">
      <w:pPr>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III.</w:t>
      </w:r>
      <w:r w:rsidRPr="007E2D31">
        <w:rPr>
          <w:rFonts w:ascii="Palatino Linotype" w:eastAsia="Palatino Linotype" w:hAnsi="Palatino Linotype" w:cs="Palatino Linotype"/>
          <w:i/>
          <w:iCs/>
          <w:sz w:val="22"/>
          <w:szCs w:val="22"/>
        </w:rPr>
        <w:t xml:space="preserve"> Señalar las personas o instancias autorizadas a acceder a la información clasificada.</w:t>
      </w:r>
    </w:p>
    <w:p w14:paraId="4BE245F4" w14:textId="77777777" w:rsidR="000524F1" w:rsidRPr="007E2D31" w:rsidRDefault="00AF3B29">
      <w:pPr>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2A28512" w14:textId="77777777" w:rsidR="000524F1" w:rsidRPr="007E2D31" w:rsidRDefault="00AF3B29">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w:t>
      </w:r>
    </w:p>
    <w:p w14:paraId="6FD7DECD" w14:textId="77777777" w:rsidR="000524F1" w:rsidRPr="007E2D31" w:rsidRDefault="00AF3B29">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7E2D31">
        <w:rPr>
          <w:rFonts w:ascii="Palatino Linotype" w:eastAsia="Palatino Linotype" w:hAnsi="Palatino Linotype" w:cs="Palatino Linotype"/>
          <w:b/>
          <w:bCs/>
          <w:i/>
          <w:iCs/>
          <w:sz w:val="22"/>
          <w:szCs w:val="22"/>
        </w:rPr>
        <w:t xml:space="preserve">Quincuagésimo cuarto. </w:t>
      </w:r>
      <w:r w:rsidRPr="007E2D31">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7E2D31">
        <w:rPr>
          <w:rFonts w:ascii="Palatino Linotype" w:eastAsia="Palatino Linotype" w:hAnsi="Palatino Linotype" w:cs="Palatino Linotype"/>
          <w:b/>
          <w:bCs/>
          <w:i/>
          <w:iCs/>
          <w:sz w:val="22"/>
          <w:szCs w:val="22"/>
        </w:rPr>
        <w:t xml:space="preserve"> </w:t>
      </w:r>
    </w:p>
    <w:p w14:paraId="478B4174"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 xml:space="preserve">Quincuagésimo quinto. </w:t>
      </w:r>
      <w:r w:rsidRPr="007E2D31">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45AD708" w14:textId="77777777" w:rsidR="000524F1" w:rsidRPr="007E2D31" w:rsidRDefault="00AF3B29">
      <w:pPr>
        <w:spacing w:before="120" w:after="120"/>
        <w:ind w:left="851" w:right="902"/>
        <w:jc w:val="both"/>
        <w:rPr>
          <w:rFonts w:ascii="Palatino Linotype" w:eastAsia="Palatino Linotype" w:hAnsi="Palatino Linotype" w:cs="Palatino Linotype"/>
          <w:b/>
          <w:bCs/>
          <w:i/>
          <w:iCs/>
          <w:sz w:val="22"/>
          <w:szCs w:val="22"/>
        </w:rPr>
      </w:pPr>
      <w:r w:rsidRPr="007E2D31">
        <w:rPr>
          <w:rFonts w:ascii="Palatino Linotype" w:eastAsia="Palatino Linotype" w:hAnsi="Palatino Linotype" w:cs="Palatino Linotype"/>
          <w:b/>
          <w:bCs/>
          <w:i/>
          <w:iCs/>
          <w:sz w:val="22"/>
          <w:szCs w:val="22"/>
        </w:rPr>
        <w:t>...</w:t>
      </w:r>
    </w:p>
    <w:p w14:paraId="6BF82A37"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Quincuagésimo séptimo</w:t>
      </w:r>
      <w:r w:rsidRPr="007E2D31">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2A7877CB"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w:t>
      </w:r>
      <w:r w:rsidRPr="007E2D31">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6A986B4E"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w:t>
      </w:r>
      <w:r w:rsidRPr="007E2D31">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45970E4"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III</w:t>
      </w:r>
      <w:r w:rsidRPr="007E2D31">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64CC7B3"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6A95F504" w14:textId="77777777" w:rsidR="000524F1" w:rsidRPr="007E2D31" w:rsidRDefault="00AF3B29">
      <w:pPr>
        <w:spacing w:before="120" w:after="120"/>
        <w:ind w:left="851" w:right="902"/>
        <w:jc w:val="both"/>
        <w:rPr>
          <w:rFonts w:ascii="Palatino Linotype" w:eastAsia="Palatino Linotype" w:hAnsi="Palatino Linotype" w:cs="Palatino Linotype"/>
          <w:i/>
          <w:iCs/>
          <w:sz w:val="22"/>
          <w:szCs w:val="22"/>
        </w:rPr>
      </w:pPr>
      <w:r w:rsidRPr="007E2D31">
        <w:rPr>
          <w:rFonts w:ascii="Palatino Linotype" w:eastAsia="Palatino Linotype" w:hAnsi="Palatino Linotype" w:cs="Palatino Linotype"/>
          <w:b/>
          <w:bCs/>
          <w:i/>
          <w:iCs/>
          <w:sz w:val="22"/>
          <w:szCs w:val="22"/>
        </w:rPr>
        <w:t>Quincuagésimo octavo</w:t>
      </w:r>
      <w:r w:rsidRPr="007E2D31">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5E5963D"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23C15856" w14:textId="77777777" w:rsidR="000524F1" w:rsidRPr="007E2D31" w:rsidRDefault="00AF3B29">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7E2D31">
        <w:rPr>
          <w:rFonts w:ascii="Palatino Linotype" w:eastAsia="Palatino Linotype" w:hAnsi="Palatino Linotype" w:cs="Palatino Linotype"/>
          <w:b/>
          <w:bCs/>
          <w:sz w:val="22"/>
          <w:szCs w:val="22"/>
        </w:rPr>
        <w:t>III. R E S U E L V E</w:t>
      </w:r>
    </w:p>
    <w:p w14:paraId="4B669B3B"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11" w:name="_heading=h.26in1rg" w:colFirst="0" w:colLast="0"/>
      <w:bookmarkEnd w:id="11"/>
      <w:r w:rsidRPr="007E2D31">
        <w:rPr>
          <w:rFonts w:ascii="Palatino Linotype" w:eastAsia="Palatino Linotype" w:hAnsi="Palatino Linotype" w:cs="Palatino Linotype"/>
          <w:b/>
          <w:bCs/>
          <w:sz w:val="22"/>
          <w:szCs w:val="22"/>
        </w:rPr>
        <w:t xml:space="preserve">Primero. </w:t>
      </w:r>
      <w:r w:rsidRPr="007E2D31">
        <w:rPr>
          <w:rFonts w:ascii="Palatino Linotype" w:eastAsia="Palatino Linotype" w:hAnsi="Palatino Linotype" w:cs="Palatino Linotype"/>
          <w:sz w:val="22"/>
          <w:szCs w:val="22"/>
        </w:rPr>
        <w:t>Resultan</w:t>
      </w:r>
      <w:r w:rsidRPr="007E2D31">
        <w:rPr>
          <w:rFonts w:ascii="Palatino Linotype" w:eastAsia="Palatino Linotype" w:hAnsi="Palatino Linotype" w:cs="Palatino Linotype"/>
          <w:b/>
          <w:bCs/>
          <w:sz w:val="22"/>
          <w:szCs w:val="22"/>
        </w:rPr>
        <w:t xml:space="preserve"> fundadas</w:t>
      </w:r>
      <w:r w:rsidRPr="007E2D31">
        <w:rPr>
          <w:rFonts w:ascii="Palatino Linotype" w:eastAsia="Palatino Linotype" w:hAnsi="Palatino Linotype" w:cs="Palatino Linotype"/>
          <w:sz w:val="22"/>
          <w:szCs w:val="22"/>
        </w:rPr>
        <w:t xml:space="preserve"> las razones o motivos de inconformidad hechos valer por la parte</w:t>
      </w:r>
      <w:r w:rsidRPr="007E2D31">
        <w:rPr>
          <w:rFonts w:ascii="Palatino Linotype" w:eastAsia="Palatino Linotype" w:hAnsi="Palatino Linotype" w:cs="Palatino Linotype"/>
          <w:b/>
          <w:bCs/>
          <w:sz w:val="22"/>
          <w:szCs w:val="22"/>
        </w:rPr>
        <w:t xml:space="preserve"> Recurrente</w:t>
      </w:r>
      <w:r w:rsidRPr="007E2D31">
        <w:rPr>
          <w:rFonts w:ascii="Palatino Linotype" w:eastAsia="Palatino Linotype" w:hAnsi="Palatino Linotype" w:cs="Palatino Linotype"/>
          <w:sz w:val="22"/>
          <w:szCs w:val="22"/>
        </w:rPr>
        <w:t xml:space="preserve"> en el recurso de revisión </w:t>
      </w:r>
      <w:r w:rsidRPr="007E2D31">
        <w:rPr>
          <w:rFonts w:ascii="Palatino Linotype" w:eastAsia="Palatino Linotype" w:hAnsi="Palatino Linotype" w:cs="Palatino Linotype"/>
          <w:b/>
          <w:bCs/>
          <w:sz w:val="22"/>
          <w:szCs w:val="22"/>
        </w:rPr>
        <w:t>09279/INFOEM/IP/RR/2025</w:t>
      </w:r>
      <w:r w:rsidRPr="007E2D31">
        <w:rPr>
          <w:rFonts w:ascii="Palatino Linotype" w:eastAsia="Palatino Linotype" w:hAnsi="Palatino Linotype" w:cs="Palatino Linotype"/>
          <w:sz w:val="22"/>
          <w:szCs w:val="22"/>
        </w:rPr>
        <w:t xml:space="preserve">; por lo que, en términos del </w:t>
      </w:r>
      <w:r w:rsidRPr="007E2D31">
        <w:rPr>
          <w:rFonts w:ascii="Palatino Linotype" w:eastAsia="Palatino Linotype" w:hAnsi="Palatino Linotype" w:cs="Palatino Linotype"/>
          <w:b/>
          <w:bCs/>
          <w:sz w:val="22"/>
          <w:szCs w:val="22"/>
        </w:rPr>
        <w:t>Considerando</w:t>
      </w:r>
      <w:r w:rsidRPr="007E2D31">
        <w:rPr>
          <w:rFonts w:ascii="Palatino Linotype" w:eastAsia="Palatino Linotype" w:hAnsi="Palatino Linotype" w:cs="Palatino Linotype"/>
          <w:sz w:val="22"/>
          <w:szCs w:val="22"/>
        </w:rPr>
        <w:t xml:space="preserve"> </w:t>
      </w:r>
      <w:r w:rsidRPr="007E2D31">
        <w:rPr>
          <w:rFonts w:ascii="Palatino Linotype" w:eastAsia="Palatino Linotype" w:hAnsi="Palatino Linotype" w:cs="Palatino Linotype"/>
          <w:b/>
          <w:bCs/>
          <w:sz w:val="22"/>
          <w:szCs w:val="22"/>
        </w:rPr>
        <w:t xml:space="preserve">Cuarto </w:t>
      </w:r>
      <w:r w:rsidRPr="007E2D31">
        <w:rPr>
          <w:rFonts w:ascii="Palatino Linotype" w:eastAsia="Palatino Linotype" w:hAnsi="Palatino Linotype" w:cs="Palatino Linotype"/>
          <w:sz w:val="22"/>
          <w:szCs w:val="22"/>
        </w:rPr>
        <w:t xml:space="preserve">de esta resolución, se </w:t>
      </w:r>
      <w:r w:rsidRPr="007E2D31">
        <w:rPr>
          <w:rFonts w:ascii="Palatino Linotype" w:eastAsia="Palatino Linotype" w:hAnsi="Palatino Linotype" w:cs="Palatino Linotype"/>
          <w:b/>
          <w:bCs/>
          <w:sz w:val="22"/>
          <w:szCs w:val="22"/>
        </w:rPr>
        <w:t xml:space="preserve">Revoca </w:t>
      </w:r>
      <w:r w:rsidRPr="007E2D31">
        <w:rPr>
          <w:rFonts w:ascii="Palatino Linotype" w:eastAsia="Palatino Linotype" w:hAnsi="Palatino Linotype" w:cs="Palatino Linotype"/>
          <w:sz w:val="22"/>
          <w:szCs w:val="22"/>
        </w:rPr>
        <w:t xml:space="preserve">la respuesta emitida por el </w:t>
      </w:r>
      <w:r w:rsidRPr="007E2D31">
        <w:rPr>
          <w:rFonts w:ascii="Palatino Linotype" w:eastAsia="Palatino Linotype" w:hAnsi="Palatino Linotype" w:cs="Palatino Linotype"/>
          <w:b/>
          <w:bCs/>
          <w:sz w:val="22"/>
          <w:szCs w:val="22"/>
        </w:rPr>
        <w:t xml:space="preserve">Sujeto Obligado. </w:t>
      </w:r>
    </w:p>
    <w:p w14:paraId="3A5E04EB"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t xml:space="preserve">Segundo. </w:t>
      </w:r>
      <w:r w:rsidRPr="007E2D31">
        <w:rPr>
          <w:rFonts w:ascii="Palatino Linotype" w:eastAsia="Palatino Linotype" w:hAnsi="Palatino Linotype" w:cs="Palatino Linotype"/>
          <w:sz w:val="22"/>
          <w:szCs w:val="22"/>
        </w:rPr>
        <w:t xml:space="preserve">Se </w:t>
      </w:r>
      <w:r w:rsidRPr="007E2D31">
        <w:rPr>
          <w:rFonts w:ascii="Palatino Linotype" w:eastAsia="Palatino Linotype" w:hAnsi="Palatino Linotype" w:cs="Palatino Linotype"/>
          <w:b/>
          <w:bCs/>
          <w:sz w:val="22"/>
          <w:szCs w:val="22"/>
        </w:rPr>
        <w:t>Ordena</w:t>
      </w:r>
      <w:r w:rsidRPr="007E2D31">
        <w:rPr>
          <w:rFonts w:ascii="Palatino Linotype" w:eastAsia="Palatino Linotype" w:hAnsi="Palatino Linotype" w:cs="Palatino Linotype"/>
          <w:sz w:val="22"/>
          <w:szCs w:val="22"/>
        </w:rPr>
        <w:t xml:space="preserve"> al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en términos de los Considerandos </w:t>
      </w:r>
      <w:r w:rsidRPr="007E2D31">
        <w:rPr>
          <w:rFonts w:ascii="Palatino Linotype" w:eastAsia="Palatino Linotype" w:hAnsi="Palatino Linotype" w:cs="Palatino Linotype"/>
          <w:b/>
          <w:bCs/>
          <w:sz w:val="22"/>
          <w:szCs w:val="22"/>
        </w:rPr>
        <w:t xml:space="preserve">Cuarto </w:t>
      </w:r>
      <w:r w:rsidRPr="007E2D31">
        <w:rPr>
          <w:rFonts w:ascii="Palatino Linotype" w:eastAsia="Palatino Linotype" w:hAnsi="Palatino Linotype" w:cs="Palatino Linotype"/>
          <w:sz w:val="22"/>
          <w:szCs w:val="22"/>
        </w:rPr>
        <w:t xml:space="preserve">y </w:t>
      </w:r>
      <w:r w:rsidRPr="007E2D31">
        <w:rPr>
          <w:rFonts w:ascii="Palatino Linotype" w:eastAsia="Palatino Linotype" w:hAnsi="Palatino Linotype" w:cs="Palatino Linotype"/>
          <w:b/>
          <w:bCs/>
          <w:sz w:val="22"/>
          <w:szCs w:val="22"/>
        </w:rPr>
        <w:t xml:space="preserve">Quinto </w:t>
      </w:r>
      <w:r w:rsidRPr="007E2D31">
        <w:rPr>
          <w:rFonts w:ascii="Palatino Linotype" w:eastAsia="Palatino Linotype" w:hAnsi="Palatino Linotype" w:cs="Palatino Linotype"/>
          <w:sz w:val="22"/>
          <w:szCs w:val="22"/>
        </w:rPr>
        <w:t xml:space="preserve">de esta resolución, haga entrega, vía </w:t>
      </w:r>
      <w:r w:rsidRPr="007E2D31">
        <w:rPr>
          <w:rFonts w:ascii="Palatino Linotype" w:eastAsia="Palatino Linotype" w:hAnsi="Palatino Linotype" w:cs="Palatino Linotype"/>
          <w:b/>
          <w:bCs/>
          <w:sz w:val="22"/>
          <w:szCs w:val="22"/>
        </w:rPr>
        <w:t>SAIMEX</w:t>
      </w:r>
      <w:r w:rsidRPr="007E2D31">
        <w:rPr>
          <w:rFonts w:ascii="Palatino Linotype" w:eastAsia="Palatino Linotype" w:hAnsi="Palatino Linotype" w:cs="Palatino Linotype"/>
          <w:sz w:val="22"/>
          <w:szCs w:val="22"/>
        </w:rPr>
        <w:t>, previa búsqueda exhaustiva y razonable, en versión pública de ser procedente, de lo siguiente:</w:t>
      </w:r>
    </w:p>
    <w:p w14:paraId="43EF8715" w14:textId="77777777" w:rsidR="000524F1" w:rsidRPr="007E2D31" w:rsidRDefault="00AF3B29">
      <w:pPr>
        <w:spacing w:before="240" w:after="240" w:line="360" w:lineRule="auto"/>
        <w:ind w:left="284"/>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De los servidores públicos adscritos a la presidencia municipal, del uno de enero al veinte de junio de dos mil veinticinco: </w:t>
      </w:r>
    </w:p>
    <w:p w14:paraId="571E170E" w14:textId="77777777" w:rsidR="000524F1" w:rsidRPr="007E2D31" w:rsidRDefault="00AF3B29">
      <w:pPr>
        <w:spacing w:before="240" w:after="240" w:line="360" w:lineRule="auto"/>
        <w:ind w:left="426"/>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1. El o los documentos en los que conste el nombre completo, puesto que desempeñan, nivel tabular o clave presupuestal, percepciones económicas mensuales brutas y netas, fecha de ingreso y tipo de contratación.</w:t>
      </w:r>
    </w:p>
    <w:p w14:paraId="3867598A" w14:textId="77777777" w:rsidR="000524F1" w:rsidRPr="007E2D31" w:rsidRDefault="00AF3B29">
      <w:pPr>
        <w:spacing w:before="240" w:after="240" w:line="360" w:lineRule="auto"/>
        <w:ind w:left="426"/>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2. El o los documentos que den cuenta de las funciones de los servidores públicos en funciones del uno de enero al veinte de junio de dos mil veinticinco.</w:t>
      </w:r>
    </w:p>
    <w:p w14:paraId="6FE2DAB9" w14:textId="77777777" w:rsidR="000524F1" w:rsidRPr="007E2D31" w:rsidRDefault="00AF3B29">
      <w:pPr>
        <w:spacing w:before="120" w:after="120"/>
        <w:ind w:left="284"/>
        <w:jc w:val="both"/>
        <w:rPr>
          <w:rFonts w:ascii="Palatino Linotype" w:eastAsia="Palatino Linotype" w:hAnsi="Palatino Linotype" w:cs="Palatino Linotype"/>
          <w:i/>
          <w:iCs/>
          <w:sz w:val="20"/>
          <w:szCs w:val="20"/>
        </w:rPr>
      </w:pPr>
      <w:r w:rsidRPr="007E2D31">
        <w:rPr>
          <w:rFonts w:ascii="Palatino Linotype" w:eastAsia="Palatino Linotype" w:hAnsi="Palatino Linotype" w:cs="Palatino Linotype"/>
          <w:i/>
          <w:iCs/>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6CEDD202"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b/>
          <w:bCs/>
          <w:sz w:val="22"/>
          <w:szCs w:val="22"/>
        </w:rPr>
        <w:t xml:space="preserve">Tercero. Notifíquese, </w:t>
      </w:r>
      <w:r w:rsidRPr="007E2D31">
        <w:rPr>
          <w:rFonts w:ascii="Palatino Linotype" w:eastAsia="Palatino Linotype" w:hAnsi="Palatino Linotype" w:cs="Palatino Linotype"/>
          <w:sz w:val="22"/>
          <w:szCs w:val="22"/>
        </w:rPr>
        <w:t xml:space="preserve">vía </w:t>
      </w:r>
      <w:r w:rsidRPr="007E2D31">
        <w:rPr>
          <w:rFonts w:ascii="Palatino Linotype" w:eastAsia="Palatino Linotype" w:hAnsi="Palatino Linotype" w:cs="Palatino Linotype"/>
          <w:b/>
          <w:bCs/>
          <w:sz w:val="22"/>
          <w:szCs w:val="22"/>
        </w:rPr>
        <w:t>SAIMEX</w:t>
      </w:r>
      <w:r w:rsidRPr="007E2D31">
        <w:rPr>
          <w:rFonts w:ascii="Palatino Linotype" w:eastAsia="Palatino Linotype" w:hAnsi="Palatino Linotype" w:cs="Palatino Linotype"/>
          <w:sz w:val="22"/>
          <w:szCs w:val="22"/>
        </w:rPr>
        <w:t xml:space="preserve">, al Titular de la Unidad de Transparencia del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w:t>
      </w:r>
      <w:bookmarkStart w:id="12" w:name="_GoBack"/>
      <w:bookmarkEnd w:id="12"/>
      <w:r w:rsidRPr="007E2D31">
        <w:rPr>
          <w:rFonts w:ascii="Palatino Linotype" w:eastAsia="Palatino Linotype" w:hAnsi="Palatino Linotype" w:cs="Palatino Linotype"/>
          <w:sz w:val="22"/>
          <w:szCs w:val="22"/>
        </w:rPr>
        <w:t>da de apremio de conformidad con lo previsto en los artículos 198, 200, fracción III; 214, 215 y 216 de la Ley  de Transparencia y Acceso a la Información Pública del Estado de México y Municipios.</w:t>
      </w:r>
    </w:p>
    <w:p w14:paraId="7A9E78A8"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r w:rsidRPr="007E2D3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7E2D31">
        <w:rPr>
          <w:rFonts w:ascii="Palatino Linotype" w:eastAsia="Palatino Linotype" w:hAnsi="Palatino Linotype" w:cs="Palatino Linotype"/>
          <w:b/>
          <w:bCs/>
          <w:sz w:val="22"/>
          <w:szCs w:val="22"/>
        </w:rPr>
        <w:t>Sujeto Obligado</w:t>
      </w:r>
      <w:r w:rsidRPr="007E2D3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C87AE75" w14:textId="77777777" w:rsidR="000524F1" w:rsidRPr="007E2D31" w:rsidRDefault="00AF3B29">
      <w:pPr>
        <w:spacing w:before="240" w:after="240" w:line="360" w:lineRule="auto"/>
        <w:jc w:val="both"/>
        <w:rPr>
          <w:rFonts w:ascii="Palatino Linotype" w:eastAsia="Palatino Linotype" w:hAnsi="Palatino Linotype" w:cs="Palatino Linotype"/>
          <w:sz w:val="22"/>
          <w:szCs w:val="22"/>
        </w:rPr>
      </w:pPr>
      <w:bookmarkStart w:id="13" w:name="_heading=h.17dp8vu" w:colFirst="0" w:colLast="0"/>
      <w:bookmarkEnd w:id="13"/>
      <w:r w:rsidRPr="007E2D31">
        <w:rPr>
          <w:rFonts w:ascii="Palatino Linotype" w:eastAsia="Palatino Linotype" w:hAnsi="Palatino Linotype" w:cs="Palatino Linotype"/>
          <w:b/>
          <w:bCs/>
          <w:sz w:val="22"/>
          <w:szCs w:val="22"/>
        </w:rPr>
        <w:t xml:space="preserve">Cuarto.  Notifíquese, </w:t>
      </w:r>
      <w:r w:rsidRPr="007E2D31">
        <w:rPr>
          <w:rFonts w:ascii="Palatino Linotype" w:eastAsia="Palatino Linotype" w:hAnsi="Palatino Linotype" w:cs="Palatino Linotype"/>
          <w:sz w:val="22"/>
          <w:szCs w:val="22"/>
        </w:rPr>
        <w:t xml:space="preserve">vía </w:t>
      </w:r>
      <w:r w:rsidRPr="007E2D31">
        <w:rPr>
          <w:rFonts w:ascii="Palatino Linotype" w:eastAsia="Palatino Linotype" w:hAnsi="Palatino Linotype" w:cs="Palatino Linotype"/>
          <w:b/>
          <w:bCs/>
          <w:sz w:val="22"/>
          <w:szCs w:val="22"/>
        </w:rPr>
        <w:t>SAIMEX</w:t>
      </w:r>
      <w:r w:rsidRPr="007E2D31">
        <w:rPr>
          <w:rFonts w:ascii="Palatino Linotype" w:eastAsia="Palatino Linotype" w:hAnsi="Palatino Linotype" w:cs="Palatino Linotype"/>
          <w:sz w:val="22"/>
          <w:szCs w:val="22"/>
        </w:rPr>
        <w:t xml:space="preserve">, a la parte </w:t>
      </w:r>
      <w:r w:rsidRPr="007E2D31">
        <w:rPr>
          <w:rFonts w:ascii="Palatino Linotype" w:eastAsia="Palatino Linotype" w:hAnsi="Palatino Linotype" w:cs="Palatino Linotype"/>
          <w:b/>
          <w:bCs/>
          <w:sz w:val="22"/>
          <w:szCs w:val="22"/>
        </w:rPr>
        <w:t>Recurrente</w:t>
      </w:r>
      <w:r w:rsidRPr="007E2D31">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C3C87DB" w14:textId="54A71C13" w:rsidR="000524F1" w:rsidRPr="00E8602E" w:rsidRDefault="00AF3B29">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4" w:name="_heading=h.lnxbz9" w:colFirst="0" w:colLast="0"/>
      <w:bookmarkEnd w:id="14"/>
      <w:r w:rsidRPr="007E2D3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8602E" w:rsidRPr="007E2D31">
        <w:rPr>
          <w:rFonts w:ascii="Palatino Linotype" w:eastAsia="Palatino Linotype" w:hAnsi="Palatino Linotype" w:cs="Palatino Linotype"/>
          <w:sz w:val="22"/>
          <w:szCs w:val="22"/>
        </w:rPr>
        <w:t xml:space="preserve"> EMITIENDO VOTO PARTICULAR</w:t>
      </w:r>
      <w:r w:rsidRPr="007E2D31">
        <w:rPr>
          <w:rFonts w:ascii="Palatino Linotype" w:eastAsia="Palatino Linotype" w:hAnsi="Palatino Linotype" w:cs="Palatino Linotype"/>
          <w:sz w:val="22"/>
          <w:szCs w:val="22"/>
        </w:rPr>
        <w:t xml:space="preserve"> Y GUADALUPE RAMÍREZ PEÑA, EN LA CUADRAGÉSIMA PRIMERA SESIÓN ORDINARIA CELEBRADA EL VEINTE DE NOVIEMBRE DE DOS MIL VEINTICINCO, ANTE EL SECRETARIO TÉCNICO DEL PLENO ALEXIS TAPIA RAMÍREZ.</w:t>
      </w:r>
    </w:p>
    <w:p w14:paraId="6934D617"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2B06222C" w14:textId="77777777" w:rsidR="000524F1" w:rsidRPr="00E8602E" w:rsidRDefault="000524F1">
      <w:pPr>
        <w:spacing w:line="360" w:lineRule="auto"/>
        <w:jc w:val="center"/>
        <w:rPr>
          <w:rFonts w:ascii="Palatino Linotype" w:eastAsia="Palatino Linotype" w:hAnsi="Palatino Linotype" w:cs="Palatino Linotype"/>
          <w:sz w:val="22"/>
          <w:szCs w:val="22"/>
        </w:rPr>
      </w:pPr>
    </w:p>
    <w:p w14:paraId="2559C874"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006BD526"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43DCBF76"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06A9F59A"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413FCAD2"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4754A4C5"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1541E22D"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1B8E8C33"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46A54EAD"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4EC82DFF"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70995FBC"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46FA8FCE"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156BA9E1"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5E60E09F"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45962354"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2BD6391D"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5459E114" w14:textId="77777777" w:rsidR="000524F1" w:rsidRPr="00E8602E" w:rsidRDefault="000524F1">
      <w:pPr>
        <w:spacing w:line="360" w:lineRule="auto"/>
        <w:jc w:val="both"/>
        <w:rPr>
          <w:rFonts w:ascii="Palatino Linotype" w:eastAsia="Palatino Linotype" w:hAnsi="Palatino Linotype" w:cs="Palatino Linotype"/>
          <w:sz w:val="22"/>
          <w:szCs w:val="22"/>
        </w:rPr>
      </w:pPr>
    </w:p>
    <w:p w14:paraId="171CAA6A" w14:textId="29ECE4D0" w:rsidR="000524F1" w:rsidRPr="00E8602E" w:rsidRDefault="000524F1">
      <w:pPr>
        <w:spacing w:line="360" w:lineRule="auto"/>
        <w:jc w:val="both"/>
        <w:rPr>
          <w:rFonts w:ascii="Palatino Linotype" w:eastAsia="Palatino Linotype" w:hAnsi="Palatino Linotype" w:cs="Palatino Linotype"/>
          <w:sz w:val="22"/>
          <w:szCs w:val="22"/>
        </w:rPr>
      </w:pPr>
    </w:p>
    <w:p w14:paraId="0012C639" w14:textId="6B4B3732" w:rsidR="00E8602E" w:rsidRPr="00E8602E" w:rsidRDefault="00E8602E">
      <w:pPr>
        <w:spacing w:line="360" w:lineRule="auto"/>
        <w:jc w:val="both"/>
        <w:rPr>
          <w:rFonts w:ascii="Palatino Linotype" w:eastAsia="Palatino Linotype" w:hAnsi="Palatino Linotype" w:cs="Palatino Linotype"/>
          <w:sz w:val="22"/>
          <w:szCs w:val="22"/>
        </w:rPr>
      </w:pPr>
    </w:p>
    <w:p w14:paraId="3F9165BD" w14:textId="47F8CC6A" w:rsidR="00E8602E" w:rsidRPr="00E8602E" w:rsidRDefault="00E8602E">
      <w:pPr>
        <w:spacing w:line="360" w:lineRule="auto"/>
        <w:jc w:val="both"/>
        <w:rPr>
          <w:rFonts w:ascii="Palatino Linotype" w:eastAsia="Palatino Linotype" w:hAnsi="Palatino Linotype" w:cs="Palatino Linotype"/>
          <w:sz w:val="22"/>
          <w:szCs w:val="22"/>
        </w:rPr>
      </w:pPr>
    </w:p>
    <w:p w14:paraId="2EC6E6A9" w14:textId="1F8BA74E" w:rsidR="00E8602E" w:rsidRPr="00E8602E" w:rsidRDefault="00E8602E">
      <w:pPr>
        <w:spacing w:line="360" w:lineRule="auto"/>
        <w:jc w:val="both"/>
        <w:rPr>
          <w:rFonts w:ascii="Palatino Linotype" w:eastAsia="Palatino Linotype" w:hAnsi="Palatino Linotype" w:cs="Palatino Linotype"/>
          <w:sz w:val="22"/>
          <w:szCs w:val="22"/>
        </w:rPr>
      </w:pPr>
    </w:p>
    <w:p w14:paraId="4B9E20DE" w14:textId="0C5FD412" w:rsidR="00E8602E" w:rsidRPr="00E8602E" w:rsidRDefault="00E8602E">
      <w:pPr>
        <w:spacing w:line="360" w:lineRule="auto"/>
        <w:jc w:val="both"/>
        <w:rPr>
          <w:rFonts w:ascii="Palatino Linotype" w:eastAsia="Palatino Linotype" w:hAnsi="Palatino Linotype" w:cs="Palatino Linotype"/>
          <w:sz w:val="22"/>
          <w:szCs w:val="22"/>
        </w:rPr>
      </w:pPr>
    </w:p>
    <w:p w14:paraId="53576DD6" w14:textId="77777777" w:rsidR="00E8602E" w:rsidRPr="00E8602E" w:rsidRDefault="00E8602E">
      <w:pPr>
        <w:spacing w:line="360" w:lineRule="auto"/>
        <w:jc w:val="both"/>
        <w:rPr>
          <w:rFonts w:ascii="Palatino Linotype" w:eastAsia="Palatino Linotype" w:hAnsi="Palatino Linotype" w:cs="Palatino Linotype"/>
          <w:sz w:val="22"/>
          <w:szCs w:val="22"/>
        </w:rPr>
      </w:pPr>
    </w:p>
    <w:sectPr w:rsidR="00E8602E" w:rsidRPr="00E8602E">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E0CD7" w14:textId="77777777" w:rsidR="00A17D7D" w:rsidRDefault="00A17D7D">
      <w:r>
        <w:separator/>
      </w:r>
    </w:p>
  </w:endnote>
  <w:endnote w:type="continuationSeparator" w:id="0">
    <w:p w14:paraId="0F60820B" w14:textId="77777777" w:rsidR="00A17D7D" w:rsidRDefault="00A17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181194-3EC9-4C34-ACBC-0A2E45B4DED1}"/>
    <w:embedBold r:id="rId2" w:fontKey="{34404F05-C999-497D-A1C3-863A9E1784A1}"/>
  </w:font>
  <w:font w:name="Cambria">
    <w:panose1 w:val="02040503050406030204"/>
    <w:charset w:val="00"/>
    <w:family w:val="roman"/>
    <w:pitch w:val="variable"/>
    <w:sig w:usb0="E00006FF" w:usb1="420024FF" w:usb2="02000000" w:usb3="00000000" w:csb0="0000019F" w:csb1="00000000"/>
    <w:embedRegular r:id="rId3" w:fontKey="{2E6640B8-07FC-4B34-AD10-9F3742C7D73D}"/>
    <w:embedBold r:id="rId4" w:fontKey="{60542D8A-7BDF-40A7-8ABE-30AE0CB1BED4}"/>
    <w:embedBoldItalic r:id="rId5" w:fontKey="{3BB12027-D9E9-455C-B2EA-F466CF070ED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4F8F8A3-6181-40EA-8B2E-93DD658A78F2}"/>
  </w:font>
  <w:font w:name="Georgia">
    <w:panose1 w:val="02040502050405020303"/>
    <w:charset w:val="00"/>
    <w:family w:val="roman"/>
    <w:pitch w:val="variable"/>
    <w:sig w:usb0="00000287" w:usb1="00000000" w:usb2="00000000" w:usb3="00000000" w:csb0="0000009F" w:csb1="00000000"/>
    <w:embedItalic r:id="rId7" w:fontKey="{B596D668-3899-43C6-9D27-2657115BED2F}"/>
  </w:font>
  <w:font w:name="Palatino Linotype">
    <w:panose1 w:val="02040502050505030304"/>
    <w:charset w:val="00"/>
    <w:family w:val="roman"/>
    <w:pitch w:val="variable"/>
    <w:sig w:usb0="E0000287" w:usb1="40000013" w:usb2="00000000" w:usb3="00000000" w:csb0="0000019F" w:csb1="00000000"/>
    <w:embedRegular r:id="rId8" w:fontKey="{7080D796-172D-48BD-A6A2-AB8BA8F34124}"/>
    <w:embedBold r:id="rId9" w:fontKey="{FBFB70F8-C60A-4EB6-BDD2-E5D07942C9CF}"/>
    <w:embedItalic r:id="rId10" w:fontKey="{92CF25DA-CA8D-40F6-B97D-FFFC8EB2478D}"/>
    <w:embedBoldItalic r:id="rId11" w:fontKey="{C9115E7D-052A-4C3F-A8B0-E7E85E620C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6C1A3" w14:textId="766D0A4A" w:rsidR="000524F1" w:rsidRDefault="00AF3B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42501D">
      <w:rPr>
        <w:rFonts w:ascii="Palatino Linotype" w:eastAsia="Palatino Linotype" w:hAnsi="Palatino Linotype" w:cs="Palatino Linotype"/>
        <w:b/>
        <w:bCs/>
        <w:noProof/>
        <w:color w:val="000000"/>
        <w:sz w:val="20"/>
        <w:szCs w:val="20"/>
      </w:rPr>
      <w:t>44</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42501D">
      <w:rPr>
        <w:rFonts w:ascii="Palatino Linotype" w:eastAsia="Palatino Linotype" w:hAnsi="Palatino Linotype" w:cs="Palatino Linotype"/>
        <w:b/>
        <w:bCs/>
        <w:noProof/>
        <w:color w:val="000000"/>
        <w:sz w:val="20"/>
        <w:szCs w:val="20"/>
      </w:rPr>
      <w:t>46</w:t>
    </w:r>
    <w:r>
      <w:rPr>
        <w:rFonts w:ascii="Palatino Linotype" w:eastAsia="Palatino Linotype" w:hAnsi="Palatino Linotype" w:cs="Palatino Linotype"/>
        <w:b/>
        <w:bCs/>
        <w:color w:val="000000"/>
        <w:sz w:val="20"/>
        <w:szCs w:val="20"/>
      </w:rPr>
      <w:fldChar w:fldCharType="end"/>
    </w:r>
  </w:p>
  <w:p w14:paraId="5EDF74E9" w14:textId="77777777" w:rsidR="000524F1" w:rsidRDefault="000524F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5189F" w14:textId="2B9BEBFB" w:rsidR="000524F1" w:rsidRDefault="00AF3B2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42501D">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42501D">
      <w:rPr>
        <w:rFonts w:ascii="Palatino Linotype" w:eastAsia="Palatino Linotype" w:hAnsi="Palatino Linotype" w:cs="Palatino Linotype"/>
        <w:b/>
        <w:bCs/>
        <w:noProof/>
        <w:color w:val="000000"/>
        <w:sz w:val="20"/>
        <w:szCs w:val="20"/>
      </w:rPr>
      <w:t>46</w:t>
    </w:r>
    <w:r>
      <w:rPr>
        <w:rFonts w:ascii="Palatino Linotype" w:eastAsia="Palatino Linotype" w:hAnsi="Palatino Linotype" w:cs="Palatino Linotype"/>
        <w:b/>
        <w:bCs/>
        <w:color w:val="000000"/>
        <w:sz w:val="20"/>
        <w:szCs w:val="20"/>
      </w:rPr>
      <w:fldChar w:fldCharType="end"/>
    </w:r>
  </w:p>
  <w:p w14:paraId="700E53EA" w14:textId="77777777" w:rsidR="000524F1" w:rsidRDefault="000524F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7ABAC" w14:textId="77777777" w:rsidR="00A17D7D" w:rsidRDefault="00A17D7D">
      <w:r>
        <w:separator/>
      </w:r>
    </w:p>
  </w:footnote>
  <w:footnote w:type="continuationSeparator" w:id="0">
    <w:p w14:paraId="4D8A7022" w14:textId="77777777" w:rsidR="00A17D7D" w:rsidRDefault="00A17D7D">
      <w:r>
        <w:continuationSeparator/>
      </w:r>
    </w:p>
  </w:footnote>
  <w:footnote w:id="1">
    <w:p w14:paraId="5872FC5E" w14:textId="77777777" w:rsidR="000524F1" w:rsidRDefault="00AF3B29">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0939C" w14:textId="77777777" w:rsidR="000524F1" w:rsidRDefault="00AF3B29">
    <w:pPr>
      <w:rPr>
        <w:rFonts w:ascii="Cambria" w:eastAsia="Cambria" w:hAnsi="Cambria" w:cs="Cambria"/>
        <w:color w:val="000000"/>
      </w:rPr>
    </w:pPr>
    <w:r>
      <w:rPr>
        <w:noProof/>
      </w:rPr>
      <w:drawing>
        <wp:anchor distT="0" distB="0" distL="0" distR="0" simplePos="0" relativeHeight="251658240" behindDoc="1" locked="0" layoutInCell="1" hidden="0" allowOverlap="1" wp14:anchorId="316F5793" wp14:editId="177F5FFF">
          <wp:simplePos x="0" y="0"/>
          <wp:positionH relativeFrom="column">
            <wp:posOffset>-1080089</wp:posOffset>
          </wp:positionH>
          <wp:positionV relativeFrom="paragraph">
            <wp:posOffset>-488259</wp:posOffset>
          </wp:positionV>
          <wp:extent cx="7809865" cy="10165715"/>
          <wp:effectExtent l="0" t="0" r="0" b="0"/>
          <wp:wrapNone/>
          <wp:docPr id="21401318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5953" w:type="dxa"/>
      <w:tblInd w:w="3261" w:type="dxa"/>
      <w:tblLayout w:type="fixed"/>
      <w:tblLook w:val="0400" w:firstRow="0" w:lastRow="0" w:firstColumn="0" w:lastColumn="0" w:noHBand="0" w:noVBand="1"/>
    </w:tblPr>
    <w:tblGrid>
      <w:gridCol w:w="2489"/>
      <w:gridCol w:w="3464"/>
    </w:tblGrid>
    <w:tr w:rsidR="000524F1" w14:paraId="2EBAB335" w14:textId="77777777">
      <w:tc>
        <w:tcPr>
          <w:tcW w:w="2489" w:type="dxa"/>
        </w:tcPr>
        <w:p w14:paraId="38EB900E" w14:textId="77777777" w:rsidR="000524F1" w:rsidRDefault="00AF3B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40022E65" w14:textId="77777777" w:rsidR="000524F1" w:rsidRDefault="00AF3B2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09279/INFOEM/IP/RR/2025</w:t>
          </w:r>
        </w:p>
      </w:tc>
    </w:tr>
    <w:tr w:rsidR="000524F1" w14:paraId="3F13CA15" w14:textId="77777777">
      <w:trPr>
        <w:trHeight w:val="228"/>
      </w:trPr>
      <w:tc>
        <w:tcPr>
          <w:tcW w:w="2489" w:type="dxa"/>
          <w:vAlign w:val="center"/>
        </w:tcPr>
        <w:p w14:paraId="4B79BBEA" w14:textId="77777777" w:rsidR="000524F1" w:rsidRDefault="00AF3B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182ADAAC" w14:textId="77777777" w:rsidR="000524F1" w:rsidRDefault="00AF3B29">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Cuautitlán Izcalli</w:t>
          </w:r>
        </w:p>
      </w:tc>
    </w:tr>
    <w:tr w:rsidR="000524F1" w14:paraId="617FB8FD" w14:textId="77777777">
      <w:tc>
        <w:tcPr>
          <w:tcW w:w="2489" w:type="dxa"/>
          <w:vAlign w:val="center"/>
        </w:tcPr>
        <w:p w14:paraId="753C5A0C" w14:textId="77777777" w:rsidR="000524F1" w:rsidRDefault="00AF3B29">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27577712" w14:textId="77777777" w:rsidR="000524F1" w:rsidRDefault="00AF3B2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7BE8BEBD" w14:textId="77777777" w:rsidR="000524F1" w:rsidRDefault="00AF3B2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D8345" w14:textId="77777777" w:rsidR="000524F1" w:rsidRDefault="00AF3B2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C9278F4" wp14:editId="6A36EEC5">
          <wp:simplePos x="0" y="0"/>
          <wp:positionH relativeFrom="column">
            <wp:posOffset>-1080131</wp:posOffset>
          </wp:positionH>
          <wp:positionV relativeFrom="paragraph">
            <wp:posOffset>-369890</wp:posOffset>
          </wp:positionV>
          <wp:extent cx="7809865" cy="10165715"/>
          <wp:effectExtent l="0" t="0" r="0" b="0"/>
          <wp:wrapNone/>
          <wp:docPr id="21401318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5953" w:type="dxa"/>
      <w:tblInd w:w="3261" w:type="dxa"/>
      <w:tblLayout w:type="fixed"/>
      <w:tblLook w:val="0400" w:firstRow="0" w:lastRow="0" w:firstColumn="0" w:lastColumn="0" w:noHBand="0" w:noVBand="1"/>
    </w:tblPr>
    <w:tblGrid>
      <w:gridCol w:w="2489"/>
      <w:gridCol w:w="3464"/>
    </w:tblGrid>
    <w:tr w:rsidR="000524F1" w14:paraId="710AABE9" w14:textId="77777777">
      <w:tc>
        <w:tcPr>
          <w:tcW w:w="2489" w:type="dxa"/>
        </w:tcPr>
        <w:p w14:paraId="3C519D7F" w14:textId="77777777" w:rsidR="000524F1" w:rsidRDefault="00AF3B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2213EA27" w14:textId="77777777" w:rsidR="000524F1" w:rsidRDefault="00AF3B2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09279/INFOEM/IP/RR/2025</w:t>
          </w:r>
        </w:p>
      </w:tc>
    </w:tr>
    <w:tr w:rsidR="000524F1" w14:paraId="797E397B" w14:textId="77777777">
      <w:tc>
        <w:tcPr>
          <w:tcW w:w="2489" w:type="dxa"/>
        </w:tcPr>
        <w:p w14:paraId="4172105E" w14:textId="77777777" w:rsidR="000524F1" w:rsidRDefault="00AF3B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4FEAB067" w14:textId="2A67B124" w:rsidR="000524F1" w:rsidRDefault="0042501D" w:rsidP="0042501D">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bCs/>
              <w:sz w:val="22"/>
              <w:szCs w:val="22"/>
            </w:rPr>
            <w:t xml:space="preserve">XXXXXXXXX XXXXX XXXX </w:t>
          </w:r>
        </w:p>
      </w:tc>
    </w:tr>
    <w:tr w:rsidR="000524F1" w14:paraId="25ADBA72" w14:textId="77777777">
      <w:trPr>
        <w:trHeight w:val="228"/>
      </w:trPr>
      <w:tc>
        <w:tcPr>
          <w:tcW w:w="2489" w:type="dxa"/>
          <w:vAlign w:val="center"/>
        </w:tcPr>
        <w:p w14:paraId="7A700A42" w14:textId="77777777" w:rsidR="000524F1" w:rsidRDefault="00AF3B29">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37467971" w14:textId="77777777" w:rsidR="000524F1" w:rsidRDefault="00AF3B29">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Cuautitlán Izcalli</w:t>
          </w:r>
        </w:p>
      </w:tc>
    </w:tr>
    <w:tr w:rsidR="000524F1" w14:paraId="6A21A7B9" w14:textId="77777777">
      <w:tc>
        <w:tcPr>
          <w:tcW w:w="2489" w:type="dxa"/>
          <w:vAlign w:val="center"/>
        </w:tcPr>
        <w:p w14:paraId="14D66B74" w14:textId="77777777" w:rsidR="000524F1" w:rsidRDefault="00AF3B29">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00E4F1EC" w14:textId="77777777" w:rsidR="000524F1" w:rsidRDefault="00AF3B29">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282C5EDE" w14:textId="77777777" w:rsidR="000524F1" w:rsidRDefault="000524F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70CB4"/>
    <w:multiLevelType w:val="multilevel"/>
    <w:tmpl w:val="0B1C6C9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EFE6A6A"/>
    <w:multiLevelType w:val="multilevel"/>
    <w:tmpl w:val="54304D8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4F1"/>
    <w:rsid w:val="000524F1"/>
    <w:rsid w:val="0042501D"/>
    <w:rsid w:val="007E2D31"/>
    <w:rsid w:val="00A17D7D"/>
    <w:rsid w:val="00AF3B29"/>
    <w:rsid w:val="00E860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E2003"/>
  <w15:docId w15:val="{D81AA3A6-20FE-4F8A-B564-BE0794A7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numPr>
        <w:numId w:val="2"/>
      </w:numPr>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kN6zgEYecwryh8w0TgPlCMB3FQ==">CgMxLjAyCWguM3JkY3JqbjIOaC5kYWozajJ4bzZxNjYyCGguZ2pkZ3hzMgloLjNkeTZ2a20yCWguMzBqMHpsbDIJaC4yczhleW8xMghoLnR5amN3dDIJaC4yZXQ5MnAwMg5oLjR4YjdwYTVqbnBlYzIJaC4zNW5rdW4yMgloLjFrc3Y0dXYyCWguMjZpbjFyZzIJaC4xN2RwOHZ1MghoLmxueGJ6OTgAciExeV81ZnhHdWJBeFNPSUlpREZIM3hHajlDRHJXM2Fnejc=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12165</Words>
  <Characters>66908</Characters>
  <Application>Microsoft Office Word</Application>
  <DocSecurity>0</DocSecurity>
  <Lines>557</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2025-11-24T16:14:00Z</cp:lastPrinted>
  <dcterms:created xsi:type="dcterms:W3CDTF">2025-12-15T01:52:00Z</dcterms:created>
  <dcterms:modified xsi:type="dcterms:W3CDTF">2025-12-15T01:52:00Z</dcterms:modified>
</cp:coreProperties>
</file>