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04D" w:rsidRDefault="0084304D">
      <w:pPr>
        <w:widowControl w:val="0"/>
        <w:pBdr>
          <w:top w:val="nil"/>
          <w:left w:val="nil"/>
          <w:bottom w:val="nil"/>
          <w:right w:val="nil"/>
          <w:between w:val="nil"/>
        </w:pBdr>
        <w:spacing w:line="276" w:lineRule="auto"/>
      </w:pPr>
    </w:p>
    <w:p w:rsidR="0084304D" w:rsidRDefault="0084304D">
      <w:pPr>
        <w:spacing w:line="360" w:lineRule="auto"/>
        <w:ind w:right="-28"/>
        <w:jc w:val="both"/>
        <w:rPr>
          <w:rFonts w:ascii="Palatino Linotype" w:eastAsia="Palatino Linotype" w:hAnsi="Palatino Linotype" w:cs="Palatino Linotype"/>
          <w:sz w:val="22"/>
          <w:szCs w:val="22"/>
        </w:rPr>
      </w:pPr>
    </w:p>
    <w:p w:rsidR="0084304D" w:rsidRPr="002C0B94" w:rsidRDefault="00EE6D31">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sidRPr="002C0B94">
        <w:rPr>
          <w:rFonts w:ascii="Palatino Linotype" w:eastAsia="Palatino Linotype" w:hAnsi="Palatino Linotype" w:cs="Palatino Linotype"/>
          <w:color w:val="000000"/>
          <w:sz w:val="22"/>
          <w:szCs w:val="22"/>
        </w:rPr>
        <w:t>RESOLUCIÓN DEL RECURSO DE REVISIÓN 0521/INFOEM/IP/RR/2025</w:t>
      </w:r>
    </w:p>
    <w:sdt>
      <w:sdtPr>
        <w:id w:val="-255986785"/>
        <w:docPartObj>
          <w:docPartGallery w:val="Table of Contents"/>
          <w:docPartUnique/>
        </w:docPartObj>
      </w:sdtPr>
      <w:sdtEndPr/>
      <w:sdtContent>
        <w:p w:rsidR="0084304D" w:rsidRPr="002C0B94" w:rsidRDefault="00EE6D31">
          <w:pPr>
            <w:pBdr>
              <w:top w:val="nil"/>
              <w:left w:val="nil"/>
              <w:bottom w:val="nil"/>
              <w:right w:val="nil"/>
              <w:between w:val="nil"/>
            </w:pBdr>
            <w:tabs>
              <w:tab w:val="right" w:pos="9034"/>
            </w:tabs>
            <w:spacing w:line="360" w:lineRule="auto"/>
            <w:jc w:val="both"/>
            <w:rPr>
              <w:rFonts w:ascii="Palatino Linotype" w:eastAsia="Palatino Linotype" w:hAnsi="Palatino Linotype" w:cs="Palatino Linotype"/>
              <w:color w:val="000000"/>
              <w:sz w:val="22"/>
              <w:szCs w:val="22"/>
            </w:rPr>
          </w:pPr>
          <w:r w:rsidRPr="002C0B94">
            <w:fldChar w:fldCharType="begin"/>
          </w:r>
          <w:r w:rsidRPr="002C0B94">
            <w:instrText xml:space="preserve"> TOC \h \u \z \t "Heading 1,1,Heading 2,2,Heading 3,3,"</w:instrText>
          </w:r>
          <w:r w:rsidRPr="002C0B94">
            <w:fldChar w:fldCharType="separate"/>
          </w:r>
          <w:hyperlink w:anchor="_heading=h.3znysh7">
            <w:r w:rsidRPr="002C0B94">
              <w:rPr>
                <w:rFonts w:ascii="Palatino Linotype" w:eastAsia="Palatino Linotype" w:hAnsi="Palatino Linotype" w:cs="Palatino Linotype"/>
                <w:color w:val="000000"/>
                <w:sz w:val="22"/>
                <w:szCs w:val="22"/>
              </w:rPr>
              <w:t>A N T E C E D E N T E S</w:t>
            </w:r>
            <w:r w:rsidRPr="002C0B94">
              <w:rPr>
                <w:rFonts w:ascii="Palatino Linotype" w:eastAsia="Palatino Linotype" w:hAnsi="Palatino Linotype" w:cs="Palatino Linotype"/>
                <w:color w:val="000000"/>
                <w:sz w:val="22"/>
                <w:szCs w:val="22"/>
              </w:rPr>
              <w:tab/>
              <w:t>2</w:t>
            </w:r>
          </w:hyperlink>
        </w:p>
        <w:p w:rsidR="0084304D" w:rsidRPr="002C0B94" w:rsidRDefault="00882DBB">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2et92p0">
            <w:r w:rsidR="00EE6D31" w:rsidRPr="002C0B94">
              <w:rPr>
                <w:rFonts w:ascii="Palatino Linotype" w:eastAsia="Palatino Linotype" w:hAnsi="Palatino Linotype" w:cs="Palatino Linotype"/>
                <w:color w:val="000000"/>
                <w:sz w:val="22"/>
                <w:szCs w:val="22"/>
              </w:rPr>
              <w:t>I. Presentación de la solicitud de información</w:t>
            </w:r>
            <w:r w:rsidR="00EE6D31" w:rsidRPr="002C0B94">
              <w:rPr>
                <w:rFonts w:ascii="Palatino Linotype" w:eastAsia="Palatino Linotype" w:hAnsi="Palatino Linotype" w:cs="Palatino Linotype"/>
                <w:color w:val="000000"/>
                <w:sz w:val="22"/>
                <w:szCs w:val="22"/>
              </w:rPr>
              <w:tab/>
              <w:t>2</w:t>
            </w:r>
          </w:hyperlink>
        </w:p>
        <w:p w:rsidR="0084304D" w:rsidRPr="002C0B94" w:rsidRDefault="00882DBB">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tyjcwt">
            <w:r w:rsidR="00EE6D31" w:rsidRPr="002C0B94">
              <w:rPr>
                <w:rFonts w:ascii="Palatino Linotype" w:eastAsia="Palatino Linotype" w:hAnsi="Palatino Linotype" w:cs="Palatino Linotype"/>
                <w:color w:val="000000"/>
                <w:sz w:val="22"/>
                <w:szCs w:val="22"/>
              </w:rPr>
              <w:t>II. Respuesta del Sujeto Obligado</w:t>
            </w:r>
            <w:r w:rsidR="00EE6D31" w:rsidRPr="002C0B94">
              <w:rPr>
                <w:rFonts w:ascii="Palatino Linotype" w:eastAsia="Palatino Linotype" w:hAnsi="Palatino Linotype" w:cs="Palatino Linotype"/>
                <w:color w:val="000000"/>
                <w:sz w:val="22"/>
                <w:szCs w:val="22"/>
              </w:rPr>
              <w:tab/>
              <w:t>3</w:t>
            </w:r>
          </w:hyperlink>
        </w:p>
        <w:p w:rsidR="0084304D" w:rsidRPr="002C0B94" w:rsidRDefault="00882DBB">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3dy6vkm">
            <w:r w:rsidR="00EE6D31" w:rsidRPr="002C0B94">
              <w:rPr>
                <w:rFonts w:ascii="Palatino Linotype" w:eastAsia="Palatino Linotype" w:hAnsi="Palatino Linotype" w:cs="Palatino Linotype"/>
                <w:color w:val="000000"/>
                <w:sz w:val="22"/>
                <w:szCs w:val="22"/>
              </w:rPr>
              <w:t>III. Interposición del Recurso de Revisión</w:t>
            </w:r>
            <w:r w:rsidR="00EE6D31" w:rsidRPr="002C0B94">
              <w:rPr>
                <w:rFonts w:ascii="Palatino Linotype" w:eastAsia="Palatino Linotype" w:hAnsi="Palatino Linotype" w:cs="Palatino Linotype"/>
                <w:color w:val="000000"/>
                <w:sz w:val="22"/>
                <w:szCs w:val="22"/>
              </w:rPr>
              <w:tab/>
            </w:r>
          </w:hyperlink>
          <w:r w:rsidR="00EE6D31" w:rsidRPr="002C0B94">
            <w:rPr>
              <w:rFonts w:ascii="Palatino Linotype" w:eastAsia="Palatino Linotype" w:hAnsi="Palatino Linotype" w:cs="Palatino Linotype"/>
              <w:color w:val="000000"/>
              <w:sz w:val="22"/>
              <w:szCs w:val="22"/>
            </w:rPr>
            <w:t>4</w:t>
          </w:r>
        </w:p>
        <w:p w:rsidR="0084304D" w:rsidRPr="002C0B94" w:rsidRDefault="00882DBB">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1t3h5sf">
            <w:r w:rsidR="00EE6D31" w:rsidRPr="002C0B94">
              <w:rPr>
                <w:rFonts w:ascii="Palatino Linotype" w:eastAsia="Palatino Linotype" w:hAnsi="Palatino Linotype" w:cs="Palatino Linotype"/>
                <w:color w:val="000000"/>
                <w:sz w:val="22"/>
                <w:szCs w:val="22"/>
              </w:rPr>
              <w:t>IV. Trámite del Recurso de Revisión ante el Instituto</w:t>
            </w:r>
            <w:r w:rsidR="00EE6D31" w:rsidRPr="002C0B94">
              <w:rPr>
                <w:rFonts w:ascii="Palatino Linotype" w:eastAsia="Palatino Linotype" w:hAnsi="Palatino Linotype" w:cs="Palatino Linotype"/>
                <w:color w:val="000000"/>
                <w:sz w:val="22"/>
                <w:szCs w:val="22"/>
              </w:rPr>
              <w:tab/>
            </w:r>
          </w:hyperlink>
          <w:r w:rsidR="00EE6D31" w:rsidRPr="002C0B94">
            <w:rPr>
              <w:rFonts w:ascii="Palatino Linotype" w:eastAsia="Palatino Linotype" w:hAnsi="Palatino Linotype" w:cs="Palatino Linotype"/>
              <w:color w:val="000000"/>
              <w:sz w:val="22"/>
              <w:szCs w:val="22"/>
            </w:rPr>
            <w:t>4</w:t>
          </w:r>
        </w:p>
        <w:p w:rsidR="0084304D" w:rsidRPr="002C0B94" w:rsidRDefault="00882DBB">
          <w:pPr>
            <w:pBdr>
              <w:top w:val="nil"/>
              <w:left w:val="nil"/>
              <w:bottom w:val="nil"/>
              <w:right w:val="nil"/>
              <w:between w:val="nil"/>
            </w:pBdr>
            <w:tabs>
              <w:tab w:val="right" w:pos="9034"/>
            </w:tabs>
            <w:spacing w:line="360" w:lineRule="auto"/>
            <w:jc w:val="both"/>
            <w:rPr>
              <w:rFonts w:ascii="Palatino Linotype" w:eastAsia="Palatino Linotype" w:hAnsi="Palatino Linotype" w:cs="Palatino Linotype"/>
              <w:color w:val="000000"/>
              <w:sz w:val="22"/>
              <w:szCs w:val="22"/>
            </w:rPr>
          </w:pPr>
          <w:hyperlink w:anchor="_heading=h.4d34og8">
            <w:r w:rsidR="00EE6D31" w:rsidRPr="002C0B94">
              <w:rPr>
                <w:rFonts w:ascii="Palatino Linotype" w:eastAsia="Palatino Linotype" w:hAnsi="Palatino Linotype" w:cs="Palatino Linotype"/>
                <w:color w:val="000000"/>
                <w:sz w:val="22"/>
                <w:szCs w:val="22"/>
              </w:rPr>
              <w:t>C O N S I D E R A N D O S</w:t>
            </w:r>
            <w:r w:rsidR="00EE6D31" w:rsidRPr="002C0B94">
              <w:rPr>
                <w:rFonts w:ascii="Palatino Linotype" w:eastAsia="Palatino Linotype" w:hAnsi="Palatino Linotype" w:cs="Palatino Linotype"/>
                <w:color w:val="000000"/>
                <w:sz w:val="22"/>
                <w:szCs w:val="22"/>
              </w:rPr>
              <w:tab/>
            </w:r>
          </w:hyperlink>
          <w:r w:rsidR="00EE6D31" w:rsidRPr="002C0B94">
            <w:rPr>
              <w:rFonts w:ascii="Palatino Linotype" w:eastAsia="Palatino Linotype" w:hAnsi="Palatino Linotype" w:cs="Palatino Linotype"/>
              <w:color w:val="000000"/>
              <w:sz w:val="22"/>
              <w:szCs w:val="22"/>
            </w:rPr>
            <w:t>5</w:t>
          </w:r>
        </w:p>
        <w:p w:rsidR="0084304D" w:rsidRPr="002C0B94" w:rsidRDefault="00882DBB">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2s8eyo1">
            <w:r w:rsidR="00EE6D31" w:rsidRPr="002C0B94">
              <w:rPr>
                <w:rFonts w:ascii="Palatino Linotype" w:eastAsia="Palatino Linotype" w:hAnsi="Palatino Linotype" w:cs="Palatino Linotype"/>
                <w:color w:val="000000"/>
                <w:sz w:val="22"/>
                <w:szCs w:val="22"/>
              </w:rPr>
              <w:t>PRIMERO. Competencia</w:t>
            </w:r>
            <w:r w:rsidR="00EE6D31" w:rsidRPr="002C0B94">
              <w:rPr>
                <w:rFonts w:ascii="Palatino Linotype" w:eastAsia="Palatino Linotype" w:hAnsi="Palatino Linotype" w:cs="Palatino Linotype"/>
                <w:color w:val="000000"/>
                <w:sz w:val="22"/>
                <w:szCs w:val="22"/>
              </w:rPr>
              <w:tab/>
            </w:r>
          </w:hyperlink>
          <w:r w:rsidR="00EE6D31" w:rsidRPr="002C0B94">
            <w:rPr>
              <w:rFonts w:ascii="Palatino Linotype" w:eastAsia="Palatino Linotype" w:hAnsi="Palatino Linotype" w:cs="Palatino Linotype"/>
              <w:color w:val="000000"/>
              <w:sz w:val="22"/>
              <w:szCs w:val="22"/>
            </w:rPr>
            <w:t>6</w:t>
          </w:r>
        </w:p>
        <w:p w:rsidR="0084304D" w:rsidRPr="002C0B94" w:rsidRDefault="00882DBB">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17dp8vu">
            <w:r w:rsidR="00EE6D31" w:rsidRPr="002C0B94">
              <w:rPr>
                <w:rFonts w:ascii="Palatino Linotype" w:eastAsia="Palatino Linotype" w:hAnsi="Palatino Linotype" w:cs="Palatino Linotype"/>
                <w:color w:val="000000"/>
                <w:sz w:val="22"/>
                <w:szCs w:val="22"/>
              </w:rPr>
              <w:t>SEGUNDO. Causales de improcedencia y sobreseimiento</w:t>
            </w:r>
            <w:r w:rsidR="00EE6D31" w:rsidRPr="002C0B94">
              <w:rPr>
                <w:rFonts w:ascii="Palatino Linotype" w:eastAsia="Palatino Linotype" w:hAnsi="Palatino Linotype" w:cs="Palatino Linotype"/>
                <w:color w:val="000000"/>
                <w:sz w:val="22"/>
                <w:szCs w:val="22"/>
              </w:rPr>
              <w:tab/>
            </w:r>
          </w:hyperlink>
          <w:r w:rsidR="00EE6D31" w:rsidRPr="002C0B94">
            <w:rPr>
              <w:rFonts w:ascii="Palatino Linotype" w:eastAsia="Palatino Linotype" w:hAnsi="Palatino Linotype" w:cs="Palatino Linotype"/>
              <w:color w:val="000000"/>
              <w:sz w:val="22"/>
              <w:szCs w:val="22"/>
            </w:rPr>
            <w:t>6</w:t>
          </w:r>
        </w:p>
        <w:p w:rsidR="0084304D" w:rsidRPr="002C0B94" w:rsidRDefault="00882DBB">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3rdcrjn">
            <w:r w:rsidR="00EE6D31" w:rsidRPr="002C0B94">
              <w:rPr>
                <w:rFonts w:ascii="Palatino Linotype" w:eastAsia="Palatino Linotype" w:hAnsi="Palatino Linotype" w:cs="Palatino Linotype"/>
                <w:color w:val="000000"/>
                <w:sz w:val="22"/>
                <w:szCs w:val="22"/>
              </w:rPr>
              <w:t>TERCERO. Determinación de la Controversia</w:t>
            </w:r>
            <w:r w:rsidR="00EE6D31" w:rsidRPr="002C0B94">
              <w:rPr>
                <w:rFonts w:ascii="Palatino Linotype" w:eastAsia="Palatino Linotype" w:hAnsi="Palatino Linotype" w:cs="Palatino Linotype"/>
                <w:color w:val="000000"/>
                <w:sz w:val="22"/>
                <w:szCs w:val="22"/>
              </w:rPr>
              <w:tab/>
              <w:t>8</w:t>
            </w:r>
          </w:hyperlink>
        </w:p>
        <w:p w:rsidR="0084304D" w:rsidRPr="002C0B94" w:rsidRDefault="00882DBB">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26in1rg">
            <w:r w:rsidR="00EE6D31" w:rsidRPr="002C0B94">
              <w:rPr>
                <w:rFonts w:ascii="Palatino Linotype" w:eastAsia="Palatino Linotype" w:hAnsi="Palatino Linotype" w:cs="Palatino Linotype"/>
                <w:color w:val="000000"/>
                <w:sz w:val="22"/>
                <w:szCs w:val="22"/>
              </w:rPr>
              <w:t>CUARTO. Marco normativo aplicable en materia de transparencia y acceso a la información pública</w:t>
            </w:r>
            <w:r w:rsidR="00EE6D31" w:rsidRPr="002C0B94">
              <w:rPr>
                <w:rFonts w:ascii="Palatino Linotype" w:eastAsia="Palatino Linotype" w:hAnsi="Palatino Linotype" w:cs="Palatino Linotype"/>
                <w:color w:val="000000"/>
                <w:sz w:val="22"/>
                <w:szCs w:val="22"/>
              </w:rPr>
              <w:tab/>
            </w:r>
          </w:hyperlink>
          <w:r w:rsidR="00EE6D31" w:rsidRPr="002C0B94">
            <w:rPr>
              <w:rFonts w:ascii="Palatino Linotype" w:eastAsia="Palatino Linotype" w:hAnsi="Palatino Linotype" w:cs="Palatino Linotype"/>
              <w:color w:val="000000"/>
              <w:sz w:val="22"/>
              <w:szCs w:val="22"/>
            </w:rPr>
            <w:t>10</w:t>
          </w:r>
        </w:p>
        <w:p w:rsidR="0084304D" w:rsidRPr="002C0B94" w:rsidRDefault="00882DBB">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lnxbz9">
            <w:r w:rsidR="00EE6D31" w:rsidRPr="002C0B94">
              <w:rPr>
                <w:rFonts w:ascii="Palatino Linotype" w:eastAsia="Palatino Linotype" w:hAnsi="Palatino Linotype" w:cs="Palatino Linotype"/>
                <w:color w:val="000000"/>
                <w:sz w:val="22"/>
                <w:szCs w:val="22"/>
              </w:rPr>
              <w:t>QUINTO. Estudio de Fondo</w:t>
            </w:r>
            <w:r w:rsidR="00EE6D31" w:rsidRPr="002C0B94">
              <w:rPr>
                <w:rFonts w:ascii="Palatino Linotype" w:eastAsia="Palatino Linotype" w:hAnsi="Palatino Linotype" w:cs="Palatino Linotype"/>
                <w:color w:val="000000"/>
                <w:sz w:val="22"/>
                <w:szCs w:val="22"/>
              </w:rPr>
              <w:tab/>
            </w:r>
          </w:hyperlink>
          <w:r w:rsidR="00EE6D31" w:rsidRPr="002C0B94">
            <w:rPr>
              <w:rFonts w:ascii="Palatino Linotype" w:eastAsia="Palatino Linotype" w:hAnsi="Palatino Linotype" w:cs="Palatino Linotype"/>
              <w:color w:val="000000"/>
              <w:sz w:val="22"/>
              <w:szCs w:val="22"/>
            </w:rPr>
            <w:t>11</w:t>
          </w:r>
        </w:p>
        <w:p w:rsidR="0084304D" w:rsidRPr="002C0B94" w:rsidRDefault="00882DBB">
          <w:pPr>
            <w:pBdr>
              <w:top w:val="nil"/>
              <w:left w:val="nil"/>
              <w:bottom w:val="nil"/>
              <w:right w:val="nil"/>
              <w:between w:val="nil"/>
            </w:pBdr>
            <w:tabs>
              <w:tab w:val="right" w:pos="9034"/>
            </w:tabs>
            <w:spacing w:line="360" w:lineRule="auto"/>
            <w:ind w:left="200"/>
            <w:jc w:val="both"/>
            <w:rPr>
              <w:rFonts w:ascii="Palatino Linotype" w:eastAsia="Palatino Linotype" w:hAnsi="Palatino Linotype" w:cs="Palatino Linotype"/>
              <w:color w:val="000000"/>
              <w:sz w:val="22"/>
              <w:szCs w:val="22"/>
            </w:rPr>
          </w:pPr>
          <w:hyperlink w:anchor="_heading=h.35nkun2">
            <w:r w:rsidR="00EE6D31" w:rsidRPr="002C0B94">
              <w:rPr>
                <w:rFonts w:ascii="Palatino Linotype" w:eastAsia="Palatino Linotype" w:hAnsi="Palatino Linotype" w:cs="Palatino Linotype"/>
                <w:color w:val="000000"/>
                <w:sz w:val="22"/>
                <w:szCs w:val="22"/>
              </w:rPr>
              <w:t>SEXTO. Decisión</w:t>
            </w:r>
            <w:r w:rsidR="00EE6D31" w:rsidRPr="002C0B94">
              <w:rPr>
                <w:rFonts w:ascii="Palatino Linotype" w:eastAsia="Palatino Linotype" w:hAnsi="Palatino Linotype" w:cs="Palatino Linotype"/>
                <w:color w:val="000000"/>
                <w:sz w:val="22"/>
                <w:szCs w:val="22"/>
              </w:rPr>
              <w:tab/>
            </w:r>
          </w:hyperlink>
          <w:r w:rsidR="00EE6D31" w:rsidRPr="002C0B94">
            <w:rPr>
              <w:rFonts w:ascii="Palatino Linotype" w:eastAsia="Palatino Linotype" w:hAnsi="Palatino Linotype" w:cs="Palatino Linotype"/>
              <w:color w:val="000000"/>
              <w:sz w:val="22"/>
              <w:szCs w:val="22"/>
            </w:rPr>
            <w:t>21</w:t>
          </w:r>
        </w:p>
        <w:p w:rsidR="0084304D" w:rsidRPr="002C0B94" w:rsidRDefault="00882DBB">
          <w:pPr>
            <w:pBdr>
              <w:top w:val="nil"/>
              <w:left w:val="nil"/>
              <w:bottom w:val="nil"/>
              <w:right w:val="nil"/>
              <w:between w:val="nil"/>
            </w:pBdr>
            <w:tabs>
              <w:tab w:val="right" w:pos="9034"/>
            </w:tabs>
            <w:spacing w:line="360" w:lineRule="auto"/>
            <w:jc w:val="both"/>
            <w:rPr>
              <w:rFonts w:ascii="Palatino Linotype" w:eastAsia="Palatino Linotype" w:hAnsi="Palatino Linotype" w:cs="Palatino Linotype"/>
              <w:color w:val="000000"/>
              <w:sz w:val="22"/>
              <w:szCs w:val="22"/>
            </w:rPr>
          </w:pPr>
          <w:hyperlink w:anchor="_heading=h.1ksv4uv">
            <w:r w:rsidR="00EE6D31" w:rsidRPr="002C0B94">
              <w:rPr>
                <w:rFonts w:ascii="Palatino Linotype" w:eastAsia="Palatino Linotype" w:hAnsi="Palatino Linotype" w:cs="Palatino Linotype"/>
                <w:color w:val="000000"/>
                <w:sz w:val="22"/>
                <w:szCs w:val="22"/>
              </w:rPr>
              <w:t>R E S U E L V E</w:t>
            </w:r>
            <w:r w:rsidR="00EE6D31" w:rsidRPr="002C0B94">
              <w:rPr>
                <w:rFonts w:ascii="Palatino Linotype" w:eastAsia="Palatino Linotype" w:hAnsi="Palatino Linotype" w:cs="Palatino Linotype"/>
                <w:color w:val="000000"/>
                <w:sz w:val="22"/>
                <w:szCs w:val="22"/>
              </w:rPr>
              <w:tab/>
            </w:r>
          </w:hyperlink>
          <w:r w:rsidR="00EE6D31" w:rsidRPr="002C0B94">
            <w:rPr>
              <w:rFonts w:ascii="Palatino Linotype" w:eastAsia="Palatino Linotype" w:hAnsi="Palatino Linotype" w:cs="Palatino Linotype"/>
              <w:color w:val="000000"/>
              <w:sz w:val="22"/>
              <w:szCs w:val="22"/>
            </w:rPr>
            <w:t>22</w:t>
          </w:r>
        </w:p>
        <w:p w:rsidR="0084304D" w:rsidRPr="002C0B94" w:rsidRDefault="00EE6D31">
          <w:pPr>
            <w:spacing w:line="360" w:lineRule="auto"/>
            <w:ind w:right="-28"/>
            <w:jc w:val="center"/>
            <w:rPr>
              <w:rFonts w:ascii="Palatino Linotype" w:eastAsia="Palatino Linotype" w:hAnsi="Palatino Linotype" w:cs="Palatino Linotype"/>
              <w:sz w:val="22"/>
              <w:szCs w:val="22"/>
            </w:rPr>
          </w:pPr>
          <w:r w:rsidRPr="002C0B94">
            <w:fldChar w:fldCharType="end"/>
          </w:r>
        </w:p>
      </w:sdtContent>
    </w:sdt>
    <w:p w:rsidR="0084304D" w:rsidRPr="002C0B94" w:rsidRDefault="00EE6D31">
      <w:pPr>
        <w:spacing w:line="360" w:lineRule="auto"/>
        <w:ind w:right="-28"/>
        <w:jc w:val="both"/>
        <w:rPr>
          <w:rFonts w:ascii="Palatino Linotype" w:eastAsia="Palatino Linotype" w:hAnsi="Palatino Linotype" w:cs="Palatino Linotype"/>
          <w:sz w:val="22"/>
          <w:szCs w:val="22"/>
        </w:rPr>
      </w:pPr>
      <w:r w:rsidRPr="002C0B94">
        <w:br w:type="column"/>
      </w:r>
    </w:p>
    <w:p w:rsidR="0084304D" w:rsidRPr="002C0B94" w:rsidRDefault="00EE6D31">
      <w:pPr>
        <w:spacing w:line="360" w:lineRule="auto"/>
        <w:ind w:right="-28"/>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 fecha veintiséis de febrero de dos mil veinticinco.</w:t>
      </w:r>
    </w:p>
    <w:p w:rsidR="0084304D" w:rsidRPr="002C0B94" w:rsidRDefault="0084304D">
      <w:pPr>
        <w:spacing w:line="360" w:lineRule="auto"/>
        <w:ind w:right="-28"/>
        <w:jc w:val="both"/>
        <w:rPr>
          <w:rFonts w:ascii="Palatino Linotype" w:eastAsia="Palatino Linotype" w:hAnsi="Palatino Linotype" w:cs="Palatino Linotype"/>
          <w:sz w:val="22"/>
          <w:szCs w:val="22"/>
        </w:rPr>
      </w:pPr>
    </w:p>
    <w:p w:rsidR="0084304D" w:rsidRPr="002C0B94" w:rsidRDefault="00EE6D31">
      <w:pPr>
        <w:spacing w:line="360" w:lineRule="auto"/>
        <w:ind w:right="-28"/>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b/>
          <w:sz w:val="22"/>
          <w:szCs w:val="22"/>
        </w:rPr>
        <w:t xml:space="preserve">VISTO </w:t>
      </w:r>
      <w:r w:rsidRPr="002C0B94">
        <w:rPr>
          <w:rFonts w:ascii="Palatino Linotype" w:eastAsia="Palatino Linotype" w:hAnsi="Palatino Linotype" w:cs="Palatino Linotype"/>
          <w:sz w:val="22"/>
          <w:szCs w:val="22"/>
        </w:rPr>
        <w:t xml:space="preserve">el expediente conformado con motivo del Recurso de Revisión </w:t>
      </w:r>
      <w:r w:rsidRPr="002B609D">
        <w:rPr>
          <w:rFonts w:ascii="Palatino Linotype" w:eastAsia="Palatino Linotype" w:hAnsi="Palatino Linotype" w:cs="Palatino Linotype"/>
          <w:b/>
          <w:color w:val="0D0D0D"/>
          <w:sz w:val="22"/>
          <w:szCs w:val="22"/>
        </w:rPr>
        <w:t>0521/INFOEM/IP/RR/2025</w:t>
      </w:r>
      <w:r w:rsidRPr="002B609D">
        <w:rPr>
          <w:rFonts w:ascii="Palatino Linotype" w:eastAsia="Palatino Linotype" w:hAnsi="Palatino Linotype" w:cs="Palatino Linotype"/>
          <w:b/>
          <w:sz w:val="22"/>
          <w:szCs w:val="22"/>
        </w:rPr>
        <w:t>,</w:t>
      </w:r>
      <w:r w:rsidRPr="002C0B94">
        <w:rPr>
          <w:rFonts w:ascii="Palatino Linotype" w:eastAsia="Palatino Linotype" w:hAnsi="Palatino Linotype" w:cs="Palatino Linotype"/>
          <w:sz w:val="22"/>
          <w:szCs w:val="22"/>
        </w:rPr>
        <w:t xml:space="preserve"> interpuesto por el Recurrente o Particular, en contra de la respuesta del Sujeto Obligado, </w:t>
      </w:r>
      <w:bookmarkStart w:id="0" w:name="_GoBack"/>
      <w:r w:rsidRPr="002B609D">
        <w:rPr>
          <w:rFonts w:ascii="Palatino Linotype" w:eastAsia="Palatino Linotype" w:hAnsi="Palatino Linotype" w:cs="Palatino Linotype"/>
          <w:b/>
          <w:color w:val="000000"/>
          <w:sz w:val="22"/>
          <w:szCs w:val="22"/>
        </w:rPr>
        <w:t>Ayuntamiento de Toluca</w:t>
      </w:r>
      <w:bookmarkEnd w:id="0"/>
      <w:r w:rsidRPr="002C0B94">
        <w:rPr>
          <w:rFonts w:ascii="Palatino Linotype" w:eastAsia="Palatino Linotype" w:hAnsi="Palatino Linotype" w:cs="Palatino Linotype"/>
          <w:sz w:val="22"/>
          <w:szCs w:val="22"/>
        </w:rPr>
        <w:t>, a la solicitud de acceso a la información pública con número de folio 03418/TOLUCA/IP/2024, se emite la presente Resolución, con base en los Antecedentes y Considerandos que se exponen a continuación:</w:t>
      </w:r>
    </w:p>
    <w:p w:rsidR="0084304D" w:rsidRPr="002C0B94" w:rsidRDefault="0084304D">
      <w:pPr>
        <w:spacing w:line="360" w:lineRule="auto"/>
        <w:ind w:right="-28"/>
        <w:jc w:val="both"/>
        <w:rPr>
          <w:rFonts w:ascii="Palatino Linotype" w:eastAsia="Palatino Linotype" w:hAnsi="Palatino Linotype" w:cs="Palatino Linotype"/>
          <w:b/>
          <w:color w:val="0D0D0D"/>
          <w:sz w:val="22"/>
          <w:szCs w:val="22"/>
        </w:rPr>
      </w:pPr>
    </w:p>
    <w:p w:rsidR="0084304D" w:rsidRPr="002C0B94" w:rsidRDefault="00EE6D31">
      <w:pPr>
        <w:tabs>
          <w:tab w:val="center" w:pos="4522"/>
          <w:tab w:val="left" w:pos="7245"/>
          <w:tab w:val="right" w:pos="9044"/>
        </w:tabs>
        <w:spacing w:line="360" w:lineRule="auto"/>
        <w:ind w:right="-28"/>
        <w:jc w:val="center"/>
        <w:rPr>
          <w:rFonts w:ascii="Palatino Linotype" w:eastAsia="Palatino Linotype" w:hAnsi="Palatino Linotype" w:cs="Palatino Linotype"/>
          <w:b/>
          <w:sz w:val="22"/>
          <w:szCs w:val="22"/>
        </w:rPr>
      </w:pPr>
      <w:r w:rsidRPr="002C0B94">
        <w:rPr>
          <w:rFonts w:ascii="Palatino Linotype" w:eastAsia="Palatino Linotype" w:hAnsi="Palatino Linotype" w:cs="Palatino Linotype"/>
          <w:b/>
          <w:sz w:val="22"/>
          <w:szCs w:val="22"/>
        </w:rPr>
        <w:t>A N T E C E D E N T E S</w:t>
      </w:r>
    </w:p>
    <w:p w:rsidR="0084304D" w:rsidRPr="002C0B94" w:rsidRDefault="0084304D">
      <w:pPr>
        <w:tabs>
          <w:tab w:val="center" w:pos="4522"/>
          <w:tab w:val="left" w:pos="7245"/>
          <w:tab w:val="right" w:pos="9044"/>
        </w:tabs>
        <w:spacing w:line="360" w:lineRule="auto"/>
        <w:ind w:right="-28"/>
        <w:rPr>
          <w:rFonts w:ascii="Palatino Linotype" w:eastAsia="Palatino Linotype" w:hAnsi="Palatino Linotype" w:cs="Palatino Linotype"/>
          <w:b/>
          <w:sz w:val="22"/>
          <w:szCs w:val="22"/>
        </w:rPr>
      </w:pPr>
    </w:p>
    <w:p w:rsidR="0084304D" w:rsidRPr="002C0B94" w:rsidRDefault="00EE6D31">
      <w:pPr>
        <w:pBdr>
          <w:top w:val="nil"/>
          <w:left w:val="nil"/>
          <w:bottom w:val="nil"/>
          <w:right w:val="nil"/>
          <w:between w:val="nil"/>
        </w:pBdr>
        <w:tabs>
          <w:tab w:val="left" w:pos="567"/>
        </w:tabs>
        <w:spacing w:line="360" w:lineRule="auto"/>
        <w:ind w:right="-28"/>
        <w:jc w:val="both"/>
        <w:rPr>
          <w:rFonts w:ascii="Palatino Linotype" w:eastAsia="Palatino Linotype" w:hAnsi="Palatino Linotype" w:cs="Palatino Linotype"/>
          <w:b/>
          <w:color w:val="000000"/>
        </w:rPr>
      </w:pPr>
      <w:r w:rsidRPr="002C0B94">
        <w:rPr>
          <w:rFonts w:ascii="Palatino Linotype" w:eastAsia="Palatino Linotype" w:hAnsi="Palatino Linotype" w:cs="Palatino Linotype"/>
          <w:b/>
          <w:color w:val="000000"/>
          <w:sz w:val="22"/>
          <w:szCs w:val="22"/>
        </w:rPr>
        <w:t>I. Presentación de la solicitud de información</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 xml:space="preserve">Con fecha seis de diciembre de dos mil veinticuatro, el Particular presentó una solicitud de acceso a la información pública, a través del Sistema de Acceso a la Información Mexiquense (SAIMEX), ante el </w:t>
      </w:r>
      <w:r w:rsidRPr="002C0B94">
        <w:rPr>
          <w:rFonts w:ascii="Palatino Linotype" w:eastAsia="Palatino Linotype" w:hAnsi="Palatino Linotype" w:cs="Palatino Linotype"/>
          <w:color w:val="000000"/>
          <w:sz w:val="22"/>
          <w:szCs w:val="22"/>
        </w:rPr>
        <w:t>Ayuntamiento de Toluca,</w:t>
      </w:r>
      <w:r w:rsidRPr="002C0B94">
        <w:rPr>
          <w:rFonts w:ascii="Palatino Linotype" w:eastAsia="Palatino Linotype" w:hAnsi="Palatino Linotype" w:cs="Palatino Linotype"/>
          <w:b/>
          <w:sz w:val="22"/>
          <w:szCs w:val="22"/>
        </w:rPr>
        <w:t xml:space="preserve"> </w:t>
      </w:r>
      <w:r w:rsidRPr="002C0B94">
        <w:rPr>
          <w:rFonts w:ascii="Palatino Linotype" w:eastAsia="Palatino Linotype" w:hAnsi="Palatino Linotype" w:cs="Palatino Linotype"/>
          <w:sz w:val="22"/>
          <w:szCs w:val="22"/>
        </w:rPr>
        <w:t>mediante la cual requirió lo siguiente:</w:t>
      </w:r>
    </w:p>
    <w:p w:rsidR="0084304D" w:rsidRPr="002C0B94" w:rsidRDefault="0084304D">
      <w:pPr>
        <w:tabs>
          <w:tab w:val="left" w:pos="4667"/>
        </w:tabs>
        <w:spacing w:line="360" w:lineRule="auto"/>
        <w:ind w:right="567"/>
        <w:jc w:val="both"/>
        <w:rPr>
          <w:rFonts w:ascii="Palatino Linotype" w:eastAsia="Palatino Linotype" w:hAnsi="Palatino Linotype" w:cs="Palatino Linotype"/>
          <w:b/>
          <w:i/>
        </w:rPr>
      </w:pPr>
    </w:p>
    <w:p w:rsidR="0084304D" w:rsidRPr="002C0B94" w:rsidRDefault="00EE6D31">
      <w:pPr>
        <w:tabs>
          <w:tab w:val="left" w:pos="4667"/>
        </w:tabs>
        <w:spacing w:line="360" w:lineRule="auto"/>
        <w:ind w:left="567" w:right="567"/>
        <w:jc w:val="both"/>
        <w:rPr>
          <w:rFonts w:ascii="Palatino Linotype" w:eastAsia="Palatino Linotype" w:hAnsi="Palatino Linotype" w:cs="Palatino Linotype"/>
          <w:b/>
          <w:i/>
        </w:rPr>
      </w:pPr>
      <w:bookmarkStart w:id="1" w:name="_heading=h.gjdgxs" w:colFirst="0" w:colLast="0"/>
      <w:bookmarkEnd w:id="1"/>
      <w:r w:rsidRPr="002C0B94">
        <w:rPr>
          <w:rFonts w:ascii="Palatino Linotype" w:eastAsia="Palatino Linotype" w:hAnsi="Palatino Linotype" w:cs="Palatino Linotype"/>
          <w:b/>
          <w:i/>
        </w:rPr>
        <w:t>“DESCRIPCIÓN CLARA Y PRECISA DE LA INFORMACIÓN SOLICITADA:</w:t>
      </w:r>
    </w:p>
    <w:p w:rsidR="0084304D" w:rsidRPr="002C0B94" w:rsidRDefault="00EE6D31">
      <w:pPr>
        <w:spacing w:line="360" w:lineRule="auto"/>
        <w:ind w:left="567" w:right="567"/>
        <w:jc w:val="both"/>
        <w:rPr>
          <w:rFonts w:ascii="Palatino Linotype" w:eastAsia="Palatino Linotype" w:hAnsi="Palatino Linotype" w:cs="Palatino Linotype"/>
          <w:i/>
        </w:rPr>
      </w:pPr>
      <w:r w:rsidRPr="002C0B94">
        <w:rPr>
          <w:rFonts w:ascii="Palatino Linotype" w:eastAsia="Palatino Linotype" w:hAnsi="Palatino Linotype" w:cs="Palatino Linotype"/>
          <w:i/>
          <w:color w:val="000000"/>
        </w:rPr>
        <w:t xml:space="preserve">Cuanto gastaron en las noche buenas y </w:t>
      </w:r>
      <w:proofErr w:type="spellStart"/>
      <w:r w:rsidRPr="002C0B94">
        <w:rPr>
          <w:rFonts w:ascii="Palatino Linotype" w:eastAsia="Palatino Linotype" w:hAnsi="Palatino Linotype" w:cs="Palatino Linotype"/>
          <w:i/>
          <w:color w:val="000000"/>
        </w:rPr>
        <w:t>caunats</w:t>
      </w:r>
      <w:proofErr w:type="spellEnd"/>
      <w:r w:rsidRPr="002C0B94">
        <w:rPr>
          <w:rFonts w:ascii="Palatino Linotype" w:eastAsia="Palatino Linotype" w:hAnsi="Palatino Linotype" w:cs="Palatino Linotype"/>
          <w:i/>
          <w:color w:val="000000"/>
        </w:rPr>
        <w:t xml:space="preserve"> e colocaron por parque en la ciudad de </w:t>
      </w:r>
      <w:proofErr w:type="spellStart"/>
      <w:r w:rsidRPr="002C0B94">
        <w:rPr>
          <w:rFonts w:ascii="Palatino Linotype" w:eastAsia="Palatino Linotype" w:hAnsi="Palatino Linotype" w:cs="Palatino Linotype"/>
          <w:i/>
          <w:color w:val="000000"/>
        </w:rPr>
        <w:t>toluca</w:t>
      </w:r>
      <w:proofErr w:type="spellEnd"/>
      <w:r w:rsidRPr="002C0B94">
        <w:rPr>
          <w:rFonts w:ascii="Palatino Linotype" w:eastAsia="Palatino Linotype" w:hAnsi="Palatino Linotype" w:cs="Palatino Linotype"/>
          <w:i/>
          <w:color w:val="000000"/>
        </w:rPr>
        <w:t xml:space="preserve"> y delegaciones.</w:t>
      </w:r>
      <w:r w:rsidRPr="002C0B94">
        <w:rPr>
          <w:rFonts w:ascii="Palatino Linotype" w:eastAsia="Palatino Linotype" w:hAnsi="Palatino Linotype" w:cs="Palatino Linotype"/>
          <w:i/>
        </w:rPr>
        <w:t>” (Sic)</w:t>
      </w:r>
    </w:p>
    <w:p w:rsidR="0084304D" w:rsidRPr="002C0B94" w:rsidRDefault="0084304D">
      <w:pPr>
        <w:tabs>
          <w:tab w:val="left" w:pos="4667"/>
        </w:tabs>
        <w:spacing w:line="360" w:lineRule="auto"/>
        <w:ind w:left="567" w:right="567"/>
        <w:jc w:val="both"/>
        <w:rPr>
          <w:rFonts w:ascii="Palatino Linotype" w:eastAsia="Palatino Linotype" w:hAnsi="Palatino Linotype" w:cs="Palatino Linotype"/>
          <w:i/>
        </w:rPr>
      </w:pPr>
    </w:p>
    <w:p w:rsidR="0084304D" w:rsidRPr="002C0B94" w:rsidRDefault="00EE6D31">
      <w:pPr>
        <w:tabs>
          <w:tab w:val="left" w:pos="4667"/>
        </w:tabs>
        <w:spacing w:line="360" w:lineRule="auto"/>
        <w:ind w:left="567" w:right="567"/>
        <w:jc w:val="both"/>
        <w:rPr>
          <w:rFonts w:ascii="Palatino Linotype" w:eastAsia="Palatino Linotype" w:hAnsi="Palatino Linotype" w:cs="Palatino Linotype"/>
          <w:b/>
          <w:i/>
        </w:rPr>
      </w:pPr>
      <w:r w:rsidRPr="002C0B94">
        <w:rPr>
          <w:rFonts w:ascii="Palatino Linotype" w:eastAsia="Palatino Linotype" w:hAnsi="Palatino Linotype" w:cs="Palatino Linotype"/>
          <w:b/>
          <w:i/>
        </w:rPr>
        <w:t xml:space="preserve">“Modalidad de Entrega: </w:t>
      </w:r>
    </w:p>
    <w:p w:rsidR="0084304D" w:rsidRPr="002C0B94" w:rsidRDefault="00EE6D31">
      <w:pPr>
        <w:tabs>
          <w:tab w:val="left" w:pos="567"/>
        </w:tabs>
        <w:spacing w:line="360" w:lineRule="auto"/>
        <w:ind w:left="567" w:right="567"/>
        <w:jc w:val="both"/>
        <w:rPr>
          <w:rFonts w:ascii="Palatino Linotype" w:eastAsia="Palatino Linotype" w:hAnsi="Palatino Linotype" w:cs="Palatino Linotype"/>
          <w:i/>
        </w:rPr>
      </w:pPr>
      <w:r w:rsidRPr="002C0B94">
        <w:rPr>
          <w:rFonts w:ascii="Palatino Linotype" w:eastAsia="Palatino Linotype" w:hAnsi="Palatino Linotype" w:cs="Palatino Linotype"/>
          <w:b/>
          <w:i/>
        </w:rPr>
        <w:t xml:space="preserve"> </w:t>
      </w:r>
      <w:r w:rsidRPr="002C0B94">
        <w:rPr>
          <w:rFonts w:ascii="Palatino Linotype" w:eastAsia="Palatino Linotype" w:hAnsi="Palatino Linotype" w:cs="Palatino Linotype"/>
          <w:i/>
        </w:rPr>
        <w:t xml:space="preserve">A través de SAIMEX”  </w:t>
      </w:r>
    </w:p>
    <w:p w:rsidR="0084304D" w:rsidRPr="002C0B94" w:rsidRDefault="0084304D">
      <w:pPr>
        <w:spacing w:line="360" w:lineRule="auto"/>
        <w:rPr>
          <w:rFonts w:ascii="Palatino Linotype" w:eastAsia="Palatino Linotype" w:hAnsi="Palatino Linotype" w:cs="Palatino Linotype"/>
          <w:b/>
          <w:sz w:val="22"/>
          <w:szCs w:val="22"/>
        </w:rPr>
      </w:pPr>
      <w:bookmarkStart w:id="2" w:name="_heading=h.30j0zll" w:colFirst="0" w:colLast="0"/>
      <w:bookmarkEnd w:id="2"/>
    </w:p>
    <w:p w:rsidR="0084304D" w:rsidRPr="002C0B94" w:rsidRDefault="00EE6D31">
      <w:pPr>
        <w:pBdr>
          <w:top w:val="nil"/>
          <w:left w:val="nil"/>
          <w:bottom w:val="nil"/>
          <w:right w:val="nil"/>
          <w:between w:val="nil"/>
        </w:pBdr>
        <w:spacing w:line="360" w:lineRule="auto"/>
        <w:ind w:right="-30"/>
        <w:jc w:val="both"/>
        <w:rPr>
          <w:rFonts w:ascii="Palatino Linotype" w:eastAsia="Palatino Linotype" w:hAnsi="Palatino Linotype" w:cs="Palatino Linotype"/>
          <w:b/>
          <w:color w:val="000000"/>
          <w:sz w:val="22"/>
          <w:szCs w:val="22"/>
        </w:rPr>
      </w:pPr>
      <w:r w:rsidRPr="002C0B94">
        <w:rPr>
          <w:rFonts w:ascii="Palatino Linotype" w:eastAsia="Palatino Linotype" w:hAnsi="Palatino Linotype" w:cs="Palatino Linotype"/>
          <w:b/>
          <w:color w:val="000000"/>
          <w:sz w:val="22"/>
          <w:szCs w:val="22"/>
        </w:rPr>
        <w:t>II. Respuesta del Sujeto Obligado</w:t>
      </w:r>
    </w:p>
    <w:p w:rsidR="0084304D" w:rsidRPr="002C0B94" w:rsidRDefault="0084304D">
      <w:pPr>
        <w:tabs>
          <w:tab w:val="left" w:pos="4667"/>
        </w:tabs>
        <w:spacing w:line="360" w:lineRule="auto"/>
        <w:ind w:right="567"/>
        <w:jc w:val="both"/>
        <w:rPr>
          <w:rFonts w:ascii="Palatino Linotype" w:eastAsia="Palatino Linotype" w:hAnsi="Palatino Linotype" w:cs="Palatino Linotype"/>
          <w:b/>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Con fecha diecisiete de enero de dos mil veinticinco, el</w:t>
      </w:r>
      <w:r w:rsidRPr="002C0B94">
        <w:rPr>
          <w:rFonts w:ascii="Palatino Linotype" w:eastAsia="Palatino Linotype" w:hAnsi="Palatino Linotype" w:cs="Palatino Linotype"/>
          <w:b/>
          <w:sz w:val="22"/>
          <w:szCs w:val="22"/>
        </w:rPr>
        <w:t xml:space="preserve"> </w:t>
      </w:r>
      <w:r w:rsidRPr="002C0B94">
        <w:rPr>
          <w:rFonts w:ascii="Palatino Linotype" w:eastAsia="Palatino Linotype" w:hAnsi="Palatino Linotype" w:cs="Palatino Linotype"/>
          <w:sz w:val="22"/>
          <w:szCs w:val="22"/>
        </w:rPr>
        <w:t>Sujeto Obligado dio respuesta a la solicitud de acceso a la información a través del Sistema de Acceso a la Información Mexiquense (SAIMEX), por medio del oficio sin número, de fecha de su recepción, suscrito por el Titular de la Unidad de Transparencia, dirigido al Solicitante, por medio del cual manifiesta y expone esencialmente lo siguiente:</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ind w:left="567" w:right="567"/>
        <w:jc w:val="both"/>
        <w:rPr>
          <w:rFonts w:ascii="Palatino Linotype" w:eastAsia="Palatino Linotype" w:hAnsi="Palatino Linotype" w:cs="Palatino Linotype"/>
          <w:i/>
        </w:rPr>
      </w:pPr>
      <w:r w:rsidRPr="002C0B94">
        <w:rPr>
          <w:rFonts w:ascii="Palatino Linotype" w:eastAsia="Palatino Linotype" w:hAnsi="Palatino Linotype" w:cs="Palatino Linotype"/>
          <w:i/>
        </w:rPr>
        <w:t>“… hago de su conocimiento que la Dirección General de Servicios Públicos y Servidor Público Habilitado, informó que el Departamento de Parques y Jardines colocó 35,000 plantas de nochebuena como se describe en la siguiente tabla:</w:t>
      </w:r>
    </w:p>
    <w:p w:rsidR="0084304D" w:rsidRPr="002C0B94" w:rsidRDefault="0084304D">
      <w:pPr>
        <w:spacing w:line="360" w:lineRule="auto"/>
        <w:ind w:left="567" w:right="567"/>
        <w:jc w:val="both"/>
        <w:rPr>
          <w:rFonts w:ascii="Palatino Linotype" w:eastAsia="Palatino Linotype" w:hAnsi="Palatino Linotype" w:cs="Palatino Linotype"/>
          <w:i/>
        </w:rPr>
      </w:pPr>
    </w:p>
    <w:p w:rsidR="0084304D" w:rsidRPr="002C0B94" w:rsidRDefault="00EE6D31">
      <w:pPr>
        <w:spacing w:line="360" w:lineRule="auto"/>
        <w:ind w:left="567" w:right="567"/>
        <w:jc w:val="both"/>
        <w:rPr>
          <w:rFonts w:ascii="Palatino Linotype" w:eastAsia="Palatino Linotype" w:hAnsi="Palatino Linotype" w:cs="Palatino Linotype"/>
          <w:i/>
        </w:rPr>
      </w:pPr>
      <w:r w:rsidRPr="002C0B94">
        <w:rPr>
          <w:rFonts w:ascii="Palatino Linotype" w:eastAsia="Palatino Linotype" w:hAnsi="Palatino Linotype" w:cs="Palatino Linotype"/>
          <w:i/>
          <w:noProof/>
          <w:lang w:eastAsia="es-MX"/>
        </w:rPr>
        <w:drawing>
          <wp:inline distT="0" distB="0" distL="0" distR="0">
            <wp:extent cx="5173202" cy="2009610"/>
            <wp:effectExtent l="0" t="0" r="0" b="0"/>
            <wp:docPr id="20728962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173202" cy="2009610"/>
                    </a:xfrm>
                    <a:prstGeom prst="rect">
                      <a:avLst/>
                    </a:prstGeom>
                    <a:ln/>
                  </pic:spPr>
                </pic:pic>
              </a:graphicData>
            </a:graphic>
          </wp:inline>
        </w:drawing>
      </w:r>
    </w:p>
    <w:p w:rsidR="0084304D" w:rsidRPr="002C0B94" w:rsidRDefault="0084304D">
      <w:pPr>
        <w:spacing w:line="360" w:lineRule="auto"/>
        <w:ind w:left="567" w:right="567"/>
        <w:jc w:val="both"/>
        <w:rPr>
          <w:rFonts w:ascii="Palatino Linotype" w:eastAsia="Palatino Linotype" w:hAnsi="Palatino Linotype" w:cs="Palatino Linotype"/>
          <w:i/>
        </w:rPr>
      </w:pPr>
    </w:p>
    <w:p w:rsidR="0084304D" w:rsidRPr="002C0B94" w:rsidRDefault="00EE6D31">
      <w:pPr>
        <w:spacing w:line="360" w:lineRule="auto"/>
        <w:ind w:left="567" w:right="567"/>
        <w:jc w:val="both"/>
        <w:rPr>
          <w:rFonts w:ascii="Palatino Linotype" w:eastAsia="Palatino Linotype" w:hAnsi="Palatino Linotype" w:cs="Palatino Linotype"/>
          <w:i/>
        </w:rPr>
      </w:pPr>
      <w:r w:rsidRPr="002C0B94">
        <w:rPr>
          <w:rFonts w:ascii="Palatino Linotype" w:eastAsia="Palatino Linotype" w:hAnsi="Palatino Linotype" w:cs="Palatino Linotype"/>
          <w:i/>
        </w:rPr>
        <w:t>Respecto al gasto realizado en la compra de noche buenas, la Tesorería Municipal y Servidor Público Habilitado hace mención a que se encuentra realizando los registros contables y presupuestales del ejercicio fiscal 2024 y a la fecha de la presente solicitud, aún no se cuenta con la información correspondiente a los meses de octubre, noviembre y diciembre pertenecientes al cuarto trimestre, por lo cual se hace referencia a que dicha información se está generando.</w:t>
      </w:r>
    </w:p>
    <w:p w:rsidR="0084304D" w:rsidRPr="002C0B94" w:rsidRDefault="0084304D">
      <w:pPr>
        <w:spacing w:line="360" w:lineRule="auto"/>
        <w:ind w:left="567" w:right="567"/>
        <w:jc w:val="both"/>
        <w:rPr>
          <w:rFonts w:ascii="Palatino Linotype" w:eastAsia="Palatino Linotype" w:hAnsi="Palatino Linotype" w:cs="Palatino Linotype"/>
          <w:i/>
        </w:rPr>
      </w:pPr>
    </w:p>
    <w:p w:rsidR="0084304D" w:rsidRPr="002C0B94" w:rsidRDefault="00EE6D31">
      <w:pPr>
        <w:spacing w:line="360" w:lineRule="auto"/>
        <w:ind w:left="567" w:right="567"/>
        <w:jc w:val="both"/>
        <w:rPr>
          <w:rFonts w:ascii="Palatino Linotype" w:eastAsia="Palatino Linotype" w:hAnsi="Palatino Linotype" w:cs="Palatino Linotype"/>
          <w:i/>
        </w:rPr>
      </w:pPr>
      <w:r w:rsidRPr="002C0B94">
        <w:rPr>
          <w:rFonts w:ascii="Palatino Linotype" w:eastAsia="Palatino Linotype" w:hAnsi="Palatino Linotype" w:cs="Palatino Linotype"/>
          <w:i/>
        </w:rPr>
        <w:t xml:space="preserve">Finalmente, la Dirección de Recursos Materiales después de una búsqueda exhaustiva y razonable, informa de acuerdo al criterio de Interpretación 3/19 Periodo de búsqueda de la información: </w:t>
      </w:r>
      <w:r w:rsidRPr="002C0B94">
        <w:rPr>
          <w:rFonts w:ascii="Palatino Linotype" w:eastAsia="Palatino Linotype" w:hAnsi="Palatino Linotype" w:cs="Palatino Linotype"/>
          <w:i/>
        </w:rPr>
        <w:lastRenderedPageBreak/>
        <w:t xml:space="preserve">“Cuando la persona solicitante no señale periodo respecto del cual requiere la  información se considerará que el requerimiento se refiere al año inmediato anterior, contando a partir de la recepción de la solicitud”, en tal sentido, la información que nos ocupa deberá corresponder al ejercicio 2023. Atento a lo anterior, se informa que dentro de los archivos que obran en esta Dirección y sus Departamentos, no se localizó expediente para la adquisición de nochebuenas…” </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ind w:right="-28"/>
        <w:jc w:val="both"/>
        <w:rPr>
          <w:rFonts w:ascii="Palatino Linotype" w:eastAsia="Palatino Linotype" w:hAnsi="Palatino Linotype" w:cs="Palatino Linotype"/>
          <w:b/>
          <w:sz w:val="22"/>
          <w:szCs w:val="22"/>
        </w:rPr>
      </w:pPr>
      <w:r w:rsidRPr="002C0B94">
        <w:rPr>
          <w:rFonts w:ascii="Palatino Linotype" w:eastAsia="Palatino Linotype" w:hAnsi="Palatino Linotype" w:cs="Palatino Linotype"/>
          <w:b/>
          <w:sz w:val="22"/>
          <w:szCs w:val="22"/>
        </w:rPr>
        <w:t>III. Interposición del Recurso de Revisión</w:t>
      </w:r>
    </w:p>
    <w:p w:rsidR="0084304D" w:rsidRPr="002C0B94" w:rsidRDefault="0084304D">
      <w:pPr>
        <w:spacing w:line="360" w:lineRule="auto"/>
        <w:ind w:right="-28"/>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Con fecha cuatro de febrero de dos mil veinticinco, se recibió en este Instituto, a través del Sistema de Acceso a la Información Mexiquense (SAIMEX), el Recurso de Revisión interpuesto por la parte Recurrente, en contra de la respuesta del Sujeto Obligado</w:t>
      </w:r>
      <w:r w:rsidRPr="002C0B94">
        <w:rPr>
          <w:rFonts w:ascii="Palatino Linotype" w:eastAsia="Palatino Linotype" w:hAnsi="Palatino Linotype" w:cs="Palatino Linotype"/>
          <w:b/>
          <w:sz w:val="22"/>
          <w:szCs w:val="22"/>
        </w:rPr>
        <w:t xml:space="preserve">, ya que si bien, se presentó el tres de dicho mes y año, lo cierto es que fue inhábil, por lo que se tuvo por presentado el día hábil subsecuente, </w:t>
      </w:r>
      <w:r w:rsidRPr="002C0B94">
        <w:rPr>
          <w:rFonts w:ascii="Palatino Linotype" w:eastAsia="Palatino Linotype" w:hAnsi="Palatino Linotype" w:cs="Palatino Linotype"/>
          <w:sz w:val="22"/>
          <w:szCs w:val="22"/>
        </w:rPr>
        <w:t>en los siguientes términos:</w:t>
      </w:r>
    </w:p>
    <w:p w:rsidR="0084304D" w:rsidRPr="002C0B94" w:rsidRDefault="0084304D">
      <w:pPr>
        <w:spacing w:line="360" w:lineRule="auto"/>
        <w:ind w:right="-28"/>
        <w:jc w:val="both"/>
        <w:rPr>
          <w:rFonts w:ascii="Palatino Linotype" w:eastAsia="Palatino Linotype" w:hAnsi="Palatino Linotype" w:cs="Palatino Linotype"/>
          <w:i/>
        </w:rPr>
      </w:pPr>
    </w:p>
    <w:p w:rsidR="0084304D" w:rsidRPr="002C0B94" w:rsidRDefault="00EE6D31">
      <w:pPr>
        <w:tabs>
          <w:tab w:val="left" w:pos="4667"/>
        </w:tabs>
        <w:spacing w:line="360" w:lineRule="auto"/>
        <w:ind w:left="567" w:right="567"/>
        <w:jc w:val="both"/>
        <w:rPr>
          <w:rFonts w:ascii="Palatino Linotype" w:eastAsia="Palatino Linotype" w:hAnsi="Palatino Linotype" w:cs="Palatino Linotype"/>
          <w:b/>
          <w:i/>
        </w:rPr>
      </w:pPr>
      <w:r w:rsidRPr="002C0B94">
        <w:rPr>
          <w:rFonts w:ascii="Palatino Linotype" w:eastAsia="Palatino Linotype" w:hAnsi="Palatino Linotype" w:cs="Palatino Linotype"/>
          <w:b/>
          <w:i/>
        </w:rPr>
        <w:t>“ACTO IMPUGNADO</w:t>
      </w:r>
    </w:p>
    <w:p w:rsidR="0084304D" w:rsidRPr="002C0B94" w:rsidRDefault="00EE6D31">
      <w:pPr>
        <w:spacing w:line="360" w:lineRule="auto"/>
        <w:ind w:left="567" w:right="567"/>
        <w:jc w:val="both"/>
        <w:rPr>
          <w:rFonts w:ascii="Palatino Linotype" w:eastAsia="Palatino Linotype" w:hAnsi="Palatino Linotype" w:cs="Palatino Linotype"/>
          <w:i/>
        </w:rPr>
      </w:pPr>
      <w:r w:rsidRPr="002C0B94">
        <w:rPr>
          <w:rFonts w:ascii="Palatino Linotype" w:eastAsia="Palatino Linotype" w:hAnsi="Palatino Linotype" w:cs="Palatino Linotype"/>
          <w:i/>
          <w:color w:val="000000"/>
        </w:rPr>
        <w:t xml:space="preserve">No dan el costo que es lo que se </w:t>
      </w:r>
      <w:proofErr w:type="spellStart"/>
      <w:r w:rsidRPr="002C0B94">
        <w:rPr>
          <w:rFonts w:ascii="Palatino Linotype" w:eastAsia="Palatino Linotype" w:hAnsi="Palatino Linotype" w:cs="Palatino Linotype"/>
          <w:i/>
          <w:color w:val="000000"/>
        </w:rPr>
        <w:t>solicito</w:t>
      </w:r>
      <w:proofErr w:type="spellEnd"/>
      <w:r w:rsidRPr="002C0B94">
        <w:rPr>
          <w:rFonts w:ascii="Palatino Linotype" w:eastAsia="Palatino Linotype" w:hAnsi="Palatino Linotype" w:cs="Palatino Linotype"/>
          <w:i/>
          <w:color w:val="000000"/>
        </w:rPr>
        <w:t>.</w:t>
      </w:r>
      <w:r w:rsidRPr="002C0B94">
        <w:rPr>
          <w:rFonts w:ascii="Palatino Linotype" w:eastAsia="Palatino Linotype" w:hAnsi="Palatino Linotype" w:cs="Palatino Linotype"/>
          <w:i/>
        </w:rPr>
        <w:t>” (Sic.)</w:t>
      </w:r>
    </w:p>
    <w:p w:rsidR="0084304D" w:rsidRPr="002C0B94" w:rsidRDefault="0084304D">
      <w:pPr>
        <w:tabs>
          <w:tab w:val="left" w:pos="4667"/>
        </w:tabs>
        <w:spacing w:line="360" w:lineRule="auto"/>
        <w:ind w:left="567" w:right="567"/>
        <w:jc w:val="both"/>
        <w:rPr>
          <w:rFonts w:ascii="Palatino Linotype" w:eastAsia="Palatino Linotype" w:hAnsi="Palatino Linotype" w:cs="Palatino Linotype"/>
          <w:i/>
        </w:rPr>
      </w:pPr>
    </w:p>
    <w:p w:rsidR="0084304D" w:rsidRPr="002C0B94" w:rsidRDefault="00EE6D31">
      <w:pPr>
        <w:tabs>
          <w:tab w:val="left" w:pos="4667"/>
        </w:tabs>
        <w:spacing w:line="360" w:lineRule="auto"/>
        <w:ind w:left="567" w:right="567"/>
        <w:jc w:val="both"/>
        <w:rPr>
          <w:rFonts w:ascii="Palatino Linotype" w:eastAsia="Palatino Linotype" w:hAnsi="Palatino Linotype" w:cs="Palatino Linotype"/>
          <w:b/>
          <w:i/>
        </w:rPr>
      </w:pPr>
      <w:r w:rsidRPr="002C0B94">
        <w:rPr>
          <w:rFonts w:ascii="Palatino Linotype" w:eastAsia="Palatino Linotype" w:hAnsi="Palatino Linotype" w:cs="Palatino Linotype"/>
          <w:b/>
          <w:i/>
        </w:rPr>
        <w:t>“RAZONES O MOTIVOS DE LA INCONFORMIDAD</w:t>
      </w:r>
    </w:p>
    <w:p w:rsidR="0084304D" w:rsidRPr="002C0B94" w:rsidRDefault="00EE6D31">
      <w:pPr>
        <w:spacing w:line="360" w:lineRule="auto"/>
        <w:ind w:left="567" w:right="567"/>
        <w:jc w:val="both"/>
        <w:rPr>
          <w:rFonts w:ascii="Palatino Linotype" w:eastAsia="Palatino Linotype" w:hAnsi="Palatino Linotype" w:cs="Palatino Linotype"/>
          <w:i/>
        </w:rPr>
      </w:pPr>
      <w:r w:rsidRPr="002C0B94">
        <w:rPr>
          <w:rFonts w:ascii="Palatino Linotype" w:eastAsia="Palatino Linotype" w:hAnsi="Palatino Linotype" w:cs="Palatino Linotype"/>
          <w:i/>
          <w:color w:val="000000"/>
        </w:rPr>
        <w:t xml:space="preserve">No </w:t>
      </w:r>
      <w:proofErr w:type="spellStart"/>
      <w:r w:rsidRPr="002C0B94">
        <w:rPr>
          <w:rFonts w:ascii="Palatino Linotype" w:eastAsia="Palatino Linotype" w:hAnsi="Palatino Linotype" w:cs="Palatino Linotype"/>
          <w:i/>
          <w:color w:val="000000"/>
        </w:rPr>
        <w:t>esta</w:t>
      </w:r>
      <w:proofErr w:type="spellEnd"/>
      <w:r w:rsidRPr="002C0B94">
        <w:rPr>
          <w:rFonts w:ascii="Palatino Linotype" w:eastAsia="Palatino Linotype" w:hAnsi="Palatino Linotype" w:cs="Palatino Linotype"/>
          <w:i/>
          <w:color w:val="000000"/>
        </w:rPr>
        <w:t xml:space="preserve"> completo no dan los costos.</w:t>
      </w:r>
      <w:r w:rsidRPr="002C0B94">
        <w:rPr>
          <w:rFonts w:ascii="Palatino Linotype" w:eastAsia="Palatino Linotype" w:hAnsi="Palatino Linotype" w:cs="Palatino Linotype"/>
          <w:i/>
        </w:rPr>
        <w:t>” (Sic)</w:t>
      </w:r>
    </w:p>
    <w:p w:rsidR="0084304D" w:rsidRPr="002C0B94" w:rsidRDefault="0084304D">
      <w:pPr>
        <w:spacing w:line="360" w:lineRule="auto"/>
        <w:ind w:right="-28"/>
        <w:jc w:val="both"/>
        <w:rPr>
          <w:rFonts w:ascii="Palatino Linotype" w:eastAsia="Palatino Linotype" w:hAnsi="Palatino Linotype" w:cs="Palatino Linotype"/>
          <w:b/>
          <w:sz w:val="22"/>
          <w:szCs w:val="22"/>
        </w:rPr>
      </w:pPr>
    </w:p>
    <w:p w:rsidR="0084304D" w:rsidRPr="002C0B94" w:rsidRDefault="00EE6D31">
      <w:pPr>
        <w:spacing w:line="360" w:lineRule="auto"/>
        <w:ind w:right="-28"/>
        <w:jc w:val="both"/>
        <w:rPr>
          <w:rFonts w:ascii="Palatino Linotype" w:eastAsia="Palatino Linotype" w:hAnsi="Palatino Linotype" w:cs="Palatino Linotype"/>
          <w:b/>
          <w:sz w:val="22"/>
          <w:szCs w:val="22"/>
        </w:rPr>
      </w:pPr>
      <w:r w:rsidRPr="002C0B94">
        <w:rPr>
          <w:rFonts w:ascii="Palatino Linotype" w:eastAsia="Palatino Linotype" w:hAnsi="Palatino Linotype" w:cs="Palatino Linotype"/>
          <w:b/>
          <w:sz w:val="22"/>
          <w:szCs w:val="22"/>
        </w:rPr>
        <w:t>IV. Trámite del Recurso de Revisión ante el Instituto</w:t>
      </w:r>
    </w:p>
    <w:p w:rsidR="0084304D" w:rsidRPr="002C0B94" w:rsidRDefault="0084304D">
      <w:pPr>
        <w:spacing w:line="360" w:lineRule="auto"/>
        <w:ind w:right="-28"/>
        <w:jc w:val="both"/>
        <w:rPr>
          <w:rFonts w:ascii="Palatino Linotype" w:eastAsia="Palatino Linotype" w:hAnsi="Palatino Linotype" w:cs="Palatino Linotype"/>
          <w:b/>
          <w:sz w:val="22"/>
          <w:szCs w:val="22"/>
        </w:rPr>
      </w:pPr>
    </w:p>
    <w:p w:rsidR="0084304D" w:rsidRPr="002C0B94" w:rsidRDefault="00EE6D31">
      <w:pPr>
        <w:spacing w:line="360" w:lineRule="auto"/>
        <w:ind w:right="-28"/>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b/>
          <w:sz w:val="22"/>
          <w:szCs w:val="22"/>
        </w:rPr>
        <w:t xml:space="preserve">a) Turno del Recurso de Revisión. </w:t>
      </w:r>
      <w:r w:rsidRPr="002C0B94">
        <w:rPr>
          <w:rFonts w:ascii="Palatino Linotype" w:eastAsia="Palatino Linotype" w:hAnsi="Palatino Linotype" w:cs="Palatino Linotype"/>
          <w:sz w:val="22"/>
          <w:szCs w:val="22"/>
        </w:rPr>
        <w:t xml:space="preserve">El tres de febrero de dos mil veinticinco, el Sistema de Acceso a la Información Mexiquense (SAIMEX), asignó el número de expediente </w:t>
      </w:r>
      <w:r w:rsidRPr="002C0B94">
        <w:rPr>
          <w:rFonts w:ascii="Palatino Linotype" w:eastAsia="Palatino Linotype" w:hAnsi="Palatino Linotype" w:cs="Palatino Linotype"/>
          <w:b/>
          <w:sz w:val="22"/>
          <w:szCs w:val="22"/>
        </w:rPr>
        <w:t xml:space="preserve">0521/INFOEM/IP/RR/2025, </w:t>
      </w:r>
      <w:r w:rsidRPr="002C0B94">
        <w:rPr>
          <w:rFonts w:ascii="Palatino Linotype" w:eastAsia="Palatino Linotype" w:hAnsi="Palatino Linotype" w:cs="Palatino Linotype"/>
          <w:sz w:val="22"/>
          <w:szCs w:val="22"/>
        </w:rPr>
        <w:t xml:space="preserve">al Recurso de Revisión y lo turnó al Comisionado Ponente </w:t>
      </w:r>
      <w:r w:rsidRPr="002C0B94">
        <w:rPr>
          <w:rFonts w:ascii="Palatino Linotype" w:eastAsia="Palatino Linotype" w:hAnsi="Palatino Linotype" w:cs="Palatino Linotype"/>
          <w:b/>
          <w:sz w:val="22"/>
          <w:szCs w:val="22"/>
        </w:rPr>
        <w:t>Luis Gustavo Parra Noriega</w:t>
      </w:r>
      <w:r w:rsidRPr="002C0B94">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rsidR="0084304D" w:rsidRPr="002C0B94" w:rsidRDefault="0084304D">
      <w:pPr>
        <w:spacing w:line="360" w:lineRule="auto"/>
        <w:ind w:right="-28"/>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b/>
          <w:sz w:val="22"/>
          <w:szCs w:val="22"/>
        </w:rPr>
        <w:lastRenderedPageBreak/>
        <w:t xml:space="preserve">b) Admisión del Recurso de Revisión. </w:t>
      </w:r>
      <w:r w:rsidRPr="002C0B94">
        <w:rPr>
          <w:rFonts w:ascii="Palatino Linotype" w:eastAsia="Palatino Linotype" w:hAnsi="Palatino Linotype" w:cs="Palatino Linotype"/>
          <w:sz w:val="22"/>
          <w:szCs w:val="22"/>
        </w:rPr>
        <w:t>El seis de febrero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b/>
          <w:sz w:val="22"/>
          <w:szCs w:val="22"/>
        </w:rPr>
        <w:t xml:space="preserve">c) Informe Justificado. </w:t>
      </w:r>
      <w:r w:rsidRPr="002C0B94">
        <w:rPr>
          <w:rFonts w:ascii="Palatino Linotype" w:eastAsia="Palatino Linotype" w:hAnsi="Palatino Linotype" w:cs="Palatino Linotype"/>
          <w:sz w:val="22"/>
          <w:szCs w:val="22"/>
        </w:rPr>
        <w:t>Con fecha diecisiete de febrero de dos mil veinticinco, se recibió en este Instituto, a través del Sistema de Acceso a la Información Mexiquense (SAIMEX), el Informe Justificado, por parte del Sujeto Obligado, a través del oficio sin número, de fecha de su presentación, suscrito por el Titular de la Unidad de Transparencia, dirigido al Comisionado Ponente, por medio del cual esencialmente ratifica su respuesta inicial.</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b/>
          <w:sz w:val="22"/>
          <w:szCs w:val="22"/>
        </w:rPr>
      </w:pPr>
      <w:r w:rsidRPr="002C0B94">
        <w:rPr>
          <w:rFonts w:ascii="Palatino Linotype" w:eastAsia="Palatino Linotype" w:hAnsi="Palatino Linotype" w:cs="Palatino Linotype"/>
          <w:b/>
          <w:sz w:val="22"/>
          <w:szCs w:val="22"/>
        </w:rPr>
        <w:t xml:space="preserve">d) Vista del Informe Justificado. </w:t>
      </w:r>
      <w:r w:rsidRPr="002C0B94">
        <w:rPr>
          <w:rFonts w:ascii="Palatino Linotype" w:eastAsia="Palatino Linotype" w:hAnsi="Palatino Linotype" w:cs="Palatino Linotype"/>
          <w:sz w:val="22"/>
          <w:szCs w:val="22"/>
        </w:rPr>
        <w:t>El diecisiete de febrero de dos mil veinticinco, se notificó a través del SAIMEX, el acuerdo mediante el cual se puso a la vista del Particular el Informe Justificado, proveído por el cual se le otorgó a este último, un término de tres días hábiles contados a partir del día siguiente a la notificación, para que emitiera las manifestaciones que conforme a sus intereses mayor conviniera.</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b/>
          <w:sz w:val="22"/>
          <w:szCs w:val="22"/>
        </w:rPr>
      </w:pPr>
      <w:r w:rsidRPr="002C0B94">
        <w:rPr>
          <w:rFonts w:ascii="Palatino Linotype" w:eastAsia="Palatino Linotype" w:hAnsi="Palatino Linotype" w:cs="Palatino Linotype"/>
          <w:b/>
          <w:sz w:val="22"/>
          <w:szCs w:val="22"/>
        </w:rPr>
        <w:t xml:space="preserve">e) Cierre de instrucción. </w:t>
      </w:r>
      <w:r w:rsidRPr="002C0B94">
        <w:rPr>
          <w:rFonts w:ascii="Palatino Linotype" w:eastAsia="Palatino Linotype" w:hAnsi="Palatino Linotype" w:cs="Palatino Linotype"/>
          <w:sz w:val="22"/>
          <w:szCs w:val="22"/>
        </w:rPr>
        <w:t>El veinticinco de febrero de dos mil veinticinco,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Sistema de Acceso a la Información Mexiquense (SAIMEX).</w:t>
      </w:r>
    </w:p>
    <w:p w:rsidR="0084304D" w:rsidRPr="002C0B94" w:rsidRDefault="0084304D">
      <w:pPr>
        <w:spacing w:line="360" w:lineRule="auto"/>
        <w:ind w:right="-28"/>
        <w:jc w:val="both"/>
        <w:rPr>
          <w:rFonts w:ascii="Palatino Linotype" w:eastAsia="Palatino Linotype" w:hAnsi="Palatino Linotype" w:cs="Palatino Linotype"/>
          <w:sz w:val="22"/>
          <w:szCs w:val="22"/>
        </w:rPr>
      </w:pPr>
    </w:p>
    <w:p w:rsidR="0084304D" w:rsidRPr="002C0B94" w:rsidRDefault="00EE6D31">
      <w:pPr>
        <w:spacing w:line="360" w:lineRule="auto"/>
        <w:ind w:right="-28"/>
        <w:jc w:val="both"/>
        <w:rPr>
          <w:rFonts w:ascii="Palatino Linotype" w:eastAsia="Palatino Linotype" w:hAnsi="Palatino Linotype" w:cs="Palatino Linotype"/>
          <w:color w:val="000000"/>
          <w:sz w:val="22"/>
          <w:szCs w:val="22"/>
        </w:rPr>
      </w:pPr>
      <w:r w:rsidRPr="002C0B94">
        <w:rPr>
          <w:rFonts w:ascii="Palatino Linotype" w:eastAsia="Palatino Linotype" w:hAnsi="Palatino Linotype" w:cs="Palatino Linotype"/>
          <w:color w:val="000000"/>
          <w:sz w:val="22"/>
          <w:szCs w:val="22"/>
        </w:rPr>
        <w:lastRenderedPageBreak/>
        <w:t>En razón de que fue debidamente sustanciado el expediente electrónico y no existe diligencia pendiente de desahogo, se emite la resolución que conforme a Derecho proceda, de acuerdo a los siguientes:</w:t>
      </w:r>
    </w:p>
    <w:p w:rsidR="0084304D" w:rsidRPr="002C0B94" w:rsidRDefault="0084304D">
      <w:pPr>
        <w:spacing w:line="360" w:lineRule="auto"/>
        <w:ind w:right="-28"/>
        <w:jc w:val="both"/>
        <w:rPr>
          <w:rFonts w:ascii="Palatino Linotype" w:eastAsia="Palatino Linotype" w:hAnsi="Palatino Linotype" w:cs="Palatino Linotype"/>
          <w:color w:val="000000"/>
          <w:sz w:val="22"/>
          <w:szCs w:val="22"/>
        </w:rPr>
      </w:pPr>
    </w:p>
    <w:p w:rsidR="0084304D" w:rsidRPr="002C0B94" w:rsidRDefault="00EE6D31">
      <w:pPr>
        <w:spacing w:line="360" w:lineRule="auto"/>
        <w:ind w:right="-28"/>
        <w:jc w:val="center"/>
        <w:rPr>
          <w:rFonts w:ascii="Palatino Linotype" w:eastAsia="Palatino Linotype" w:hAnsi="Palatino Linotype" w:cs="Palatino Linotype"/>
          <w:b/>
          <w:sz w:val="22"/>
          <w:szCs w:val="22"/>
        </w:rPr>
      </w:pPr>
      <w:r w:rsidRPr="002C0B94">
        <w:rPr>
          <w:rFonts w:ascii="Palatino Linotype" w:eastAsia="Palatino Linotype" w:hAnsi="Palatino Linotype" w:cs="Palatino Linotype"/>
          <w:b/>
          <w:sz w:val="22"/>
          <w:szCs w:val="22"/>
        </w:rPr>
        <w:t>C O N S I D E R A N D O S</w:t>
      </w:r>
    </w:p>
    <w:p w:rsidR="0084304D" w:rsidRPr="002C0B94" w:rsidRDefault="0084304D">
      <w:pPr>
        <w:spacing w:line="360" w:lineRule="auto"/>
        <w:ind w:right="-28"/>
        <w:jc w:val="center"/>
        <w:rPr>
          <w:rFonts w:ascii="Palatino Linotype" w:eastAsia="Palatino Linotype" w:hAnsi="Palatino Linotype" w:cs="Palatino Linotype"/>
          <w:b/>
          <w:sz w:val="22"/>
          <w:szCs w:val="22"/>
        </w:rPr>
      </w:pPr>
    </w:p>
    <w:p w:rsidR="0084304D" w:rsidRPr="002C0B94" w:rsidRDefault="00EE6D31">
      <w:pPr>
        <w:spacing w:line="360" w:lineRule="auto"/>
        <w:ind w:right="-28"/>
        <w:jc w:val="both"/>
        <w:rPr>
          <w:rFonts w:ascii="Palatino Linotype" w:eastAsia="Palatino Linotype" w:hAnsi="Palatino Linotype" w:cs="Palatino Linotype"/>
          <w:b/>
          <w:sz w:val="22"/>
          <w:szCs w:val="22"/>
        </w:rPr>
      </w:pPr>
      <w:r w:rsidRPr="002C0B94">
        <w:rPr>
          <w:rFonts w:ascii="Palatino Linotype" w:eastAsia="Palatino Linotype" w:hAnsi="Palatino Linotype" w:cs="Palatino Linotype"/>
          <w:b/>
          <w:color w:val="000000"/>
          <w:sz w:val="22"/>
          <w:szCs w:val="22"/>
        </w:rPr>
        <w:t>PRIMERO</w:t>
      </w:r>
      <w:r w:rsidRPr="002C0B94">
        <w:rPr>
          <w:rFonts w:ascii="Palatino Linotype" w:eastAsia="Palatino Linotype" w:hAnsi="Palatino Linotype" w:cs="Palatino Linotype"/>
          <w:color w:val="000000"/>
          <w:sz w:val="22"/>
          <w:szCs w:val="22"/>
        </w:rPr>
        <w:t xml:space="preserve">. </w:t>
      </w:r>
      <w:r w:rsidRPr="002C0B94">
        <w:rPr>
          <w:rFonts w:ascii="Palatino Linotype" w:eastAsia="Palatino Linotype" w:hAnsi="Palatino Linotype" w:cs="Palatino Linotype"/>
          <w:b/>
          <w:sz w:val="22"/>
          <w:szCs w:val="22"/>
        </w:rPr>
        <w:t>Competencia</w:t>
      </w:r>
    </w:p>
    <w:p w:rsidR="0084304D" w:rsidRPr="002C0B94" w:rsidRDefault="0084304D">
      <w:pPr>
        <w:spacing w:line="360" w:lineRule="auto"/>
        <w:ind w:right="-28"/>
        <w:jc w:val="both"/>
        <w:rPr>
          <w:rFonts w:ascii="Palatino Linotype" w:eastAsia="Palatino Linotype" w:hAnsi="Palatino Linotype" w:cs="Palatino Linotype"/>
          <w:b/>
          <w:sz w:val="22"/>
          <w:szCs w:val="22"/>
        </w:rPr>
      </w:pPr>
    </w:p>
    <w:p w:rsidR="0084304D" w:rsidRPr="002C0B94" w:rsidRDefault="00EE6D31">
      <w:pPr>
        <w:spacing w:line="360" w:lineRule="auto"/>
        <w:ind w:right="-28"/>
        <w:jc w:val="both"/>
        <w:rPr>
          <w:rFonts w:ascii="Palatino Linotype" w:eastAsia="Palatino Linotype" w:hAnsi="Palatino Linotype" w:cs="Palatino Linotype"/>
          <w:color w:val="000000"/>
          <w:sz w:val="22"/>
          <w:szCs w:val="22"/>
        </w:rPr>
      </w:pPr>
      <w:r w:rsidRPr="002C0B94">
        <w:rPr>
          <w:rFonts w:ascii="Palatino Linotype" w:eastAsia="Palatino Linotype" w:hAnsi="Palatino Linotype" w:cs="Palatino Linotype"/>
          <w:color w:val="000000"/>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2C0B94">
        <w:rPr>
          <w:rFonts w:ascii="Palatino Linotype" w:eastAsia="Palatino Linotype" w:hAnsi="Palatino Linotype" w:cs="Palatino Linotype"/>
          <w:color w:val="000000"/>
        </w:rPr>
        <w:t xml:space="preserve"> 7°, </w:t>
      </w:r>
      <w:r w:rsidRPr="002C0B94">
        <w:rPr>
          <w:rFonts w:ascii="Palatino Linotype" w:eastAsia="Palatino Linotype" w:hAnsi="Palatino Linotype" w:cs="Palatino Linotype"/>
          <w:color w:val="000000"/>
          <w:sz w:val="22"/>
          <w:szCs w:val="22"/>
        </w:rPr>
        <w:t>9°, fracciones I y XXIII y 11 del Reglamento Interior del Instituto de Transparencia, Acceso a la Información Pública y Protección de Datos Personales del Estado de México y Municipios.</w:t>
      </w:r>
    </w:p>
    <w:p w:rsidR="0084304D" w:rsidRPr="002C0B94" w:rsidRDefault="0084304D">
      <w:pPr>
        <w:spacing w:line="360" w:lineRule="auto"/>
        <w:ind w:right="-28"/>
        <w:jc w:val="both"/>
        <w:rPr>
          <w:rFonts w:ascii="Palatino Linotype" w:eastAsia="Palatino Linotype" w:hAnsi="Palatino Linotype" w:cs="Palatino Linotype"/>
          <w:color w:val="000000"/>
          <w:sz w:val="22"/>
          <w:szCs w:val="22"/>
        </w:rPr>
      </w:pPr>
    </w:p>
    <w:p w:rsidR="0084304D" w:rsidRPr="002C0B94" w:rsidRDefault="00EE6D31">
      <w:pPr>
        <w:spacing w:line="360" w:lineRule="auto"/>
        <w:ind w:right="-28"/>
        <w:jc w:val="both"/>
        <w:rPr>
          <w:rFonts w:ascii="Palatino Linotype" w:eastAsia="Palatino Linotype" w:hAnsi="Palatino Linotype" w:cs="Palatino Linotype"/>
          <w:b/>
          <w:color w:val="000000"/>
          <w:sz w:val="22"/>
          <w:szCs w:val="22"/>
        </w:rPr>
      </w:pPr>
      <w:r w:rsidRPr="002C0B94">
        <w:rPr>
          <w:rFonts w:ascii="Palatino Linotype" w:eastAsia="Palatino Linotype" w:hAnsi="Palatino Linotype" w:cs="Palatino Linotype"/>
          <w:b/>
          <w:color w:val="000000"/>
          <w:sz w:val="22"/>
          <w:szCs w:val="22"/>
        </w:rPr>
        <w:t>SEGUNDO. Causales de improcedencia y sobreseimiento</w:t>
      </w:r>
    </w:p>
    <w:p w:rsidR="0084304D" w:rsidRPr="002C0B94" w:rsidRDefault="0084304D">
      <w:pPr>
        <w:spacing w:line="360" w:lineRule="auto"/>
        <w:ind w:right="-28"/>
        <w:jc w:val="both"/>
        <w:rPr>
          <w:rFonts w:ascii="Palatino Linotype" w:eastAsia="Palatino Linotype" w:hAnsi="Palatino Linotype" w:cs="Palatino Linotype"/>
          <w:b/>
          <w:color w:val="000000"/>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proofErr w:type="spellStart"/>
      <w:r w:rsidRPr="002C0B94">
        <w:rPr>
          <w:rFonts w:ascii="Palatino Linotype" w:eastAsia="Palatino Linotype" w:hAnsi="Palatino Linotype" w:cs="Palatino Linotype"/>
          <w:i/>
          <w:sz w:val="22"/>
          <w:szCs w:val="22"/>
        </w:rPr>
        <w:t>litis</w:t>
      </w:r>
      <w:proofErr w:type="spellEnd"/>
      <w:r w:rsidRPr="002C0B94">
        <w:rPr>
          <w:rFonts w:ascii="Palatino Linotype" w:eastAsia="Palatino Linotype" w:hAnsi="Palatino Linotype" w:cs="Palatino Linotype"/>
          <w:sz w:val="22"/>
          <w:szCs w:val="22"/>
        </w:rPr>
        <w:t>, es necesario estudiar las causales de improcedencia, para determinar lo que en Derecho proceda.</w:t>
      </w:r>
    </w:p>
    <w:p w:rsidR="0084304D" w:rsidRPr="002C0B94" w:rsidRDefault="0084304D">
      <w:pPr>
        <w:spacing w:line="360" w:lineRule="auto"/>
        <w:jc w:val="both"/>
        <w:rPr>
          <w:rFonts w:ascii="Palatino Linotype" w:eastAsia="Palatino Linotype" w:hAnsi="Palatino Linotype" w:cs="Palatino Linotype"/>
          <w:b/>
          <w:color w:val="000000"/>
          <w:sz w:val="22"/>
          <w:szCs w:val="22"/>
        </w:rPr>
      </w:pPr>
    </w:p>
    <w:p w:rsidR="0084304D" w:rsidRPr="002C0B94" w:rsidRDefault="00EE6D31">
      <w:pPr>
        <w:spacing w:line="360" w:lineRule="auto"/>
        <w:jc w:val="both"/>
        <w:rPr>
          <w:rFonts w:ascii="Palatino Linotype" w:eastAsia="Palatino Linotype" w:hAnsi="Palatino Linotype" w:cs="Palatino Linotype"/>
          <w:b/>
          <w:color w:val="000000"/>
          <w:sz w:val="22"/>
          <w:szCs w:val="22"/>
        </w:rPr>
      </w:pPr>
      <w:r w:rsidRPr="002C0B94">
        <w:rPr>
          <w:rFonts w:ascii="Palatino Linotype" w:eastAsia="Palatino Linotype" w:hAnsi="Palatino Linotype" w:cs="Palatino Linotype"/>
          <w:b/>
          <w:color w:val="000000"/>
          <w:sz w:val="22"/>
          <w:szCs w:val="22"/>
        </w:rPr>
        <w:t>Causales de improcedencia</w:t>
      </w:r>
    </w:p>
    <w:p w:rsidR="0084304D" w:rsidRPr="002C0B94" w:rsidRDefault="0084304D">
      <w:pPr>
        <w:spacing w:line="360" w:lineRule="auto"/>
        <w:jc w:val="both"/>
        <w:rPr>
          <w:rFonts w:ascii="Palatino Linotype" w:eastAsia="Palatino Linotype" w:hAnsi="Palatino Linotype" w:cs="Palatino Linotype"/>
          <w:color w:val="000000"/>
          <w:sz w:val="22"/>
          <w:szCs w:val="22"/>
        </w:rPr>
      </w:pPr>
    </w:p>
    <w:p w:rsidR="0084304D" w:rsidRPr="002C0B94" w:rsidRDefault="00EE6D31">
      <w:pPr>
        <w:spacing w:line="360" w:lineRule="auto"/>
        <w:ind w:right="-28"/>
        <w:jc w:val="both"/>
        <w:rPr>
          <w:rFonts w:ascii="Palatino Linotype" w:eastAsia="Palatino Linotype" w:hAnsi="Palatino Linotype" w:cs="Palatino Linotype"/>
          <w:color w:val="000000"/>
          <w:sz w:val="22"/>
          <w:szCs w:val="22"/>
        </w:rPr>
      </w:pPr>
      <w:r w:rsidRPr="002C0B94">
        <w:rPr>
          <w:rFonts w:ascii="Palatino Linotype" w:eastAsia="Palatino Linotype" w:hAnsi="Palatino Linotype" w:cs="Palatino Linotype"/>
          <w:color w:val="000000"/>
          <w:sz w:val="22"/>
          <w:szCs w:val="22"/>
        </w:rPr>
        <w:t>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84304D" w:rsidRPr="002C0B94" w:rsidRDefault="0084304D">
      <w:pPr>
        <w:spacing w:line="360" w:lineRule="auto"/>
        <w:ind w:right="-28"/>
        <w:jc w:val="both"/>
        <w:rPr>
          <w:rFonts w:ascii="Palatino Linotype" w:eastAsia="Palatino Linotype" w:hAnsi="Palatino Linotype" w:cs="Palatino Linotype"/>
          <w:color w:val="000000"/>
          <w:sz w:val="22"/>
          <w:szCs w:val="22"/>
        </w:rPr>
      </w:pPr>
    </w:p>
    <w:p w:rsidR="0084304D" w:rsidRPr="002C0B94" w:rsidRDefault="00EE6D31">
      <w:pPr>
        <w:spacing w:line="360" w:lineRule="auto"/>
        <w:jc w:val="both"/>
        <w:rPr>
          <w:rFonts w:ascii="Palatino Linotype" w:eastAsia="Palatino Linotype" w:hAnsi="Palatino Linotype" w:cs="Palatino Linotype"/>
          <w:color w:val="000000"/>
          <w:sz w:val="22"/>
          <w:szCs w:val="22"/>
        </w:rPr>
      </w:pPr>
      <w:r w:rsidRPr="002C0B94">
        <w:rPr>
          <w:rFonts w:ascii="Palatino Linotype" w:eastAsia="Palatino Linotype" w:hAnsi="Palatino Linotype" w:cs="Palatino Linotype"/>
          <w:sz w:val="22"/>
          <w:szCs w:val="22"/>
        </w:rPr>
        <w:t>En el presente caso, </w:t>
      </w:r>
      <w:r w:rsidRPr="002C0B94">
        <w:rPr>
          <w:rFonts w:ascii="Palatino Linotype" w:eastAsia="Palatino Linotype" w:hAnsi="Palatino Linotype" w:cs="Palatino Linotype"/>
          <w:b/>
          <w:sz w:val="22"/>
          <w:szCs w:val="22"/>
        </w:rPr>
        <w:t>no se actualiza ninguna de las causales de improcedencia</w:t>
      </w:r>
      <w:r w:rsidRPr="002C0B94">
        <w:rPr>
          <w:rFonts w:ascii="Palatino Linotype" w:eastAsia="Palatino Linotype" w:hAnsi="Palatino Linotype" w:cs="Palatino Linotype"/>
          <w:sz w:val="22"/>
          <w:szCs w:val="22"/>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 además de que </w:t>
      </w:r>
      <w:r w:rsidRPr="002C0B94">
        <w:rPr>
          <w:rFonts w:ascii="Palatino Linotype" w:eastAsia="Palatino Linotype" w:hAnsi="Palatino Linotype" w:cs="Palatino Linotype"/>
          <w:color w:val="000000"/>
          <w:sz w:val="22"/>
          <w:szCs w:val="22"/>
        </w:rPr>
        <w:t>el medio de impugnación fue presentado en tiempo.</w:t>
      </w:r>
    </w:p>
    <w:p w:rsidR="0084304D" w:rsidRPr="002C0B94" w:rsidRDefault="0084304D">
      <w:pPr>
        <w:spacing w:line="360" w:lineRule="auto"/>
        <w:jc w:val="both"/>
        <w:rPr>
          <w:rFonts w:ascii="Palatino Linotype" w:eastAsia="Palatino Linotype" w:hAnsi="Palatino Linotype" w:cs="Palatino Linotype"/>
          <w:color w:val="000000"/>
          <w:sz w:val="22"/>
          <w:szCs w:val="22"/>
        </w:rPr>
      </w:pPr>
    </w:p>
    <w:p w:rsidR="0084304D" w:rsidRPr="002C0B94" w:rsidRDefault="00EE6D31">
      <w:pPr>
        <w:widowControl w:val="0"/>
        <w:spacing w:line="360" w:lineRule="auto"/>
        <w:jc w:val="both"/>
        <w:rPr>
          <w:rFonts w:ascii="Palatino Linotype" w:eastAsia="Palatino Linotype" w:hAnsi="Palatino Linotype" w:cs="Palatino Linotype"/>
          <w:sz w:val="22"/>
          <w:szCs w:val="22"/>
        </w:rPr>
      </w:pPr>
      <w:bookmarkStart w:id="3" w:name="_heading=h.1fob9te" w:colFirst="0" w:colLast="0"/>
      <w:bookmarkEnd w:id="3"/>
      <w:r w:rsidRPr="002C0B94">
        <w:rPr>
          <w:rFonts w:ascii="Palatino Linotype" w:eastAsia="Palatino Linotype" w:hAnsi="Palatino Linotype" w:cs="Palatino Linotype"/>
          <w:sz w:val="22"/>
          <w:szCs w:val="22"/>
        </w:rPr>
        <w:t xml:space="preserve">Asimismo, se actualiza la causal de procedencia del Recurso de Revisión señalada en el artículo 179, fracción V, de la Ley en cita, </w:t>
      </w:r>
      <w:r w:rsidRPr="002C0B94">
        <w:rPr>
          <w:rFonts w:ascii="Palatino Linotype" w:eastAsia="Palatino Linotype" w:hAnsi="Palatino Linotype" w:cs="Palatino Linotype"/>
          <w:color w:val="000000"/>
          <w:sz w:val="22"/>
          <w:szCs w:val="22"/>
        </w:rPr>
        <w:t xml:space="preserve">pues el Recurrente se inconformó con </w:t>
      </w:r>
      <w:r w:rsidRPr="002C0B94">
        <w:rPr>
          <w:rFonts w:ascii="Palatino Linotype" w:eastAsia="Palatino Linotype" w:hAnsi="Palatino Linotype" w:cs="Palatino Linotype"/>
          <w:sz w:val="22"/>
          <w:szCs w:val="22"/>
        </w:rPr>
        <w:t>la entrega de información incompleta.</w:t>
      </w:r>
    </w:p>
    <w:p w:rsidR="0084304D" w:rsidRPr="002C0B94" w:rsidRDefault="0084304D">
      <w:pPr>
        <w:spacing w:line="360" w:lineRule="auto"/>
        <w:jc w:val="both"/>
        <w:rPr>
          <w:rFonts w:ascii="Palatino Linotype" w:eastAsia="Palatino Linotype" w:hAnsi="Palatino Linotype" w:cs="Palatino Linotype"/>
          <w:b/>
          <w:color w:val="0D0D0D"/>
          <w:sz w:val="22"/>
          <w:szCs w:val="22"/>
        </w:rPr>
      </w:pPr>
    </w:p>
    <w:p w:rsidR="0084304D" w:rsidRPr="002C0B94" w:rsidRDefault="00EE6D31">
      <w:pPr>
        <w:spacing w:line="360" w:lineRule="auto"/>
        <w:jc w:val="both"/>
        <w:rPr>
          <w:rFonts w:ascii="Palatino Linotype" w:eastAsia="Palatino Linotype" w:hAnsi="Palatino Linotype" w:cs="Palatino Linotype"/>
          <w:color w:val="0D0D0D"/>
          <w:sz w:val="22"/>
          <w:szCs w:val="22"/>
        </w:rPr>
      </w:pPr>
      <w:r w:rsidRPr="002C0B94">
        <w:rPr>
          <w:rFonts w:ascii="Palatino Linotype" w:eastAsia="Palatino Linotype" w:hAnsi="Palatino Linotype" w:cs="Palatino Linotype"/>
          <w:b/>
          <w:color w:val="0D0D0D"/>
          <w:sz w:val="22"/>
          <w:szCs w:val="22"/>
        </w:rPr>
        <w:t>Causales de sobreseimiento</w:t>
      </w:r>
    </w:p>
    <w:p w:rsidR="0084304D" w:rsidRPr="002C0B94" w:rsidRDefault="0084304D">
      <w:pPr>
        <w:spacing w:line="360" w:lineRule="auto"/>
        <w:jc w:val="both"/>
        <w:rPr>
          <w:rFonts w:ascii="Palatino Linotype" w:eastAsia="Palatino Linotype" w:hAnsi="Palatino Linotype" w:cs="Palatino Linotype"/>
          <w:color w:val="0D0D0D"/>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Por ser de previo y especial pronunciamiento, este Instituto analiza si se actualiza alguna causal de sobreseimiento.</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tabs>
          <w:tab w:val="left" w:pos="4962"/>
        </w:tabs>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 xml:space="preserve">Por tales motivos, se considera procedente entrar al fondo del presente asunto. </w:t>
      </w:r>
    </w:p>
    <w:p w:rsidR="0084304D" w:rsidRPr="002C0B94" w:rsidRDefault="0084304D">
      <w:pPr>
        <w:tabs>
          <w:tab w:val="left" w:pos="4962"/>
        </w:tabs>
        <w:spacing w:line="360" w:lineRule="auto"/>
        <w:jc w:val="both"/>
        <w:rPr>
          <w:rFonts w:ascii="Palatino Linotype" w:eastAsia="Palatino Linotype" w:hAnsi="Palatino Linotype" w:cs="Palatino Linotype"/>
          <w:sz w:val="22"/>
          <w:szCs w:val="22"/>
        </w:rPr>
      </w:pPr>
    </w:p>
    <w:p w:rsidR="0084304D" w:rsidRPr="002C0B94" w:rsidRDefault="00EE6D31">
      <w:pPr>
        <w:tabs>
          <w:tab w:val="left" w:pos="4962"/>
        </w:tabs>
        <w:spacing w:line="360" w:lineRule="auto"/>
        <w:jc w:val="both"/>
        <w:rPr>
          <w:rFonts w:ascii="Palatino Linotype" w:eastAsia="Palatino Linotype" w:hAnsi="Palatino Linotype" w:cs="Palatino Linotype"/>
          <w:b/>
          <w:sz w:val="22"/>
          <w:szCs w:val="22"/>
        </w:rPr>
      </w:pPr>
      <w:r w:rsidRPr="002C0B94">
        <w:rPr>
          <w:rFonts w:ascii="Palatino Linotype" w:eastAsia="Palatino Linotype" w:hAnsi="Palatino Linotype" w:cs="Palatino Linotype"/>
          <w:b/>
          <w:sz w:val="22"/>
          <w:szCs w:val="22"/>
        </w:rPr>
        <w:t>TERCERO. Determinación de la Controversia</w:t>
      </w:r>
    </w:p>
    <w:p w:rsidR="0084304D" w:rsidRPr="002C0B94" w:rsidRDefault="0084304D">
      <w:pPr>
        <w:tabs>
          <w:tab w:val="left" w:pos="4962"/>
        </w:tabs>
        <w:spacing w:line="360" w:lineRule="auto"/>
        <w:jc w:val="both"/>
        <w:rPr>
          <w:rFonts w:ascii="Palatino Linotype" w:eastAsia="Palatino Linotype" w:hAnsi="Palatino Linotype" w:cs="Palatino Linotype"/>
          <w:b/>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Una vez realizado el estudio de las constancias que integran el expediente en que se actúa, se desprende que el Particular requirió los documentos que dieran cuenta del gasto erogado, y la cantidad de plantas de nochebuena colocadas en diversas zonas del municipio de Toluca, al seis de diciembre de dos mil veinticuatro.</w:t>
      </w:r>
    </w:p>
    <w:p w:rsidR="0084304D" w:rsidRPr="002C0B94" w:rsidRDefault="0084304D">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rsidR="0084304D" w:rsidRPr="002C0B94" w:rsidRDefault="00EE6D31">
      <w:pPr>
        <w:spacing w:line="360" w:lineRule="auto"/>
        <w:jc w:val="both"/>
        <w:rPr>
          <w:rFonts w:ascii="Palatino Linotype" w:eastAsia="Palatino Linotype" w:hAnsi="Palatino Linotype" w:cs="Palatino Linotype"/>
          <w:color w:val="000000"/>
          <w:sz w:val="22"/>
          <w:szCs w:val="22"/>
        </w:rPr>
      </w:pPr>
      <w:r w:rsidRPr="002C0B94">
        <w:rPr>
          <w:rFonts w:ascii="Palatino Linotype" w:eastAsia="Palatino Linotype" w:hAnsi="Palatino Linotype" w:cs="Palatino Linotype"/>
          <w:sz w:val="22"/>
          <w:szCs w:val="22"/>
        </w:rPr>
        <w:t>En respuesta, el Sujeto Obligado a través de la Dirección General de Servicios Públicos indicó que se había realizado la colocación de treinta y cinco mil plantas de nochebuena y proporcionó un listado del lugar, delegación, unidad de medida y cantidad de plantas colocadas en el municipio de Toluca en dos mil veinticuatro, por su parte la Tesorería Municipal precisó que se encontraban realizando los registros contables y presupuestales del cuatro trimestre del ejercicio fiscal dos mil veinticuatro. Finalmente la Dirección de Administración indicó que no había localizado expediente para la adquisición de plantas de nochebuena</w:t>
      </w:r>
      <w:r w:rsidRPr="002C0B94">
        <w:rPr>
          <w:rFonts w:ascii="Palatino Linotype" w:eastAsia="Palatino Linotype" w:hAnsi="Palatino Linotype" w:cs="Palatino Linotype"/>
          <w:color w:val="000000"/>
          <w:sz w:val="22"/>
          <w:szCs w:val="22"/>
        </w:rPr>
        <w:t xml:space="preserve">. </w:t>
      </w:r>
      <w:r w:rsidRPr="002C0B94">
        <w:rPr>
          <w:rFonts w:ascii="Palatino Linotype" w:eastAsia="Palatino Linotype" w:hAnsi="Palatino Linotype" w:cs="Palatino Linotype"/>
          <w:sz w:val="22"/>
          <w:szCs w:val="22"/>
        </w:rPr>
        <w:t xml:space="preserve">Ante dicha circunstancia, el Particular se agravió con la falta del gasto erogado de las plantas solicitadas, lo cual, actualiza la causal de procedencia prevista en la fracción V, </w:t>
      </w:r>
      <w:r w:rsidRPr="002C0B94">
        <w:rPr>
          <w:rFonts w:ascii="Palatino Linotype" w:eastAsia="Palatino Linotype" w:hAnsi="Palatino Linotype" w:cs="Palatino Linotype"/>
          <w:sz w:val="22"/>
          <w:szCs w:val="22"/>
        </w:rPr>
        <w:lastRenderedPageBreak/>
        <w:t>del artículo 179 de la Ley de Transparencia y Acceso a la Información Pública del Estado de México y Municipios. Así, las cosas, una vez admitido y notificado el Recurso de Revisión a las partes, el Sujeto Obligado esencialmente ratificó su respuesta inicial.</w:t>
      </w:r>
      <w:r w:rsidRPr="002C0B94">
        <w:rPr>
          <w:rFonts w:ascii="Palatino Linotype" w:eastAsia="Palatino Linotype" w:hAnsi="Palatino Linotype" w:cs="Palatino Linotype"/>
          <w:b/>
          <w:sz w:val="22"/>
          <w:szCs w:val="22"/>
        </w:rPr>
        <w:t xml:space="preserve"> </w:t>
      </w:r>
    </w:p>
    <w:p w:rsidR="0084304D" w:rsidRPr="002C0B94" w:rsidRDefault="0084304D">
      <w:pPr>
        <w:spacing w:line="360" w:lineRule="auto"/>
        <w:jc w:val="both"/>
        <w:rPr>
          <w:rFonts w:ascii="Palatino Linotype" w:eastAsia="Palatino Linotype" w:hAnsi="Palatino Linotype" w:cs="Palatino Linotype"/>
          <w:b/>
          <w:sz w:val="22"/>
          <w:szCs w:val="22"/>
        </w:rPr>
      </w:pPr>
    </w:p>
    <w:p w:rsidR="0084304D" w:rsidRPr="002C0B94" w:rsidRDefault="00EE6D31">
      <w:pPr>
        <w:tabs>
          <w:tab w:val="left" w:pos="4667"/>
        </w:tabs>
        <w:spacing w:line="360" w:lineRule="auto"/>
        <w:jc w:val="both"/>
        <w:rPr>
          <w:rFonts w:ascii="Palatino Linotype" w:eastAsia="Palatino Linotype" w:hAnsi="Palatino Linotype" w:cs="Palatino Linotype"/>
          <w:color w:val="000000"/>
          <w:sz w:val="22"/>
          <w:szCs w:val="22"/>
        </w:rPr>
      </w:pPr>
      <w:r w:rsidRPr="002C0B94">
        <w:rPr>
          <w:rFonts w:ascii="Palatino Linotype" w:eastAsia="Palatino Linotype" w:hAnsi="Palatino Linotype" w:cs="Palatino Linotype"/>
          <w:color w:val="000000"/>
          <w:sz w:val="22"/>
          <w:szCs w:val="22"/>
        </w:rPr>
        <w:t xml:space="preserve">Conforme a lo anterior, se logra vislumbrar que el ahora Recurrente no se agravió, de la cantidad de plantas de nochebuena colocadas, sino porque no le habían proporcionado los documentos que dieran cuenta del gasto erogado por la colocación de las plantas solicitadas; por lo que, no se hará pronunciamiento alguno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2C0B94">
        <w:rPr>
          <w:rFonts w:ascii="Palatino Linotype" w:eastAsia="Palatino Linotype" w:hAnsi="Palatino Linotype" w:cs="Palatino Linotype"/>
          <w:b/>
          <w:color w:val="000000"/>
          <w:sz w:val="22"/>
          <w:szCs w:val="22"/>
        </w:rPr>
        <w:t>los actos que se hayan consentido tácitamente,</w:t>
      </w:r>
      <w:r w:rsidRPr="002C0B94">
        <w:rPr>
          <w:rFonts w:ascii="Palatino Linotype" w:eastAsia="Palatino Linotype" w:hAnsi="Palatino Linotype" w:cs="Palatino Linotype"/>
          <w:color w:val="000000"/>
          <w:sz w:val="22"/>
          <w:szCs w:val="22"/>
        </w:rPr>
        <w:t xml:space="preserve"> entendiéndose por estos cuando el agravio no se haya promovido en el plazo señalado para el efecto.</w:t>
      </w:r>
    </w:p>
    <w:p w:rsidR="0084304D" w:rsidRPr="002C0B94" w:rsidRDefault="00EE6D31">
      <w:pPr>
        <w:tabs>
          <w:tab w:val="left" w:pos="4667"/>
        </w:tabs>
        <w:spacing w:line="360" w:lineRule="auto"/>
        <w:jc w:val="both"/>
        <w:rPr>
          <w:rFonts w:ascii="Palatino Linotype" w:eastAsia="Palatino Linotype" w:hAnsi="Palatino Linotype" w:cs="Palatino Linotype"/>
          <w:color w:val="000000"/>
          <w:sz w:val="22"/>
          <w:szCs w:val="22"/>
        </w:rPr>
      </w:pPr>
      <w:r w:rsidRPr="002C0B94">
        <w:rPr>
          <w:rFonts w:ascii="Palatino Linotype" w:eastAsia="Palatino Linotype" w:hAnsi="Palatino Linotype" w:cs="Palatino Linotype"/>
          <w:color w:val="000000"/>
          <w:sz w:val="22"/>
          <w:szCs w:val="22"/>
        </w:rPr>
        <w:t xml:space="preserve"> </w:t>
      </w:r>
    </w:p>
    <w:p w:rsidR="0084304D" w:rsidRPr="002C0B94" w:rsidRDefault="00EE6D31">
      <w:pPr>
        <w:tabs>
          <w:tab w:val="left" w:pos="4667"/>
        </w:tabs>
        <w:spacing w:line="360" w:lineRule="auto"/>
        <w:jc w:val="both"/>
        <w:rPr>
          <w:rFonts w:ascii="Palatino Linotype" w:eastAsia="Palatino Linotype" w:hAnsi="Palatino Linotype" w:cs="Palatino Linotype"/>
          <w:color w:val="000000"/>
          <w:sz w:val="22"/>
          <w:szCs w:val="22"/>
        </w:rPr>
      </w:pPr>
      <w:r w:rsidRPr="002C0B94">
        <w:rPr>
          <w:rFonts w:ascii="Palatino Linotype" w:eastAsia="Palatino Linotype" w:hAnsi="Palatino Linotype" w:cs="Palatino Linotype"/>
          <w:color w:val="000000"/>
          <w:sz w:val="22"/>
          <w:szCs w:val="22"/>
        </w:rPr>
        <w:t xml:space="preserve">De la misma manera resulta aplicable el criterio sostenido por el Poder Judicial de la Federación de rubro </w:t>
      </w:r>
      <w:r w:rsidRPr="002C0B94">
        <w:rPr>
          <w:rFonts w:ascii="Palatino Linotype" w:eastAsia="Palatino Linotype" w:hAnsi="Palatino Linotype" w:cs="Palatino Linotype"/>
          <w:b/>
          <w:color w:val="000000"/>
          <w:sz w:val="22"/>
          <w:szCs w:val="22"/>
        </w:rPr>
        <w:t>ACTOS CONSENTIDOS TÁCITAMENTE</w:t>
      </w:r>
      <w:r w:rsidRPr="002C0B94">
        <w:rPr>
          <w:rFonts w:ascii="Palatino Linotype" w:eastAsia="Palatino Linotype" w:hAnsi="Palatino Linotype" w:cs="Palatino Linotype"/>
          <w:color w:val="000000"/>
          <w:sz w:val="22"/>
          <w:szCs w:val="22"/>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rsidR="0084304D" w:rsidRPr="002C0B94" w:rsidRDefault="00EE6D31">
      <w:pPr>
        <w:tabs>
          <w:tab w:val="left" w:pos="4667"/>
        </w:tabs>
        <w:spacing w:line="360" w:lineRule="auto"/>
        <w:jc w:val="both"/>
        <w:rPr>
          <w:rFonts w:ascii="Palatino Linotype" w:eastAsia="Palatino Linotype" w:hAnsi="Palatino Linotype" w:cs="Palatino Linotype"/>
          <w:color w:val="000000"/>
          <w:sz w:val="22"/>
          <w:szCs w:val="22"/>
        </w:rPr>
      </w:pPr>
      <w:r w:rsidRPr="002C0B94">
        <w:rPr>
          <w:rFonts w:ascii="Palatino Linotype" w:eastAsia="Palatino Linotype" w:hAnsi="Palatino Linotype" w:cs="Palatino Linotype"/>
          <w:color w:val="000000"/>
          <w:sz w:val="22"/>
          <w:szCs w:val="22"/>
        </w:rPr>
        <w:t xml:space="preserve"> </w:t>
      </w:r>
    </w:p>
    <w:p w:rsidR="0084304D" w:rsidRPr="002C0B94" w:rsidRDefault="00EE6D31">
      <w:pPr>
        <w:tabs>
          <w:tab w:val="left" w:pos="4667"/>
        </w:tabs>
        <w:spacing w:line="360" w:lineRule="auto"/>
        <w:jc w:val="both"/>
        <w:rPr>
          <w:rFonts w:ascii="Palatino Linotype" w:eastAsia="Palatino Linotype" w:hAnsi="Palatino Linotype" w:cs="Palatino Linotype"/>
          <w:color w:val="000000"/>
          <w:sz w:val="22"/>
          <w:szCs w:val="22"/>
        </w:rPr>
      </w:pPr>
      <w:r w:rsidRPr="002C0B94">
        <w:rPr>
          <w:rFonts w:ascii="Palatino Linotype" w:eastAsia="Palatino Linotype" w:hAnsi="Palatino Linotype" w:cs="Palatino Linotype"/>
          <w:color w:val="000000"/>
          <w:sz w:val="22"/>
          <w:szCs w:val="22"/>
        </w:rPr>
        <w:t xml:space="preserve">Por lo cual, en el caso de que la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w:t>
      </w:r>
    </w:p>
    <w:p w:rsidR="0084304D" w:rsidRPr="002C0B94" w:rsidRDefault="00EE6D31">
      <w:pPr>
        <w:tabs>
          <w:tab w:val="left" w:pos="4667"/>
        </w:tabs>
        <w:spacing w:line="360" w:lineRule="auto"/>
        <w:jc w:val="both"/>
        <w:rPr>
          <w:rFonts w:ascii="Palatino Linotype" w:eastAsia="Palatino Linotype" w:hAnsi="Palatino Linotype" w:cs="Palatino Linotype"/>
          <w:color w:val="000000"/>
          <w:sz w:val="22"/>
          <w:szCs w:val="22"/>
        </w:rPr>
      </w:pPr>
      <w:r w:rsidRPr="002C0B94">
        <w:rPr>
          <w:rFonts w:ascii="Palatino Linotype" w:eastAsia="Palatino Linotype" w:hAnsi="Palatino Linotype" w:cs="Palatino Linotype"/>
          <w:color w:val="000000"/>
          <w:sz w:val="22"/>
          <w:szCs w:val="22"/>
        </w:rPr>
        <w:t xml:space="preserve"> </w:t>
      </w:r>
    </w:p>
    <w:p w:rsidR="0084304D" w:rsidRPr="002C0B94" w:rsidRDefault="00EE6D31">
      <w:pPr>
        <w:tabs>
          <w:tab w:val="left" w:pos="4667"/>
        </w:tabs>
        <w:spacing w:line="360" w:lineRule="auto"/>
        <w:jc w:val="both"/>
        <w:rPr>
          <w:rFonts w:ascii="Palatino Linotype" w:eastAsia="Palatino Linotype" w:hAnsi="Palatino Linotype" w:cs="Palatino Linotype"/>
          <w:color w:val="000000"/>
          <w:sz w:val="22"/>
          <w:szCs w:val="22"/>
        </w:rPr>
      </w:pPr>
      <w:r w:rsidRPr="002C0B94">
        <w:rPr>
          <w:rFonts w:ascii="Palatino Linotype" w:eastAsia="Palatino Linotype" w:hAnsi="Palatino Linotype" w:cs="Palatino Linotype"/>
          <w:color w:val="000000"/>
          <w:sz w:val="22"/>
          <w:szCs w:val="22"/>
        </w:rPr>
        <w:lastRenderedPageBreak/>
        <w:t>Asimismo, resulta relevante traer a colación el Criterio de Interpretación SO/001/2020, emitido por el Instituto Nacional de Transparencia, Acceso a la Información y Protección de Datos Personales, el cual establece que es improcedente entrar al análisis de las partes de la respuesta del Sujeto Obligado que no fueron impugnadas por la parte Recurrente; por lo que, en el presente caso, se tiene por consentida la información entregada por el Sujeto Obligado, por lo que, únicamente se analizará lo relacionado con el gasto erogado.</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 en: la solicitud de acceso a la información, la respuesta proporcionada,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 </w:t>
      </w:r>
      <w:r w:rsidRPr="002C0B94">
        <w:rPr>
          <w:rFonts w:ascii="Palatino Linotype" w:eastAsia="Palatino Linotype" w:hAnsi="Palatino Linotype" w:cs="Palatino Linotype"/>
          <w:b/>
          <w:sz w:val="22"/>
          <w:szCs w:val="22"/>
        </w:rPr>
        <w:t>Cabe señalar que el Particular fue omiso en realizar manifestaciones o alegatos que tuviera derecho.</w:t>
      </w:r>
      <w:r w:rsidRPr="002C0B94">
        <w:rPr>
          <w:rFonts w:ascii="Palatino Linotype" w:eastAsia="Palatino Linotype" w:hAnsi="Palatino Linotype" w:cs="Palatino Linotype"/>
          <w:sz w:val="22"/>
          <w:szCs w:val="22"/>
        </w:rPr>
        <w:t xml:space="preserve"> </w:t>
      </w:r>
    </w:p>
    <w:p w:rsidR="0084304D" w:rsidRPr="002C0B94" w:rsidRDefault="0084304D">
      <w:pPr>
        <w:spacing w:line="360" w:lineRule="auto"/>
        <w:jc w:val="both"/>
        <w:rPr>
          <w:rFonts w:ascii="Palatino Linotype" w:eastAsia="Palatino Linotype" w:hAnsi="Palatino Linotype" w:cs="Palatino Linotype"/>
          <w:b/>
          <w:sz w:val="22"/>
          <w:szCs w:val="22"/>
        </w:rPr>
      </w:pPr>
    </w:p>
    <w:p w:rsidR="0084304D" w:rsidRPr="002C0B94" w:rsidRDefault="00EE6D31">
      <w:pPr>
        <w:spacing w:line="360" w:lineRule="auto"/>
        <w:jc w:val="both"/>
        <w:rPr>
          <w:rFonts w:ascii="Palatino Linotype" w:eastAsia="Palatino Linotype" w:hAnsi="Palatino Linotype" w:cs="Palatino Linotype"/>
          <w:b/>
          <w:sz w:val="22"/>
          <w:szCs w:val="22"/>
        </w:rPr>
      </w:pPr>
      <w:r w:rsidRPr="002C0B94">
        <w:rPr>
          <w:rFonts w:ascii="Palatino Linotype" w:eastAsia="Palatino Linotype" w:hAnsi="Palatino Linotype" w:cs="Palatino Linotype"/>
          <w:b/>
          <w:sz w:val="22"/>
          <w:szCs w:val="22"/>
        </w:rPr>
        <w:t>CUARTO. Marco normativo aplicable en materia de transparencia y acceso a la información pública</w:t>
      </w:r>
    </w:p>
    <w:p w:rsidR="0084304D" w:rsidRPr="002C0B94" w:rsidRDefault="0084304D">
      <w:pPr>
        <w:spacing w:line="360" w:lineRule="auto"/>
        <w:jc w:val="both"/>
        <w:rPr>
          <w:rFonts w:ascii="Palatino Linotype" w:eastAsia="Palatino Linotype" w:hAnsi="Palatino Linotype" w:cs="Palatino Linotype"/>
          <w:b/>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lastRenderedPageBreak/>
        <w:t xml:space="preserve">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Por su parte, la Ley de Transparencia y Acceso a la Información Pública del Estado de México y Municipios (Reglamentaria del artículo 5° de la Constitución Local), establece lo siguiente:</w:t>
      </w: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84304D" w:rsidRPr="002C0B94" w:rsidRDefault="0084304D">
      <w:pPr>
        <w:spacing w:line="360" w:lineRule="auto"/>
        <w:jc w:val="both"/>
        <w:rPr>
          <w:rFonts w:ascii="Palatino Linotype" w:eastAsia="Palatino Linotype" w:hAnsi="Palatino Linotype" w:cs="Palatino Linotype"/>
          <w:b/>
          <w:sz w:val="22"/>
          <w:szCs w:val="22"/>
        </w:rPr>
      </w:pPr>
    </w:p>
    <w:p w:rsidR="0084304D" w:rsidRPr="002C0B94" w:rsidRDefault="00EE6D31">
      <w:pPr>
        <w:spacing w:line="360" w:lineRule="auto"/>
        <w:jc w:val="both"/>
        <w:rPr>
          <w:rFonts w:ascii="Palatino Linotype" w:eastAsia="Palatino Linotype" w:hAnsi="Palatino Linotype" w:cs="Palatino Linotype"/>
          <w:b/>
          <w:sz w:val="22"/>
          <w:szCs w:val="22"/>
        </w:rPr>
      </w:pPr>
      <w:r w:rsidRPr="002C0B94">
        <w:rPr>
          <w:rFonts w:ascii="Palatino Linotype" w:eastAsia="Palatino Linotype" w:hAnsi="Palatino Linotype" w:cs="Palatino Linotype"/>
          <w:b/>
          <w:sz w:val="22"/>
          <w:szCs w:val="22"/>
        </w:rPr>
        <w:t>QUINTO. Estudio de Fondo</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widowControl w:val="0"/>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Expuestas las posturas de las partes, se procede a realizar el análisis del agravio hecho valer por el ahora Recurrente, concerniente a la entrega de información incompleta por parte del Sujeto Obligado, por lo que en principio resulta necesario contextualizar la solicitud de información.</w:t>
      </w:r>
    </w:p>
    <w:p w:rsidR="0084304D" w:rsidRPr="002C0B94" w:rsidRDefault="0084304D">
      <w:pPr>
        <w:widowControl w:val="0"/>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b/>
          <w:sz w:val="22"/>
          <w:szCs w:val="22"/>
        </w:rPr>
      </w:pPr>
      <w:r w:rsidRPr="002C0B94">
        <w:rPr>
          <w:rFonts w:ascii="Palatino Linotype" w:eastAsia="Palatino Linotype" w:hAnsi="Palatino Linotype" w:cs="Palatino Linotype"/>
          <w:sz w:val="22"/>
          <w:szCs w:val="22"/>
        </w:rPr>
        <w:lastRenderedPageBreak/>
        <w:t xml:space="preserve">Sobre el tema, cabe precisar que de conformidad con los artículos 6°, apartado A, de la Constitución Política de los Estados Unidos Mexicanos, 5° de la Constitución Política del Estado Libre y Soberano de México, 4° de la Ley General de Transparencia y Acceso a la Información Pública y 4° de la Ley de Transparencia y Acceso a la Información Pública del Estado de México y Municipios, </w:t>
      </w:r>
      <w:r w:rsidRPr="002C0B94">
        <w:rPr>
          <w:rFonts w:ascii="Palatino Linotype" w:eastAsia="Palatino Linotype" w:hAnsi="Palatino Linotype" w:cs="Palatino Linotype"/>
          <w:b/>
          <w:sz w:val="22"/>
          <w:szCs w:val="22"/>
        </w:rPr>
        <w:t>toda la información generada, obtenida, adquirida, transformada o en posesión de los sujetos obligados es pública y accesible a cualquier persona.</w:t>
      </w:r>
    </w:p>
    <w:p w:rsidR="0084304D" w:rsidRPr="002C0B94" w:rsidRDefault="0084304D">
      <w:pPr>
        <w:tabs>
          <w:tab w:val="left" w:pos="4962"/>
        </w:tabs>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En ese contexto, el artículo 18 de la Ley de Transparencia y Acceso a la Información Pública del Estado de México y Municipios, contempla que los sujetos obligados deberán documentar todo acto que derive del ejercicio de sus facultades, competencias o funciones.</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color w:val="0D0D0D"/>
          <w:sz w:val="22"/>
          <w:szCs w:val="22"/>
        </w:rPr>
      </w:pPr>
      <w:r w:rsidRPr="002C0B94">
        <w:rPr>
          <w:rFonts w:ascii="Palatino Linotype" w:eastAsia="Palatino Linotype" w:hAnsi="Palatino Linotype" w:cs="Palatino Linotype"/>
          <w:color w:val="0D0D0D"/>
          <w:sz w:val="22"/>
          <w:szCs w:val="22"/>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rsidR="0084304D" w:rsidRPr="002C0B94" w:rsidRDefault="0084304D">
      <w:pPr>
        <w:spacing w:line="360" w:lineRule="auto"/>
        <w:jc w:val="both"/>
        <w:rPr>
          <w:rFonts w:ascii="Palatino Linotype" w:eastAsia="Palatino Linotype" w:hAnsi="Palatino Linotype" w:cs="Palatino Linotype"/>
          <w:color w:val="0D0D0D"/>
          <w:sz w:val="22"/>
          <w:szCs w:val="22"/>
        </w:rPr>
      </w:pPr>
    </w:p>
    <w:p w:rsidR="0084304D" w:rsidRPr="002C0B94" w:rsidRDefault="00EE6D31">
      <w:pPr>
        <w:spacing w:line="360" w:lineRule="auto"/>
        <w:jc w:val="both"/>
        <w:rPr>
          <w:rFonts w:ascii="Palatino Linotype" w:eastAsia="Palatino Linotype" w:hAnsi="Palatino Linotype" w:cs="Palatino Linotype"/>
          <w:color w:val="0D0D0D"/>
          <w:sz w:val="22"/>
          <w:szCs w:val="22"/>
        </w:rPr>
      </w:pPr>
      <w:r w:rsidRPr="002C0B94">
        <w:rPr>
          <w:rFonts w:ascii="Palatino Linotype" w:eastAsia="Palatino Linotype" w:hAnsi="Palatino Linotype" w:cs="Palatino Linotype"/>
          <w:color w:val="0D0D0D"/>
          <w:sz w:val="22"/>
          <w:szCs w:val="22"/>
        </w:rPr>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rsidR="0084304D" w:rsidRPr="002C0B94" w:rsidRDefault="0084304D">
      <w:pPr>
        <w:spacing w:line="360" w:lineRule="auto"/>
        <w:jc w:val="both"/>
        <w:rPr>
          <w:rFonts w:ascii="Palatino Linotype" w:eastAsia="Palatino Linotype" w:hAnsi="Palatino Linotype" w:cs="Palatino Linotype"/>
          <w:color w:val="0D0D0D"/>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 xml:space="preserve">En ese contexto, los diversos 12 y 24 de dicho ordenamiento jurídico, prevén que, es deber de los Sujetos Obligados proporcionar la información pública que se les requiera siempre y </w:t>
      </w:r>
      <w:r w:rsidRPr="002C0B94">
        <w:rPr>
          <w:rFonts w:ascii="Palatino Linotype" w:eastAsia="Palatino Linotype" w:hAnsi="Palatino Linotype" w:cs="Palatino Linotype"/>
          <w:sz w:val="22"/>
          <w:szCs w:val="22"/>
        </w:rPr>
        <w:lastRenderedPageBreak/>
        <w:t>cuando obre en sus archivos; lo cual no implica que tengan que procesar, generar, resumir, efectuar cálculos o practicar investigaciones a fin de satisfacer la pretensión de los solicitantes.</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color w:val="0D0D0D"/>
          <w:sz w:val="22"/>
          <w:szCs w:val="22"/>
        </w:rPr>
      </w:pPr>
      <w:r w:rsidRPr="002C0B94">
        <w:rPr>
          <w:rFonts w:ascii="Palatino Linotype" w:eastAsia="Palatino Linotype" w:hAnsi="Palatino Linotype" w:cs="Palatino Linotype"/>
          <w:color w:val="000000"/>
          <w:sz w:val="22"/>
          <w:szCs w:val="22"/>
        </w:rPr>
        <w:t xml:space="preserve">Ahora bien, </w:t>
      </w:r>
      <w:r w:rsidRPr="002C0B94">
        <w:rPr>
          <w:rFonts w:ascii="Palatino Linotype" w:eastAsia="Palatino Linotype" w:hAnsi="Palatino Linotype" w:cs="Palatino Linotype"/>
          <w:sz w:val="22"/>
          <w:szCs w:val="22"/>
        </w:rPr>
        <w:t xml:space="preserve">López Olvera, Miguel Alejandro </w:t>
      </w:r>
      <w:proofErr w:type="spellStart"/>
      <w:r w:rsidRPr="002C0B94">
        <w:rPr>
          <w:rFonts w:ascii="Palatino Linotype" w:eastAsia="Palatino Linotype" w:hAnsi="Palatino Linotype" w:cs="Palatino Linotype"/>
          <w:sz w:val="22"/>
          <w:szCs w:val="22"/>
        </w:rPr>
        <w:t>Cancino</w:t>
      </w:r>
      <w:proofErr w:type="spellEnd"/>
      <w:r w:rsidRPr="002C0B94">
        <w:rPr>
          <w:rFonts w:ascii="Palatino Linotype" w:eastAsia="Palatino Linotype" w:hAnsi="Palatino Linotype" w:cs="Palatino Linotype"/>
          <w:sz w:val="22"/>
          <w:szCs w:val="22"/>
        </w:rPr>
        <w:t xml:space="preserve"> Gómez, Rodolfo. (2020). “La Contratación Pública y el Sistema Nacional Anticorrupción”. (p. 4) la </w:t>
      </w:r>
      <w:r w:rsidRPr="002C0B94">
        <w:rPr>
          <w:rFonts w:ascii="Palatino Linotype" w:eastAsia="Palatino Linotype" w:hAnsi="Palatino Linotype" w:cs="Palatino Linotype"/>
          <w:b/>
          <w:sz w:val="22"/>
          <w:szCs w:val="22"/>
        </w:rPr>
        <w:t>contratación pública</w:t>
      </w:r>
      <w:r w:rsidRPr="002C0B94">
        <w:rPr>
          <w:rFonts w:ascii="Palatino Linotype" w:eastAsia="Palatino Linotype" w:hAnsi="Palatino Linotype" w:cs="Palatino Linotype"/>
          <w:sz w:val="22"/>
          <w:szCs w:val="22"/>
        </w:rPr>
        <w:t>, es el procedimiento de carácter administrativo, por medio del cual, un ente público selecciona y posteriormente, celebra un acuerdo de voluntades, con una persona física o jurídica colectiva, para que ésta, preste algún servicio público o lleve a cabo la ejecución de una obra pública, con recursos públicos del Estado y en beneficio de la colectividad.</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 xml:space="preserve">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w:t>
      </w:r>
      <w:r w:rsidRPr="002C0B94">
        <w:rPr>
          <w:rFonts w:ascii="Palatino Linotype" w:eastAsia="Palatino Linotype" w:hAnsi="Palatino Linotype" w:cs="Palatino Linotype"/>
          <w:b/>
          <w:sz w:val="22"/>
          <w:szCs w:val="22"/>
        </w:rPr>
        <w:t>contratación de servicios</w:t>
      </w:r>
      <w:r w:rsidRPr="002C0B94">
        <w:rPr>
          <w:rFonts w:ascii="Palatino Linotype" w:eastAsia="Palatino Linotype" w:hAnsi="Palatino Linotype" w:cs="Palatino Linotype"/>
          <w:sz w:val="22"/>
          <w:szCs w:val="22"/>
        </w:rPr>
        <w:t xml:space="preserve"> de cualquier naturaleza. </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 xml:space="preserve">En ese contexto, conforme a los artículos 26 y 27 de dicho ordenamiento jurídico, las adquisiciones, arrendamientos y </w:t>
      </w:r>
      <w:r w:rsidRPr="002C0B94">
        <w:rPr>
          <w:rFonts w:ascii="Palatino Linotype" w:eastAsia="Palatino Linotype" w:hAnsi="Palatino Linotype" w:cs="Palatino Linotype"/>
          <w:b/>
          <w:sz w:val="22"/>
          <w:szCs w:val="22"/>
        </w:rPr>
        <w:t>servicios</w:t>
      </w:r>
      <w:r w:rsidRPr="002C0B94">
        <w:rPr>
          <w:rFonts w:ascii="Palatino Linotype" w:eastAsia="Palatino Linotype" w:hAnsi="Palatino Linotype" w:cs="Palatino Linotype"/>
          <w:sz w:val="22"/>
          <w:szCs w:val="22"/>
        </w:rPr>
        <w:t>, se adjudicarán a través de procedimientos de licitación pública, invitación restringida y adjudicación directa.</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 xml:space="preserve">En ese orden de ideas, conforme al artículo 65 de la Ley de Contratación Pública del Estado de México y Municipios, la adjudicación de un procedimiento de adquisición y arrendamiento de bienes y </w:t>
      </w:r>
      <w:r w:rsidRPr="002C0B94">
        <w:rPr>
          <w:rFonts w:ascii="Palatino Linotype" w:eastAsia="Palatino Linotype" w:hAnsi="Palatino Linotype" w:cs="Palatino Linotype"/>
          <w:b/>
          <w:sz w:val="22"/>
          <w:szCs w:val="22"/>
        </w:rPr>
        <w:t>contratación de servicios</w:t>
      </w:r>
      <w:r w:rsidRPr="002C0B94">
        <w:rPr>
          <w:rFonts w:ascii="Palatino Linotype" w:eastAsia="Palatino Linotype" w:hAnsi="Palatino Linotype" w:cs="Palatino Linotype"/>
          <w:sz w:val="22"/>
          <w:szCs w:val="22"/>
        </w:rPr>
        <w:t xml:space="preserve"> se realizará mediante la suscripción de un contrato, entre el Ayuntamiento y la persona a la cual haya ganado el procedimiento respectivo, dentro de los diez días hábiles siguientes a la notificación del fallo.</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b/>
          <w:sz w:val="22"/>
          <w:szCs w:val="22"/>
        </w:rPr>
      </w:pPr>
      <w:r w:rsidRPr="002C0B94">
        <w:rPr>
          <w:rFonts w:ascii="Palatino Linotype" w:eastAsia="Palatino Linotype" w:hAnsi="Palatino Linotype" w:cs="Palatino Linotype"/>
          <w:sz w:val="22"/>
          <w:szCs w:val="22"/>
        </w:rPr>
        <w:lastRenderedPageBreak/>
        <w:t xml:space="preserve">Además, conforme al artículo 120 del Reglamento de la Ley de Contratación Pública del Estado de México y Municipios, dichos actos jurídicos se conforman por diversos datos, entre los cuales, se encuentran los datos de identificación de las partes y del contrato, </w:t>
      </w:r>
      <w:r w:rsidRPr="002C0B94">
        <w:rPr>
          <w:rFonts w:ascii="Palatino Linotype" w:eastAsia="Palatino Linotype" w:hAnsi="Palatino Linotype" w:cs="Palatino Linotype"/>
          <w:b/>
          <w:sz w:val="22"/>
          <w:szCs w:val="22"/>
        </w:rPr>
        <w:t>así como el importe total.</w:t>
      </w:r>
    </w:p>
    <w:p w:rsidR="0084304D" w:rsidRPr="002C0B94" w:rsidRDefault="0084304D">
      <w:pPr>
        <w:spacing w:line="360" w:lineRule="auto"/>
        <w:jc w:val="both"/>
        <w:rPr>
          <w:rFonts w:ascii="Palatino Linotype" w:eastAsia="Palatino Linotype" w:hAnsi="Palatino Linotype" w:cs="Palatino Linotype"/>
          <w:b/>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Ahora bien, en atención a lo señalado en respuesta por el Sujeto Obligado, se realizó una búsqueda en el Portal de Información Pública de Oficio Mexiquense del Sujeto Obligado y se localizó el procedimiento de licitación pública número AT-LPN-025-2024, por medio del cual se realizó el Contrato de Compraventa celebrado por el Ayuntamiento de Toluca y las empresas “IAGRO3” S.A.P.I de C.V. y “BEVEILIGING EN SERVICIOS” S.A. de C.V., cuyo objeto es la adquisición de  treinta y cinco mil piezas de planta de Nochebuena con aproximadamente de ocho a diez hojas de flor bien desarrolladas con una altura de cuarenta centímetros libres de maceta, tal como se muestra a continuación:</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noProof/>
          <w:sz w:val="22"/>
          <w:szCs w:val="22"/>
          <w:lang w:eastAsia="es-MX"/>
        </w:rPr>
        <w:drawing>
          <wp:inline distT="0" distB="0" distL="0" distR="0">
            <wp:extent cx="5715798" cy="2629267"/>
            <wp:effectExtent l="0" t="0" r="0" b="0"/>
            <wp:docPr id="20728962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15798" cy="2629267"/>
                    </a:xfrm>
                    <a:prstGeom prst="rect">
                      <a:avLst/>
                    </a:prstGeom>
                    <a:ln/>
                  </pic:spPr>
                </pic:pic>
              </a:graphicData>
            </a:graphic>
          </wp:inline>
        </w:drawing>
      </w:r>
    </w:p>
    <w:p w:rsidR="0084304D" w:rsidRPr="002C0B94" w:rsidRDefault="00EE6D31">
      <w:pPr>
        <w:spacing w:line="360" w:lineRule="auto"/>
        <w:ind w:right="-28"/>
        <w:jc w:val="center"/>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w:t>
      </w:r>
    </w:p>
    <w:p w:rsidR="0084304D" w:rsidRPr="002C0B94" w:rsidRDefault="00EE6D31">
      <w:pPr>
        <w:spacing w:line="360" w:lineRule="auto"/>
        <w:ind w:right="-28"/>
        <w:jc w:val="center"/>
        <w:rPr>
          <w:rFonts w:ascii="Palatino Linotype" w:eastAsia="Palatino Linotype" w:hAnsi="Palatino Linotype" w:cs="Palatino Linotype"/>
          <w:sz w:val="22"/>
          <w:szCs w:val="22"/>
        </w:rPr>
      </w:pPr>
      <w:r w:rsidRPr="002C0B94">
        <w:rPr>
          <w:rFonts w:ascii="Palatino Linotype" w:eastAsia="Palatino Linotype" w:hAnsi="Palatino Linotype" w:cs="Palatino Linotype"/>
          <w:noProof/>
          <w:sz w:val="22"/>
          <w:szCs w:val="22"/>
          <w:lang w:eastAsia="es-MX"/>
        </w:rPr>
        <w:lastRenderedPageBreak/>
        <w:drawing>
          <wp:inline distT="0" distB="0" distL="0" distR="0">
            <wp:extent cx="5742940" cy="2294890"/>
            <wp:effectExtent l="0" t="0" r="0" b="0"/>
            <wp:docPr id="20728962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42940" cy="2294890"/>
                    </a:xfrm>
                    <a:prstGeom prst="rect">
                      <a:avLst/>
                    </a:prstGeom>
                    <a:ln/>
                  </pic:spPr>
                </pic:pic>
              </a:graphicData>
            </a:graphic>
          </wp:inline>
        </w:drawing>
      </w:r>
    </w:p>
    <w:p w:rsidR="0084304D" w:rsidRPr="002C0B94" w:rsidRDefault="0084304D">
      <w:pPr>
        <w:spacing w:line="360" w:lineRule="auto"/>
        <w:ind w:right="-28"/>
        <w:jc w:val="center"/>
        <w:rPr>
          <w:rFonts w:ascii="Palatino Linotype" w:eastAsia="Palatino Linotype" w:hAnsi="Palatino Linotype" w:cs="Palatino Linotype"/>
          <w:sz w:val="22"/>
          <w:szCs w:val="22"/>
        </w:rPr>
      </w:pPr>
    </w:p>
    <w:p w:rsidR="0084304D" w:rsidRPr="002C0B94" w:rsidRDefault="00EE6D31">
      <w:pPr>
        <w:spacing w:line="360" w:lineRule="auto"/>
        <w:ind w:right="-28"/>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Conforme a lo anterior, se logra vislumbrar que la pretensión del ahora Recurrente es obtener los documentos donde conste el monto gastado por la adquisición de las treinta y cinco mil nochebuenas referidas en respuesta, derivado del Contrato celebrado dentro del procedimiento número AT-LPN-025-2024.</w:t>
      </w:r>
    </w:p>
    <w:p w:rsidR="0084304D" w:rsidRPr="002C0B94" w:rsidRDefault="0084304D">
      <w:pPr>
        <w:spacing w:line="360" w:lineRule="auto"/>
        <w:ind w:right="-28"/>
        <w:jc w:val="both"/>
        <w:rPr>
          <w:rFonts w:ascii="Palatino Linotype" w:eastAsia="Palatino Linotype" w:hAnsi="Palatino Linotype" w:cs="Palatino Linotype"/>
          <w:sz w:val="22"/>
          <w:szCs w:val="22"/>
        </w:rPr>
      </w:pPr>
    </w:p>
    <w:p w:rsidR="0084304D" w:rsidRPr="002C0B94" w:rsidRDefault="00EE6D31">
      <w:pPr>
        <w:spacing w:line="360" w:lineRule="auto"/>
        <w:ind w:right="-28"/>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Establecida dicha circunstancia, se procede analizar la respuesta entregada, para lo cual, es de señalar que de las constancias que de las constancias que obran en el expediente, se logra vislumbrar que el Sujeto Obligado turno la solicitud de información a la Dirección General de Servicios Públicos, Tesorería Municipal y la Dirección General de Administración;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rsidR="0084304D" w:rsidRPr="002C0B94" w:rsidRDefault="0084304D">
      <w:pPr>
        <w:spacing w:line="360" w:lineRule="auto"/>
        <w:ind w:right="-28"/>
        <w:jc w:val="both"/>
        <w:rPr>
          <w:rFonts w:ascii="Palatino Linotype" w:eastAsia="Palatino Linotype" w:hAnsi="Palatino Linotype" w:cs="Palatino Linotype"/>
          <w:sz w:val="22"/>
          <w:szCs w:val="22"/>
        </w:rPr>
      </w:pPr>
    </w:p>
    <w:p w:rsidR="0084304D" w:rsidRPr="002C0B94" w:rsidRDefault="00EE6D31">
      <w:pPr>
        <w:spacing w:line="360" w:lineRule="auto"/>
        <w:ind w:right="-28"/>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lastRenderedPageBreak/>
        <w:t>Así, es necesario traer al estudio el artículo 90, fracción I, numerales 2, 6 y 8 del Bando Municipal de Toluca, en relación con los artículos 3.1, 3.2, fracción I, numerales 1, 5 y 7 del Código Reglamentario Municipal, en el que se establece que el Sujeto Obligado para el ejercicio de sus funciones contará con diversas unidades administrativas, entre otras, la siguientes:</w:t>
      </w:r>
    </w:p>
    <w:p w:rsidR="0084304D" w:rsidRPr="002C0B94" w:rsidRDefault="0084304D">
      <w:pPr>
        <w:spacing w:line="360" w:lineRule="auto"/>
        <w:ind w:right="-28"/>
        <w:jc w:val="both"/>
        <w:rPr>
          <w:rFonts w:ascii="Palatino Linotype" w:eastAsia="Palatino Linotype" w:hAnsi="Palatino Linotype" w:cs="Palatino Linotype"/>
          <w:sz w:val="22"/>
          <w:szCs w:val="22"/>
        </w:rPr>
      </w:pPr>
    </w:p>
    <w:p w:rsidR="0084304D" w:rsidRPr="002C0B94" w:rsidRDefault="00EE6D31">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sz w:val="22"/>
          <w:szCs w:val="22"/>
        </w:rPr>
      </w:pPr>
      <w:r w:rsidRPr="002C0B94">
        <w:rPr>
          <w:rFonts w:ascii="Palatino Linotype" w:eastAsia="Palatino Linotype" w:hAnsi="Palatino Linotype" w:cs="Palatino Linotype"/>
          <w:b/>
          <w:color w:val="000000"/>
          <w:sz w:val="22"/>
          <w:szCs w:val="22"/>
        </w:rPr>
        <w:t xml:space="preserve">Dirección General de Servicios Públicos: </w:t>
      </w:r>
      <w:r w:rsidRPr="002C0B94">
        <w:rPr>
          <w:rFonts w:ascii="Palatino Linotype" w:eastAsia="Palatino Linotype" w:hAnsi="Palatino Linotype" w:cs="Palatino Linotype"/>
          <w:color w:val="000000"/>
          <w:sz w:val="22"/>
          <w:szCs w:val="22"/>
        </w:rPr>
        <w:t>Que conoce de la colocación de las nochebuenas adquiridas.</w:t>
      </w:r>
    </w:p>
    <w:p w:rsidR="0084304D" w:rsidRPr="002C0B94" w:rsidRDefault="0084304D">
      <w:pPr>
        <w:pBdr>
          <w:top w:val="nil"/>
          <w:left w:val="nil"/>
          <w:bottom w:val="nil"/>
          <w:right w:val="nil"/>
          <w:between w:val="nil"/>
        </w:pBdr>
        <w:spacing w:line="360" w:lineRule="auto"/>
        <w:ind w:left="720" w:right="-28"/>
        <w:jc w:val="both"/>
        <w:rPr>
          <w:rFonts w:ascii="Palatino Linotype" w:eastAsia="Palatino Linotype" w:hAnsi="Palatino Linotype" w:cs="Palatino Linotype"/>
          <w:b/>
          <w:color w:val="000000"/>
          <w:sz w:val="22"/>
          <w:szCs w:val="22"/>
        </w:rPr>
      </w:pPr>
    </w:p>
    <w:p w:rsidR="0084304D" w:rsidRPr="002C0B94" w:rsidRDefault="00EE6D31">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sz w:val="22"/>
          <w:szCs w:val="22"/>
        </w:rPr>
      </w:pPr>
      <w:r w:rsidRPr="002C0B94">
        <w:rPr>
          <w:rFonts w:ascii="Palatino Linotype" w:eastAsia="Palatino Linotype" w:hAnsi="Palatino Linotype" w:cs="Palatino Linotype"/>
          <w:b/>
          <w:color w:val="000000"/>
          <w:sz w:val="22"/>
          <w:szCs w:val="22"/>
        </w:rPr>
        <w:t xml:space="preserve">Dirección General de Administración: </w:t>
      </w:r>
      <w:r w:rsidRPr="002C0B94">
        <w:rPr>
          <w:rFonts w:ascii="Palatino Linotype" w:eastAsia="Palatino Linotype" w:hAnsi="Palatino Linotype" w:cs="Palatino Linotype"/>
          <w:color w:val="000000"/>
          <w:sz w:val="22"/>
          <w:szCs w:val="22"/>
        </w:rPr>
        <w:t>Que, a través de la Dirección de Recursos Materiales, lleva a cabo los procedimientos para la adquisición de los bienes, incluido la elaboración y suscripción de los contratos de adquisición de bienes; conforme a lo establecido en el Manual de Organización de dicha área.</w:t>
      </w:r>
    </w:p>
    <w:p w:rsidR="0084304D" w:rsidRPr="002C0B94" w:rsidRDefault="0084304D">
      <w:pPr>
        <w:pBdr>
          <w:top w:val="nil"/>
          <w:left w:val="nil"/>
          <w:bottom w:val="nil"/>
          <w:right w:val="nil"/>
          <w:between w:val="nil"/>
        </w:pBdr>
        <w:ind w:left="720"/>
        <w:rPr>
          <w:rFonts w:ascii="Palatino Linotype" w:eastAsia="Palatino Linotype" w:hAnsi="Palatino Linotype" w:cs="Palatino Linotype"/>
          <w:b/>
          <w:color w:val="000000"/>
          <w:sz w:val="22"/>
          <w:szCs w:val="22"/>
        </w:rPr>
      </w:pPr>
    </w:p>
    <w:p w:rsidR="0084304D" w:rsidRPr="002C0B94" w:rsidRDefault="00EE6D31">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sz w:val="22"/>
          <w:szCs w:val="22"/>
        </w:rPr>
      </w:pPr>
      <w:r w:rsidRPr="002C0B94">
        <w:rPr>
          <w:rFonts w:ascii="Palatino Linotype" w:eastAsia="Palatino Linotype" w:hAnsi="Palatino Linotype" w:cs="Palatino Linotype"/>
          <w:b/>
          <w:color w:val="000000"/>
          <w:sz w:val="22"/>
          <w:szCs w:val="22"/>
        </w:rPr>
        <w:t xml:space="preserve">Tesorería Municipal: </w:t>
      </w:r>
      <w:r w:rsidRPr="002C0B94">
        <w:rPr>
          <w:rFonts w:ascii="Palatino Linotype" w:eastAsia="Palatino Linotype" w:hAnsi="Palatino Linotype" w:cs="Palatino Linotype"/>
          <w:color w:val="000000"/>
          <w:sz w:val="22"/>
          <w:szCs w:val="22"/>
        </w:rPr>
        <w:t>Que, a través de la Dirección de Egresos, se encarga de realizar el pago de obligaciones contraídas con proveedores, para lo cual contara con el Departamento de Recursos Propios, encargado de recibir y organizar la documentación soporte derivada de la adquisición de bienes, de conformidad con el Manual de Organización del área.</w:t>
      </w:r>
    </w:p>
    <w:p w:rsidR="0084304D" w:rsidRPr="002C0B94" w:rsidRDefault="0084304D">
      <w:pPr>
        <w:spacing w:line="360" w:lineRule="auto"/>
        <w:ind w:right="-28"/>
        <w:jc w:val="both"/>
        <w:rPr>
          <w:rFonts w:ascii="Palatino Linotype" w:eastAsia="Palatino Linotype" w:hAnsi="Palatino Linotype" w:cs="Palatino Linotype"/>
          <w:sz w:val="22"/>
          <w:szCs w:val="22"/>
        </w:rPr>
      </w:pPr>
    </w:p>
    <w:p w:rsidR="0084304D" w:rsidRPr="002C0B94" w:rsidRDefault="00EE6D31">
      <w:pPr>
        <w:spacing w:line="360" w:lineRule="auto"/>
        <w:ind w:right="-28"/>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Así, se advierte que el Sujeto Obligado cumplió con el procedimiento de búsqueda, pues turno la solicitud de información a la Dirección General de Administración y Tesorería Municipal, que ven las cuestiones relacionadas con la adquisición de bienes y pago de proveedores.</w:t>
      </w:r>
    </w:p>
    <w:p w:rsidR="0084304D" w:rsidRPr="002C0B94" w:rsidRDefault="0084304D">
      <w:pPr>
        <w:spacing w:line="360" w:lineRule="auto"/>
        <w:ind w:right="-28"/>
        <w:jc w:val="both"/>
        <w:rPr>
          <w:rFonts w:ascii="Palatino Linotype" w:eastAsia="Palatino Linotype" w:hAnsi="Palatino Linotype" w:cs="Palatino Linotype"/>
          <w:sz w:val="22"/>
          <w:szCs w:val="22"/>
        </w:rPr>
      </w:pPr>
    </w:p>
    <w:p w:rsidR="0084304D" w:rsidRPr="002C0B94" w:rsidRDefault="00EE6D31">
      <w:pPr>
        <w:spacing w:line="360" w:lineRule="auto"/>
        <w:ind w:right="-28"/>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 xml:space="preserve">Ahora bien, la Tesorería Municipal, indicó que, a la fecha de la solicitud, se encontraban realizando los registros contables y presupuestales del cuarto trimestre del ejercicio fiscal dos mil veinticuatro, por lo que la información se estaba generando, situación que no puede ser validada, pues el ahora Recurrente no pretende acceder a los informes trimestrales o a la </w:t>
      </w:r>
      <w:r w:rsidRPr="002C0B94">
        <w:rPr>
          <w:rFonts w:ascii="Palatino Linotype" w:eastAsia="Palatino Linotype" w:hAnsi="Palatino Linotype" w:cs="Palatino Linotype"/>
          <w:sz w:val="22"/>
          <w:szCs w:val="22"/>
        </w:rPr>
        <w:lastRenderedPageBreak/>
        <w:t>cuenta pública, sino a documentos definitivos derivados de un procedimiento de adquisición específica, entre los cuales se encuentran las facturas de pago, contrato celebrado (al contener la cláusula  del pago total).</w:t>
      </w:r>
    </w:p>
    <w:p w:rsidR="0084304D" w:rsidRPr="002C0B94" w:rsidRDefault="0084304D">
      <w:pPr>
        <w:spacing w:line="360" w:lineRule="auto"/>
        <w:ind w:right="-28"/>
        <w:jc w:val="both"/>
        <w:rPr>
          <w:rFonts w:ascii="Palatino Linotype" w:eastAsia="Palatino Linotype" w:hAnsi="Palatino Linotype" w:cs="Palatino Linotype"/>
          <w:sz w:val="22"/>
          <w:szCs w:val="22"/>
        </w:rPr>
      </w:pPr>
    </w:p>
    <w:p w:rsidR="0084304D" w:rsidRPr="002C0B94" w:rsidRDefault="00EE6D31">
      <w:pPr>
        <w:spacing w:line="360" w:lineRule="auto"/>
        <w:ind w:right="-28"/>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Por otra parte, la Dirección General de Administración precisó, que después de una búsqueda exhaustiva y razonable, que dentro de sus archivos no se había localizado expediente para la adquisición de nochebuenas; situación que no es correcta, pues como se señaló en párrafos anteriores, se localizó el contrato derivado del procedimiento de licitación pública AT-LPN-025-2024, el cual se suscribió el veinticinco de noviembre de dos mil veinticuatro, tal como se muestra a continuación:</w:t>
      </w:r>
    </w:p>
    <w:p w:rsidR="0084304D" w:rsidRPr="002C0B94" w:rsidRDefault="0084304D">
      <w:pPr>
        <w:spacing w:line="360" w:lineRule="auto"/>
        <w:ind w:right="-28"/>
        <w:jc w:val="both"/>
        <w:rPr>
          <w:rFonts w:ascii="Palatino Linotype" w:eastAsia="Palatino Linotype" w:hAnsi="Palatino Linotype" w:cs="Palatino Linotype"/>
          <w:sz w:val="22"/>
          <w:szCs w:val="22"/>
        </w:rPr>
      </w:pPr>
    </w:p>
    <w:p w:rsidR="0084304D" w:rsidRPr="002C0B94" w:rsidRDefault="00EE6D31">
      <w:pPr>
        <w:spacing w:line="360" w:lineRule="auto"/>
        <w:ind w:right="-28"/>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noProof/>
          <w:sz w:val="22"/>
          <w:szCs w:val="22"/>
          <w:lang w:eastAsia="es-MX"/>
        </w:rPr>
        <w:drawing>
          <wp:inline distT="0" distB="0" distL="0" distR="0">
            <wp:extent cx="5742940" cy="781050"/>
            <wp:effectExtent l="0" t="0" r="0" b="0"/>
            <wp:docPr id="20728962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b="78679"/>
                    <a:stretch>
                      <a:fillRect/>
                    </a:stretch>
                  </pic:blipFill>
                  <pic:spPr>
                    <a:xfrm>
                      <a:off x="0" y="0"/>
                      <a:ext cx="5742940" cy="781050"/>
                    </a:xfrm>
                    <a:prstGeom prst="rect">
                      <a:avLst/>
                    </a:prstGeom>
                    <a:ln/>
                  </pic:spPr>
                </pic:pic>
              </a:graphicData>
            </a:graphic>
          </wp:inline>
        </w:drawing>
      </w:r>
    </w:p>
    <w:p w:rsidR="0084304D" w:rsidRPr="002C0B94" w:rsidRDefault="00EE6D31">
      <w:pPr>
        <w:spacing w:line="360" w:lineRule="auto"/>
        <w:ind w:right="-28"/>
        <w:jc w:val="center"/>
        <w:rPr>
          <w:rFonts w:ascii="Palatino Linotype" w:eastAsia="Palatino Linotype" w:hAnsi="Palatino Linotype" w:cs="Palatino Linotype"/>
          <w:sz w:val="22"/>
          <w:szCs w:val="22"/>
        </w:rPr>
      </w:pPr>
      <w:r w:rsidRPr="002C0B94">
        <w:rPr>
          <w:rFonts w:ascii="Palatino Linotype" w:eastAsia="Palatino Linotype" w:hAnsi="Palatino Linotype" w:cs="Palatino Linotype"/>
          <w:noProof/>
          <w:sz w:val="22"/>
          <w:szCs w:val="22"/>
          <w:lang w:eastAsia="es-MX"/>
        </w:rPr>
        <w:drawing>
          <wp:inline distT="0" distB="0" distL="0" distR="0">
            <wp:extent cx="5742940" cy="462915"/>
            <wp:effectExtent l="0" t="0" r="0" b="0"/>
            <wp:docPr id="20728962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t="87363"/>
                    <a:stretch>
                      <a:fillRect/>
                    </a:stretch>
                  </pic:blipFill>
                  <pic:spPr>
                    <a:xfrm>
                      <a:off x="0" y="0"/>
                      <a:ext cx="5742940" cy="462915"/>
                    </a:xfrm>
                    <a:prstGeom prst="rect">
                      <a:avLst/>
                    </a:prstGeom>
                    <a:ln/>
                  </pic:spPr>
                </pic:pic>
              </a:graphicData>
            </a:graphic>
          </wp:inline>
        </w:drawing>
      </w:r>
    </w:p>
    <w:p w:rsidR="0084304D" w:rsidRPr="002C0B94" w:rsidRDefault="0084304D">
      <w:pPr>
        <w:spacing w:line="360" w:lineRule="auto"/>
        <w:ind w:right="-28"/>
        <w:jc w:val="both"/>
        <w:rPr>
          <w:rFonts w:ascii="Palatino Linotype" w:eastAsia="Palatino Linotype" w:hAnsi="Palatino Linotype" w:cs="Palatino Linotype"/>
          <w:sz w:val="22"/>
          <w:szCs w:val="22"/>
        </w:rPr>
      </w:pPr>
    </w:p>
    <w:p w:rsidR="0084304D" w:rsidRPr="002C0B94" w:rsidRDefault="00EE6D31">
      <w:pPr>
        <w:spacing w:line="360" w:lineRule="auto"/>
        <w:ind w:right="-28"/>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 xml:space="preserve">Conforme a lo anterior, se logra vislumbrar que el agravio es </w:t>
      </w:r>
      <w:r w:rsidRPr="002C0B94">
        <w:rPr>
          <w:rFonts w:ascii="Palatino Linotype" w:eastAsia="Palatino Linotype" w:hAnsi="Palatino Linotype" w:cs="Palatino Linotype"/>
          <w:b/>
          <w:sz w:val="22"/>
          <w:szCs w:val="22"/>
        </w:rPr>
        <w:t>FUNDADO</w:t>
      </w:r>
      <w:r w:rsidRPr="002C0B94">
        <w:rPr>
          <w:rFonts w:ascii="Palatino Linotype" w:eastAsia="Palatino Linotype" w:hAnsi="Palatino Linotype" w:cs="Palatino Linotype"/>
          <w:sz w:val="22"/>
          <w:szCs w:val="22"/>
        </w:rPr>
        <w:t>,</w:t>
      </w:r>
      <w:r w:rsidRPr="002C0B94">
        <w:rPr>
          <w:rFonts w:ascii="Palatino Linotype" w:eastAsia="Palatino Linotype" w:hAnsi="Palatino Linotype" w:cs="Palatino Linotype"/>
          <w:b/>
          <w:sz w:val="22"/>
          <w:szCs w:val="22"/>
        </w:rPr>
        <w:t xml:space="preserve"> </w:t>
      </w:r>
      <w:r w:rsidRPr="002C0B94">
        <w:rPr>
          <w:rFonts w:ascii="Palatino Linotype" w:eastAsia="Palatino Linotype" w:hAnsi="Palatino Linotype" w:cs="Palatino Linotype"/>
          <w:sz w:val="22"/>
          <w:szCs w:val="22"/>
        </w:rPr>
        <w:t xml:space="preserve">pues el Sujeto Obligado no atendió de manera correcta la solicitud de información, pues la Tesorería Municipal estaba en posibilidad de entregar algún documento definitivo, mientras que la Dirección General de Administración si realizó el procedimiento de adquisición.  </w:t>
      </w:r>
    </w:p>
    <w:p w:rsidR="0084304D" w:rsidRPr="002C0B94" w:rsidRDefault="0084304D">
      <w:pPr>
        <w:spacing w:line="360" w:lineRule="auto"/>
        <w:ind w:right="-28"/>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 xml:space="preserve">Por lo que, para atender al requerimiento en análisis, el Sujeto Obligado, deberá realizar una búsqueda exhaustiva y razonable en todas sus unidades administrativas competentes entre las que no podrá omitir a la Tesorería Municipal y la Dirección General de Administración, en términos del artículo 162 de la Ley de Transparencia y Acceso a la Información Pública del </w:t>
      </w:r>
      <w:r w:rsidRPr="002C0B94">
        <w:rPr>
          <w:rFonts w:ascii="Palatino Linotype" w:eastAsia="Palatino Linotype" w:hAnsi="Palatino Linotype" w:cs="Palatino Linotype"/>
          <w:sz w:val="22"/>
          <w:szCs w:val="22"/>
        </w:rPr>
        <w:lastRenderedPageBreak/>
        <w:t>Estado de México y Municipios, a efecto de que entregue los documentos donde conste el monto gastado por la adquisición de las plantas de nochebuena referidas en respuesta, que de manera enunciativa, más no limitativa se localiza el contrato de adquisición, la factura de pago o la póliza de egresos donde conste la erogación de recursos;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rsidR="0084304D" w:rsidRPr="002C0B94" w:rsidRDefault="0084304D">
      <w:pPr>
        <w:tabs>
          <w:tab w:val="center" w:pos="4522"/>
        </w:tabs>
        <w:spacing w:line="360" w:lineRule="auto"/>
        <w:jc w:val="both"/>
        <w:rPr>
          <w:rFonts w:ascii="Palatino Linotype" w:eastAsia="Palatino Linotype" w:hAnsi="Palatino Linotype" w:cs="Palatino Linotype"/>
          <w:sz w:val="22"/>
          <w:szCs w:val="22"/>
        </w:rPr>
      </w:pPr>
    </w:p>
    <w:p w:rsidR="0084304D" w:rsidRPr="002C0B94" w:rsidRDefault="00EE6D31">
      <w:pPr>
        <w:tabs>
          <w:tab w:val="center" w:pos="4522"/>
        </w:tabs>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 xml:space="preserve">De esta manera, el derecho de acceso a la información pública se satisface en aquellos casos en que se entregue el soporte documental en el que conste la información solicitada, sin necesidad de elaborar documentos </w:t>
      </w:r>
      <w:r w:rsidRPr="002C0B94">
        <w:rPr>
          <w:rFonts w:ascii="Palatino Linotype" w:eastAsia="Palatino Linotype" w:hAnsi="Palatino Linotype" w:cs="Palatino Linotype"/>
          <w:i/>
          <w:sz w:val="22"/>
          <w:szCs w:val="22"/>
        </w:rPr>
        <w:t>ad hoc;</w:t>
      </w:r>
      <w:r w:rsidRPr="002C0B94">
        <w:rPr>
          <w:rFonts w:ascii="Palatino Linotype" w:eastAsia="Palatino Linotype" w:hAnsi="Palatino Linotype" w:cs="Palatino Linotype"/>
          <w:sz w:val="22"/>
          <w:szCs w:val="22"/>
        </w:rPr>
        <w:t xml:space="preserve"> lo cual, de conformidad con en el artículo 160 de la Ley de Transparencia y Acceso a la Información Pública del Estado de México y Municipios, el cual refiere que los sujetos obligados deberán entregar la información que obre en sus archivos.</w:t>
      </w:r>
    </w:p>
    <w:p w:rsidR="0084304D" w:rsidRPr="002C0B94" w:rsidRDefault="0084304D">
      <w:pPr>
        <w:tabs>
          <w:tab w:val="center" w:pos="4522"/>
        </w:tabs>
        <w:spacing w:line="360" w:lineRule="auto"/>
        <w:jc w:val="both"/>
        <w:rPr>
          <w:rFonts w:ascii="Palatino Linotype" w:eastAsia="Palatino Linotype" w:hAnsi="Palatino Linotype" w:cs="Palatino Linotype"/>
          <w:sz w:val="22"/>
          <w:szCs w:val="22"/>
        </w:rPr>
      </w:pPr>
    </w:p>
    <w:p w:rsidR="0084304D" w:rsidRPr="002C0B94" w:rsidRDefault="00EE6D31">
      <w:pPr>
        <w:tabs>
          <w:tab w:val="center" w:pos="4522"/>
        </w:tabs>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los documentos donde conste la información solicitada.</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 xml:space="preserve">Finalmente, no pasa desapercibido para este Instituto que los documentos que den cuenta de lo solicitado, pudieran contener datos o información clasificada, como pudiera ser  </w:t>
      </w:r>
      <w:proofErr w:type="spellStart"/>
      <w:r w:rsidRPr="002C0B94">
        <w:rPr>
          <w:rFonts w:ascii="Palatino Linotype" w:eastAsia="Palatino Linotype" w:hAnsi="Palatino Linotype" w:cs="Palatino Linotype"/>
          <w:sz w:val="22"/>
          <w:szCs w:val="22"/>
        </w:rPr>
        <w:t>el</w:t>
      </w:r>
      <w:proofErr w:type="spellEnd"/>
      <w:r w:rsidRPr="002C0B94">
        <w:rPr>
          <w:rFonts w:ascii="Palatino Linotype" w:eastAsia="Palatino Linotype" w:hAnsi="Palatino Linotype" w:cs="Palatino Linotype"/>
          <w:sz w:val="22"/>
          <w:szCs w:val="22"/>
        </w:rPr>
        <w:t xml:space="preserve"> cuenta bancaria de los proveedores; al respecto, conforme al artículo 3°, fracción XLV, relacionado con el 137, ambos de la Ley de Transparencia y Acceso a la Información Pública del Estado de México y Municipios, cuando un documento contenga información pública y confidencial, la </w:t>
      </w:r>
      <w:r w:rsidRPr="002C0B94">
        <w:rPr>
          <w:rFonts w:ascii="Palatino Linotype" w:eastAsia="Palatino Linotype" w:hAnsi="Palatino Linotype" w:cs="Palatino Linotype"/>
          <w:sz w:val="22"/>
          <w:szCs w:val="22"/>
        </w:rPr>
        <w:lastRenderedPageBreak/>
        <w:t xml:space="preserve">Unidad de Transparencia para efectos de atender al requerimiento informativo, deberá elaborar una versión Pública en la que se testen las partes o secciones clasificadas, indicando su contenido de manera genérica y fundando y motivando su clasificación. </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84304D" w:rsidRPr="002C0B94" w:rsidRDefault="0084304D">
      <w:pPr>
        <w:spacing w:line="360" w:lineRule="auto"/>
        <w:ind w:right="-93"/>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b/>
          <w:sz w:val="22"/>
          <w:szCs w:val="22"/>
        </w:rPr>
      </w:pPr>
      <w:r w:rsidRPr="002C0B94">
        <w:rPr>
          <w:rFonts w:ascii="Palatino Linotype" w:eastAsia="Palatino Linotype" w:hAnsi="Palatino Linotype" w:cs="Palatino Linotype"/>
          <w:b/>
          <w:sz w:val="22"/>
          <w:szCs w:val="22"/>
        </w:rPr>
        <w:t xml:space="preserve">SEXTO. Decisión </w:t>
      </w:r>
    </w:p>
    <w:p w:rsidR="0084304D" w:rsidRPr="002C0B94" w:rsidRDefault="00EE6D31">
      <w:pPr>
        <w:spacing w:line="360" w:lineRule="auto"/>
        <w:jc w:val="both"/>
        <w:rPr>
          <w:rFonts w:ascii="Palatino Linotype" w:eastAsia="Palatino Linotype" w:hAnsi="Palatino Linotype" w:cs="Palatino Linotype"/>
          <w:b/>
          <w:sz w:val="22"/>
          <w:szCs w:val="22"/>
        </w:rPr>
      </w:pPr>
      <w:r w:rsidRPr="002C0B94">
        <w:rPr>
          <w:rFonts w:ascii="Palatino Linotype" w:eastAsia="Palatino Linotype" w:hAnsi="Palatino Linotype" w:cs="Palatino Linotype"/>
          <w:b/>
          <w:sz w:val="22"/>
          <w:szCs w:val="22"/>
        </w:rPr>
        <w:t xml:space="preserve"> </w:t>
      </w: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color w:val="000000"/>
          <w:sz w:val="22"/>
          <w:szCs w:val="22"/>
        </w:rPr>
        <w:t xml:space="preserve">De acuerdo con lo expuesto y, con fundamento en el artículo 186, fracción III, de la Ley de Transparencia y Acceso a la Información Pública del Estado de México y Municipios, este Instituto considera procedente </w:t>
      </w:r>
      <w:r w:rsidRPr="002C0B94">
        <w:rPr>
          <w:rFonts w:ascii="Palatino Linotype" w:eastAsia="Palatino Linotype" w:hAnsi="Palatino Linotype" w:cs="Palatino Linotype"/>
          <w:b/>
          <w:color w:val="000000"/>
          <w:sz w:val="22"/>
          <w:szCs w:val="22"/>
        </w:rPr>
        <w:t xml:space="preserve">MODIFICAR </w:t>
      </w:r>
      <w:r w:rsidRPr="002C0B94">
        <w:rPr>
          <w:rFonts w:ascii="Palatino Linotype" w:eastAsia="Palatino Linotype" w:hAnsi="Palatino Linotype" w:cs="Palatino Linotype"/>
          <w:color w:val="000000"/>
          <w:sz w:val="22"/>
          <w:szCs w:val="22"/>
        </w:rPr>
        <w:t>la respuesta del Ayuntamiento de Toluca, a efecto de que entregue la información sobre la adquisición de plantas de noche buena referidas en respuesta.</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b/>
          <w:color w:val="000000"/>
          <w:sz w:val="22"/>
          <w:szCs w:val="22"/>
        </w:rPr>
      </w:pPr>
      <w:r w:rsidRPr="002C0B94">
        <w:rPr>
          <w:rFonts w:ascii="Palatino Linotype" w:eastAsia="Palatino Linotype" w:hAnsi="Palatino Linotype" w:cs="Palatino Linotype"/>
          <w:b/>
          <w:color w:val="000000"/>
          <w:sz w:val="22"/>
          <w:szCs w:val="22"/>
        </w:rPr>
        <w:t>Términos de la Resolución para conocimiento del Particular.</w:t>
      </w:r>
    </w:p>
    <w:p w:rsidR="0084304D" w:rsidRPr="002C0B94" w:rsidRDefault="0084304D">
      <w:pPr>
        <w:spacing w:line="360" w:lineRule="auto"/>
        <w:jc w:val="both"/>
        <w:rPr>
          <w:rFonts w:ascii="Palatino Linotype" w:eastAsia="Palatino Linotype" w:hAnsi="Palatino Linotype" w:cs="Palatino Linotype"/>
          <w:b/>
          <w:color w:val="000000"/>
          <w:sz w:val="22"/>
          <w:szCs w:val="22"/>
        </w:rPr>
      </w:pPr>
    </w:p>
    <w:p w:rsidR="0084304D" w:rsidRPr="002C0B94" w:rsidRDefault="00EE6D31">
      <w:pPr>
        <w:spacing w:line="360" w:lineRule="auto"/>
        <w:ind w:right="-28"/>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color w:val="000000"/>
          <w:sz w:val="22"/>
          <w:szCs w:val="22"/>
        </w:rPr>
        <w:t>Se le hace del conocimiento al Particular, que, en el presente caso, se le concede parcialmente la razón, pues el Sujetó Obligado, si bien remitió la cantidad de plantas colocadas en diversos puntos del municipio, lo cierto es que omitió proporcionar los documentos que dieran cuenta del monto erogado por dicho concepto, por lo que deberá realizar una búsqueda exhaustiva y razonable en los archivos de las unidades administrativas competentes, entre las cuales no podrá omitir a la Tesorería Municipal y a la Dirección General de Administración, a efecto de proporcionar lo que obre en estos</w:t>
      </w:r>
      <w:r w:rsidRPr="002C0B94">
        <w:rPr>
          <w:rFonts w:ascii="Palatino Linotype" w:eastAsia="Palatino Linotype" w:hAnsi="Palatino Linotype" w:cs="Palatino Linotype"/>
          <w:sz w:val="22"/>
          <w:szCs w:val="22"/>
        </w:rPr>
        <w:t xml:space="preserve">. Finalmente, la labor de este Instituto de Transparencia, es </w:t>
      </w:r>
      <w:r w:rsidRPr="002C0B94">
        <w:rPr>
          <w:rFonts w:ascii="Palatino Linotype" w:eastAsia="Palatino Linotype" w:hAnsi="Palatino Linotype" w:cs="Palatino Linotype"/>
          <w:sz w:val="22"/>
          <w:szCs w:val="22"/>
        </w:rPr>
        <w:lastRenderedPageBreak/>
        <w:t>apoyar a la población a acceder a la información pública y es garantizar la protección de los datos personales.</w:t>
      </w: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Por lo expuesto y fundado, este Pleno:</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center"/>
        <w:rPr>
          <w:rFonts w:ascii="Palatino Linotype" w:eastAsia="Palatino Linotype" w:hAnsi="Palatino Linotype" w:cs="Palatino Linotype"/>
          <w:b/>
          <w:sz w:val="22"/>
          <w:szCs w:val="22"/>
        </w:rPr>
      </w:pPr>
      <w:r w:rsidRPr="002C0B94">
        <w:rPr>
          <w:rFonts w:ascii="Palatino Linotype" w:eastAsia="Palatino Linotype" w:hAnsi="Palatino Linotype" w:cs="Palatino Linotype"/>
          <w:b/>
          <w:sz w:val="22"/>
          <w:szCs w:val="22"/>
        </w:rPr>
        <w:t>R E S U E L V E</w:t>
      </w: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 xml:space="preserve"> </w:t>
      </w:r>
    </w:p>
    <w:p w:rsidR="0084304D" w:rsidRPr="002C0B94" w:rsidRDefault="00EE6D31">
      <w:pPr>
        <w:spacing w:line="360" w:lineRule="auto"/>
        <w:jc w:val="both"/>
        <w:rPr>
          <w:rFonts w:ascii="Palatino Linotype" w:eastAsia="Palatino Linotype" w:hAnsi="Palatino Linotype" w:cs="Palatino Linotype"/>
          <w:color w:val="000000"/>
          <w:sz w:val="22"/>
          <w:szCs w:val="22"/>
        </w:rPr>
      </w:pPr>
      <w:r w:rsidRPr="002C0B94">
        <w:rPr>
          <w:rFonts w:ascii="Palatino Linotype" w:eastAsia="Palatino Linotype" w:hAnsi="Palatino Linotype" w:cs="Palatino Linotype"/>
          <w:b/>
          <w:sz w:val="22"/>
          <w:szCs w:val="22"/>
        </w:rPr>
        <w:t xml:space="preserve">PRIMERO. </w:t>
      </w:r>
      <w:r w:rsidRPr="002C0B94">
        <w:rPr>
          <w:rFonts w:ascii="Palatino Linotype" w:eastAsia="Palatino Linotype" w:hAnsi="Palatino Linotype" w:cs="Palatino Linotype"/>
          <w:color w:val="000000"/>
          <w:sz w:val="22"/>
          <w:szCs w:val="22"/>
        </w:rPr>
        <w:t xml:space="preserve">Se </w:t>
      </w:r>
      <w:r w:rsidRPr="002C0B94">
        <w:rPr>
          <w:rFonts w:ascii="Palatino Linotype" w:eastAsia="Palatino Linotype" w:hAnsi="Palatino Linotype" w:cs="Palatino Linotype"/>
          <w:b/>
          <w:color w:val="000000"/>
          <w:sz w:val="22"/>
          <w:szCs w:val="22"/>
        </w:rPr>
        <w:t>MODIFICA</w:t>
      </w:r>
      <w:r w:rsidRPr="002C0B94">
        <w:rPr>
          <w:rFonts w:ascii="Palatino Linotype" w:eastAsia="Palatino Linotype" w:hAnsi="Palatino Linotype" w:cs="Palatino Linotype"/>
          <w:color w:val="000000"/>
          <w:sz w:val="22"/>
          <w:szCs w:val="22"/>
        </w:rPr>
        <w:t xml:space="preserve"> la respuesta entregada por el Sujeto Obligado, a la solicitud de información </w:t>
      </w:r>
      <w:r w:rsidRPr="002C0B94">
        <w:rPr>
          <w:rFonts w:ascii="Palatino Linotype" w:eastAsia="Palatino Linotype" w:hAnsi="Palatino Linotype" w:cs="Palatino Linotype"/>
          <w:sz w:val="22"/>
          <w:szCs w:val="22"/>
        </w:rPr>
        <w:t>03418/TOLUCA/IP/2024</w:t>
      </w:r>
      <w:r w:rsidRPr="002C0B94">
        <w:rPr>
          <w:rFonts w:ascii="Palatino Linotype" w:eastAsia="Palatino Linotype" w:hAnsi="Palatino Linotype" w:cs="Palatino Linotype"/>
          <w:color w:val="000000"/>
          <w:sz w:val="22"/>
          <w:szCs w:val="22"/>
        </w:rPr>
        <w:t xml:space="preserve">, por resultar </w:t>
      </w:r>
      <w:r w:rsidRPr="002C0B94">
        <w:rPr>
          <w:rFonts w:ascii="Palatino Linotype" w:eastAsia="Palatino Linotype" w:hAnsi="Palatino Linotype" w:cs="Palatino Linotype"/>
          <w:b/>
          <w:color w:val="000000"/>
          <w:sz w:val="22"/>
          <w:szCs w:val="22"/>
        </w:rPr>
        <w:t>FUNDADAS</w:t>
      </w:r>
      <w:r w:rsidRPr="002C0B94">
        <w:rPr>
          <w:rFonts w:ascii="Palatino Linotype" w:eastAsia="Palatino Linotype" w:hAnsi="Palatino Linotype" w:cs="Palatino Linotype"/>
          <w:color w:val="000000"/>
          <w:sz w:val="22"/>
          <w:szCs w:val="22"/>
        </w:rPr>
        <w:t xml:space="preserve"> las razones o motivos de inconformidad hechos valer por el Particular, en términos de los considerandos QUINTO y SEXTO de la presente Resolución.</w:t>
      </w:r>
    </w:p>
    <w:p w:rsidR="0084304D" w:rsidRPr="002C0B94" w:rsidRDefault="0084304D">
      <w:pPr>
        <w:spacing w:line="360" w:lineRule="auto"/>
        <w:jc w:val="both"/>
        <w:rPr>
          <w:rFonts w:ascii="Palatino Linotype" w:eastAsia="Palatino Linotype" w:hAnsi="Palatino Linotype" w:cs="Palatino Linotype"/>
          <w:b/>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b/>
          <w:sz w:val="22"/>
          <w:szCs w:val="22"/>
        </w:rPr>
        <w:t xml:space="preserve">SEGUNDO. </w:t>
      </w:r>
      <w:r w:rsidRPr="002C0B94">
        <w:rPr>
          <w:rFonts w:ascii="Palatino Linotype" w:eastAsia="Palatino Linotype" w:hAnsi="Palatino Linotype" w:cs="Palatino Linotype"/>
          <w:sz w:val="22"/>
          <w:szCs w:val="22"/>
        </w:rPr>
        <w:t xml:space="preserve">Se </w:t>
      </w:r>
      <w:r w:rsidRPr="002C0B94">
        <w:rPr>
          <w:rFonts w:ascii="Palatino Linotype" w:eastAsia="Palatino Linotype" w:hAnsi="Palatino Linotype" w:cs="Palatino Linotype"/>
          <w:b/>
          <w:sz w:val="22"/>
          <w:szCs w:val="22"/>
        </w:rPr>
        <w:t xml:space="preserve">ORDENA </w:t>
      </w:r>
      <w:r w:rsidRPr="002C0B94">
        <w:rPr>
          <w:rFonts w:ascii="Palatino Linotype" w:eastAsia="Palatino Linotype" w:hAnsi="Palatino Linotype" w:cs="Palatino Linotype"/>
          <w:sz w:val="22"/>
          <w:szCs w:val="22"/>
        </w:rPr>
        <w:t>al Ente Recurrido, a efecto de que previa búsqueda exhaustiva y razonable en las unidades administrativas competentes, entregue, a través del Sistema de Acceso a la Información Mexiquense (SAIMEX), en su caso, en versión pública, los documentos con los que contara al seis de diciembre de dos mil veinticuatro, donde conste lo siguiente:</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2C0B94">
        <w:rPr>
          <w:rFonts w:ascii="Palatino Linotype" w:eastAsia="Palatino Linotype" w:hAnsi="Palatino Linotype" w:cs="Palatino Linotype"/>
          <w:color w:val="000000"/>
          <w:sz w:val="22"/>
          <w:szCs w:val="22"/>
        </w:rPr>
        <w:t>El monto por la adquisición de las treinta y cinco mil nochebuenas referidas en respuesta, derivado del Contrato celebrado dentro del procedimiento de adjudicación número AT-LPN-025-2024.</w:t>
      </w:r>
    </w:p>
    <w:p w:rsidR="0084304D" w:rsidRPr="002C0B94" w:rsidRDefault="0084304D">
      <w:pPr>
        <w:spacing w:line="360" w:lineRule="auto"/>
        <w:jc w:val="both"/>
        <w:rPr>
          <w:rFonts w:ascii="Palatino Linotype" w:eastAsia="Palatino Linotype" w:hAnsi="Palatino Linotype" w:cs="Palatino Linotype"/>
          <w:color w:val="000000"/>
          <w:sz w:val="22"/>
          <w:szCs w:val="22"/>
        </w:rPr>
      </w:pPr>
    </w:p>
    <w:p w:rsidR="0084304D" w:rsidRPr="002C0B94" w:rsidRDefault="00EE6D31">
      <w:pPr>
        <w:spacing w:line="360" w:lineRule="auto"/>
        <w:jc w:val="both"/>
        <w:rPr>
          <w:rFonts w:ascii="Palatino Linotype" w:eastAsia="Palatino Linotype" w:hAnsi="Palatino Linotype" w:cs="Palatino Linotype"/>
          <w:color w:val="000000"/>
          <w:sz w:val="22"/>
          <w:szCs w:val="22"/>
        </w:rPr>
      </w:pPr>
      <w:r w:rsidRPr="002C0B94">
        <w:rPr>
          <w:rFonts w:ascii="Palatino Linotype" w:eastAsia="Palatino Linotype" w:hAnsi="Palatino Linotype" w:cs="Palatino Linotype"/>
          <w:color w:val="000000"/>
          <w:sz w:val="22"/>
          <w:szCs w:val="22"/>
        </w:rPr>
        <w:t>Además, de ser necesario, deberá proporcionar el Acuerdo de Clasificación donde el Comité de Transparencia, confirme la eliminación de los datos o información, en la versión pública, de conformidad con los artículos 49, fracciones II y VIII y 132, fracción II, de la Ley de Transparencia y Acceso a la Información Pública del Estado de México y Municipios.</w:t>
      </w:r>
    </w:p>
    <w:p w:rsidR="0084304D" w:rsidRPr="002C0B94" w:rsidRDefault="0084304D">
      <w:pPr>
        <w:spacing w:line="360" w:lineRule="auto"/>
        <w:jc w:val="both"/>
        <w:rPr>
          <w:rFonts w:ascii="Palatino Linotype" w:eastAsia="Palatino Linotype" w:hAnsi="Palatino Linotype" w:cs="Palatino Linotype"/>
          <w:color w:val="000000"/>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b/>
          <w:sz w:val="22"/>
          <w:szCs w:val="22"/>
        </w:rPr>
        <w:lastRenderedPageBreak/>
        <w:t xml:space="preserve">TERCERO. NOTIFÍQUESE POR SAIMEX </w:t>
      </w:r>
      <w:r w:rsidRPr="002C0B94">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84304D" w:rsidRPr="002C0B94" w:rsidRDefault="0084304D">
      <w:pPr>
        <w:spacing w:line="360" w:lineRule="auto"/>
        <w:jc w:val="both"/>
        <w:rPr>
          <w:rFonts w:ascii="Palatino Linotype" w:eastAsia="Palatino Linotype" w:hAnsi="Palatino Linotype" w:cs="Palatino Linotype"/>
          <w:sz w:val="22"/>
          <w:szCs w:val="22"/>
        </w:rPr>
      </w:pP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b/>
          <w:sz w:val="22"/>
          <w:szCs w:val="22"/>
        </w:rPr>
        <w:t>CUARTO. NOTIFÍQUESE POR SAIME</w:t>
      </w:r>
      <w:r w:rsidRPr="002C0B94">
        <w:rPr>
          <w:rFonts w:ascii="Palatino Linotype" w:eastAsia="Palatino Linotype" w:hAnsi="Palatino Linotype" w:cs="Palatino Linotype"/>
          <w:sz w:val="22"/>
          <w:szCs w:val="22"/>
        </w:rPr>
        <w:t>X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84304D" w:rsidRPr="002C0B94"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 xml:space="preserve"> </w:t>
      </w:r>
    </w:p>
    <w:p w:rsidR="0084304D" w:rsidRDefault="00EE6D31">
      <w:pPr>
        <w:spacing w:line="360" w:lineRule="auto"/>
        <w:jc w:val="both"/>
        <w:rPr>
          <w:rFonts w:ascii="Palatino Linotype" w:eastAsia="Palatino Linotype" w:hAnsi="Palatino Linotype" w:cs="Palatino Linotype"/>
          <w:sz w:val="22"/>
          <w:szCs w:val="22"/>
        </w:rPr>
      </w:pPr>
      <w:r w:rsidRPr="002C0B94">
        <w:rPr>
          <w:rFonts w:ascii="Palatino Linotype" w:eastAsia="Palatino Linotype" w:hAnsi="Palatino Linotype" w:cs="Palatino Linotype"/>
          <w:sz w:val="22"/>
          <w:szCs w:val="22"/>
        </w:rPr>
        <w:t xml:space="preserve">ASÍ LO RESUELVE, POR </w:t>
      </w:r>
      <w:r w:rsidRPr="00C16288">
        <w:rPr>
          <w:rFonts w:ascii="Palatino Linotype" w:eastAsia="Palatino Linotype" w:hAnsi="Palatino Linotype" w:cs="Palatino Linotype"/>
          <w:b/>
          <w:sz w:val="22"/>
          <w:szCs w:val="22"/>
        </w:rPr>
        <w:t>UNANIMIDAD</w:t>
      </w:r>
      <w:r w:rsidRPr="002C0B94">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SÉPTIMA SESIÓN ORDINARIA, CELEBRADA EL </w:t>
      </w:r>
      <w:r w:rsidRPr="002C0B94">
        <w:rPr>
          <w:rFonts w:ascii="Palatino Linotype" w:eastAsia="Palatino Linotype" w:hAnsi="Palatino Linotype" w:cs="Palatino Linotype"/>
          <w:sz w:val="22"/>
          <w:szCs w:val="22"/>
        </w:rPr>
        <w:lastRenderedPageBreak/>
        <w:t>VEINTISÉIS DE FEBRERO DE DOS MIL VEINTICINCO, ANTE EL SECRETARIO TÉCNICO DEL PLENO, ALEXIS TAPIA RAMÍREZ.</w:t>
      </w:r>
    </w:p>
    <w:p w:rsidR="0084304D" w:rsidRDefault="0084304D">
      <w:pPr>
        <w:spacing w:line="360" w:lineRule="auto"/>
        <w:ind w:right="-28"/>
        <w:jc w:val="both"/>
        <w:rPr>
          <w:rFonts w:ascii="Palatino Linotype" w:eastAsia="Palatino Linotype" w:hAnsi="Palatino Linotype" w:cs="Palatino Linotype"/>
          <w:sz w:val="22"/>
          <w:szCs w:val="22"/>
        </w:rPr>
      </w:pPr>
    </w:p>
    <w:p w:rsidR="0084304D" w:rsidRDefault="0084304D">
      <w:pPr>
        <w:spacing w:line="360" w:lineRule="auto"/>
        <w:rPr>
          <w:rFonts w:ascii="Palatino Linotype" w:eastAsia="Palatino Linotype" w:hAnsi="Palatino Linotype" w:cs="Palatino Linotype"/>
        </w:rPr>
      </w:pPr>
    </w:p>
    <w:p w:rsidR="0084304D" w:rsidRDefault="0084304D">
      <w:pPr>
        <w:spacing w:line="360" w:lineRule="auto"/>
        <w:rPr>
          <w:rFonts w:ascii="Palatino Linotype" w:eastAsia="Palatino Linotype" w:hAnsi="Palatino Linotype" w:cs="Palatino Linotype"/>
        </w:rPr>
      </w:pPr>
    </w:p>
    <w:p w:rsidR="0084304D" w:rsidRDefault="0084304D">
      <w:pPr>
        <w:spacing w:line="360" w:lineRule="auto"/>
        <w:rPr>
          <w:rFonts w:ascii="Palatino Linotype" w:eastAsia="Palatino Linotype" w:hAnsi="Palatino Linotype" w:cs="Palatino Linotype"/>
        </w:rPr>
      </w:pPr>
    </w:p>
    <w:p w:rsidR="0084304D" w:rsidRDefault="0084304D">
      <w:pPr>
        <w:spacing w:line="360" w:lineRule="auto"/>
        <w:rPr>
          <w:rFonts w:ascii="Palatino Linotype" w:eastAsia="Palatino Linotype" w:hAnsi="Palatino Linotype" w:cs="Palatino Linotype"/>
        </w:rPr>
      </w:pPr>
    </w:p>
    <w:p w:rsidR="0084304D" w:rsidRDefault="0084304D">
      <w:pPr>
        <w:spacing w:line="360" w:lineRule="auto"/>
        <w:rPr>
          <w:rFonts w:ascii="Palatino Linotype" w:eastAsia="Palatino Linotype" w:hAnsi="Palatino Linotype" w:cs="Palatino Linotype"/>
        </w:rPr>
      </w:pPr>
    </w:p>
    <w:p w:rsidR="0084304D" w:rsidRDefault="0084304D">
      <w:pPr>
        <w:spacing w:line="360" w:lineRule="auto"/>
        <w:rPr>
          <w:rFonts w:ascii="Palatino Linotype" w:eastAsia="Palatino Linotype" w:hAnsi="Palatino Linotype" w:cs="Palatino Linotype"/>
        </w:rPr>
      </w:pPr>
    </w:p>
    <w:p w:rsidR="0084304D" w:rsidRDefault="0084304D">
      <w:pPr>
        <w:spacing w:line="360" w:lineRule="auto"/>
        <w:rPr>
          <w:rFonts w:ascii="Palatino Linotype" w:eastAsia="Palatino Linotype" w:hAnsi="Palatino Linotype" w:cs="Palatino Linotype"/>
        </w:rPr>
      </w:pPr>
    </w:p>
    <w:p w:rsidR="0084304D" w:rsidRDefault="0084304D">
      <w:pPr>
        <w:spacing w:line="360" w:lineRule="auto"/>
        <w:rPr>
          <w:rFonts w:ascii="Palatino Linotype" w:eastAsia="Palatino Linotype" w:hAnsi="Palatino Linotype" w:cs="Palatino Linotype"/>
        </w:rPr>
      </w:pPr>
    </w:p>
    <w:p w:rsidR="0084304D" w:rsidRDefault="0084304D">
      <w:pPr>
        <w:spacing w:line="360" w:lineRule="auto"/>
        <w:rPr>
          <w:rFonts w:ascii="Palatino Linotype" w:eastAsia="Palatino Linotype" w:hAnsi="Palatino Linotype" w:cs="Palatino Linotype"/>
        </w:rPr>
      </w:pPr>
    </w:p>
    <w:p w:rsidR="0084304D" w:rsidRDefault="0084304D">
      <w:pPr>
        <w:spacing w:line="360" w:lineRule="auto"/>
        <w:rPr>
          <w:rFonts w:ascii="Palatino Linotype" w:eastAsia="Palatino Linotype" w:hAnsi="Palatino Linotype" w:cs="Palatino Linotype"/>
        </w:rPr>
      </w:pPr>
    </w:p>
    <w:p w:rsidR="0084304D" w:rsidRDefault="0084304D">
      <w:pPr>
        <w:spacing w:line="360" w:lineRule="auto"/>
        <w:rPr>
          <w:rFonts w:ascii="Palatino Linotype" w:eastAsia="Palatino Linotype" w:hAnsi="Palatino Linotype" w:cs="Palatino Linotype"/>
        </w:rPr>
      </w:pPr>
    </w:p>
    <w:p w:rsidR="0084304D" w:rsidRDefault="0084304D">
      <w:pPr>
        <w:spacing w:line="360" w:lineRule="auto"/>
        <w:rPr>
          <w:rFonts w:ascii="Palatino Linotype" w:eastAsia="Palatino Linotype" w:hAnsi="Palatino Linotype" w:cs="Palatino Linotype"/>
        </w:rPr>
      </w:pPr>
    </w:p>
    <w:p w:rsidR="0084304D" w:rsidRDefault="0084304D">
      <w:pPr>
        <w:spacing w:line="360" w:lineRule="auto"/>
        <w:rPr>
          <w:rFonts w:ascii="Palatino Linotype" w:eastAsia="Palatino Linotype" w:hAnsi="Palatino Linotype" w:cs="Palatino Linotype"/>
        </w:rPr>
      </w:pPr>
    </w:p>
    <w:p w:rsidR="0084304D" w:rsidRDefault="0084304D">
      <w:pPr>
        <w:spacing w:line="360" w:lineRule="auto"/>
        <w:rPr>
          <w:rFonts w:ascii="Palatino Linotype" w:eastAsia="Palatino Linotype" w:hAnsi="Palatino Linotype" w:cs="Palatino Linotype"/>
        </w:rPr>
      </w:pPr>
    </w:p>
    <w:p w:rsidR="0084304D" w:rsidRDefault="0084304D">
      <w:pPr>
        <w:spacing w:line="360" w:lineRule="auto"/>
        <w:rPr>
          <w:rFonts w:ascii="Palatino Linotype" w:eastAsia="Palatino Linotype" w:hAnsi="Palatino Linotype" w:cs="Palatino Linotype"/>
        </w:rPr>
      </w:pPr>
    </w:p>
    <w:p w:rsidR="0084304D" w:rsidRDefault="0084304D">
      <w:pPr>
        <w:spacing w:line="360" w:lineRule="auto"/>
        <w:rPr>
          <w:rFonts w:ascii="Palatino Linotype" w:eastAsia="Palatino Linotype" w:hAnsi="Palatino Linotype" w:cs="Palatino Linotype"/>
        </w:rPr>
      </w:pPr>
    </w:p>
    <w:p w:rsidR="0084304D" w:rsidRDefault="0084304D">
      <w:pPr>
        <w:spacing w:line="360" w:lineRule="auto"/>
        <w:rPr>
          <w:rFonts w:ascii="Palatino Linotype" w:eastAsia="Palatino Linotype" w:hAnsi="Palatino Linotype" w:cs="Palatino Linotype"/>
        </w:rPr>
      </w:pPr>
    </w:p>
    <w:p w:rsidR="0084304D" w:rsidRDefault="0084304D">
      <w:pPr>
        <w:spacing w:line="360" w:lineRule="auto"/>
        <w:rPr>
          <w:rFonts w:ascii="Palatino Linotype" w:eastAsia="Palatino Linotype" w:hAnsi="Palatino Linotype" w:cs="Palatino Linotype"/>
        </w:rPr>
      </w:pPr>
    </w:p>
    <w:p w:rsidR="0084304D" w:rsidRDefault="0084304D">
      <w:pPr>
        <w:spacing w:line="360" w:lineRule="auto"/>
        <w:rPr>
          <w:rFonts w:ascii="Palatino Linotype" w:eastAsia="Palatino Linotype" w:hAnsi="Palatino Linotype" w:cs="Palatino Linotype"/>
        </w:rPr>
      </w:pPr>
    </w:p>
    <w:p w:rsidR="0084304D" w:rsidRDefault="0084304D">
      <w:pPr>
        <w:spacing w:line="360" w:lineRule="auto"/>
        <w:rPr>
          <w:rFonts w:ascii="Palatino Linotype" w:eastAsia="Palatino Linotype" w:hAnsi="Palatino Linotype" w:cs="Palatino Linotype"/>
        </w:rPr>
      </w:pPr>
    </w:p>
    <w:p w:rsidR="0084304D" w:rsidRDefault="0084304D">
      <w:pPr>
        <w:spacing w:line="360" w:lineRule="auto"/>
        <w:rPr>
          <w:rFonts w:ascii="Palatino Linotype" w:eastAsia="Palatino Linotype" w:hAnsi="Palatino Linotype" w:cs="Palatino Linotype"/>
        </w:rPr>
      </w:pPr>
    </w:p>
    <w:p w:rsidR="0084304D" w:rsidRDefault="0084304D">
      <w:pPr>
        <w:spacing w:line="360" w:lineRule="auto"/>
        <w:rPr>
          <w:rFonts w:ascii="Palatino Linotype" w:eastAsia="Palatino Linotype" w:hAnsi="Palatino Linotype" w:cs="Palatino Linotype"/>
        </w:rPr>
      </w:pPr>
    </w:p>
    <w:p w:rsidR="00953E91" w:rsidRDefault="00953E91">
      <w:pPr>
        <w:spacing w:line="360" w:lineRule="auto"/>
        <w:rPr>
          <w:rFonts w:ascii="Palatino Linotype" w:eastAsia="Palatino Linotype" w:hAnsi="Palatino Linotype" w:cs="Palatino Linotype"/>
        </w:rPr>
      </w:pPr>
    </w:p>
    <w:p w:rsidR="00953E91" w:rsidRDefault="00953E91">
      <w:pPr>
        <w:spacing w:line="360" w:lineRule="auto"/>
        <w:rPr>
          <w:rFonts w:ascii="Palatino Linotype" w:eastAsia="Palatino Linotype" w:hAnsi="Palatino Linotype" w:cs="Palatino Linotype"/>
        </w:rPr>
      </w:pPr>
    </w:p>
    <w:p w:rsidR="00953E91" w:rsidRDefault="00953E91">
      <w:pPr>
        <w:spacing w:line="360" w:lineRule="auto"/>
        <w:rPr>
          <w:rFonts w:ascii="Palatino Linotype" w:eastAsia="Palatino Linotype" w:hAnsi="Palatino Linotype" w:cs="Palatino Linotype"/>
        </w:rPr>
      </w:pPr>
    </w:p>
    <w:p w:rsidR="00953E91" w:rsidRDefault="00953E91">
      <w:pPr>
        <w:spacing w:line="360" w:lineRule="auto"/>
        <w:rPr>
          <w:rFonts w:ascii="Palatino Linotype" w:eastAsia="Palatino Linotype" w:hAnsi="Palatino Linotype" w:cs="Palatino Linotype"/>
        </w:rPr>
      </w:pPr>
    </w:p>
    <w:p w:rsidR="00953E91" w:rsidRDefault="00953E91">
      <w:pPr>
        <w:spacing w:line="360" w:lineRule="auto"/>
        <w:rPr>
          <w:rFonts w:ascii="Palatino Linotype" w:eastAsia="Palatino Linotype" w:hAnsi="Palatino Linotype" w:cs="Palatino Linotype"/>
        </w:rPr>
      </w:pPr>
    </w:p>
    <w:sectPr w:rsidR="00953E91">
      <w:headerReference w:type="even" r:id="rId12"/>
      <w:headerReference w:type="default" r:id="rId13"/>
      <w:footerReference w:type="default" r:id="rId14"/>
      <w:headerReference w:type="first" r:id="rId15"/>
      <w:footerReference w:type="first" r:id="rId16"/>
      <w:pgSz w:w="12240" w:h="15840"/>
      <w:pgMar w:top="80" w:right="1608" w:bottom="1134" w:left="1588" w:header="850" w:footer="6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DBB" w:rsidRDefault="00882DBB">
      <w:r>
        <w:separator/>
      </w:r>
    </w:p>
  </w:endnote>
  <w:endnote w:type="continuationSeparator" w:id="0">
    <w:p w:rsidR="00882DBB" w:rsidRDefault="00882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04D" w:rsidRDefault="0084304D">
    <w:pPr>
      <w:pBdr>
        <w:top w:val="nil"/>
        <w:left w:val="nil"/>
        <w:bottom w:val="nil"/>
        <w:right w:val="nil"/>
        <w:between w:val="nil"/>
      </w:pBdr>
      <w:tabs>
        <w:tab w:val="center" w:pos="4419"/>
        <w:tab w:val="right" w:pos="8838"/>
      </w:tabs>
      <w:jc w:val="right"/>
      <w:rPr>
        <w:color w:val="000000"/>
        <w:sz w:val="26"/>
        <w:szCs w:val="26"/>
      </w:rPr>
    </w:pPr>
  </w:p>
  <w:p w:rsidR="0084304D" w:rsidRDefault="00EE6D31">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243C1">
      <w:rPr>
        <w:b/>
        <w:noProof/>
        <w:color w:val="000000"/>
        <w:sz w:val="24"/>
        <w:szCs w:val="24"/>
      </w:rPr>
      <w:t>22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243C1">
      <w:rPr>
        <w:b/>
        <w:noProof/>
        <w:color w:val="000000"/>
        <w:sz w:val="24"/>
        <w:szCs w:val="24"/>
      </w:rPr>
      <w:t>23</w:t>
    </w:r>
    <w:r>
      <w:rPr>
        <w:b/>
        <w:color w:val="000000"/>
        <w:sz w:val="24"/>
        <w:szCs w:val="24"/>
      </w:rPr>
      <w:fldChar w:fldCharType="end"/>
    </w:r>
  </w:p>
  <w:p w:rsidR="0084304D" w:rsidRDefault="0084304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04D" w:rsidRDefault="0084304D">
    <w:pPr>
      <w:pBdr>
        <w:top w:val="nil"/>
        <w:left w:val="nil"/>
        <w:bottom w:val="nil"/>
        <w:right w:val="nil"/>
        <w:between w:val="nil"/>
      </w:pBdr>
      <w:tabs>
        <w:tab w:val="center" w:pos="4419"/>
        <w:tab w:val="right" w:pos="8838"/>
      </w:tabs>
      <w:jc w:val="right"/>
      <w:rPr>
        <w:color w:val="000000"/>
      </w:rPr>
    </w:pPr>
  </w:p>
  <w:p w:rsidR="0084304D" w:rsidRDefault="0084304D">
    <w:pPr>
      <w:pBdr>
        <w:top w:val="nil"/>
        <w:left w:val="nil"/>
        <w:bottom w:val="nil"/>
        <w:right w:val="nil"/>
        <w:between w:val="nil"/>
      </w:pBdr>
      <w:tabs>
        <w:tab w:val="center" w:pos="4419"/>
        <w:tab w:val="right" w:pos="8838"/>
      </w:tabs>
      <w:jc w:val="right"/>
      <w:rPr>
        <w:color w:val="000000"/>
      </w:rPr>
    </w:pPr>
  </w:p>
  <w:p w:rsidR="0084304D" w:rsidRDefault="0084304D">
    <w:pPr>
      <w:pBdr>
        <w:top w:val="nil"/>
        <w:left w:val="nil"/>
        <w:bottom w:val="nil"/>
        <w:right w:val="nil"/>
        <w:between w:val="nil"/>
      </w:pBdr>
      <w:tabs>
        <w:tab w:val="center" w:pos="4419"/>
        <w:tab w:val="right" w:pos="8838"/>
      </w:tabs>
      <w:jc w:val="right"/>
      <w:rPr>
        <w:color w:val="000000"/>
      </w:rPr>
    </w:pPr>
  </w:p>
  <w:p w:rsidR="0084304D" w:rsidRDefault="00EE6D31">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243C1">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243C1">
      <w:rPr>
        <w:b/>
        <w:noProof/>
        <w:color w:val="000000"/>
        <w:sz w:val="24"/>
        <w:szCs w:val="24"/>
      </w:rPr>
      <w:t>23</w:t>
    </w:r>
    <w:r>
      <w:rPr>
        <w:b/>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DBB" w:rsidRDefault="00882DBB">
      <w:r>
        <w:separator/>
      </w:r>
    </w:p>
  </w:footnote>
  <w:footnote w:type="continuationSeparator" w:id="0">
    <w:p w:rsidR="00882DBB" w:rsidRDefault="00882D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04D" w:rsidRDefault="00882DBB">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aguaINFOEM" style="position:absolute;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04D" w:rsidRDefault="00882DBB">
    <w:pPr>
      <w:tabs>
        <w:tab w:val="left" w:pos="3416"/>
      </w:tabs>
      <w:rPr>
        <w:sz w:val="22"/>
        <w:szCs w:val="22"/>
      </w:rPr>
    </w:pPr>
    <w:r>
      <w:rPr>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aguaINFOEM" style="position:absolute;margin-left:-100.7pt;margin-top:-126.25pt;width:663.5pt;height:12in;z-index:-251659776;mso-position-horizontal:absolute;mso-position-horizontal-relative:margin;mso-position-vertical:absolute;mso-position-vertical-relative:margin">
          <v:imagedata r:id="rId1" o:title="image1"/>
          <w10:wrap anchorx="margin" anchory="margin"/>
        </v:shape>
      </w:pict>
    </w:r>
  </w:p>
  <w:tbl>
    <w:tblPr>
      <w:tblStyle w:val="a"/>
      <w:tblW w:w="9461" w:type="dxa"/>
      <w:tblInd w:w="0" w:type="dxa"/>
      <w:tblLayout w:type="fixed"/>
      <w:tblLook w:val="0400" w:firstRow="0" w:lastRow="0" w:firstColumn="0" w:lastColumn="0" w:noHBand="0" w:noVBand="1"/>
    </w:tblPr>
    <w:tblGrid>
      <w:gridCol w:w="2268"/>
      <w:gridCol w:w="7193"/>
    </w:tblGrid>
    <w:tr w:rsidR="0084304D">
      <w:trPr>
        <w:trHeight w:val="70"/>
      </w:trPr>
      <w:tc>
        <w:tcPr>
          <w:tcW w:w="2268" w:type="dxa"/>
          <w:shd w:val="clear" w:color="auto" w:fill="auto"/>
        </w:tcPr>
        <w:p w:rsidR="0084304D" w:rsidRDefault="0084304D">
          <w:pPr>
            <w:tabs>
              <w:tab w:val="right" w:pos="4273"/>
            </w:tabs>
            <w:rPr>
              <w:rFonts w:ascii="Garamond" w:eastAsia="Garamond" w:hAnsi="Garamond" w:cs="Garamond"/>
              <w:sz w:val="16"/>
              <w:szCs w:val="16"/>
            </w:rPr>
          </w:pPr>
        </w:p>
      </w:tc>
      <w:tc>
        <w:tcPr>
          <w:tcW w:w="7193" w:type="dxa"/>
          <w:shd w:val="clear" w:color="auto" w:fill="auto"/>
        </w:tcPr>
        <w:p w:rsidR="0084304D" w:rsidRDefault="0084304D">
          <w:pPr>
            <w:widowControl w:val="0"/>
            <w:pBdr>
              <w:top w:val="nil"/>
              <w:left w:val="nil"/>
              <w:bottom w:val="nil"/>
              <w:right w:val="nil"/>
              <w:between w:val="nil"/>
            </w:pBdr>
            <w:spacing w:line="276" w:lineRule="auto"/>
            <w:rPr>
              <w:rFonts w:ascii="Garamond" w:eastAsia="Garamond" w:hAnsi="Garamond" w:cs="Garamond"/>
              <w:sz w:val="16"/>
              <w:szCs w:val="16"/>
            </w:rPr>
          </w:pPr>
        </w:p>
        <w:tbl>
          <w:tblPr>
            <w:tblStyle w:val="a0"/>
            <w:tblW w:w="79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861"/>
            <w:gridCol w:w="4077"/>
          </w:tblGrid>
          <w:tr w:rsidR="0084304D">
            <w:trPr>
              <w:trHeight w:val="128"/>
            </w:trPr>
            <w:tc>
              <w:tcPr>
                <w:tcW w:w="3861" w:type="dxa"/>
                <w:vAlign w:val="bottom"/>
              </w:tcPr>
              <w:p w:rsidR="0084304D" w:rsidRDefault="00EE6D31">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Recurso de Revisión:</w:t>
                </w:r>
              </w:p>
            </w:tc>
            <w:tc>
              <w:tcPr>
                <w:tcW w:w="4077" w:type="dxa"/>
              </w:tcPr>
              <w:p w:rsidR="0084304D" w:rsidRDefault="00EE6D31">
                <w:pPr>
                  <w:tabs>
                    <w:tab w:val="right" w:pos="8838"/>
                  </w:tabs>
                  <w:ind w:left="-28" w:right="68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0521/INFOEM/IP/RR/2025</w:t>
                </w:r>
              </w:p>
            </w:tc>
          </w:tr>
          <w:tr w:rsidR="0084304D">
            <w:trPr>
              <w:trHeight w:val="251"/>
            </w:trPr>
            <w:tc>
              <w:tcPr>
                <w:tcW w:w="3861" w:type="dxa"/>
              </w:tcPr>
              <w:p w:rsidR="0084304D" w:rsidRDefault="00EE6D31">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Sujeto Obligado:</w:t>
                </w:r>
              </w:p>
            </w:tc>
            <w:tc>
              <w:tcPr>
                <w:tcW w:w="4077" w:type="dxa"/>
              </w:tcPr>
              <w:p w:rsidR="0084304D" w:rsidRDefault="00EE6D31">
                <w:pPr>
                  <w:tabs>
                    <w:tab w:val="right" w:pos="8838"/>
                  </w:tabs>
                  <w:ind w:left="-28" w:right="1008"/>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Toluca</w:t>
                </w:r>
              </w:p>
            </w:tc>
          </w:tr>
          <w:tr w:rsidR="0084304D">
            <w:trPr>
              <w:trHeight w:val="251"/>
            </w:trPr>
            <w:tc>
              <w:tcPr>
                <w:tcW w:w="3861" w:type="dxa"/>
              </w:tcPr>
              <w:p w:rsidR="0084304D" w:rsidRDefault="00EE6D31">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Comisionado Ponente:</w:t>
                </w:r>
              </w:p>
            </w:tc>
            <w:tc>
              <w:tcPr>
                <w:tcW w:w="4077" w:type="dxa"/>
              </w:tcPr>
              <w:p w:rsidR="0084304D" w:rsidRDefault="00EE6D31">
                <w:pPr>
                  <w:tabs>
                    <w:tab w:val="right" w:pos="8838"/>
                  </w:tabs>
                  <w:ind w:left="-28" w:right="-32"/>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Luis Gustavo Parra Noriega</w:t>
                </w:r>
              </w:p>
            </w:tc>
          </w:tr>
        </w:tbl>
        <w:p w:rsidR="0084304D" w:rsidRDefault="0084304D">
          <w:pPr>
            <w:tabs>
              <w:tab w:val="right" w:pos="8838"/>
            </w:tabs>
            <w:ind w:left="-28"/>
            <w:rPr>
              <w:rFonts w:ascii="Arial" w:eastAsia="Arial" w:hAnsi="Arial" w:cs="Arial"/>
              <w:b/>
            </w:rPr>
          </w:pPr>
        </w:p>
      </w:tc>
    </w:tr>
  </w:tbl>
  <w:p w:rsidR="0084304D" w:rsidRDefault="0084304D">
    <w:pPr>
      <w:pBdr>
        <w:top w:val="nil"/>
        <w:left w:val="nil"/>
        <w:bottom w:val="nil"/>
        <w:right w:val="nil"/>
        <w:between w:val="nil"/>
      </w:pBdr>
      <w:tabs>
        <w:tab w:val="center" w:pos="4419"/>
        <w:tab w:val="right" w:pos="8838"/>
      </w:tabs>
      <w:rPr>
        <w:color w:val="000000"/>
        <w:sz w:val="14"/>
        <w:szCs w:val="14"/>
      </w:rPr>
    </w:pPr>
  </w:p>
  <w:p w:rsidR="0084304D" w:rsidRDefault="0084304D">
    <w:pPr>
      <w:pBdr>
        <w:top w:val="nil"/>
        <w:left w:val="nil"/>
        <w:bottom w:val="nil"/>
        <w:right w:val="nil"/>
        <w:between w:val="nil"/>
      </w:pBdr>
      <w:tabs>
        <w:tab w:val="center" w:pos="4419"/>
        <w:tab w:val="right" w:pos="8838"/>
      </w:tabs>
      <w:rPr>
        <w:color w:val="000000"/>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04D" w:rsidRDefault="0084304D">
    <w:pPr>
      <w:widowControl w:val="0"/>
      <w:pBdr>
        <w:top w:val="nil"/>
        <w:left w:val="nil"/>
        <w:bottom w:val="nil"/>
        <w:right w:val="nil"/>
        <w:between w:val="nil"/>
      </w:pBdr>
      <w:spacing w:line="276" w:lineRule="auto"/>
      <w:rPr>
        <w:color w:val="000000"/>
        <w:sz w:val="14"/>
        <w:szCs w:val="14"/>
      </w:rPr>
    </w:pPr>
  </w:p>
  <w:tbl>
    <w:tblPr>
      <w:tblStyle w:val="a1"/>
      <w:tblW w:w="6946"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3828"/>
      <w:gridCol w:w="3118"/>
    </w:tblGrid>
    <w:tr w:rsidR="0084304D">
      <w:trPr>
        <w:trHeight w:val="302"/>
      </w:trPr>
      <w:tc>
        <w:tcPr>
          <w:tcW w:w="3828" w:type="dxa"/>
        </w:tcPr>
        <w:p w:rsidR="0084304D" w:rsidRDefault="00EE6D31">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Recurso de Revisión:</w:t>
          </w:r>
        </w:p>
      </w:tc>
      <w:tc>
        <w:tcPr>
          <w:tcW w:w="3118" w:type="dxa"/>
        </w:tcPr>
        <w:p w:rsidR="0084304D" w:rsidRDefault="00EE6D31">
          <w:pPr>
            <w:tabs>
              <w:tab w:val="right" w:pos="8838"/>
            </w:tabs>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0521/INFOEM/IP/RR/2025</w:t>
          </w:r>
        </w:p>
      </w:tc>
    </w:tr>
    <w:tr w:rsidR="0084304D">
      <w:trPr>
        <w:trHeight w:val="110"/>
      </w:trPr>
      <w:tc>
        <w:tcPr>
          <w:tcW w:w="3828" w:type="dxa"/>
        </w:tcPr>
        <w:p w:rsidR="0084304D" w:rsidRDefault="00EE6D31">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Recurrente:</w:t>
          </w:r>
        </w:p>
      </w:tc>
      <w:tc>
        <w:tcPr>
          <w:tcW w:w="3118" w:type="dxa"/>
        </w:tcPr>
        <w:p w:rsidR="0084304D" w:rsidRDefault="0084304D">
          <w:pPr>
            <w:jc w:val="both"/>
            <w:rPr>
              <w:rFonts w:ascii="Palatino Linotype" w:eastAsia="Palatino Linotype" w:hAnsi="Palatino Linotype" w:cs="Palatino Linotype"/>
              <w:sz w:val="22"/>
              <w:szCs w:val="22"/>
            </w:rPr>
          </w:pPr>
        </w:p>
      </w:tc>
    </w:tr>
    <w:tr w:rsidR="0084304D">
      <w:trPr>
        <w:trHeight w:val="248"/>
      </w:trPr>
      <w:tc>
        <w:tcPr>
          <w:tcW w:w="3828" w:type="dxa"/>
        </w:tcPr>
        <w:p w:rsidR="0084304D" w:rsidRDefault="00EE6D31">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Sujeto Obligado:</w:t>
          </w:r>
        </w:p>
      </w:tc>
      <w:tc>
        <w:tcPr>
          <w:tcW w:w="3118" w:type="dxa"/>
        </w:tcPr>
        <w:p w:rsidR="0084304D" w:rsidRDefault="00EE6D31">
          <w:pPr>
            <w:tabs>
              <w:tab w:val="right" w:pos="8838"/>
            </w:tabs>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Toluca</w:t>
          </w:r>
        </w:p>
      </w:tc>
    </w:tr>
    <w:tr w:rsidR="0084304D">
      <w:trPr>
        <w:trHeight w:val="248"/>
      </w:trPr>
      <w:tc>
        <w:tcPr>
          <w:tcW w:w="3828" w:type="dxa"/>
        </w:tcPr>
        <w:p w:rsidR="0084304D" w:rsidRDefault="00EE6D31">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Comisionado Ponente:</w:t>
          </w:r>
        </w:p>
      </w:tc>
      <w:tc>
        <w:tcPr>
          <w:tcW w:w="3118" w:type="dxa"/>
        </w:tcPr>
        <w:p w:rsidR="0084304D" w:rsidRDefault="00EE6D31">
          <w:pPr>
            <w:tabs>
              <w:tab w:val="right" w:pos="8838"/>
            </w:tabs>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84304D" w:rsidRDefault="00882DBB">
    <w:pPr>
      <w:ind w:right="-31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aguaINFOEM" style="position:absolute;margin-left:-92.55pt;margin-top:-120.9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6C5E56"/>
    <w:multiLevelType w:val="multilevel"/>
    <w:tmpl w:val="A8FEC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FF35891"/>
    <w:multiLevelType w:val="multilevel"/>
    <w:tmpl w:val="0BDEA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04D"/>
    <w:rsid w:val="002B609D"/>
    <w:rsid w:val="002C0B94"/>
    <w:rsid w:val="003243C1"/>
    <w:rsid w:val="0084304D"/>
    <w:rsid w:val="00882DBB"/>
    <w:rsid w:val="00953E91"/>
    <w:rsid w:val="00C16288"/>
    <w:rsid w:val="00EE6D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1732575-8F53-4414-B729-B80276601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F85"/>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04F85"/>
    <w:pPr>
      <w:ind w:left="720"/>
      <w:contextualSpacing/>
    </w:pPr>
  </w:style>
  <w:style w:type="paragraph" w:styleId="Encabezado">
    <w:name w:val="header"/>
    <w:basedOn w:val="Normal"/>
    <w:link w:val="EncabezadoCar"/>
    <w:uiPriority w:val="99"/>
    <w:unhideWhenUsed/>
    <w:rsid w:val="00E04F85"/>
    <w:pPr>
      <w:tabs>
        <w:tab w:val="center" w:pos="4419"/>
        <w:tab w:val="right" w:pos="8838"/>
      </w:tabs>
    </w:pPr>
  </w:style>
  <w:style w:type="character" w:customStyle="1" w:styleId="EncabezadoCar">
    <w:name w:val="Encabezado Car"/>
    <w:basedOn w:val="Fuentedeprrafopredeter"/>
    <w:link w:val="Encabezado"/>
    <w:uiPriority w:val="99"/>
    <w:rsid w:val="00E04F85"/>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E04F85"/>
    <w:pPr>
      <w:tabs>
        <w:tab w:val="center" w:pos="4419"/>
        <w:tab w:val="right" w:pos="8838"/>
      </w:tabs>
    </w:pPr>
  </w:style>
  <w:style w:type="character" w:customStyle="1" w:styleId="PiedepginaCar">
    <w:name w:val="Pie de página Car"/>
    <w:basedOn w:val="Fuentedeprrafopredeter"/>
    <w:link w:val="Piedepgina"/>
    <w:uiPriority w:val="99"/>
    <w:rsid w:val="00E04F85"/>
    <w:rPr>
      <w:rFonts w:ascii="Times New Roman" w:eastAsia="Times New Roman" w:hAnsi="Times New Roman" w:cs="Times New Roman"/>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E04F85"/>
    <w:rPr>
      <w:rFonts w:ascii="Times New Roman" w:eastAsia="Times New Roman" w:hAnsi="Times New Roman" w:cs="Times New Roman"/>
      <w:sz w:val="20"/>
      <w:szCs w:val="20"/>
      <w:lang w:eastAsia="es-ES"/>
    </w:rPr>
  </w:style>
  <w:style w:type="table" w:styleId="Tablaconcuadrcula">
    <w:name w:val="Table Grid"/>
    <w:basedOn w:val="Tablanormal"/>
    <w:uiPriority w:val="39"/>
    <w:rsid w:val="00E04F85"/>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04F85"/>
    <w:pPr>
      <w:spacing w:before="100" w:beforeAutospacing="1" w:after="100" w:afterAutospacing="1"/>
    </w:pPr>
    <w:rPr>
      <w:sz w:val="24"/>
      <w:szCs w:val="24"/>
      <w:lang w:eastAsia="es-MX"/>
    </w:rPr>
  </w:style>
  <w:style w:type="character" w:styleId="Hipervnculo">
    <w:name w:val="Hyperlink"/>
    <w:basedOn w:val="Fuentedeprrafopredeter"/>
    <w:uiPriority w:val="99"/>
    <w:unhideWhenUsed/>
    <w:rsid w:val="00E04F85"/>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ENgtb8CaRbF1TgQuVe5cD/n9OQ==">CgMxLjAyCGguZ2pkZ3hzMgloLjMwajB6bGwyCWguMWZvYjl0ZTgAciExMkxuMVFMTUdGYWx5S3RTMXIybHNBSkNuX01vMGo3bDQ=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5249</Words>
  <Characters>28875</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34056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INFOEM500</dc:creator>
  <cp:lastModifiedBy>USUARIO</cp:lastModifiedBy>
  <cp:revision>3</cp:revision>
  <cp:lastPrinted>2025-02-28T16:32:00Z</cp:lastPrinted>
  <dcterms:created xsi:type="dcterms:W3CDTF">2025-02-28T16:32:00Z</dcterms:created>
  <dcterms:modified xsi:type="dcterms:W3CDTF">2025-02-28T16:33:00Z</dcterms:modified>
</cp:coreProperties>
</file>