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D3E4B4" w14:textId="77777777" w:rsidR="004B7229" w:rsidRPr="00BB67CD" w:rsidRDefault="004B7229">
      <w:pPr>
        <w:widowControl w:val="0"/>
        <w:pBdr>
          <w:top w:val="nil"/>
          <w:left w:val="nil"/>
          <w:bottom w:val="nil"/>
          <w:right w:val="nil"/>
          <w:between w:val="nil"/>
        </w:pBdr>
        <w:spacing w:line="276" w:lineRule="auto"/>
        <w:rPr>
          <w:color w:val="FF0000"/>
        </w:rPr>
      </w:pPr>
    </w:p>
    <w:p w14:paraId="39F9B7DD" w14:textId="77777777" w:rsidR="00807947" w:rsidRPr="00BB67CD" w:rsidRDefault="00807947">
      <w:pPr>
        <w:widowControl w:val="0"/>
        <w:pBdr>
          <w:top w:val="nil"/>
          <w:left w:val="nil"/>
          <w:bottom w:val="nil"/>
          <w:right w:val="nil"/>
          <w:between w:val="nil"/>
        </w:pBdr>
        <w:spacing w:line="276" w:lineRule="auto"/>
        <w:rPr>
          <w:color w:val="FF0000"/>
        </w:rPr>
      </w:pPr>
    </w:p>
    <w:p w14:paraId="3C0F7778" w14:textId="77777777" w:rsidR="004B7229" w:rsidRPr="00BB67CD" w:rsidRDefault="004B7229">
      <w:pPr>
        <w:spacing w:line="360" w:lineRule="auto"/>
        <w:ind w:right="-28"/>
        <w:jc w:val="both"/>
        <w:rPr>
          <w:rFonts w:ascii="Palatino Linotype" w:eastAsia="Palatino Linotype" w:hAnsi="Palatino Linotype" w:cs="Palatino Linotype"/>
          <w:sz w:val="22"/>
          <w:szCs w:val="22"/>
        </w:rPr>
      </w:pPr>
    </w:p>
    <w:sdt>
      <w:sdtPr>
        <w:rPr>
          <w:color w:val="FF0000"/>
        </w:rPr>
        <w:id w:val="-505051537"/>
        <w:docPartObj>
          <w:docPartGallery w:val="Table of Contents"/>
          <w:docPartUnique/>
        </w:docPartObj>
      </w:sdtPr>
      <w:sdtEndPr/>
      <w:sdtContent>
        <w:p w14:paraId="38671CCC" w14:textId="77777777" w:rsidR="00216B84" w:rsidRDefault="00216B84" w:rsidP="00216B84">
          <w:pPr>
            <w:pBdr>
              <w:top w:val="nil"/>
              <w:left w:val="nil"/>
              <w:bottom w:val="nil"/>
              <w:right w:val="nil"/>
              <w:between w:val="nil"/>
            </w:pBdr>
            <w:tabs>
              <w:tab w:val="right" w:pos="9034"/>
            </w:tabs>
            <w:spacing w:line="360" w:lineRule="auto"/>
          </w:pPr>
        </w:p>
        <w:sdt>
          <w:sdtPr>
            <w:rPr>
              <w:rFonts w:ascii="Palatino Linotype" w:eastAsia="Calibri" w:hAnsi="Palatino Linotype"/>
              <w:color w:val="FF0000"/>
              <w:sz w:val="22"/>
              <w:szCs w:val="22"/>
              <w:lang w:val="es-ES" w:eastAsia="en-US"/>
            </w:rPr>
            <w:id w:val="-1872525245"/>
            <w:docPartObj>
              <w:docPartGallery w:val="Table of Contents"/>
              <w:docPartUnique/>
            </w:docPartObj>
          </w:sdtPr>
          <w:sdtEndPr>
            <w:rPr>
              <w:b/>
              <w:bCs/>
            </w:rPr>
          </w:sdtEndPr>
          <w:sdtContent>
            <w:p w14:paraId="66C88EA8" w14:textId="77777777" w:rsidR="00216B84" w:rsidRPr="00137D7D" w:rsidRDefault="00216B84" w:rsidP="00216B84">
              <w:pPr>
                <w:keepNext/>
                <w:keepLines/>
                <w:spacing w:before="240" w:line="360" w:lineRule="auto"/>
                <w:jc w:val="center"/>
                <w:rPr>
                  <w:rFonts w:ascii="Palatino Linotype" w:hAnsi="Palatino Linotype"/>
                  <w:sz w:val="22"/>
                  <w:szCs w:val="22"/>
                  <w:lang w:eastAsia="es-MX"/>
                </w:rPr>
              </w:pPr>
              <w:r w:rsidRPr="00137D7D">
                <w:rPr>
                  <w:rFonts w:ascii="Palatino Linotype" w:hAnsi="Palatino Linotype"/>
                  <w:sz w:val="22"/>
                  <w:szCs w:val="22"/>
                  <w:lang w:val="es-ES" w:eastAsia="es-MX"/>
                </w:rPr>
                <w:t xml:space="preserve">RESOLUCIÓN DEL RECURSO DE REVISIÓN </w:t>
              </w:r>
              <w:r w:rsidRPr="00137D7D">
                <w:rPr>
                  <w:rFonts w:ascii="Palatino Linotype" w:eastAsia="Calibri" w:hAnsi="Palatino Linotype" w:cs="Tahoma"/>
                  <w:sz w:val="22"/>
                  <w:szCs w:val="22"/>
                  <w:lang w:eastAsia="es-MX"/>
                </w:rPr>
                <w:t>02471/INFOEM/IP/RR/2025</w:t>
              </w:r>
            </w:p>
            <w:p w14:paraId="17DF88FC" w14:textId="590A9F94" w:rsidR="00137D7D" w:rsidRPr="00137D7D" w:rsidRDefault="00216B84">
              <w:pPr>
                <w:pStyle w:val="TDC1"/>
                <w:tabs>
                  <w:tab w:val="right" w:leader="dot" w:pos="9034"/>
                </w:tabs>
                <w:rPr>
                  <w:rFonts w:asciiTheme="minorHAnsi" w:eastAsiaTheme="minorEastAsia" w:hAnsiTheme="minorHAnsi" w:cstheme="minorBidi"/>
                  <w:noProof/>
                  <w:kern w:val="2"/>
                  <w:sz w:val="22"/>
                  <w:szCs w:val="22"/>
                  <w:lang w:eastAsia="es-MX"/>
                  <w14:ligatures w14:val="standardContextual"/>
                </w:rPr>
              </w:pPr>
              <w:r w:rsidRPr="00137D7D">
                <w:rPr>
                  <w:rFonts w:ascii="Palatino Linotype" w:eastAsia="Calibri" w:hAnsi="Palatino Linotype"/>
                  <w:color w:val="FF0000"/>
                  <w:sz w:val="22"/>
                  <w:szCs w:val="22"/>
                  <w:lang w:eastAsia="en-US"/>
                </w:rPr>
                <w:fldChar w:fldCharType="begin"/>
              </w:r>
              <w:r w:rsidRPr="00137D7D">
                <w:rPr>
                  <w:rFonts w:ascii="Palatino Linotype" w:eastAsia="Calibri" w:hAnsi="Palatino Linotype"/>
                  <w:color w:val="FF0000"/>
                  <w:sz w:val="22"/>
                  <w:szCs w:val="22"/>
                  <w:lang w:eastAsia="en-US"/>
                </w:rPr>
                <w:instrText xml:space="preserve"> TOC \o "1-3" \h \z \u </w:instrText>
              </w:r>
              <w:r w:rsidRPr="00137D7D">
                <w:rPr>
                  <w:rFonts w:ascii="Palatino Linotype" w:eastAsia="Calibri" w:hAnsi="Palatino Linotype"/>
                  <w:color w:val="FF0000"/>
                  <w:sz w:val="22"/>
                  <w:szCs w:val="22"/>
                  <w:lang w:eastAsia="en-US"/>
                </w:rPr>
                <w:fldChar w:fldCharType="separate"/>
              </w:r>
              <w:hyperlink w:anchor="_Toc196927057" w:history="1">
                <w:r w:rsidR="00137D7D" w:rsidRPr="00137D7D">
                  <w:rPr>
                    <w:rStyle w:val="Hipervnculo"/>
                    <w:rFonts w:ascii="Palatino Linotype" w:eastAsia="Palatino Linotype" w:hAnsi="Palatino Linotype" w:cs="Palatino Linotype"/>
                    <w:noProof/>
                  </w:rPr>
                  <w:t>A N T E C E D E N T E S</w:t>
                </w:r>
                <w:r w:rsidR="00137D7D" w:rsidRPr="00137D7D">
                  <w:rPr>
                    <w:noProof/>
                    <w:webHidden/>
                  </w:rPr>
                  <w:tab/>
                </w:r>
                <w:r w:rsidR="00137D7D" w:rsidRPr="00137D7D">
                  <w:rPr>
                    <w:noProof/>
                    <w:webHidden/>
                  </w:rPr>
                  <w:fldChar w:fldCharType="begin"/>
                </w:r>
                <w:r w:rsidR="00137D7D" w:rsidRPr="00137D7D">
                  <w:rPr>
                    <w:noProof/>
                    <w:webHidden/>
                  </w:rPr>
                  <w:instrText xml:space="preserve"> PAGEREF _Toc196927057 \h </w:instrText>
                </w:r>
                <w:r w:rsidR="00137D7D" w:rsidRPr="00137D7D">
                  <w:rPr>
                    <w:noProof/>
                    <w:webHidden/>
                  </w:rPr>
                </w:r>
                <w:r w:rsidR="00137D7D" w:rsidRPr="00137D7D">
                  <w:rPr>
                    <w:noProof/>
                    <w:webHidden/>
                  </w:rPr>
                  <w:fldChar w:fldCharType="separate"/>
                </w:r>
                <w:r w:rsidR="00370CC2">
                  <w:rPr>
                    <w:noProof/>
                    <w:webHidden/>
                  </w:rPr>
                  <w:t>2</w:t>
                </w:r>
                <w:r w:rsidR="00137D7D" w:rsidRPr="00137D7D">
                  <w:rPr>
                    <w:noProof/>
                    <w:webHidden/>
                  </w:rPr>
                  <w:fldChar w:fldCharType="end"/>
                </w:r>
              </w:hyperlink>
            </w:p>
            <w:p w14:paraId="7596EBC2" w14:textId="23A4FE1F" w:rsidR="00137D7D" w:rsidRPr="00137D7D" w:rsidRDefault="00633A9E">
              <w:pPr>
                <w:pStyle w:val="TDC2"/>
                <w:rPr>
                  <w:rFonts w:asciiTheme="minorHAnsi" w:eastAsiaTheme="minorEastAsia" w:hAnsiTheme="minorHAnsi" w:cstheme="minorBidi"/>
                  <w:noProof/>
                  <w:kern w:val="2"/>
                  <w:sz w:val="22"/>
                  <w:szCs w:val="22"/>
                  <w:lang w:eastAsia="es-MX"/>
                  <w14:ligatures w14:val="standardContextual"/>
                </w:rPr>
              </w:pPr>
              <w:hyperlink w:anchor="_Toc196927058" w:history="1">
                <w:r w:rsidR="00137D7D" w:rsidRPr="00137D7D">
                  <w:rPr>
                    <w:rStyle w:val="Hipervnculo"/>
                    <w:rFonts w:ascii="Palatino Linotype" w:eastAsia="Palatino Linotype" w:hAnsi="Palatino Linotype" w:cs="Palatino Linotype"/>
                    <w:noProof/>
                  </w:rPr>
                  <w:t>I. Presentación de la solicitud de información</w:t>
                </w:r>
                <w:r w:rsidR="00137D7D" w:rsidRPr="00137D7D">
                  <w:rPr>
                    <w:noProof/>
                    <w:webHidden/>
                  </w:rPr>
                  <w:tab/>
                </w:r>
                <w:r w:rsidR="00137D7D" w:rsidRPr="00137D7D">
                  <w:rPr>
                    <w:noProof/>
                    <w:webHidden/>
                  </w:rPr>
                  <w:fldChar w:fldCharType="begin"/>
                </w:r>
                <w:r w:rsidR="00137D7D" w:rsidRPr="00137D7D">
                  <w:rPr>
                    <w:noProof/>
                    <w:webHidden/>
                  </w:rPr>
                  <w:instrText xml:space="preserve"> PAGEREF _Toc196927058 \h </w:instrText>
                </w:r>
                <w:r w:rsidR="00137D7D" w:rsidRPr="00137D7D">
                  <w:rPr>
                    <w:noProof/>
                    <w:webHidden/>
                  </w:rPr>
                </w:r>
                <w:r w:rsidR="00137D7D" w:rsidRPr="00137D7D">
                  <w:rPr>
                    <w:noProof/>
                    <w:webHidden/>
                  </w:rPr>
                  <w:fldChar w:fldCharType="separate"/>
                </w:r>
                <w:r w:rsidR="00370CC2">
                  <w:rPr>
                    <w:noProof/>
                    <w:webHidden/>
                  </w:rPr>
                  <w:t>2</w:t>
                </w:r>
                <w:r w:rsidR="00137D7D" w:rsidRPr="00137D7D">
                  <w:rPr>
                    <w:noProof/>
                    <w:webHidden/>
                  </w:rPr>
                  <w:fldChar w:fldCharType="end"/>
                </w:r>
              </w:hyperlink>
            </w:p>
            <w:p w14:paraId="39DF64DE" w14:textId="40F40BF8" w:rsidR="00137D7D" w:rsidRPr="00137D7D" w:rsidRDefault="00633A9E">
              <w:pPr>
                <w:pStyle w:val="TDC2"/>
                <w:rPr>
                  <w:rFonts w:asciiTheme="minorHAnsi" w:eastAsiaTheme="minorEastAsia" w:hAnsiTheme="minorHAnsi" w:cstheme="minorBidi"/>
                  <w:noProof/>
                  <w:kern w:val="2"/>
                  <w:sz w:val="22"/>
                  <w:szCs w:val="22"/>
                  <w:lang w:eastAsia="es-MX"/>
                  <w14:ligatures w14:val="standardContextual"/>
                </w:rPr>
              </w:pPr>
              <w:hyperlink w:anchor="_Toc196927059" w:history="1">
                <w:r w:rsidR="00137D7D" w:rsidRPr="00137D7D">
                  <w:rPr>
                    <w:rStyle w:val="Hipervnculo"/>
                    <w:rFonts w:ascii="Palatino Linotype" w:eastAsia="Palatino Linotype" w:hAnsi="Palatino Linotype" w:cs="Palatino Linotype"/>
                    <w:noProof/>
                  </w:rPr>
                  <w:t>II. Solicitud de Aclaración</w:t>
                </w:r>
                <w:r w:rsidR="00137D7D" w:rsidRPr="00137D7D">
                  <w:rPr>
                    <w:noProof/>
                    <w:webHidden/>
                  </w:rPr>
                  <w:tab/>
                </w:r>
                <w:r w:rsidR="00137D7D" w:rsidRPr="00137D7D">
                  <w:rPr>
                    <w:noProof/>
                    <w:webHidden/>
                  </w:rPr>
                  <w:fldChar w:fldCharType="begin"/>
                </w:r>
                <w:r w:rsidR="00137D7D" w:rsidRPr="00137D7D">
                  <w:rPr>
                    <w:noProof/>
                    <w:webHidden/>
                  </w:rPr>
                  <w:instrText xml:space="preserve"> PAGEREF _Toc196927059 \h </w:instrText>
                </w:r>
                <w:r w:rsidR="00137D7D" w:rsidRPr="00137D7D">
                  <w:rPr>
                    <w:noProof/>
                    <w:webHidden/>
                  </w:rPr>
                </w:r>
                <w:r w:rsidR="00137D7D" w:rsidRPr="00137D7D">
                  <w:rPr>
                    <w:noProof/>
                    <w:webHidden/>
                  </w:rPr>
                  <w:fldChar w:fldCharType="separate"/>
                </w:r>
                <w:r w:rsidR="00370CC2">
                  <w:rPr>
                    <w:noProof/>
                    <w:webHidden/>
                  </w:rPr>
                  <w:t>3</w:t>
                </w:r>
                <w:r w:rsidR="00137D7D" w:rsidRPr="00137D7D">
                  <w:rPr>
                    <w:noProof/>
                    <w:webHidden/>
                  </w:rPr>
                  <w:fldChar w:fldCharType="end"/>
                </w:r>
              </w:hyperlink>
            </w:p>
            <w:p w14:paraId="4A2D67FF" w14:textId="5B277AFD" w:rsidR="00137D7D" w:rsidRPr="00137D7D" w:rsidRDefault="00633A9E">
              <w:pPr>
                <w:pStyle w:val="TDC2"/>
                <w:rPr>
                  <w:rFonts w:asciiTheme="minorHAnsi" w:eastAsiaTheme="minorEastAsia" w:hAnsiTheme="minorHAnsi" w:cstheme="minorBidi"/>
                  <w:noProof/>
                  <w:kern w:val="2"/>
                  <w:sz w:val="22"/>
                  <w:szCs w:val="22"/>
                  <w:lang w:eastAsia="es-MX"/>
                  <w14:ligatures w14:val="standardContextual"/>
                </w:rPr>
              </w:pPr>
              <w:hyperlink w:anchor="_Toc196927060" w:history="1">
                <w:r w:rsidR="00137D7D" w:rsidRPr="00137D7D">
                  <w:rPr>
                    <w:rStyle w:val="Hipervnculo"/>
                    <w:rFonts w:ascii="Palatino Linotype" w:eastAsia="Palatino Linotype" w:hAnsi="Palatino Linotype" w:cs="Palatino Linotype"/>
                    <w:noProof/>
                  </w:rPr>
                  <w:t>III.  Falta de presentación de aclaración</w:t>
                </w:r>
                <w:r w:rsidR="00137D7D" w:rsidRPr="00137D7D">
                  <w:rPr>
                    <w:noProof/>
                    <w:webHidden/>
                  </w:rPr>
                  <w:tab/>
                </w:r>
                <w:r w:rsidR="00137D7D" w:rsidRPr="00137D7D">
                  <w:rPr>
                    <w:noProof/>
                    <w:webHidden/>
                  </w:rPr>
                  <w:fldChar w:fldCharType="begin"/>
                </w:r>
                <w:r w:rsidR="00137D7D" w:rsidRPr="00137D7D">
                  <w:rPr>
                    <w:noProof/>
                    <w:webHidden/>
                  </w:rPr>
                  <w:instrText xml:space="preserve"> PAGEREF _Toc196927060 \h </w:instrText>
                </w:r>
                <w:r w:rsidR="00137D7D" w:rsidRPr="00137D7D">
                  <w:rPr>
                    <w:noProof/>
                    <w:webHidden/>
                  </w:rPr>
                </w:r>
                <w:r w:rsidR="00137D7D" w:rsidRPr="00137D7D">
                  <w:rPr>
                    <w:noProof/>
                    <w:webHidden/>
                  </w:rPr>
                  <w:fldChar w:fldCharType="separate"/>
                </w:r>
                <w:r w:rsidR="00370CC2">
                  <w:rPr>
                    <w:noProof/>
                    <w:webHidden/>
                  </w:rPr>
                  <w:t>3</w:t>
                </w:r>
                <w:r w:rsidR="00137D7D" w:rsidRPr="00137D7D">
                  <w:rPr>
                    <w:noProof/>
                    <w:webHidden/>
                  </w:rPr>
                  <w:fldChar w:fldCharType="end"/>
                </w:r>
              </w:hyperlink>
            </w:p>
            <w:p w14:paraId="4AFB8930" w14:textId="37AE665F" w:rsidR="00137D7D" w:rsidRPr="00137D7D" w:rsidRDefault="00633A9E">
              <w:pPr>
                <w:pStyle w:val="TDC1"/>
                <w:tabs>
                  <w:tab w:val="right" w:leader="dot" w:pos="9034"/>
                </w:tabs>
                <w:rPr>
                  <w:rFonts w:asciiTheme="minorHAnsi" w:eastAsiaTheme="minorEastAsia" w:hAnsiTheme="minorHAnsi" w:cstheme="minorBidi"/>
                  <w:noProof/>
                  <w:kern w:val="2"/>
                  <w:sz w:val="22"/>
                  <w:szCs w:val="22"/>
                  <w:lang w:eastAsia="es-MX"/>
                  <w14:ligatures w14:val="standardContextual"/>
                </w:rPr>
              </w:pPr>
              <w:hyperlink w:anchor="_Toc196927061" w:history="1">
                <w:r w:rsidR="00137D7D" w:rsidRPr="00137D7D">
                  <w:rPr>
                    <w:rStyle w:val="Hipervnculo"/>
                    <w:rFonts w:ascii="Palatino Linotype" w:eastAsia="Palatino Linotype" w:hAnsi="Palatino Linotype"/>
                    <w:noProof/>
                  </w:rPr>
                  <w:t>IV. Interposición del Recurso de Revisión</w:t>
                </w:r>
                <w:r w:rsidR="00137D7D" w:rsidRPr="00137D7D">
                  <w:rPr>
                    <w:noProof/>
                    <w:webHidden/>
                  </w:rPr>
                  <w:tab/>
                </w:r>
                <w:r w:rsidR="00137D7D" w:rsidRPr="00137D7D">
                  <w:rPr>
                    <w:noProof/>
                    <w:webHidden/>
                  </w:rPr>
                  <w:fldChar w:fldCharType="begin"/>
                </w:r>
                <w:r w:rsidR="00137D7D" w:rsidRPr="00137D7D">
                  <w:rPr>
                    <w:noProof/>
                    <w:webHidden/>
                  </w:rPr>
                  <w:instrText xml:space="preserve"> PAGEREF _Toc196927061 \h </w:instrText>
                </w:r>
                <w:r w:rsidR="00137D7D" w:rsidRPr="00137D7D">
                  <w:rPr>
                    <w:noProof/>
                    <w:webHidden/>
                  </w:rPr>
                </w:r>
                <w:r w:rsidR="00137D7D" w:rsidRPr="00137D7D">
                  <w:rPr>
                    <w:noProof/>
                    <w:webHidden/>
                  </w:rPr>
                  <w:fldChar w:fldCharType="separate"/>
                </w:r>
                <w:r w:rsidR="00370CC2">
                  <w:rPr>
                    <w:noProof/>
                    <w:webHidden/>
                  </w:rPr>
                  <w:t>5</w:t>
                </w:r>
                <w:r w:rsidR="00137D7D" w:rsidRPr="00137D7D">
                  <w:rPr>
                    <w:noProof/>
                    <w:webHidden/>
                  </w:rPr>
                  <w:fldChar w:fldCharType="end"/>
                </w:r>
              </w:hyperlink>
            </w:p>
            <w:p w14:paraId="2ECAD154" w14:textId="696E3127" w:rsidR="00137D7D" w:rsidRPr="00137D7D" w:rsidRDefault="00633A9E">
              <w:pPr>
                <w:pStyle w:val="TDC2"/>
                <w:rPr>
                  <w:rFonts w:asciiTheme="minorHAnsi" w:eastAsiaTheme="minorEastAsia" w:hAnsiTheme="minorHAnsi" w:cstheme="minorBidi"/>
                  <w:noProof/>
                  <w:kern w:val="2"/>
                  <w:sz w:val="22"/>
                  <w:szCs w:val="22"/>
                  <w:lang w:eastAsia="es-MX"/>
                  <w14:ligatures w14:val="standardContextual"/>
                </w:rPr>
              </w:pPr>
              <w:hyperlink w:anchor="_Toc196927062" w:history="1">
                <w:r w:rsidR="00137D7D" w:rsidRPr="00137D7D">
                  <w:rPr>
                    <w:rStyle w:val="Hipervnculo"/>
                    <w:rFonts w:ascii="Palatino Linotype" w:eastAsia="Palatino Linotype" w:hAnsi="Palatino Linotype" w:cs="Palatino Linotype"/>
                    <w:noProof/>
                  </w:rPr>
                  <w:t>V. Trámite del Recurso de Revisión ante el Instituto</w:t>
                </w:r>
                <w:r w:rsidR="00137D7D" w:rsidRPr="00137D7D">
                  <w:rPr>
                    <w:noProof/>
                    <w:webHidden/>
                  </w:rPr>
                  <w:tab/>
                </w:r>
                <w:r w:rsidR="00137D7D" w:rsidRPr="00137D7D">
                  <w:rPr>
                    <w:noProof/>
                    <w:webHidden/>
                  </w:rPr>
                  <w:fldChar w:fldCharType="begin"/>
                </w:r>
                <w:r w:rsidR="00137D7D" w:rsidRPr="00137D7D">
                  <w:rPr>
                    <w:noProof/>
                    <w:webHidden/>
                  </w:rPr>
                  <w:instrText xml:space="preserve"> PAGEREF _Toc196927062 \h </w:instrText>
                </w:r>
                <w:r w:rsidR="00137D7D" w:rsidRPr="00137D7D">
                  <w:rPr>
                    <w:noProof/>
                    <w:webHidden/>
                  </w:rPr>
                </w:r>
                <w:r w:rsidR="00137D7D" w:rsidRPr="00137D7D">
                  <w:rPr>
                    <w:noProof/>
                    <w:webHidden/>
                  </w:rPr>
                  <w:fldChar w:fldCharType="separate"/>
                </w:r>
                <w:r w:rsidR="00370CC2">
                  <w:rPr>
                    <w:noProof/>
                    <w:webHidden/>
                  </w:rPr>
                  <w:t>6</w:t>
                </w:r>
                <w:r w:rsidR="00137D7D" w:rsidRPr="00137D7D">
                  <w:rPr>
                    <w:noProof/>
                    <w:webHidden/>
                  </w:rPr>
                  <w:fldChar w:fldCharType="end"/>
                </w:r>
              </w:hyperlink>
            </w:p>
            <w:p w14:paraId="35CD43A8" w14:textId="6FA54088" w:rsidR="00137D7D" w:rsidRPr="00137D7D" w:rsidRDefault="00633A9E">
              <w:pPr>
                <w:pStyle w:val="TDC1"/>
                <w:tabs>
                  <w:tab w:val="right" w:leader="dot" w:pos="9034"/>
                </w:tabs>
                <w:rPr>
                  <w:rFonts w:asciiTheme="minorHAnsi" w:eastAsiaTheme="minorEastAsia" w:hAnsiTheme="minorHAnsi" w:cstheme="minorBidi"/>
                  <w:noProof/>
                  <w:kern w:val="2"/>
                  <w:sz w:val="22"/>
                  <w:szCs w:val="22"/>
                  <w:lang w:eastAsia="es-MX"/>
                  <w14:ligatures w14:val="standardContextual"/>
                </w:rPr>
              </w:pPr>
              <w:hyperlink w:anchor="_Toc196927063" w:history="1">
                <w:r w:rsidR="00137D7D" w:rsidRPr="00137D7D">
                  <w:rPr>
                    <w:rStyle w:val="Hipervnculo"/>
                    <w:rFonts w:ascii="Palatino Linotype" w:eastAsia="Palatino Linotype" w:hAnsi="Palatino Linotype" w:cs="Palatino Linotype"/>
                    <w:noProof/>
                  </w:rPr>
                  <w:t>C O N S I D E R A N D O S</w:t>
                </w:r>
                <w:r w:rsidR="00137D7D" w:rsidRPr="00137D7D">
                  <w:rPr>
                    <w:noProof/>
                    <w:webHidden/>
                  </w:rPr>
                  <w:tab/>
                </w:r>
                <w:r w:rsidR="00137D7D" w:rsidRPr="00137D7D">
                  <w:rPr>
                    <w:noProof/>
                    <w:webHidden/>
                  </w:rPr>
                  <w:fldChar w:fldCharType="begin"/>
                </w:r>
                <w:r w:rsidR="00137D7D" w:rsidRPr="00137D7D">
                  <w:rPr>
                    <w:noProof/>
                    <w:webHidden/>
                  </w:rPr>
                  <w:instrText xml:space="preserve"> PAGEREF _Toc196927063 \h </w:instrText>
                </w:r>
                <w:r w:rsidR="00137D7D" w:rsidRPr="00137D7D">
                  <w:rPr>
                    <w:noProof/>
                    <w:webHidden/>
                  </w:rPr>
                </w:r>
                <w:r w:rsidR="00137D7D" w:rsidRPr="00137D7D">
                  <w:rPr>
                    <w:noProof/>
                    <w:webHidden/>
                  </w:rPr>
                  <w:fldChar w:fldCharType="separate"/>
                </w:r>
                <w:r w:rsidR="00370CC2">
                  <w:rPr>
                    <w:noProof/>
                    <w:webHidden/>
                  </w:rPr>
                  <w:t>10</w:t>
                </w:r>
                <w:r w:rsidR="00137D7D" w:rsidRPr="00137D7D">
                  <w:rPr>
                    <w:noProof/>
                    <w:webHidden/>
                  </w:rPr>
                  <w:fldChar w:fldCharType="end"/>
                </w:r>
              </w:hyperlink>
            </w:p>
            <w:p w14:paraId="1EA94A17" w14:textId="6D1F6058" w:rsidR="00137D7D" w:rsidRPr="00137D7D" w:rsidRDefault="00633A9E">
              <w:pPr>
                <w:pStyle w:val="TDC2"/>
                <w:rPr>
                  <w:rFonts w:asciiTheme="minorHAnsi" w:eastAsiaTheme="minorEastAsia" w:hAnsiTheme="minorHAnsi" w:cstheme="minorBidi"/>
                  <w:noProof/>
                  <w:kern w:val="2"/>
                  <w:sz w:val="22"/>
                  <w:szCs w:val="22"/>
                  <w:lang w:eastAsia="es-MX"/>
                  <w14:ligatures w14:val="standardContextual"/>
                </w:rPr>
              </w:pPr>
              <w:hyperlink w:anchor="_Toc196927064" w:history="1">
                <w:r w:rsidR="00137D7D" w:rsidRPr="00137D7D">
                  <w:rPr>
                    <w:rStyle w:val="Hipervnculo"/>
                    <w:rFonts w:ascii="Palatino Linotype" w:eastAsia="Palatino Linotype" w:hAnsi="Palatino Linotype" w:cs="Palatino Linotype"/>
                    <w:noProof/>
                  </w:rPr>
                  <w:t>PRIMERO. Competencia</w:t>
                </w:r>
                <w:r w:rsidR="00137D7D" w:rsidRPr="00137D7D">
                  <w:rPr>
                    <w:noProof/>
                    <w:webHidden/>
                  </w:rPr>
                  <w:tab/>
                </w:r>
                <w:r w:rsidR="00137D7D" w:rsidRPr="00137D7D">
                  <w:rPr>
                    <w:noProof/>
                    <w:webHidden/>
                  </w:rPr>
                  <w:fldChar w:fldCharType="begin"/>
                </w:r>
                <w:r w:rsidR="00137D7D" w:rsidRPr="00137D7D">
                  <w:rPr>
                    <w:noProof/>
                    <w:webHidden/>
                  </w:rPr>
                  <w:instrText xml:space="preserve"> PAGEREF _Toc196927064 \h </w:instrText>
                </w:r>
                <w:r w:rsidR="00137D7D" w:rsidRPr="00137D7D">
                  <w:rPr>
                    <w:noProof/>
                    <w:webHidden/>
                  </w:rPr>
                </w:r>
                <w:r w:rsidR="00137D7D" w:rsidRPr="00137D7D">
                  <w:rPr>
                    <w:noProof/>
                    <w:webHidden/>
                  </w:rPr>
                  <w:fldChar w:fldCharType="separate"/>
                </w:r>
                <w:r w:rsidR="00370CC2">
                  <w:rPr>
                    <w:noProof/>
                    <w:webHidden/>
                  </w:rPr>
                  <w:t>10</w:t>
                </w:r>
                <w:r w:rsidR="00137D7D" w:rsidRPr="00137D7D">
                  <w:rPr>
                    <w:noProof/>
                    <w:webHidden/>
                  </w:rPr>
                  <w:fldChar w:fldCharType="end"/>
                </w:r>
              </w:hyperlink>
            </w:p>
            <w:p w14:paraId="5F8C27D3" w14:textId="5B40C2E1" w:rsidR="00137D7D" w:rsidRPr="00137D7D" w:rsidRDefault="00633A9E">
              <w:pPr>
                <w:pStyle w:val="TDC2"/>
                <w:rPr>
                  <w:rFonts w:asciiTheme="minorHAnsi" w:eastAsiaTheme="minorEastAsia" w:hAnsiTheme="minorHAnsi" w:cstheme="minorBidi"/>
                  <w:noProof/>
                  <w:kern w:val="2"/>
                  <w:sz w:val="22"/>
                  <w:szCs w:val="22"/>
                  <w:lang w:eastAsia="es-MX"/>
                  <w14:ligatures w14:val="standardContextual"/>
                </w:rPr>
              </w:pPr>
              <w:hyperlink w:anchor="_Toc196927065" w:history="1">
                <w:r w:rsidR="00137D7D" w:rsidRPr="00137D7D">
                  <w:rPr>
                    <w:rStyle w:val="Hipervnculo"/>
                    <w:rFonts w:ascii="Palatino Linotype" w:eastAsia="Palatino Linotype" w:hAnsi="Palatino Linotype" w:cs="Palatino Linotype"/>
                    <w:noProof/>
                  </w:rPr>
                  <w:t>SEGUNDO. Causales de improcedencia</w:t>
                </w:r>
                <w:r w:rsidR="00137D7D" w:rsidRPr="00137D7D">
                  <w:rPr>
                    <w:noProof/>
                    <w:webHidden/>
                  </w:rPr>
                  <w:tab/>
                </w:r>
                <w:r w:rsidR="00137D7D" w:rsidRPr="00137D7D">
                  <w:rPr>
                    <w:noProof/>
                    <w:webHidden/>
                  </w:rPr>
                  <w:fldChar w:fldCharType="begin"/>
                </w:r>
                <w:r w:rsidR="00137D7D" w:rsidRPr="00137D7D">
                  <w:rPr>
                    <w:noProof/>
                    <w:webHidden/>
                  </w:rPr>
                  <w:instrText xml:space="preserve"> PAGEREF _Toc196927065 \h </w:instrText>
                </w:r>
                <w:r w:rsidR="00137D7D" w:rsidRPr="00137D7D">
                  <w:rPr>
                    <w:noProof/>
                    <w:webHidden/>
                  </w:rPr>
                </w:r>
                <w:r w:rsidR="00137D7D" w:rsidRPr="00137D7D">
                  <w:rPr>
                    <w:noProof/>
                    <w:webHidden/>
                  </w:rPr>
                  <w:fldChar w:fldCharType="separate"/>
                </w:r>
                <w:r w:rsidR="00370CC2">
                  <w:rPr>
                    <w:noProof/>
                    <w:webHidden/>
                  </w:rPr>
                  <w:t>11</w:t>
                </w:r>
                <w:r w:rsidR="00137D7D" w:rsidRPr="00137D7D">
                  <w:rPr>
                    <w:noProof/>
                    <w:webHidden/>
                  </w:rPr>
                  <w:fldChar w:fldCharType="end"/>
                </w:r>
              </w:hyperlink>
            </w:p>
            <w:p w14:paraId="1EE0B0D5" w14:textId="2C3C6107" w:rsidR="00137D7D" w:rsidRPr="00137D7D" w:rsidRDefault="00633A9E">
              <w:pPr>
                <w:pStyle w:val="TDC1"/>
                <w:tabs>
                  <w:tab w:val="right" w:leader="dot" w:pos="9034"/>
                </w:tabs>
                <w:rPr>
                  <w:rFonts w:asciiTheme="minorHAnsi" w:eastAsiaTheme="minorEastAsia" w:hAnsiTheme="minorHAnsi" w:cstheme="minorBidi"/>
                  <w:noProof/>
                  <w:kern w:val="2"/>
                  <w:sz w:val="22"/>
                  <w:szCs w:val="22"/>
                  <w:lang w:eastAsia="es-MX"/>
                  <w14:ligatures w14:val="standardContextual"/>
                </w:rPr>
              </w:pPr>
              <w:hyperlink w:anchor="_Toc196927066" w:history="1">
                <w:r w:rsidR="00137D7D" w:rsidRPr="00137D7D">
                  <w:rPr>
                    <w:rStyle w:val="Hipervnculo"/>
                    <w:rFonts w:ascii="Palatino Linotype" w:eastAsiaTheme="majorEastAsia" w:hAnsi="Palatino Linotype"/>
                    <w:noProof/>
                  </w:rPr>
                  <w:t>TERCERO. Causales de sobreseimiento</w:t>
                </w:r>
                <w:r w:rsidR="00137D7D" w:rsidRPr="00137D7D">
                  <w:rPr>
                    <w:noProof/>
                    <w:webHidden/>
                  </w:rPr>
                  <w:tab/>
                </w:r>
                <w:r w:rsidR="00137D7D" w:rsidRPr="00137D7D">
                  <w:rPr>
                    <w:noProof/>
                    <w:webHidden/>
                  </w:rPr>
                  <w:fldChar w:fldCharType="begin"/>
                </w:r>
                <w:r w:rsidR="00137D7D" w:rsidRPr="00137D7D">
                  <w:rPr>
                    <w:noProof/>
                    <w:webHidden/>
                  </w:rPr>
                  <w:instrText xml:space="preserve"> PAGEREF _Toc196927066 \h </w:instrText>
                </w:r>
                <w:r w:rsidR="00137D7D" w:rsidRPr="00137D7D">
                  <w:rPr>
                    <w:noProof/>
                    <w:webHidden/>
                  </w:rPr>
                </w:r>
                <w:r w:rsidR="00137D7D" w:rsidRPr="00137D7D">
                  <w:rPr>
                    <w:noProof/>
                    <w:webHidden/>
                  </w:rPr>
                  <w:fldChar w:fldCharType="separate"/>
                </w:r>
                <w:r w:rsidR="00370CC2">
                  <w:rPr>
                    <w:noProof/>
                    <w:webHidden/>
                  </w:rPr>
                  <w:t>11</w:t>
                </w:r>
                <w:r w:rsidR="00137D7D" w:rsidRPr="00137D7D">
                  <w:rPr>
                    <w:noProof/>
                    <w:webHidden/>
                  </w:rPr>
                  <w:fldChar w:fldCharType="end"/>
                </w:r>
              </w:hyperlink>
            </w:p>
            <w:p w14:paraId="2CEC936D" w14:textId="635E9673" w:rsidR="00137D7D" w:rsidRPr="00137D7D" w:rsidRDefault="00633A9E">
              <w:pPr>
                <w:pStyle w:val="TDC1"/>
                <w:tabs>
                  <w:tab w:val="right" w:leader="dot" w:pos="9034"/>
                </w:tabs>
                <w:rPr>
                  <w:rFonts w:asciiTheme="minorHAnsi" w:eastAsiaTheme="minorEastAsia" w:hAnsiTheme="minorHAnsi" w:cstheme="minorBidi"/>
                  <w:noProof/>
                  <w:kern w:val="2"/>
                  <w:sz w:val="22"/>
                  <w:szCs w:val="22"/>
                  <w:lang w:eastAsia="es-MX"/>
                  <w14:ligatures w14:val="standardContextual"/>
                </w:rPr>
              </w:pPr>
              <w:hyperlink w:anchor="_Toc196927067" w:history="1">
                <w:r w:rsidR="00137D7D" w:rsidRPr="00137D7D">
                  <w:rPr>
                    <w:rStyle w:val="Hipervnculo"/>
                    <w:rFonts w:ascii="Palatino Linotype" w:eastAsiaTheme="majorEastAsia" w:hAnsi="Palatino Linotype"/>
                    <w:noProof/>
                    <w:lang w:val="es-ES"/>
                  </w:rPr>
                  <w:t>CUARTO. Decisión</w:t>
                </w:r>
                <w:r w:rsidR="00137D7D" w:rsidRPr="00137D7D">
                  <w:rPr>
                    <w:noProof/>
                    <w:webHidden/>
                  </w:rPr>
                  <w:tab/>
                </w:r>
                <w:r w:rsidR="00137D7D" w:rsidRPr="00137D7D">
                  <w:rPr>
                    <w:noProof/>
                    <w:webHidden/>
                  </w:rPr>
                  <w:fldChar w:fldCharType="begin"/>
                </w:r>
                <w:r w:rsidR="00137D7D" w:rsidRPr="00137D7D">
                  <w:rPr>
                    <w:noProof/>
                    <w:webHidden/>
                  </w:rPr>
                  <w:instrText xml:space="preserve"> PAGEREF _Toc196927067 \h </w:instrText>
                </w:r>
                <w:r w:rsidR="00137D7D" w:rsidRPr="00137D7D">
                  <w:rPr>
                    <w:noProof/>
                    <w:webHidden/>
                  </w:rPr>
                </w:r>
                <w:r w:rsidR="00137D7D" w:rsidRPr="00137D7D">
                  <w:rPr>
                    <w:noProof/>
                    <w:webHidden/>
                  </w:rPr>
                  <w:fldChar w:fldCharType="separate"/>
                </w:r>
                <w:r w:rsidR="00370CC2">
                  <w:rPr>
                    <w:noProof/>
                    <w:webHidden/>
                  </w:rPr>
                  <w:t>18</w:t>
                </w:r>
                <w:r w:rsidR="00137D7D" w:rsidRPr="00137D7D">
                  <w:rPr>
                    <w:noProof/>
                    <w:webHidden/>
                  </w:rPr>
                  <w:fldChar w:fldCharType="end"/>
                </w:r>
              </w:hyperlink>
            </w:p>
            <w:p w14:paraId="0AE09158" w14:textId="387ADB16" w:rsidR="00137D7D" w:rsidRPr="00137D7D" w:rsidRDefault="00633A9E">
              <w:pPr>
                <w:pStyle w:val="TDC1"/>
                <w:tabs>
                  <w:tab w:val="right" w:leader="dot" w:pos="9034"/>
                </w:tabs>
                <w:rPr>
                  <w:rFonts w:asciiTheme="minorHAnsi" w:eastAsiaTheme="minorEastAsia" w:hAnsiTheme="minorHAnsi" w:cstheme="minorBidi"/>
                  <w:noProof/>
                  <w:kern w:val="2"/>
                  <w:sz w:val="22"/>
                  <w:szCs w:val="22"/>
                  <w:lang w:eastAsia="es-MX"/>
                  <w14:ligatures w14:val="standardContextual"/>
                </w:rPr>
              </w:pPr>
              <w:hyperlink w:anchor="_Toc196927068" w:history="1">
                <w:r w:rsidR="00137D7D" w:rsidRPr="00137D7D">
                  <w:rPr>
                    <w:rStyle w:val="Hipervnculo"/>
                    <w:rFonts w:ascii="Palatino Linotype" w:eastAsia="Palatino Linotype" w:hAnsi="Palatino Linotype" w:cs="Palatino Linotype"/>
                    <w:noProof/>
                  </w:rPr>
                  <w:t>R E S U E L V E</w:t>
                </w:r>
                <w:r w:rsidR="00137D7D" w:rsidRPr="00137D7D">
                  <w:rPr>
                    <w:noProof/>
                    <w:webHidden/>
                  </w:rPr>
                  <w:tab/>
                </w:r>
                <w:r w:rsidR="00137D7D" w:rsidRPr="00137D7D">
                  <w:rPr>
                    <w:noProof/>
                    <w:webHidden/>
                  </w:rPr>
                  <w:fldChar w:fldCharType="begin"/>
                </w:r>
                <w:r w:rsidR="00137D7D" w:rsidRPr="00137D7D">
                  <w:rPr>
                    <w:noProof/>
                    <w:webHidden/>
                  </w:rPr>
                  <w:instrText xml:space="preserve"> PAGEREF _Toc196927068 \h </w:instrText>
                </w:r>
                <w:r w:rsidR="00137D7D" w:rsidRPr="00137D7D">
                  <w:rPr>
                    <w:noProof/>
                    <w:webHidden/>
                  </w:rPr>
                </w:r>
                <w:r w:rsidR="00137D7D" w:rsidRPr="00137D7D">
                  <w:rPr>
                    <w:noProof/>
                    <w:webHidden/>
                  </w:rPr>
                  <w:fldChar w:fldCharType="separate"/>
                </w:r>
                <w:r w:rsidR="00370CC2">
                  <w:rPr>
                    <w:noProof/>
                    <w:webHidden/>
                  </w:rPr>
                  <w:t>19</w:t>
                </w:r>
                <w:r w:rsidR="00137D7D" w:rsidRPr="00137D7D">
                  <w:rPr>
                    <w:noProof/>
                    <w:webHidden/>
                  </w:rPr>
                  <w:fldChar w:fldCharType="end"/>
                </w:r>
              </w:hyperlink>
            </w:p>
            <w:p w14:paraId="42585E96" w14:textId="6434A127" w:rsidR="00216B84" w:rsidRPr="00216B84" w:rsidRDefault="00216B84" w:rsidP="00216B84">
              <w:pPr>
                <w:spacing w:after="160" w:line="360" w:lineRule="auto"/>
                <w:jc w:val="both"/>
                <w:rPr>
                  <w:rFonts w:ascii="Palatino Linotype" w:eastAsia="Calibri" w:hAnsi="Palatino Linotype"/>
                  <w:b/>
                  <w:bCs/>
                  <w:color w:val="FF0000"/>
                  <w:sz w:val="22"/>
                  <w:szCs w:val="22"/>
                  <w:lang w:val="es-ES" w:eastAsia="en-US"/>
                </w:rPr>
              </w:pPr>
              <w:r w:rsidRPr="00137D7D">
                <w:rPr>
                  <w:rFonts w:ascii="Palatino Linotype" w:eastAsia="Calibri" w:hAnsi="Palatino Linotype"/>
                  <w:color w:val="FF0000"/>
                  <w:sz w:val="22"/>
                  <w:szCs w:val="22"/>
                  <w:lang w:val="es-ES" w:eastAsia="en-US"/>
                </w:rPr>
                <w:fldChar w:fldCharType="end"/>
              </w:r>
            </w:p>
          </w:sdtContent>
        </w:sdt>
        <w:p w14:paraId="53316FEA" w14:textId="77777777" w:rsidR="004B7229" w:rsidRPr="00BB67CD" w:rsidRDefault="00633A9E">
          <w:pPr>
            <w:spacing w:line="360" w:lineRule="auto"/>
            <w:rPr>
              <w:color w:val="FF0000"/>
            </w:rPr>
          </w:pPr>
        </w:p>
      </w:sdtContent>
    </w:sdt>
    <w:p w14:paraId="2A9F5287" w14:textId="77777777" w:rsidR="004B7229" w:rsidRPr="00BB67CD" w:rsidRDefault="004B7229">
      <w:pPr>
        <w:spacing w:line="360" w:lineRule="auto"/>
        <w:ind w:right="-28"/>
        <w:jc w:val="both"/>
        <w:rPr>
          <w:rFonts w:ascii="Palatino Linotype" w:eastAsia="Palatino Linotype" w:hAnsi="Palatino Linotype" w:cs="Palatino Linotype"/>
          <w:color w:val="FF0000"/>
          <w:sz w:val="22"/>
          <w:szCs w:val="22"/>
        </w:rPr>
      </w:pPr>
    </w:p>
    <w:p w14:paraId="3D2DDBCF" w14:textId="77777777" w:rsidR="00216B84" w:rsidRDefault="00216B84">
      <w:pPr>
        <w:spacing w:line="360" w:lineRule="auto"/>
        <w:ind w:right="-28"/>
        <w:jc w:val="both"/>
        <w:rPr>
          <w:rFonts w:ascii="Palatino Linotype" w:eastAsia="Palatino Linotype" w:hAnsi="Palatino Linotype" w:cs="Palatino Linotype"/>
          <w:sz w:val="22"/>
          <w:szCs w:val="22"/>
        </w:rPr>
      </w:pPr>
    </w:p>
    <w:p w14:paraId="23567B14" w14:textId="77777777" w:rsidR="00216B84" w:rsidRDefault="00216B84">
      <w:pPr>
        <w:spacing w:line="360" w:lineRule="auto"/>
        <w:ind w:right="-28"/>
        <w:jc w:val="both"/>
        <w:rPr>
          <w:rFonts w:ascii="Palatino Linotype" w:eastAsia="Palatino Linotype" w:hAnsi="Palatino Linotype" w:cs="Palatino Linotype"/>
          <w:sz w:val="22"/>
          <w:szCs w:val="22"/>
        </w:rPr>
      </w:pPr>
    </w:p>
    <w:p w14:paraId="76894433" w14:textId="77777777" w:rsidR="00137D7D" w:rsidRDefault="00137D7D">
      <w:pPr>
        <w:spacing w:line="360" w:lineRule="auto"/>
        <w:ind w:right="-28"/>
        <w:jc w:val="both"/>
        <w:rPr>
          <w:rFonts w:ascii="Palatino Linotype" w:eastAsia="Palatino Linotype" w:hAnsi="Palatino Linotype" w:cs="Palatino Linotype"/>
          <w:sz w:val="22"/>
          <w:szCs w:val="22"/>
        </w:rPr>
      </w:pPr>
    </w:p>
    <w:p w14:paraId="28735ED1" w14:textId="77777777" w:rsidR="00137D7D" w:rsidRDefault="00137D7D">
      <w:pPr>
        <w:spacing w:line="360" w:lineRule="auto"/>
        <w:ind w:right="-28"/>
        <w:jc w:val="both"/>
        <w:rPr>
          <w:rFonts w:ascii="Palatino Linotype" w:eastAsia="Palatino Linotype" w:hAnsi="Palatino Linotype" w:cs="Palatino Linotype"/>
          <w:sz w:val="22"/>
          <w:szCs w:val="22"/>
        </w:rPr>
      </w:pPr>
    </w:p>
    <w:p w14:paraId="47BC70CD" w14:textId="77777777" w:rsidR="00216B84" w:rsidRDefault="00216B84">
      <w:pPr>
        <w:spacing w:line="360" w:lineRule="auto"/>
        <w:ind w:right="-28"/>
        <w:jc w:val="both"/>
        <w:rPr>
          <w:rFonts w:ascii="Palatino Linotype" w:eastAsia="Palatino Linotype" w:hAnsi="Palatino Linotype" w:cs="Palatino Linotype"/>
          <w:sz w:val="22"/>
          <w:szCs w:val="22"/>
        </w:rPr>
      </w:pPr>
    </w:p>
    <w:p w14:paraId="74F1B513" w14:textId="77777777" w:rsidR="004B7229" w:rsidRPr="00BB67CD" w:rsidRDefault="00CE6C4C">
      <w:pPr>
        <w:spacing w:line="360" w:lineRule="auto"/>
        <w:ind w:right="-28"/>
        <w:jc w:val="both"/>
        <w:rPr>
          <w:rFonts w:ascii="Palatino Linotype" w:eastAsia="Palatino Linotype" w:hAnsi="Palatino Linotype" w:cs="Palatino Linotype"/>
          <w:sz w:val="22"/>
          <w:szCs w:val="22"/>
        </w:rPr>
      </w:pPr>
      <w:r w:rsidRPr="00BB67CD">
        <w:rPr>
          <w:rFonts w:ascii="Palatino Linotype" w:eastAsia="Palatino Linotype" w:hAnsi="Palatino Linotype" w:cs="Palatino Linotype"/>
          <w:sz w:val="22"/>
          <w:szCs w:val="22"/>
        </w:rPr>
        <w:lastRenderedPageBreak/>
        <w:t xml:space="preserve">Resolución del Pleno del Instituto de Transparencia, Acceso a la Información Pública y Protección de Datos Personales del Estado de México y Municipios, con domicilio en Metepec, Estado de México, de fecha </w:t>
      </w:r>
      <w:r w:rsidR="00BB67CD" w:rsidRPr="00BB67CD">
        <w:rPr>
          <w:rFonts w:ascii="Palatino Linotype" w:eastAsia="Palatino Linotype" w:hAnsi="Palatino Linotype" w:cs="Palatino Linotype"/>
          <w:sz w:val="22"/>
          <w:szCs w:val="22"/>
        </w:rPr>
        <w:t>treinta de abril de dos mil veinticinco.</w:t>
      </w:r>
    </w:p>
    <w:p w14:paraId="77BC8D10" w14:textId="77777777" w:rsidR="004B7229" w:rsidRPr="00BB67CD" w:rsidRDefault="004B7229">
      <w:pPr>
        <w:spacing w:line="360" w:lineRule="auto"/>
        <w:ind w:right="-28"/>
        <w:jc w:val="both"/>
        <w:rPr>
          <w:rFonts w:ascii="Palatino Linotype" w:eastAsia="Palatino Linotype" w:hAnsi="Palatino Linotype" w:cs="Palatino Linotype"/>
          <w:color w:val="FF0000"/>
          <w:sz w:val="22"/>
          <w:szCs w:val="22"/>
        </w:rPr>
      </w:pPr>
    </w:p>
    <w:p w14:paraId="177CA610" w14:textId="77777777" w:rsidR="004B7229" w:rsidRPr="00BB67CD" w:rsidRDefault="00CE6C4C">
      <w:pPr>
        <w:spacing w:line="360" w:lineRule="auto"/>
        <w:ind w:right="-28"/>
        <w:jc w:val="both"/>
        <w:rPr>
          <w:rFonts w:ascii="Verdana" w:eastAsia="Verdana" w:hAnsi="Verdana" w:cs="Verdana"/>
          <w:b/>
        </w:rPr>
      </w:pPr>
      <w:r w:rsidRPr="00BB67CD">
        <w:rPr>
          <w:rFonts w:ascii="Palatino Linotype" w:eastAsia="Palatino Linotype" w:hAnsi="Palatino Linotype" w:cs="Palatino Linotype"/>
          <w:b/>
          <w:sz w:val="22"/>
          <w:szCs w:val="22"/>
        </w:rPr>
        <w:t xml:space="preserve">VISTO </w:t>
      </w:r>
      <w:r w:rsidRPr="00BB67CD">
        <w:rPr>
          <w:rFonts w:ascii="Palatino Linotype" w:eastAsia="Palatino Linotype" w:hAnsi="Palatino Linotype" w:cs="Palatino Linotype"/>
          <w:sz w:val="22"/>
          <w:szCs w:val="22"/>
        </w:rPr>
        <w:t xml:space="preserve">el expediente conformado con motivo del Recurso de Revisión </w:t>
      </w:r>
      <w:r w:rsidR="00BB67CD" w:rsidRPr="00651E49">
        <w:rPr>
          <w:rFonts w:ascii="Palatino Linotype" w:eastAsia="Palatino Linotype" w:hAnsi="Palatino Linotype" w:cs="Palatino Linotype"/>
          <w:b/>
          <w:bCs/>
          <w:sz w:val="22"/>
          <w:szCs w:val="22"/>
        </w:rPr>
        <w:t>02471</w:t>
      </w:r>
      <w:r w:rsidRPr="00651E49">
        <w:rPr>
          <w:rFonts w:ascii="Palatino Linotype" w:eastAsia="Palatino Linotype" w:hAnsi="Palatino Linotype" w:cs="Palatino Linotype"/>
          <w:b/>
          <w:bCs/>
          <w:sz w:val="22"/>
          <w:szCs w:val="22"/>
        </w:rPr>
        <w:t>/INFOEM/IP/RR/2025</w:t>
      </w:r>
      <w:r w:rsidRPr="003A5AF4">
        <w:rPr>
          <w:rFonts w:ascii="Palatino Linotype" w:eastAsia="Palatino Linotype" w:hAnsi="Palatino Linotype" w:cs="Palatino Linotype"/>
          <w:bCs/>
          <w:sz w:val="22"/>
          <w:szCs w:val="22"/>
        </w:rPr>
        <w:t xml:space="preserve">, interpuesto por el Recurrente o Particular, en contra de la respuesta del Sujeto Obligado, </w:t>
      </w:r>
      <w:bookmarkStart w:id="0" w:name="_GoBack"/>
      <w:r w:rsidR="00BB67CD" w:rsidRPr="00651E49">
        <w:rPr>
          <w:rFonts w:ascii="Palatino Linotype" w:eastAsia="Palatino Linotype" w:hAnsi="Palatino Linotype" w:cs="Palatino Linotype"/>
          <w:b/>
          <w:bCs/>
          <w:sz w:val="22"/>
          <w:szCs w:val="22"/>
        </w:rPr>
        <w:t>Tribunal de Justicia Administrativa del Estado de México</w:t>
      </w:r>
      <w:bookmarkEnd w:id="0"/>
      <w:r w:rsidR="00BB67CD" w:rsidRPr="003A5AF4">
        <w:rPr>
          <w:rFonts w:ascii="Palatino Linotype" w:eastAsia="Palatino Linotype" w:hAnsi="Palatino Linotype" w:cs="Palatino Linotype"/>
          <w:bCs/>
          <w:sz w:val="22"/>
          <w:szCs w:val="22"/>
        </w:rPr>
        <w:t xml:space="preserve">, </w:t>
      </w:r>
      <w:r w:rsidRPr="003A5AF4">
        <w:rPr>
          <w:rFonts w:ascii="Palatino Linotype" w:eastAsia="Palatino Linotype" w:hAnsi="Palatino Linotype" w:cs="Palatino Linotype"/>
          <w:bCs/>
          <w:sz w:val="22"/>
          <w:szCs w:val="22"/>
        </w:rPr>
        <w:t>a la solicitud de acceso a la información pública con número de folio</w:t>
      </w:r>
      <w:r w:rsidRPr="003A5AF4">
        <w:rPr>
          <w:rFonts w:ascii="Verdana" w:eastAsia="Verdana" w:hAnsi="Verdana" w:cs="Verdana"/>
          <w:bCs/>
        </w:rPr>
        <w:t> </w:t>
      </w:r>
      <w:r w:rsidR="00BB67CD" w:rsidRPr="003A5AF4">
        <w:rPr>
          <w:rFonts w:ascii="Palatino Linotype" w:eastAsia="Palatino Linotype" w:hAnsi="Palatino Linotype" w:cs="Palatino Linotype"/>
          <w:bCs/>
          <w:sz w:val="22"/>
          <w:szCs w:val="22"/>
        </w:rPr>
        <w:t>00074/TRIJAEM/IP/2025</w:t>
      </w:r>
      <w:r w:rsidRPr="003A5AF4">
        <w:rPr>
          <w:rFonts w:ascii="Palatino Linotype" w:eastAsia="Palatino Linotype" w:hAnsi="Palatino Linotype" w:cs="Palatino Linotype"/>
          <w:bCs/>
          <w:sz w:val="22"/>
          <w:szCs w:val="22"/>
        </w:rPr>
        <w:t>,</w:t>
      </w:r>
      <w:r w:rsidRPr="00BB67CD">
        <w:rPr>
          <w:rFonts w:ascii="Palatino Linotype" w:eastAsia="Palatino Linotype" w:hAnsi="Palatino Linotype" w:cs="Palatino Linotype"/>
          <w:sz w:val="22"/>
          <w:szCs w:val="22"/>
        </w:rPr>
        <w:t xml:space="preserve"> se emite la presente Resolución, con base en los Antecedentes y Considerandos que se exponen a continuación:</w:t>
      </w:r>
    </w:p>
    <w:p w14:paraId="23FB620C" w14:textId="77777777" w:rsidR="004B7229" w:rsidRPr="00BB67CD" w:rsidRDefault="004B7229">
      <w:pPr>
        <w:spacing w:line="360" w:lineRule="auto"/>
        <w:ind w:right="-28"/>
        <w:jc w:val="both"/>
        <w:rPr>
          <w:rFonts w:ascii="Palatino Linotype" w:eastAsia="Palatino Linotype" w:hAnsi="Palatino Linotype" w:cs="Palatino Linotype"/>
          <w:color w:val="FF0000"/>
          <w:sz w:val="22"/>
          <w:szCs w:val="22"/>
        </w:rPr>
      </w:pPr>
    </w:p>
    <w:p w14:paraId="0C6F53A2" w14:textId="77777777" w:rsidR="004B7229" w:rsidRPr="00BB67CD" w:rsidRDefault="00CE6C4C">
      <w:pPr>
        <w:pStyle w:val="Ttulo1"/>
        <w:spacing w:before="0" w:after="0" w:line="360" w:lineRule="auto"/>
        <w:jc w:val="center"/>
        <w:rPr>
          <w:rFonts w:ascii="Palatino Linotype" w:eastAsia="Palatino Linotype" w:hAnsi="Palatino Linotype" w:cs="Palatino Linotype"/>
          <w:b/>
          <w:color w:val="auto"/>
          <w:sz w:val="22"/>
          <w:szCs w:val="22"/>
        </w:rPr>
      </w:pPr>
      <w:bookmarkStart w:id="1" w:name="_heading=h.e26y9jyqhy42" w:colFirst="0" w:colLast="0"/>
      <w:bookmarkStart w:id="2" w:name="_Toc196927057"/>
      <w:bookmarkEnd w:id="1"/>
      <w:r w:rsidRPr="00BB67CD">
        <w:rPr>
          <w:rFonts w:ascii="Palatino Linotype" w:eastAsia="Palatino Linotype" w:hAnsi="Palatino Linotype" w:cs="Palatino Linotype"/>
          <w:b/>
          <w:color w:val="auto"/>
          <w:sz w:val="22"/>
          <w:szCs w:val="22"/>
        </w:rPr>
        <w:t>A N T E C E D E N T E S</w:t>
      </w:r>
      <w:bookmarkEnd w:id="2"/>
    </w:p>
    <w:p w14:paraId="25E821EE" w14:textId="77777777" w:rsidR="004B7229" w:rsidRPr="00BB67CD" w:rsidRDefault="004B7229">
      <w:pPr>
        <w:tabs>
          <w:tab w:val="center" w:pos="4522"/>
          <w:tab w:val="left" w:pos="7245"/>
          <w:tab w:val="right" w:pos="9044"/>
        </w:tabs>
        <w:spacing w:line="360" w:lineRule="auto"/>
        <w:ind w:right="-28"/>
        <w:rPr>
          <w:rFonts w:ascii="Palatino Linotype" w:eastAsia="Palatino Linotype" w:hAnsi="Palatino Linotype" w:cs="Palatino Linotype"/>
          <w:b/>
          <w:color w:val="FF0000"/>
          <w:sz w:val="22"/>
          <w:szCs w:val="22"/>
        </w:rPr>
      </w:pPr>
    </w:p>
    <w:p w14:paraId="556A6427" w14:textId="77777777" w:rsidR="004B7229" w:rsidRPr="00BB67CD" w:rsidRDefault="00CE6C4C">
      <w:pPr>
        <w:pStyle w:val="Ttulo2"/>
        <w:spacing w:before="0" w:after="0" w:line="360" w:lineRule="auto"/>
        <w:rPr>
          <w:rFonts w:ascii="Palatino Linotype" w:eastAsia="Palatino Linotype" w:hAnsi="Palatino Linotype" w:cs="Palatino Linotype"/>
          <w:b/>
          <w:color w:val="FF0000"/>
          <w:sz w:val="22"/>
          <w:szCs w:val="22"/>
        </w:rPr>
      </w:pPr>
      <w:bookmarkStart w:id="3" w:name="_heading=h.gmdqm76me9m4" w:colFirst="0" w:colLast="0"/>
      <w:bookmarkStart w:id="4" w:name="_Toc196927058"/>
      <w:bookmarkEnd w:id="3"/>
      <w:r w:rsidRPr="00BB67CD">
        <w:rPr>
          <w:rFonts w:ascii="Palatino Linotype" w:eastAsia="Palatino Linotype" w:hAnsi="Palatino Linotype" w:cs="Palatino Linotype"/>
          <w:b/>
          <w:color w:val="auto"/>
          <w:sz w:val="22"/>
          <w:szCs w:val="22"/>
        </w:rPr>
        <w:t>I. Presentación de la solicitud de información</w:t>
      </w:r>
      <w:bookmarkEnd w:id="4"/>
    </w:p>
    <w:p w14:paraId="6D910AF3" w14:textId="77777777" w:rsidR="004B7229" w:rsidRPr="00BB67CD" w:rsidRDefault="004B7229">
      <w:pPr>
        <w:spacing w:line="360" w:lineRule="auto"/>
        <w:jc w:val="both"/>
        <w:rPr>
          <w:rFonts w:ascii="Palatino Linotype" w:eastAsia="Palatino Linotype" w:hAnsi="Palatino Linotype" w:cs="Palatino Linotype"/>
          <w:color w:val="FF0000"/>
          <w:sz w:val="22"/>
          <w:szCs w:val="22"/>
        </w:rPr>
      </w:pPr>
    </w:p>
    <w:p w14:paraId="705E03DC" w14:textId="510891F3" w:rsidR="004B7229" w:rsidRPr="00BB67CD" w:rsidRDefault="00BB67CD">
      <w:pPr>
        <w:spacing w:line="360" w:lineRule="auto"/>
        <w:jc w:val="both"/>
        <w:rPr>
          <w:rFonts w:ascii="Palatino Linotype" w:eastAsia="Palatino Linotype" w:hAnsi="Palatino Linotype" w:cs="Palatino Linotype"/>
          <w:sz w:val="22"/>
          <w:szCs w:val="22"/>
        </w:rPr>
      </w:pPr>
      <w:r w:rsidRPr="00BB67CD">
        <w:rPr>
          <w:rFonts w:ascii="Palatino Linotype" w:eastAsia="Palatino Linotype" w:hAnsi="Palatino Linotype" w:cs="Palatino Linotype"/>
          <w:sz w:val="22"/>
          <w:szCs w:val="22"/>
        </w:rPr>
        <w:t>El seis de febrero de dos mil veinticinco</w:t>
      </w:r>
      <w:r w:rsidR="00CE6C4C" w:rsidRPr="00BB67CD">
        <w:rPr>
          <w:rFonts w:ascii="Palatino Linotype" w:eastAsia="Palatino Linotype" w:hAnsi="Palatino Linotype" w:cs="Palatino Linotype"/>
          <w:sz w:val="22"/>
          <w:szCs w:val="22"/>
        </w:rPr>
        <w:t xml:space="preserve">, el Particular presentó una solicitud de acceso a la información pública, a través del Sistema de Acceso a la Información Mexiquense, en lo </w:t>
      </w:r>
      <w:r w:rsidR="003A5AF4" w:rsidRPr="00BB67CD">
        <w:rPr>
          <w:rFonts w:ascii="Palatino Linotype" w:eastAsia="Palatino Linotype" w:hAnsi="Palatino Linotype" w:cs="Palatino Linotype"/>
          <w:sz w:val="22"/>
          <w:szCs w:val="22"/>
        </w:rPr>
        <w:t>sucesivo el</w:t>
      </w:r>
      <w:r w:rsidR="00CE6C4C" w:rsidRPr="00BB67CD">
        <w:rPr>
          <w:rFonts w:ascii="Palatino Linotype" w:eastAsia="Palatino Linotype" w:hAnsi="Palatino Linotype" w:cs="Palatino Linotype"/>
          <w:sz w:val="22"/>
          <w:szCs w:val="22"/>
        </w:rPr>
        <w:t xml:space="preserve"> SAIMEX, ante el </w:t>
      </w:r>
      <w:r w:rsidRPr="003A5AF4">
        <w:rPr>
          <w:rFonts w:ascii="Palatino Linotype" w:eastAsia="Palatino Linotype" w:hAnsi="Palatino Linotype" w:cs="Palatino Linotype"/>
          <w:bCs/>
          <w:sz w:val="22"/>
          <w:szCs w:val="22"/>
        </w:rPr>
        <w:t>Tribunal de Justicia Administrativa del Estado de México</w:t>
      </w:r>
      <w:r w:rsidR="00CE6C4C" w:rsidRPr="003A5AF4">
        <w:rPr>
          <w:rFonts w:ascii="Palatino Linotype" w:eastAsia="Palatino Linotype" w:hAnsi="Palatino Linotype" w:cs="Palatino Linotype"/>
          <w:bCs/>
          <w:sz w:val="22"/>
          <w:szCs w:val="22"/>
        </w:rPr>
        <w:t>,</w:t>
      </w:r>
      <w:r w:rsidR="00CE6C4C" w:rsidRPr="00BB67CD">
        <w:rPr>
          <w:rFonts w:ascii="Palatino Linotype" w:eastAsia="Palatino Linotype" w:hAnsi="Palatino Linotype" w:cs="Palatino Linotype"/>
          <w:b/>
          <w:sz w:val="22"/>
          <w:szCs w:val="22"/>
        </w:rPr>
        <w:t xml:space="preserve"> </w:t>
      </w:r>
      <w:r w:rsidR="00CE6C4C" w:rsidRPr="00BB67CD">
        <w:rPr>
          <w:rFonts w:ascii="Palatino Linotype" w:eastAsia="Palatino Linotype" w:hAnsi="Palatino Linotype" w:cs="Palatino Linotype"/>
          <w:sz w:val="22"/>
          <w:szCs w:val="22"/>
        </w:rPr>
        <w:t>mediante la cual requirió lo siguiente:</w:t>
      </w:r>
    </w:p>
    <w:p w14:paraId="61C70B3A" w14:textId="77777777" w:rsidR="004B7229" w:rsidRPr="00BB67CD" w:rsidRDefault="004B7229">
      <w:pPr>
        <w:tabs>
          <w:tab w:val="left" w:pos="4667"/>
        </w:tabs>
        <w:spacing w:line="360" w:lineRule="auto"/>
        <w:ind w:right="567"/>
        <w:jc w:val="both"/>
        <w:rPr>
          <w:rFonts w:ascii="Palatino Linotype" w:eastAsia="Palatino Linotype" w:hAnsi="Palatino Linotype" w:cs="Palatino Linotype"/>
          <w:b/>
          <w:i/>
          <w:color w:val="FF0000"/>
        </w:rPr>
      </w:pPr>
    </w:p>
    <w:p w14:paraId="2C069719" w14:textId="1E9946D9" w:rsidR="004B7229" w:rsidRPr="00BB67CD" w:rsidRDefault="003A5AF4">
      <w:pPr>
        <w:tabs>
          <w:tab w:val="left" w:pos="4667"/>
        </w:tabs>
        <w:spacing w:line="360" w:lineRule="auto"/>
        <w:ind w:left="567" w:right="567"/>
        <w:jc w:val="both"/>
        <w:rPr>
          <w:rFonts w:ascii="Palatino Linotype" w:eastAsia="Palatino Linotype" w:hAnsi="Palatino Linotype" w:cs="Palatino Linotype"/>
          <w:b/>
          <w:i/>
        </w:rPr>
      </w:pPr>
      <w:bookmarkStart w:id="5" w:name="_heading=h.ghkqop8dtjfi" w:colFirst="0" w:colLast="0"/>
      <w:bookmarkEnd w:id="5"/>
      <w:r>
        <w:rPr>
          <w:rFonts w:ascii="Palatino Linotype" w:eastAsia="Palatino Linotype" w:hAnsi="Palatino Linotype" w:cs="Palatino Linotype"/>
          <w:b/>
          <w:i/>
        </w:rPr>
        <w:t>“</w:t>
      </w:r>
      <w:r w:rsidR="00CE6C4C" w:rsidRPr="00BB67CD">
        <w:rPr>
          <w:rFonts w:ascii="Palatino Linotype" w:eastAsia="Palatino Linotype" w:hAnsi="Palatino Linotype" w:cs="Palatino Linotype"/>
          <w:b/>
          <w:i/>
        </w:rPr>
        <w:t>DESCRIPCIÓN CLARA Y PRECISA DE LA INFORMACIÓN SOLICITADA</w:t>
      </w:r>
    </w:p>
    <w:p w14:paraId="13DF6A8F" w14:textId="793FBDAF" w:rsidR="004B7229" w:rsidRPr="00BB67CD" w:rsidRDefault="00BB67CD" w:rsidP="00BB67CD">
      <w:pPr>
        <w:tabs>
          <w:tab w:val="left" w:pos="4667"/>
        </w:tabs>
        <w:spacing w:line="360" w:lineRule="auto"/>
        <w:ind w:left="567" w:right="567"/>
        <w:jc w:val="both"/>
        <w:rPr>
          <w:rFonts w:ascii="Palatino Linotype" w:eastAsia="Palatino Linotype" w:hAnsi="Palatino Linotype" w:cs="Palatino Linotype"/>
          <w:i/>
        </w:rPr>
      </w:pPr>
      <w:r w:rsidRPr="00BB67CD">
        <w:rPr>
          <w:rFonts w:ascii="Palatino Linotype" w:eastAsia="Palatino Linotype" w:hAnsi="Palatino Linotype" w:cs="Palatino Linotype"/>
          <w:i/>
        </w:rPr>
        <w:t xml:space="preserve">Solicito el expediente completo en versión pública que llevó a la sentencia del Toca 224/2024 de fecha 14 de mayo de 2024 Agradezco de antemano sus atenciones” </w:t>
      </w:r>
      <w:r w:rsidR="00CE6C4C" w:rsidRPr="00BB67CD">
        <w:rPr>
          <w:rFonts w:ascii="Palatino Linotype" w:eastAsia="Palatino Linotype" w:hAnsi="Palatino Linotype" w:cs="Palatino Linotype"/>
          <w:i/>
        </w:rPr>
        <w:t>(Sic).</w:t>
      </w:r>
    </w:p>
    <w:p w14:paraId="7D07A692" w14:textId="77777777" w:rsidR="004B7229" w:rsidRDefault="004B7229">
      <w:pPr>
        <w:tabs>
          <w:tab w:val="left" w:pos="4667"/>
        </w:tabs>
        <w:spacing w:line="360" w:lineRule="auto"/>
        <w:ind w:left="567" w:right="567"/>
        <w:jc w:val="both"/>
        <w:rPr>
          <w:rFonts w:ascii="Palatino Linotype" w:eastAsia="Palatino Linotype" w:hAnsi="Palatino Linotype" w:cs="Palatino Linotype"/>
          <w:b/>
          <w:i/>
        </w:rPr>
      </w:pPr>
    </w:p>
    <w:p w14:paraId="216DF930" w14:textId="77777777" w:rsidR="003A5AF4" w:rsidRPr="00BB67CD" w:rsidRDefault="003A5AF4">
      <w:pPr>
        <w:tabs>
          <w:tab w:val="left" w:pos="4667"/>
        </w:tabs>
        <w:spacing w:line="360" w:lineRule="auto"/>
        <w:ind w:left="567" w:right="567"/>
        <w:jc w:val="both"/>
        <w:rPr>
          <w:rFonts w:ascii="Palatino Linotype" w:eastAsia="Palatino Linotype" w:hAnsi="Palatino Linotype" w:cs="Palatino Linotype"/>
          <w:b/>
          <w:i/>
        </w:rPr>
      </w:pPr>
    </w:p>
    <w:p w14:paraId="4AE28FB6" w14:textId="4F8C1321" w:rsidR="003A5AF4" w:rsidRDefault="003A5AF4">
      <w:pPr>
        <w:tabs>
          <w:tab w:val="left" w:pos="4667"/>
        </w:tabs>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lastRenderedPageBreak/>
        <w:t>“</w:t>
      </w:r>
      <w:r w:rsidRPr="003A5AF4">
        <w:rPr>
          <w:rFonts w:ascii="Palatino Linotype" w:eastAsia="Palatino Linotype" w:hAnsi="Palatino Linotype" w:cs="Palatino Linotype"/>
          <w:b/>
          <w:i/>
        </w:rPr>
        <w:t>MODALIDAD DE ENTREGA</w:t>
      </w:r>
    </w:p>
    <w:p w14:paraId="298E18D7" w14:textId="1470652E" w:rsidR="004B7229" w:rsidRPr="00BB67CD" w:rsidRDefault="00CE6C4C" w:rsidP="003A5AF4">
      <w:pPr>
        <w:tabs>
          <w:tab w:val="left" w:pos="4667"/>
        </w:tabs>
        <w:spacing w:line="360" w:lineRule="auto"/>
        <w:ind w:left="567" w:right="567"/>
        <w:jc w:val="both"/>
        <w:rPr>
          <w:rFonts w:ascii="Palatino Linotype" w:eastAsia="Palatino Linotype" w:hAnsi="Palatino Linotype" w:cs="Palatino Linotype"/>
          <w:i/>
        </w:rPr>
      </w:pPr>
      <w:r w:rsidRPr="00BB67CD">
        <w:rPr>
          <w:rFonts w:ascii="Palatino Linotype" w:eastAsia="Palatino Linotype" w:hAnsi="Palatino Linotype" w:cs="Palatino Linotype"/>
          <w:i/>
        </w:rPr>
        <w:t>A través del SAIMEX</w:t>
      </w:r>
      <w:r w:rsidR="003A5AF4">
        <w:rPr>
          <w:rFonts w:ascii="Palatino Linotype" w:eastAsia="Palatino Linotype" w:hAnsi="Palatino Linotype" w:cs="Palatino Linotype"/>
          <w:i/>
        </w:rPr>
        <w:t>”</w:t>
      </w:r>
    </w:p>
    <w:p w14:paraId="4B5BB5DD" w14:textId="77777777" w:rsidR="006A170E" w:rsidRPr="00BB67CD" w:rsidRDefault="006A170E">
      <w:pPr>
        <w:tabs>
          <w:tab w:val="left" w:pos="4667"/>
        </w:tabs>
        <w:spacing w:line="360" w:lineRule="auto"/>
        <w:ind w:left="567" w:right="567"/>
        <w:jc w:val="both"/>
        <w:rPr>
          <w:rFonts w:ascii="Palatino Linotype" w:eastAsia="Palatino Linotype" w:hAnsi="Palatino Linotype" w:cs="Palatino Linotype"/>
          <w:i/>
          <w:color w:val="FF0000"/>
        </w:rPr>
      </w:pPr>
    </w:p>
    <w:p w14:paraId="185CBD3F" w14:textId="77777777" w:rsidR="004B7229" w:rsidRDefault="00CE6C4C">
      <w:pPr>
        <w:pStyle w:val="Ttulo2"/>
        <w:spacing w:before="0" w:after="0" w:line="360" w:lineRule="auto"/>
        <w:rPr>
          <w:rFonts w:ascii="Palatino Linotype" w:eastAsia="Palatino Linotype" w:hAnsi="Palatino Linotype" w:cs="Palatino Linotype"/>
          <w:b/>
          <w:color w:val="auto"/>
          <w:sz w:val="22"/>
          <w:szCs w:val="22"/>
        </w:rPr>
      </w:pPr>
      <w:bookmarkStart w:id="6" w:name="_heading=h.hhs1wzu1etc8" w:colFirst="0" w:colLast="0"/>
      <w:bookmarkStart w:id="7" w:name="_Toc196927059"/>
      <w:bookmarkEnd w:id="6"/>
      <w:r w:rsidRPr="00BB67CD">
        <w:rPr>
          <w:rFonts w:ascii="Palatino Linotype" w:eastAsia="Palatino Linotype" w:hAnsi="Palatino Linotype" w:cs="Palatino Linotype"/>
          <w:b/>
          <w:color w:val="auto"/>
          <w:sz w:val="22"/>
          <w:szCs w:val="22"/>
        </w:rPr>
        <w:t xml:space="preserve">II. </w:t>
      </w:r>
      <w:r w:rsidR="00BB67CD">
        <w:rPr>
          <w:rFonts w:ascii="Palatino Linotype" w:eastAsia="Palatino Linotype" w:hAnsi="Palatino Linotype" w:cs="Palatino Linotype"/>
          <w:b/>
          <w:color w:val="auto"/>
          <w:sz w:val="22"/>
          <w:szCs w:val="22"/>
        </w:rPr>
        <w:t>Solicitud de Aclaración</w:t>
      </w:r>
      <w:bookmarkEnd w:id="7"/>
    </w:p>
    <w:p w14:paraId="38D4EB2F" w14:textId="77777777" w:rsidR="00BB67CD" w:rsidRDefault="00BB67CD" w:rsidP="00BB67CD">
      <w:pPr>
        <w:rPr>
          <w:rFonts w:eastAsia="Palatino Linotype"/>
        </w:rPr>
      </w:pPr>
    </w:p>
    <w:p w14:paraId="5B4F46FC" w14:textId="77777777" w:rsidR="00BB67CD" w:rsidRDefault="00A0124F" w:rsidP="00A0124F">
      <w:pPr>
        <w:spacing w:line="360" w:lineRule="auto"/>
        <w:jc w:val="both"/>
        <w:rPr>
          <w:rFonts w:ascii="Palatino Linotype" w:eastAsia="Palatino Linotype" w:hAnsi="Palatino Linotype" w:cs="Palatino Linotype"/>
          <w:sz w:val="22"/>
          <w:szCs w:val="22"/>
        </w:rPr>
      </w:pPr>
      <w:r w:rsidRPr="00A0124F">
        <w:rPr>
          <w:rFonts w:ascii="Palatino Linotype" w:eastAsia="Palatino Linotype" w:hAnsi="Palatino Linotype" w:cs="Palatino Linotype"/>
          <w:sz w:val="22"/>
          <w:szCs w:val="22"/>
        </w:rPr>
        <w:t xml:space="preserve">El doce de febrero de dos mil veinticinco, </w:t>
      </w:r>
      <w:r>
        <w:rPr>
          <w:rFonts w:ascii="Palatino Linotype" w:eastAsia="Palatino Linotype" w:hAnsi="Palatino Linotype" w:cs="Palatino Linotype"/>
          <w:sz w:val="22"/>
          <w:szCs w:val="22"/>
        </w:rPr>
        <w:t xml:space="preserve">el Sujeto Obligado </w:t>
      </w:r>
      <w:r w:rsidR="00225E99" w:rsidRPr="00225E99">
        <w:rPr>
          <w:rFonts w:ascii="Palatino Linotype" w:eastAsia="Palatino Linotype" w:hAnsi="Palatino Linotype" w:cs="Palatino Linotype"/>
          <w:sz w:val="22"/>
          <w:szCs w:val="22"/>
        </w:rPr>
        <w:t>la Unidad de Transparencia del Sujeto Obligado, notificó al Particular, mediante el Sistema de Acceso a la Información Mexiquense (SAIMEX),</w:t>
      </w:r>
      <w:r w:rsidR="00225E99">
        <w:rPr>
          <w:rFonts w:ascii="Palatino Linotype" w:eastAsia="Palatino Linotype" w:hAnsi="Palatino Linotype" w:cs="Palatino Linotype"/>
          <w:sz w:val="22"/>
          <w:szCs w:val="22"/>
        </w:rPr>
        <w:t xml:space="preserve"> </w:t>
      </w:r>
      <w:r>
        <w:rPr>
          <w:rFonts w:ascii="Palatino Linotype" w:eastAsia="Palatino Linotype" w:hAnsi="Palatino Linotype" w:cs="Palatino Linotype"/>
          <w:sz w:val="22"/>
          <w:szCs w:val="22"/>
        </w:rPr>
        <w:t xml:space="preserve">la solicitud de aclaración al requerimiento informativo presentado por el Particular, a través del Acuerdo de Aclaración, </w:t>
      </w:r>
      <w:r w:rsidR="00225E99">
        <w:rPr>
          <w:rFonts w:ascii="Palatino Linotype" w:eastAsia="Palatino Linotype" w:hAnsi="Palatino Linotype" w:cs="Palatino Linotype"/>
          <w:sz w:val="22"/>
          <w:szCs w:val="22"/>
        </w:rPr>
        <w:t>Corrección o Ampliación de Datos, suscrito por la Jefa de la Unidad de Información, Planeación, Programación y Evaluación, a través del cual manifestó lo siguiente:</w:t>
      </w:r>
    </w:p>
    <w:p w14:paraId="0B631461" w14:textId="77777777" w:rsidR="004B7229" w:rsidRPr="00BB67CD" w:rsidRDefault="004B7229">
      <w:pPr>
        <w:spacing w:line="360" w:lineRule="auto"/>
        <w:jc w:val="both"/>
        <w:rPr>
          <w:rFonts w:ascii="Palatino Linotype" w:eastAsia="Palatino Linotype" w:hAnsi="Palatino Linotype" w:cs="Palatino Linotype"/>
          <w:color w:val="FF0000"/>
          <w:sz w:val="22"/>
          <w:szCs w:val="22"/>
        </w:rPr>
      </w:pPr>
    </w:p>
    <w:p w14:paraId="7311971D" w14:textId="77777777" w:rsidR="00FF49EC" w:rsidRDefault="00CE6C4C">
      <w:pPr>
        <w:spacing w:line="360" w:lineRule="auto"/>
        <w:ind w:left="567" w:right="567"/>
        <w:jc w:val="both"/>
        <w:rPr>
          <w:rFonts w:ascii="Palatino Linotype" w:eastAsia="Palatino Linotype" w:hAnsi="Palatino Linotype" w:cs="Palatino Linotype"/>
          <w:i/>
        </w:rPr>
      </w:pPr>
      <w:r w:rsidRPr="00FF49EC">
        <w:rPr>
          <w:rFonts w:ascii="Palatino Linotype" w:eastAsia="Palatino Linotype" w:hAnsi="Palatino Linotype" w:cs="Palatino Linotype"/>
          <w:i/>
        </w:rPr>
        <w:t>“…</w:t>
      </w:r>
      <w:r w:rsidR="00FF49EC">
        <w:rPr>
          <w:rFonts w:ascii="Palatino Linotype" w:eastAsia="Palatino Linotype" w:hAnsi="Palatino Linotype" w:cs="Palatino Linotype"/>
          <w:i/>
        </w:rPr>
        <w:t>II. Una vez realizado el análisis de la solicitud de referencia, con fundamento en lo dispuesto en el artículo 159 de la ley de transparencia y Acceso a la Información Pública del Estado de México y Municipios se solicita que la persona solicitante aclare la información requerida de conformidad con lo siguiente:</w:t>
      </w:r>
    </w:p>
    <w:p w14:paraId="35A93032" w14:textId="13CB994F" w:rsidR="003A5AF4" w:rsidRDefault="003A5AF4">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w:t>
      </w:r>
    </w:p>
    <w:p w14:paraId="50C5E74D" w14:textId="77777777" w:rsidR="008D7414" w:rsidRDefault="00160CB6" w:rsidP="00160CB6">
      <w:pPr>
        <w:spacing w:line="360" w:lineRule="auto"/>
        <w:ind w:left="567" w:right="567"/>
        <w:jc w:val="center"/>
        <w:rPr>
          <w:rFonts w:ascii="Palatino Linotype" w:eastAsia="Palatino Linotype" w:hAnsi="Palatino Linotype" w:cs="Palatino Linotype"/>
          <w:b/>
          <w:i/>
        </w:rPr>
      </w:pPr>
      <w:r>
        <w:rPr>
          <w:rFonts w:ascii="Palatino Linotype" w:eastAsia="Palatino Linotype" w:hAnsi="Palatino Linotype" w:cs="Palatino Linotype"/>
          <w:b/>
          <w:i/>
        </w:rPr>
        <w:t>CONSIDERANDO</w:t>
      </w:r>
    </w:p>
    <w:p w14:paraId="1C632F54" w14:textId="0D27CE46" w:rsidR="003A5AF4" w:rsidRDefault="003A5AF4" w:rsidP="003A5AF4">
      <w:pPr>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w:t>
      </w:r>
    </w:p>
    <w:p w14:paraId="534762D1" w14:textId="3E5E47E8" w:rsidR="00160CB6" w:rsidRDefault="00160CB6" w:rsidP="003A5AF4">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 xml:space="preserve">ÚNICO. </w:t>
      </w:r>
      <w:r>
        <w:rPr>
          <w:rFonts w:ascii="Palatino Linotype" w:eastAsia="Palatino Linotype" w:hAnsi="Palatino Linotype" w:cs="Palatino Linotype"/>
          <w:i/>
        </w:rPr>
        <w:t xml:space="preserve">En este sentido, esta Unidad da cuenta, que la petición realizada, no es clara, por lo que solicito se </w:t>
      </w:r>
      <w:r w:rsidRPr="00160CB6">
        <w:rPr>
          <w:rFonts w:ascii="Palatino Linotype" w:eastAsia="Palatino Linotype" w:hAnsi="Palatino Linotype" w:cs="Palatino Linotype"/>
          <w:b/>
          <w:i/>
        </w:rPr>
        <w:t>aclare</w:t>
      </w:r>
      <w:r>
        <w:rPr>
          <w:rFonts w:ascii="Palatino Linotype" w:eastAsia="Palatino Linotype" w:hAnsi="Palatino Linotype" w:cs="Palatino Linotype"/>
          <w:b/>
          <w:i/>
        </w:rPr>
        <w:t xml:space="preserve"> y precise </w:t>
      </w:r>
      <w:r>
        <w:rPr>
          <w:rFonts w:ascii="Palatino Linotype" w:eastAsia="Palatino Linotype" w:hAnsi="Palatino Linotype" w:cs="Palatino Linotype"/>
          <w:i/>
        </w:rPr>
        <w:t>la solicitud de información que nos ocupa, en términos del punto número II del presente Acuerdo. Lo anterior para estar en posibilidad de atender de manera adecuada la solicitud de información.</w:t>
      </w:r>
    </w:p>
    <w:p w14:paraId="74A6D0B4" w14:textId="77777777" w:rsidR="00160CB6" w:rsidRPr="00160CB6" w:rsidRDefault="00160CB6" w:rsidP="00160CB6">
      <w:pPr>
        <w:spacing w:line="360" w:lineRule="auto"/>
        <w:ind w:left="567" w:right="567"/>
        <w:rPr>
          <w:rFonts w:ascii="Palatino Linotype" w:eastAsia="Palatino Linotype" w:hAnsi="Palatino Linotype" w:cs="Palatino Linotype"/>
          <w:i/>
        </w:rPr>
      </w:pPr>
      <w:r>
        <w:rPr>
          <w:rFonts w:ascii="Palatino Linotype" w:eastAsia="Palatino Linotype" w:hAnsi="Palatino Linotype" w:cs="Palatino Linotype"/>
          <w:b/>
          <w:i/>
        </w:rPr>
        <w:t>…</w:t>
      </w:r>
      <w:r>
        <w:rPr>
          <w:rFonts w:ascii="Palatino Linotype" w:eastAsia="Palatino Linotype" w:hAnsi="Palatino Linotype" w:cs="Palatino Linotype"/>
          <w:i/>
        </w:rPr>
        <w:t>” (Sic)</w:t>
      </w:r>
    </w:p>
    <w:p w14:paraId="3EA16EFE" w14:textId="77777777" w:rsidR="004B7229" w:rsidRPr="00BB67CD" w:rsidRDefault="004B7229">
      <w:pPr>
        <w:spacing w:line="360" w:lineRule="auto"/>
        <w:ind w:left="567" w:right="567"/>
        <w:jc w:val="both"/>
        <w:rPr>
          <w:rFonts w:ascii="Palatino Linotype" w:eastAsia="Palatino Linotype" w:hAnsi="Palatino Linotype" w:cs="Palatino Linotype"/>
          <w:i/>
          <w:color w:val="FF0000"/>
        </w:rPr>
      </w:pPr>
    </w:p>
    <w:p w14:paraId="522BEBCD" w14:textId="77777777" w:rsidR="004B7229" w:rsidRPr="00160CB6" w:rsidRDefault="00CE6C4C">
      <w:pPr>
        <w:pStyle w:val="Ttulo2"/>
        <w:spacing w:before="0" w:after="0" w:line="360" w:lineRule="auto"/>
        <w:rPr>
          <w:rFonts w:ascii="Palatino Linotype" w:eastAsia="Palatino Linotype" w:hAnsi="Palatino Linotype" w:cs="Palatino Linotype"/>
          <w:b/>
          <w:color w:val="auto"/>
          <w:sz w:val="22"/>
          <w:szCs w:val="22"/>
        </w:rPr>
      </w:pPr>
      <w:bookmarkStart w:id="8" w:name="_heading=h.4penfsloptdt" w:colFirst="0" w:colLast="0"/>
      <w:bookmarkStart w:id="9" w:name="_Toc196927060"/>
      <w:bookmarkEnd w:id="8"/>
      <w:r w:rsidRPr="00160CB6">
        <w:rPr>
          <w:rFonts w:ascii="Palatino Linotype" w:eastAsia="Palatino Linotype" w:hAnsi="Palatino Linotype" w:cs="Palatino Linotype"/>
          <w:b/>
          <w:color w:val="auto"/>
          <w:sz w:val="22"/>
          <w:szCs w:val="22"/>
        </w:rPr>
        <w:t xml:space="preserve">III. </w:t>
      </w:r>
      <w:r w:rsidR="00160CB6" w:rsidRPr="00160CB6">
        <w:rPr>
          <w:rFonts w:ascii="Palatino Linotype" w:eastAsia="Palatino Linotype" w:hAnsi="Palatino Linotype" w:cs="Palatino Linotype"/>
          <w:b/>
          <w:color w:val="auto"/>
          <w:sz w:val="22"/>
          <w:szCs w:val="22"/>
        </w:rPr>
        <w:t xml:space="preserve"> Falta de presentación de aclaración</w:t>
      </w:r>
      <w:bookmarkEnd w:id="9"/>
    </w:p>
    <w:p w14:paraId="7A01F607" w14:textId="77777777" w:rsidR="00160CB6" w:rsidRPr="00160CB6" w:rsidRDefault="00160CB6" w:rsidP="00160CB6">
      <w:pPr>
        <w:rPr>
          <w:rFonts w:eastAsia="Palatino Linotype"/>
        </w:rPr>
      </w:pPr>
    </w:p>
    <w:p w14:paraId="4E8723DF" w14:textId="77777777" w:rsidR="00160CB6" w:rsidRPr="008B1C0A" w:rsidRDefault="008B1C0A" w:rsidP="008B1C0A">
      <w:pPr>
        <w:spacing w:line="360" w:lineRule="auto"/>
        <w:jc w:val="both"/>
        <w:rPr>
          <w:rFonts w:ascii="Palatino Linotype" w:eastAsia="Palatino Linotype" w:hAnsi="Palatino Linotype" w:cs="Palatino Linotype"/>
          <w:sz w:val="22"/>
          <w:szCs w:val="22"/>
        </w:rPr>
      </w:pPr>
      <w:r w:rsidRPr="008B1C0A">
        <w:rPr>
          <w:rFonts w:ascii="Palatino Linotype" w:eastAsia="Palatino Linotype" w:hAnsi="Palatino Linotype" w:cs="Palatino Linotype"/>
          <w:sz w:val="22"/>
          <w:szCs w:val="22"/>
        </w:rPr>
        <w:lastRenderedPageBreak/>
        <w:t>El veintisiete de febrero de dos mil veinticinco, el Sujeto Obligado la Unidad de Transparencia del Sujeto Obligado, notificó al Particular, mediante el Sistema de Acceso a la Información Mexiquense (SAIMEX),</w:t>
      </w:r>
      <w:r>
        <w:rPr>
          <w:rFonts w:ascii="Palatino Linotype" w:eastAsia="Palatino Linotype" w:hAnsi="Palatino Linotype" w:cs="Palatino Linotype"/>
          <w:sz w:val="22"/>
          <w:szCs w:val="22"/>
        </w:rPr>
        <w:t xml:space="preserve"> el acuerdo 00074/TRIJAEM/IP/2025 de dicha fecha, suscrito por la Jefa de la Unidad de Información, Planeación, Programación y Evaluación, por medio del cual se menciona lo siguiente:</w:t>
      </w:r>
    </w:p>
    <w:p w14:paraId="31780ECF" w14:textId="77777777" w:rsidR="00160CB6" w:rsidRDefault="00160CB6" w:rsidP="00160CB6">
      <w:pPr>
        <w:rPr>
          <w:rFonts w:eastAsia="Palatino Linotype"/>
        </w:rPr>
      </w:pPr>
    </w:p>
    <w:p w14:paraId="1960BA29" w14:textId="77777777" w:rsidR="00160CB6" w:rsidRDefault="00160CB6" w:rsidP="00160CB6">
      <w:pPr>
        <w:rPr>
          <w:rFonts w:eastAsia="Palatino Linotype"/>
        </w:rPr>
      </w:pPr>
    </w:p>
    <w:p w14:paraId="2ED27A08" w14:textId="77777777" w:rsidR="00C712AA" w:rsidRPr="00C712AA" w:rsidRDefault="00C712AA" w:rsidP="00C712AA">
      <w:pPr>
        <w:spacing w:line="360" w:lineRule="auto"/>
        <w:ind w:left="567" w:right="567"/>
        <w:jc w:val="both"/>
        <w:rPr>
          <w:rFonts w:ascii="Palatino Linotype" w:eastAsia="Palatino Linotype" w:hAnsi="Palatino Linotype" w:cs="Palatino Linotype"/>
          <w:i/>
        </w:rPr>
      </w:pPr>
      <w:r w:rsidRPr="00C712AA">
        <w:rPr>
          <w:rFonts w:ascii="Palatino Linotype" w:eastAsia="Palatino Linotype" w:hAnsi="Palatino Linotype" w:cs="Palatino Linotype"/>
          <w:i/>
        </w:rPr>
        <w:t xml:space="preserve">“… </w:t>
      </w:r>
      <w:r w:rsidRPr="00C712AA">
        <w:rPr>
          <w:rFonts w:ascii="Palatino Linotype" w:eastAsia="Palatino Linotype" w:hAnsi="Palatino Linotype" w:cs="Palatino Linotype"/>
          <w:b/>
          <w:i/>
        </w:rPr>
        <w:t>I. Presentación de la Solicitud.</w:t>
      </w:r>
      <w:r w:rsidRPr="00C712AA">
        <w:rPr>
          <w:rFonts w:ascii="Palatino Linotype" w:eastAsia="Palatino Linotype" w:hAnsi="Palatino Linotype" w:cs="Palatino Linotype"/>
          <w:i/>
        </w:rPr>
        <w:t xml:space="preserve"> Vista la solicitud de Acceso a la Información Pública número </w:t>
      </w:r>
      <w:r w:rsidRPr="00C712AA">
        <w:rPr>
          <w:rFonts w:ascii="Palatino Linotype" w:eastAsia="Palatino Linotype" w:hAnsi="Palatino Linotype" w:cs="Palatino Linotype"/>
          <w:b/>
          <w:i/>
        </w:rPr>
        <w:t>00074/TRIJAEM/IP/2025,</w:t>
      </w:r>
      <w:r w:rsidRPr="00C712AA">
        <w:rPr>
          <w:rFonts w:ascii="Palatino Linotype" w:eastAsia="Palatino Linotype" w:hAnsi="Palatino Linotype" w:cs="Palatino Linotype"/>
          <w:i/>
        </w:rPr>
        <w:t xml:space="preserve"> promovida el seis de febrero de dos mil veinticuatro, presentada a través del Sistema de Acceso a la información Mexiquense SAIMEX, en la cual solicita:</w:t>
      </w:r>
    </w:p>
    <w:p w14:paraId="5BA05527" w14:textId="77777777" w:rsidR="00C712AA" w:rsidRPr="00C712AA" w:rsidRDefault="00C712AA" w:rsidP="00C712AA">
      <w:pPr>
        <w:spacing w:line="360" w:lineRule="auto"/>
        <w:ind w:left="567" w:right="567"/>
        <w:jc w:val="both"/>
        <w:rPr>
          <w:rFonts w:ascii="Palatino Linotype" w:eastAsia="Palatino Linotype" w:hAnsi="Palatino Linotype" w:cs="Palatino Linotype"/>
          <w:i/>
        </w:rPr>
      </w:pPr>
    </w:p>
    <w:p w14:paraId="30EFA79D" w14:textId="77777777" w:rsidR="00C712AA" w:rsidRPr="00C712AA" w:rsidRDefault="00C712AA" w:rsidP="00C712AA">
      <w:pPr>
        <w:spacing w:line="360" w:lineRule="auto"/>
        <w:ind w:left="567" w:right="567"/>
        <w:jc w:val="both"/>
        <w:rPr>
          <w:rFonts w:ascii="Palatino Linotype" w:eastAsia="Palatino Linotype" w:hAnsi="Palatino Linotype" w:cs="Palatino Linotype"/>
          <w:i/>
        </w:rPr>
      </w:pPr>
      <w:r w:rsidRPr="00C712AA">
        <w:rPr>
          <w:rFonts w:ascii="Palatino Linotype" w:eastAsia="Palatino Linotype" w:hAnsi="Palatino Linotype" w:cs="Palatino Linotype"/>
          <w:i/>
        </w:rPr>
        <w:t xml:space="preserve"> “Solicito el expediente completo en versión pública que llevó a la sentencia del Toca 224/2024 de fecha 14 de mayo de 2024 Agradezco de antemano sus atenciones” (Sic.) </w:t>
      </w:r>
    </w:p>
    <w:p w14:paraId="74FE01D5" w14:textId="77777777" w:rsidR="00C712AA" w:rsidRPr="00C712AA" w:rsidRDefault="00C712AA" w:rsidP="00C712AA">
      <w:pPr>
        <w:spacing w:line="360" w:lineRule="auto"/>
        <w:ind w:left="567" w:right="567"/>
        <w:jc w:val="both"/>
        <w:rPr>
          <w:rFonts w:ascii="Palatino Linotype" w:eastAsia="Palatino Linotype" w:hAnsi="Palatino Linotype" w:cs="Palatino Linotype"/>
          <w:i/>
        </w:rPr>
      </w:pPr>
    </w:p>
    <w:p w14:paraId="4F993360" w14:textId="77777777" w:rsidR="00C712AA" w:rsidRPr="00C712AA" w:rsidRDefault="00C712AA" w:rsidP="00C712AA">
      <w:pPr>
        <w:spacing w:line="360" w:lineRule="auto"/>
        <w:ind w:left="567" w:right="567"/>
        <w:jc w:val="both"/>
        <w:rPr>
          <w:rFonts w:ascii="Palatino Linotype" w:eastAsia="Palatino Linotype" w:hAnsi="Palatino Linotype" w:cs="Palatino Linotype"/>
          <w:i/>
        </w:rPr>
      </w:pPr>
      <w:r w:rsidRPr="00C712AA">
        <w:rPr>
          <w:rFonts w:ascii="Palatino Linotype" w:eastAsia="Palatino Linotype" w:hAnsi="Palatino Linotype" w:cs="Palatino Linotype"/>
          <w:b/>
          <w:i/>
        </w:rPr>
        <w:t>2.</w:t>
      </w:r>
      <w:r w:rsidRPr="00C712AA">
        <w:rPr>
          <w:rFonts w:ascii="Palatino Linotype" w:eastAsia="Palatino Linotype" w:hAnsi="Palatino Linotype" w:cs="Palatino Linotype"/>
          <w:i/>
        </w:rPr>
        <w:t xml:space="preserve"> En fecha doce de febrero del dos mil veinticinco, a efecto de contar con todos los elementos para dar atención a la solicitud de información, se solicitó al particular otorgara más elementos o especificara respecto del cuestionamiento vertido, a efecto de evitar interpretaciones equívocas y proporcionar la respuesta acorde a la normativa en materia; ya que el artículo 24, último párrafo de la Ley de Transparencia y Acceso a la Información Pública del Estado de México y Municipios, establece lo siguiente: </w:t>
      </w:r>
    </w:p>
    <w:p w14:paraId="49FE6DEB" w14:textId="3980877F" w:rsidR="00C712AA" w:rsidRPr="00C712AA" w:rsidRDefault="003A5AF4" w:rsidP="00C712AA">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w:t>
      </w:r>
    </w:p>
    <w:p w14:paraId="40CB9C6C" w14:textId="77777777" w:rsidR="00160CB6" w:rsidRPr="00C712AA" w:rsidRDefault="00C712AA" w:rsidP="00C712AA">
      <w:pPr>
        <w:spacing w:line="360" w:lineRule="auto"/>
        <w:ind w:left="567" w:right="567"/>
        <w:jc w:val="both"/>
        <w:rPr>
          <w:rFonts w:ascii="Palatino Linotype" w:eastAsia="Palatino Linotype" w:hAnsi="Palatino Linotype" w:cs="Palatino Linotype"/>
          <w:i/>
        </w:rPr>
      </w:pPr>
      <w:r w:rsidRPr="00C712AA">
        <w:rPr>
          <w:rFonts w:ascii="Palatino Linotype" w:eastAsia="Palatino Linotype" w:hAnsi="Palatino Linotype" w:cs="Palatino Linotype"/>
          <w:b/>
          <w:i/>
        </w:rPr>
        <w:t>SEGUNDO. Estudio.</w:t>
      </w:r>
      <w:r w:rsidRPr="00C712AA">
        <w:rPr>
          <w:rFonts w:ascii="Palatino Linotype" w:eastAsia="Palatino Linotype" w:hAnsi="Palatino Linotype" w:cs="Palatino Linotype"/>
          <w:i/>
        </w:rPr>
        <w:t xml:space="preserve"> El derecho al acceso a la información se encuentra reconocido por la Constitución Política de los Estados Unidos Mexicanos, la Constitución Política del Estado Libre y Soberano de México, la Declaración Universal de los Derechos Humanos; la Ley General de Transparencia y Acceso a la Información Pública, así como la Ley de Transparencia y Acceso a la Información Pública del Estado de México y Municipios, como una fuente de desarrollo y fortalecimiento de la democracia representativa y participativa que permite a las personas analizar, </w:t>
      </w:r>
      <w:r w:rsidRPr="00C712AA">
        <w:rPr>
          <w:rFonts w:ascii="Palatino Linotype" w:eastAsia="Palatino Linotype" w:hAnsi="Palatino Linotype" w:cs="Palatino Linotype"/>
          <w:i/>
        </w:rPr>
        <w:lastRenderedPageBreak/>
        <w:t>juzgar y evaluar a sus representantes y servidores públicos y estimulan la transparencia en el ejercicio de las funciones, como uno de sus principios rectores.</w:t>
      </w:r>
    </w:p>
    <w:p w14:paraId="5C14F364" w14:textId="77777777" w:rsidR="004B7229" w:rsidRPr="00BB67CD" w:rsidRDefault="004B7229">
      <w:pPr>
        <w:spacing w:line="360" w:lineRule="auto"/>
        <w:ind w:right="-28"/>
        <w:jc w:val="both"/>
        <w:rPr>
          <w:rFonts w:ascii="Palatino Linotype" w:eastAsia="Palatino Linotype" w:hAnsi="Palatino Linotype" w:cs="Palatino Linotype"/>
          <w:color w:val="FF0000"/>
          <w:sz w:val="22"/>
          <w:szCs w:val="22"/>
        </w:rPr>
      </w:pPr>
    </w:p>
    <w:p w14:paraId="2ACA1959" w14:textId="77777777" w:rsidR="00C712AA" w:rsidRDefault="00C712AA" w:rsidP="00C712AA">
      <w:pPr>
        <w:spacing w:line="360" w:lineRule="auto"/>
        <w:ind w:left="567" w:right="567"/>
        <w:jc w:val="center"/>
        <w:rPr>
          <w:rFonts w:ascii="Palatino Linotype" w:eastAsia="Palatino Linotype" w:hAnsi="Palatino Linotype" w:cs="Palatino Linotype"/>
          <w:b/>
          <w:i/>
        </w:rPr>
      </w:pPr>
      <w:r w:rsidRPr="00C712AA">
        <w:rPr>
          <w:rFonts w:ascii="Palatino Linotype" w:eastAsia="Palatino Linotype" w:hAnsi="Palatino Linotype" w:cs="Palatino Linotype"/>
          <w:b/>
          <w:i/>
        </w:rPr>
        <w:t>RESUELVE</w:t>
      </w:r>
    </w:p>
    <w:p w14:paraId="73016D27" w14:textId="77777777" w:rsidR="003A5AF4" w:rsidRPr="00C712AA" w:rsidRDefault="003A5AF4" w:rsidP="00C712AA">
      <w:pPr>
        <w:spacing w:line="360" w:lineRule="auto"/>
        <w:ind w:left="567" w:right="567"/>
        <w:jc w:val="center"/>
        <w:rPr>
          <w:rFonts w:ascii="Palatino Linotype" w:eastAsia="Palatino Linotype" w:hAnsi="Palatino Linotype" w:cs="Palatino Linotype"/>
          <w:b/>
          <w:i/>
        </w:rPr>
      </w:pPr>
    </w:p>
    <w:p w14:paraId="263B32E4" w14:textId="77777777" w:rsidR="00C712AA" w:rsidRPr="00C712AA" w:rsidRDefault="00C712AA" w:rsidP="00C712AA">
      <w:pPr>
        <w:spacing w:line="360" w:lineRule="auto"/>
        <w:ind w:left="567" w:right="567"/>
        <w:jc w:val="both"/>
        <w:rPr>
          <w:rFonts w:ascii="Palatino Linotype" w:eastAsia="Palatino Linotype" w:hAnsi="Palatino Linotype" w:cs="Palatino Linotype"/>
          <w:i/>
        </w:rPr>
      </w:pPr>
      <w:r w:rsidRPr="00C712AA">
        <w:rPr>
          <w:rFonts w:ascii="Palatino Linotype" w:eastAsia="Palatino Linotype" w:hAnsi="Palatino Linotype" w:cs="Palatino Linotype"/>
          <w:i/>
        </w:rPr>
        <w:t xml:space="preserve"> </w:t>
      </w:r>
      <w:r w:rsidRPr="00C712AA">
        <w:rPr>
          <w:rFonts w:ascii="Palatino Linotype" w:eastAsia="Palatino Linotype" w:hAnsi="Palatino Linotype" w:cs="Palatino Linotype"/>
          <w:b/>
          <w:i/>
        </w:rPr>
        <w:t>PRIMERO.</w:t>
      </w:r>
      <w:r w:rsidRPr="00C712AA">
        <w:rPr>
          <w:rFonts w:ascii="Palatino Linotype" w:eastAsia="Palatino Linotype" w:hAnsi="Palatino Linotype" w:cs="Palatino Linotype"/>
          <w:i/>
        </w:rPr>
        <w:t xml:space="preserve"> Esta Unidad da cuenta, que la petición realizada, no fue presentada dentro de los diez días hábiles a los que tiene derecho el solicitante, los que transcurrieron a partir del </w:t>
      </w:r>
      <w:r w:rsidRPr="00C712AA">
        <w:rPr>
          <w:rFonts w:ascii="Palatino Linotype" w:eastAsia="Palatino Linotype" w:hAnsi="Palatino Linotype" w:cs="Palatino Linotype"/>
          <w:b/>
          <w:i/>
        </w:rPr>
        <w:t>trece de febrero de la presente anualidad siendo este el día uno, hasta el día veintiséis de febrero de la presente anualidad, siendo este el día diez</w:t>
      </w:r>
      <w:r w:rsidRPr="00C712AA">
        <w:rPr>
          <w:rFonts w:ascii="Palatino Linotype" w:eastAsia="Palatino Linotype" w:hAnsi="Palatino Linotype" w:cs="Palatino Linotype"/>
          <w:i/>
        </w:rPr>
        <w:t xml:space="preserve">, feneciendo el plazo para aportar mayores elementos, el cual se encuentra determinado en el artículo 159 de la Ley de Transparencia y Acceso a la Información Pública del Estado de México y Municipios. </w:t>
      </w:r>
    </w:p>
    <w:p w14:paraId="481C1A36" w14:textId="77777777" w:rsidR="00C712AA" w:rsidRPr="00C712AA" w:rsidRDefault="00C712AA" w:rsidP="00C712AA">
      <w:pPr>
        <w:spacing w:line="360" w:lineRule="auto"/>
        <w:ind w:left="567" w:right="567"/>
        <w:jc w:val="both"/>
        <w:rPr>
          <w:rFonts w:ascii="Palatino Linotype" w:eastAsia="Palatino Linotype" w:hAnsi="Palatino Linotype" w:cs="Palatino Linotype"/>
          <w:i/>
        </w:rPr>
      </w:pPr>
    </w:p>
    <w:p w14:paraId="79266B19" w14:textId="77777777" w:rsidR="00C712AA" w:rsidRPr="00C712AA" w:rsidRDefault="00C712AA" w:rsidP="00C712AA">
      <w:pPr>
        <w:spacing w:line="360" w:lineRule="auto"/>
        <w:ind w:left="567" w:right="567"/>
        <w:jc w:val="both"/>
        <w:rPr>
          <w:rFonts w:ascii="Palatino Linotype" w:eastAsia="Palatino Linotype" w:hAnsi="Palatino Linotype" w:cs="Palatino Linotype"/>
          <w:i/>
        </w:rPr>
      </w:pPr>
      <w:r w:rsidRPr="00C712AA">
        <w:rPr>
          <w:rFonts w:ascii="Palatino Linotype" w:eastAsia="Palatino Linotype" w:hAnsi="Palatino Linotype" w:cs="Palatino Linotype"/>
          <w:i/>
        </w:rPr>
        <w:t>Siendo el día veintisiete de febrero de la presente anualidad se remite el presente acuerdo, motivo por el cual se tenga por atendida la presente solicitud de acceso a la información</w:t>
      </w:r>
      <w:r>
        <w:rPr>
          <w:rFonts w:ascii="Palatino Linotype" w:eastAsia="Palatino Linotype" w:hAnsi="Palatino Linotype" w:cs="Palatino Linotype"/>
          <w:i/>
        </w:rPr>
        <w:t>…”</w:t>
      </w:r>
    </w:p>
    <w:p w14:paraId="51E783FC" w14:textId="77777777" w:rsidR="004838B3" w:rsidRDefault="004838B3">
      <w:pPr>
        <w:spacing w:line="360" w:lineRule="auto"/>
        <w:jc w:val="both"/>
        <w:rPr>
          <w:rFonts w:ascii="Palatino Linotype" w:eastAsia="Palatino Linotype" w:hAnsi="Palatino Linotype" w:cs="Palatino Linotype"/>
          <w:color w:val="FF0000"/>
          <w:sz w:val="22"/>
          <w:szCs w:val="22"/>
        </w:rPr>
      </w:pPr>
    </w:p>
    <w:p w14:paraId="39BF3596" w14:textId="77777777" w:rsidR="002066AA" w:rsidRDefault="004838B3">
      <w:pPr>
        <w:spacing w:line="360" w:lineRule="auto"/>
        <w:jc w:val="both"/>
        <w:rPr>
          <w:rFonts w:ascii="Palatino Linotype" w:eastAsia="Palatino Linotype" w:hAnsi="Palatino Linotype" w:cs="Palatino Linotype"/>
          <w:sz w:val="22"/>
          <w:szCs w:val="22"/>
        </w:rPr>
      </w:pPr>
      <w:r w:rsidRPr="004838B3">
        <w:rPr>
          <w:rFonts w:ascii="Palatino Linotype" w:eastAsia="Palatino Linotype" w:hAnsi="Palatino Linotype" w:cs="Palatino Linotype"/>
          <w:sz w:val="22"/>
          <w:szCs w:val="22"/>
        </w:rPr>
        <w:t>Así mismo manifestó lo siguiente:</w:t>
      </w:r>
    </w:p>
    <w:p w14:paraId="77778990" w14:textId="77777777" w:rsidR="008B1CE1" w:rsidRPr="004838B3" w:rsidRDefault="008B1CE1">
      <w:pPr>
        <w:spacing w:line="360" w:lineRule="auto"/>
        <w:jc w:val="both"/>
        <w:rPr>
          <w:rFonts w:ascii="Palatino Linotype" w:eastAsia="Palatino Linotype" w:hAnsi="Palatino Linotype" w:cs="Palatino Linotype"/>
          <w:sz w:val="22"/>
          <w:szCs w:val="22"/>
        </w:rPr>
      </w:pPr>
    </w:p>
    <w:p w14:paraId="3FE563DB" w14:textId="77777777" w:rsidR="004838B3" w:rsidRPr="004838B3" w:rsidRDefault="004838B3" w:rsidP="004838B3">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w:t>
      </w:r>
      <w:r w:rsidRPr="004838B3">
        <w:rPr>
          <w:rFonts w:ascii="Palatino Linotype" w:eastAsia="Palatino Linotype" w:hAnsi="Palatino Linotype" w:cs="Palatino Linotype"/>
          <w:i/>
        </w:rPr>
        <w:t>Quedando a salvo sus derechos para volverla a presentar. En virtud de lo anterior, se archiva la presente solicitud como concluida Se hace de su conocimiento que tiene derecho de interponer recurso de revisión dentro del plazo de 15 días hábiles contados a partir de la fecha en que se realice la notificación vía electrónica, a través del SAIMEX</w:t>
      </w:r>
      <w:r>
        <w:rPr>
          <w:rFonts w:ascii="Palatino Linotype" w:eastAsia="Palatino Linotype" w:hAnsi="Palatino Linotype" w:cs="Palatino Linotype"/>
          <w:i/>
        </w:rPr>
        <w:t>…” (Sic)</w:t>
      </w:r>
    </w:p>
    <w:p w14:paraId="5E349CDA" w14:textId="77777777" w:rsidR="002066AA" w:rsidRPr="002066AA" w:rsidRDefault="002066AA" w:rsidP="002066AA">
      <w:pPr>
        <w:pStyle w:val="Ttulo1"/>
        <w:rPr>
          <w:rFonts w:ascii="Palatino Linotype" w:eastAsia="Palatino Linotype" w:hAnsi="Palatino Linotype"/>
          <w:b/>
          <w:color w:val="auto"/>
          <w:sz w:val="22"/>
          <w:szCs w:val="22"/>
        </w:rPr>
      </w:pPr>
      <w:bookmarkStart w:id="10" w:name="_Toc196927061"/>
      <w:r w:rsidRPr="002066AA">
        <w:rPr>
          <w:rFonts w:ascii="Palatino Linotype" w:eastAsia="Palatino Linotype" w:hAnsi="Palatino Linotype"/>
          <w:b/>
          <w:color w:val="auto"/>
          <w:sz w:val="22"/>
          <w:szCs w:val="22"/>
        </w:rPr>
        <w:t>IV. Interposición del Recurso de Revisión</w:t>
      </w:r>
      <w:bookmarkEnd w:id="10"/>
    </w:p>
    <w:p w14:paraId="23723E4C" w14:textId="77777777" w:rsidR="002066AA" w:rsidRDefault="002066AA">
      <w:pPr>
        <w:spacing w:line="360" w:lineRule="auto"/>
        <w:jc w:val="both"/>
        <w:rPr>
          <w:rFonts w:ascii="Palatino Linotype" w:eastAsia="Palatino Linotype" w:hAnsi="Palatino Linotype" w:cs="Palatino Linotype"/>
          <w:color w:val="FF0000"/>
          <w:sz w:val="22"/>
          <w:szCs w:val="22"/>
        </w:rPr>
      </w:pPr>
    </w:p>
    <w:p w14:paraId="70CCC10C" w14:textId="6AAC2F0C" w:rsidR="004B7229" w:rsidRPr="0029409D" w:rsidRDefault="0029409D">
      <w:pPr>
        <w:spacing w:line="360" w:lineRule="auto"/>
        <w:jc w:val="both"/>
        <w:rPr>
          <w:rFonts w:ascii="Palatino Linotype" w:eastAsia="Palatino Linotype" w:hAnsi="Palatino Linotype" w:cs="Palatino Linotype"/>
          <w:sz w:val="22"/>
          <w:szCs w:val="22"/>
        </w:rPr>
      </w:pPr>
      <w:r w:rsidRPr="0029409D">
        <w:rPr>
          <w:rFonts w:ascii="Palatino Linotype" w:eastAsia="Palatino Linotype" w:hAnsi="Palatino Linotype" w:cs="Palatino Linotype"/>
          <w:sz w:val="22"/>
          <w:szCs w:val="22"/>
        </w:rPr>
        <w:lastRenderedPageBreak/>
        <w:t xml:space="preserve">El cinco de marzo de dos mil veinticinco, </w:t>
      </w:r>
      <w:r w:rsidR="00CE6C4C" w:rsidRPr="0029409D">
        <w:rPr>
          <w:rFonts w:ascii="Palatino Linotype" w:eastAsia="Palatino Linotype" w:hAnsi="Palatino Linotype" w:cs="Palatino Linotype"/>
          <w:sz w:val="22"/>
          <w:szCs w:val="22"/>
        </w:rPr>
        <w:t xml:space="preserve">se recibió en este Instituto, a través </w:t>
      </w:r>
      <w:r w:rsidR="003A5AF4" w:rsidRPr="0029409D">
        <w:rPr>
          <w:rFonts w:ascii="Palatino Linotype" w:eastAsia="Palatino Linotype" w:hAnsi="Palatino Linotype" w:cs="Palatino Linotype"/>
          <w:sz w:val="22"/>
          <w:szCs w:val="22"/>
        </w:rPr>
        <w:t>del SAIMEX</w:t>
      </w:r>
      <w:r w:rsidR="00CE6C4C" w:rsidRPr="0029409D">
        <w:rPr>
          <w:rFonts w:ascii="Palatino Linotype" w:eastAsia="Palatino Linotype" w:hAnsi="Palatino Linotype" w:cs="Palatino Linotype"/>
          <w:sz w:val="22"/>
          <w:szCs w:val="22"/>
        </w:rPr>
        <w:t>, el Recurso de Revisión interpuesto por la parte Recurrente, en contra de la respuesta del Sujeto Obligado</w:t>
      </w:r>
      <w:r w:rsidR="00CE6C4C" w:rsidRPr="0029409D">
        <w:rPr>
          <w:rFonts w:ascii="Palatino Linotype" w:eastAsia="Palatino Linotype" w:hAnsi="Palatino Linotype" w:cs="Palatino Linotype"/>
          <w:b/>
          <w:sz w:val="22"/>
          <w:szCs w:val="22"/>
        </w:rPr>
        <w:t xml:space="preserve">, </w:t>
      </w:r>
      <w:r w:rsidR="00CE6C4C" w:rsidRPr="0029409D">
        <w:rPr>
          <w:rFonts w:ascii="Palatino Linotype" w:eastAsia="Palatino Linotype" w:hAnsi="Palatino Linotype" w:cs="Palatino Linotype"/>
          <w:sz w:val="22"/>
          <w:szCs w:val="22"/>
        </w:rPr>
        <w:t>en los siguientes términos:</w:t>
      </w:r>
    </w:p>
    <w:p w14:paraId="7A16E896" w14:textId="77777777" w:rsidR="004B7229" w:rsidRPr="00BB67CD" w:rsidRDefault="004B7229">
      <w:pPr>
        <w:spacing w:line="360" w:lineRule="auto"/>
        <w:ind w:right="-28"/>
        <w:jc w:val="both"/>
        <w:rPr>
          <w:rFonts w:ascii="Palatino Linotype" w:eastAsia="Palatino Linotype" w:hAnsi="Palatino Linotype" w:cs="Palatino Linotype"/>
          <w:i/>
          <w:color w:val="FF0000"/>
        </w:rPr>
      </w:pPr>
    </w:p>
    <w:p w14:paraId="5BE5ACD0" w14:textId="09CBA2B8" w:rsidR="004B7229" w:rsidRPr="001373B2" w:rsidRDefault="003A5AF4">
      <w:pPr>
        <w:tabs>
          <w:tab w:val="left" w:pos="4667"/>
        </w:tabs>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w:t>
      </w:r>
      <w:r w:rsidR="00CE6C4C" w:rsidRPr="001373B2">
        <w:rPr>
          <w:rFonts w:ascii="Palatino Linotype" w:eastAsia="Palatino Linotype" w:hAnsi="Palatino Linotype" w:cs="Palatino Linotype"/>
          <w:b/>
          <w:i/>
        </w:rPr>
        <w:t>ACTO IMPUGNADO</w:t>
      </w:r>
    </w:p>
    <w:p w14:paraId="15239E2D" w14:textId="642E30CD" w:rsidR="004B7229" w:rsidRPr="001373B2" w:rsidRDefault="00CE6C4C">
      <w:pPr>
        <w:spacing w:line="360" w:lineRule="auto"/>
        <w:ind w:left="567" w:right="567"/>
        <w:jc w:val="both"/>
        <w:rPr>
          <w:rFonts w:ascii="Palatino Linotype" w:eastAsia="Palatino Linotype" w:hAnsi="Palatino Linotype" w:cs="Palatino Linotype"/>
          <w:i/>
        </w:rPr>
      </w:pPr>
      <w:r w:rsidRPr="001373B2">
        <w:rPr>
          <w:rFonts w:ascii="Palatino Linotype" w:eastAsia="Palatino Linotype" w:hAnsi="Palatino Linotype" w:cs="Palatino Linotype"/>
          <w:i/>
        </w:rPr>
        <w:t xml:space="preserve">La </w:t>
      </w:r>
      <w:r w:rsidR="0029409D" w:rsidRPr="001373B2">
        <w:rPr>
          <w:rFonts w:ascii="Palatino Linotype" w:eastAsia="Palatino Linotype" w:hAnsi="Palatino Linotype" w:cs="Palatino Linotype"/>
          <w:i/>
        </w:rPr>
        <w:t>respuesta del sujeto obligado” (Sic)</w:t>
      </w:r>
    </w:p>
    <w:p w14:paraId="1277EC6F" w14:textId="77777777" w:rsidR="004B7229" w:rsidRPr="00BB67CD" w:rsidRDefault="004B7229">
      <w:pPr>
        <w:tabs>
          <w:tab w:val="left" w:pos="4667"/>
        </w:tabs>
        <w:spacing w:line="360" w:lineRule="auto"/>
        <w:ind w:left="567" w:right="567"/>
        <w:jc w:val="both"/>
        <w:rPr>
          <w:rFonts w:ascii="Palatino Linotype" w:eastAsia="Palatino Linotype" w:hAnsi="Palatino Linotype" w:cs="Palatino Linotype"/>
          <w:i/>
          <w:color w:val="FF0000"/>
        </w:rPr>
      </w:pPr>
    </w:p>
    <w:p w14:paraId="1DB607C3" w14:textId="7D699855" w:rsidR="004B7229" w:rsidRPr="001373B2" w:rsidRDefault="003A5AF4">
      <w:pPr>
        <w:tabs>
          <w:tab w:val="left" w:pos="4667"/>
        </w:tabs>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w:t>
      </w:r>
      <w:r w:rsidR="00CE6C4C" w:rsidRPr="001373B2">
        <w:rPr>
          <w:rFonts w:ascii="Palatino Linotype" w:eastAsia="Palatino Linotype" w:hAnsi="Palatino Linotype" w:cs="Palatino Linotype"/>
          <w:b/>
          <w:i/>
        </w:rPr>
        <w:t>RAZONES O MOTIVOS DE LA INCONFORMIDAD</w:t>
      </w:r>
    </w:p>
    <w:p w14:paraId="6B548879" w14:textId="5705F23C" w:rsidR="004B7229" w:rsidRPr="001373B2" w:rsidRDefault="001373B2">
      <w:pPr>
        <w:spacing w:line="360" w:lineRule="auto"/>
        <w:ind w:left="567" w:right="567"/>
        <w:jc w:val="both"/>
        <w:rPr>
          <w:rFonts w:ascii="Palatino Linotype" w:eastAsia="Palatino Linotype" w:hAnsi="Palatino Linotype" w:cs="Palatino Linotype"/>
          <w:i/>
        </w:rPr>
      </w:pPr>
      <w:proofErr w:type="gramStart"/>
      <w:r w:rsidRPr="001373B2">
        <w:rPr>
          <w:rFonts w:ascii="Palatino Linotype" w:eastAsia="Palatino Linotype" w:hAnsi="Palatino Linotype" w:cs="Palatino Linotype"/>
          <w:i/>
        </w:rPr>
        <w:t>la</w:t>
      </w:r>
      <w:proofErr w:type="gramEnd"/>
      <w:r w:rsidRPr="001373B2">
        <w:rPr>
          <w:rFonts w:ascii="Palatino Linotype" w:eastAsia="Palatino Linotype" w:hAnsi="Palatino Linotype" w:cs="Palatino Linotype"/>
          <w:i/>
        </w:rPr>
        <w:t xml:space="preserve"> aclaración que piden y donde supuestamente citan mi solicitud no correspondía a lo que yo escribí. Además, la ley dice que aún si no realizo la aclaración, se debe dar respuesta si de los datos que contiene mi solicitud, se puede desprender algún documento relacionado ya que no somos expertos para citar la información como la conoce el sujeto </w:t>
      </w:r>
      <w:proofErr w:type="spellStart"/>
      <w:r w:rsidRPr="001373B2">
        <w:rPr>
          <w:rFonts w:ascii="Palatino Linotype" w:eastAsia="Palatino Linotype" w:hAnsi="Palatino Linotype" w:cs="Palatino Linotype"/>
          <w:i/>
        </w:rPr>
        <w:t>oblligado</w:t>
      </w:r>
      <w:proofErr w:type="spellEnd"/>
      <w:r w:rsidRPr="001373B2">
        <w:rPr>
          <w:rFonts w:ascii="Palatino Linotype" w:eastAsia="Palatino Linotype" w:hAnsi="Palatino Linotype" w:cs="Palatino Linotype"/>
          <w:i/>
        </w:rPr>
        <w:t>. Yo les pedí el expediente en versión pública número 224/2024 de la segunda sala colegiada civil de Toluca</w:t>
      </w:r>
      <w:r>
        <w:rPr>
          <w:rFonts w:ascii="Palatino Linotype" w:eastAsia="Palatino Linotype" w:hAnsi="Palatino Linotype" w:cs="Palatino Linotype"/>
          <w:i/>
        </w:rPr>
        <w:t>.” (Sic)</w:t>
      </w:r>
    </w:p>
    <w:p w14:paraId="2504727C" w14:textId="77777777" w:rsidR="004B7229" w:rsidRPr="00BB67CD" w:rsidRDefault="004B7229">
      <w:pPr>
        <w:spacing w:line="360" w:lineRule="auto"/>
        <w:ind w:right="-28"/>
        <w:jc w:val="both"/>
        <w:rPr>
          <w:rFonts w:ascii="Palatino Linotype" w:eastAsia="Palatino Linotype" w:hAnsi="Palatino Linotype" w:cs="Palatino Linotype"/>
          <w:b/>
          <w:color w:val="FF0000"/>
          <w:sz w:val="22"/>
          <w:szCs w:val="22"/>
        </w:rPr>
      </w:pPr>
    </w:p>
    <w:p w14:paraId="36A8C182" w14:textId="77777777" w:rsidR="004B7229" w:rsidRPr="00B621EF" w:rsidRDefault="00CE6C4C">
      <w:pPr>
        <w:pStyle w:val="Ttulo2"/>
        <w:spacing w:before="0" w:after="0" w:line="360" w:lineRule="auto"/>
        <w:rPr>
          <w:rFonts w:ascii="Palatino Linotype" w:eastAsia="Palatino Linotype" w:hAnsi="Palatino Linotype" w:cs="Palatino Linotype"/>
          <w:b/>
          <w:color w:val="auto"/>
          <w:sz w:val="22"/>
          <w:szCs w:val="22"/>
        </w:rPr>
      </w:pPr>
      <w:bookmarkStart w:id="11" w:name="_heading=h.6l4yhuc8vnxb" w:colFirst="0" w:colLast="0"/>
      <w:bookmarkStart w:id="12" w:name="_Toc196927062"/>
      <w:bookmarkEnd w:id="11"/>
      <w:r w:rsidRPr="00B621EF">
        <w:rPr>
          <w:rFonts w:ascii="Palatino Linotype" w:eastAsia="Palatino Linotype" w:hAnsi="Palatino Linotype" w:cs="Palatino Linotype"/>
          <w:b/>
          <w:color w:val="auto"/>
          <w:sz w:val="22"/>
          <w:szCs w:val="22"/>
        </w:rPr>
        <w:t>V. Trámite del Recurso de Revisión ante el Instituto</w:t>
      </w:r>
      <w:bookmarkEnd w:id="12"/>
    </w:p>
    <w:p w14:paraId="0314767E" w14:textId="77777777" w:rsidR="004B7229" w:rsidRPr="00BB67CD" w:rsidRDefault="004B7229">
      <w:pPr>
        <w:spacing w:line="360" w:lineRule="auto"/>
        <w:ind w:right="-28"/>
        <w:jc w:val="both"/>
        <w:rPr>
          <w:rFonts w:ascii="Palatino Linotype" w:eastAsia="Palatino Linotype" w:hAnsi="Palatino Linotype" w:cs="Palatino Linotype"/>
          <w:b/>
          <w:color w:val="FF0000"/>
          <w:sz w:val="22"/>
          <w:szCs w:val="22"/>
        </w:rPr>
      </w:pPr>
    </w:p>
    <w:p w14:paraId="43126038" w14:textId="0E33F2BA" w:rsidR="004B7229" w:rsidRPr="00B621EF" w:rsidRDefault="00CE6C4C">
      <w:pPr>
        <w:spacing w:line="360" w:lineRule="auto"/>
        <w:ind w:right="-28"/>
        <w:jc w:val="both"/>
        <w:rPr>
          <w:rFonts w:ascii="Palatino Linotype" w:eastAsia="Palatino Linotype" w:hAnsi="Palatino Linotype" w:cs="Palatino Linotype"/>
          <w:sz w:val="22"/>
          <w:szCs w:val="22"/>
        </w:rPr>
      </w:pPr>
      <w:r w:rsidRPr="00B621EF">
        <w:rPr>
          <w:rFonts w:ascii="Palatino Linotype" w:eastAsia="Palatino Linotype" w:hAnsi="Palatino Linotype" w:cs="Palatino Linotype"/>
          <w:b/>
          <w:sz w:val="22"/>
          <w:szCs w:val="22"/>
        </w:rPr>
        <w:t xml:space="preserve">a) Turno del Recurso de Revisión. </w:t>
      </w:r>
      <w:r w:rsidRPr="00B621EF">
        <w:rPr>
          <w:rFonts w:ascii="Palatino Linotype" w:eastAsia="Palatino Linotype" w:hAnsi="Palatino Linotype" w:cs="Palatino Linotype"/>
          <w:sz w:val="22"/>
          <w:szCs w:val="22"/>
        </w:rPr>
        <w:t xml:space="preserve">El </w:t>
      </w:r>
      <w:r w:rsidR="00B621EF" w:rsidRPr="00B621EF">
        <w:rPr>
          <w:rFonts w:ascii="Palatino Linotype" w:eastAsia="Palatino Linotype" w:hAnsi="Palatino Linotype" w:cs="Palatino Linotype"/>
          <w:sz w:val="22"/>
          <w:szCs w:val="22"/>
        </w:rPr>
        <w:t xml:space="preserve">cinco de marzo de dos mil veinticinco, </w:t>
      </w:r>
      <w:r w:rsidR="003A5AF4" w:rsidRPr="00B621EF">
        <w:rPr>
          <w:rFonts w:ascii="Palatino Linotype" w:eastAsia="Palatino Linotype" w:hAnsi="Palatino Linotype" w:cs="Palatino Linotype"/>
          <w:sz w:val="22"/>
          <w:szCs w:val="22"/>
        </w:rPr>
        <w:t>el SAIMEX</w:t>
      </w:r>
      <w:r w:rsidRPr="00B621EF">
        <w:rPr>
          <w:rFonts w:ascii="Palatino Linotype" w:eastAsia="Palatino Linotype" w:hAnsi="Palatino Linotype" w:cs="Palatino Linotype"/>
          <w:sz w:val="22"/>
          <w:szCs w:val="22"/>
        </w:rPr>
        <w:t xml:space="preserve">, asignó el número de expediente </w:t>
      </w:r>
      <w:r w:rsidR="00B621EF" w:rsidRPr="00B621EF">
        <w:rPr>
          <w:rFonts w:ascii="Palatino Linotype" w:eastAsia="Palatino Linotype" w:hAnsi="Palatino Linotype" w:cs="Palatino Linotype"/>
          <w:b/>
          <w:sz w:val="22"/>
          <w:szCs w:val="22"/>
        </w:rPr>
        <w:t>02471</w:t>
      </w:r>
      <w:r w:rsidRPr="00B621EF">
        <w:rPr>
          <w:rFonts w:ascii="Palatino Linotype" w:eastAsia="Palatino Linotype" w:hAnsi="Palatino Linotype" w:cs="Palatino Linotype"/>
          <w:b/>
          <w:sz w:val="22"/>
          <w:szCs w:val="22"/>
        </w:rPr>
        <w:t xml:space="preserve">/INFOEM/IP/RR/2025, </w:t>
      </w:r>
      <w:r w:rsidRPr="00B621EF">
        <w:rPr>
          <w:rFonts w:ascii="Palatino Linotype" w:eastAsia="Palatino Linotype" w:hAnsi="Palatino Linotype" w:cs="Palatino Linotype"/>
          <w:sz w:val="22"/>
          <w:szCs w:val="22"/>
        </w:rPr>
        <w:t xml:space="preserve">al Recurso de Revisión y lo turnó al Comisionado Ponente </w:t>
      </w:r>
      <w:r w:rsidRPr="00B621EF">
        <w:rPr>
          <w:rFonts w:ascii="Palatino Linotype" w:eastAsia="Palatino Linotype" w:hAnsi="Palatino Linotype" w:cs="Palatino Linotype"/>
          <w:b/>
          <w:sz w:val="22"/>
          <w:szCs w:val="22"/>
        </w:rPr>
        <w:t>Luis Gustavo Parra Noriega</w:t>
      </w:r>
      <w:r w:rsidRPr="00B621EF">
        <w:rPr>
          <w:rFonts w:ascii="Palatino Linotype" w:eastAsia="Palatino Linotype" w:hAnsi="Palatino Linotype" w:cs="Palatino Linotype"/>
          <w:sz w:val="22"/>
          <w:szCs w:val="22"/>
        </w:rPr>
        <w:t>, para los efectos del artículo 185, fracción I, de la Ley de Transparencia y Acceso a la Información Pública del Estado de México y Municipios.</w:t>
      </w:r>
    </w:p>
    <w:p w14:paraId="330210C6" w14:textId="77777777" w:rsidR="004B7229" w:rsidRPr="00BB67CD" w:rsidRDefault="004B7229">
      <w:pPr>
        <w:spacing w:line="360" w:lineRule="auto"/>
        <w:ind w:right="-28"/>
        <w:jc w:val="both"/>
        <w:rPr>
          <w:rFonts w:ascii="Palatino Linotype" w:eastAsia="Palatino Linotype" w:hAnsi="Palatino Linotype" w:cs="Palatino Linotype"/>
          <w:color w:val="FF0000"/>
          <w:sz w:val="22"/>
          <w:szCs w:val="22"/>
        </w:rPr>
      </w:pPr>
    </w:p>
    <w:p w14:paraId="714A50E5" w14:textId="77777777" w:rsidR="004B7229" w:rsidRPr="00B621EF" w:rsidRDefault="00CE6C4C">
      <w:pPr>
        <w:spacing w:line="360" w:lineRule="auto"/>
        <w:jc w:val="both"/>
        <w:rPr>
          <w:rFonts w:ascii="Palatino Linotype" w:eastAsia="Palatino Linotype" w:hAnsi="Palatino Linotype" w:cs="Palatino Linotype"/>
          <w:sz w:val="22"/>
          <w:szCs w:val="22"/>
        </w:rPr>
      </w:pPr>
      <w:r w:rsidRPr="00B621EF">
        <w:rPr>
          <w:rFonts w:ascii="Palatino Linotype" w:eastAsia="Palatino Linotype" w:hAnsi="Palatino Linotype" w:cs="Palatino Linotype"/>
          <w:b/>
          <w:sz w:val="22"/>
          <w:szCs w:val="22"/>
        </w:rPr>
        <w:t xml:space="preserve">b) Admisión del Recurso de Revisión. </w:t>
      </w:r>
      <w:r w:rsidRPr="00B621EF">
        <w:rPr>
          <w:rFonts w:ascii="Palatino Linotype" w:eastAsia="Palatino Linotype" w:hAnsi="Palatino Linotype" w:cs="Palatino Linotype"/>
          <w:sz w:val="22"/>
          <w:szCs w:val="22"/>
        </w:rPr>
        <w:t xml:space="preserve">El </w:t>
      </w:r>
      <w:r w:rsidR="00B621EF" w:rsidRPr="00B621EF">
        <w:rPr>
          <w:rFonts w:ascii="Palatino Linotype" w:eastAsia="Palatino Linotype" w:hAnsi="Palatino Linotype" w:cs="Palatino Linotype"/>
          <w:sz w:val="22"/>
          <w:szCs w:val="22"/>
        </w:rPr>
        <w:t xml:space="preserve">diez de marzo de dos mil veinticinco, </w:t>
      </w:r>
      <w:r w:rsidRPr="00B621EF">
        <w:rPr>
          <w:rFonts w:ascii="Palatino Linotype" w:eastAsia="Palatino Linotype" w:hAnsi="Palatino Linotype" w:cs="Palatino Linotype"/>
          <w:sz w:val="22"/>
          <w:szCs w:val="22"/>
        </w:rPr>
        <w:t xml:space="preserve">se acordó la admisión del Recurso de Revisión interpuesto por el Recurrente en contra del Sujeto Obligado, en términos del artículo 185, fracciones I y II, de la Ley de Transparencia y Acceso a la </w:t>
      </w:r>
      <w:r w:rsidRPr="00B621EF">
        <w:rPr>
          <w:rFonts w:ascii="Palatino Linotype" w:eastAsia="Palatino Linotype" w:hAnsi="Palatino Linotype" w:cs="Palatino Linotype"/>
          <w:sz w:val="22"/>
          <w:szCs w:val="22"/>
        </w:rPr>
        <w:lastRenderedPageBreak/>
        <w:t>Información Pública del Estado de México y Municipios, el cual fue notificado a las partes el mismo día, a través del  SAIMEX, en el que se les otorgó un plazo de siete días hábiles posteriores a la misma, para que manifestaran lo que a su derecho conviniera y formularan alegatos.</w:t>
      </w:r>
    </w:p>
    <w:p w14:paraId="4B0E60A5" w14:textId="77777777" w:rsidR="004B7229" w:rsidRPr="00BB67CD" w:rsidRDefault="004B7229">
      <w:pPr>
        <w:spacing w:line="360" w:lineRule="auto"/>
        <w:jc w:val="both"/>
        <w:rPr>
          <w:rFonts w:ascii="Palatino Linotype" w:eastAsia="Palatino Linotype" w:hAnsi="Palatino Linotype" w:cs="Palatino Linotype"/>
          <w:color w:val="FF0000"/>
          <w:sz w:val="22"/>
          <w:szCs w:val="22"/>
        </w:rPr>
      </w:pPr>
    </w:p>
    <w:p w14:paraId="019E72BC" w14:textId="0D926137" w:rsidR="00137CC0" w:rsidRDefault="00CE6C4C">
      <w:pPr>
        <w:spacing w:line="360" w:lineRule="auto"/>
        <w:jc w:val="both"/>
        <w:rPr>
          <w:rFonts w:ascii="Palatino Linotype" w:eastAsia="Palatino Linotype" w:hAnsi="Palatino Linotype" w:cs="Palatino Linotype"/>
          <w:sz w:val="22"/>
          <w:szCs w:val="22"/>
        </w:rPr>
      </w:pPr>
      <w:r w:rsidRPr="00137CC0">
        <w:rPr>
          <w:rFonts w:ascii="Palatino Linotype" w:eastAsia="Palatino Linotype" w:hAnsi="Palatino Linotype" w:cs="Palatino Linotype"/>
          <w:b/>
          <w:sz w:val="22"/>
          <w:szCs w:val="22"/>
        </w:rPr>
        <w:t>c) Informe Justificado.</w:t>
      </w:r>
      <w:r w:rsidR="00137CC0" w:rsidRPr="00137CC0">
        <w:rPr>
          <w:rFonts w:ascii="Palatino Linotype" w:eastAsia="Palatino Linotype" w:hAnsi="Palatino Linotype" w:cs="Palatino Linotype"/>
          <w:sz w:val="22"/>
          <w:szCs w:val="22"/>
        </w:rPr>
        <w:t xml:space="preserve"> El veinte de marzo de dos mil veinticinco</w:t>
      </w:r>
      <w:r w:rsidRPr="00137CC0">
        <w:rPr>
          <w:rFonts w:ascii="Palatino Linotype" w:eastAsia="Palatino Linotype" w:hAnsi="Palatino Linotype" w:cs="Palatino Linotype"/>
          <w:sz w:val="22"/>
          <w:szCs w:val="22"/>
        </w:rPr>
        <w:t xml:space="preserve">, se recibió en este Instituto, a través </w:t>
      </w:r>
      <w:r w:rsidR="003A5AF4" w:rsidRPr="00137CC0">
        <w:rPr>
          <w:rFonts w:ascii="Palatino Linotype" w:eastAsia="Palatino Linotype" w:hAnsi="Palatino Linotype" w:cs="Palatino Linotype"/>
          <w:sz w:val="22"/>
          <w:szCs w:val="22"/>
        </w:rPr>
        <w:t>del SAIMEX</w:t>
      </w:r>
      <w:r w:rsidRPr="00137CC0">
        <w:rPr>
          <w:rFonts w:ascii="Palatino Linotype" w:eastAsia="Palatino Linotype" w:hAnsi="Palatino Linotype" w:cs="Palatino Linotype"/>
          <w:sz w:val="22"/>
          <w:szCs w:val="22"/>
        </w:rPr>
        <w:t xml:space="preserve">, el Informe Justificado, por parte del Sujeto Obligado, a través </w:t>
      </w:r>
      <w:r w:rsidR="00137CC0" w:rsidRPr="00137CC0">
        <w:rPr>
          <w:rFonts w:ascii="Palatino Linotype" w:eastAsia="Palatino Linotype" w:hAnsi="Palatino Linotype" w:cs="Palatino Linotype"/>
          <w:sz w:val="22"/>
          <w:szCs w:val="22"/>
        </w:rPr>
        <w:t xml:space="preserve">de la digitalización </w:t>
      </w:r>
      <w:r w:rsidR="00E577E4">
        <w:rPr>
          <w:rFonts w:ascii="Palatino Linotype" w:eastAsia="Palatino Linotype" w:hAnsi="Palatino Linotype" w:cs="Palatino Linotype"/>
          <w:sz w:val="22"/>
          <w:szCs w:val="22"/>
        </w:rPr>
        <w:t xml:space="preserve">del oficio </w:t>
      </w:r>
      <w:r w:rsidR="00E577E4" w:rsidRPr="00E577E4">
        <w:rPr>
          <w:rFonts w:ascii="Palatino Linotype" w:eastAsia="Palatino Linotype" w:hAnsi="Palatino Linotype" w:cs="Palatino Linotype"/>
          <w:sz w:val="22"/>
          <w:szCs w:val="22"/>
        </w:rPr>
        <w:t>TJA/UIPPE/225/2025</w:t>
      </w:r>
      <w:r w:rsidR="00E577E4">
        <w:rPr>
          <w:rFonts w:ascii="Palatino Linotype" w:eastAsia="Palatino Linotype" w:hAnsi="Palatino Linotype" w:cs="Palatino Linotype"/>
          <w:sz w:val="22"/>
          <w:szCs w:val="22"/>
        </w:rPr>
        <w:t xml:space="preserve"> de dicha fecha suscrito por la Jefa de la Unidad de Información, Planeación, Programación y Evaluación, dirigido al Comisionado Ponente, por medio del cual se menciona lo siguiente:</w:t>
      </w:r>
    </w:p>
    <w:p w14:paraId="36A45324" w14:textId="77777777" w:rsidR="00FF3AF3" w:rsidRDefault="00FF3AF3">
      <w:pPr>
        <w:spacing w:line="360" w:lineRule="auto"/>
        <w:jc w:val="both"/>
        <w:rPr>
          <w:rFonts w:ascii="Palatino Linotype" w:eastAsia="Palatino Linotype" w:hAnsi="Palatino Linotype" w:cs="Palatino Linotype"/>
          <w:sz w:val="22"/>
          <w:szCs w:val="22"/>
        </w:rPr>
      </w:pPr>
    </w:p>
    <w:p w14:paraId="59165270" w14:textId="26F105D5" w:rsidR="00137CC0" w:rsidRDefault="008733DA" w:rsidP="008733DA">
      <w:pPr>
        <w:spacing w:line="360" w:lineRule="auto"/>
        <w:ind w:left="567" w:right="567"/>
        <w:jc w:val="both"/>
        <w:rPr>
          <w:rFonts w:ascii="Palatino Linotype" w:eastAsia="Palatino Linotype" w:hAnsi="Palatino Linotype" w:cs="Palatino Linotype"/>
          <w:i/>
        </w:rPr>
      </w:pPr>
      <w:r w:rsidRPr="008733DA">
        <w:rPr>
          <w:rFonts w:ascii="Palatino Linotype" w:eastAsia="Palatino Linotype" w:hAnsi="Palatino Linotype" w:cs="Palatino Linotype"/>
          <w:i/>
        </w:rPr>
        <w:t xml:space="preserve">“…No se omite referir que, bajo el principio de máxima publicidad este Tribunal de Justicia Administrativa orienta a la persona solicitante a efecto de que consulte la información que puede ser de su interés dentro del Portal de Sentencias de este Tribunal, por lo que puede ser localizada en el siguiente hipervínculo: </w:t>
      </w:r>
    </w:p>
    <w:p w14:paraId="5B099C1B" w14:textId="77777777" w:rsidR="003A5AF4" w:rsidRDefault="003A5AF4" w:rsidP="008733DA">
      <w:pPr>
        <w:spacing w:line="360" w:lineRule="auto"/>
        <w:ind w:left="567" w:right="567"/>
        <w:jc w:val="both"/>
        <w:rPr>
          <w:rFonts w:ascii="Palatino Linotype" w:eastAsia="Palatino Linotype" w:hAnsi="Palatino Linotype" w:cs="Palatino Linotype"/>
          <w:i/>
        </w:rPr>
      </w:pPr>
    </w:p>
    <w:p w14:paraId="48656722" w14:textId="77777777" w:rsidR="008733DA" w:rsidRDefault="00633A9E" w:rsidP="008733DA">
      <w:pPr>
        <w:spacing w:line="360" w:lineRule="auto"/>
        <w:ind w:left="567" w:right="567"/>
        <w:jc w:val="both"/>
        <w:rPr>
          <w:rFonts w:ascii="Palatino Linotype" w:eastAsia="Calibri" w:hAnsi="Palatino Linotype" w:cs="Arial"/>
          <w:i/>
          <w:color w:val="0563C1"/>
          <w:u w:val="single"/>
          <w:lang w:val="es-ES" w:eastAsia="en-US"/>
        </w:rPr>
      </w:pPr>
      <w:hyperlink r:id="rId8" w:history="1">
        <w:r w:rsidR="008733DA" w:rsidRPr="008733DA">
          <w:rPr>
            <w:rFonts w:ascii="Palatino Linotype" w:eastAsia="Calibri" w:hAnsi="Palatino Linotype" w:cs="Arial"/>
            <w:i/>
            <w:color w:val="0563C1"/>
            <w:u w:val="single"/>
            <w:lang w:val="es-ES" w:eastAsia="en-US"/>
          </w:rPr>
          <w:t>https://trijaem.gob.mx/sentencias/</w:t>
        </w:r>
      </w:hyperlink>
    </w:p>
    <w:p w14:paraId="75325206" w14:textId="77777777" w:rsidR="008733DA" w:rsidRPr="008733DA" w:rsidRDefault="008733DA" w:rsidP="008733DA">
      <w:pPr>
        <w:spacing w:line="360" w:lineRule="auto"/>
        <w:ind w:left="567" w:right="567"/>
        <w:jc w:val="both"/>
        <w:rPr>
          <w:rFonts w:ascii="Palatino Linotype" w:eastAsia="Palatino Linotype" w:hAnsi="Palatino Linotype" w:cs="Palatino Linotype"/>
          <w:i/>
        </w:rPr>
      </w:pPr>
    </w:p>
    <w:p w14:paraId="2681A5BE" w14:textId="77777777" w:rsidR="00137CC0" w:rsidRDefault="008733DA" w:rsidP="008733DA">
      <w:pPr>
        <w:spacing w:line="360" w:lineRule="auto"/>
        <w:jc w:val="center"/>
        <w:rPr>
          <w:rFonts w:ascii="Palatino Linotype" w:eastAsia="Palatino Linotype" w:hAnsi="Palatino Linotype" w:cs="Palatino Linotype"/>
          <w:color w:val="FF0000"/>
          <w:sz w:val="22"/>
          <w:szCs w:val="22"/>
        </w:rPr>
      </w:pPr>
      <w:r>
        <w:rPr>
          <w:rFonts w:ascii="Palatino Linotype" w:eastAsia="Palatino Linotype" w:hAnsi="Palatino Linotype" w:cs="Palatino Linotype"/>
          <w:noProof/>
          <w:color w:val="FF0000"/>
          <w:sz w:val="22"/>
          <w:szCs w:val="22"/>
          <w:lang w:eastAsia="es-MX"/>
        </w:rPr>
        <w:drawing>
          <wp:inline distT="0" distB="0" distL="0" distR="0" wp14:anchorId="00DF8568" wp14:editId="3EAF1A8D">
            <wp:extent cx="3676650" cy="194829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81581" cy="1950907"/>
                    </a:xfrm>
                    <a:prstGeom prst="rect">
                      <a:avLst/>
                    </a:prstGeom>
                    <a:noFill/>
                  </pic:spPr>
                </pic:pic>
              </a:graphicData>
            </a:graphic>
          </wp:inline>
        </w:drawing>
      </w:r>
    </w:p>
    <w:p w14:paraId="56C043B6" w14:textId="77777777" w:rsidR="008733DA" w:rsidRDefault="008733DA" w:rsidP="008733DA">
      <w:pPr>
        <w:spacing w:line="360" w:lineRule="auto"/>
        <w:ind w:left="567" w:right="567"/>
        <w:jc w:val="both"/>
        <w:rPr>
          <w:rFonts w:ascii="Palatino Linotype" w:eastAsia="Palatino Linotype" w:hAnsi="Palatino Linotype" w:cs="Palatino Linotype"/>
          <w:i/>
        </w:rPr>
      </w:pPr>
      <w:r w:rsidRPr="008733DA">
        <w:rPr>
          <w:rFonts w:ascii="Palatino Linotype" w:eastAsia="Palatino Linotype" w:hAnsi="Palatino Linotype" w:cs="Palatino Linotype"/>
          <w:i/>
        </w:rPr>
        <w:lastRenderedPageBreak/>
        <w:t>Al haber seleccionado el ícono de “entrar” se le desplegará la siguiente pantalla donde podrá buscar la sentencia que es de su interés al ingresar al ícono “opciones avanzadas.”:</w:t>
      </w:r>
    </w:p>
    <w:p w14:paraId="66A4417B" w14:textId="77777777" w:rsidR="003A5AF4" w:rsidRDefault="003A5AF4" w:rsidP="008733DA">
      <w:pPr>
        <w:spacing w:line="360" w:lineRule="auto"/>
        <w:ind w:left="567" w:right="567"/>
        <w:jc w:val="both"/>
        <w:rPr>
          <w:rFonts w:ascii="Palatino Linotype" w:eastAsia="Palatino Linotype" w:hAnsi="Palatino Linotype" w:cs="Palatino Linotype"/>
          <w:i/>
        </w:rPr>
      </w:pPr>
    </w:p>
    <w:p w14:paraId="28F28738" w14:textId="77777777" w:rsidR="008733DA" w:rsidRDefault="008733DA" w:rsidP="005C5C25">
      <w:pPr>
        <w:spacing w:line="360" w:lineRule="auto"/>
        <w:ind w:left="567" w:right="567"/>
        <w:jc w:val="both"/>
        <w:rPr>
          <w:rFonts w:ascii="Palatino Linotype" w:eastAsia="Palatino Linotype" w:hAnsi="Palatino Linotype" w:cs="Palatino Linotype"/>
          <w:i/>
        </w:rPr>
      </w:pPr>
      <w:r w:rsidRPr="008733DA">
        <w:rPr>
          <w:rFonts w:ascii="Palatino Linotype" w:eastAsia="Palatino Linotype" w:hAnsi="Palatino Linotype" w:cs="Palatino Linotype"/>
          <w:noProof/>
          <w:color w:val="FF0000"/>
          <w:sz w:val="22"/>
          <w:szCs w:val="22"/>
          <w:lang w:eastAsia="es-MX"/>
        </w:rPr>
        <w:drawing>
          <wp:inline distT="0" distB="0" distL="0" distR="0" wp14:anchorId="13D2EAF5" wp14:editId="1D8C840C">
            <wp:extent cx="5095875" cy="735672"/>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21842" cy="739421"/>
                    </a:xfrm>
                    <a:prstGeom prst="rect">
                      <a:avLst/>
                    </a:prstGeom>
                  </pic:spPr>
                </pic:pic>
              </a:graphicData>
            </a:graphic>
          </wp:inline>
        </w:drawing>
      </w:r>
    </w:p>
    <w:p w14:paraId="772A346E" w14:textId="77777777" w:rsidR="003A5AF4" w:rsidRPr="008733DA" w:rsidRDefault="003A5AF4" w:rsidP="005C5C25">
      <w:pPr>
        <w:spacing w:line="360" w:lineRule="auto"/>
        <w:ind w:left="567" w:right="567"/>
        <w:jc w:val="both"/>
        <w:rPr>
          <w:rFonts w:ascii="Palatino Linotype" w:eastAsia="Palatino Linotype" w:hAnsi="Palatino Linotype" w:cs="Palatino Linotype"/>
          <w:i/>
        </w:rPr>
      </w:pPr>
    </w:p>
    <w:p w14:paraId="7B3A2A9C" w14:textId="77777777" w:rsidR="005C5C25" w:rsidRPr="005C5C25" w:rsidRDefault="005C5C25" w:rsidP="005C5C25">
      <w:pPr>
        <w:spacing w:line="360" w:lineRule="auto"/>
        <w:ind w:left="567" w:right="567"/>
        <w:jc w:val="both"/>
        <w:rPr>
          <w:rFonts w:ascii="Palatino Linotype" w:eastAsia="Palatino Linotype" w:hAnsi="Palatino Linotype" w:cs="Palatino Linotype"/>
          <w:i/>
        </w:rPr>
      </w:pPr>
      <w:r w:rsidRPr="005C5C25">
        <w:rPr>
          <w:rFonts w:ascii="Palatino Linotype" w:eastAsia="Palatino Linotype" w:hAnsi="Palatino Linotype" w:cs="Palatino Linotype"/>
          <w:i/>
        </w:rPr>
        <w:t xml:space="preserve">Posterior a ello se deberán </w:t>
      </w:r>
      <w:proofErr w:type="spellStart"/>
      <w:r w:rsidRPr="005C5C25">
        <w:rPr>
          <w:rFonts w:ascii="Palatino Linotype" w:eastAsia="Palatino Linotype" w:hAnsi="Palatino Linotype" w:cs="Palatino Linotype"/>
          <w:i/>
        </w:rPr>
        <w:t>requisitar</w:t>
      </w:r>
      <w:proofErr w:type="spellEnd"/>
      <w:r w:rsidRPr="005C5C25">
        <w:rPr>
          <w:rFonts w:ascii="Palatino Linotype" w:eastAsia="Palatino Linotype" w:hAnsi="Palatino Linotype" w:cs="Palatino Linotype"/>
          <w:i/>
        </w:rPr>
        <w:t xml:space="preserve"> las especificaciones de la sentencia que desea conocer, de la siguiente manera:</w:t>
      </w:r>
    </w:p>
    <w:p w14:paraId="01819684" w14:textId="77777777" w:rsidR="008733DA" w:rsidRDefault="008733DA" w:rsidP="008733DA">
      <w:pPr>
        <w:spacing w:line="360" w:lineRule="auto"/>
        <w:jc w:val="center"/>
        <w:rPr>
          <w:rFonts w:ascii="Palatino Linotype" w:eastAsia="Palatino Linotype" w:hAnsi="Palatino Linotype" w:cs="Palatino Linotype"/>
          <w:color w:val="FF0000"/>
          <w:sz w:val="22"/>
          <w:szCs w:val="22"/>
        </w:rPr>
      </w:pPr>
    </w:p>
    <w:p w14:paraId="6377F289" w14:textId="77777777" w:rsidR="00137CC0" w:rsidRDefault="005C5C25" w:rsidP="005C5C25">
      <w:pPr>
        <w:spacing w:line="360" w:lineRule="auto"/>
        <w:jc w:val="center"/>
        <w:rPr>
          <w:rFonts w:ascii="Palatino Linotype" w:eastAsia="Palatino Linotype" w:hAnsi="Palatino Linotype" w:cs="Palatino Linotype"/>
          <w:color w:val="FF0000"/>
          <w:sz w:val="22"/>
          <w:szCs w:val="22"/>
        </w:rPr>
      </w:pPr>
      <w:r w:rsidRPr="005C5C25">
        <w:rPr>
          <w:rFonts w:ascii="Palatino Linotype" w:eastAsia="Palatino Linotype" w:hAnsi="Palatino Linotype" w:cs="Palatino Linotype"/>
          <w:noProof/>
          <w:color w:val="FF0000"/>
          <w:sz w:val="22"/>
          <w:szCs w:val="22"/>
          <w:lang w:eastAsia="es-MX"/>
        </w:rPr>
        <w:drawing>
          <wp:inline distT="0" distB="0" distL="0" distR="0" wp14:anchorId="32B283AF" wp14:editId="05729F11">
            <wp:extent cx="4439270" cy="2124371"/>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39270" cy="2124371"/>
                    </a:xfrm>
                    <a:prstGeom prst="rect">
                      <a:avLst/>
                    </a:prstGeom>
                  </pic:spPr>
                </pic:pic>
              </a:graphicData>
            </a:graphic>
          </wp:inline>
        </w:drawing>
      </w:r>
    </w:p>
    <w:p w14:paraId="59A0FE0A" w14:textId="77777777" w:rsidR="003A5AF4" w:rsidRDefault="003A5AF4" w:rsidP="005C5C25">
      <w:pPr>
        <w:spacing w:line="360" w:lineRule="auto"/>
        <w:ind w:left="567" w:right="567"/>
        <w:jc w:val="both"/>
        <w:rPr>
          <w:rFonts w:ascii="Palatino Linotype" w:eastAsia="Palatino Linotype" w:hAnsi="Palatino Linotype" w:cs="Palatino Linotype"/>
          <w:i/>
        </w:rPr>
      </w:pPr>
    </w:p>
    <w:p w14:paraId="0BA04E89" w14:textId="292A5F91" w:rsidR="005C5C25" w:rsidRDefault="005C5C25" w:rsidP="005C5C25">
      <w:pPr>
        <w:spacing w:line="360" w:lineRule="auto"/>
        <w:ind w:left="567" w:right="567"/>
        <w:jc w:val="both"/>
        <w:rPr>
          <w:rFonts w:ascii="Palatino Linotype" w:eastAsia="Palatino Linotype" w:hAnsi="Palatino Linotype" w:cs="Palatino Linotype"/>
          <w:i/>
        </w:rPr>
      </w:pPr>
      <w:r w:rsidRPr="005C5C25">
        <w:rPr>
          <w:rFonts w:ascii="Palatino Linotype" w:eastAsia="Palatino Linotype" w:hAnsi="Palatino Linotype" w:cs="Palatino Linotype"/>
          <w:i/>
        </w:rPr>
        <w:t>Posterior a ello deberá seleccionar el icono de “buscar”:</w:t>
      </w:r>
    </w:p>
    <w:p w14:paraId="4DA3D4B0" w14:textId="77777777" w:rsidR="003A5AF4" w:rsidRPr="005C5C25" w:rsidRDefault="003A5AF4" w:rsidP="005C5C25">
      <w:pPr>
        <w:spacing w:line="360" w:lineRule="auto"/>
        <w:ind w:left="567" w:right="567"/>
        <w:jc w:val="both"/>
        <w:rPr>
          <w:rFonts w:ascii="Palatino Linotype" w:eastAsia="Palatino Linotype" w:hAnsi="Palatino Linotype" w:cs="Palatino Linotype"/>
          <w:i/>
        </w:rPr>
      </w:pPr>
    </w:p>
    <w:p w14:paraId="1FF197C4" w14:textId="77777777" w:rsidR="005C5C25" w:rsidRDefault="005C5C25" w:rsidP="005C5C25">
      <w:pPr>
        <w:spacing w:line="360" w:lineRule="auto"/>
        <w:ind w:left="567" w:right="567"/>
        <w:jc w:val="both"/>
        <w:rPr>
          <w:rFonts w:ascii="Palatino Linotype" w:eastAsia="Palatino Linotype" w:hAnsi="Palatino Linotype" w:cs="Palatino Linotype"/>
          <w:i/>
        </w:rPr>
      </w:pPr>
      <w:r w:rsidRPr="005C5C25">
        <w:rPr>
          <w:rFonts w:ascii="Palatino Linotype" w:eastAsia="Palatino Linotype" w:hAnsi="Palatino Linotype" w:cs="Palatino Linotype"/>
          <w:i/>
        </w:rPr>
        <w:t>Para tener acceso a la sentencia en versión pública que pueda ser de su interés, deberá seleccionar el ícono de “sentencia.”:</w:t>
      </w:r>
    </w:p>
    <w:p w14:paraId="1258044F" w14:textId="77777777" w:rsidR="005C5C25" w:rsidRDefault="005C5C25" w:rsidP="005C5C25">
      <w:pPr>
        <w:spacing w:line="360" w:lineRule="auto"/>
        <w:jc w:val="center"/>
        <w:rPr>
          <w:rFonts w:ascii="Palatino Linotype" w:eastAsia="Palatino Linotype" w:hAnsi="Palatino Linotype" w:cs="Palatino Linotype"/>
          <w:color w:val="FF0000"/>
          <w:sz w:val="22"/>
          <w:szCs w:val="22"/>
        </w:rPr>
      </w:pPr>
      <w:r w:rsidRPr="005C5C25">
        <w:rPr>
          <w:rFonts w:ascii="Palatino Linotype" w:eastAsia="Palatino Linotype" w:hAnsi="Palatino Linotype" w:cs="Palatino Linotype"/>
          <w:noProof/>
          <w:color w:val="FF0000"/>
          <w:sz w:val="22"/>
          <w:szCs w:val="22"/>
          <w:lang w:eastAsia="es-MX"/>
        </w:rPr>
        <w:drawing>
          <wp:inline distT="0" distB="0" distL="0" distR="0" wp14:anchorId="194CF9C6" wp14:editId="3916F1AA">
            <wp:extent cx="1238250" cy="7048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r="67581" b="74126"/>
                    <a:stretch/>
                  </pic:blipFill>
                  <pic:spPr bwMode="auto">
                    <a:xfrm>
                      <a:off x="0" y="0"/>
                      <a:ext cx="1238423" cy="704948"/>
                    </a:xfrm>
                    <a:prstGeom prst="rect">
                      <a:avLst/>
                    </a:prstGeom>
                    <a:ln>
                      <a:noFill/>
                    </a:ln>
                    <a:extLst>
                      <a:ext uri="{53640926-AAD7-44D8-BBD7-CCE9431645EC}">
                        <a14:shadowObscured xmlns:a14="http://schemas.microsoft.com/office/drawing/2010/main"/>
                      </a:ext>
                    </a:extLst>
                  </pic:spPr>
                </pic:pic>
              </a:graphicData>
            </a:graphic>
          </wp:inline>
        </w:drawing>
      </w:r>
    </w:p>
    <w:p w14:paraId="793A8B78" w14:textId="77777777" w:rsidR="00ED204B" w:rsidRDefault="00ED204B" w:rsidP="00ED204B">
      <w:pPr>
        <w:spacing w:line="360" w:lineRule="auto"/>
        <w:ind w:left="567" w:right="567"/>
        <w:jc w:val="both"/>
        <w:rPr>
          <w:rFonts w:ascii="Palatino Linotype" w:eastAsia="Palatino Linotype" w:hAnsi="Palatino Linotype" w:cs="Palatino Linotype"/>
          <w:i/>
        </w:rPr>
      </w:pPr>
      <w:r w:rsidRPr="00ED204B">
        <w:rPr>
          <w:rFonts w:ascii="Palatino Linotype" w:eastAsia="Palatino Linotype" w:hAnsi="Palatino Linotype" w:cs="Palatino Linotype"/>
          <w:i/>
        </w:rPr>
        <w:lastRenderedPageBreak/>
        <w:t>Posterior a ello se desplegará la pantalla con la sentencia seleccionada en su versión pública.</w:t>
      </w:r>
    </w:p>
    <w:p w14:paraId="3FAE5F9F" w14:textId="77777777" w:rsidR="003A5AF4" w:rsidRPr="00ED204B" w:rsidRDefault="003A5AF4" w:rsidP="00ED204B">
      <w:pPr>
        <w:spacing w:line="360" w:lineRule="auto"/>
        <w:ind w:left="567" w:right="567"/>
        <w:jc w:val="both"/>
        <w:rPr>
          <w:rFonts w:ascii="Palatino Linotype" w:eastAsia="Palatino Linotype" w:hAnsi="Palatino Linotype" w:cs="Palatino Linotype"/>
          <w:i/>
        </w:rPr>
      </w:pPr>
    </w:p>
    <w:p w14:paraId="56056D3C" w14:textId="77777777" w:rsidR="00ED204B" w:rsidRDefault="00ED204B" w:rsidP="00ED204B">
      <w:pPr>
        <w:spacing w:line="360" w:lineRule="auto"/>
        <w:ind w:left="567" w:right="567"/>
        <w:jc w:val="both"/>
        <w:rPr>
          <w:rFonts w:ascii="Palatino Linotype" w:eastAsia="Palatino Linotype" w:hAnsi="Palatino Linotype" w:cs="Palatino Linotype"/>
          <w:i/>
        </w:rPr>
      </w:pPr>
      <w:r w:rsidRPr="00ED204B">
        <w:rPr>
          <w:rFonts w:ascii="Palatino Linotype" w:eastAsia="Palatino Linotype" w:hAnsi="Palatino Linotype" w:cs="Palatino Linotype"/>
          <w:i/>
        </w:rPr>
        <w:t xml:space="preserve">En virtud de los argumentos presentados y toda vez que se han otorgado las manifestaciones respecto del recurso de revisión identificado con número de folio </w:t>
      </w:r>
      <w:r w:rsidRPr="00ED204B">
        <w:rPr>
          <w:rFonts w:ascii="Palatino Linotype" w:eastAsia="Palatino Linotype" w:hAnsi="Palatino Linotype" w:cs="Palatino Linotype"/>
          <w:b/>
          <w:i/>
        </w:rPr>
        <w:t>02471/INFOEM/IP/RR/2025</w:t>
      </w:r>
      <w:r w:rsidRPr="00ED204B">
        <w:rPr>
          <w:rFonts w:ascii="Palatino Linotype" w:eastAsia="Palatino Linotype" w:hAnsi="Palatino Linotype" w:cs="Palatino Linotype"/>
          <w:i/>
        </w:rPr>
        <w:t>, se solicita lo siguiente:</w:t>
      </w:r>
    </w:p>
    <w:p w14:paraId="05B79B0D" w14:textId="77777777" w:rsidR="003A5AF4" w:rsidRPr="00ED204B" w:rsidRDefault="003A5AF4" w:rsidP="00ED204B">
      <w:pPr>
        <w:spacing w:line="360" w:lineRule="auto"/>
        <w:ind w:left="567" w:right="567"/>
        <w:jc w:val="both"/>
        <w:rPr>
          <w:rFonts w:ascii="Palatino Linotype" w:eastAsia="Palatino Linotype" w:hAnsi="Palatino Linotype" w:cs="Palatino Linotype"/>
          <w:i/>
        </w:rPr>
      </w:pPr>
    </w:p>
    <w:p w14:paraId="293C6D57" w14:textId="77777777" w:rsidR="00ED204B" w:rsidRDefault="00ED204B" w:rsidP="00ED204B">
      <w:pPr>
        <w:spacing w:line="360" w:lineRule="auto"/>
        <w:ind w:left="567" w:right="567"/>
        <w:jc w:val="both"/>
        <w:rPr>
          <w:rFonts w:ascii="Palatino Linotype" w:eastAsia="Palatino Linotype" w:hAnsi="Palatino Linotype" w:cs="Palatino Linotype"/>
          <w:i/>
        </w:rPr>
      </w:pPr>
      <w:r w:rsidRPr="00ED204B">
        <w:rPr>
          <w:rFonts w:ascii="Palatino Linotype" w:eastAsia="Palatino Linotype" w:hAnsi="Palatino Linotype" w:cs="Palatino Linotype"/>
          <w:b/>
          <w:i/>
        </w:rPr>
        <w:t>ÚNICO. -</w:t>
      </w:r>
      <w:r w:rsidRPr="00ED204B">
        <w:rPr>
          <w:rFonts w:ascii="Palatino Linotype" w:eastAsia="Palatino Linotype" w:hAnsi="Palatino Linotype" w:cs="Palatino Linotype"/>
          <w:i/>
        </w:rPr>
        <w:t xml:space="preserve"> En su oportunidad se tenga por atendida la solicitud de información y en consecuencia emita la resolución que confirme o en su defecto que declare el sobreseimiento del presente recurso de revisión.</w:t>
      </w:r>
    </w:p>
    <w:p w14:paraId="0E3B7495" w14:textId="77777777" w:rsidR="00ED204B" w:rsidRPr="00ED204B" w:rsidRDefault="00ED204B" w:rsidP="00ED204B">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w:t>
      </w:r>
      <w:r>
        <w:rPr>
          <w:rFonts w:ascii="Palatino Linotype" w:eastAsia="Palatino Linotype" w:hAnsi="Palatino Linotype" w:cs="Palatino Linotype"/>
          <w:i/>
        </w:rPr>
        <w:t>” (Sic)</w:t>
      </w:r>
    </w:p>
    <w:p w14:paraId="4595FDDD" w14:textId="77777777" w:rsidR="004B7229" w:rsidRPr="00BB67CD" w:rsidRDefault="004B7229">
      <w:pPr>
        <w:spacing w:line="360" w:lineRule="auto"/>
        <w:jc w:val="both"/>
        <w:rPr>
          <w:rFonts w:ascii="Palatino Linotype" w:eastAsia="Palatino Linotype" w:hAnsi="Palatino Linotype" w:cs="Palatino Linotype"/>
          <w:color w:val="FF0000"/>
          <w:sz w:val="22"/>
          <w:szCs w:val="22"/>
        </w:rPr>
      </w:pPr>
    </w:p>
    <w:p w14:paraId="2638D48A" w14:textId="77777777" w:rsidR="004B7229" w:rsidRPr="00A00351" w:rsidRDefault="00CE6C4C">
      <w:pPr>
        <w:spacing w:line="360" w:lineRule="auto"/>
        <w:jc w:val="both"/>
        <w:rPr>
          <w:rFonts w:ascii="Palatino Linotype" w:eastAsia="Palatino Linotype" w:hAnsi="Palatino Linotype" w:cs="Palatino Linotype"/>
          <w:sz w:val="22"/>
          <w:szCs w:val="22"/>
        </w:rPr>
      </w:pPr>
      <w:r w:rsidRPr="00A00351">
        <w:rPr>
          <w:rFonts w:ascii="Palatino Linotype" w:eastAsia="Palatino Linotype" w:hAnsi="Palatino Linotype" w:cs="Palatino Linotype"/>
          <w:b/>
          <w:sz w:val="22"/>
          <w:szCs w:val="22"/>
        </w:rPr>
        <w:t xml:space="preserve">d) Vista del Informe Justificado. </w:t>
      </w:r>
      <w:r w:rsidRPr="00A00351">
        <w:rPr>
          <w:rFonts w:ascii="Palatino Linotype" w:eastAsia="Palatino Linotype" w:hAnsi="Palatino Linotype" w:cs="Palatino Linotype"/>
          <w:sz w:val="22"/>
          <w:szCs w:val="22"/>
        </w:rPr>
        <w:t xml:space="preserve">El </w:t>
      </w:r>
      <w:r w:rsidR="004F71A3" w:rsidRPr="00A00351">
        <w:rPr>
          <w:rFonts w:ascii="Palatino Linotype" w:eastAsia="Palatino Linotype" w:hAnsi="Palatino Linotype" w:cs="Palatino Linotype"/>
          <w:sz w:val="22"/>
          <w:szCs w:val="22"/>
        </w:rPr>
        <w:t xml:space="preserve">veintidós de abril de dos mil veinticinco, </w:t>
      </w:r>
      <w:r w:rsidRPr="00A00351">
        <w:rPr>
          <w:rFonts w:ascii="Palatino Linotype" w:eastAsia="Palatino Linotype" w:hAnsi="Palatino Linotype" w:cs="Palatino Linotype"/>
          <w:sz w:val="22"/>
          <w:szCs w:val="22"/>
        </w:rPr>
        <w:t>se notificó a través del SAIMEX, el acuerdo mediante el cual se puso a la vista del Particular el Informe Justificado, proveído por el cual se le otorgó a este último, un término de tres días hábiles contados a partir del día siguiente a la notificación, para que emitiera las manifestaciones que conforme a sus intereses mayor conviniera.</w:t>
      </w:r>
    </w:p>
    <w:p w14:paraId="6D3E7005" w14:textId="77777777" w:rsidR="004B7229" w:rsidRPr="00BB67CD" w:rsidRDefault="004B7229">
      <w:pPr>
        <w:spacing w:line="360" w:lineRule="auto"/>
        <w:jc w:val="both"/>
        <w:rPr>
          <w:rFonts w:ascii="Palatino Linotype" w:eastAsia="Palatino Linotype" w:hAnsi="Palatino Linotype" w:cs="Palatino Linotype"/>
          <w:color w:val="FF0000"/>
          <w:sz w:val="22"/>
          <w:szCs w:val="22"/>
        </w:rPr>
      </w:pPr>
    </w:p>
    <w:p w14:paraId="0F5C715F" w14:textId="5C695C4A" w:rsidR="004B7229" w:rsidRDefault="00CE6C4C">
      <w:pPr>
        <w:spacing w:line="360" w:lineRule="auto"/>
        <w:jc w:val="both"/>
        <w:rPr>
          <w:rFonts w:ascii="Palatino Linotype" w:eastAsia="Palatino Linotype" w:hAnsi="Palatino Linotype" w:cs="Palatino Linotype"/>
          <w:sz w:val="22"/>
          <w:szCs w:val="22"/>
        </w:rPr>
      </w:pPr>
      <w:r w:rsidRPr="00A00351">
        <w:rPr>
          <w:rFonts w:ascii="Palatino Linotype" w:eastAsia="Palatino Linotype" w:hAnsi="Palatino Linotype" w:cs="Palatino Linotype"/>
          <w:b/>
          <w:sz w:val="22"/>
          <w:szCs w:val="22"/>
        </w:rPr>
        <w:t xml:space="preserve">e) Cierre de instrucción. </w:t>
      </w:r>
      <w:r w:rsidRPr="00A00351">
        <w:rPr>
          <w:rFonts w:ascii="Palatino Linotype" w:eastAsia="Palatino Linotype" w:hAnsi="Palatino Linotype" w:cs="Palatino Linotype"/>
          <w:sz w:val="22"/>
          <w:szCs w:val="22"/>
        </w:rPr>
        <w:t xml:space="preserve">El </w:t>
      </w:r>
      <w:r w:rsidR="00A00351" w:rsidRPr="00A00351">
        <w:rPr>
          <w:rFonts w:ascii="Palatino Linotype" w:eastAsia="Palatino Linotype" w:hAnsi="Palatino Linotype" w:cs="Palatino Linotype"/>
          <w:sz w:val="22"/>
          <w:szCs w:val="22"/>
        </w:rPr>
        <w:t>veinti</w:t>
      </w:r>
      <w:r w:rsidR="009250C6">
        <w:rPr>
          <w:rFonts w:ascii="Palatino Linotype" w:eastAsia="Palatino Linotype" w:hAnsi="Palatino Linotype" w:cs="Palatino Linotype"/>
          <w:sz w:val="22"/>
          <w:szCs w:val="22"/>
        </w:rPr>
        <w:t xml:space="preserve">nueve </w:t>
      </w:r>
      <w:r w:rsidR="00A00351" w:rsidRPr="00A00351">
        <w:rPr>
          <w:rFonts w:ascii="Palatino Linotype" w:eastAsia="Palatino Linotype" w:hAnsi="Palatino Linotype" w:cs="Palatino Linotype"/>
          <w:sz w:val="22"/>
          <w:szCs w:val="22"/>
        </w:rPr>
        <w:t xml:space="preserve">de abril de </w:t>
      </w:r>
      <w:r w:rsidRPr="00A00351">
        <w:rPr>
          <w:rFonts w:ascii="Palatino Linotype" w:eastAsia="Palatino Linotype" w:hAnsi="Palatino Linotype" w:cs="Palatino Linotype"/>
          <w:sz w:val="22"/>
          <w:szCs w:val="22"/>
        </w:rPr>
        <w:t xml:space="preserve">dos mil veinticinco, al no existir diligencias pendientes por desahogar, se emitió el acuerdo por medio del cual se declaró cerrada la instrucción y se determinó pasar el expediente a resolución, en términos de lo dispuesto en el artículo 185, fracciones VI y VIII, de la Ley de Transparencia y Acceso a la Información Pública del Estado de México y Municipios, mismo que fue notificado a las partes el mismo día, a través </w:t>
      </w:r>
      <w:r w:rsidR="003A5AF4" w:rsidRPr="00A00351">
        <w:rPr>
          <w:rFonts w:ascii="Palatino Linotype" w:eastAsia="Palatino Linotype" w:hAnsi="Palatino Linotype" w:cs="Palatino Linotype"/>
          <w:sz w:val="22"/>
          <w:szCs w:val="22"/>
        </w:rPr>
        <w:t>del SAIMEX</w:t>
      </w:r>
      <w:r w:rsidRPr="00A00351">
        <w:rPr>
          <w:rFonts w:ascii="Palatino Linotype" w:eastAsia="Palatino Linotype" w:hAnsi="Palatino Linotype" w:cs="Palatino Linotype"/>
          <w:sz w:val="22"/>
          <w:szCs w:val="22"/>
        </w:rPr>
        <w:t>.</w:t>
      </w:r>
    </w:p>
    <w:p w14:paraId="7B8A7C4C" w14:textId="77777777" w:rsidR="00EC71F5" w:rsidRDefault="00EC71F5">
      <w:pPr>
        <w:spacing w:line="360" w:lineRule="auto"/>
        <w:jc w:val="both"/>
        <w:rPr>
          <w:rFonts w:ascii="Palatino Linotype" w:eastAsia="Palatino Linotype" w:hAnsi="Palatino Linotype" w:cs="Palatino Linotype"/>
          <w:sz w:val="22"/>
          <w:szCs w:val="22"/>
        </w:rPr>
      </w:pPr>
    </w:p>
    <w:p w14:paraId="519160DD" w14:textId="6EE0B728" w:rsidR="00EC71F5" w:rsidRPr="00A00351" w:rsidRDefault="00EC71F5">
      <w:pPr>
        <w:spacing w:line="360" w:lineRule="auto"/>
        <w:jc w:val="both"/>
        <w:rPr>
          <w:rFonts w:ascii="Palatino Linotype" w:eastAsia="Palatino Linotype" w:hAnsi="Palatino Linotype" w:cs="Palatino Linotype"/>
          <w:sz w:val="22"/>
          <w:szCs w:val="22"/>
        </w:rPr>
      </w:pPr>
      <w:r w:rsidRPr="00137D7D">
        <w:rPr>
          <w:rFonts w:ascii="Palatino Linotype" w:hAnsi="Palatino Linotype"/>
          <w:b/>
          <w:sz w:val="22"/>
          <w:szCs w:val="22"/>
        </w:rPr>
        <w:lastRenderedPageBreak/>
        <w:t xml:space="preserve">f) Ampliación del plazo para resolver. </w:t>
      </w:r>
      <w:r w:rsidRPr="00137D7D">
        <w:rPr>
          <w:rFonts w:ascii="Palatino Linotype" w:hAnsi="Palatino Linotype"/>
          <w:bCs/>
          <w:sz w:val="22"/>
          <w:szCs w:val="22"/>
        </w:rPr>
        <w:t>El</w:t>
      </w:r>
      <w:r w:rsidRPr="00137D7D">
        <w:rPr>
          <w:rFonts w:ascii="Palatino Linotype" w:hAnsi="Palatino Linotype"/>
          <w:sz w:val="22"/>
          <w:szCs w:val="22"/>
        </w:rPr>
        <w:t xml:space="preserve"> veintinueve de abril de dos mil veinticinco, el Comisionado Ponente, con fundamento en lo dispuesto por el artículo 181, párrafo tercero, de la Ley de Transparencia y Acceso a la Información Pública del Estado de México y Municipios, acordó ampliar por un plazo de quince días, el plazo para resolver el recurso de revisión que nos ocupa; acto que fue notificado a las partes, mediante el SAIMEX.</w:t>
      </w:r>
    </w:p>
    <w:p w14:paraId="6875FF3C" w14:textId="77777777" w:rsidR="004B7229" w:rsidRPr="00A00351" w:rsidRDefault="004B7229">
      <w:pPr>
        <w:spacing w:line="360" w:lineRule="auto"/>
        <w:ind w:right="-28"/>
        <w:jc w:val="both"/>
        <w:rPr>
          <w:rFonts w:ascii="Palatino Linotype" w:eastAsia="Palatino Linotype" w:hAnsi="Palatino Linotype" w:cs="Palatino Linotype"/>
          <w:sz w:val="22"/>
          <w:szCs w:val="22"/>
        </w:rPr>
      </w:pPr>
    </w:p>
    <w:p w14:paraId="11CD83B5" w14:textId="77777777" w:rsidR="004B7229" w:rsidRPr="00A00351" w:rsidRDefault="00CE6C4C">
      <w:pPr>
        <w:spacing w:line="360" w:lineRule="auto"/>
        <w:ind w:right="-28"/>
        <w:jc w:val="both"/>
        <w:rPr>
          <w:rFonts w:ascii="Palatino Linotype" w:eastAsia="Palatino Linotype" w:hAnsi="Palatino Linotype" w:cs="Palatino Linotype"/>
          <w:sz w:val="22"/>
          <w:szCs w:val="22"/>
        </w:rPr>
      </w:pPr>
      <w:r w:rsidRPr="00A00351">
        <w:rPr>
          <w:rFonts w:ascii="Palatino Linotype" w:eastAsia="Palatino Linotype" w:hAnsi="Palatino Linotype" w:cs="Palatino Linotype"/>
          <w:sz w:val="22"/>
          <w:szCs w:val="22"/>
        </w:rPr>
        <w:t>En razón de que fue debidamente sustanciado el expediente electrónico y no existe diligencia pendiente de desahogo, se emite la resolución que conforme a Derecho proceda, de acuerdo a los siguientes:</w:t>
      </w:r>
    </w:p>
    <w:p w14:paraId="1442613E" w14:textId="77777777" w:rsidR="004B7229" w:rsidRPr="00A00351" w:rsidRDefault="004B7229">
      <w:pPr>
        <w:spacing w:line="360" w:lineRule="auto"/>
        <w:ind w:right="-28"/>
        <w:jc w:val="both"/>
        <w:rPr>
          <w:rFonts w:ascii="Palatino Linotype" w:eastAsia="Palatino Linotype" w:hAnsi="Palatino Linotype" w:cs="Palatino Linotype"/>
          <w:sz w:val="22"/>
          <w:szCs w:val="22"/>
        </w:rPr>
      </w:pPr>
    </w:p>
    <w:p w14:paraId="51993AA0" w14:textId="77777777" w:rsidR="004B7229" w:rsidRPr="00A00351" w:rsidRDefault="00CE6C4C">
      <w:pPr>
        <w:pStyle w:val="Ttulo1"/>
        <w:spacing w:before="0" w:after="0" w:line="360" w:lineRule="auto"/>
        <w:jc w:val="center"/>
        <w:rPr>
          <w:rFonts w:ascii="Palatino Linotype" w:eastAsia="Palatino Linotype" w:hAnsi="Palatino Linotype" w:cs="Palatino Linotype"/>
          <w:b/>
          <w:color w:val="auto"/>
          <w:sz w:val="22"/>
          <w:szCs w:val="22"/>
        </w:rPr>
      </w:pPr>
      <w:bookmarkStart w:id="13" w:name="_heading=h.xtchrbha7s8g" w:colFirst="0" w:colLast="0"/>
      <w:bookmarkStart w:id="14" w:name="_Toc196927063"/>
      <w:bookmarkEnd w:id="13"/>
      <w:r w:rsidRPr="00A00351">
        <w:rPr>
          <w:rFonts w:ascii="Palatino Linotype" w:eastAsia="Palatino Linotype" w:hAnsi="Palatino Linotype" w:cs="Palatino Linotype"/>
          <w:b/>
          <w:color w:val="auto"/>
          <w:sz w:val="22"/>
          <w:szCs w:val="22"/>
        </w:rPr>
        <w:t>C O N S I D E R A N D O S</w:t>
      </w:r>
      <w:bookmarkEnd w:id="14"/>
    </w:p>
    <w:p w14:paraId="7E6AE151" w14:textId="77777777" w:rsidR="004B7229" w:rsidRPr="00BB67CD" w:rsidRDefault="004B7229">
      <w:pPr>
        <w:spacing w:line="360" w:lineRule="auto"/>
        <w:rPr>
          <w:color w:val="FF0000"/>
        </w:rPr>
      </w:pPr>
    </w:p>
    <w:p w14:paraId="6552CE6B" w14:textId="77777777" w:rsidR="004B7229" w:rsidRPr="00A00351" w:rsidRDefault="00CE6C4C">
      <w:pPr>
        <w:pStyle w:val="Ttulo2"/>
        <w:spacing w:before="0" w:after="0" w:line="360" w:lineRule="auto"/>
        <w:rPr>
          <w:rFonts w:ascii="Palatino Linotype" w:eastAsia="Palatino Linotype" w:hAnsi="Palatino Linotype" w:cs="Palatino Linotype"/>
          <w:b/>
          <w:color w:val="auto"/>
          <w:sz w:val="22"/>
          <w:szCs w:val="22"/>
        </w:rPr>
      </w:pPr>
      <w:bookmarkStart w:id="15" w:name="_heading=h.7qjlsgw76e17" w:colFirst="0" w:colLast="0"/>
      <w:bookmarkStart w:id="16" w:name="_Toc196927064"/>
      <w:bookmarkEnd w:id="15"/>
      <w:r w:rsidRPr="00A00351">
        <w:rPr>
          <w:rFonts w:ascii="Palatino Linotype" w:eastAsia="Palatino Linotype" w:hAnsi="Palatino Linotype" w:cs="Palatino Linotype"/>
          <w:b/>
          <w:color w:val="auto"/>
          <w:sz w:val="22"/>
          <w:szCs w:val="22"/>
        </w:rPr>
        <w:t>PRIMERO. Competencia</w:t>
      </w:r>
      <w:bookmarkEnd w:id="16"/>
    </w:p>
    <w:p w14:paraId="34C5D196" w14:textId="77777777" w:rsidR="004B7229" w:rsidRPr="00A00351" w:rsidRDefault="004B7229">
      <w:pPr>
        <w:spacing w:line="360" w:lineRule="auto"/>
        <w:ind w:right="-28"/>
        <w:jc w:val="both"/>
        <w:rPr>
          <w:rFonts w:ascii="Palatino Linotype" w:eastAsia="Palatino Linotype" w:hAnsi="Palatino Linotype" w:cs="Palatino Linotype"/>
          <w:b/>
          <w:sz w:val="22"/>
          <w:szCs w:val="22"/>
        </w:rPr>
      </w:pPr>
    </w:p>
    <w:p w14:paraId="240644DB" w14:textId="0D8B50B9" w:rsidR="004B7229" w:rsidRPr="00A00351" w:rsidRDefault="00CE6C4C">
      <w:pPr>
        <w:spacing w:line="360" w:lineRule="auto"/>
        <w:ind w:right="-28"/>
        <w:jc w:val="both"/>
        <w:rPr>
          <w:rFonts w:ascii="Palatino Linotype" w:eastAsia="Palatino Linotype" w:hAnsi="Palatino Linotype" w:cs="Palatino Linotype"/>
          <w:sz w:val="22"/>
          <w:szCs w:val="22"/>
        </w:rPr>
      </w:pPr>
      <w:r w:rsidRPr="00A00351">
        <w:rPr>
          <w:rFonts w:ascii="Palatino Linotype" w:eastAsia="Palatino Linotype" w:hAnsi="Palatino Linotype" w:cs="Palatino Linotype"/>
          <w:sz w:val="22"/>
          <w:szCs w:val="22"/>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trigésimo </w:t>
      </w:r>
      <w:r w:rsidR="003A5AF4">
        <w:rPr>
          <w:rFonts w:ascii="Palatino Linotype" w:eastAsia="Palatino Linotype" w:hAnsi="Palatino Linotype" w:cs="Palatino Linotype"/>
          <w:sz w:val="22"/>
          <w:szCs w:val="22"/>
        </w:rPr>
        <w:t>séptimo</w:t>
      </w:r>
      <w:r w:rsidRPr="00A00351">
        <w:rPr>
          <w:rFonts w:ascii="Palatino Linotype" w:eastAsia="Palatino Linotype" w:hAnsi="Palatino Linotype" w:cs="Palatino Linotype"/>
          <w:sz w:val="22"/>
          <w:szCs w:val="22"/>
        </w:rPr>
        <w:t xml:space="preserve">, trigésimo </w:t>
      </w:r>
      <w:r w:rsidR="003A5AF4">
        <w:rPr>
          <w:rFonts w:ascii="Palatino Linotype" w:eastAsia="Palatino Linotype" w:hAnsi="Palatino Linotype" w:cs="Palatino Linotype"/>
          <w:sz w:val="22"/>
          <w:szCs w:val="22"/>
        </w:rPr>
        <w:t>octavo</w:t>
      </w:r>
      <w:r w:rsidRPr="00A00351">
        <w:rPr>
          <w:rFonts w:ascii="Palatino Linotype" w:eastAsia="Palatino Linotype" w:hAnsi="Palatino Linotype" w:cs="Palatino Linotype"/>
          <w:sz w:val="22"/>
          <w:szCs w:val="22"/>
        </w:rPr>
        <w:t xml:space="preserve"> y trigésimo </w:t>
      </w:r>
      <w:r w:rsidR="003A5AF4">
        <w:rPr>
          <w:rFonts w:ascii="Palatino Linotype" w:eastAsia="Palatino Linotype" w:hAnsi="Palatino Linotype" w:cs="Palatino Linotype"/>
          <w:sz w:val="22"/>
          <w:szCs w:val="22"/>
        </w:rPr>
        <w:t>noveno</w:t>
      </w:r>
      <w:r w:rsidRPr="00A00351">
        <w:rPr>
          <w:rFonts w:ascii="Palatino Linotype" w:eastAsia="Palatino Linotype" w:hAnsi="Palatino Linotype" w:cs="Palatino Linotype"/>
          <w:sz w:val="22"/>
          <w:szCs w:val="22"/>
        </w:rPr>
        <w:t>, fracciones I, II, III, IV y V, de la Constitución Política del Estado Libre y Soberano de México; 176, 178, 179, 181 párrafo tercero, 185, 188 y 189 de la Ley Transparencia y Acceso a la Información Pública del Estado de México y Municipios;</w:t>
      </w:r>
      <w:r w:rsidRPr="00A00351">
        <w:rPr>
          <w:rFonts w:ascii="Palatino Linotype" w:eastAsia="Palatino Linotype" w:hAnsi="Palatino Linotype" w:cs="Palatino Linotype"/>
        </w:rPr>
        <w:t xml:space="preserve"> 7°, </w:t>
      </w:r>
      <w:r w:rsidRPr="00A00351">
        <w:rPr>
          <w:rFonts w:ascii="Palatino Linotype" w:eastAsia="Palatino Linotype" w:hAnsi="Palatino Linotype" w:cs="Palatino Linotype"/>
          <w:sz w:val="22"/>
          <w:szCs w:val="22"/>
        </w:rPr>
        <w:t>9°, fracciones I y XXIII y 11 del Reglamento Interior del Instituto de Transparencia, Acceso a la Información Pública y Protección de Datos Personales del Estado de México y Municipios.</w:t>
      </w:r>
    </w:p>
    <w:p w14:paraId="1F8C457A" w14:textId="77777777" w:rsidR="004B7229" w:rsidRPr="00A00351" w:rsidRDefault="004B7229">
      <w:pPr>
        <w:spacing w:line="360" w:lineRule="auto"/>
        <w:ind w:right="-28"/>
        <w:jc w:val="both"/>
        <w:rPr>
          <w:rFonts w:ascii="Palatino Linotype" w:eastAsia="Palatino Linotype" w:hAnsi="Palatino Linotype" w:cs="Palatino Linotype"/>
          <w:sz w:val="22"/>
          <w:szCs w:val="22"/>
        </w:rPr>
      </w:pPr>
    </w:p>
    <w:p w14:paraId="63520A79" w14:textId="27870A9B" w:rsidR="004B7229" w:rsidRPr="00A00351" w:rsidRDefault="00CE6C4C">
      <w:pPr>
        <w:pStyle w:val="Ttulo2"/>
        <w:spacing w:before="0" w:after="0" w:line="360" w:lineRule="auto"/>
        <w:rPr>
          <w:rFonts w:ascii="Palatino Linotype" w:eastAsia="Palatino Linotype" w:hAnsi="Palatino Linotype" w:cs="Palatino Linotype"/>
          <w:b/>
          <w:color w:val="auto"/>
          <w:sz w:val="22"/>
          <w:szCs w:val="22"/>
        </w:rPr>
      </w:pPr>
      <w:bookmarkStart w:id="17" w:name="_heading=h.e4dnu7uwcuqj" w:colFirst="0" w:colLast="0"/>
      <w:bookmarkStart w:id="18" w:name="_Toc196927065"/>
      <w:bookmarkEnd w:id="17"/>
      <w:r w:rsidRPr="00A00351">
        <w:rPr>
          <w:rFonts w:ascii="Palatino Linotype" w:eastAsia="Palatino Linotype" w:hAnsi="Palatino Linotype" w:cs="Palatino Linotype"/>
          <w:b/>
          <w:color w:val="auto"/>
          <w:sz w:val="22"/>
          <w:szCs w:val="22"/>
        </w:rPr>
        <w:lastRenderedPageBreak/>
        <w:t>SEGUNDO. Causales de improcedencia</w:t>
      </w:r>
      <w:bookmarkEnd w:id="18"/>
      <w:r w:rsidRPr="00A00351">
        <w:rPr>
          <w:rFonts w:ascii="Palatino Linotype" w:eastAsia="Palatino Linotype" w:hAnsi="Palatino Linotype" w:cs="Palatino Linotype"/>
          <w:b/>
          <w:color w:val="auto"/>
          <w:sz w:val="22"/>
          <w:szCs w:val="22"/>
        </w:rPr>
        <w:t xml:space="preserve"> </w:t>
      </w:r>
    </w:p>
    <w:p w14:paraId="5D68A3CA" w14:textId="77777777" w:rsidR="004B7229" w:rsidRPr="00A00351" w:rsidRDefault="004B7229">
      <w:pPr>
        <w:spacing w:line="360" w:lineRule="auto"/>
        <w:jc w:val="both"/>
        <w:rPr>
          <w:rFonts w:ascii="Palatino Linotype" w:eastAsia="Palatino Linotype" w:hAnsi="Palatino Linotype" w:cs="Palatino Linotype"/>
          <w:sz w:val="22"/>
          <w:szCs w:val="22"/>
        </w:rPr>
      </w:pPr>
    </w:p>
    <w:p w14:paraId="57B4C361" w14:textId="77777777" w:rsidR="004B7229" w:rsidRPr="00A00351" w:rsidRDefault="00CE6C4C">
      <w:pPr>
        <w:spacing w:line="360" w:lineRule="auto"/>
        <w:ind w:right="-28"/>
        <w:jc w:val="both"/>
        <w:rPr>
          <w:rFonts w:ascii="Palatino Linotype" w:eastAsia="Palatino Linotype" w:hAnsi="Palatino Linotype" w:cs="Palatino Linotype"/>
          <w:sz w:val="22"/>
          <w:szCs w:val="22"/>
        </w:rPr>
      </w:pPr>
      <w:r w:rsidRPr="00A00351">
        <w:rPr>
          <w:rFonts w:ascii="Palatino Linotype" w:eastAsia="Palatino Linotype" w:hAnsi="Palatino Linotype" w:cs="Palatino Linotype"/>
          <w:sz w:val="22"/>
          <w:szCs w:val="22"/>
        </w:rPr>
        <w:t>Este Instituto realizará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4CB83D86" w14:textId="77777777" w:rsidR="004B7229" w:rsidRPr="00A00351" w:rsidRDefault="004B7229">
      <w:pPr>
        <w:spacing w:line="360" w:lineRule="auto"/>
        <w:ind w:right="-28"/>
        <w:jc w:val="both"/>
        <w:rPr>
          <w:rFonts w:ascii="Palatino Linotype" w:eastAsia="Palatino Linotype" w:hAnsi="Palatino Linotype" w:cs="Palatino Linotype"/>
          <w:sz w:val="22"/>
          <w:szCs w:val="22"/>
        </w:rPr>
      </w:pPr>
    </w:p>
    <w:p w14:paraId="234B793E" w14:textId="77777777" w:rsidR="00717770" w:rsidRDefault="00717770" w:rsidP="00717770">
      <w:pPr>
        <w:spacing w:line="360" w:lineRule="auto"/>
        <w:jc w:val="both"/>
        <w:rPr>
          <w:rFonts w:ascii="Palatino Linotype" w:hAnsi="Palatino Linotype" w:cs="Tahoma"/>
          <w:sz w:val="22"/>
          <w:szCs w:val="24"/>
        </w:rPr>
      </w:pPr>
      <w:r>
        <w:rPr>
          <w:rFonts w:ascii="Palatino Linotype" w:hAnsi="Palatino Linotype" w:cs="Tahoma"/>
          <w:sz w:val="22"/>
          <w:szCs w:val="24"/>
        </w:rPr>
        <w:t>En el presente caso, no se actualizan las causales de improcedencia establecidas en el artículo 191, fracciones I, II, de la IV a la VII, toda vez que: este Instituto no tiene conocimiento de que se haya presentado el Recurso de manera extemporánea; se encuentre en trámite algún medio de defensa presentado por el Recurrente ante otra instancia; no existió prevención alguna; la veracidad de la respuesta no formó parte del agravio; ni se realizó una consulta o trámite mediante el pedimento de información, o bien, que el Solicitante haya ampliado la solicitud.</w:t>
      </w:r>
    </w:p>
    <w:p w14:paraId="1EEDF18D" w14:textId="77777777" w:rsidR="004B7229" w:rsidRPr="00BB67CD" w:rsidRDefault="004B7229">
      <w:pPr>
        <w:spacing w:line="360" w:lineRule="auto"/>
        <w:jc w:val="both"/>
        <w:rPr>
          <w:rFonts w:ascii="Palatino Linotype" w:eastAsia="Palatino Linotype" w:hAnsi="Palatino Linotype" w:cs="Palatino Linotype"/>
          <w:color w:val="FF0000"/>
          <w:sz w:val="22"/>
          <w:szCs w:val="22"/>
        </w:rPr>
      </w:pPr>
    </w:p>
    <w:p w14:paraId="0F8BB8BB" w14:textId="77777777" w:rsidR="00717770" w:rsidRPr="00717770" w:rsidRDefault="00717770" w:rsidP="00717770">
      <w:pPr>
        <w:keepNext/>
        <w:keepLines/>
        <w:spacing w:line="360" w:lineRule="auto"/>
        <w:outlineLvl w:val="0"/>
        <w:rPr>
          <w:rFonts w:ascii="Palatino Linotype" w:hAnsi="Palatino Linotype"/>
          <w:b/>
          <w:sz w:val="22"/>
          <w:szCs w:val="22"/>
        </w:rPr>
      </w:pPr>
      <w:bookmarkStart w:id="19" w:name="_heading=h.o4gg7jgm3a55" w:colFirst="0" w:colLast="0"/>
      <w:bookmarkStart w:id="20" w:name="_Toc193798176"/>
      <w:bookmarkStart w:id="21" w:name="_Toc196927066"/>
      <w:bookmarkEnd w:id="19"/>
      <w:r w:rsidRPr="00717770">
        <w:rPr>
          <w:rFonts w:ascii="Palatino Linotype" w:hAnsi="Palatino Linotype"/>
          <w:b/>
          <w:sz w:val="22"/>
          <w:szCs w:val="22"/>
        </w:rPr>
        <w:t>TERCERO. Causales de sobreseimiento</w:t>
      </w:r>
      <w:bookmarkEnd w:id="20"/>
      <w:bookmarkEnd w:id="21"/>
    </w:p>
    <w:p w14:paraId="7E3AA9E8" w14:textId="77777777" w:rsidR="00717770" w:rsidRPr="00717770" w:rsidRDefault="00717770" w:rsidP="00717770">
      <w:pPr>
        <w:spacing w:line="360" w:lineRule="auto"/>
        <w:ind w:right="-28"/>
        <w:jc w:val="both"/>
        <w:rPr>
          <w:rFonts w:ascii="Palatino Linotype" w:eastAsia="Calibri" w:hAnsi="Palatino Linotype" w:cs="Tahoma"/>
          <w:color w:val="FF0000"/>
          <w:sz w:val="22"/>
          <w:szCs w:val="22"/>
          <w:lang w:val="es-ES" w:eastAsia="es-ES_tradnl"/>
        </w:rPr>
      </w:pPr>
    </w:p>
    <w:p w14:paraId="2B953087" w14:textId="77777777" w:rsidR="00717770" w:rsidRPr="00717770" w:rsidRDefault="00717770" w:rsidP="00717770">
      <w:pPr>
        <w:spacing w:line="360" w:lineRule="auto"/>
        <w:jc w:val="both"/>
        <w:rPr>
          <w:rFonts w:ascii="Palatino Linotype" w:hAnsi="Palatino Linotype" w:cs="Tahoma"/>
          <w:sz w:val="22"/>
          <w:szCs w:val="24"/>
        </w:rPr>
      </w:pPr>
      <w:r w:rsidRPr="00717770">
        <w:rPr>
          <w:rFonts w:ascii="Palatino Linotype" w:hAnsi="Palatino Linotype" w:cs="Tahoma"/>
          <w:sz w:val="22"/>
          <w:szCs w:val="24"/>
        </w:rPr>
        <w:t xml:space="preserve">Por ser de previo y especial pronunciamiento, este Instituto analiza si se actualiza alguna causal de sobreseimiento. </w:t>
      </w:r>
    </w:p>
    <w:p w14:paraId="15737FA4" w14:textId="77777777" w:rsidR="00717770" w:rsidRPr="00717770" w:rsidRDefault="00717770" w:rsidP="00717770">
      <w:pPr>
        <w:spacing w:line="360" w:lineRule="auto"/>
        <w:jc w:val="both"/>
        <w:rPr>
          <w:rFonts w:ascii="Palatino Linotype" w:hAnsi="Palatino Linotype" w:cs="Tahoma"/>
          <w:bCs/>
          <w:sz w:val="22"/>
          <w:szCs w:val="22"/>
        </w:rPr>
      </w:pPr>
    </w:p>
    <w:p w14:paraId="0AF46CD4" w14:textId="77777777" w:rsidR="00717770" w:rsidRPr="00717770" w:rsidRDefault="00717770" w:rsidP="00717770">
      <w:pPr>
        <w:spacing w:line="360" w:lineRule="auto"/>
        <w:jc w:val="both"/>
        <w:rPr>
          <w:rFonts w:ascii="Palatino Linotype" w:hAnsi="Palatino Linotype" w:cs="Tahoma"/>
          <w:sz w:val="22"/>
          <w:szCs w:val="24"/>
        </w:rPr>
      </w:pPr>
      <w:r w:rsidRPr="00717770">
        <w:rPr>
          <w:rFonts w:ascii="Palatino Linotype" w:hAnsi="Palatino Linotype" w:cs="Tahoma"/>
          <w:bCs/>
          <w:sz w:val="22"/>
          <w:szCs w:val="22"/>
        </w:rPr>
        <w:t xml:space="preserve">El artículo 192 de la Ley Transparencia y Acceso a la Información Pública del Estado de México y Municipios, señala las causales por las cuales se puede sobreseer en todo o en parte, el </w:t>
      </w:r>
      <w:r w:rsidRPr="00717770">
        <w:rPr>
          <w:rFonts w:ascii="Palatino Linotype" w:hAnsi="Palatino Linotype" w:cs="Tahoma"/>
          <w:bCs/>
          <w:sz w:val="22"/>
          <w:szCs w:val="22"/>
        </w:rPr>
        <w:lastRenderedPageBreak/>
        <w:t xml:space="preserve">Recurso de Revisión; así, del análisis realizado por este Instituto, se advierte </w:t>
      </w:r>
      <w:r w:rsidRPr="00717770">
        <w:rPr>
          <w:rFonts w:ascii="Palatino Linotype" w:hAnsi="Palatino Linotype" w:cs="Tahoma"/>
          <w:b/>
          <w:bCs/>
          <w:sz w:val="22"/>
          <w:szCs w:val="22"/>
        </w:rPr>
        <w:t>que no se actualizan los supuestos de sobreseimiento previstos en las fracciones I, II, III y V</w:t>
      </w:r>
      <w:r w:rsidRPr="00717770">
        <w:rPr>
          <w:rFonts w:ascii="Palatino Linotype" w:hAnsi="Palatino Linotype" w:cs="Tahoma"/>
          <w:bCs/>
          <w:sz w:val="22"/>
          <w:szCs w:val="22"/>
        </w:rPr>
        <w:t xml:space="preserve">, </w:t>
      </w:r>
      <w:r w:rsidRPr="00717770">
        <w:rPr>
          <w:rFonts w:ascii="Palatino Linotype" w:eastAsia="Calibri" w:hAnsi="Palatino Linotype" w:cs="Tahoma"/>
          <w:sz w:val="22"/>
        </w:rPr>
        <w:t xml:space="preserve">toda vez que no hay constancias en el expediente en que se actúa, de que la Recurrente se haya desistido, haya fallecido, haya modificado o revocada su respuesta  o bien, </w:t>
      </w:r>
      <w:r w:rsidRPr="00717770">
        <w:rPr>
          <w:rFonts w:ascii="Palatino Linotype" w:hAnsi="Palatino Linotype" w:cs="Tahoma"/>
          <w:sz w:val="22"/>
          <w:szCs w:val="24"/>
        </w:rPr>
        <w:t>que el Recurso de Revisión haya queda sin materia.</w:t>
      </w:r>
    </w:p>
    <w:p w14:paraId="5DFFC7F9" w14:textId="77777777" w:rsidR="00717770" w:rsidRPr="00717770" w:rsidRDefault="00717770" w:rsidP="00717770">
      <w:pPr>
        <w:spacing w:line="360" w:lineRule="auto"/>
        <w:jc w:val="both"/>
        <w:rPr>
          <w:rFonts w:ascii="Palatino Linotype" w:hAnsi="Palatino Linotype" w:cs="Tahoma"/>
          <w:color w:val="FF0000"/>
          <w:sz w:val="22"/>
          <w:szCs w:val="24"/>
        </w:rPr>
      </w:pPr>
    </w:p>
    <w:p w14:paraId="38A775D2" w14:textId="2BF7B63E" w:rsidR="00717770" w:rsidRPr="00717770" w:rsidRDefault="00717770" w:rsidP="00717770">
      <w:pPr>
        <w:spacing w:line="360" w:lineRule="auto"/>
        <w:jc w:val="both"/>
        <w:rPr>
          <w:rFonts w:ascii="Palatino Linotype" w:hAnsi="Palatino Linotype" w:cs="Tahoma"/>
          <w:bCs/>
          <w:sz w:val="22"/>
          <w:szCs w:val="22"/>
          <w:lang w:val="es-ES"/>
        </w:rPr>
      </w:pPr>
      <w:r w:rsidRPr="00717770">
        <w:rPr>
          <w:rFonts w:ascii="Palatino Linotype" w:hAnsi="Palatino Linotype" w:cs="Tahoma"/>
          <w:bCs/>
          <w:sz w:val="22"/>
          <w:szCs w:val="22"/>
        </w:rPr>
        <w:t xml:space="preserve">No obstante, por lo que hace a la hipótesis prevista en la </w:t>
      </w:r>
      <w:r w:rsidRPr="00717770">
        <w:rPr>
          <w:rFonts w:ascii="Palatino Linotype" w:hAnsi="Palatino Linotype" w:cs="Tahoma"/>
          <w:b/>
          <w:bCs/>
          <w:sz w:val="22"/>
          <w:szCs w:val="22"/>
        </w:rPr>
        <w:t>fracción IV</w:t>
      </w:r>
      <w:r w:rsidRPr="00717770">
        <w:rPr>
          <w:rFonts w:ascii="Palatino Linotype" w:hAnsi="Palatino Linotype" w:cs="Tahoma"/>
          <w:bCs/>
          <w:sz w:val="22"/>
          <w:szCs w:val="22"/>
        </w:rPr>
        <w:t>, a saber, que, una vez admitido el Recurso de Revisión, aparezca alguna causal de improcedencia en términos de la presente Ley, resulta necesario analizar</w:t>
      </w:r>
      <w:r w:rsidRPr="00717770">
        <w:rPr>
          <w:rFonts w:ascii="Palatino Linotype" w:hAnsi="Palatino Linotype" w:cs="Tahoma"/>
          <w:bCs/>
          <w:sz w:val="22"/>
          <w:szCs w:val="22"/>
          <w:lang w:val="es-ES"/>
        </w:rPr>
        <w:t xml:space="preserve"> el artículo 191, fracciones III</w:t>
      </w:r>
      <w:r w:rsidRPr="00717770">
        <w:rPr>
          <w:rFonts w:ascii="Palatino Linotype" w:eastAsia="Calibri" w:hAnsi="Palatino Linotype" w:cs="Tahoma"/>
          <w:bCs/>
          <w:sz w:val="22"/>
          <w:szCs w:val="22"/>
          <w:lang w:val="es-ES" w:eastAsia="es-ES_tradnl"/>
        </w:rPr>
        <w:t xml:space="preserve">, de dicho ordenamiento jurídico, que establece que el Recurso de Revisión será desechado por improcedente, cuando dicho medio no actualice alguno de los supuestos previstos en el diverso 179 de la presente Ley. </w:t>
      </w:r>
      <w:r w:rsidRPr="00717770">
        <w:rPr>
          <w:rFonts w:ascii="Palatino Linotype" w:hAnsi="Palatino Linotype" w:cs="Arial"/>
          <w:bCs/>
          <w:sz w:val="22"/>
          <w:szCs w:val="22"/>
        </w:rPr>
        <w:t>En ese orden de ideas, dicho artículo prevé lo siguiente:</w:t>
      </w:r>
    </w:p>
    <w:p w14:paraId="0B5FD561" w14:textId="77777777" w:rsidR="00717770" w:rsidRPr="00717770" w:rsidRDefault="00717770" w:rsidP="00717770">
      <w:pPr>
        <w:spacing w:line="360" w:lineRule="auto"/>
        <w:jc w:val="both"/>
        <w:rPr>
          <w:rFonts w:ascii="Palatino Linotype" w:hAnsi="Palatino Linotype" w:cs="Arial"/>
          <w:bCs/>
          <w:sz w:val="22"/>
          <w:szCs w:val="22"/>
        </w:rPr>
      </w:pPr>
    </w:p>
    <w:p w14:paraId="7689A6C7" w14:textId="77777777" w:rsidR="00717770" w:rsidRPr="00717770" w:rsidRDefault="00717770" w:rsidP="00717770">
      <w:pPr>
        <w:spacing w:line="360" w:lineRule="auto"/>
        <w:ind w:left="567" w:right="567"/>
        <w:jc w:val="both"/>
        <w:rPr>
          <w:rFonts w:ascii="Palatino Linotype" w:eastAsia="Calibri" w:hAnsi="Palatino Linotype" w:cs="Arial"/>
          <w:bCs/>
          <w:i/>
          <w:lang w:eastAsia="en-US"/>
        </w:rPr>
      </w:pPr>
      <w:r w:rsidRPr="00717770">
        <w:rPr>
          <w:rFonts w:ascii="Palatino Linotype" w:eastAsia="Calibri" w:hAnsi="Palatino Linotype" w:cs="Arial"/>
          <w:b/>
          <w:bCs/>
          <w:i/>
          <w:lang w:eastAsia="en-US"/>
        </w:rPr>
        <w:t xml:space="preserve">“Artículo 179. </w:t>
      </w:r>
      <w:r w:rsidRPr="00717770">
        <w:rPr>
          <w:rFonts w:ascii="Palatino Linotype" w:eastAsia="Calibri" w:hAnsi="Palatino Linotype" w:cs="Arial"/>
          <w:bCs/>
          <w:i/>
          <w:lang w:eastAsia="en-US"/>
        </w:rPr>
        <w:t xml:space="preserve">El recurso de revisión es un medio de protección que la Ley otorga a los particulares, para hacer valer su derecho de acceso a la información pública, y procederá en contra de las siguientes causas: </w:t>
      </w:r>
    </w:p>
    <w:p w14:paraId="19D01782" w14:textId="77777777" w:rsidR="00717770" w:rsidRPr="00717770" w:rsidRDefault="00717770" w:rsidP="00717770">
      <w:pPr>
        <w:spacing w:line="360" w:lineRule="auto"/>
        <w:ind w:left="567" w:right="567"/>
        <w:jc w:val="both"/>
        <w:rPr>
          <w:rFonts w:ascii="Palatino Linotype" w:eastAsia="Calibri" w:hAnsi="Palatino Linotype" w:cs="Arial"/>
          <w:bCs/>
          <w:i/>
          <w:lang w:eastAsia="en-US"/>
        </w:rPr>
      </w:pPr>
    </w:p>
    <w:p w14:paraId="5F228967" w14:textId="77777777" w:rsidR="00717770" w:rsidRPr="00717770" w:rsidRDefault="00717770" w:rsidP="00717770">
      <w:pPr>
        <w:spacing w:line="360" w:lineRule="auto"/>
        <w:ind w:left="567" w:right="567"/>
        <w:jc w:val="both"/>
        <w:rPr>
          <w:rFonts w:ascii="Palatino Linotype" w:eastAsia="Calibri" w:hAnsi="Palatino Linotype" w:cs="Arial"/>
          <w:bCs/>
          <w:i/>
          <w:lang w:eastAsia="en-US"/>
        </w:rPr>
      </w:pPr>
      <w:r w:rsidRPr="00717770">
        <w:rPr>
          <w:rFonts w:ascii="Palatino Linotype" w:eastAsia="Calibri" w:hAnsi="Palatino Linotype" w:cs="Arial"/>
          <w:bCs/>
          <w:i/>
          <w:lang w:eastAsia="en-US"/>
        </w:rPr>
        <w:t xml:space="preserve">I. La negativa a la información solicitada; </w:t>
      </w:r>
    </w:p>
    <w:p w14:paraId="4AFE1094" w14:textId="77777777" w:rsidR="00717770" w:rsidRPr="00717770" w:rsidRDefault="00717770" w:rsidP="00717770">
      <w:pPr>
        <w:spacing w:line="360" w:lineRule="auto"/>
        <w:ind w:left="567" w:right="567"/>
        <w:jc w:val="both"/>
        <w:rPr>
          <w:rFonts w:ascii="Palatino Linotype" w:eastAsia="Calibri" w:hAnsi="Palatino Linotype" w:cs="Arial"/>
          <w:bCs/>
          <w:i/>
          <w:lang w:eastAsia="en-US"/>
        </w:rPr>
      </w:pPr>
      <w:r w:rsidRPr="00717770">
        <w:rPr>
          <w:rFonts w:ascii="Palatino Linotype" w:eastAsia="Calibri" w:hAnsi="Palatino Linotype" w:cs="Arial"/>
          <w:bCs/>
          <w:i/>
          <w:lang w:eastAsia="en-US"/>
        </w:rPr>
        <w:t xml:space="preserve">II. La clasificación de la información; </w:t>
      </w:r>
    </w:p>
    <w:p w14:paraId="0FCEE7A4" w14:textId="77777777" w:rsidR="00717770" w:rsidRPr="00717770" w:rsidRDefault="00717770" w:rsidP="00717770">
      <w:pPr>
        <w:spacing w:line="360" w:lineRule="auto"/>
        <w:ind w:left="567" w:right="567"/>
        <w:jc w:val="both"/>
        <w:rPr>
          <w:rFonts w:ascii="Palatino Linotype" w:eastAsia="Calibri" w:hAnsi="Palatino Linotype" w:cs="Arial"/>
          <w:bCs/>
          <w:i/>
          <w:lang w:eastAsia="en-US"/>
        </w:rPr>
      </w:pPr>
      <w:r w:rsidRPr="00717770">
        <w:rPr>
          <w:rFonts w:ascii="Palatino Linotype" w:eastAsia="Calibri" w:hAnsi="Palatino Linotype" w:cs="Arial"/>
          <w:bCs/>
          <w:i/>
          <w:lang w:eastAsia="en-US"/>
        </w:rPr>
        <w:t xml:space="preserve">III. La declaración de inexistencia de la información; </w:t>
      </w:r>
    </w:p>
    <w:p w14:paraId="0F994B4F" w14:textId="77777777" w:rsidR="00717770" w:rsidRPr="00717770" w:rsidRDefault="00717770" w:rsidP="00717770">
      <w:pPr>
        <w:spacing w:line="360" w:lineRule="auto"/>
        <w:ind w:left="567" w:right="567"/>
        <w:jc w:val="both"/>
        <w:rPr>
          <w:rFonts w:ascii="Palatino Linotype" w:eastAsia="Calibri" w:hAnsi="Palatino Linotype" w:cs="Arial"/>
          <w:bCs/>
          <w:i/>
          <w:lang w:eastAsia="en-US"/>
        </w:rPr>
      </w:pPr>
      <w:r w:rsidRPr="00717770">
        <w:rPr>
          <w:rFonts w:ascii="Palatino Linotype" w:eastAsia="Calibri" w:hAnsi="Palatino Linotype" w:cs="Arial"/>
          <w:bCs/>
          <w:i/>
          <w:lang w:eastAsia="en-US"/>
        </w:rPr>
        <w:t xml:space="preserve">IV. La declaración de incompetencia por el sujeto obligado; </w:t>
      </w:r>
    </w:p>
    <w:p w14:paraId="06EAC92E" w14:textId="77777777" w:rsidR="00717770" w:rsidRPr="00717770" w:rsidRDefault="00717770" w:rsidP="00717770">
      <w:pPr>
        <w:spacing w:line="360" w:lineRule="auto"/>
        <w:ind w:left="567" w:right="567"/>
        <w:jc w:val="both"/>
        <w:rPr>
          <w:rFonts w:ascii="Palatino Linotype" w:eastAsia="Calibri" w:hAnsi="Palatino Linotype" w:cs="Arial"/>
          <w:bCs/>
          <w:i/>
          <w:lang w:eastAsia="en-US"/>
        </w:rPr>
      </w:pPr>
      <w:r w:rsidRPr="00717770">
        <w:rPr>
          <w:rFonts w:ascii="Palatino Linotype" w:eastAsia="Calibri" w:hAnsi="Palatino Linotype" w:cs="Arial"/>
          <w:bCs/>
          <w:i/>
          <w:lang w:eastAsia="en-US"/>
        </w:rPr>
        <w:t xml:space="preserve">V. La entrega de información incompleta; </w:t>
      </w:r>
    </w:p>
    <w:p w14:paraId="78349504" w14:textId="77777777" w:rsidR="00717770" w:rsidRPr="00717770" w:rsidRDefault="00717770" w:rsidP="00717770">
      <w:pPr>
        <w:spacing w:line="360" w:lineRule="auto"/>
        <w:ind w:left="567" w:right="567"/>
        <w:jc w:val="both"/>
        <w:rPr>
          <w:rFonts w:ascii="Palatino Linotype" w:eastAsia="Calibri" w:hAnsi="Palatino Linotype" w:cs="Arial"/>
          <w:bCs/>
          <w:i/>
          <w:lang w:eastAsia="en-US"/>
        </w:rPr>
      </w:pPr>
      <w:r w:rsidRPr="00717770">
        <w:rPr>
          <w:rFonts w:ascii="Palatino Linotype" w:eastAsia="Calibri" w:hAnsi="Palatino Linotype" w:cs="Arial"/>
          <w:bCs/>
          <w:i/>
          <w:lang w:eastAsia="en-US"/>
        </w:rPr>
        <w:t xml:space="preserve">VI. La entrega de información que no corresponda con lo solicitado; </w:t>
      </w:r>
    </w:p>
    <w:p w14:paraId="1445BA35" w14:textId="77777777" w:rsidR="00717770" w:rsidRPr="00717770" w:rsidRDefault="00717770" w:rsidP="00717770">
      <w:pPr>
        <w:spacing w:line="360" w:lineRule="auto"/>
        <w:ind w:left="567" w:right="567"/>
        <w:jc w:val="both"/>
        <w:rPr>
          <w:rFonts w:ascii="Palatino Linotype" w:eastAsia="Calibri" w:hAnsi="Palatino Linotype" w:cs="Arial"/>
          <w:bCs/>
          <w:i/>
          <w:lang w:eastAsia="en-US"/>
        </w:rPr>
      </w:pPr>
      <w:r w:rsidRPr="00717770">
        <w:rPr>
          <w:rFonts w:ascii="Palatino Linotype" w:eastAsia="Calibri" w:hAnsi="Palatino Linotype" w:cs="Arial"/>
          <w:bCs/>
          <w:i/>
          <w:lang w:eastAsia="en-US"/>
        </w:rPr>
        <w:t xml:space="preserve">VII. La falta de respuesta a una solicitud de acceso a la información; </w:t>
      </w:r>
    </w:p>
    <w:p w14:paraId="5205518E" w14:textId="77777777" w:rsidR="00717770" w:rsidRPr="00717770" w:rsidRDefault="00717770" w:rsidP="00717770">
      <w:pPr>
        <w:spacing w:line="360" w:lineRule="auto"/>
        <w:ind w:left="567" w:right="567"/>
        <w:jc w:val="both"/>
        <w:rPr>
          <w:rFonts w:ascii="Palatino Linotype" w:eastAsia="Calibri" w:hAnsi="Palatino Linotype" w:cs="Arial"/>
          <w:bCs/>
          <w:i/>
          <w:lang w:eastAsia="en-US"/>
        </w:rPr>
      </w:pPr>
      <w:r w:rsidRPr="00717770">
        <w:rPr>
          <w:rFonts w:ascii="Palatino Linotype" w:eastAsia="Calibri" w:hAnsi="Palatino Linotype" w:cs="Arial"/>
          <w:bCs/>
          <w:i/>
          <w:lang w:eastAsia="en-US"/>
        </w:rPr>
        <w:t xml:space="preserve">VIII. La notificación, entrega o puesta a disposición de información en una modalidad o formato distinto al solicitado; </w:t>
      </w:r>
    </w:p>
    <w:p w14:paraId="3116874F" w14:textId="77777777" w:rsidR="00717770" w:rsidRPr="00717770" w:rsidRDefault="00717770" w:rsidP="00717770">
      <w:pPr>
        <w:spacing w:line="360" w:lineRule="auto"/>
        <w:ind w:left="567" w:right="567"/>
        <w:jc w:val="both"/>
        <w:rPr>
          <w:rFonts w:ascii="Palatino Linotype" w:eastAsia="Calibri" w:hAnsi="Palatino Linotype" w:cs="Arial"/>
          <w:bCs/>
          <w:i/>
          <w:lang w:eastAsia="en-US"/>
        </w:rPr>
      </w:pPr>
      <w:r w:rsidRPr="00717770">
        <w:rPr>
          <w:rFonts w:ascii="Palatino Linotype" w:eastAsia="Calibri" w:hAnsi="Palatino Linotype" w:cs="Arial"/>
          <w:bCs/>
          <w:i/>
          <w:lang w:eastAsia="en-US"/>
        </w:rPr>
        <w:lastRenderedPageBreak/>
        <w:t xml:space="preserve">IX. La entrega o puesta a disposición de información en un formato incomprensible y/o no accesible para el solicitante; </w:t>
      </w:r>
    </w:p>
    <w:p w14:paraId="4851A98E" w14:textId="77777777" w:rsidR="00717770" w:rsidRPr="00717770" w:rsidRDefault="00717770" w:rsidP="00717770">
      <w:pPr>
        <w:spacing w:line="360" w:lineRule="auto"/>
        <w:ind w:left="567" w:right="567"/>
        <w:jc w:val="both"/>
        <w:rPr>
          <w:rFonts w:ascii="Palatino Linotype" w:eastAsia="Calibri" w:hAnsi="Palatino Linotype" w:cs="Arial"/>
          <w:bCs/>
          <w:i/>
          <w:lang w:eastAsia="en-US"/>
        </w:rPr>
      </w:pPr>
      <w:r w:rsidRPr="00717770">
        <w:rPr>
          <w:rFonts w:ascii="Palatino Linotype" w:eastAsia="Calibri" w:hAnsi="Palatino Linotype" w:cs="Arial"/>
          <w:bCs/>
          <w:i/>
          <w:lang w:eastAsia="en-US"/>
        </w:rPr>
        <w:t xml:space="preserve">X. Los costos o tiempos de entrega de la información; </w:t>
      </w:r>
    </w:p>
    <w:p w14:paraId="7FE28DD7" w14:textId="77777777" w:rsidR="00717770" w:rsidRPr="00717770" w:rsidRDefault="00717770" w:rsidP="00717770">
      <w:pPr>
        <w:spacing w:line="360" w:lineRule="auto"/>
        <w:ind w:left="567" w:right="567"/>
        <w:jc w:val="both"/>
        <w:rPr>
          <w:rFonts w:ascii="Palatino Linotype" w:eastAsia="Calibri" w:hAnsi="Palatino Linotype" w:cs="Arial"/>
          <w:bCs/>
          <w:i/>
          <w:lang w:eastAsia="en-US"/>
        </w:rPr>
      </w:pPr>
      <w:r w:rsidRPr="00717770">
        <w:rPr>
          <w:rFonts w:ascii="Palatino Linotype" w:eastAsia="Calibri" w:hAnsi="Palatino Linotype" w:cs="Arial"/>
          <w:bCs/>
          <w:i/>
          <w:lang w:eastAsia="en-US"/>
        </w:rPr>
        <w:t xml:space="preserve">XI. La falta de trámite a una solicitud; </w:t>
      </w:r>
    </w:p>
    <w:p w14:paraId="31686878" w14:textId="77777777" w:rsidR="00717770" w:rsidRDefault="00717770" w:rsidP="00717770">
      <w:pPr>
        <w:spacing w:line="360" w:lineRule="auto"/>
        <w:ind w:left="567" w:right="567"/>
        <w:jc w:val="both"/>
        <w:rPr>
          <w:rFonts w:ascii="Palatino Linotype" w:eastAsia="Calibri" w:hAnsi="Palatino Linotype" w:cs="Arial"/>
          <w:bCs/>
          <w:i/>
          <w:lang w:eastAsia="en-US"/>
        </w:rPr>
      </w:pPr>
      <w:r w:rsidRPr="00717770">
        <w:rPr>
          <w:rFonts w:ascii="Palatino Linotype" w:eastAsia="Calibri" w:hAnsi="Palatino Linotype" w:cs="Arial"/>
          <w:bCs/>
          <w:i/>
          <w:lang w:eastAsia="en-US"/>
        </w:rPr>
        <w:t xml:space="preserve">XII. La negativa a permitir la consulta directa de la información; </w:t>
      </w:r>
    </w:p>
    <w:p w14:paraId="410782DB" w14:textId="77777777" w:rsidR="004F3210" w:rsidRDefault="004F3210" w:rsidP="00717770">
      <w:pPr>
        <w:spacing w:line="360" w:lineRule="auto"/>
        <w:ind w:left="567" w:right="567"/>
        <w:jc w:val="both"/>
        <w:rPr>
          <w:rFonts w:ascii="Palatino Linotype" w:eastAsia="Calibri" w:hAnsi="Palatino Linotype" w:cs="Arial"/>
          <w:bCs/>
          <w:i/>
          <w:lang w:eastAsia="en-US"/>
        </w:rPr>
      </w:pPr>
    </w:p>
    <w:p w14:paraId="58172132" w14:textId="77777777" w:rsidR="004F3210" w:rsidRPr="00717770" w:rsidRDefault="004F3210" w:rsidP="00717770">
      <w:pPr>
        <w:spacing w:line="360" w:lineRule="auto"/>
        <w:ind w:left="567" w:right="567"/>
        <w:jc w:val="both"/>
        <w:rPr>
          <w:rFonts w:ascii="Palatino Linotype" w:eastAsia="Calibri" w:hAnsi="Palatino Linotype" w:cs="Arial"/>
          <w:bCs/>
          <w:i/>
          <w:lang w:eastAsia="en-US"/>
        </w:rPr>
      </w:pPr>
    </w:p>
    <w:p w14:paraId="0D7C84B6" w14:textId="77777777" w:rsidR="00717770" w:rsidRPr="00717770" w:rsidRDefault="00717770" w:rsidP="00717770">
      <w:pPr>
        <w:spacing w:line="360" w:lineRule="auto"/>
        <w:ind w:left="567" w:right="567"/>
        <w:jc w:val="both"/>
        <w:rPr>
          <w:rFonts w:ascii="Palatino Linotype" w:eastAsia="Calibri" w:hAnsi="Palatino Linotype" w:cs="Arial"/>
          <w:bCs/>
          <w:i/>
          <w:lang w:eastAsia="en-US"/>
        </w:rPr>
      </w:pPr>
      <w:r w:rsidRPr="00717770">
        <w:rPr>
          <w:rFonts w:ascii="Palatino Linotype" w:eastAsia="Calibri" w:hAnsi="Palatino Linotype" w:cs="Arial"/>
          <w:bCs/>
          <w:i/>
          <w:lang w:eastAsia="en-US"/>
        </w:rPr>
        <w:t xml:space="preserve">XIII. La falta, deficiencia o insuficiencia de la fundamentación y/o motivación en la respuesta; y </w:t>
      </w:r>
    </w:p>
    <w:p w14:paraId="7CFBE7AC" w14:textId="77777777" w:rsidR="00717770" w:rsidRPr="00717770" w:rsidRDefault="00717770" w:rsidP="00717770">
      <w:pPr>
        <w:spacing w:line="360" w:lineRule="auto"/>
        <w:ind w:left="567" w:right="567"/>
        <w:jc w:val="both"/>
        <w:rPr>
          <w:rFonts w:ascii="Palatino Linotype" w:eastAsia="Calibri" w:hAnsi="Palatino Linotype" w:cs="Arial"/>
          <w:bCs/>
          <w:i/>
          <w:lang w:eastAsia="en-US"/>
        </w:rPr>
      </w:pPr>
      <w:r w:rsidRPr="00717770">
        <w:rPr>
          <w:rFonts w:ascii="Palatino Linotype" w:eastAsia="Calibri" w:hAnsi="Palatino Linotype" w:cs="Arial"/>
          <w:bCs/>
          <w:i/>
          <w:lang w:eastAsia="en-US"/>
        </w:rPr>
        <w:t>XIV. La orientación a un trámite específico.</w:t>
      </w:r>
    </w:p>
    <w:p w14:paraId="66F39C1B" w14:textId="77777777" w:rsidR="00717770" w:rsidRPr="00717770" w:rsidRDefault="00717770" w:rsidP="00717770">
      <w:pPr>
        <w:spacing w:line="360" w:lineRule="auto"/>
        <w:ind w:left="567" w:right="567"/>
        <w:jc w:val="both"/>
        <w:rPr>
          <w:rFonts w:ascii="Palatino Linotype" w:eastAsia="Calibri" w:hAnsi="Palatino Linotype" w:cs="Arial"/>
          <w:bCs/>
          <w:i/>
          <w:lang w:eastAsia="en-US"/>
        </w:rPr>
      </w:pPr>
      <w:r w:rsidRPr="00717770">
        <w:rPr>
          <w:rFonts w:ascii="Palatino Linotype" w:eastAsia="Calibri" w:hAnsi="Palatino Linotype" w:cs="Arial"/>
          <w:bCs/>
          <w:i/>
          <w:lang w:eastAsia="en-US"/>
        </w:rPr>
        <w:t>…”</w:t>
      </w:r>
    </w:p>
    <w:p w14:paraId="2DA1189B" w14:textId="77777777" w:rsidR="004B7229" w:rsidRDefault="004B7229">
      <w:pPr>
        <w:tabs>
          <w:tab w:val="left" w:pos="4962"/>
        </w:tabs>
        <w:spacing w:line="360" w:lineRule="auto"/>
        <w:jc w:val="both"/>
        <w:rPr>
          <w:rFonts w:ascii="Palatino Linotype" w:eastAsia="Palatino Linotype" w:hAnsi="Palatino Linotype" w:cs="Palatino Linotype"/>
          <w:b/>
          <w:sz w:val="22"/>
          <w:szCs w:val="22"/>
        </w:rPr>
      </w:pPr>
    </w:p>
    <w:p w14:paraId="0D5FE8CA" w14:textId="77777777" w:rsidR="000A53E0" w:rsidRPr="000A53E0" w:rsidRDefault="000A53E0" w:rsidP="000A53E0">
      <w:pPr>
        <w:spacing w:line="360" w:lineRule="auto"/>
        <w:jc w:val="both"/>
        <w:rPr>
          <w:rFonts w:ascii="Palatino Linotype" w:eastAsia="Calibri" w:hAnsi="Palatino Linotype" w:cs="Tahoma"/>
          <w:color w:val="000000"/>
          <w:sz w:val="22"/>
          <w:szCs w:val="22"/>
          <w:lang w:val="es-ES" w:eastAsia="en-US"/>
        </w:rPr>
      </w:pPr>
      <w:r w:rsidRPr="000A53E0">
        <w:rPr>
          <w:rFonts w:ascii="Palatino Linotype" w:hAnsi="Palatino Linotype" w:cs="Arial"/>
          <w:bCs/>
          <w:color w:val="000000"/>
          <w:sz w:val="22"/>
          <w:szCs w:val="22"/>
        </w:rPr>
        <w:t xml:space="preserve">Así, con el fin de determinar si el Recurso de Revisión actualiza una causal de procedencia, es necesario traer a colación </w:t>
      </w:r>
      <w:r w:rsidRPr="000A53E0">
        <w:rPr>
          <w:rFonts w:ascii="Palatino Linotype" w:eastAsia="Calibri" w:hAnsi="Palatino Linotype" w:cs="Tahoma"/>
          <w:color w:val="000000"/>
          <w:sz w:val="22"/>
          <w:szCs w:val="22"/>
          <w:lang w:val="es-ES" w:eastAsia="en-US"/>
        </w:rPr>
        <w:t>el artículo 176 de la Ley de Transparencia y Acceso a la Información Pública del Estado de México y Municipios, establece que el Recurso de Revisión, es la garantía secundaria mediante la cual se pretende reparar cualquier afectación al derecho de acceso a la información pública.</w:t>
      </w:r>
    </w:p>
    <w:p w14:paraId="5D6BE362" w14:textId="77777777" w:rsidR="00717770" w:rsidRDefault="00717770">
      <w:pPr>
        <w:tabs>
          <w:tab w:val="left" w:pos="4962"/>
        </w:tabs>
        <w:spacing w:line="360" w:lineRule="auto"/>
        <w:jc w:val="both"/>
        <w:rPr>
          <w:rFonts w:ascii="Palatino Linotype" w:eastAsia="Palatino Linotype" w:hAnsi="Palatino Linotype" w:cs="Palatino Linotype"/>
          <w:b/>
          <w:sz w:val="22"/>
          <w:szCs w:val="22"/>
        </w:rPr>
      </w:pPr>
    </w:p>
    <w:p w14:paraId="3A9043D8" w14:textId="77777777" w:rsidR="000A53E0" w:rsidRPr="000A53E0" w:rsidRDefault="000A53E0" w:rsidP="000A53E0">
      <w:pPr>
        <w:tabs>
          <w:tab w:val="left" w:pos="4962"/>
        </w:tabs>
        <w:spacing w:line="360" w:lineRule="auto"/>
        <w:jc w:val="both"/>
        <w:rPr>
          <w:rFonts w:ascii="Palatino Linotype" w:eastAsia="Calibri" w:hAnsi="Palatino Linotype" w:cs="Tahoma"/>
          <w:color w:val="000000"/>
          <w:sz w:val="22"/>
          <w:szCs w:val="22"/>
          <w:lang w:val="es-ES" w:eastAsia="en-US"/>
        </w:rPr>
      </w:pPr>
      <w:r w:rsidRPr="000A53E0">
        <w:rPr>
          <w:rFonts w:ascii="Palatino Linotype" w:eastAsia="Calibri" w:hAnsi="Palatino Linotype" w:cs="Tahoma"/>
          <w:color w:val="000000"/>
          <w:sz w:val="22"/>
          <w:szCs w:val="22"/>
          <w:lang w:val="es-ES" w:eastAsia="en-US"/>
        </w:rPr>
        <w:t>Además, conforme al Diccionario de Transparencia y Acceso a la Información Pública y la página oficial de este Instituto (</w:t>
      </w:r>
      <w:hyperlink r:id="rId13" w:anchor="queEsRRdeIP" w:history="1">
        <w:r w:rsidRPr="000A53E0">
          <w:rPr>
            <w:rFonts w:ascii="Palatino Linotype" w:eastAsia="Calibri" w:hAnsi="Palatino Linotype" w:cs="Tahoma"/>
            <w:color w:val="000000"/>
            <w:sz w:val="22"/>
            <w:szCs w:val="22"/>
            <w:lang w:val="es-ES" w:eastAsia="en-US"/>
          </w:rPr>
          <w:t>https://www.infoem.org.mx/es/content/informacion-publica#queEsRRdeIP</w:t>
        </w:r>
      </w:hyperlink>
      <w:r w:rsidRPr="000A53E0">
        <w:rPr>
          <w:rFonts w:ascii="Palatino Linotype" w:eastAsia="Calibri" w:hAnsi="Palatino Linotype" w:cs="Tahoma"/>
          <w:color w:val="000000"/>
          <w:sz w:val="22"/>
          <w:szCs w:val="22"/>
          <w:lang w:val="es-ES" w:eastAsia="en-US"/>
        </w:rPr>
        <w:t>), el Recurso de Revisión constituye un medio reconocido en la Ley de Transparencia y Acceso a la Información Pública del Estado de México y Municipios, a través del cual los Solicitantes pueden manifestar su inconformidad ante la respuesta otorgada por el Sujeto Obligado a una solicitud de información pública.</w:t>
      </w:r>
    </w:p>
    <w:p w14:paraId="4B878232" w14:textId="77777777" w:rsidR="000A53E0" w:rsidRPr="000A53E0" w:rsidRDefault="000A53E0" w:rsidP="000A53E0">
      <w:pPr>
        <w:tabs>
          <w:tab w:val="left" w:pos="4962"/>
        </w:tabs>
        <w:spacing w:line="360" w:lineRule="auto"/>
        <w:jc w:val="both"/>
        <w:rPr>
          <w:rFonts w:ascii="Palatino Linotype" w:eastAsia="Calibri" w:hAnsi="Palatino Linotype" w:cs="Tahoma"/>
          <w:color w:val="000000"/>
          <w:sz w:val="22"/>
          <w:szCs w:val="22"/>
          <w:lang w:val="es-ES" w:eastAsia="en-US"/>
        </w:rPr>
      </w:pPr>
    </w:p>
    <w:p w14:paraId="289A9201" w14:textId="77777777" w:rsidR="000A53E0" w:rsidRPr="000A53E0" w:rsidRDefault="000A53E0" w:rsidP="000A53E0">
      <w:pPr>
        <w:tabs>
          <w:tab w:val="left" w:pos="4962"/>
        </w:tabs>
        <w:spacing w:line="360" w:lineRule="auto"/>
        <w:jc w:val="both"/>
        <w:rPr>
          <w:rFonts w:ascii="Palatino Linotype" w:hAnsi="Palatino Linotype" w:cs="Arial"/>
          <w:bCs/>
          <w:color w:val="000000"/>
          <w:sz w:val="22"/>
          <w:szCs w:val="22"/>
        </w:rPr>
      </w:pPr>
      <w:r w:rsidRPr="000A53E0">
        <w:rPr>
          <w:rFonts w:ascii="Palatino Linotype" w:eastAsia="Calibri" w:hAnsi="Palatino Linotype" w:cs="Tahoma"/>
          <w:color w:val="000000"/>
          <w:sz w:val="22"/>
          <w:szCs w:val="22"/>
          <w:lang w:val="es-ES" w:eastAsia="en-US"/>
        </w:rPr>
        <w:lastRenderedPageBreak/>
        <w:t>Así, se logra vislumbrar que el Recurso de Revisión es procedente cuando los Particulares se inconformen con la falta de respuesta o trámite, o bien, de alguna circunstancia específica de la contestación</w:t>
      </w:r>
      <w:r w:rsidRPr="000A53E0">
        <w:rPr>
          <w:rFonts w:ascii="Palatino Linotype" w:hAnsi="Palatino Linotype" w:cs="Arial"/>
          <w:bCs/>
          <w:color w:val="000000"/>
          <w:sz w:val="22"/>
          <w:szCs w:val="22"/>
        </w:rPr>
        <w:t xml:space="preserve"> realizada por los Sujetos Obligados. </w:t>
      </w:r>
    </w:p>
    <w:p w14:paraId="4013E488" w14:textId="77777777" w:rsidR="000A53E0" w:rsidRDefault="000A53E0">
      <w:pPr>
        <w:tabs>
          <w:tab w:val="left" w:pos="4962"/>
        </w:tabs>
        <w:spacing w:line="360" w:lineRule="auto"/>
        <w:jc w:val="both"/>
        <w:rPr>
          <w:rFonts w:ascii="Palatino Linotype" w:eastAsia="Palatino Linotype" w:hAnsi="Palatino Linotype" w:cs="Palatino Linotype"/>
          <w:b/>
          <w:sz w:val="22"/>
          <w:szCs w:val="22"/>
        </w:rPr>
      </w:pPr>
    </w:p>
    <w:p w14:paraId="71BE49AF" w14:textId="70223A12" w:rsidR="000A53E0" w:rsidRDefault="000A53E0" w:rsidP="000A53E0">
      <w:pPr>
        <w:spacing w:line="360" w:lineRule="auto"/>
        <w:jc w:val="both"/>
        <w:rPr>
          <w:rFonts w:ascii="Palatino Linotype" w:hAnsi="Palatino Linotype" w:cs="Tahoma"/>
          <w:iCs/>
          <w:sz w:val="22"/>
          <w:szCs w:val="22"/>
          <w:lang w:val="es-ES"/>
        </w:rPr>
      </w:pPr>
      <w:r w:rsidRPr="000A53E0">
        <w:rPr>
          <w:rFonts w:ascii="Palatino Linotype" w:hAnsi="Palatino Linotype" w:cs="Tahoma"/>
          <w:iCs/>
          <w:sz w:val="22"/>
          <w:szCs w:val="22"/>
          <w:lang w:val="es-ES"/>
        </w:rPr>
        <w:t>Ahora bien,</w:t>
      </w:r>
      <w:r>
        <w:rPr>
          <w:rFonts w:ascii="Palatino Linotype" w:hAnsi="Palatino Linotype" w:cs="Tahoma"/>
          <w:iCs/>
          <w:sz w:val="22"/>
          <w:szCs w:val="22"/>
          <w:lang w:val="es-ES"/>
        </w:rPr>
        <w:t xml:space="preserve"> es necesario precisar que el Sujeto Obligado previo a la tramitación de la solicitud de información, </w:t>
      </w:r>
      <w:r w:rsidRPr="000A53E0">
        <w:rPr>
          <w:rFonts w:ascii="Palatino Linotype" w:hAnsi="Palatino Linotype" w:cs="Tahoma"/>
          <w:iCs/>
          <w:sz w:val="22"/>
          <w:szCs w:val="22"/>
          <w:lang w:val="es-ES"/>
        </w:rPr>
        <w:t>solicitó una aclaración para atender el requerimiento de información, pues del requerimiento inicial, no se lograba advertir la información requerida.</w:t>
      </w:r>
    </w:p>
    <w:p w14:paraId="4E9315B9" w14:textId="77777777" w:rsidR="00137D7D" w:rsidRPr="000A53E0" w:rsidRDefault="00137D7D" w:rsidP="000A53E0">
      <w:pPr>
        <w:spacing w:line="360" w:lineRule="auto"/>
        <w:jc w:val="both"/>
        <w:rPr>
          <w:rFonts w:ascii="Palatino Linotype" w:hAnsi="Palatino Linotype" w:cs="Tahoma"/>
          <w:iCs/>
          <w:sz w:val="22"/>
          <w:szCs w:val="22"/>
          <w:lang w:val="es-ES"/>
        </w:rPr>
      </w:pPr>
    </w:p>
    <w:p w14:paraId="11D11D0D" w14:textId="77777777" w:rsidR="000A53E0" w:rsidRPr="000A53E0" w:rsidRDefault="000A53E0" w:rsidP="000A53E0">
      <w:pPr>
        <w:tabs>
          <w:tab w:val="left" w:pos="4962"/>
        </w:tabs>
        <w:spacing w:line="360" w:lineRule="auto"/>
        <w:ind w:right="-28"/>
        <w:jc w:val="both"/>
        <w:rPr>
          <w:rFonts w:ascii="Palatino Linotype" w:eastAsia="Calibri" w:hAnsi="Palatino Linotype" w:cs="Tahoma"/>
          <w:bCs/>
          <w:iCs/>
          <w:sz w:val="22"/>
          <w:szCs w:val="22"/>
          <w:lang w:val="es-ES" w:eastAsia="es-ES_tradnl"/>
        </w:rPr>
      </w:pPr>
      <w:r w:rsidRPr="000A53E0">
        <w:rPr>
          <w:rFonts w:ascii="Palatino Linotype" w:eastAsia="Calibri" w:hAnsi="Palatino Linotype" w:cs="Tahoma"/>
          <w:bCs/>
          <w:iCs/>
          <w:sz w:val="22"/>
          <w:szCs w:val="22"/>
          <w:lang w:val="es-ES" w:eastAsia="es-ES_tradnl"/>
        </w:rPr>
        <w:t>Sobre el tema, el artículo 155, fracciones III y IV, de la Ley señalada, establece que, en una solicitud de acceso a la información pública, se debe precisar la descripción de la información solicitada y cualquier otro dato que facilite la búsqueda y localización de la información.</w:t>
      </w:r>
    </w:p>
    <w:p w14:paraId="1E5439D7" w14:textId="77777777" w:rsidR="000A53E0" w:rsidRPr="000A53E0" w:rsidRDefault="000A53E0" w:rsidP="000A53E0">
      <w:pPr>
        <w:tabs>
          <w:tab w:val="left" w:pos="4962"/>
        </w:tabs>
        <w:spacing w:line="360" w:lineRule="auto"/>
        <w:ind w:right="-28"/>
        <w:jc w:val="both"/>
        <w:rPr>
          <w:rFonts w:ascii="Palatino Linotype" w:eastAsia="Calibri" w:hAnsi="Palatino Linotype" w:cs="Tahoma"/>
          <w:bCs/>
          <w:iCs/>
          <w:sz w:val="22"/>
          <w:szCs w:val="22"/>
          <w:lang w:val="es-ES" w:eastAsia="es-ES_tradnl"/>
        </w:rPr>
      </w:pPr>
    </w:p>
    <w:p w14:paraId="203BB6D6" w14:textId="77777777" w:rsidR="000A53E0" w:rsidRPr="000A53E0" w:rsidRDefault="000A53E0" w:rsidP="000A53E0">
      <w:pPr>
        <w:tabs>
          <w:tab w:val="left" w:pos="4962"/>
        </w:tabs>
        <w:spacing w:line="360" w:lineRule="auto"/>
        <w:ind w:right="-28"/>
        <w:jc w:val="both"/>
        <w:rPr>
          <w:rFonts w:ascii="Palatino Linotype" w:eastAsia="Calibri" w:hAnsi="Palatino Linotype" w:cs="Tahoma"/>
          <w:bCs/>
          <w:iCs/>
          <w:sz w:val="22"/>
          <w:szCs w:val="22"/>
          <w:lang w:val="es-ES" w:eastAsia="es-ES_tradnl"/>
        </w:rPr>
      </w:pPr>
      <w:r w:rsidRPr="000A53E0">
        <w:rPr>
          <w:rFonts w:ascii="Palatino Linotype" w:eastAsia="Calibri" w:hAnsi="Palatino Linotype" w:cs="Tahoma"/>
          <w:bCs/>
          <w:iCs/>
          <w:sz w:val="22"/>
          <w:szCs w:val="22"/>
          <w:lang w:val="es-ES" w:eastAsia="es-ES_tradnl"/>
        </w:rPr>
        <w:t>Además, el artículo 159 de la Ley de la materia, precisa que cuando los detalles proporcionados para localizar los documentos resulten insuficientes, incompletos o erróneos, la Unidad de Transparencia podrá requerir al Solicitante, por una sola vez, dentro de los cinco días hábiles siguientes contados a partir de la presentación de la solicitud, para que en un término de hasta diez días hábiles, indique otros elementos que complementen, corrijan o amplíen los datos proporcionados o precise los requerimientos de información.</w:t>
      </w:r>
    </w:p>
    <w:p w14:paraId="2DE1FF64" w14:textId="77777777" w:rsidR="000A53E0" w:rsidRPr="000A53E0" w:rsidRDefault="000A53E0" w:rsidP="000A53E0">
      <w:pPr>
        <w:tabs>
          <w:tab w:val="left" w:pos="4962"/>
        </w:tabs>
        <w:spacing w:line="360" w:lineRule="auto"/>
        <w:ind w:right="-28"/>
        <w:jc w:val="both"/>
        <w:rPr>
          <w:rFonts w:ascii="Palatino Linotype" w:eastAsia="Calibri" w:hAnsi="Palatino Linotype" w:cs="Tahoma"/>
          <w:bCs/>
          <w:iCs/>
          <w:sz w:val="22"/>
          <w:szCs w:val="22"/>
          <w:lang w:val="es-ES" w:eastAsia="es-ES_tradnl"/>
        </w:rPr>
      </w:pPr>
    </w:p>
    <w:p w14:paraId="520F7C63" w14:textId="77777777" w:rsidR="000A53E0" w:rsidRPr="000A53E0" w:rsidRDefault="000A53E0" w:rsidP="000A53E0">
      <w:pPr>
        <w:autoSpaceDE w:val="0"/>
        <w:autoSpaceDN w:val="0"/>
        <w:adjustRightInd w:val="0"/>
        <w:spacing w:after="160" w:line="360" w:lineRule="auto"/>
        <w:contextualSpacing/>
        <w:jc w:val="both"/>
        <w:rPr>
          <w:rFonts w:ascii="Palatino Linotype" w:hAnsi="Palatino Linotype" w:cs="Tahoma"/>
          <w:iCs/>
          <w:sz w:val="22"/>
          <w:szCs w:val="22"/>
          <w:lang w:val="es-ES"/>
        </w:rPr>
      </w:pPr>
      <w:r w:rsidRPr="000A53E0">
        <w:rPr>
          <w:rFonts w:ascii="Palatino Linotype" w:eastAsia="Calibri" w:hAnsi="Palatino Linotype" w:cs="Tahoma"/>
          <w:bCs/>
          <w:iCs/>
          <w:sz w:val="22"/>
          <w:szCs w:val="22"/>
          <w:lang w:val="es-ES" w:eastAsia="es-ES_tradnl"/>
        </w:rPr>
        <w:t>Como se logra observar, cuando los Particulares no sean claros en la información peticionada, los Sujetos Obligados, tienen la posibilidad de solicitar información adicional, con el fin de esclarecer la solicitud y así dar una atención adecuada en esta; por lo que,</w:t>
      </w:r>
      <w:r w:rsidRPr="000A53E0">
        <w:rPr>
          <w:rFonts w:ascii="Palatino Linotype" w:hAnsi="Palatino Linotype" w:cs="Tahoma"/>
          <w:iCs/>
          <w:sz w:val="22"/>
          <w:szCs w:val="22"/>
          <w:lang w:val="es-ES"/>
        </w:rPr>
        <w:t xml:space="preserve"> resulta necesario analizar la información requerida, la aclaración solicitada y el desahogo de la misma, a efecto de verificar si existían elementos suficientes para determinar la información requerida, a través del siguiente cuadro:</w:t>
      </w:r>
    </w:p>
    <w:p w14:paraId="3723D2BC" w14:textId="77777777" w:rsidR="000A53E0" w:rsidRPr="000A53E0" w:rsidRDefault="000A53E0" w:rsidP="000A53E0">
      <w:pPr>
        <w:autoSpaceDE w:val="0"/>
        <w:autoSpaceDN w:val="0"/>
        <w:adjustRightInd w:val="0"/>
        <w:spacing w:after="160" w:line="360" w:lineRule="auto"/>
        <w:contextualSpacing/>
        <w:jc w:val="both"/>
        <w:rPr>
          <w:rFonts w:ascii="Palatino Linotype" w:hAnsi="Palatino Linotype" w:cs="Tahoma"/>
          <w:iCs/>
          <w:sz w:val="22"/>
          <w:szCs w:val="22"/>
          <w:lang w:val="es-ES"/>
        </w:rPr>
      </w:pPr>
    </w:p>
    <w:tbl>
      <w:tblPr>
        <w:tblStyle w:val="Tablaconcuadrcula1"/>
        <w:tblW w:w="9034" w:type="dxa"/>
        <w:tblInd w:w="0" w:type="dxa"/>
        <w:tblLook w:val="04A0" w:firstRow="1" w:lastRow="0" w:firstColumn="1" w:lastColumn="0" w:noHBand="0" w:noVBand="1"/>
      </w:tblPr>
      <w:tblGrid>
        <w:gridCol w:w="3173"/>
        <w:gridCol w:w="3157"/>
        <w:gridCol w:w="2704"/>
      </w:tblGrid>
      <w:tr w:rsidR="000A53E0" w:rsidRPr="000A53E0" w14:paraId="389AB4BF" w14:textId="2D2E176B" w:rsidTr="000A53E0">
        <w:tc>
          <w:tcPr>
            <w:tcW w:w="3173" w:type="dxa"/>
            <w:tcBorders>
              <w:top w:val="single" w:sz="4" w:space="0" w:color="auto"/>
              <w:left w:val="single" w:sz="4" w:space="0" w:color="auto"/>
              <w:bottom w:val="single" w:sz="4" w:space="0" w:color="auto"/>
              <w:right w:val="single" w:sz="4" w:space="0" w:color="auto"/>
            </w:tcBorders>
            <w:shd w:val="clear" w:color="auto" w:fill="BFBFBF"/>
            <w:hideMark/>
          </w:tcPr>
          <w:p w14:paraId="745837EE" w14:textId="77777777" w:rsidR="000A53E0" w:rsidRPr="000A53E0" w:rsidRDefault="000A53E0" w:rsidP="000A53E0">
            <w:pPr>
              <w:autoSpaceDE w:val="0"/>
              <w:autoSpaceDN w:val="0"/>
              <w:adjustRightInd w:val="0"/>
              <w:spacing w:after="255" w:line="360" w:lineRule="auto"/>
              <w:contextualSpacing/>
              <w:rPr>
                <w:rFonts w:ascii="Palatino Linotype" w:hAnsi="Palatino Linotype" w:cs="Tahoma"/>
                <w:b/>
                <w:bCs/>
              </w:rPr>
            </w:pPr>
            <w:r w:rsidRPr="000A53E0">
              <w:rPr>
                <w:rFonts w:ascii="Palatino Linotype" w:hAnsi="Palatino Linotype" w:cs="Tahoma"/>
                <w:b/>
                <w:bCs/>
              </w:rPr>
              <w:t>Solicitud</w:t>
            </w:r>
          </w:p>
        </w:tc>
        <w:tc>
          <w:tcPr>
            <w:tcW w:w="3157" w:type="dxa"/>
            <w:tcBorders>
              <w:top w:val="single" w:sz="4" w:space="0" w:color="auto"/>
              <w:left w:val="single" w:sz="4" w:space="0" w:color="auto"/>
              <w:bottom w:val="single" w:sz="4" w:space="0" w:color="auto"/>
              <w:right w:val="single" w:sz="4" w:space="0" w:color="auto"/>
            </w:tcBorders>
            <w:shd w:val="clear" w:color="auto" w:fill="BFBFBF"/>
            <w:hideMark/>
          </w:tcPr>
          <w:p w14:paraId="7766AA28" w14:textId="77777777" w:rsidR="000A53E0" w:rsidRPr="000A53E0" w:rsidRDefault="000A53E0" w:rsidP="000A53E0">
            <w:pPr>
              <w:autoSpaceDE w:val="0"/>
              <w:autoSpaceDN w:val="0"/>
              <w:adjustRightInd w:val="0"/>
              <w:spacing w:after="255" w:line="360" w:lineRule="auto"/>
              <w:contextualSpacing/>
              <w:rPr>
                <w:rFonts w:ascii="Palatino Linotype" w:hAnsi="Palatino Linotype" w:cs="Tahoma"/>
                <w:b/>
                <w:bCs/>
              </w:rPr>
            </w:pPr>
            <w:r w:rsidRPr="000A53E0">
              <w:rPr>
                <w:rFonts w:ascii="Palatino Linotype" w:hAnsi="Palatino Linotype" w:cs="Tahoma"/>
                <w:b/>
                <w:bCs/>
              </w:rPr>
              <w:t>Aclaración</w:t>
            </w:r>
          </w:p>
        </w:tc>
        <w:tc>
          <w:tcPr>
            <w:tcW w:w="2704" w:type="dxa"/>
            <w:tcBorders>
              <w:top w:val="single" w:sz="4" w:space="0" w:color="auto"/>
              <w:left w:val="single" w:sz="4" w:space="0" w:color="auto"/>
              <w:bottom w:val="single" w:sz="4" w:space="0" w:color="auto"/>
              <w:right w:val="single" w:sz="4" w:space="0" w:color="auto"/>
            </w:tcBorders>
            <w:shd w:val="clear" w:color="auto" w:fill="BFBFBF"/>
          </w:tcPr>
          <w:p w14:paraId="5C452A87" w14:textId="579D1DBE" w:rsidR="000A53E0" w:rsidRPr="000A53E0" w:rsidRDefault="000A53E0" w:rsidP="000A53E0">
            <w:pPr>
              <w:autoSpaceDE w:val="0"/>
              <w:autoSpaceDN w:val="0"/>
              <w:adjustRightInd w:val="0"/>
              <w:spacing w:after="255" w:line="360" w:lineRule="auto"/>
              <w:contextualSpacing/>
              <w:rPr>
                <w:rFonts w:ascii="Palatino Linotype" w:hAnsi="Palatino Linotype" w:cs="Tahoma"/>
                <w:b/>
                <w:bCs/>
              </w:rPr>
            </w:pPr>
            <w:r>
              <w:rPr>
                <w:rFonts w:ascii="Palatino Linotype" w:hAnsi="Palatino Linotype" w:cs="Tahoma"/>
                <w:b/>
                <w:bCs/>
              </w:rPr>
              <w:t>Desahogo de la aclaración</w:t>
            </w:r>
          </w:p>
        </w:tc>
      </w:tr>
      <w:tr w:rsidR="000A53E0" w:rsidRPr="000A53E0" w14:paraId="614E28B8" w14:textId="647D61E5" w:rsidTr="000A53E0">
        <w:tc>
          <w:tcPr>
            <w:tcW w:w="3173" w:type="dxa"/>
            <w:tcBorders>
              <w:top w:val="single" w:sz="4" w:space="0" w:color="auto"/>
              <w:left w:val="single" w:sz="4" w:space="0" w:color="auto"/>
              <w:bottom w:val="single" w:sz="4" w:space="0" w:color="auto"/>
              <w:right w:val="single" w:sz="4" w:space="0" w:color="auto"/>
            </w:tcBorders>
            <w:hideMark/>
          </w:tcPr>
          <w:p w14:paraId="2214D2BD" w14:textId="181490AB" w:rsidR="000A53E0" w:rsidRPr="000A53E0" w:rsidRDefault="00CF0630" w:rsidP="000A53E0">
            <w:pPr>
              <w:autoSpaceDE w:val="0"/>
              <w:autoSpaceDN w:val="0"/>
              <w:adjustRightInd w:val="0"/>
              <w:spacing w:after="255" w:line="360" w:lineRule="auto"/>
              <w:contextualSpacing/>
              <w:rPr>
                <w:rFonts w:ascii="Palatino Linotype" w:hAnsi="Palatino Linotype" w:cs="Tahoma"/>
              </w:rPr>
            </w:pPr>
            <w:r>
              <w:rPr>
                <w:rFonts w:ascii="Palatino Linotype" w:hAnsi="Palatino Linotype" w:cs="Tahoma"/>
              </w:rPr>
              <w:t>Expediente que llevó a la Sentencia del Toca 224/2024 de fecha catorce de mayo de dos mil veinticuatro.</w:t>
            </w:r>
          </w:p>
        </w:tc>
        <w:tc>
          <w:tcPr>
            <w:tcW w:w="3157" w:type="dxa"/>
            <w:tcBorders>
              <w:top w:val="single" w:sz="4" w:space="0" w:color="auto"/>
              <w:left w:val="single" w:sz="4" w:space="0" w:color="auto"/>
              <w:bottom w:val="single" w:sz="4" w:space="0" w:color="auto"/>
              <w:right w:val="single" w:sz="4" w:space="0" w:color="auto"/>
            </w:tcBorders>
            <w:hideMark/>
          </w:tcPr>
          <w:p w14:paraId="13E55DDA" w14:textId="4A8028F2" w:rsidR="000A53E0" w:rsidRPr="000A53E0" w:rsidRDefault="000A53E0" w:rsidP="00CF0630">
            <w:pPr>
              <w:autoSpaceDE w:val="0"/>
              <w:autoSpaceDN w:val="0"/>
              <w:adjustRightInd w:val="0"/>
              <w:spacing w:after="255" w:line="360" w:lineRule="auto"/>
              <w:contextualSpacing/>
              <w:jc w:val="both"/>
              <w:rPr>
                <w:rFonts w:ascii="Palatino Linotype" w:hAnsi="Palatino Linotype" w:cs="Tahoma"/>
              </w:rPr>
            </w:pPr>
            <w:r w:rsidRPr="000A53E0">
              <w:rPr>
                <w:rFonts w:ascii="Palatino Linotype" w:hAnsi="Palatino Linotype" w:cs="Tahoma"/>
              </w:rPr>
              <w:t>Precisar la información que se requiere</w:t>
            </w:r>
            <w:r w:rsidR="00CF0630">
              <w:rPr>
                <w:rFonts w:ascii="Palatino Linotype" w:hAnsi="Palatino Linotype" w:cs="Tahoma"/>
              </w:rPr>
              <w:t>, al solicitar más elementos que pudieran permitir su localización.</w:t>
            </w:r>
          </w:p>
        </w:tc>
        <w:tc>
          <w:tcPr>
            <w:tcW w:w="2704" w:type="dxa"/>
            <w:tcBorders>
              <w:top w:val="single" w:sz="4" w:space="0" w:color="auto"/>
              <w:left w:val="single" w:sz="4" w:space="0" w:color="auto"/>
              <w:bottom w:val="single" w:sz="4" w:space="0" w:color="auto"/>
              <w:right w:val="single" w:sz="4" w:space="0" w:color="auto"/>
            </w:tcBorders>
          </w:tcPr>
          <w:p w14:paraId="39217AC3" w14:textId="0E512D71" w:rsidR="000A53E0" w:rsidRPr="000A53E0" w:rsidRDefault="00CF0630" w:rsidP="000A53E0">
            <w:pPr>
              <w:autoSpaceDE w:val="0"/>
              <w:autoSpaceDN w:val="0"/>
              <w:adjustRightInd w:val="0"/>
              <w:spacing w:after="255" w:line="360" w:lineRule="auto"/>
              <w:contextualSpacing/>
              <w:rPr>
                <w:rFonts w:ascii="Palatino Linotype" w:hAnsi="Palatino Linotype" w:cs="Tahoma"/>
              </w:rPr>
            </w:pPr>
            <w:r>
              <w:rPr>
                <w:rFonts w:ascii="Palatino Linotype" w:hAnsi="Palatino Linotype" w:cs="Tahoma"/>
              </w:rPr>
              <w:t>No hubo</w:t>
            </w:r>
          </w:p>
        </w:tc>
      </w:tr>
    </w:tbl>
    <w:p w14:paraId="5FEB40BC" w14:textId="77777777" w:rsidR="00137D7D" w:rsidRDefault="00137D7D" w:rsidP="00CF0630">
      <w:pPr>
        <w:widowControl w:val="0"/>
        <w:spacing w:line="360" w:lineRule="auto"/>
        <w:jc w:val="both"/>
        <w:rPr>
          <w:rFonts w:ascii="Palatino Linotype" w:eastAsia="Palatino Linotype" w:hAnsi="Palatino Linotype" w:cs="Palatino Linotype"/>
          <w:sz w:val="22"/>
          <w:szCs w:val="22"/>
        </w:rPr>
      </w:pPr>
    </w:p>
    <w:p w14:paraId="2EB4AF23" w14:textId="42C6CE75" w:rsidR="00CF0630" w:rsidRPr="00CF0630" w:rsidRDefault="00CF0630" w:rsidP="00CF0630">
      <w:pPr>
        <w:widowControl w:val="0"/>
        <w:spacing w:line="360" w:lineRule="auto"/>
        <w:jc w:val="both"/>
        <w:rPr>
          <w:rFonts w:ascii="Palatino Linotype" w:eastAsia="Palatino Linotype" w:hAnsi="Palatino Linotype" w:cs="Palatino Linotype"/>
          <w:sz w:val="22"/>
          <w:szCs w:val="22"/>
          <w:u w:val="single"/>
        </w:rPr>
      </w:pPr>
      <w:r>
        <w:rPr>
          <w:rFonts w:ascii="Palatino Linotype" w:eastAsia="Palatino Linotype" w:hAnsi="Palatino Linotype" w:cs="Palatino Linotype"/>
          <w:sz w:val="22"/>
          <w:szCs w:val="22"/>
        </w:rPr>
        <w:t xml:space="preserve">En ese contexto, el Reglamento Sobre Formación y Registro de Tesis y Jurisprudencia para los órganos del Tribunal Superior de Justicia del Estado de México, en su artículo 10, fracción III, inciso B, refiere que dentro de las reglas </w:t>
      </w:r>
      <w:r w:rsidRPr="00CA4B8E">
        <w:rPr>
          <w:rFonts w:ascii="Palatino Linotype" w:eastAsia="Palatino Linotype" w:hAnsi="Palatino Linotype" w:cs="Palatino Linotype"/>
          <w:sz w:val="22"/>
          <w:szCs w:val="22"/>
        </w:rPr>
        <w:t>para la formación de los datos de identificación de un asunto</w:t>
      </w:r>
      <w:r>
        <w:rPr>
          <w:rFonts w:ascii="Palatino Linotype" w:eastAsia="Palatino Linotype" w:hAnsi="Palatino Linotype" w:cs="Palatino Linotype"/>
          <w:sz w:val="22"/>
          <w:szCs w:val="22"/>
        </w:rPr>
        <w:t xml:space="preserve"> el </w:t>
      </w:r>
      <w:r>
        <w:rPr>
          <w:rFonts w:ascii="Palatino Linotype" w:eastAsia="Palatino Linotype" w:hAnsi="Palatino Linotype" w:cs="Palatino Linotype"/>
          <w:b/>
          <w:sz w:val="22"/>
          <w:szCs w:val="22"/>
        </w:rPr>
        <w:t xml:space="preserve">Toca </w:t>
      </w:r>
      <w:r w:rsidRPr="00CF0630">
        <w:rPr>
          <w:rFonts w:ascii="Palatino Linotype" w:eastAsia="Palatino Linotype" w:hAnsi="Palatino Linotype" w:cs="Palatino Linotype"/>
          <w:sz w:val="22"/>
          <w:szCs w:val="22"/>
          <w:u w:val="single"/>
        </w:rPr>
        <w:t>corresponde al expediente de apelación.</w:t>
      </w:r>
    </w:p>
    <w:p w14:paraId="0E7D0159" w14:textId="77777777" w:rsidR="000A53E0" w:rsidRDefault="000A53E0" w:rsidP="000A53E0">
      <w:pPr>
        <w:autoSpaceDE w:val="0"/>
        <w:autoSpaceDN w:val="0"/>
        <w:adjustRightInd w:val="0"/>
        <w:spacing w:after="160" w:line="360" w:lineRule="auto"/>
        <w:contextualSpacing/>
        <w:jc w:val="both"/>
        <w:rPr>
          <w:rFonts w:ascii="Palatino Linotype" w:hAnsi="Palatino Linotype" w:cs="Tahoma"/>
          <w:iCs/>
          <w:sz w:val="22"/>
          <w:szCs w:val="22"/>
          <w:lang w:val="es-ES"/>
        </w:rPr>
      </w:pPr>
    </w:p>
    <w:p w14:paraId="56A9B57E" w14:textId="5608AE78" w:rsidR="00C82A5A" w:rsidRDefault="00BB00E1" w:rsidP="000A53E0">
      <w:pPr>
        <w:autoSpaceDE w:val="0"/>
        <w:autoSpaceDN w:val="0"/>
        <w:adjustRightInd w:val="0"/>
        <w:spacing w:after="160" w:line="360" w:lineRule="auto"/>
        <w:contextualSpacing/>
        <w:jc w:val="both"/>
        <w:rPr>
          <w:rFonts w:ascii="Palatino Linotype" w:hAnsi="Palatino Linotype" w:cs="Tahoma"/>
          <w:iCs/>
          <w:sz w:val="22"/>
          <w:szCs w:val="22"/>
          <w:lang w:val="es-ES"/>
        </w:rPr>
      </w:pPr>
      <w:r>
        <w:rPr>
          <w:rFonts w:ascii="Palatino Linotype" w:hAnsi="Palatino Linotype" w:cs="Tahoma"/>
          <w:iCs/>
          <w:sz w:val="22"/>
          <w:szCs w:val="22"/>
          <w:lang w:val="es-ES"/>
        </w:rPr>
        <w:t xml:space="preserve">Conforme a lo anterior, pareciera que el Toca es una nomenclatura que utiliza el Poder Judicial del Estado de México y no el Tribunal de Justicia Administrativa de dicha Entidad, pues este Instituto realizó una búsqueda en la normatividad aplicable y no localizó algún indicio de que el Ente Recurrido utilice </w:t>
      </w:r>
      <w:r w:rsidR="00C82A5A">
        <w:rPr>
          <w:rFonts w:ascii="Palatino Linotype" w:hAnsi="Palatino Linotype" w:cs="Tahoma"/>
          <w:iCs/>
          <w:sz w:val="22"/>
          <w:szCs w:val="22"/>
          <w:lang w:val="es-ES"/>
        </w:rPr>
        <w:t>dicha codificación para nombrar a sus legajos.</w:t>
      </w:r>
    </w:p>
    <w:p w14:paraId="510469AF" w14:textId="77777777" w:rsidR="00C82A5A" w:rsidRDefault="00C82A5A" w:rsidP="000A53E0">
      <w:pPr>
        <w:autoSpaceDE w:val="0"/>
        <w:autoSpaceDN w:val="0"/>
        <w:adjustRightInd w:val="0"/>
        <w:spacing w:after="160" w:line="360" w:lineRule="auto"/>
        <w:contextualSpacing/>
        <w:jc w:val="both"/>
        <w:rPr>
          <w:rFonts w:ascii="Palatino Linotype" w:hAnsi="Palatino Linotype" w:cs="Tahoma"/>
          <w:iCs/>
          <w:sz w:val="22"/>
          <w:szCs w:val="22"/>
          <w:lang w:val="es-ES"/>
        </w:rPr>
      </w:pPr>
    </w:p>
    <w:p w14:paraId="7B91BB5D" w14:textId="00399F89" w:rsidR="00C82A5A" w:rsidRPr="000A53E0" w:rsidRDefault="00C82A5A" w:rsidP="000A53E0">
      <w:pPr>
        <w:autoSpaceDE w:val="0"/>
        <w:autoSpaceDN w:val="0"/>
        <w:adjustRightInd w:val="0"/>
        <w:spacing w:after="160" w:line="360" w:lineRule="auto"/>
        <w:contextualSpacing/>
        <w:jc w:val="both"/>
        <w:rPr>
          <w:rFonts w:ascii="Palatino Linotype" w:hAnsi="Palatino Linotype" w:cs="Tahoma"/>
          <w:iCs/>
          <w:sz w:val="22"/>
          <w:szCs w:val="22"/>
          <w:lang w:val="es-ES"/>
        </w:rPr>
      </w:pPr>
      <w:r>
        <w:rPr>
          <w:rFonts w:ascii="Palatino Linotype" w:hAnsi="Palatino Linotype" w:cs="Tahoma"/>
          <w:iCs/>
          <w:sz w:val="22"/>
          <w:szCs w:val="22"/>
          <w:lang w:val="es-ES"/>
        </w:rPr>
        <w:t>De tal suerte, que si bien la aclaración solicitada por el Sujeto Obligado, no fue realizada de manera específica, si era necesaria para poder obtener elementos que identificaron la ubicación del expediente; tan es así, que el propio Particular señaló en el Medio de Impugnación, que la Sentencia la había emitido la Segunda Sala Colegiada Civil de Toluca.</w:t>
      </w:r>
    </w:p>
    <w:p w14:paraId="73554EE4" w14:textId="77777777" w:rsidR="00717770" w:rsidRDefault="00717770">
      <w:pPr>
        <w:tabs>
          <w:tab w:val="left" w:pos="4962"/>
        </w:tabs>
        <w:spacing w:line="360" w:lineRule="auto"/>
        <w:jc w:val="both"/>
        <w:rPr>
          <w:rFonts w:ascii="Palatino Linotype" w:eastAsia="Palatino Linotype" w:hAnsi="Palatino Linotype" w:cs="Palatino Linotype"/>
          <w:b/>
          <w:sz w:val="22"/>
          <w:szCs w:val="22"/>
        </w:rPr>
      </w:pPr>
    </w:p>
    <w:p w14:paraId="3D3DEC0D" w14:textId="298B43E7" w:rsidR="00C82A5A" w:rsidRPr="00C82A5A" w:rsidRDefault="00C82A5A">
      <w:pPr>
        <w:tabs>
          <w:tab w:val="left" w:pos="4962"/>
        </w:tabs>
        <w:spacing w:line="360" w:lineRule="auto"/>
        <w:jc w:val="both"/>
        <w:rPr>
          <w:rFonts w:ascii="Palatino Linotype" w:eastAsia="Palatino Linotype" w:hAnsi="Palatino Linotype" w:cs="Palatino Linotype"/>
          <w:bCs/>
          <w:sz w:val="22"/>
          <w:szCs w:val="22"/>
        </w:rPr>
      </w:pPr>
      <w:r>
        <w:rPr>
          <w:rFonts w:ascii="Palatino Linotype" w:eastAsia="Palatino Linotype" w:hAnsi="Palatino Linotype" w:cs="Palatino Linotype"/>
          <w:bCs/>
          <w:sz w:val="22"/>
          <w:szCs w:val="22"/>
        </w:rPr>
        <w:lastRenderedPageBreak/>
        <w:t>Sobre dicha circunstancia, este Instituto realizó la búsqueda en el Directorio de Salas del Poder Judicial del Estado de México y localizó que la mencionada por la persona Recurrente, le pertenece a este, tal como se muestra a continuación:</w:t>
      </w:r>
    </w:p>
    <w:p w14:paraId="4069DF9B" w14:textId="77777777" w:rsidR="00717770" w:rsidRDefault="00717770">
      <w:pPr>
        <w:tabs>
          <w:tab w:val="left" w:pos="4962"/>
        </w:tabs>
        <w:spacing w:line="360" w:lineRule="auto"/>
        <w:jc w:val="both"/>
        <w:rPr>
          <w:rFonts w:ascii="Palatino Linotype" w:eastAsia="Palatino Linotype" w:hAnsi="Palatino Linotype" w:cs="Palatino Linotype"/>
          <w:b/>
          <w:sz w:val="22"/>
          <w:szCs w:val="22"/>
        </w:rPr>
      </w:pPr>
    </w:p>
    <w:p w14:paraId="64BF2203" w14:textId="326EB1EF" w:rsidR="00717770" w:rsidRDefault="00C82A5A" w:rsidP="00C82A5A">
      <w:pPr>
        <w:tabs>
          <w:tab w:val="left" w:pos="4962"/>
        </w:tabs>
        <w:spacing w:line="360" w:lineRule="auto"/>
        <w:jc w:val="center"/>
        <w:rPr>
          <w:rFonts w:ascii="Palatino Linotype" w:eastAsia="Palatino Linotype" w:hAnsi="Palatino Linotype" w:cs="Palatino Linotype"/>
          <w:b/>
          <w:sz w:val="22"/>
          <w:szCs w:val="22"/>
        </w:rPr>
      </w:pPr>
      <w:r w:rsidRPr="00C82A5A">
        <w:rPr>
          <w:rFonts w:ascii="Palatino Linotype" w:eastAsia="Palatino Linotype" w:hAnsi="Palatino Linotype" w:cs="Palatino Linotype"/>
          <w:b/>
          <w:noProof/>
          <w:sz w:val="22"/>
          <w:szCs w:val="22"/>
          <w:lang w:eastAsia="es-MX"/>
        </w:rPr>
        <w:drawing>
          <wp:inline distT="0" distB="0" distL="0" distR="0" wp14:anchorId="5BACF544" wp14:editId="608B3561">
            <wp:extent cx="5040000" cy="1487926"/>
            <wp:effectExtent l="0" t="0" r="8255" b="0"/>
            <wp:docPr id="100332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3210" name=""/>
                    <pic:cNvPicPr/>
                  </pic:nvPicPr>
                  <pic:blipFill rotWithShape="1">
                    <a:blip r:embed="rId14"/>
                    <a:srcRect b="71275"/>
                    <a:stretch/>
                  </pic:blipFill>
                  <pic:spPr bwMode="auto">
                    <a:xfrm>
                      <a:off x="0" y="0"/>
                      <a:ext cx="5040000" cy="1487926"/>
                    </a:xfrm>
                    <a:prstGeom prst="rect">
                      <a:avLst/>
                    </a:prstGeom>
                    <a:ln>
                      <a:noFill/>
                    </a:ln>
                    <a:extLst>
                      <a:ext uri="{53640926-AAD7-44D8-BBD7-CCE9431645EC}">
                        <a14:shadowObscured xmlns:a14="http://schemas.microsoft.com/office/drawing/2010/main"/>
                      </a:ext>
                    </a:extLst>
                  </pic:spPr>
                </pic:pic>
              </a:graphicData>
            </a:graphic>
          </wp:inline>
        </w:drawing>
      </w:r>
    </w:p>
    <w:p w14:paraId="3579F53F" w14:textId="77777777" w:rsidR="001E18D0" w:rsidRDefault="001E18D0" w:rsidP="00C82A5A">
      <w:pPr>
        <w:tabs>
          <w:tab w:val="left" w:pos="4962"/>
        </w:tabs>
        <w:spacing w:line="360" w:lineRule="auto"/>
        <w:jc w:val="center"/>
        <w:rPr>
          <w:rFonts w:ascii="Palatino Linotype" w:eastAsia="Palatino Linotype" w:hAnsi="Palatino Linotype" w:cs="Palatino Linotype"/>
          <w:b/>
          <w:sz w:val="22"/>
          <w:szCs w:val="22"/>
        </w:rPr>
      </w:pPr>
    </w:p>
    <w:p w14:paraId="69AE32D9" w14:textId="6063E946" w:rsidR="00C82A5A" w:rsidRDefault="00C82A5A" w:rsidP="00C82A5A">
      <w:pPr>
        <w:tabs>
          <w:tab w:val="left" w:pos="4962"/>
        </w:tabs>
        <w:spacing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noProof/>
          <w:sz w:val="22"/>
          <w:szCs w:val="22"/>
          <w:lang w:eastAsia="es-MX"/>
        </w:rPr>
        <mc:AlternateContent>
          <mc:Choice Requires="wps">
            <w:drawing>
              <wp:anchor distT="0" distB="0" distL="114300" distR="114300" simplePos="0" relativeHeight="251659264" behindDoc="0" locked="0" layoutInCell="1" allowOverlap="1" wp14:anchorId="73F9112C" wp14:editId="41CA89FD">
                <wp:simplePos x="0" y="0"/>
                <wp:positionH relativeFrom="column">
                  <wp:posOffset>334645</wp:posOffset>
                </wp:positionH>
                <wp:positionV relativeFrom="paragraph">
                  <wp:posOffset>2966720</wp:posOffset>
                </wp:positionV>
                <wp:extent cx="5048885" cy="693420"/>
                <wp:effectExtent l="19050" t="19050" r="18415" b="11430"/>
                <wp:wrapNone/>
                <wp:docPr id="1019718889" name="Rectángulo 1"/>
                <wp:cNvGraphicFramePr/>
                <a:graphic xmlns:a="http://schemas.openxmlformats.org/drawingml/2006/main">
                  <a:graphicData uri="http://schemas.microsoft.com/office/word/2010/wordprocessingShape">
                    <wps:wsp>
                      <wps:cNvSpPr/>
                      <wps:spPr>
                        <a:xfrm>
                          <a:off x="0" y="0"/>
                          <a:ext cx="5048885" cy="693420"/>
                        </a:xfrm>
                        <a:prstGeom prst="rect">
                          <a:avLst/>
                        </a:prstGeom>
                        <a:no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AAC8506" id="Rectángulo 1" o:spid="_x0000_s1026" style="position:absolute;margin-left:26.35pt;margin-top:233.6pt;width:397.55pt;height:54.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" filled="f" strokecolor="black [3213]" strokeweight="2.25pt"/>
            </w:pict>
          </mc:Fallback>
        </mc:AlternateContent>
      </w:r>
      <w:r w:rsidRPr="00C82A5A">
        <w:rPr>
          <w:rFonts w:ascii="Palatino Linotype" w:eastAsia="Palatino Linotype" w:hAnsi="Palatino Linotype" w:cs="Palatino Linotype"/>
          <w:b/>
          <w:noProof/>
          <w:sz w:val="22"/>
          <w:szCs w:val="22"/>
          <w:lang w:eastAsia="es-MX"/>
        </w:rPr>
        <w:drawing>
          <wp:inline distT="0" distB="0" distL="0" distR="0" wp14:anchorId="1B123F3A" wp14:editId="4AE35128">
            <wp:extent cx="5039824" cy="3655695"/>
            <wp:effectExtent l="0" t="0" r="8890" b="1905"/>
            <wp:docPr id="96352840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528403" name=""/>
                    <pic:cNvPicPr/>
                  </pic:nvPicPr>
                  <pic:blipFill rotWithShape="1">
                    <a:blip r:embed="rId14"/>
                    <a:srcRect t="29422"/>
                    <a:stretch/>
                  </pic:blipFill>
                  <pic:spPr bwMode="auto">
                    <a:xfrm>
                      <a:off x="0" y="0"/>
                      <a:ext cx="5040000" cy="3655823"/>
                    </a:xfrm>
                    <a:prstGeom prst="rect">
                      <a:avLst/>
                    </a:prstGeom>
                    <a:ln>
                      <a:noFill/>
                    </a:ln>
                    <a:extLst>
                      <a:ext uri="{53640926-AAD7-44D8-BBD7-CCE9431645EC}">
                        <a14:shadowObscured xmlns:a14="http://schemas.microsoft.com/office/drawing/2010/main"/>
                      </a:ext>
                    </a:extLst>
                  </pic:spPr>
                </pic:pic>
              </a:graphicData>
            </a:graphic>
          </wp:inline>
        </w:drawing>
      </w:r>
    </w:p>
    <w:p w14:paraId="0A6FB708" w14:textId="77777777" w:rsidR="00717770" w:rsidRDefault="00717770">
      <w:pPr>
        <w:tabs>
          <w:tab w:val="left" w:pos="4962"/>
        </w:tabs>
        <w:spacing w:line="360" w:lineRule="auto"/>
        <w:jc w:val="both"/>
        <w:rPr>
          <w:rFonts w:ascii="Palatino Linotype" w:eastAsia="Palatino Linotype" w:hAnsi="Palatino Linotype" w:cs="Palatino Linotype"/>
          <w:sz w:val="22"/>
          <w:szCs w:val="22"/>
        </w:rPr>
      </w:pPr>
    </w:p>
    <w:p w14:paraId="68C02190" w14:textId="6A1D93CA" w:rsidR="00C82A5A" w:rsidRDefault="00C82A5A">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Conforme a lo anterior, este Instituto considera que la aclaración solicitada por el Sujeto Obligado, era necesaria pues no contaba con los elementos suficientes para localizar la información; tan es así, que si el Solicitante la fuera desahogado en el momento procesal oportuno, el Ente Recurrido contaría con los elementos para declararse incompetente o entregar lo que obrara en sus archivos.</w:t>
      </w:r>
    </w:p>
    <w:p w14:paraId="040AE391" w14:textId="77777777" w:rsidR="00C82A5A" w:rsidRDefault="00C82A5A">
      <w:pPr>
        <w:tabs>
          <w:tab w:val="left" w:pos="4962"/>
        </w:tabs>
        <w:spacing w:line="360" w:lineRule="auto"/>
        <w:jc w:val="both"/>
        <w:rPr>
          <w:rFonts w:ascii="Palatino Linotype" w:eastAsia="Palatino Linotype" w:hAnsi="Palatino Linotype" w:cs="Palatino Linotype"/>
          <w:sz w:val="22"/>
          <w:szCs w:val="22"/>
        </w:rPr>
      </w:pPr>
    </w:p>
    <w:p w14:paraId="6F3F06AF" w14:textId="3D9F1A5A" w:rsidR="00C82A5A" w:rsidRDefault="00C82A5A" w:rsidP="00C82A5A">
      <w:pPr>
        <w:spacing w:line="360" w:lineRule="auto"/>
        <w:jc w:val="both"/>
        <w:rPr>
          <w:rFonts w:ascii="Palatino Linotype" w:hAnsi="Palatino Linotype" w:cs="Tahoma"/>
          <w:bCs/>
          <w:sz w:val="22"/>
          <w:szCs w:val="22"/>
          <w:lang w:val="es-ES"/>
        </w:rPr>
      </w:pPr>
      <w:r w:rsidRPr="00C82A5A">
        <w:rPr>
          <w:rFonts w:ascii="Palatino Linotype" w:hAnsi="Palatino Linotype" w:cs="Tahoma"/>
          <w:bCs/>
          <w:sz w:val="22"/>
          <w:szCs w:val="22"/>
          <w:lang w:val="es-ES"/>
        </w:rPr>
        <w:t xml:space="preserve">En ese orden de ideas, si bien el Particular se inconformó de que no le entregaron la información requerida, dicha situación recae al hecho de que este no </w:t>
      </w:r>
      <w:r>
        <w:rPr>
          <w:rFonts w:ascii="Palatino Linotype" w:hAnsi="Palatino Linotype" w:cs="Tahoma"/>
          <w:bCs/>
          <w:sz w:val="22"/>
          <w:szCs w:val="22"/>
          <w:lang w:val="es-ES"/>
        </w:rPr>
        <w:t>dio los elementos necesarios para darle trámite a su solicitud</w:t>
      </w:r>
      <w:r w:rsidRPr="00C82A5A">
        <w:rPr>
          <w:rFonts w:ascii="Palatino Linotype" w:hAnsi="Palatino Linotype" w:cs="Tahoma"/>
          <w:bCs/>
          <w:sz w:val="22"/>
          <w:szCs w:val="22"/>
          <w:lang w:val="es-ES"/>
        </w:rPr>
        <w:t>; por lo que, este Instituto considera que la solicitud al no cumplir con los requisitos establecidos en la normatividad aplicable, el Medio de Impugnación no actualiza ninguna causal de procedencia, pues el requerimiento resulta inatendible, al no precisar de manera específica a la información que se requería conocer.</w:t>
      </w:r>
    </w:p>
    <w:p w14:paraId="17343858" w14:textId="77777777" w:rsidR="00C82A5A" w:rsidRDefault="00C82A5A" w:rsidP="00C82A5A">
      <w:pPr>
        <w:spacing w:line="360" w:lineRule="auto"/>
        <w:jc w:val="both"/>
        <w:rPr>
          <w:rFonts w:ascii="Palatino Linotype" w:hAnsi="Palatino Linotype" w:cs="Tahoma"/>
          <w:bCs/>
          <w:sz w:val="22"/>
          <w:szCs w:val="22"/>
          <w:lang w:val="es-ES"/>
        </w:rPr>
      </w:pPr>
    </w:p>
    <w:p w14:paraId="2320A22F" w14:textId="5CE3819B" w:rsidR="00C82A5A" w:rsidRPr="00C82A5A" w:rsidRDefault="00C82A5A" w:rsidP="001E18D0">
      <w:pPr>
        <w:spacing w:line="360" w:lineRule="auto"/>
        <w:jc w:val="both"/>
        <w:rPr>
          <w:rFonts w:ascii="Palatino Linotype" w:eastAsia="Palatino Linotype" w:hAnsi="Palatino Linotype" w:cs="Palatino Linotype"/>
          <w:sz w:val="22"/>
          <w:szCs w:val="22"/>
        </w:rPr>
      </w:pPr>
      <w:r w:rsidRPr="00C82A5A">
        <w:rPr>
          <w:rFonts w:ascii="Palatino Linotype" w:eastAsia="Palatino Linotype" w:hAnsi="Palatino Linotype" w:cs="Palatino Linotype"/>
          <w:sz w:val="22"/>
          <w:szCs w:val="22"/>
        </w:rPr>
        <w:t xml:space="preserve">Por tales circunstancias, dado que en el Recurso de Revisión no actualiza ninguna causal de procedencia, </w:t>
      </w:r>
      <w:r w:rsidR="001E18D0" w:rsidRPr="001E18D0">
        <w:rPr>
          <w:rFonts w:ascii="Palatino Linotype" w:eastAsia="Palatino Linotype" w:hAnsi="Palatino Linotype" w:cs="Palatino Linotype"/>
          <w:sz w:val="22"/>
          <w:szCs w:val="22"/>
        </w:rPr>
        <w:t xml:space="preserve">toda vez que no desahogó la aclaración realizada en el momento procesal oportuno y la solicitud de información no cuenta con todos los elementos necesarios para darle trámite; </w:t>
      </w:r>
      <w:r w:rsidR="001E18D0" w:rsidRPr="001E18D0">
        <w:rPr>
          <w:rFonts w:ascii="Palatino Linotype" w:eastAsia="Palatino Linotype" w:hAnsi="Palatino Linotype" w:cs="Palatino Linotype"/>
          <w:b/>
          <w:bCs/>
          <w:sz w:val="22"/>
          <w:szCs w:val="22"/>
        </w:rPr>
        <w:t>por lo que,</w:t>
      </w:r>
      <w:r w:rsidRPr="00C82A5A">
        <w:rPr>
          <w:rFonts w:ascii="Palatino Linotype" w:eastAsia="Palatino Linotype" w:hAnsi="Palatino Linotype" w:cs="Palatino Linotype"/>
          <w:b/>
          <w:bCs/>
          <w:sz w:val="22"/>
          <w:szCs w:val="22"/>
        </w:rPr>
        <w:t xml:space="preserve"> se actualiza la causal de </w:t>
      </w:r>
      <w:proofErr w:type="spellStart"/>
      <w:r w:rsidRPr="00C82A5A">
        <w:rPr>
          <w:rFonts w:ascii="Palatino Linotype" w:eastAsia="Palatino Linotype" w:hAnsi="Palatino Linotype" w:cs="Palatino Linotype"/>
          <w:b/>
          <w:bCs/>
          <w:sz w:val="22"/>
          <w:szCs w:val="22"/>
        </w:rPr>
        <w:t>desechamiento</w:t>
      </w:r>
      <w:proofErr w:type="spellEnd"/>
      <w:r w:rsidRPr="00C82A5A">
        <w:rPr>
          <w:rFonts w:ascii="Palatino Linotype" w:eastAsia="Palatino Linotype" w:hAnsi="Palatino Linotype" w:cs="Palatino Linotype"/>
          <w:b/>
          <w:bCs/>
          <w:sz w:val="22"/>
          <w:szCs w:val="22"/>
        </w:rPr>
        <w:t xml:space="preserve"> establecida en el artículo 191, fracción III, d</w:t>
      </w:r>
      <w:r w:rsidRPr="00C82A5A">
        <w:rPr>
          <w:rFonts w:ascii="Palatino Linotype" w:eastAsia="Palatino Linotype" w:hAnsi="Palatino Linotype" w:cs="Palatino Linotype"/>
          <w:sz w:val="22"/>
          <w:szCs w:val="22"/>
        </w:rPr>
        <w:t>e la Ley de Transparencia y Acceso a la Información Pública del Estado de México y Municipios.</w:t>
      </w:r>
    </w:p>
    <w:p w14:paraId="35FA9B2C" w14:textId="77777777" w:rsidR="00C82A5A" w:rsidRPr="001E18D0" w:rsidRDefault="00C82A5A" w:rsidP="001E18D0">
      <w:pPr>
        <w:spacing w:line="360" w:lineRule="auto"/>
        <w:jc w:val="both"/>
        <w:rPr>
          <w:rFonts w:ascii="Palatino Linotype" w:eastAsia="Palatino Linotype" w:hAnsi="Palatino Linotype" w:cs="Palatino Linotype"/>
          <w:sz w:val="22"/>
          <w:szCs w:val="22"/>
        </w:rPr>
      </w:pPr>
    </w:p>
    <w:p w14:paraId="49E186C8" w14:textId="5FF0F42D" w:rsidR="001E18D0" w:rsidRPr="001E18D0" w:rsidRDefault="001E18D0" w:rsidP="001E18D0">
      <w:pPr>
        <w:spacing w:line="360" w:lineRule="auto"/>
        <w:jc w:val="both"/>
        <w:rPr>
          <w:rFonts w:ascii="Palatino Linotype" w:eastAsia="Palatino Linotype" w:hAnsi="Palatino Linotype" w:cs="Palatino Linotype"/>
          <w:sz w:val="22"/>
          <w:szCs w:val="22"/>
        </w:rPr>
      </w:pPr>
      <w:r w:rsidRPr="001E18D0">
        <w:rPr>
          <w:rFonts w:ascii="Palatino Linotype" w:eastAsia="Palatino Linotype" w:hAnsi="Palatino Linotype" w:cs="Palatino Linotype"/>
          <w:sz w:val="22"/>
          <w:szCs w:val="22"/>
        </w:rPr>
        <w:t xml:space="preserve">Además, que no abonaría y resultará inútil ordenar al Sujeto Obligado a realizar una búsqueda de información, que como ya se mencionó no obra en sus archivos, pues la información solicitada obra en los archivos de la Segunda Sala Colegiada Civil de Toluca, que forma parte del Poder Judicial del Estado de México. </w:t>
      </w:r>
    </w:p>
    <w:p w14:paraId="1EF8E4E5" w14:textId="77777777" w:rsidR="001E18D0" w:rsidRPr="00C82A5A" w:rsidRDefault="001E18D0" w:rsidP="001E18D0">
      <w:pPr>
        <w:spacing w:line="360" w:lineRule="auto"/>
        <w:jc w:val="both"/>
        <w:rPr>
          <w:rFonts w:ascii="Palatino Linotype" w:eastAsia="Palatino Linotype" w:hAnsi="Palatino Linotype" w:cs="Palatino Linotype"/>
          <w:sz w:val="22"/>
          <w:szCs w:val="22"/>
        </w:rPr>
      </w:pPr>
    </w:p>
    <w:p w14:paraId="6A1FC65E" w14:textId="7662589D" w:rsidR="00C82A5A" w:rsidRPr="00C82A5A" w:rsidRDefault="00C82A5A" w:rsidP="001E18D0">
      <w:pPr>
        <w:spacing w:line="360" w:lineRule="auto"/>
        <w:jc w:val="both"/>
        <w:rPr>
          <w:rFonts w:ascii="Palatino Linotype" w:eastAsia="Palatino Linotype" w:hAnsi="Palatino Linotype" w:cs="Palatino Linotype"/>
          <w:sz w:val="22"/>
          <w:szCs w:val="22"/>
        </w:rPr>
      </w:pPr>
      <w:r w:rsidRPr="00C82A5A">
        <w:rPr>
          <w:rFonts w:ascii="Palatino Linotype" w:eastAsia="Palatino Linotype" w:hAnsi="Palatino Linotype" w:cs="Palatino Linotype"/>
          <w:sz w:val="22"/>
          <w:szCs w:val="22"/>
        </w:rPr>
        <w:lastRenderedPageBreak/>
        <w:t>Sin embargo, se dejan a salvo sus derechos para el caso de que sea de su interés, vuelva a presentar su solicitud de información</w:t>
      </w:r>
      <w:r w:rsidR="001E18D0">
        <w:rPr>
          <w:rFonts w:ascii="Palatino Linotype" w:eastAsia="Palatino Linotype" w:hAnsi="Palatino Linotype" w:cs="Palatino Linotype"/>
          <w:sz w:val="22"/>
          <w:szCs w:val="22"/>
        </w:rPr>
        <w:t>, ahora ante el Poder Judicial del Estado de México</w:t>
      </w:r>
      <w:r w:rsidRPr="00C82A5A">
        <w:rPr>
          <w:rFonts w:ascii="Palatino Linotype" w:eastAsia="Palatino Linotype" w:hAnsi="Palatino Linotype" w:cs="Palatino Linotype"/>
          <w:sz w:val="22"/>
          <w:szCs w:val="22"/>
        </w:rPr>
        <w:t xml:space="preserve">, en donde de los elementos suficientes para que </w:t>
      </w:r>
      <w:r w:rsidR="001E18D0">
        <w:rPr>
          <w:rFonts w:ascii="Palatino Linotype" w:eastAsia="Palatino Linotype" w:hAnsi="Palatino Linotype" w:cs="Palatino Linotype"/>
          <w:sz w:val="22"/>
          <w:szCs w:val="22"/>
        </w:rPr>
        <w:t>este</w:t>
      </w:r>
      <w:r w:rsidRPr="00C82A5A">
        <w:rPr>
          <w:rFonts w:ascii="Palatino Linotype" w:eastAsia="Palatino Linotype" w:hAnsi="Palatino Linotype" w:cs="Palatino Linotype"/>
          <w:sz w:val="22"/>
          <w:szCs w:val="22"/>
        </w:rPr>
        <w:t xml:space="preserve">, este en posibilidades </w:t>
      </w:r>
      <w:r w:rsidR="001E18D0">
        <w:rPr>
          <w:rFonts w:ascii="Palatino Linotype" w:eastAsia="Palatino Linotype" w:hAnsi="Palatino Linotype" w:cs="Palatino Linotype"/>
          <w:sz w:val="22"/>
          <w:szCs w:val="22"/>
        </w:rPr>
        <w:t>de darle una respuesta adecuada.</w:t>
      </w:r>
    </w:p>
    <w:p w14:paraId="25C9BDD1" w14:textId="77777777" w:rsidR="00C82A5A" w:rsidRDefault="00C82A5A">
      <w:pPr>
        <w:tabs>
          <w:tab w:val="left" w:pos="4962"/>
        </w:tabs>
        <w:spacing w:line="360" w:lineRule="auto"/>
        <w:jc w:val="both"/>
        <w:rPr>
          <w:rFonts w:ascii="Palatino Linotype" w:eastAsia="Palatino Linotype" w:hAnsi="Palatino Linotype" w:cs="Palatino Linotype"/>
          <w:sz w:val="22"/>
          <w:szCs w:val="22"/>
        </w:rPr>
      </w:pPr>
    </w:p>
    <w:p w14:paraId="1A35D415" w14:textId="77777777" w:rsidR="001E18D0" w:rsidRPr="001E18D0" w:rsidRDefault="001E18D0" w:rsidP="001E18D0">
      <w:pPr>
        <w:keepNext/>
        <w:keepLines/>
        <w:spacing w:line="360" w:lineRule="auto"/>
        <w:outlineLvl w:val="0"/>
        <w:rPr>
          <w:rFonts w:ascii="Palatino Linotype" w:hAnsi="Palatino Linotype"/>
          <w:b/>
          <w:sz w:val="22"/>
          <w:szCs w:val="22"/>
          <w:lang w:val="es-ES"/>
        </w:rPr>
      </w:pPr>
      <w:bookmarkStart w:id="22" w:name="_Toc193798177"/>
      <w:bookmarkStart w:id="23" w:name="_Toc196927067"/>
      <w:r w:rsidRPr="001E18D0">
        <w:rPr>
          <w:rFonts w:ascii="Palatino Linotype" w:hAnsi="Palatino Linotype"/>
          <w:b/>
          <w:sz w:val="22"/>
          <w:szCs w:val="22"/>
          <w:lang w:val="es-ES"/>
        </w:rPr>
        <w:t>CUARTO. Decisión</w:t>
      </w:r>
      <w:bookmarkEnd w:id="22"/>
      <w:bookmarkEnd w:id="23"/>
    </w:p>
    <w:p w14:paraId="1E15EF04" w14:textId="77777777" w:rsidR="001E18D0" w:rsidRPr="001E18D0" w:rsidRDefault="001E18D0" w:rsidP="001E18D0">
      <w:pPr>
        <w:spacing w:line="360" w:lineRule="auto"/>
        <w:jc w:val="both"/>
        <w:rPr>
          <w:rFonts w:ascii="Palatino Linotype" w:hAnsi="Palatino Linotype" w:cs="Tahoma"/>
          <w:b/>
          <w:sz w:val="22"/>
          <w:szCs w:val="22"/>
          <w:lang w:val="es-ES"/>
        </w:rPr>
      </w:pPr>
    </w:p>
    <w:p w14:paraId="4A7F2792" w14:textId="77777777" w:rsidR="001E18D0" w:rsidRPr="001E18D0" w:rsidRDefault="001E18D0" w:rsidP="001E18D0">
      <w:pPr>
        <w:spacing w:line="360" w:lineRule="auto"/>
        <w:jc w:val="both"/>
        <w:rPr>
          <w:rFonts w:ascii="Palatino Linotype" w:hAnsi="Palatino Linotype" w:cs="Tahoma"/>
          <w:sz w:val="22"/>
          <w:szCs w:val="22"/>
          <w:lang w:val="es-ES"/>
        </w:rPr>
      </w:pPr>
      <w:r w:rsidRPr="001E18D0">
        <w:rPr>
          <w:rFonts w:ascii="Palatino Linotype" w:hAnsi="Palatino Linotype" w:cs="Tahoma"/>
          <w:sz w:val="22"/>
          <w:szCs w:val="22"/>
          <w:lang w:val="es-ES"/>
        </w:rPr>
        <w:t xml:space="preserve">Con fundamento en lo dispuesto en el artículo 186, fracción I de la Ley de Transparencia y Acceso a la Información Pública del Estado de México y Municipios, se considera procedente </w:t>
      </w:r>
      <w:r w:rsidRPr="001E18D0">
        <w:rPr>
          <w:rFonts w:ascii="Palatino Linotype" w:hAnsi="Palatino Linotype" w:cs="Tahoma"/>
          <w:b/>
          <w:sz w:val="22"/>
          <w:szCs w:val="22"/>
          <w:lang w:val="es-ES"/>
        </w:rPr>
        <w:t xml:space="preserve">SOBRESEER </w:t>
      </w:r>
      <w:r w:rsidRPr="001E18D0">
        <w:rPr>
          <w:rFonts w:ascii="Palatino Linotype" w:hAnsi="Palatino Linotype" w:cs="Tahoma"/>
          <w:sz w:val="22"/>
          <w:szCs w:val="22"/>
          <w:lang w:val="es-ES"/>
        </w:rPr>
        <w:t>el Recurso de Revisión, en virtud de que se actualiza la hipótesis normativa prevista en la fracción IV, del diverso 192, en relación, con el 191, fracción III, ambos del citado ordenamiento legal.</w:t>
      </w:r>
    </w:p>
    <w:p w14:paraId="0B1DF1F2" w14:textId="77777777" w:rsidR="001E18D0" w:rsidRPr="001E18D0" w:rsidRDefault="001E18D0" w:rsidP="001E18D0">
      <w:pPr>
        <w:spacing w:line="360" w:lineRule="auto"/>
        <w:jc w:val="both"/>
        <w:rPr>
          <w:rFonts w:ascii="Palatino Linotype" w:hAnsi="Palatino Linotype" w:cs="Tahoma"/>
          <w:color w:val="FF0000"/>
          <w:sz w:val="22"/>
          <w:szCs w:val="22"/>
          <w:lang w:val="es-ES"/>
        </w:rPr>
      </w:pPr>
    </w:p>
    <w:p w14:paraId="16D78597" w14:textId="77777777" w:rsidR="001E18D0" w:rsidRPr="001E18D0" w:rsidRDefault="001E18D0" w:rsidP="001E18D0">
      <w:pPr>
        <w:autoSpaceDE w:val="0"/>
        <w:autoSpaceDN w:val="0"/>
        <w:adjustRightInd w:val="0"/>
        <w:spacing w:line="360" w:lineRule="auto"/>
        <w:jc w:val="both"/>
        <w:rPr>
          <w:rFonts w:ascii="Palatino Linotype" w:eastAsia="Calibri" w:hAnsi="Palatino Linotype" w:cs="Tahoma"/>
          <w:b/>
          <w:bCs/>
          <w:iCs/>
          <w:sz w:val="22"/>
          <w:szCs w:val="22"/>
          <w:lang w:val="es-ES" w:eastAsia="en-US"/>
        </w:rPr>
      </w:pPr>
      <w:r w:rsidRPr="001E18D0">
        <w:rPr>
          <w:rFonts w:ascii="Palatino Linotype" w:eastAsia="Calibri" w:hAnsi="Palatino Linotype" w:cs="Tahoma"/>
          <w:b/>
          <w:bCs/>
          <w:iCs/>
          <w:sz w:val="22"/>
          <w:szCs w:val="22"/>
          <w:lang w:val="es-ES" w:eastAsia="en-US"/>
        </w:rPr>
        <w:t>Términos de la Resolución para conocimiento del Particular</w:t>
      </w:r>
    </w:p>
    <w:p w14:paraId="652CBFEE" w14:textId="77777777" w:rsidR="001E18D0" w:rsidRPr="001E18D0" w:rsidRDefault="001E18D0" w:rsidP="001E18D0">
      <w:pPr>
        <w:autoSpaceDE w:val="0"/>
        <w:autoSpaceDN w:val="0"/>
        <w:adjustRightInd w:val="0"/>
        <w:spacing w:line="360" w:lineRule="auto"/>
        <w:jc w:val="both"/>
        <w:rPr>
          <w:rFonts w:ascii="Palatino Linotype" w:eastAsia="Calibri" w:hAnsi="Palatino Linotype" w:cs="Tahoma"/>
          <w:b/>
          <w:bCs/>
          <w:iCs/>
          <w:color w:val="FF0000"/>
          <w:sz w:val="22"/>
          <w:szCs w:val="22"/>
          <w:lang w:val="es-ES" w:eastAsia="en-US"/>
        </w:rPr>
      </w:pPr>
    </w:p>
    <w:p w14:paraId="3EB6D727" w14:textId="3729C916" w:rsidR="001E18D0" w:rsidRDefault="001E18D0" w:rsidP="001E18D0">
      <w:pPr>
        <w:spacing w:line="360" w:lineRule="auto"/>
        <w:jc w:val="both"/>
        <w:rPr>
          <w:rFonts w:ascii="Palatino Linotype" w:hAnsi="Palatino Linotype" w:cs="Tahoma"/>
          <w:bCs/>
          <w:sz w:val="22"/>
          <w:szCs w:val="22"/>
        </w:rPr>
      </w:pPr>
      <w:r w:rsidRPr="001E18D0">
        <w:rPr>
          <w:rFonts w:ascii="Palatino Linotype" w:hAnsi="Palatino Linotype" w:cs="Tahoma"/>
          <w:bCs/>
          <w:sz w:val="22"/>
          <w:szCs w:val="22"/>
        </w:rPr>
        <w:t>Se le hace del conocimiento al Particular, que, su Recurso no actualiza ninguna de las causales de procedencia, establecidas en la Ley de la materia, toda vez que</w:t>
      </w:r>
      <w:r>
        <w:rPr>
          <w:rFonts w:ascii="Palatino Linotype" w:hAnsi="Palatino Linotype" w:cs="Tahoma"/>
          <w:bCs/>
          <w:sz w:val="22"/>
          <w:szCs w:val="22"/>
        </w:rPr>
        <w:t xml:space="preserve"> el Particular no desahogo la aclaración en el momento procesal oportuno y la solicitud no cumple con todos los requisitos indispensables, para darle trámite; sin embargo, se dejan a salvo sus derechos, a efecto de que presente solicitud de información, ante el Poder Judicial del Estado de México, en donde proporcione todos los elementos necesarios para su localización.</w:t>
      </w:r>
    </w:p>
    <w:p w14:paraId="5C7EE106" w14:textId="77777777" w:rsidR="001E18D0" w:rsidRDefault="001E18D0" w:rsidP="001E18D0">
      <w:pPr>
        <w:spacing w:line="360" w:lineRule="auto"/>
        <w:jc w:val="both"/>
        <w:rPr>
          <w:rFonts w:ascii="Palatino Linotype" w:hAnsi="Palatino Linotype" w:cs="Tahoma"/>
          <w:bCs/>
          <w:sz w:val="22"/>
          <w:szCs w:val="22"/>
        </w:rPr>
      </w:pPr>
    </w:p>
    <w:p w14:paraId="00CBF1A5" w14:textId="470C7F74" w:rsidR="001E18D0" w:rsidRDefault="001E18D0" w:rsidP="001E18D0">
      <w:pPr>
        <w:spacing w:line="360" w:lineRule="auto"/>
        <w:jc w:val="both"/>
        <w:rPr>
          <w:rFonts w:ascii="Palatino Linotype" w:hAnsi="Palatino Linotype" w:cs="Tahoma"/>
          <w:bCs/>
          <w:sz w:val="22"/>
          <w:szCs w:val="22"/>
        </w:rPr>
      </w:pPr>
      <w:r>
        <w:rPr>
          <w:rFonts w:ascii="Palatino Linotype" w:hAnsi="Palatino Linotype" w:cs="Tahoma"/>
          <w:bCs/>
          <w:sz w:val="22"/>
          <w:szCs w:val="22"/>
        </w:rPr>
        <w:t>Finalmente, se le informa que la</w:t>
      </w:r>
      <w:r w:rsidRPr="001E18D0">
        <w:rPr>
          <w:rFonts w:ascii="Palatino Linotype" w:hAnsi="Palatino Linotype" w:cs="Tahoma"/>
          <w:bCs/>
          <w:sz w:val="22"/>
          <w:szCs w:val="22"/>
        </w:rPr>
        <w:t xml:space="preserve"> labor del Instituto de Transparencia, Acceso a la Información Pública y Protección de Datos Personales del Estado de México y Municipios, es apoyar a la </w:t>
      </w:r>
      <w:r w:rsidRPr="001E18D0">
        <w:rPr>
          <w:rFonts w:ascii="Palatino Linotype" w:hAnsi="Palatino Linotype" w:cs="Tahoma"/>
          <w:bCs/>
          <w:sz w:val="22"/>
          <w:szCs w:val="22"/>
        </w:rPr>
        <w:lastRenderedPageBreak/>
        <w:t>población a acceder a la información pública y garantizar la protección de sus datos personales.</w:t>
      </w:r>
    </w:p>
    <w:p w14:paraId="6575FA4A" w14:textId="77777777" w:rsidR="004B7229" w:rsidRPr="001034D4" w:rsidRDefault="004B7229">
      <w:pPr>
        <w:spacing w:line="360" w:lineRule="auto"/>
        <w:ind w:right="-28"/>
        <w:jc w:val="both"/>
        <w:rPr>
          <w:rFonts w:ascii="Palatino Linotype" w:eastAsia="Palatino Linotype" w:hAnsi="Palatino Linotype" w:cs="Palatino Linotype"/>
          <w:sz w:val="22"/>
          <w:szCs w:val="22"/>
        </w:rPr>
      </w:pPr>
    </w:p>
    <w:p w14:paraId="7A0FE184" w14:textId="77777777" w:rsidR="004B7229" w:rsidRPr="001034D4" w:rsidRDefault="00CE6C4C">
      <w:pPr>
        <w:spacing w:line="360" w:lineRule="auto"/>
        <w:jc w:val="both"/>
        <w:rPr>
          <w:rFonts w:ascii="Palatino Linotype" w:eastAsia="Palatino Linotype" w:hAnsi="Palatino Linotype" w:cs="Palatino Linotype"/>
          <w:sz w:val="22"/>
          <w:szCs w:val="22"/>
        </w:rPr>
      </w:pPr>
      <w:r w:rsidRPr="001034D4">
        <w:rPr>
          <w:rFonts w:ascii="Palatino Linotype" w:eastAsia="Palatino Linotype" w:hAnsi="Palatino Linotype" w:cs="Palatino Linotype"/>
          <w:sz w:val="22"/>
          <w:szCs w:val="22"/>
        </w:rPr>
        <w:t>Por lo expuesto y fundado, este Pleno:</w:t>
      </w:r>
    </w:p>
    <w:p w14:paraId="4E4B6FBA" w14:textId="77777777" w:rsidR="004B7229" w:rsidRPr="001034D4" w:rsidRDefault="004B7229">
      <w:pPr>
        <w:spacing w:line="360" w:lineRule="auto"/>
        <w:jc w:val="both"/>
        <w:rPr>
          <w:rFonts w:ascii="Palatino Linotype" w:eastAsia="Palatino Linotype" w:hAnsi="Palatino Linotype" w:cs="Palatino Linotype"/>
          <w:sz w:val="22"/>
          <w:szCs w:val="22"/>
        </w:rPr>
      </w:pPr>
    </w:p>
    <w:p w14:paraId="3F0A0644" w14:textId="77777777" w:rsidR="004B7229" w:rsidRPr="001034D4" w:rsidRDefault="00CE6C4C">
      <w:pPr>
        <w:pStyle w:val="Ttulo1"/>
        <w:spacing w:before="0" w:after="0" w:line="360" w:lineRule="auto"/>
        <w:jc w:val="center"/>
        <w:rPr>
          <w:rFonts w:ascii="Palatino Linotype" w:eastAsia="Palatino Linotype" w:hAnsi="Palatino Linotype" w:cs="Palatino Linotype"/>
          <w:b/>
          <w:color w:val="auto"/>
          <w:sz w:val="22"/>
          <w:szCs w:val="22"/>
        </w:rPr>
      </w:pPr>
      <w:bookmarkStart w:id="24" w:name="_heading=h.w8whcyu16ysg" w:colFirst="0" w:colLast="0"/>
      <w:bookmarkStart w:id="25" w:name="_Toc196927068"/>
      <w:bookmarkEnd w:id="24"/>
      <w:r w:rsidRPr="001034D4">
        <w:rPr>
          <w:rFonts w:ascii="Palatino Linotype" w:eastAsia="Palatino Linotype" w:hAnsi="Palatino Linotype" w:cs="Palatino Linotype"/>
          <w:b/>
          <w:color w:val="auto"/>
          <w:sz w:val="22"/>
          <w:szCs w:val="22"/>
        </w:rPr>
        <w:t>R E S U E L V E</w:t>
      </w:r>
      <w:bookmarkEnd w:id="25"/>
    </w:p>
    <w:p w14:paraId="7E9F346B" w14:textId="77777777" w:rsidR="004B7229" w:rsidRPr="00BB67CD" w:rsidRDefault="00CE6C4C">
      <w:pPr>
        <w:spacing w:line="360" w:lineRule="auto"/>
        <w:jc w:val="both"/>
        <w:rPr>
          <w:rFonts w:ascii="Palatino Linotype" w:eastAsia="Palatino Linotype" w:hAnsi="Palatino Linotype" w:cs="Palatino Linotype"/>
          <w:color w:val="FF0000"/>
          <w:sz w:val="22"/>
          <w:szCs w:val="22"/>
        </w:rPr>
      </w:pPr>
      <w:r w:rsidRPr="00BB67CD">
        <w:rPr>
          <w:rFonts w:ascii="Palatino Linotype" w:eastAsia="Palatino Linotype" w:hAnsi="Palatino Linotype" w:cs="Palatino Linotype"/>
          <w:color w:val="FF0000"/>
          <w:sz w:val="22"/>
          <w:szCs w:val="22"/>
        </w:rPr>
        <w:t xml:space="preserve"> </w:t>
      </w:r>
    </w:p>
    <w:p w14:paraId="17D14278" w14:textId="73EC5BFE" w:rsidR="001E18D0" w:rsidRDefault="001E18D0" w:rsidP="001E18D0">
      <w:pPr>
        <w:spacing w:line="360" w:lineRule="auto"/>
        <w:jc w:val="both"/>
        <w:rPr>
          <w:rFonts w:ascii="Palatino Linotype" w:hAnsi="Palatino Linotype" w:cs="Tahoma"/>
          <w:sz w:val="22"/>
          <w:szCs w:val="22"/>
          <w:lang w:val="es-ES"/>
        </w:rPr>
      </w:pPr>
      <w:r>
        <w:rPr>
          <w:rFonts w:ascii="Palatino Linotype" w:hAnsi="Palatino Linotype" w:cs="Tahoma"/>
          <w:b/>
          <w:sz w:val="22"/>
          <w:szCs w:val="22"/>
        </w:rPr>
        <w:t>PRIMERO</w:t>
      </w:r>
      <w:r>
        <w:rPr>
          <w:rFonts w:ascii="Palatino Linotype" w:hAnsi="Palatino Linotype" w:cs="Tahoma"/>
          <w:bCs/>
          <w:sz w:val="22"/>
          <w:szCs w:val="22"/>
        </w:rPr>
        <w:t xml:space="preserve">. </w:t>
      </w:r>
      <w:r>
        <w:rPr>
          <w:rFonts w:ascii="Palatino Linotype" w:hAnsi="Palatino Linotype" w:cs="Tahoma"/>
          <w:bCs/>
          <w:sz w:val="22"/>
          <w:szCs w:val="22"/>
          <w:lang w:val="es-ES"/>
        </w:rPr>
        <w:t xml:space="preserve">Se </w:t>
      </w:r>
      <w:r>
        <w:rPr>
          <w:rFonts w:ascii="Palatino Linotype" w:hAnsi="Palatino Linotype" w:cs="Tahoma"/>
          <w:b/>
          <w:bCs/>
          <w:sz w:val="22"/>
          <w:szCs w:val="22"/>
          <w:lang w:val="es-ES"/>
        </w:rPr>
        <w:t>SOBRESEE</w:t>
      </w:r>
      <w:r>
        <w:rPr>
          <w:rFonts w:ascii="Palatino Linotype" w:hAnsi="Palatino Linotype" w:cs="Tahoma"/>
          <w:bCs/>
          <w:sz w:val="22"/>
          <w:szCs w:val="22"/>
          <w:lang w:val="es-ES"/>
        </w:rPr>
        <w:t xml:space="preserve"> </w:t>
      </w:r>
      <w:r>
        <w:rPr>
          <w:rFonts w:ascii="Palatino Linotype" w:hAnsi="Palatino Linotype" w:cs="Tahoma"/>
          <w:sz w:val="22"/>
          <w:szCs w:val="22"/>
          <w:lang w:val="es-ES"/>
        </w:rPr>
        <w:t xml:space="preserve">el Recurso de Revisión número </w:t>
      </w:r>
      <w:r>
        <w:rPr>
          <w:rFonts w:ascii="Palatino Linotype" w:eastAsia="Palatino Linotype" w:hAnsi="Palatino Linotype" w:cs="Palatino Linotype"/>
          <w:sz w:val="22"/>
          <w:szCs w:val="22"/>
        </w:rPr>
        <w:t>02471/INFOEM/IP/RR/2025</w:t>
      </w:r>
      <w:r>
        <w:rPr>
          <w:rFonts w:ascii="Palatino Linotype" w:hAnsi="Palatino Linotype" w:cs="Tahoma"/>
          <w:sz w:val="22"/>
          <w:szCs w:val="22"/>
          <w:lang w:val="es-ES"/>
        </w:rPr>
        <w:t xml:space="preserve">, </w:t>
      </w:r>
      <w:r>
        <w:rPr>
          <w:rFonts w:ascii="Palatino Linotype" w:hAnsi="Palatino Linotype" w:cs="Tahoma"/>
          <w:bCs/>
          <w:sz w:val="22"/>
          <w:szCs w:val="22"/>
          <w:lang w:val="es-ES"/>
        </w:rPr>
        <w:t xml:space="preserve">en términos del artículo 192, fracción IV, de la Ley de Transparencia y Acceso a la Información Pública del Estado de México y Municipios, </w:t>
      </w:r>
      <w:r>
        <w:rPr>
          <w:rFonts w:ascii="Palatino Linotype" w:hAnsi="Palatino Linotype" w:cs="Tahoma"/>
          <w:sz w:val="22"/>
          <w:szCs w:val="22"/>
          <w:lang w:val="es-ES"/>
        </w:rPr>
        <w:t>por actualizarse la causal de improcedencia establecida en la fracción III, del artículo 191 de dicho ordenamiento jurídico, en términos de los Considerandos TERCERO y CUARTO de la presente Resolución.</w:t>
      </w:r>
    </w:p>
    <w:p w14:paraId="51EFA4DF" w14:textId="77777777" w:rsidR="001E18D0" w:rsidRDefault="001E18D0" w:rsidP="001E18D0">
      <w:pPr>
        <w:spacing w:line="360" w:lineRule="auto"/>
        <w:jc w:val="both"/>
        <w:rPr>
          <w:rFonts w:ascii="Palatino Linotype" w:hAnsi="Palatino Linotype" w:cs="Tahoma"/>
          <w:bCs/>
          <w:color w:val="FF0000"/>
          <w:sz w:val="22"/>
          <w:szCs w:val="22"/>
        </w:rPr>
      </w:pPr>
    </w:p>
    <w:p w14:paraId="7194F073" w14:textId="77777777" w:rsidR="001E18D0" w:rsidRDefault="001E18D0" w:rsidP="001E18D0">
      <w:pPr>
        <w:spacing w:line="360" w:lineRule="auto"/>
        <w:jc w:val="both"/>
        <w:rPr>
          <w:rFonts w:ascii="Palatino Linotype" w:hAnsi="Palatino Linotype" w:cs="Tahoma"/>
          <w:bCs/>
          <w:sz w:val="22"/>
          <w:szCs w:val="22"/>
        </w:rPr>
      </w:pPr>
      <w:r>
        <w:rPr>
          <w:rFonts w:ascii="Palatino Linotype" w:hAnsi="Palatino Linotype" w:cs="Tahoma"/>
          <w:b/>
          <w:sz w:val="22"/>
          <w:szCs w:val="22"/>
        </w:rPr>
        <w:t>SEGUNDO. NOTIFÍQUESE POR SAIMEX</w:t>
      </w:r>
      <w:r>
        <w:rPr>
          <w:rFonts w:ascii="Palatino Linotype" w:hAnsi="Palatino Linotype" w:cs="Tahoma"/>
          <w:bCs/>
          <w:sz w:val="22"/>
          <w:szCs w:val="22"/>
        </w:rPr>
        <w:t xml:space="preserve"> la presente resolución al Titular de la Unidad de Transparencia del Sujeto Obligado.</w:t>
      </w:r>
    </w:p>
    <w:p w14:paraId="79D96C20" w14:textId="77777777" w:rsidR="001E18D0" w:rsidRDefault="001E18D0" w:rsidP="001E18D0">
      <w:pPr>
        <w:spacing w:line="360" w:lineRule="auto"/>
        <w:jc w:val="both"/>
        <w:rPr>
          <w:rFonts w:ascii="Palatino Linotype" w:hAnsi="Palatino Linotype" w:cs="Tahoma"/>
          <w:bCs/>
          <w:color w:val="FF0000"/>
          <w:sz w:val="22"/>
          <w:szCs w:val="22"/>
        </w:rPr>
      </w:pPr>
    </w:p>
    <w:p w14:paraId="25160DAC" w14:textId="77777777" w:rsidR="001E18D0" w:rsidRDefault="001E18D0" w:rsidP="001E18D0">
      <w:pPr>
        <w:spacing w:line="360" w:lineRule="auto"/>
        <w:jc w:val="both"/>
        <w:rPr>
          <w:rFonts w:ascii="Palatino Linotype" w:hAnsi="Palatino Linotype" w:cs="Tahoma"/>
          <w:bCs/>
          <w:sz w:val="22"/>
          <w:szCs w:val="22"/>
        </w:rPr>
      </w:pPr>
      <w:r>
        <w:rPr>
          <w:rFonts w:ascii="Palatino Linotype" w:hAnsi="Palatino Linotype" w:cs="Tahoma"/>
          <w:b/>
          <w:sz w:val="22"/>
          <w:szCs w:val="22"/>
        </w:rPr>
        <w:t>TERCERO. NOTIFÍQUESE POR SAIMEX</w:t>
      </w:r>
      <w:r>
        <w:rPr>
          <w:rFonts w:ascii="Palatino Linotype" w:hAnsi="Palatino Linotype" w:cs="Tahoma"/>
          <w:bCs/>
          <w:sz w:val="22"/>
          <w:szCs w:val="22"/>
        </w:rP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424E5121" w14:textId="77777777" w:rsidR="004B7229" w:rsidRPr="00C2429D" w:rsidRDefault="004B7229">
      <w:pPr>
        <w:spacing w:line="360" w:lineRule="auto"/>
        <w:ind w:right="-28"/>
        <w:jc w:val="both"/>
        <w:rPr>
          <w:rFonts w:ascii="Palatino Linotype" w:eastAsia="Palatino Linotype" w:hAnsi="Palatino Linotype" w:cs="Palatino Linotype"/>
          <w:sz w:val="22"/>
          <w:szCs w:val="22"/>
        </w:rPr>
      </w:pPr>
    </w:p>
    <w:p w14:paraId="518B2BB7" w14:textId="77777777" w:rsidR="004B7229" w:rsidRPr="00C2429D" w:rsidRDefault="00CE6C4C">
      <w:pPr>
        <w:spacing w:line="360" w:lineRule="auto"/>
        <w:jc w:val="both"/>
        <w:rPr>
          <w:rFonts w:ascii="Palatino Linotype" w:eastAsia="Palatino Linotype" w:hAnsi="Palatino Linotype" w:cs="Palatino Linotype"/>
          <w:sz w:val="22"/>
          <w:szCs w:val="22"/>
        </w:rPr>
      </w:pPr>
      <w:r w:rsidRPr="00C2429D">
        <w:rPr>
          <w:rFonts w:ascii="Palatino Linotype" w:eastAsia="Palatino Linotype" w:hAnsi="Palatino Linotype" w:cs="Palatino Linotype"/>
          <w:sz w:val="22"/>
          <w:szCs w:val="22"/>
        </w:rPr>
        <w:t xml:space="preserve">ASÍ LO RESUELVE, POR </w:t>
      </w:r>
      <w:r w:rsidRPr="00C2429D">
        <w:rPr>
          <w:rFonts w:ascii="Palatino Linotype" w:eastAsia="Palatino Linotype" w:hAnsi="Palatino Linotype" w:cs="Palatino Linotype"/>
          <w:b/>
          <w:sz w:val="22"/>
          <w:szCs w:val="22"/>
        </w:rPr>
        <w:t>UNANIMIDAD</w:t>
      </w:r>
      <w:r w:rsidRPr="00C2429D">
        <w:rPr>
          <w:rFonts w:ascii="Palatino Linotype" w:eastAsia="Palatino Linotype" w:hAnsi="Palatino Linotype" w:cs="Palatino Linotype"/>
          <w:sz w:val="22"/>
          <w:szCs w:val="22"/>
        </w:rPr>
        <w:t xml:space="preserve"> DE VOTOS EL PLENO DEL INSTITUTO DE TRANSPARENCIA, ACCESO A LA INFORMACIÓN PÚBLICA Y PROTECCIÓN DE DATOS PERSONALES DEL ESTADO DE MÉXICO Y MUNICIPIOS, CONFORMADO POR LOS COMISIONADOS JOSÉ MARTÍNEZ VILCHIS, MARÍA DEL ROSARIO MEJÍA AYALA, </w:t>
      </w:r>
      <w:r w:rsidRPr="00C2429D">
        <w:rPr>
          <w:rFonts w:ascii="Palatino Linotype" w:eastAsia="Palatino Linotype" w:hAnsi="Palatino Linotype" w:cs="Palatino Linotype"/>
          <w:sz w:val="22"/>
          <w:szCs w:val="22"/>
        </w:rPr>
        <w:lastRenderedPageBreak/>
        <w:t xml:space="preserve">SHARON CRISTINA MORALES MARTÍNEZ, LUIS GUSTAVO PARRA NORIEGA Y GUADALUPE RAMÍREZ PEÑA, EN LA DÉCIMA </w:t>
      </w:r>
      <w:r w:rsidR="00C2429D">
        <w:rPr>
          <w:rFonts w:ascii="Palatino Linotype" w:eastAsia="Palatino Linotype" w:hAnsi="Palatino Linotype" w:cs="Palatino Linotype"/>
          <w:sz w:val="22"/>
          <w:szCs w:val="22"/>
        </w:rPr>
        <w:t xml:space="preserve">QUINTA </w:t>
      </w:r>
      <w:r w:rsidRPr="00C2429D">
        <w:rPr>
          <w:rFonts w:ascii="Palatino Linotype" w:eastAsia="Palatino Linotype" w:hAnsi="Palatino Linotype" w:cs="Palatino Linotype"/>
          <w:sz w:val="22"/>
          <w:szCs w:val="22"/>
        </w:rPr>
        <w:t xml:space="preserve">SESIÓN ORDINARIA, CELEBRADA EL </w:t>
      </w:r>
      <w:r w:rsidR="00C2429D">
        <w:rPr>
          <w:rFonts w:ascii="Palatino Linotype" w:eastAsia="Palatino Linotype" w:hAnsi="Palatino Linotype" w:cs="Palatino Linotype"/>
          <w:sz w:val="22"/>
          <w:szCs w:val="22"/>
        </w:rPr>
        <w:t xml:space="preserve">TREINTA DE ABRIL </w:t>
      </w:r>
      <w:r w:rsidRPr="00C2429D">
        <w:rPr>
          <w:rFonts w:ascii="Palatino Linotype" w:eastAsia="Palatino Linotype" w:hAnsi="Palatino Linotype" w:cs="Palatino Linotype"/>
          <w:sz w:val="22"/>
          <w:szCs w:val="22"/>
        </w:rPr>
        <w:t>DE DOS MIL VEINTICINCO, ANTE EL SECRETARIO TÉCNICO DEL PLENO, ALEXIS TAPIA RAMÍREZ.</w:t>
      </w:r>
    </w:p>
    <w:p w14:paraId="6318E551" w14:textId="77777777" w:rsidR="004B7229" w:rsidRPr="00BB67CD" w:rsidRDefault="004B7229">
      <w:pPr>
        <w:spacing w:line="360" w:lineRule="auto"/>
        <w:ind w:right="-28"/>
        <w:jc w:val="both"/>
        <w:rPr>
          <w:rFonts w:ascii="Palatino Linotype" w:eastAsia="Palatino Linotype" w:hAnsi="Palatino Linotype" w:cs="Palatino Linotype"/>
          <w:color w:val="FF0000"/>
          <w:sz w:val="22"/>
          <w:szCs w:val="22"/>
        </w:rPr>
      </w:pPr>
    </w:p>
    <w:p w14:paraId="4D224C76" w14:textId="77777777" w:rsidR="004B7229" w:rsidRPr="00BB67CD" w:rsidRDefault="004B7229">
      <w:pPr>
        <w:spacing w:line="360" w:lineRule="auto"/>
        <w:rPr>
          <w:rFonts w:ascii="Palatino Linotype" w:eastAsia="Palatino Linotype" w:hAnsi="Palatino Linotype" w:cs="Palatino Linotype"/>
          <w:color w:val="FF0000"/>
        </w:rPr>
      </w:pPr>
    </w:p>
    <w:p w14:paraId="37DC2442" w14:textId="77777777" w:rsidR="004B7229" w:rsidRPr="00BB67CD" w:rsidRDefault="004B7229">
      <w:pPr>
        <w:spacing w:line="360" w:lineRule="auto"/>
        <w:rPr>
          <w:rFonts w:ascii="Palatino Linotype" w:eastAsia="Palatino Linotype" w:hAnsi="Palatino Linotype" w:cs="Palatino Linotype"/>
          <w:color w:val="FF0000"/>
        </w:rPr>
      </w:pPr>
    </w:p>
    <w:p w14:paraId="1367C634" w14:textId="77777777" w:rsidR="004B7229" w:rsidRPr="00BB67CD" w:rsidRDefault="004B7229">
      <w:pPr>
        <w:spacing w:line="360" w:lineRule="auto"/>
        <w:rPr>
          <w:rFonts w:ascii="Palatino Linotype" w:eastAsia="Palatino Linotype" w:hAnsi="Palatino Linotype" w:cs="Palatino Linotype"/>
          <w:color w:val="FF0000"/>
        </w:rPr>
      </w:pPr>
    </w:p>
    <w:p w14:paraId="0F2B84A5" w14:textId="77777777" w:rsidR="004B7229" w:rsidRPr="00BB67CD" w:rsidRDefault="004B7229">
      <w:pPr>
        <w:spacing w:line="360" w:lineRule="auto"/>
        <w:rPr>
          <w:rFonts w:ascii="Palatino Linotype" w:eastAsia="Palatino Linotype" w:hAnsi="Palatino Linotype" w:cs="Palatino Linotype"/>
          <w:color w:val="FF0000"/>
        </w:rPr>
      </w:pPr>
    </w:p>
    <w:p w14:paraId="138C79EC" w14:textId="77777777" w:rsidR="004B7229" w:rsidRPr="00BB67CD" w:rsidRDefault="004B7229">
      <w:pPr>
        <w:spacing w:line="360" w:lineRule="auto"/>
        <w:rPr>
          <w:rFonts w:ascii="Palatino Linotype" w:eastAsia="Palatino Linotype" w:hAnsi="Palatino Linotype" w:cs="Palatino Linotype"/>
          <w:color w:val="FF0000"/>
        </w:rPr>
      </w:pPr>
    </w:p>
    <w:p w14:paraId="0F2E0D42" w14:textId="77777777" w:rsidR="004B7229" w:rsidRPr="00BB67CD" w:rsidRDefault="004B7229">
      <w:pPr>
        <w:spacing w:line="360" w:lineRule="auto"/>
        <w:rPr>
          <w:rFonts w:ascii="Palatino Linotype" w:eastAsia="Palatino Linotype" w:hAnsi="Palatino Linotype" w:cs="Palatino Linotype"/>
          <w:color w:val="FF0000"/>
        </w:rPr>
      </w:pPr>
    </w:p>
    <w:p w14:paraId="74BF4B21" w14:textId="77777777" w:rsidR="004B7229" w:rsidRPr="00BB67CD" w:rsidRDefault="004B7229">
      <w:pPr>
        <w:spacing w:line="360" w:lineRule="auto"/>
        <w:rPr>
          <w:rFonts w:ascii="Palatino Linotype" w:eastAsia="Palatino Linotype" w:hAnsi="Palatino Linotype" w:cs="Palatino Linotype"/>
          <w:color w:val="FF0000"/>
        </w:rPr>
      </w:pPr>
    </w:p>
    <w:p w14:paraId="69B22CFE" w14:textId="77777777" w:rsidR="004B7229" w:rsidRPr="00BB67CD" w:rsidRDefault="004B7229">
      <w:pPr>
        <w:spacing w:line="360" w:lineRule="auto"/>
        <w:rPr>
          <w:rFonts w:ascii="Palatino Linotype" w:eastAsia="Palatino Linotype" w:hAnsi="Palatino Linotype" w:cs="Palatino Linotype"/>
          <w:color w:val="FF0000"/>
        </w:rPr>
      </w:pPr>
    </w:p>
    <w:p w14:paraId="7374FDC9" w14:textId="77777777" w:rsidR="004B7229" w:rsidRPr="00BB67CD" w:rsidRDefault="004B7229">
      <w:pPr>
        <w:spacing w:line="360" w:lineRule="auto"/>
        <w:rPr>
          <w:rFonts w:ascii="Palatino Linotype" w:eastAsia="Palatino Linotype" w:hAnsi="Palatino Linotype" w:cs="Palatino Linotype"/>
          <w:color w:val="FF0000"/>
        </w:rPr>
      </w:pPr>
    </w:p>
    <w:p w14:paraId="6A390F56" w14:textId="77777777" w:rsidR="004B7229" w:rsidRPr="00BB67CD" w:rsidRDefault="004B7229">
      <w:pPr>
        <w:spacing w:line="360" w:lineRule="auto"/>
        <w:rPr>
          <w:rFonts w:ascii="Palatino Linotype" w:eastAsia="Palatino Linotype" w:hAnsi="Palatino Linotype" w:cs="Palatino Linotype"/>
          <w:color w:val="FF0000"/>
        </w:rPr>
      </w:pPr>
    </w:p>
    <w:p w14:paraId="2A0E583F" w14:textId="77777777" w:rsidR="004B7229" w:rsidRPr="00BB67CD" w:rsidRDefault="004B7229">
      <w:pPr>
        <w:spacing w:line="360" w:lineRule="auto"/>
        <w:rPr>
          <w:rFonts w:ascii="Palatino Linotype" w:eastAsia="Palatino Linotype" w:hAnsi="Palatino Linotype" w:cs="Palatino Linotype"/>
          <w:color w:val="FF0000"/>
        </w:rPr>
      </w:pPr>
    </w:p>
    <w:p w14:paraId="035C21FC" w14:textId="77777777" w:rsidR="004B7229" w:rsidRPr="00BB67CD" w:rsidRDefault="004B7229">
      <w:pPr>
        <w:spacing w:line="360" w:lineRule="auto"/>
        <w:rPr>
          <w:rFonts w:ascii="Palatino Linotype" w:eastAsia="Palatino Linotype" w:hAnsi="Palatino Linotype" w:cs="Palatino Linotype"/>
          <w:color w:val="FF0000"/>
        </w:rPr>
      </w:pPr>
    </w:p>
    <w:p w14:paraId="009083C3" w14:textId="77777777" w:rsidR="004B7229" w:rsidRPr="00BB67CD" w:rsidRDefault="004B7229">
      <w:pPr>
        <w:spacing w:line="360" w:lineRule="auto"/>
        <w:rPr>
          <w:rFonts w:ascii="Palatino Linotype" w:eastAsia="Palatino Linotype" w:hAnsi="Palatino Linotype" w:cs="Palatino Linotype"/>
          <w:color w:val="FF0000"/>
        </w:rPr>
      </w:pPr>
    </w:p>
    <w:p w14:paraId="431B80B1" w14:textId="77777777" w:rsidR="004B7229" w:rsidRPr="00BB67CD" w:rsidRDefault="004B7229">
      <w:pPr>
        <w:spacing w:line="360" w:lineRule="auto"/>
        <w:rPr>
          <w:rFonts w:ascii="Palatino Linotype" w:eastAsia="Palatino Linotype" w:hAnsi="Palatino Linotype" w:cs="Palatino Linotype"/>
          <w:color w:val="FF0000"/>
        </w:rPr>
      </w:pPr>
    </w:p>
    <w:p w14:paraId="1124F0A1" w14:textId="77777777" w:rsidR="004B7229" w:rsidRPr="00BB67CD" w:rsidRDefault="004B7229">
      <w:pPr>
        <w:spacing w:line="360" w:lineRule="auto"/>
        <w:rPr>
          <w:rFonts w:ascii="Palatino Linotype" w:eastAsia="Palatino Linotype" w:hAnsi="Palatino Linotype" w:cs="Palatino Linotype"/>
          <w:color w:val="FF0000"/>
        </w:rPr>
      </w:pPr>
    </w:p>
    <w:p w14:paraId="513005C3" w14:textId="77777777" w:rsidR="004B7229" w:rsidRPr="00BB67CD" w:rsidRDefault="004B7229">
      <w:pPr>
        <w:spacing w:line="360" w:lineRule="auto"/>
        <w:rPr>
          <w:rFonts w:ascii="Palatino Linotype" w:eastAsia="Palatino Linotype" w:hAnsi="Palatino Linotype" w:cs="Palatino Linotype"/>
          <w:color w:val="FF0000"/>
        </w:rPr>
      </w:pPr>
    </w:p>
    <w:p w14:paraId="3A59E94D" w14:textId="77777777" w:rsidR="004B7229" w:rsidRPr="00BB67CD" w:rsidRDefault="004B7229">
      <w:pPr>
        <w:spacing w:line="360" w:lineRule="auto"/>
        <w:rPr>
          <w:rFonts w:ascii="Palatino Linotype" w:eastAsia="Palatino Linotype" w:hAnsi="Palatino Linotype" w:cs="Palatino Linotype"/>
          <w:color w:val="FF0000"/>
        </w:rPr>
      </w:pPr>
    </w:p>
    <w:p w14:paraId="2657F22F" w14:textId="77777777" w:rsidR="004B7229" w:rsidRPr="00BB67CD" w:rsidRDefault="004B7229">
      <w:pPr>
        <w:spacing w:line="360" w:lineRule="auto"/>
        <w:rPr>
          <w:rFonts w:ascii="Palatino Linotype" w:eastAsia="Palatino Linotype" w:hAnsi="Palatino Linotype" w:cs="Palatino Linotype"/>
          <w:color w:val="FF0000"/>
        </w:rPr>
      </w:pPr>
    </w:p>
    <w:p w14:paraId="16F2CC4B" w14:textId="77777777" w:rsidR="004B7229" w:rsidRPr="00BB67CD" w:rsidRDefault="004B7229">
      <w:pPr>
        <w:spacing w:line="360" w:lineRule="auto"/>
        <w:rPr>
          <w:rFonts w:ascii="Palatino Linotype" w:eastAsia="Palatino Linotype" w:hAnsi="Palatino Linotype" w:cs="Palatino Linotype"/>
          <w:color w:val="FF0000"/>
        </w:rPr>
      </w:pPr>
    </w:p>
    <w:p w14:paraId="7B941D34" w14:textId="77777777" w:rsidR="004B7229" w:rsidRPr="00BB67CD" w:rsidRDefault="004B7229">
      <w:pPr>
        <w:spacing w:line="360" w:lineRule="auto"/>
        <w:rPr>
          <w:rFonts w:ascii="Palatino Linotype" w:eastAsia="Palatino Linotype" w:hAnsi="Palatino Linotype" w:cs="Palatino Linotype"/>
          <w:color w:val="FF0000"/>
        </w:rPr>
      </w:pPr>
    </w:p>
    <w:p w14:paraId="7C314A6D" w14:textId="77777777" w:rsidR="004B7229" w:rsidRPr="00BB67CD" w:rsidRDefault="004B7229">
      <w:pPr>
        <w:spacing w:line="360" w:lineRule="auto"/>
        <w:rPr>
          <w:rFonts w:ascii="Palatino Linotype" w:eastAsia="Palatino Linotype" w:hAnsi="Palatino Linotype" w:cs="Palatino Linotype"/>
          <w:color w:val="FF0000"/>
        </w:rPr>
      </w:pPr>
    </w:p>
    <w:p w14:paraId="0A011F3A" w14:textId="77777777" w:rsidR="004B7229" w:rsidRPr="00BB67CD" w:rsidRDefault="004B7229">
      <w:pPr>
        <w:spacing w:line="360" w:lineRule="auto"/>
        <w:rPr>
          <w:color w:val="FF0000"/>
        </w:rPr>
      </w:pPr>
    </w:p>
    <w:p w14:paraId="6817AFA3" w14:textId="77777777" w:rsidR="004B7229" w:rsidRPr="00BB67CD" w:rsidRDefault="004B7229">
      <w:pPr>
        <w:spacing w:line="360" w:lineRule="auto"/>
        <w:rPr>
          <w:color w:val="FF0000"/>
        </w:rPr>
      </w:pPr>
    </w:p>
    <w:p w14:paraId="6FB9E990" w14:textId="77777777" w:rsidR="004B7229" w:rsidRPr="00BB67CD" w:rsidRDefault="004B7229">
      <w:pPr>
        <w:spacing w:line="360" w:lineRule="auto"/>
        <w:rPr>
          <w:color w:val="FF0000"/>
        </w:rPr>
      </w:pPr>
    </w:p>
    <w:p w14:paraId="4A4221FD" w14:textId="77777777" w:rsidR="004B7229" w:rsidRPr="00BB67CD" w:rsidRDefault="004B7229">
      <w:pPr>
        <w:spacing w:line="360" w:lineRule="auto"/>
        <w:rPr>
          <w:color w:val="FF0000"/>
        </w:rPr>
      </w:pPr>
    </w:p>
    <w:p w14:paraId="661EB74E" w14:textId="77777777" w:rsidR="004B7229" w:rsidRPr="00BB67CD" w:rsidRDefault="004B7229">
      <w:pPr>
        <w:spacing w:line="360" w:lineRule="auto"/>
        <w:rPr>
          <w:color w:val="FF0000"/>
        </w:rPr>
      </w:pPr>
    </w:p>
    <w:p w14:paraId="436B27B8" w14:textId="77777777" w:rsidR="004B7229" w:rsidRPr="00BB67CD" w:rsidRDefault="004B7229">
      <w:pPr>
        <w:spacing w:line="360" w:lineRule="auto"/>
        <w:rPr>
          <w:color w:val="FF0000"/>
        </w:rPr>
      </w:pPr>
    </w:p>
    <w:sectPr w:rsidR="004B7229" w:rsidRPr="00BB67CD">
      <w:headerReference w:type="even" r:id="rId15"/>
      <w:headerReference w:type="default" r:id="rId16"/>
      <w:footerReference w:type="default" r:id="rId17"/>
      <w:headerReference w:type="first" r:id="rId18"/>
      <w:footerReference w:type="first" r:id="rId19"/>
      <w:pgSz w:w="12240" w:h="15840"/>
      <w:pgMar w:top="80" w:right="1608" w:bottom="1134" w:left="1588" w:header="850" w:footer="6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FA524A" w14:textId="77777777" w:rsidR="00633A9E" w:rsidRDefault="00633A9E">
      <w:r>
        <w:separator/>
      </w:r>
    </w:p>
  </w:endnote>
  <w:endnote w:type="continuationSeparator" w:id="0">
    <w:p w14:paraId="11F055F4" w14:textId="77777777" w:rsidR="00633A9E" w:rsidRDefault="00633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B2DBD" w14:textId="77777777" w:rsidR="0052217E" w:rsidRDefault="0052217E">
    <w:pPr>
      <w:pBdr>
        <w:top w:val="nil"/>
        <w:left w:val="nil"/>
        <w:bottom w:val="nil"/>
        <w:right w:val="nil"/>
        <w:between w:val="nil"/>
      </w:pBdr>
      <w:tabs>
        <w:tab w:val="center" w:pos="4419"/>
        <w:tab w:val="right" w:pos="8838"/>
      </w:tabs>
      <w:jc w:val="right"/>
      <w:rPr>
        <w:color w:val="000000"/>
        <w:sz w:val="26"/>
        <w:szCs w:val="26"/>
      </w:rPr>
    </w:pPr>
  </w:p>
  <w:p w14:paraId="5EF6929C" w14:textId="77777777" w:rsidR="0052217E" w:rsidRDefault="0052217E">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370CC2">
      <w:rPr>
        <w:b/>
        <w:noProof/>
        <w:color w:val="000000"/>
        <w:sz w:val="24"/>
        <w:szCs w:val="24"/>
      </w:rPr>
      <w:t>20</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70CC2">
      <w:rPr>
        <w:b/>
        <w:noProof/>
        <w:color w:val="000000"/>
        <w:sz w:val="24"/>
        <w:szCs w:val="24"/>
      </w:rPr>
      <w:t>21</w:t>
    </w:r>
    <w:r>
      <w:rPr>
        <w:b/>
        <w:color w:val="000000"/>
        <w:sz w:val="24"/>
        <w:szCs w:val="24"/>
      </w:rPr>
      <w:fldChar w:fldCharType="end"/>
    </w:r>
  </w:p>
  <w:p w14:paraId="34635A8A" w14:textId="77777777" w:rsidR="0052217E" w:rsidRDefault="0052217E">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D5533" w14:textId="77777777" w:rsidR="0052217E" w:rsidRDefault="0052217E">
    <w:pPr>
      <w:pBdr>
        <w:top w:val="nil"/>
        <w:left w:val="nil"/>
        <w:bottom w:val="nil"/>
        <w:right w:val="nil"/>
        <w:between w:val="nil"/>
      </w:pBdr>
      <w:tabs>
        <w:tab w:val="center" w:pos="4419"/>
        <w:tab w:val="right" w:pos="8838"/>
      </w:tabs>
      <w:jc w:val="right"/>
      <w:rPr>
        <w:color w:val="000000"/>
      </w:rPr>
    </w:pPr>
  </w:p>
  <w:p w14:paraId="0E5A7D7E" w14:textId="77777777" w:rsidR="0052217E" w:rsidRDefault="0052217E">
    <w:pPr>
      <w:pBdr>
        <w:top w:val="nil"/>
        <w:left w:val="nil"/>
        <w:bottom w:val="nil"/>
        <w:right w:val="nil"/>
        <w:between w:val="nil"/>
      </w:pBdr>
      <w:tabs>
        <w:tab w:val="center" w:pos="4419"/>
        <w:tab w:val="right" w:pos="8838"/>
      </w:tabs>
      <w:jc w:val="right"/>
      <w:rPr>
        <w:color w:val="000000"/>
      </w:rPr>
    </w:pPr>
  </w:p>
  <w:p w14:paraId="408D0DD6" w14:textId="77777777" w:rsidR="0052217E" w:rsidRDefault="0052217E">
    <w:pPr>
      <w:pBdr>
        <w:top w:val="nil"/>
        <w:left w:val="nil"/>
        <w:bottom w:val="nil"/>
        <w:right w:val="nil"/>
        <w:between w:val="nil"/>
      </w:pBdr>
      <w:tabs>
        <w:tab w:val="center" w:pos="4419"/>
        <w:tab w:val="right" w:pos="8838"/>
      </w:tabs>
      <w:jc w:val="right"/>
      <w:rPr>
        <w:color w:val="000000"/>
      </w:rPr>
    </w:pPr>
  </w:p>
  <w:p w14:paraId="7E589405" w14:textId="77777777" w:rsidR="0052217E" w:rsidRDefault="0052217E">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370CC2">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70CC2">
      <w:rPr>
        <w:b/>
        <w:noProof/>
        <w:color w:val="000000"/>
        <w:sz w:val="24"/>
        <w:szCs w:val="24"/>
      </w:rPr>
      <w:t>21</w:t>
    </w:r>
    <w:r>
      <w:rPr>
        <w:b/>
        <w:color w:val="00000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A49CF7" w14:textId="77777777" w:rsidR="00633A9E" w:rsidRDefault="00633A9E">
      <w:r>
        <w:separator/>
      </w:r>
    </w:p>
  </w:footnote>
  <w:footnote w:type="continuationSeparator" w:id="0">
    <w:p w14:paraId="57F001B5" w14:textId="77777777" w:rsidR="00633A9E" w:rsidRDefault="00633A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73E2B" w14:textId="77777777" w:rsidR="0052217E" w:rsidRDefault="00633A9E">
    <w:pPr>
      <w:pBdr>
        <w:top w:val="nil"/>
        <w:left w:val="nil"/>
        <w:bottom w:val="nil"/>
        <w:right w:val="nil"/>
        <w:between w:val="nil"/>
      </w:pBdr>
      <w:tabs>
        <w:tab w:val="center" w:pos="4419"/>
        <w:tab w:val="right" w:pos="8838"/>
      </w:tabs>
      <w:rPr>
        <w:color w:val="000000"/>
      </w:rPr>
    </w:pPr>
    <w:r>
      <w:rPr>
        <w:color w:val="000000"/>
      </w:rPr>
      <w:pict w14:anchorId="586D7D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aguaINFOEM" style="position:absolute;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EBA36" w14:textId="77777777" w:rsidR="0052217E" w:rsidRDefault="00633A9E">
    <w:pPr>
      <w:tabs>
        <w:tab w:val="left" w:pos="3416"/>
      </w:tabs>
      <w:rPr>
        <w:sz w:val="22"/>
        <w:szCs w:val="22"/>
      </w:rPr>
    </w:pPr>
    <w:r>
      <w:rPr>
        <w:sz w:val="14"/>
        <w:szCs w:val="14"/>
      </w:rPr>
      <w:pict w14:anchorId="7B771C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marcaaguaINFOEM" style="position:absolute;margin-left:-77.9pt;margin-top:-151.9pt;width:663.5pt;height:12in;z-index:-251659776;mso-position-horizontal-relative:margin;mso-position-vertical-relative:margin">
          <v:imagedata r:id="rId1" o:title="image1"/>
          <w10:wrap anchorx="margin" anchory="margin"/>
        </v:shape>
      </w:pict>
    </w:r>
  </w:p>
  <w:tbl>
    <w:tblPr>
      <w:tblStyle w:val="a"/>
      <w:tblW w:w="9461" w:type="dxa"/>
      <w:tblInd w:w="0" w:type="dxa"/>
      <w:tblLayout w:type="fixed"/>
      <w:tblLook w:val="0400" w:firstRow="0" w:lastRow="0" w:firstColumn="0" w:lastColumn="0" w:noHBand="0" w:noVBand="1"/>
    </w:tblPr>
    <w:tblGrid>
      <w:gridCol w:w="2268"/>
      <w:gridCol w:w="7193"/>
    </w:tblGrid>
    <w:tr w:rsidR="0052217E" w14:paraId="0DC90F1F" w14:textId="77777777">
      <w:trPr>
        <w:trHeight w:val="70"/>
      </w:trPr>
      <w:tc>
        <w:tcPr>
          <w:tcW w:w="2268" w:type="dxa"/>
          <w:shd w:val="clear" w:color="auto" w:fill="auto"/>
        </w:tcPr>
        <w:p w14:paraId="323A973D" w14:textId="77777777" w:rsidR="0052217E" w:rsidRDefault="0052217E">
          <w:pPr>
            <w:tabs>
              <w:tab w:val="right" w:pos="4273"/>
            </w:tabs>
            <w:rPr>
              <w:rFonts w:ascii="Garamond" w:eastAsia="Garamond" w:hAnsi="Garamond" w:cs="Garamond"/>
              <w:sz w:val="16"/>
              <w:szCs w:val="16"/>
            </w:rPr>
          </w:pPr>
        </w:p>
      </w:tc>
      <w:tc>
        <w:tcPr>
          <w:tcW w:w="7193" w:type="dxa"/>
          <w:shd w:val="clear" w:color="auto" w:fill="auto"/>
        </w:tcPr>
        <w:p w14:paraId="0CC8CF0A" w14:textId="77777777" w:rsidR="0052217E" w:rsidRDefault="0052217E">
          <w:pPr>
            <w:widowControl w:val="0"/>
            <w:pBdr>
              <w:top w:val="nil"/>
              <w:left w:val="nil"/>
              <w:bottom w:val="nil"/>
              <w:right w:val="nil"/>
              <w:between w:val="nil"/>
            </w:pBdr>
            <w:spacing w:line="276" w:lineRule="auto"/>
            <w:rPr>
              <w:rFonts w:ascii="Garamond" w:eastAsia="Garamond" w:hAnsi="Garamond" w:cs="Garamond"/>
              <w:sz w:val="16"/>
              <w:szCs w:val="16"/>
            </w:rPr>
          </w:pPr>
        </w:p>
        <w:tbl>
          <w:tblPr>
            <w:tblStyle w:val="a0"/>
            <w:tblW w:w="793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867"/>
            <w:gridCol w:w="4071"/>
          </w:tblGrid>
          <w:tr w:rsidR="0052217E" w14:paraId="23FBCDA2" w14:textId="77777777">
            <w:trPr>
              <w:trHeight w:val="128"/>
            </w:trPr>
            <w:tc>
              <w:tcPr>
                <w:tcW w:w="3867" w:type="dxa"/>
                <w:vAlign w:val="bottom"/>
              </w:tcPr>
              <w:p w14:paraId="0EBB57E0" w14:textId="77777777" w:rsidR="0052217E" w:rsidRDefault="0052217E">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Recurso de Revisión:</w:t>
                </w:r>
              </w:p>
            </w:tc>
            <w:tc>
              <w:tcPr>
                <w:tcW w:w="4071" w:type="dxa"/>
              </w:tcPr>
              <w:p w14:paraId="4426EA6A" w14:textId="77777777" w:rsidR="0052217E" w:rsidRDefault="0052217E">
                <w:pPr>
                  <w:tabs>
                    <w:tab w:val="right" w:pos="8838"/>
                  </w:tabs>
                  <w:ind w:left="-28" w:right="68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02471/INFOEM/IP/RR/2025</w:t>
                </w:r>
              </w:p>
            </w:tc>
          </w:tr>
          <w:tr w:rsidR="0052217E" w14:paraId="66F864B3" w14:textId="77777777">
            <w:trPr>
              <w:trHeight w:val="251"/>
            </w:trPr>
            <w:tc>
              <w:tcPr>
                <w:tcW w:w="3867" w:type="dxa"/>
              </w:tcPr>
              <w:p w14:paraId="0E0C93A0" w14:textId="77777777" w:rsidR="0052217E" w:rsidRDefault="0052217E">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Sujeto Obligado:</w:t>
                </w:r>
              </w:p>
            </w:tc>
            <w:tc>
              <w:tcPr>
                <w:tcW w:w="4071" w:type="dxa"/>
              </w:tcPr>
              <w:p w14:paraId="13881773" w14:textId="77777777" w:rsidR="0052217E" w:rsidRDefault="0052217E">
                <w:pPr>
                  <w:tabs>
                    <w:tab w:val="right" w:pos="8838"/>
                  </w:tabs>
                  <w:ind w:left="-28" w:right="1008"/>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Tribunal de Justicia Administrativa del Estado de México</w:t>
                </w:r>
              </w:p>
            </w:tc>
          </w:tr>
          <w:tr w:rsidR="0052217E" w14:paraId="3B520E05" w14:textId="77777777">
            <w:trPr>
              <w:trHeight w:val="251"/>
            </w:trPr>
            <w:tc>
              <w:tcPr>
                <w:tcW w:w="3867" w:type="dxa"/>
              </w:tcPr>
              <w:p w14:paraId="623C23A2" w14:textId="77777777" w:rsidR="0052217E" w:rsidRDefault="0052217E">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Comisionado Ponente:</w:t>
                </w:r>
              </w:p>
            </w:tc>
            <w:tc>
              <w:tcPr>
                <w:tcW w:w="4071" w:type="dxa"/>
              </w:tcPr>
              <w:p w14:paraId="382FDA50" w14:textId="77777777" w:rsidR="0052217E" w:rsidRDefault="0052217E">
                <w:pPr>
                  <w:tabs>
                    <w:tab w:val="right" w:pos="8838"/>
                  </w:tabs>
                  <w:ind w:left="-28" w:right="-32"/>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p w14:paraId="1ED70E73" w14:textId="77777777" w:rsidR="0052217E" w:rsidRDefault="0052217E">
                <w:pPr>
                  <w:tabs>
                    <w:tab w:val="right" w:pos="8838"/>
                  </w:tabs>
                  <w:ind w:left="-28" w:right="-32"/>
                  <w:rPr>
                    <w:rFonts w:ascii="Palatino Linotype" w:eastAsia="Palatino Linotype" w:hAnsi="Palatino Linotype" w:cs="Palatino Linotype"/>
                    <w:b/>
                    <w:sz w:val="22"/>
                    <w:szCs w:val="22"/>
                  </w:rPr>
                </w:pPr>
              </w:p>
            </w:tc>
          </w:tr>
        </w:tbl>
        <w:p w14:paraId="55F0B127" w14:textId="77777777" w:rsidR="0052217E" w:rsidRDefault="0052217E">
          <w:pPr>
            <w:tabs>
              <w:tab w:val="right" w:pos="8838"/>
            </w:tabs>
            <w:ind w:left="-28"/>
            <w:rPr>
              <w:rFonts w:ascii="Arial" w:eastAsia="Arial" w:hAnsi="Arial" w:cs="Arial"/>
              <w:b/>
            </w:rPr>
          </w:pPr>
        </w:p>
      </w:tc>
    </w:tr>
  </w:tbl>
  <w:p w14:paraId="7555C597" w14:textId="77777777" w:rsidR="0052217E" w:rsidRDefault="0052217E">
    <w:pPr>
      <w:pBdr>
        <w:top w:val="nil"/>
        <w:left w:val="nil"/>
        <w:bottom w:val="nil"/>
        <w:right w:val="nil"/>
        <w:between w:val="nil"/>
      </w:pBdr>
      <w:tabs>
        <w:tab w:val="center" w:pos="4419"/>
        <w:tab w:val="right" w:pos="8838"/>
      </w:tabs>
      <w:rPr>
        <w:color w:val="000000"/>
        <w:sz w:val="14"/>
        <w:szCs w:val="14"/>
      </w:rPr>
    </w:pPr>
  </w:p>
  <w:p w14:paraId="768A2DEF" w14:textId="77777777" w:rsidR="0052217E" w:rsidRDefault="0052217E">
    <w:pPr>
      <w:pBdr>
        <w:top w:val="nil"/>
        <w:left w:val="nil"/>
        <w:bottom w:val="nil"/>
        <w:right w:val="nil"/>
        <w:between w:val="nil"/>
      </w:pBdr>
      <w:tabs>
        <w:tab w:val="center" w:pos="4419"/>
        <w:tab w:val="right" w:pos="8838"/>
      </w:tabs>
      <w:rPr>
        <w:color w:val="000000"/>
        <w:sz w:val="14"/>
        <w:szCs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4AA96" w14:textId="77777777" w:rsidR="0052217E" w:rsidRDefault="0052217E">
    <w:pPr>
      <w:widowControl w:val="0"/>
      <w:pBdr>
        <w:top w:val="nil"/>
        <w:left w:val="nil"/>
        <w:bottom w:val="nil"/>
        <w:right w:val="nil"/>
        <w:between w:val="nil"/>
      </w:pBdr>
      <w:spacing w:line="276" w:lineRule="auto"/>
      <w:rPr>
        <w:color w:val="000000"/>
        <w:sz w:val="14"/>
        <w:szCs w:val="14"/>
      </w:rPr>
    </w:pPr>
  </w:p>
  <w:tbl>
    <w:tblPr>
      <w:tblStyle w:val="a1"/>
      <w:tblW w:w="6945" w:type="dxa"/>
      <w:tblInd w:w="2268" w:type="dxa"/>
      <w:tblBorders>
        <w:top w:val="nil"/>
        <w:left w:val="nil"/>
        <w:bottom w:val="nil"/>
        <w:right w:val="nil"/>
        <w:insideH w:val="nil"/>
        <w:insideV w:val="nil"/>
      </w:tblBorders>
      <w:tblLayout w:type="fixed"/>
      <w:tblLook w:val="0400" w:firstRow="0" w:lastRow="0" w:firstColumn="0" w:lastColumn="0" w:noHBand="0" w:noVBand="1"/>
    </w:tblPr>
    <w:tblGrid>
      <w:gridCol w:w="3968"/>
      <w:gridCol w:w="2977"/>
    </w:tblGrid>
    <w:tr w:rsidR="0052217E" w14:paraId="3D0D6CC7" w14:textId="77777777">
      <w:trPr>
        <w:trHeight w:val="302"/>
      </w:trPr>
      <w:tc>
        <w:tcPr>
          <w:tcW w:w="3969" w:type="dxa"/>
        </w:tcPr>
        <w:p w14:paraId="4F4105C5" w14:textId="77777777" w:rsidR="0052217E" w:rsidRDefault="0052217E">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Recurso de Revisión:</w:t>
          </w:r>
        </w:p>
      </w:tc>
      <w:tc>
        <w:tcPr>
          <w:tcW w:w="2977" w:type="dxa"/>
        </w:tcPr>
        <w:p w14:paraId="0C874923" w14:textId="77777777" w:rsidR="0052217E" w:rsidRDefault="0052217E">
          <w:pPr>
            <w:tabs>
              <w:tab w:val="right" w:pos="8838"/>
            </w:tabs>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02471/INFOEM/IP/RR/2025</w:t>
          </w:r>
        </w:p>
      </w:tc>
    </w:tr>
    <w:tr w:rsidR="0052217E" w14:paraId="4B824B5F" w14:textId="77777777">
      <w:trPr>
        <w:trHeight w:val="110"/>
      </w:trPr>
      <w:tc>
        <w:tcPr>
          <w:tcW w:w="3969" w:type="dxa"/>
        </w:tcPr>
        <w:p w14:paraId="4712D673" w14:textId="77777777" w:rsidR="0052217E" w:rsidRDefault="0052217E">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Recurrente:</w:t>
          </w:r>
        </w:p>
      </w:tc>
      <w:tc>
        <w:tcPr>
          <w:tcW w:w="2977" w:type="dxa"/>
        </w:tcPr>
        <w:p w14:paraId="38B9D08C" w14:textId="77777777" w:rsidR="0052217E" w:rsidRDefault="0052217E">
          <w:pPr>
            <w:jc w:val="both"/>
            <w:rPr>
              <w:rFonts w:ascii="Palatino Linotype" w:eastAsia="Palatino Linotype" w:hAnsi="Palatino Linotype" w:cs="Palatino Linotype"/>
              <w:sz w:val="22"/>
              <w:szCs w:val="22"/>
            </w:rPr>
          </w:pPr>
        </w:p>
      </w:tc>
    </w:tr>
    <w:tr w:rsidR="0052217E" w14:paraId="372C2690" w14:textId="77777777">
      <w:trPr>
        <w:trHeight w:val="248"/>
      </w:trPr>
      <w:tc>
        <w:tcPr>
          <w:tcW w:w="3969" w:type="dxa"/>
        </w:tcPr>
        <w:p w14:paraId="60926469" w14:textId="77777777" w:rsidR="0052217E" w:rsidRDefault="0052217E">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Sujeto Obligado:</w:t>
          </w:r>
        </w:p>
      </w:tc>
      <w:tc>
        <w:tcPr>
          <w:tcW w:w="2977" w:type="dxa"/>
        </w:tcPr>
        <w:p w14:paraId="6B22F55F" w14:textId="77777777" w:rsidR="0052217E" w:rsidRDefault="0052217E">
          <w:pPr>
            <w:tabs>
              <w:tab w:val="right" w:pos="8838"/>
            </w:tabs>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Tribunal de Justicia Administrativa del Estado de México</w:t>
          </w:r>
        </w:p>
      </w:tc>
    </w:tr>
    <w:tr w:rsidR="0052217E" w14:paraId="4D866D4D" w14:textId="77777777">
      <w:trPr>
        <w:trHeight w:val="248"/>
      </w:trPr>
      <w:tc>
        <w:tcPr>
          <w:tcW w:w="3969" w:type="dxa"/>
        </w:tcPr>
        <w:p w14:paraId="33D02F44" w14:textId="77777777" w:rsidR="0052217E" w:rsidRDefault="0052217E">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Comisionado Ponente:</w:t>
          </w:r>
        </w:p>
      </w:tc>
      <w:tc>
        <w:tcPr>
          <w:tcW w:w="2977" w:type="dxa"/>
        </w:tcPr>
        <w:p w14:paraId="54B20C15" w14:textId="77777777" w:rsidR="0052217E" w:rsidRDefault="0052217E">
          <w:pPr>
            <w:tabs>
              <w:tab w:val="right" w:pos="8838"/>
            </w:tabs>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tc>
    </w:tr>
  </w:tbl>
  <w:p w14:paraId="391BFD7D" w14:textId="77777777" w:rsidR="0052217E" w:rsidRDefault="00633A9E">
    <w:pPr>
      <w:ind w:right="-312"/>
    </w:pPr>
    <w:r>
      <w:pict w14:anchorId="23944C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marcaaguaINFOEM" style="position:absolute;margin-left:-92.55pt;margin-top:-120.95pt;width:663.5pt;height:12in;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CC61B1"/>
    <w:multiLevelType w:val="hybridMultilevel"/>
    <w:tmpl w:val="E1EA5DC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DA33B07"/>
    <w:multiLevelType w:val="hybridMultilevel"/>
    <w:tmpl w:val="8CB8F5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1750EB5"/>
    <w:multiLevelType w:val="hybridMultilevel"/>
    <w:tmpl w:val="B110493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7D77E09"/>
    <w:multiLevelType w:val="multilevel"/>
    <w:tmpl w:val="CB40FC9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229"/>
    <w:rsid w:val="00002F96"/>
    <w:rsid w:val="000679B6"/>
    <w:rsid w:val="00073A74"/>
    <w:rsid w:val="00091BE4"/>
    <w:rsid w:val="000A53E0"/>
    <w:rsid w:val="000C5A83"/>
    <w:rsid w:val="001034D4"/>
    <w:rsid w:val="001373B2"/>
    <w:rsid w:val="00137CC0"/>
    <w:rsid w:val="00137D7D"/>
    <w:rsid w:val="00160CB6"/>
    <w:rsid w:val="0018772D"/>
    <w:rsid w:val="001E18D0"/>
    <w:rsid w:val="001E47F9"/>
    <w:rsid w:val="002066AA"/>
    <w:rsid w:val="00216B84"/>
    <w:rsid w:val="00225E99"/>
    <w:rsid w:val="00236D01"/>
    <w:rsid w:val="0029409D"/>
    <w:rsid w:val="002B4B4B"/>
    <w:rsid w:val="002B661A"/>
    <w:rsid w:val="003156A4"/>
    <w:rsid w:val="00370CC2"/>
    <w:rsid w:val="003A2902"/>
    <w:rsid w:val="003A5AF4"/>
    <w:rsid w:val="00402C4F"/>
    <w:rsid w:val="00424EB4"/>
    <w:rsid w:val="00432534"/>
    <w:rsid w:val="004838B3"/>
    <w:rsid w:val="00497C33"/>
    <w:rsid w:val="004B2F89"/>
    <w:rsid w:val="004B7229"/>
    <w:rsid w:val="004F3210"/>
    <w:rsid w:val="004F4F8A"/>
    <w:rsid w:val="004F71A3"/>
    <w:rsid w:val="0052217E"/>
    <w:rsid w:val="005714B0"/>
    <w:rsid w:val="00577F40"/>
    <w:rsid w:val="00592398"/>
    <w:rsid w:val="00592844"/>
    <w:rsid w:val="005C5C25"/>
    <w:rsid w:val="00633A9E"/>
    <w:rsid w:val="00651E49"/>
    <w:rsid w:val="006546B9"/>
    <w:rsid w:val="00660035"/>
    <w:rsid w:val="006A170E"/>
    <w:rsid w:val="006D6F7E"/>
    <w:rsid w:val="00717770"/>
    <w:rsid w:val="00747433"/>
    <w:rsid w:val="00754BA8"/>
    <w:rsid w:val="007B58DB"/>
    <w:rsid w:val="007B78B0"/>
    <w:rsid w:val="007E74C4"/>
    <w:rsid w:val="00807947"/>
    <w:rsid w:val="0083653E"/>
    <w:rsid w:val="008733DA"/>
    <w:rsid w:val="00882988"/>
    <w:rsid w:val="00890A43"/>
    <w:rsid w:val="008B1C0A"/>
    <w:rsid w:val="008B1CE1"/>
    <w:rsid w:val="008D7414"/>
    <w:rsid w:val="009250C6"/>
    <w:rsid w:val="00966771"/>
    <w:rsid w:val="00A00351"/>
    <w:rsid w:val="00A0124F"/>
    <w:rsid w:val="00A41CAF"/>
    <w:rsid w:val="00A6780C"/>
    <w:rsid w:val="00A93635"/>
    <w:rsid w:val="00A967F4"/>
    <w:rsid w:val="00AB7228"/>
    <w:rsid w:val="00AB7488"/>
    <w:rsid w:val="00AC6AA2"/>
    <w:rsid w:val="00B46A48"/>
    <w:rsid w:val="00B501A3"/>
    <w:rsid w:val="00B621EF"/>
    <w:rsid w:val="00B8274B"/>
    <w:rsid w:val="00BA5DAF"/>
    <w:rsid w:val="00BB00E1"/>
    <w:rsid w:val="00BB67CD"/>
    <w:rsid w:val="00BC146B"/>
    <w:rsid w:val="00C0145B"/>
    <w:rsid w:val="00C04E57"/>
    <w:rsid w:val="00C148D2"/>
    <w:rsid w:val="00C2429D"/>
    <w:rsid w:val="00C712AA"/>
    <w:rsid w:val="00C82A5A"/>
    <w:rsid w:val="00C844B0"/>
    <w:rsid w:val="00CA4B8E"/>
    <w:rsid w:val="00CB577C"/>
    <w:rsid w:val="00CE5B89"/>
    <w:rsid w:val="00CE6C4C"/>
    <w:rsid w:val="00CF0630"/>
    <w:rsid w:val="00D57B40"/>
    <w:rsid w:val="00D6361A"/>
    <w:rsid w:val="00D9347F"/>
    <w:rsid w:val="00DF737B"/>
    <w:rsid w:val="00E05B22"/>
    <w:rsid w:val="00E36BDB"/>
    <w:rsid w:val="00E577E4"/>
    <w:rsid w:val="00EC71F5"/>
    <w:rsid w:val="00ED204B"/>
    <w:rsid w:val="00EE002B"/>
    <w:rsid w:val="00EF21FF"/>
    <w:rsid w:val="00F136C1"/>
    <w:rsid w:val="00F36710"/>
    <w:rsid w:val="00F953EB"/>
    <w:rsid w:val="00FB4B74"/>
    <w:rsid w:val="00FE49F8"/>
    <w:rsid w:val="00FF3AF3"/>
    <w:rsid w:val="00FF49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5636345"/>
  <w15:docId w15:val="{4BBFEAF1-E99B-480E-AC43-0A0E5D3E0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BC6"/>
    <w:rPr>
      <w:lang w:eastAsia="es-ES"/>
    </w:rPr>
  </w:style>
  <w:style w:type="paragraph" w:styleId="Ttulo1">
    <w:name w:val="heading 1"/>
    <w:basedOn w:val="Normal"/>
    <w:next w:val="Normal"/>
    <w:link w:val="Ttulo1Car"/>
    <w:uiPriority w:val="9"/>
    <w:qFormat/>
    <w:rsid w:val="00844BC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unhideWhenUsed/>
    <w:qFormat/>
    <w:rsid w:val="00844BC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844BC6"/>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844BC6"/>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844BC6"/>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844BC6"/>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44BC6"/>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44BC6"/>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44BC6"/>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844BC6"/>
    <w:pPr>
      <w:spacing w:after="80"/>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844BC6"/>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rsid w:val="00844BC6"/>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844BC6"/>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844BC6"/>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844BC6"/>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844BC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44BC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44BC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44BC6"/>
    <w:rPr>
      <w:rFonts w:eastAsiaTheme="majorEastAsia" w:cstheme="majorBidi"/>
      <w:color w:val="272727" w:themeColor="text1" w:themeTint="D8"/>
    </w:rPr>
  </w:style>
  <w:style w:type="character" w:customStyle="1" w:styleId="PuestoCar">
    <w:name w:val="Puesto Car"/>
    <w:basedOn w:val="Fuentedeprrafopredeter"/>
    <w:link w:val="Puesto"/>
    <w:uiPriority w:val="10"/>
    <w:rsid w:val="00844BC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44BC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44BC6"/>
    <w:pPr>
      <w:spacing w:before="160"/>
      <w:jc w:val="center"/>
    </w:pPr>
    <w:rPr>
      <w:i/>
      <w:iCs/>
      <w:color w:val="404040" w:themeColor="text1" w:themeTint="BF"/>
    </w:rPr>
  </w:style>
  <w:style w:type="character" w:customStyle="1" w:styleId="CitaCar">
    <w:name w:val="Cita Car"/>
    <w:basedOn w:val="Fuentedeprrafopredeter"/>
    <w:link w:val="Cita"/>
    <w:uiPriority w:val="29"/>
    <w:rsid w:val="00844BC6"/>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44BC6"/>
    <w:pPr>
      <w:ind w:left="720"/>
      <w:contextualSpacing/>
    </w:pPr>
  </w:style>
  <w:style w:type="character" w:styleId="nfasisintenso">
    <w:name w:val="Intense Emphasis"/>
    <w:basedOn w:val="Fuentedeprrafopredeter"/>
    <w:uiPriority w:val="21"/>
    <w:qFormat/>
    <w:rsid w:val="00844BC6"/>
    <w:rPr>
      <w:i/>
      <w:iCs/>
      <w:color w:val="2F5496" w:themeColor="accent1" w:themeShade="BF"/>
    </w:rPr>
  </w:style>
  <w:style w:type="paragraph" w:styleId="Citadestacada">
    <w:name w:val="Intense Quote"/>
    <w:basedOn w:val="Normal"/>
    <w:next w:val="Normal"/>
    <w:link w:val="CitadestacadaCar"/>
    <w:uiPriority w:val="30"/>
    <w:qFormat/>
    <w:rsid w:val="00844B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844BC6"/>
    <w:rPr>
      <w:i/>
      <w:iCs/>
      <w:color w:val="2F5496" w:themeColor="accent1" w:themeShade="BF"/>
    </w:rPr>
  </w:style>
  <w:style w:type="character" w:styleId="Referenciaintensa">
    <w:name w:val="Intense Reference"/>
    <w:basedOn w:val="Fuentedeprrafopredeter"/>
    <w:uiPriority w:val="32"/>
    <w:qFormat/>
    <w:rsid w:val="00844BC6"/>
    <w:rPr>
      <w:b/>
      <w:bCs/>
      <w:smallCaps/>
      <w:color w:val="2F5496" w:themeColor="accent1" w:themeShade="BF"/>
      <w:spacing w:val="5"/>
    </w:rPr>
  </w:style>
  <w:style w:type="paragraph" w:styleId="Encabezado">
    <w:name w:val="header"/>
    <w:basedOn w:val="Normal"/>
    <w:link w:val="EncabezadoCar"/>
    <w:uiPriority w:val="99"/>
    <w:unhideWhenUsed/>
    <w:rsid w:val="00844BC6"/>
    <w:pPr>
      <w:tabs>
        <w:tab w:val="center" w:pos="4419"/>
        <w:tab w:val="right" w:pos="8838"/>
      </w:tabs>
    </w:pPr>
  </w:style>
  <w:style w:type="character" w:customStyle="1" w:styleId="EncabezadoCar">
    <w:name w:val="Encabezado Car"/>
    <w:basedOn w:val="Fuentedeprrafopredeter"/>
    <w:link w:val="Encabezado"/>
    <w:uiPriority w:val="99"/>
    <w:rsid w:val="00844BC6"/>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844BC6"/>
    <w:pPr>
      <w:tabs>
        <w:tab w:val="center" w:pos="4419"/>
        <w:tab w:val="right" w:pos="8838"/>
      </w:tabs>
    </w:pPr>
  </w:style>
  <w:style w:type="character" w:customStyle="1" w:styleId="PiedepginaCar">
    <w:name w:val="Pie de página Car"/>
    <w:basedOn w:val="Fuentedeprrafopredeter"/>
    <w:link w:val="Piedepgina"/>
    <w:uiPriority w:val="99"/>
    <w:rsid w:val="00844BC6"/>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844BC6"/>
  </w:style>
  <w:style w:type="table" w:styleId="Tablaconcuadrcula">
    <w:name w:val="Table Grid"/>
    <w:basedOn w:val="Tablanormal"/>
    <w:uiPriority w:val="39"/>
    <w:rsid w:val="00844BC6"/>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44BC6"/>
    <w:rPr>
      <w:color w:val="0563C1" w:themeColor="hyperlink"/>
      <w:u w:val="single"/>
    </w:rPr>
  </w:style>
  <w:style w:type="paragraph" w:styleId="TDC1">
    <w:name w:val="toc 1"/>
    <w:basedOn w:val="Normal"/>
    <w:next w:val="Normal"/>
    <w:autoRedefine/>
    <w:uiPriority w:val="39"/>
    <w:unhideWhenUsed/>
    <w:rsid w:val="00844BC6"/>
    <w:pPr>
      <w:spacing w:after="100"/>
    </w:pPr>
  </w:style>
  <w:style w:type="paragraph" w:styleId="TtulodeTDC">
    <w:name w:val="TOC Heading"/>
    <w:basedOn w:val="Ttulo1"/>
    <w:next w:val="Normal"/>
    <w:uiPriority w:val="39"/>
    <w:unhideWhenUsed/>
    <w:qFormat/>
    <w:rsid w:val="00844BC6"/>
    <w:pPr>
      <w:spacing w:before="240" w:after="0"/>
      <w:outlineLvl w:val="9"/>
    </w:pPr>
    <w:rPr>
      <w:sz w:val="32"/>
      <w:szCs w:val="32"/>
      <w:lang w:eastAsia="es-MX"/>
    </w:rPr>
  </w:style>
  <w:style w:type="paragraph" w:styleId="TDC2">
    <w:name w:val="toc 2"/>
    <w:basedOn w:val="Normal"/>
    <w:next w:val="Normal"/>
    <w:autoRedefine/>
    <w:uiPriority w:val="39"/>
    <w:unhideWhenUsed/>
    <w:rsid w:val="00844BC6"/>
    <w:pPr>
      <w:tabs>
        <w:tab w:val="right" w:leader="dot" w:pos="9034"/>
      </w:tabs>
      <w:spacing w:line="360" w:lineRule="auto"/>
      <w:ind w:left="200"/>
      <w:contextualSpacing/>
      <w:jc w:val="both"/>
    </w:pPr>
  </w:style>
  <w:style w:type="paragraph" w:styleId="Revisin">
    <w:name w:val="Revision"/>
    <w:hidden/>
    <w:uiPriority w:val="99"/>
    <w:semiHidden/>
    <w:rsid w:val="003B39AC"/>
    <w:rPr>
      <w:lang w:eastAsia="es-E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Tablaconcuadrcula1">
    <w:name w:val="Tabla con cuadrícula1"/>
    <w:basedOn w:val="Tablanormal"/>
    <w:next w:val="Tablaconcuadrcula"/>
    <w:uiPriority w:val="39"/>
    <w:qFormat/>
    <w:rsid w:val="000A53E0"/>
    <w:rPr>
      <w:rFonts w:ascii="Calibri" w:eastAsia="Calibri" w:hAnsi="Calibri"/>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788172">
      <w:bodyDiv w:val="1"/>
      <w:marLeft w:val="0"/>
      <w:marRight w:val="0"/>
      <w:marTop w:val="0"/>
      <w:marBottom w:val="0"/>
      <w:divBdr>
        <w:top w:val="none" w:sz="0" w:space="0" w:color="auto"/>
        <w:left w:val="none" w:sz="0" w:space="0" w:color="auto"/>
        <w:bottom w:val="none" w:sz="0" w:space="0" w:color="auto"/>
        <w:right w:val="none" w:sz="0" w:space="0" w:color="auto"/>
      </w:divBdr>
    </w:div>
    <w:div w:id="383407242">
      <w:bodyDiv w:val="1"/>
      <w:marLeft w:val="0"/>
      <w:marRight w:val="0"/>
      <w:marTop w:val="0"/>
      <w:marBottom w:val="0"/>
      <w:divBdr>
        <w:top w:val="none" w:sz="0" w:space="0" w:color="auto"/>
        <w:left w:val="none" w:sz="0" w:space="0" w:color="auto"/>
        <w:bottom w:val="none" w:sz="0" w:space="0" w:color="auto"/>
        <w:right w:val="none" w:sz="0" w:space="0" w:color="auto"/>
      </w:divBdr>
    </w:div>
    <w:div w:id="442964669">
      <w:bodyDiv w:val="1"/>
      <w:marLeft w:val="0"/>
      <w:marRight w:val="0"/>
      <w:marTop w:val="0"/>
      <w:marBottom w:val="0"/>
      <w:divBdr>
        <w:top w:val="none" w:sz="0" w:space="0" w:color="auto"/>
        <w:left w:val="none" w:sz="0" w:space="0" w:color="auto"/>
        <w:bottom w:val="none" w:sz="0" w:space="0" w:color="auto"/>
        <w:right w:val="none" w:sz="0" w:space="0" w:color="auto"/>
      </w:divBdr>
    </w:div>
    <w:div w:id="802885713">
      <w:bodyDiv w:val="1"/>
      <w:marLeft w:val="0"/>
      <w:marRight w:val="0"/>
      <w:marTop w:val="0"/>
      <w:marBottom w:val="0"/>
      <w:divBdr>
        <w:top w:val="none" w:sz="0" w:space="0" w:color="auto"/>
        <w:left w:val="none" w:sz="0" w:space="0" w:color="auto"/>
        <w:bottom w:val="none" w:sz="0" w:space="0" w:color="auto"/>
        <w:right w:val="none" w:sz="0" w:space="0" w:color="auto"/>
      </w:divBdr>
    </w:div>
    <w:div w:id="1069302443">
      <w:bodyDiv w:val="1"/>
      <w:marLeft w:val="0"/>
      <w:marRight w:val="0"/>
      <w:marTop w:val="0"/>
      <w:marBottom w:val="0"/>
      <w:divBdr>
        <w:top w:val="none" w:sz="0" w:space="0" w:color="auto"/>
        <w:left w:val="none" w:sz="0" w:space="0" w:color="auto"/>
        <w:bottom w:val="none" w:sz="0" w:space="0" w:color="auto"/>
        <w:right w:val="none" w:sz="0" w:space="0" w:color="auto"/>
      </w:divBdr>
    </w:div>
    <w:div w:id="1296714724">
      <w:bodyDiv w:val="1"/>
      <w:marLeft w:val="0"/>
      <w:marRight w:val="0"/>
      <w:marTop w:val="0"/>
      <w:marBottom w:val="0"/>
      <w:divBdr>
        <w:top w:val="none" w:sz="0" w:space="0" w:color="auto"/>
        <w:left w:val="none" w:sz="0" w:space="0" w:color="auto"/>
        <w:bottom w:val="none" w:sz="0" w:space="0" w:color="auto"/>
        <w:right w:val="none" w:sz="0" w:space="0" w:color="auto"/>
      </w:divBdr>
    </w:div>
    <w:div w:id="1333877224">
      <w:bodyDiv w:val="1"/>
      <w:marLeft w:val="0"/>
      <w:marRight w:val="0"/>
      <w:marTop w:val="0"/>
      <w:marBottom w:val="0"/>
      <w:divBdr>
        <w:top w:val="none" w:sz="0" w:space="0" w:color="auto"/>
        <w:left w:val="none" w:sz="0" w:space="0" w:color="auto"/>
        <w:bottom w:val="none" w:sz="0" w:space="0" w:color="auto"/>
        <w:right w:val="none" w:sz="0" w:space="0" w:color="auto"/>
      </w:divBdr>
    </w:div>
    <w:div w:id="1657881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ijaem.gob.mx/sentencias/" TargetMode="External"/><Relationship Id="rId13" Type="http://schemas.openxmlformats.org/officeDocument/2006/relationships/hyperlink" Target="https://www.infoem.org.mx/es/content/informacion-public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QURoGQytaQps+ct784fY0k9W2g==">CgMxLjAyDmguZTI2eTlqeXFoeTQyMg5oLmdtZHFtNzZtZTltNDIOaC5naGtxb3A4ZHRqZmkyDmguaGhzMXd6dTFldGM4Mg5oLjRwZW5mc2xvcHRkdDIOaC42bDR5aHVjOHZueGIyDmgueHRjaHJiaGE3czhnMg5oLjdxamxzZ3c3NmUxNzIOaC5lNGRudTd1d2N1cWoyDmgubzRnZzdqZ20zYTU1Mg5oLmlobXh3eWVuNTVsYzIOaC5lNXBlMjVxZW5sd3MyDmguYmFwdjYxdmh5ZTMwMg5oLm9vdm4wbHY4cG1jajIOaC53OHdoY3l1MTZ5c2c4AHIhMV94UHJmSzhxS0ZQdzlOM2oxNTZxeEVDcmY1YWxJc20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4003</Words>
  <Characters>22020</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25972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 PEÑA VARA</dc:creator>
  <cp:lastModifiedBy>USUARIO</cp:lastModifiedBy>
  <cp:revision>3</cp:revision>
  <cp:lastPrinted>2025-05-06T15:32:00Z</cp:lastPrinted>
  <dcterms:created xsi:type="dcterms:W3CDTF">2025-05-06T15:32:00Z</dcterms:created>
  <dcterms:modified xsi:type="dcterms:W3CDTF">2025-05-06T15:32:00Z</dcterms:modified>
</cp:coreProperties>
</file>