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26E2" w14:textId="77777777" w:rsidR="00A417C7" w:rsidRPr="0024420A" w:rsidRDefault="00D806BB">
      <w:pPr>
        <w:spacing w:before="240" w:after="240"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24420A">
        <w:rPr>
          <w:rFonts w:ascii="Palatino Linotype" w:eastAsia="Palatino Linotype" w:hAnsi="Palatino Linotype" w:cs="Palatino Linotype"/>
          <w:b/>
          <w:sz w:val="22"/>
          <w:szCs w:val="22"/>
        </w:rPr>
        <w:t>trece</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de agosto de dos mil veinticinco</w:t>
      </w:r>
      <w:r w:rsidRPr="0024420A">
        <w:rPr>
          <w:rFonts w:ascii="Palatino Linotype" w:eastAsia="Palatino Linotype" w:hAnsi="Palatino Linotype" w:cs="Palatino Linotype"/>
          <w:sz w:val="22"/>
          <w:szCs w:val="22"/>
        </w:rPr>
        <w:t xml:space="preserve">. </w:t>
      </w:r>
    </w:p>
    <w:p w14:paraId="0EC275C3" w14:textId="77777777" w:rsidR="00A417C7" w:rsidRPr="0024420A" w:rsidRDefault="00D806BB">
      <w:pPr>
        <w:spacing w:before="240" w:after="240"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Vistos</w:t>
      </w:r>
      <w:r w:rsidRPr="0024420A">
        <w:rPr>
          <w:rFonts w:ascii="Palatino Linotype" w:eastAsia="Palatino Linotype" w:hAnsi="Palatino Linotype" w:cs="Palatino Linotype"/>
          <w:sz w:val="22"/>
          <w:szCs w:val="22"/>
        </w:rPr>
        <w:t xml:space="preserve"> los expedientes formados con motivo de los recursos de revisión </w:t>
      </w:r>
      <w:r w:rsidRPr="0024420A">
        <w:rPr>
          <w:rFonts w:ascii="Palatino Linotype" w:eastAsia="Palatino Linotype" w:hAnsi="Palatino Linotype" w:cs="Palatino Linotype"/>
          <w:b/>
          <w:sz w:val="22"/>
          <w:szCs w:val="22"/>
        </w:rPr>
        <w:t xml:space="preserve">06924/INFOEM/IP/RR/2025, 06925/INFOEM/IP/RR/2025, 06926/INFOEM/IP/RR/2025, 06927/INFOEM/IP/RR/2025, 06928/INFOEM/IP/RR/2025, 06930/INFOEM/IP/RR/2025, 06931/INFOEM/IP/RR/2025, 06932/INFOEM/IP/RR/2025, 06933/INFOEM/IP/RR/2025, 07421/INFOEM/IP/RR/2025, 07422/INFOEM/IP/RR/2025, 07423/INFOEM/IP/RR/2025, 07424/INFOEM/IP/RR/2025, 07425/INFOEM/IP/RR/2025, 07426/INFOEM/IP/RR/2025, 07427/INFOEM/IP/RR/2025, 07428/INFOEM/IP/RR/2025, 07429/INFOEM/IP/RR/2025, 07430/INFOEM/IP/RR/2025, 07431/INFOEM/IP/RR/2025, 07432/INFOEM/IP/RR/2025, 07433/INFOEM/IP/RR/2025, 07434/INFOEM/IP/RR/2025, 07435/INFOEM/IP/RR/2025, 07436/INFOEM/IP/RR/2025, 07437/INFOEM/IP/RR/2025, 07438/INFOEM/IP/RR/2025, 07439/INFOEM/IP/RR/2025, 07440/INFOEM/IP/RR/2025, 07441/INFOEM/IP/RR/2025, 07442/INFOEM/IP/RR/2025, 07443/INFOEM/IP/RR/2025, 07444/INFOEM/IP/RR/2025, 07445/INFOEM/IP/RR/2025, 07446/INFOEM/IP/RR/2025, 07447/INFOEM/IP/RR/2025, 07448/INFOEM/IP/RR/2025, 07449/INFOEM/IP/RR/2025, 07450/INFOEM/IP/RR/2025, 07451/INFOEM/IP/RR/2025, 07452/INFOEM/IP/RR/2025, 07453/INFOEM/IP/RR/2025, 07454/INFOEM/IP/RR/2025, 07455/INFOEM/IP/RR/2025, 07456/INFOEM/IP/RR/2025,  07461/INFOEM/IP/RR/2025, 07462/INFOEM/IP/RR/2025, 07463/INFOEM/IP/RR/2025, 07464/INFOEM/IP/RR/2025, 07465/INFOEM/IP/RR/2025, 07466/INFOEM/IP/RR/2025, 07467/INFOEM/IP/RR/2025, 07468/INFOEM/IP/RR/2025, 07469/INFOEM/IP/RR/2025, 07470/INFOEM/IP/RR/2025, 07471/INFOEM/IP/RR/2025, 07472/INFOEM/IP/RR/2025, 07473/INFOEM/IP/RR/2025, 07474/INFOEM/IP/RR/2025, 07475/INFOEM/IP/RR/2025, </w:t>
      </w:r>
      <w:r w:rsidRPr="0024420A">
        <w:rPr>
          <w:rFonts w:ascii="Palatino Linotype" w:eastAsia="Palatino Linotype" w:hAnsi="Palatino Linotype" w:cs="Palatino Linotype"/>
          <w:b/>
          <w:sz w:val="22"/>
          <w:szCs w:val="22"/>
        </w:rPr>
        <w:lastRenderedPageBreak/>
        <w:t xml:space="preserve">07476/INFOEM/IP/RR/2025, 07477/INFOEM/IP/RR/2025, 07509/INFOEM/IP/RR/2025, 07510/INFOEM/IP/RR/2025, 07511/INFOEM/IP/RR/2025, 07512/INFOEM/IP/RR/2025, 07513/INFOEM/IP/RR/2025, 07514/INFOEM/IP/RR/2025, 07515/INFOEM/IP/RR/2025, 07516/INFOEM/IP/RR/2025, 07517/INFOEM/IP/RR/2025, 07518/INFOEM/IP/RR/2025, 07519/INFOEM/IP/RR/2025, 07520/INFOEM/IP/RR/2025, 07521/INFOEM/IP/RR/2025, 07522/INFOEM/IP/RR/2025, 07523/INFOEM/IP/RR/2025, 07524/INFOEM/IP/RR/2025, 07525/INFOEM/IP/RR/2025, 07526/INFOEM/IP/RR/2025, 07614/INFOEM/IP/RR/2025, 07615/INFOEM/IP/RR/2025, 07616/INFOEM/IP/RR/2025, 07617/INFOEM/IP/RR/2025, 07622/INFOEM/IP/RR/2025, 07623/INFOEM/IP/RR/2025, 07624/INFOEM/IP/RR/2025, 07625/INFOEM/IP/RR/2025, 07626/INFOEM/IP/RR/2025, 07627/INFOEM/IP/RR/2025, 07628/INFOEM/IP/RR/2025, 07629/INFOEM/IP/RR/2025, 07630/INFOEM/IP/RR/2025, 07631/INFOEM/IP/RR/2025, 07632/INFOEM/IP/RR/2025 y 07633/INFOEM/IP/RR/2025, </w:t>
      </w:r>
      <w:r w:rsidRPr="0024420A">
        <w:rPr>
          <w:rFonts w:ascii="Palatino Linotype" w:eastAsia="Palatino Linotype" w:hAnsi="Palatino Linotype" w:cs="Palatino Linotype"/>
          <w:sz w:val="22"/>
          <w:szCs w:val="22"/>
        </w:rPr>
        <w:t>interpuestos por</w:t>
      </w:r>
      <w:r w:rsidRPr="0024420A">
        <w:rPr>
          <w:rFonts w:ascii="Palatino Linotype" w:eastAsia="Palatino Linotype" w:hAnsi="Palatino Linotype" w:cs="Palatino Linotype"/>
          <w:b/>
          <w:sz w:val="22"/>
          <w:szCs w:val="22"/>
        </w:rPr>
        <w:t xml:space="preserve"> un particular de manera anónima, </w:t>
      </w:r>
      <w:r w:rsidRPr="0024420A">
        <w:rPr>
          <w:rFonts w:ascii="Palatino Linotype" w:eastAsia="Palatino Linotype" w:hAnsi="Palatino Linotype" w:cs="Palatino Linotype"/>
          <w:sz w:val="22"/>
          <w:szCs w:val="22"/>
        </w:rPr>
        <w:t>quien en lo sucesivo</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sz w:val="22"/>
          <w:szCs w:val="22"/>
        </w:rPr>
        <w:t xml:space="preserve">será identificado como </w:t>
      </w:r>
      <w:r w:rsidRPr="0024420A">
        <w:rPr>
          <w:rFonts w:ascii="Palatino Linotype" w:eastAsia="Palatino Linotype" w:hAnsi="Palatino Linotype" w:cs="Palatino Linotype"/>
          <w:b/>
          <w:sz w:val="22"/>
          <w:szCs w:val="22"/>
        </w:rPr>
        <w:t>la parte Recurrente,</w:t>
      </w:r>
      <w:r w:rsidRPr="0024420A">
        <w:rPr>
          <w:rFonts w:ascii="Palatino Linotype" w:eastAsia="Palatino Linotype" w:hAnsi="Palatino Linotype" w:cs="Palatino Linotype"/>
          <w:sz w:val="22"/>
          <w:szCs w:val="22"/>
        </w:rPr>
        <w:t xml:space="preserve"> en contra de la falta de respuestas en las solicitudes de información</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sz w:val="22"/>
          <w:szCs w:val="22"/>
        </w:rPr>
        <w:t>por parte</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sz w:val="22"/>
          <w:szCs w:val="22"/>
        </w:rPr>
        <w:t xml:space="preserve">del </w:t>
      </w:r>
      <w:r w:rsidRPr="0024420A">
        <w:rPr>
          <w:rFonts w:ascii="Palatino Linotype" w:eastAsia="Palatino Linotype" w:hAnsi="Palatino Linotype" w:cs="Palatino Linotype"/>
          <w:b/>
          <w:sz w:val="22"/>
          <w:szCs w:val="22"/>
        </w:rPr>
        <w:t xml:space="preserve">Ayuntamiento de Teoloyucan, </w:t>
      </w:r>
      <w:r w:rsidRPr="0024420A">
        <w:rPr>
          <w:rFonts w:ascii="Palatino Linotype" w:eastAsia="Palatino Linotype" w:hAnsi="Palatino Linotype" w:cs="Palatino Linotype"/>
          <w:sz w:val="22"/>
          <w:szCs w:val="22"/>
        </w:rPr>
        <w:t xml:space="preserve">en lo sucesivo el </w:t>
      </w:r>
      <w:r w:rsidRPr="0024420A">
        <w:rPr>
          <w:rFonts w:ascii="Palatino Linotype" w:eastAsia="Palatino Linotype" w:hAnsi="Palatino Linotype" w:cs="Palatino Linotype"/>
          <w:b/>
          <w:sz w:val="22"/>
          <w:szCs w:val="22"/>
        </w:rPr>
        <w:t xml:space="preserve">Sujeto Obligado, </w:t>
      </w:r>
      <w:r w:rsidRPr="0024420A">
        <w:rPr>
          <w:rFonts w:ascii="Palatino Linotype" w:eastAsia="Palatino Linotype" w:hAnsi="Palatino Linotype" w:cs="Palatino Linotype"/>
          <w:sz w:val="22"/>
          <w:szCs w:val="22"/>
        </w:rPr>
        <w:t xml:space="preserve">se procede a dictar la presente resolución con base en los siguientes:  </w:t>
      </w:r>
    </w:p>
    <w:p w14:paraId="552C7329" w14:textId="77777777" w:rsidR="00A417C7" w:rsidRPr="0024420A" w:rsidRDefault="00D806BB">
      <w:pPr>
        <w:spacing w:before="240" w:after="240" w:line="360" w:lineRule="auto"/>
        <w:jc w:val="center"/>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I. A N T E C E D E N T E S:</w:t>
      </w:r>
    </w:p>
    <w:p w14:paraId="254AC403"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bookmarkStart w:id="0" w:name="_heading=h.gjdgxs" w:colFirst="0" w:colLast="0"/>
      <w:bookmarkEnd w:id="0"/>
      <w:r w:rsidRPr="0024420A">
        <w:rPr>
          <w:rFonts w:ascii="Palatino Linotype" w:eastAsia="Palatino Linotype" w:hAnsi="Palatino Linotype" w:cs="Palatino Linotype"/>
          <w:b/>
          <w:sz w:val="22"/>
          <w:szCs w:val="22"/>
        </w:rPr>
        <w:t>1. Solicitudes de acceso a la información.</w:t>
      </w:r>
      <w:r w:rsidRPr="0024420A">
        <w:rPr>
          <w:rFonts w:ascii="Palatino Linotype" w:eastAsia="Palatino Linotype" w:hAnsi="Palatino Linotype" w:cs="Palatino Linotype"/>
          <w:sz w:val="22"/>
          <w:szCs w:val="22"/>
        </w:rPr>
        <w:t xml:space="preserve"> Los días </w:t>
      </w:r>
      <w:r w:rsidRPr="0024420A">
        <w:rPr>
          <w:rFonts w:ascii="Palatino Linotype" w:eastAsia="Palatino Linotype" w:hAnsi="Palatino Linotype" w:cs="Palatino Linotype"/>
          <w:b/>
          <w:sz w:val="22"/>
          <w:szCs w:val="22"/>
        </w:rPr>
        <w:t>veintiuno y veintisiete de mayo de dos mil veinticinco,</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 xml:space="preserve">la parte Recurrente </w:t>
      </w:r>
      <w:r w:rsidRPr="0024420A">
        <w:rPr>
          <w:rFonts w:ascii="Palatino Linotype" w:eastAsia="Palatino Linotype" w:hAnsi="Palatino Linotype" w:cs="Palatino Linotype"/>
          <w:sz w:val="22"/>
          <w:szCs w:val="22"/>
        </w:rPr>
        <w:t>formuló solicitudes de acceso a información pública a través del Sistema de Acceso a la Información Mexiquense (SAIMEX)</w:t>
      </w:r>
      <w:r w:rsidRPr="0024420A">
        <w:rPr>
          <w:rFonts w:ascii="Palatino Linotype" w:eastAsia="Palatino Linotype" w:hAnsi="Palatino Linotype" w:cs="Palatino Linotype"/>
          <w:b/>
          <w:sz w:val="22"/>
          <w:szCs w:val="22"/>
        </w:rPr>
        <w:t>,</w:t>
      </w:r>
      <w:r w:rsidRPr="0024420A">
        <w:rPr>
          <w:rFonts w:ascii="Palatino Linotype" w:eastAsia="Palatino Linotype" w:hAnsi="Palatino Linotype" w:cs="Palatino Linotype"/>
          <w:sz w:val="22"/>
          <w:szCs w:val="22"/>
        </w:rPr>
        <w:t xml:space="preserve"> en las que requirió lo siguiente:</w:t>
      </w:r>
    </w:p>
    <w:tbl>
      <w:tblPr>
        <w:tblStyle w:val="affff4"/>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812"/>
      </w:tblGrid>
      <w:tr w:rsidR="00A00199" w:rsidRPr="0024420A" w14:paraId="7936C39B" w14:textId="77777777">
        <w:trPr>
          <w:jc w:val="center"/>
        </w:trPr>
        <w:tc>
          <w:tcPr>
            <w:tcW w:w="2830" w:type="dxa"/>
            <w:shd w:val="clear" w:color="auto" w:fill="EEECE1"/>
          </w:tcPr>
          <w:p w14:paraId="404E71F2" w14:textId="77777777" w:rsidR="00A417C7" w:rsidRPr="0024420A" w:rsidRDefault="00D806BB">
            <w:pPr>
              <w:spacing w:before="240" w:after="240"/>
              <w:jc w:val="center"/>
              <w:rPr>
                <w:rFonts w:ascii="Palatino Linotype" w:eastAsia="Palatino Linotype" w:hAnsi="Palatino Linotype" w:cs="Palatino Linotype"/>
                <w:b/>
              </w:rPr>
            </w:pPr>
            <w:r w:rsidRPr="0024420A">
              <w:rPr>
                <w:rFonts w:ascii="Palatino Linotype" w:eastAsia="Palatino Linotype" w:hAnsi="Palatino Linotype" w:cs="Palatino Linotype"/>
                <w:b/>
                <w:sz w:val="20"/>
                <w:szCs w:val="20"/>
              </w:rPr>
              <w:t>Número de solicitud</w:t>
            </w:r>
          </w:p>
        </w:tc>
        <w:tc>
          <w:tcPr>
            <w:tcW w:w="5812" w:type="dxa"/>
            <w:shd w:val="clear" w:color="auto" w:fill="EEECE1"/>
          </w:tcPr>
          <w:p w14:paraId="1C761600" w14:textId="77777777" w:rsidR="00A417C7" w:rsidRPr="0024420A" w:rsidRDefault="00D806BB">
            <w:pPr>
              <w:spacing w:before="240" w:after="240" w:line="360" w:lineRule="auto"/>
              <w:jc w:val="center"/>
              <w:rPr>
                <w:rFonts w:ascii="Palatino Linotype" w:eastAsia="Palatino Linotype" w:hAnsi="Palatino Linotype" w:cs="Palatino Linotype"/>
                <w:b/>
              </w:rPr>
            </w:pPr>
            <w:r w:rsidRPr="0024420A">
              <w:rPr>
                <w:rFonts w:ascii="Palatino Linotype" w:eastAsia="Palatino Linotype" w:hAnsi="Palatino Linotype" w:cs="Palatino Linotype"/>
                <w:b/>
                <w:sz w:val="20"/>
                <w:szCs w:val="20"/>
              </w:rPr>
              <w:t>Información requerida</w:t>
            </w:r>
          </w:p>
        </w:tc>
      </w:tr>
      <w:tr w:rsidR="00A00199" w:rsidRPr="0024420A" w14:paraId="0C97D40E" w14:textId="77777777">
        <w:trPr>
          <w:jc w:val="center"/>
        </w:trPr>
        <w:tc>
          <w:tcPr>
            <w:tcW w:w="2830" w:type="dxa"/>
          </w:tcPr>
          <w:p w14:paraId="44FB07B2"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lastRenderedPageBreak/>
              <w:t>00353/TEOLOYUCAN/IP/2025</w:t>
            </w:r>
          </w:p>
        </w:tc>
        <w:tc>
          <w:tcPr>
            <w:tcW w:w="5812" w:type="dxa"/>
          </w:tcPr>
          <w:p w14:paraId="6D631133"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DEL MES DE ENERO 2025</w:t>
            </w:r>
          </w:p>
        </w:tc>
      </w:tr>
      <w:tr w:rsidR="00A00199" w:rsidRPr="0024420A" w14:paraId="14E9F653" w14:textId="77777777">
        <w:trPr>
          <w:jc w:val="center"/>
        </w:trPr>
        <w:tc>
          <w:tcPr>
            <w:tcW w:w="2830" w:type="dxa"/>
          </w:tcPr>
          <w:p w14:paraId="37AEE0BF"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00354/TEOLOYUCAN/IP/2025</w:t>
            </w:r>
          </w:p>
        </w:tc>
        <w:tc>
          <w:tcPr>
            <w:tcW w:w="5812" w:type="dxa"/>
          </w:tcPr>
          <w:p w14:paraId="4AF0DA0D"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DEL MES DE FEBRERO 2025</w:t>
            </w:r>
          </w:p>
        </w:tc>
      </w:tr>
      <w:tr w:rsidR="00A00199" w:rsidRPr="0024420A" w14:paraId="33853E2F" w14:textId="77777777">
        <w:trPr>
          <w:jc w:val="center"/>
        </w:trPr>
        <w:tc>
          <w:tcPr>
            <w:tcW w:w="2830" w:type="dxa"/>
          </w:tcPr>
          <w:p w14:paraId="6E9B7A35"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00355/TEOLOYUCAN/IP/2025</w:t>
            </w:r>
          </w:p>
        </w:tc>
        <w:tc>
          <w:tcPr>
            <w:tcW w:w="5812" w:type="dxa"/>
          </w:tcPr>
          <w:p w14:paraId="5DAC3BF6"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DEL MES DE MARZO 2025</w:t>
            </w:r>
          </w:p>
        </w:tc>
      </w:tr>
      <w:tr w:rsidR="00A00199" w:rsidRPr="0024420A" w14:paraId="76B3A384" w14:textId="77777777">
        <w:trPr>
          <w:jc w:val="center"/>
        </w:trPr>
        <w:tc>
          <w:tcPr>
            <w:tcW w:w="2830" w:type="dxa"/>
          </w:tcPr>
          <w:p w14:paraId="19AF678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00356/TEOLOYUCAN/IP/2025</w:t>
            </w:r>
          </w:p>
        </w:tc>
        <w:tc>
          <w:tcPr>
            <w:tcW w:w="5812" w:type="dxa"/>
          </w:tcPr>
          <w:p w14:paraId="79240A7F"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DEL MES DE ENERO 2025</w:t>
            </w:r>
          </w:p>
        </w:tc>
      </w:tr>
      <w:tr w:rsidR="00A00199" w:rsidRPr="0024420A" w14:paraId="525AE4B8" w14:textId="77777777">
        <w:trPr>
          <w:jc w:val="center"/>
        </w:trPr>
        <w:tc>
          <w:tcPr>
            <w:tcW w:w="2830" w:type="dxa"/>
          </w:tcPr>
          <w:p w14:paraId="6495090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00357/TEOLOYUCAN/IP/2025</w:t>
            </w:r>
          </w:p>
        </w:tc>
        <w:tc>
          <w:tcPr>
            <w:tcW w:w="5812" w:type="dxa"/>
          </w:tcPr>
          <w:p w14:paraId="4488E23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DEL MES DE FEBRERO 2025</w:t>
            </w:r>
          </w:p>
        </w:tc>
      </w:tr>
      <w:tr w:rsidR="00A00199" w:rsidRPr="0024420A" w14:paraId="5738E40E" w14:textId="77777777">
        <w:trPr>
          <w:jc w:val="center"/>
        </w:trPr>
        <w:tc>
          <w:tcPr>
            <w:tcW w:w="2830" w:type="dxa"/>
          </w:tcPr>
          <w:p w14:paraId="04053C0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00358/TEOLOYUCAN/IP/2025</w:t>
            </w:r>
          </w:p>
        </w:tc>
        <w:tc>
          <w:tcPr>
            <w:tcW w:w="5812" w:type="dxa"/>
          </w:tcPr>
          <w:p w14:paraId="57DD1343"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DEL MES DE MARZO 2025</w:t>
            </w:r>
          </w:p>
        </w:tc>
      </w:tr>
      <w:tr w:rsidR="00A00199" w:rsidRPr="0024420A" w14:paraId="4EE726D1" w14:textId="77777777">
        <w:trPr>
          <w:jc w:val="center"/>
        </w:trPr>
        <w:tc>
          <w:tcPr>
            <w:tcW w:w="2830" w:type="dxa"/>
          </w:tcPr>
          <w:p w14:paraId="3C91CA72"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00359/TEOLOYUCAN/IP/2025</w:t>
            </w:r>
          </w:p>
        </w:tc>
        <w:tc>
          <w:tcPr>
            <w:tcW w:w="5812" w:type="dxa"/>
          </w:tcPr>
          <w:p w14:paraId="40105DB1"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DEL MES DE ENERO 2025</w:t>
            </w:r>
          </w:p>
        </w:tc>
      </w:tr>
      <w:tr w:rsidR="00A00199" w:rsidRPr="0024420A" w14:paraId="2B437305" w14:textId="77777777">
        <w:trPr>
          <w:jc w:val="center"/>
        </w:trPr>
        <w:tc>
          <w:tcPr>
            <w:tcW w:w="2830" w:type="dxa"/>
          </w:tcPr>
          <w:p w14:paraId="14C8FFC3"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00360/TEOLOYUCAN/IP/2025</w:t>
            </w:r>
          </w:p>
        </w:tc>
        <w:tc>
          <w:tcPr>
            <w:tcW w:w="5812" w:type="dxa"/>
          </w:tcPr>
          <w:p w14:paraId="7E089B87"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DEL MES DE FEBRERO 2025</w:t>
            </w:r>
          </w:p>
        </w:tc>
      </w:tr>
      <w:tr w:rsidR="00A00199" w:rsidRPr="0024420A" w14:paraId="484A71DD" w14:textId="77777777">
        <w:trPr>
          <w:jc w:val="center"/>
        </w:trPr>
        <w:tc>
          <w:tcPr>
            <w:tcW w:w="2830" w:type="dxa"/>
          </w:tcPr>
          <w:p w14:paraId="55A04CB9"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00361/TEOLOYUCAN/IP/2025</w:t>
            </w:r>
          </w:p>
        </w:tc>
        <w:tc>
          <w:tcPr>
            <w:tcW w:w="5812" w:type="dxa"/>
          </w:tcPr>
          <w:p w14:paraId="01AC411C"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DEL MES DE MARZO 2025</w:t>
            </w:r>
          </w:p>
        </w:tc>
      </w:tr>
      <w:tr w:rsidR="00A00199" w:rsidRPr="0024420A" w14:paraId="0D31C3B9" w14:textId="77777777">
        <w:trPr>
          <w:jc w:val="center"/>
        </w:trPr>
        <w:tc>
          <w:tcPr>
            <w:tcW w:w="2830" w:type="dxa"/>
          </w:tcPr>
          <w:p w14:paraId="6AFF08F2"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00677/TEOLOYUCAN/IP/2025</w:t>
            </w:r>
          </w:p>
        </w:tc>
        <w:tc>
          <w:tcPr>
            <w:tcW w:w="5812" w:type="dxa"/>
          </w:tcPr>
          <w:p w14:paraId="55071EB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MARZO DE 2023</w:t>
            </w:r>
          </w:p>
        </w:tc>
      </w:tr>
      <w:tr w:rsidR="00A00199" w:rsidRPr="0024420A" w14:paraId="2E38CE24" w14:textId="77777777">
        <w:trPr>
          <w:jc w:val="center"/>
        </w:trPr>
        <w:tc>
          <w:tcPr>
            <w:tcW w:w="2830" w:type="dxa"/>
          </w:tcPr>
          <w:p w14:paraId="492E4C00"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00676/TEOLOYUCAN/IP/2025</w:t>
            </w:r>
          </w:p>
        </w:tc>
        <w:tc>
          <w:tcPr>
            <w:tcW w:w="5812" w:type="dxa"/>
          </w:tcPr>
          <w:p w14:paraId="102673E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FEBRERO DE 2023</w:t>
            </w:r>
          </w:p>
        </w:tc>
      </w:tr>
      <w:tr w:rsidR="00A00199" w:rsidRPr="0024420A" w14:paraId="6B2E24A1" w14:textId="77777777">
        <w:trPr>
          <w:jc w:val="center"/>
        </w:trPr>
        <w:tc>
          <w:tcPr>
            <w:tcW w:w="2830" w:type="dxa"/>
          </w:tcPr>
          <w:p w14:paraId="54490C86"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00675/TEOLOYUCAN/IP/2025</w:t>
            </w:r>
          </w:p>
        </w:tc>
        <w:tc>
          <w:tcPr>
            <w:tcW w:w="5812" w:type="dxa"/>
          </w:tcPr>
          <w:p w14:paraId="11725B88"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ENERO DE 2023</w:t>
            </w:r>
          </w:p>
        </w:tc>
      </w:tr>
      <w:tr w:rsidR="00A00199" w:rsidRPr="0024420A" w14:paraId="465DA10B" w14:textId="77777777">
        <w:trPr>
          <w:jc w:val="center"/>
        </w:trPr>
        <w:tc>
          <w:tcPr>
            <w:tcW w:w="2830" w:type="dxa"/>
          </w:tcPr>
          <w:p w14:paraId="6440257A"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00674/TEOLOYUCAN/IP/2025</w:t>
            </w:r>
          </w:p>
        </w:tc>
        <w:tc>
          <w:tcPr>
            <w:tcW w:w="5812" w:type="dxa"/>
          </w:tcPr>
          <w:p w14:paraId="0BEAB63B"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DICIEMBRE DE 2022</w:t>
            </w:r>
          </w:p>
        </w:tc>
      </w:tr>
      <w:tr w:rsidR="00A00199" w:rsidRPr="0024420A" w14:paraId="2BB5AADD" w14:textId="77777777">
        <w:trPr>
          <w:jc w:val="center"/>
        </w:trPr>
        <w:tc>
          <w:tcPr>
            <w:tcW w:w="2830" w:type="dxa"/>
          </w:tcPr>
          <w:p w14:paraId="10F7F1E6"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00673/TEOLOYUCAN/IP/2025</w:t>
            </w:r>
          </w:p>
        </w:tc>
        <w:tc>
          <w:tcPr>
            <w:tcW w:w="5812" w:type="dxa"/>
          </w:tcPr>
          <w:p w14:paraId="1307C24C"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NOVIEMBRE DE 2022</w:t>
            </w:r>
          </w:p>
        </w:tc>
      </w:tr>
      <w:tr w:rsidR="00A00199" w:rsidRPr="0024420A" w14:paraId="15C006DC" w14:textId="77777777">
        <w:trPr>
          <w:jc w:val="center"/>
        </w:trPr>
        <w:tc>
          <w:tcPr>
            <w:tcW w:w="2830" w:type="dxa"/>
          </w:tcPr>
          <w:p w14:paraId="73689E2C"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lastRenderedPageBreak/>
              <w:t>00672/TEOLOYUCAN/IP/2025</w:t>
            </w:r>
          </w:p>
        </w:tc>
        <w:tc>
          <w:tcPr>
            <w:tcW w:w="5812" w:type="dxa"/>
          </w:tcPr>
          <w:p w14:paraId="0F88FF8A"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OCTUBRE DE 2022</w:t>
            </w:r>
          </w:p>
        </w:tc>
      </w:tr>
      <w:tr w:rsidR="00A00199" w:rsidRPr="0024420A" w14:paraId="460C98BB" w14:textId="77777777">
        <w:trPr>
          <w:jc w:val="center"/>
        </w:trPr>
        <w:tc>
          <w:tcPr>
            <w:tcW w:w="2830" w:type="dxa"/>
          </w:tcPr>
          <w:p w14:paraId="02D3E278"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00665/TEOLOYUCAN/IP/2025</w:t>
            </w:r>
          </w:p>
        </w:tc>
        <w:tc>
          <w:tcPr>
            <w:tcW w:w="5812" w:type="dxa"/>
          </w:tcPr>
          <w:p w14:paraId="15A3C01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MARZO DE 2022</w:t>
            </w:r>
          </w:p>
        </w:tc>
      </w:tr>
      <w:tr w:rsidR="00A00199" w:rsidRPr="0024420A" w14:paraId="2F3DBCA0" w14:textId="77777777">
        <w:trPr>
          <w:jc w:val="center"/>
        </w:trPr>
        <w:tc>
          <w:tcPr>
            <w:tcW w:w="2830" w:type="dxa"/>
          </w:tcPr>
          <w:p w14:paraId="6C4C2A21"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00664/TEOLOYUCAN/IP/2025</w:t>
            </w:r>
          </w:p>
        </w:tc>
        <w:tc>
          <w:tcPr>
            <w:tcW w:w="5812" w:type="dxa"/>
          </w:tcPr>
          <w:p w14:paraId="40F918EB"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FEBRERO DE 2022</w:t>
            </w:r>
          </w:p>
        </w:tc>
      </w:tr>
      <w:tr w:rsidR="00A00199" w:rsidRPr="0024420A" w14:paraId="3D01B7AA" w14:textId="77777777">
        <w:trPr>
          <w:jc w:val="center"/>
        </w:trPr>
        <w:tc>
          <w:tcPr>
            <w:tcW w:w="2830" w:type="dxa"/>
          </w:tcPr>
          <w:p w14:paraId="6E7A0403"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00663/TEOLOYUCAN/IP/2025</w:t>
            </w:r>
          </w:p>
        </w:tc>
        <w:tc>
          <w:tcPr>
            <w:tcW w:w="5812" w:type="dxa"/>
          </w:tcPr>
          <w:p w14:paraId="59F8E8A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ENERO DE 2022</w:t>
            </w:r>
          </w:p>
        </w:tc>
      </w:tr>
      <w:tr w:rsidR="00A00199" w:rsidRPr="0024420A" w14:paraId="4B13C4C6" w14:textId="77777777">
        <w:trPr>
          <w:jc w:val="center"/>
        </w:trPr>
        <w:tc>
          <w:tcPr>
            <w:tcW w:w="2830" w:type="dxa"/>
          </w:tcPr>
          <w:p w14:paraId="05EFD7A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00662/TEOLOYUCAN/IP/2025</w:t>
            </w:r>
          </w:p>
        </w:tc>
        <w:tc>
          <w:tcPr>
            <w:tcW w:w="5812" w:type="dxa"/>
          </w:tcPr>
          <w:p w14:paraId="5D31659B"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DICIEMBRE DE 2022</w:t>
            </w:r>
          </w:p>
        </w:tc>
      </w:tr>
      <w:tr w:rsidR="00A00199" w:rsidRPr="0024420A" w14:paraId="756A3453" w14:textId="77777777">
        <w:trPr>
          <w:jc w:val="center"/>
        </w:trPr>
        <w:tc>
          <w:tcPr>
            <w:tcW w:w="2830" w:type="dxa"/>
          </w:tcPr>
          <w:p w14:paraId="5070B51F"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00661/TEOLOYUCAN/IP/2025</w:t>
            </w:r>
          </w:p>
        </w:tc>
        <w:tc>
          <w:tcPr>
            <w:tcW w:w="5812" w:type="dxa"/>
          </w:tcPr>
          <w:p w14:paraId="0EE15443"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NOVIEMBRE DE 2022</w:t>
            </w:r>
          </w:p>
        </w:tc>
      </w:tr>
      <w:tr w:rsidR="00A00199" w:rsidRPr="0024420A" w14:paraId="5E4C27ED" w14:textId="77777777">
        <w:trPr>
          <w:jc w:val="center"/>
        </w:trPr>
        <w:tc>
          <w:tcPr>
            <w:tcW w:w="2830" w:type="dxa"/>
          </w:tcPr>
          <w:p w14:paraId="066657E1"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00660/TEOLOYUCAN/IP/2025</w:t>
            </w:r>
          </w:p>
        </w:tc>
        <w:tc>
          <w:tcPr>
            <w:tcW w:w="5812" w:type="dxa"/>
          </w:tcPr>
          <w:p w14:paraId="1F4612CE"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OCTUBRE DE 2022</w:t>
            </w:r>
          </w:p>
        </w:tc>
      </w:tr>
      <w:tr w:rsidR="00A00199" w:rsidRPr="0024420A" w14:paraId="38ECD898" w14:textId="77777777">
        <w:trPr>
          <w:jc w:val="center"/>
        </w:trPr>
        <w:tc>
          <w:tcPr>
            <w:tcW w:w="2830" w:type="dxa"/>
          </w:tcPr>
          <w:p w14:paraId="2AA486B1"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00659/TEOLOYUCAN/IP/2025</w:t>
            </w:r>
          </w:p>
        </w:tc>
        <w:tc>
          <w:tcPr>
            <w:tcW w:w="5812" w:type="dxa"/>
          </w:tcPr>
          <w:p w14:paraId="04CFF4BE"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SEPTIEMBRE DE 2022</w:t>
            </w:r>
          </w:p>
        </w:tc>
      </w:tr>
      <w:tr w:rsidR="00A00199" w:rsidRPr="0024420A" w14:paraId="33632413" w14:textId="77777777">
        <w:trPr>
          <w:jc w:val="center"/>
        </w:trPr>
        <w:tc>
          <w:tcPr>
            <w:tcW w:w="2830" w:type="dxa"/>
          </w:tcPr>
          <w:p w14:paraId="713E023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00658/TEOLOYUCAN/IP/2025</w:t>
            </w:r>
          </w:p>
        </w:tc>
        <w:tc>
          <w:tcPr>
            <w:tcW w:w="5812" w:type="dxa"/>
          </w:tcPr>
          <w:p w14:paraId="72E76D90"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SEPTIEMBRE DE 2022</w:t>
            </w:r>
          </w:p>
        </w:tc>
      </w:tr>
      <w:tr w:rsidR="00A00199" w:rsidRPr="0024420A" w14:paraId="552F2F85" w14:textId="77777777">
        <w:trPr>
          <w:jc w:val="center"/>
        </w:trPr>
        <w:tc>
          <w:tcPr>
            <w:tcW w:w="2830" w:type="dxa"/>
          </w:tcPr>
          <w:p w14:paraId="7D6BC2FE"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00657/TEOLOYUCAN/IP/2025</w:t>
            </w:r>
          </w:p>
        </w:tc>
        <w:tc>
          <w:tcPr>
            <w:tcW w:w="5812" w:type="dxa"/>
          </w:tcPr>
          <w:p w14:paraId="2A247F2A"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AGOSTO DE 2022</w:t>
            </w:r>
          </w:p>
        </w:tc>
      </w:tr>
      <w:tr w:rsidR="00A00199" w:rsidRPr="0024420A" w14:paraId="4F416995" w14:textId="77777777">
        <w:trPr>
          <w:jc w:val="center"/>
        </w:trPr>
        <w:tc>
          <w:tcPr>
            <w:tcW w:w="2830" w:type="dxa"/>
          </w:tcPr>
          <w:p w14:paraId="0E3EE32D"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00656/TEOLOYUCAN/IP/2025</w:t>
            </w:r>
          </w:p>
        </w:tc>
        <w:tc>
          <w:tcPr>
            <w:tcW w:w="5812" w:type="dxa"/>
          </w:tcPr>
          <w:p w14:paraId="1D9DF15E"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JULIO DE 2022</w:t>
            </w:r>
          </w:p>
        </w:tc>
      </w:tr>
      <w:tr w:rsidR="00A00199" w:rsidRPr="0024420A" w14:paraId="166C3007" w14:textId="77777777">
        <w:trPr>
          <w:jc w:val="center"/>
        </w:trPr>
        <w:tc>
          <w:tcPr>
            <w:tcW w:w="2830" w:type="dxa"/>
          </w:tcPr>
          <w:p w14:paraId="1B7C491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00655/TEOLOYUCAN/IP/2025</w:t>
            </w:r>
          </w:p>
        </w:tc>
        <w:tc>
          <w:tcPr>
            <w:tcW w:w="5812" w:type="dxa"/>
          </w:tcPr>
          <w:p w14:paraId="0A0C56D7"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 xml:space="preserve">SOLICITO TODAS LAS POLIZAS DE EGRESOS CON SU SOPORTE, DEL MES DE JUNIO DE 2022 </w:t>
            </w:r>
          </w:p>
        </w:tc>
      </w:tr>
      <w:tr w:rsidR="00A00199" w:rsidRPr="0024420A" w14:paraId="243864F3" w14:textId="77777777">
        <w:trPr>
          <w:jc w:val="center"/>
        </w:trPr>
        <w:tc>
          <w:tcPr>
            <w:tcW w:w="2830" w:type="dxa"/>
          </w:tcPr>
          <w:p w14:paraId="4F7B3FAE"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lastRenderedPageBreak/>
              <w:t>00654/TEOLOYUCAN/IP/2025</w:t>
            </w:r>
          </w:p>
        </w:tc>
        <w:tc>
          <w:tcPr>
            <w:tcW w:w="5812" w:type="dxa"/>
          </w:tcPr>
          <w:p w14:paraId="4646C676"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AGOSTO DE 2022</w:t>
            </w:r>
          </w:p>
        </w:tc>
      </w:tr>
      <w:tr w:rsidR="00A00199" w:rsidRPr="0024420A" w14:paraId="6D8DB514" w14:textId="77777777">
        <w:trPr>
          <w:jc w:val="center"/>
        </w:trPr>
        <w:tc>
          <w:tcPr>
            <w:tcW w:w="2830" w:type="dxa"/>
          </w:tcPr>
          <w:p w14:paraId="22858E1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00653/TEOLOYUCAN/IP/2025</w:t>
            </w:r>
          </w:p>
        </w:tc>
        <w:tc>
          <w:tcPr>
            <w:tcW w:w="5812" w:type="dxa"/>
          </w:tcPr>
          <w:p w14:paraId="78A859E6"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JULIO DE 2022</w:t>
            </w:r>
          </w:p>
        </w:tc>
      </w:tr>
      <w:tr w:rsidR="00A00199" w:rsidRPr="0024420A" w14:paraId="79E61526" w14:textId="77777777">
        <w:trPr>
          <w:jc w:val="center"/>
        </w:trPr>
        <w:tc>
          <w:tcPr>
            <w:tcW w:w="2830" w:type="dxa"/>
          </w:tcPr>
          <w:p w14:paraId="7068A916"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00652/TEOLOYUCAN/IP/2025</w:t>
            </w:r>
          </w:p>
        </w:tc>
        <w:tc>
          <w:tcPr>
            <w:tcW w:w="5812" w:type="dxa"/>
          </w:tcPr>
          <w:p w14:paraId="7A2BB5B0"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JUNIO DE 2022</w:t>
            </w:r>
          </w:p>
        </w:tc>
      </w:tr>
      <w:tr w:rsidR="00A00199" w:rsidRPr="0024420A" w14:paraId="60D32A9F" w14:textId="77777777">
        <w:trPr>
          <w:jc w:val="center"/>
        </w:trPr>
        <w:tc>
          <w:tcPr>
            <w:tcW w:w="2830" w:type="dxa"/>
          </w:tcPr>
          <w:p w14:paraId="0AC64885"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00651/TEOLOYUCAN/IP/2025</w:t>
            </w:r>
          </w:p>
        </w:tc>
        <w:tc>
          <w:tcPr>
            <w:tcW w:w="5812" w:type="dxa"/>
          </w:tcPr>
          <w:p w14:paraId="73D8D793"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MAYO DE 2022</w:t>
            </w:r>
          </w:p>
        </w:tc>
      </w:tr>
      <w:tr w:rsidR="00A00199" w:rsidRPr="0024420A" w14:paraId="34895A1B" w14:textId="77777777">
        <w:trPr>
          <w:jc w:val="center"/>
        </w:trPr>
        <w:tc>
          <w:tcPr>
            <w:tcW w:w="2830" w:type="dxa"/>
          </w:tcPr>
          <w:p w14:paraId="2016F84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00650/TEOLOYUCAN/IP/2025</w:t>
            </w:r>
          </w:p>
        </w:tc>
        <w:tc>
          <w:tcPr>
            <w:tcW w:w="5812" w:type="dxa"/>
          </w:tcPr>
          <w:p w14:paraId="2C40299E"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ABRIL DE 2022</w:t>
            </w:r>
          </w:p>
        </w:tc>
      </w:tr>
      <w:tr w:rsidR="00A00199" w:rsidRPr="0024420A" w14:paraId="2D8F2FB9" w14:textId="77777777">
        <w:trPr>
          <w:jc w:val="center"/>
        </w:trPr>
        <w:tc>
          <w:tcPr>
            <w:tcW w:w="2830" w:type="dxa"/>
          </w:tcPr>
          <w:p w14:paraId="14529122"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00649/TEOLOYUCAN/IP/2025</w:t>
            </w:r>
          </w:p>
        </w:tc>
        <w:tc>
          <w:tcPr>
            <w:tcW w:w="5812" w:type="dxa"/>
          </w:tcPr>
          <w:p w14:paraId="3E96783A"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MARZO DE 2022</w:t>
            </w:r>
          </w:p>
        </w:tc>
      </w:tr>
      <w:tr w:rsidR="00A00199" w:rsidRPr="0024420A" w14:paraId="734384D2" w14:textId="77777777">
        <w:trPr>
          <w:jc w:val="center"/>
        </w:trPr>
        <w:tc>
          <w:tcPr>
            <w:tcW w:w="2830" w:type="dxa"/>
          </w:tcPr>
          <w:p w14:paraId="6926A033"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00648/TEOLOYUCAN/IP/2025</w:t>
            </w:r>
          </w:p>
        </w:tc>
        <w:tc>
          <w:tcPr>
            <w:tcW w:w="5812" w:type="dxa"/>
          </w:tcPr>
          <w:p w14:paraId="09DCB61F"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FEBRERO DE 2022</w:t>
            </w:r>
          </w:p>
        </w:tc>
      </w:tr>
      <w:tr w:rsidR="00A00199" w:rsidRPr="0024420A" w14:paraId="7119DB27" w14:textId="77777777">
        <w:trPr>
          <w:jc w:val="center"/>
        </w:trPr>
        <w:tc>
          <w:tcPr>
            <w:tcW w:w="2830" w:type="dxa"/>
          </w:tcPr>
          <w:p w14:paraId="004B6A06"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00647/TEOLOYUCAN/IP/2025</w:t>
            </w:r>
          </w:p>
        </w:tc>
        <w:tc>
          <w:tcPr>
            <w:tcW w:w="5812" w:type="dxa"/>
          </w:tcPr>
          <w:p w14:paraId="682F13DC"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ENERO DE 2022</w:t>
            </w:r>
          </w:p>
        </w:tc>
      </w:tr>
      <w:tr w:rsidR="00A00199" w:rsidRPr="0024420A" w14:paraId="2F65475C" w14:textId="77777777">
        <w:trPr>
          <w:jc w:val="center"/>
        </w:trPr>
        <w:tc>
          <w:tcPr>
            <w:tcW w:w="2830" w:type="dxa"/>
          </w:tcPr>
          <w:p w14:paraId="07F9558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00646/TEOLOYUCAN/IP/2025</w:t>
            </w:r>
          </w:p>
        </w:tc>
        <w:tc>
          <w:tcPr>
            <w:tcW w:w="5812" w:type="dxa"/>
          </w:tcPr>
          <w:p w14:paraId="0353580B"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DICIEMBRE DE 2022</w:t>
            </w:r>
          </w:p>
        </w:tc>
      </w:tr>
      <w:tr w:rsidR="00A00199" w:rsidRPr="0024420A" w14:paraId="03BD87E4" w14:textId="77777777">
        <w:trPr>
          <w:jc w:val="center"/>
        </w:trPr>
        <w:tc>
          <w:tcPr>
            <w:tcW w:w="2830" w:type="dxa"/>
          </w:tcPr>
          <w:p w14:paraId="5B6F5217"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00635/TEOLOYUCAN/IP/2025</w:t>
            </w:r>
          </w:p>
        </w:tc>
        <w:tc>
          <w:tcPr>
            <w:tcW w:w="5812" w:type="dxa"/>
          </w:tcPr>
          <w:p w14:paraId="58AD19A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ENERO DE 2022</w:t>
            </w:r>
          </w:p>
        </w:tc>
      </w:tr>
      <w:tr w:rsidR="00A00199" w:rsidRPr="0024420A" w14:paraId="69B83E7D" w14:textId="77777777">
        <w:trPr>
          <w:jc w:val="center"/>
        </w:trPr>
        <w:tc>
          <w:tcPr>
            <w:tcW w:w="2830" w:type="dxa"/>
          </w:tcPr>
          <w:p w14:paraId="1912EB1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00634/TEOLOYUCAN/IP/2025</w:t>
            </w:r>
          </w:p>
        </w:tc>
        <w:tc>
          <w:tcPr>
            <w:tcW w:w="5812" w:type="dxa"/>
          </w:tcPr>
          <w:p w14:paraId="05D223E8"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DICIEMBRE DE 2021</w:t>
            </w:r>
          </w:p>
        </w:tc>
      </w:tr>
      <w:tr w:rsidR="00A00199" w:rsidRPr="0024420A" w14:paraId="21CD7FF9" w14:textId="77777777">
        <w:trPr>
          <w:jc w:val="center"/>
        </w:trPr>
        <w:tc>
          <w:tcPr>
            <w:tcW w:w="2830" w:type="dxa"/>
          </w:tcPr>
          <w:p w14:paraId="5C423EFD"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00633/TEOLOYUCAN/IP/2025</w:t>
            </w:r>
          </w:p>
        </w:tc>
        <w:tc>
          <w:tcPr>
            <w:tcW w:w="5812" w:type="dxa"/>
          </w:tcPr>
          <w:p w14:paraId="74775A3B"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NOVIEMBRE DE 2021</w:t>
            </w:r>
          </w:p>
        </w:tc>
      </w:tr>
      <w:tr w:rsidR="00A00199" w:rsidRPr="0024420A" w14:paraId="5B29AD68" w14:textId="77777777">
        <w:trPr>
          <w:jc w:val="center"/>
        </w:trPr>
        <w:tc>
          <w:tcPr>
            <w:tcW w:w="2830" w:type="dxa"/>
          </w:tcPr>
          <w:p w14:paraId="63B334B8"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lastRenderedPageBreak/>
              <w:t>00632/TEOLOYUCAN/IP/2025</w:t>
            </w:r>
          </w:p>
        </w:tc>
        <w:tc>
          <w:tcPr>
            <w:tcW w:w="5812" w:type="dxa"/>
          </w:tcPr>
          <w:p w14:paraId="6CFA58B3"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OCTUBRE DE 2021</w:t>
            </w:r>
          </w:p>
        </w:tc>
      </w:tr>
      <w:tr w:rsidR="00A00199" w:rsidRPr="0024420A" w14:paraId="580704F1" w14:textId="77777777">
        <w:trPr>
          <w:jc w:val="center"/>
        </w:trPr>
        <w:tc>
          <w:tcPr>
            <w:tcW w:w="2830" w:type="dxa"/>
          </w:tcPr>
          <w:p w14:paraId="68EE5BA6"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00631/TEOLOYUCAN/IP/2025</w:t>
            </w:r>
          </w:p>
        </w:tc>
        <w:tc>
          <w:tcPr>
            <w:tcW w:w="5812" w:type="dxa"/>
          </w:tcPr>
          <w:p w14:paraId="1B3EEC96"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SEPTIEMBRE DE 2021</w:t>
            </w:r>
          </w:p>
        </w:tc>
      </w:tr>
      <w:tr w:rsidR="00A00199" w:rsidRPr="0024420A" w14:paraId="0FD25671" w14:textId="77777777">
        <w:trPr>
          <w:jc w:val="center"/>
        </w:trPr>
        <w:tc>
          <w:tcPr>
            <w:tcW w:w="2830" w:type="dxa"/>
          </w:tcPr>
          <w:p w14:paraId="20557236"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00630/TEOLOYUCAN/IP/2025</w:t>
            </w:r>
          </w:p>
        </w:tc>
        <w:tc>
          <w:tcPr>
            <w:tcW w:w="5812" w:type="dxa"/>
          </w:tcPr>
          <w:p w14:paraId="090B413C"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AGOSTO DE 2021</w:t>
            </w:r>
          </w:p>
        </w:tc>
      </w:tr>
      <w:tr w:rsidR="00A00199" w:rsidRPr="0024420A" w14:paraId="259F9912" w14:textId="77777777">
        <w:trPr>
          <w:jc w:val="center"/>
        </w:trPr>
        <w:tc>
          <w:tcPr>
            <w:tcW w:w="2830" w:type="dxa"/>
          </w:tcPr>
          <w:p w14:paraId="134AF702"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00629/TEOLOYUCAN/IP/2025</w:t>
            </w:r>
          </w:p>
        </w:tc>
        <w:tc>
          <w:tcPr>
            <w:tcW w:w="5812" w:type="dxa"/>
          </w:tcPr>
          <w:p w14:paraId="3DF2C5EB"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JULIO DE 2021</w:t>
            </w:r>
          </w:p>
        </w:tc>
      </w:tr>
      <w:tr w:rsidR="00A00199" w:rsidRPr="0024420A" w14:paraId="71295DFD" w14:textId="77777777">
        <w:trPr>
          <w:jc w:val="center"/>
        </w:trPr>
        <w:tc>
          <w:tcPr>
            <w:tcW w:w="2830" w:type="dxa"/>
          </w:tcPr>
          <w:p w14:paraId="76C01310"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00628/TEOLOYUCAN/IP/2025</w:t>
            </w:r>
          </w:p>
        </w:tc>
        <w:tc>
          <w:tcPr>
            <w:tcW w:w="5812" w:type="dxa"/>
          </w:tcPr>
          <w:p w14:paraId="41A8509D"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JUNIO DE 2021</w:t>
            </w:r>
          </w:p>
        </w:tc>
      </w:tr>
      <w:tr w:rsidR="00A00199" w:rsidRPr="0024420A" w14:paraId="35B23C9F" w14:textId="77777777">
        <w:trPr>
          <w:jc w:val="center"/>
        </w:trPr>
        <w:tc>
          <w:tcPr>
            <w:tcW w:w="2830" w:type="dxa"/>
          </w:tcPr>
          <w:p w14:paraId="5B07B3A3"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00627/TEOLOYUCAN/IP/2025</w:t>
            </w:r>
          </w:p>
        </w:tc>
        <w:tc>
          <w:tcPr>
            <w:tcW w:w="5812" w:type="dxa"/>
          </w:tcPr>
          <w:p w14:paraId="51835073"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MAYO DE 2021</w:t>
            </w:r>
          </w:p>
        </w:tc>
      </w:tr>
      <w:tr w:rsidR="00A00199" w:rsidRPr="0024420A" w14:paraId="6DC995EF" w14:textId="77777777">
        <w:trPr>
          <w:jc w:val="center"/>
        </w:trPr>
        <w:tc>
          <w:tcPr>
            <w:tcW w:w="2830" w:type="dxa"/>
          </w:tcPr>
          <w:p w14:paraId="11CC685F"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00626/TEOLOYUCAN/IP/2025</w:t>
            </w:r>
          </w:p>
        </w:tc>
        <w:tc>
          <w:tcPr>
            <w:tcW w:w="5812" w:type="dxa"/>
          </w:tcPr>
          <w:p w14:paraId="69CCB85C"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ABRIL DE 2021</w:t>
            </w:r>
          </w:p>
        </w:tc>
      </w:tr>
      <w:tr w:rsidR="00A00199" w:rsidRPr="0024420A" w14:paraId="35C743D6" w14:textId="77777777">
        <w:trPr>
          <w:jc w:val="center"/>
        </w:trPr>
        <w:tc>
          <w:tcPr>
            <w:tcW w:w="2830" w:type="dxa"/>
          </w:tcPr>
          <w:p w14:paraId="6989DCF8"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00671/TEOLOYUCAN/IP/2025</w:t>
            </w:r>
          </w:p>
        </w:tc>
        <w:tc>
          <w:tcPr>
            <w:tcW w:w="5812" w:type="dxa"/>
          </w:tcPr>
          <w:p w14:paraId="68EF0CB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SEPTIEMBRE DE 2022</w:t>
            </w:r>
          </w:p>
        </w:tc>
      </w:tr>
      <w:tr w:rsidR="00A00199" w:rsidRPr="0024420A" w14:paraId="3C926784" w14:textId="77777777">
        <w:trPr>
          <w:jc w:val="center"/>
        </w:trPr>
        <w:tc>
          <w:tcPr>
            <w:tcW w:w="2830" w:type="dxa"/>
          </w:tcPr>
          <w:p w14:paraId="3882388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00670/TEOLOYUCAN/IP/2025</w:t>
            </w:r>
          </w:p>
        </w:tc>
        <w:tc>
          <w:tcPr>
            <w:tcW w:w="5812" w:type="dxa"/>
          </w:tcPr>
          <w:p w14:paraId="76BFF121"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AGOSTO DE 2022</w:t>
            </w:r>
          </w:p>
        </w:tc>
      </w:tr>
      <w:tr w:rsidR="00A00199" w:rsidRPr="0024420A" w14:paraId="75DE695F" w14:textId="77777777">
        <w:trPr>
          <w:jc w:val="center"/>
        </w:trPr>
        <w:tc>
          <w:tcPr>
            <w:tcW w:w="2830" w:type="dxa"/>
          </w:tcPr>
          <w:p w14:paraId="5799F56A"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00669/TEOLOYUCAN/IP/2025</w:t>
            </w:r>
          </w:p>
        </w:tc>
        <w:tc>
          <w:tcPr>
            <w:tcW w:w="5812" w:type="dxa"/>
          </w:tcPr>
          <w:p w14:paraId="4868C1C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JULIO DE 2022</w:t>
            </w:r>
          </w:p>
        </w:tc>
      </w:tr>
      <w:tr w:rsidR="00A00199" w:rsidRPr="0024420A" w14:paraId="18B75635" w14:textId="77777777">
        <w:trPr>
          <w:jc w:val="center"/>
        </w:trPr>
        <w:tc>
          <w:tcPr>
            <w:tcW w:w="2830" w:type="dxa"/>
          </w:tcPr>
          <w:p w14:paraId="707D544D"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00668/TEOLOYUCAN/IP/2025</w:t>
            </w:r>
          </w:p>
        </w:tc>
        <w:tc>
          <w:tcPr>
            <w:tcW w:w="5812" w:type="dxa"/>
          </w:tcPr>
          <w:p w14:paraId="1317F24E"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JUNIO DE 2022</w:t>
            </w:r>
          </w:p>
        </w:tc>
      </w:tr>
      <w:tr w:rsidR="00A00199" w:rsidRPr="0024420A" w14:paraId="5A5F575F" w14:textId="77777777">
        <w:trPr>
          <w:jc w:val="center"/>
        </w:trPr>
        <w:tc>
          <w:tcPr>
            <w:tcW w:w="2830" w:type="dxa"/>
          </w:tcPr>
          <w:p w14:paraId="4C72E7C0"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00667/TEOLOYUCAN/IP/2025</w:t>
            </w:r>
          </w:p>
        </w:tc>
        <w:tc>
          <w:tcPr>
            <w:tcW w:w="5812" w:type="dxa"/>
          </w:tcPr>
          <w:p w14:paraId="6F3188F0"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MAYO DE 2022</w:t>
            </w:r>
          </w:p>
        </w:tc>
      </w:tr>
      <w:tr w:rsidR="00A00199" w:rsidRPr="0024420A" w14:paraId="0B16B2DC" w14:textId="77777777">
        <w:trPr>
          <w:jc w:val="center"/>
        </w:trPr>
        <w:tc>
          <w:tcPr>
            <w:tcW w:w="2830" w:type="dxa"/>
          </w:tcPr>
          <w:p w14:paraId="16A7BED7"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lastRenderedPageBreak/>
              <w:t>00666/TEOLOYUCAN/IP/2025</w:t>
            </w:r>
          </w:p>
        </w:tc>
        <w:tc>
          <w:tcPr>
            <w:tcW w:w="5812" w:type="dxa"/>
          </w:tcPr>
          <w:p w14:paraId="3C510417"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ABRIL DE 2022</w:t>
            </w:r>
          </w:p>
        </w:tc>
      </w:tr>
      <w:tr w:rsidR="00A00199" w:rsidRPr="0024420A" w14:paraId="49EC487C" w14:textId="77777777">
        <w:trPr>
          <w:jc w:val="center"/>
        </w:trPr>
        <w:tc>
          <w:tcPr>
            <w:tcW w:w="2830" w:type="dxa"/>
          </w:tcPr>
          <w:p w14:paraId="00D866DC"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00639/TEOLOYUCAN/IP/2025</w:t>
            </w:r>
          </w:p>
        </w:tc>
        <w:tc>
          <w:tcPr>
            <w:tcW w:w="5812" w:type="dxa"/>
          </w:tcPr>
          <w:p w14:paraId="08EEBD99"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MAYO DE 2022</w:t>
            </w:r>
          </w:p>
        </w:tc>
      </w:tr>
      <w:tr w:rsidR="00A00199" w:rsidRPr="0024420A" w14:paraId="79FABFC9" w14:textId="77777777">
        <w:trPr>
          <w:jc w:val="center"/>
        </w:trPr>
        <w:tc>
          <w:tcPr>
            <w:tcW w:w="2830" w:type="dxa"/>
          </w:tcPr>
          <w:p w14:paraId="08A5A158"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00638/TEOLOYUCAN/IP/2025</w:t>
            </w:r>
          </w:p>
        </w:tc>
        <w:tc>
          <w:tcPr>
            <w:tcW w:w="5812" w:type="dxa"/>
          </w:tcPr>
          <w:p w14:paraId="552B5222"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ABRIL DE 2022</w:t>
            </w:r>
          </w:p>
        </w:tc>
      </w:tr>
      <w:tr w:rsidR="00A00199" w:rsidRPr="0024420A" w14:paraId="21D0FA09" w14:textId="77777777">
        <w:trPr>
          <w:jc w:val="center"/>
        </w:trPr>
        <w:tc>
          <w:tcPr>
            <w:tcW w:w="2830" w:type="dxa"/>
          </w:tcPr>
          <w:p w14:paraId="239C6F4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00637/TEOLOYUCAN/IP/2025</w:t>
            </w:r>
          </w:p>
        </w:tc>
        <w:tc>
          <w:tcPr>
            <w:tcW w:w="5812" w:type="dxa"/>
          </w:tcPr>
          <w:p w14:paraId="43655740"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MARZO DE 2022</w:t>
            </w:r>
          </w:p>
        </w:tc>
      </w:tr>
      <w:tr w:rsidR="00A00199" w:rsidRPr="0024420A" w14:paraId="40D1EF2F" w14:textId="77777777">
        <w:trPr>
          <w:jc w:val="center"/>
        </w:trPr>
        <w:tc>
          <w:tcPr>
            <w:tcW w:w="2830" w:type="dxa"/>
          </w:tcPr>
          <w:p w14:paraId="6914DF31"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00636/TEOLOYUCAN/IP/2025</w:t>
            </w:r>
          </w:p>
        </w:tc>
        <w:tc>
          <w:tcPr>
            <w:tcW w:w="5812" w:type="dxa"/>
          </w:tcPr>
          <w:p w14:paraId="60C35648"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FEBRERO DE 2022</w:t>
            </w:r>
          </w:p>
        </w:tc>
      </w:tr>
      <w:tr w:rsidR="00A00199" w:rsidRPr="0024420A" w14:paraId="107A0145" w14:textId="77777777">
        <w:trPr>
          <w:jc w:val="center"/>
        </w:trPr>
        <w:tc>
          <w:tcPr>
            <w:tcW w:w="2830" w:type="dxa"/>
          </w:tcPr>
          <w:p w14:paraId="50D1AE8C"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00625/TEOLOYUCAN/IP/2025</w:t>
            </w:r>
          </w:p>
        </w:tc>
        <w:tc>
          <w:tcPr>
            <w:tcW w:w="5812" w:type="dxa"/>
          </w:tcPr>
          <w:p w14:paraId="17220DD9"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MARZO DE 2021</w:t>
            </w:r>
          </w:p>
        </w:tc>
      </w:tr>
      <w:tr w:rsidR="00A00199" w:rsidRPr="0024420A" w14:paraId="43B06555" w14:textId="77777777">
        <w:trPr>
          <w:jc w:val="center"/>
        </w:trPr>
        <w:tc>
          <w:tcPr>
            <w:tcW w:w="2830" w:type="dxa"/>
          </w:tcPr>
          <w:p w14:paraId="338F79D3"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00624/TEOLOYUCAN/IP/2025</w:t>
            </w:r>
          </w:p>
        </w:tc>
        <w:tc>
          <w:tcPr>
            <w:tcW w:w="5812" w:type="dxa"/>
          </w:tcPr>
          <w:p w14:paraId="2241719D"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MARZO DE 2021</w:t>
            </w:r>
          </w:p>
        </w:tc>
      </w:tr>
      <w:tr w:rsidR="00A00199" w:rsidRPr="0024420A" w14:paraId="161AA9DD" w14:textId="77777777">
        <w:trPr>
          <w:jc w:val="center"/>
        </w:trPr>
        <w:tc>
          <w:tcPr>
            <w:tcW w:w="2830" w:type="dxa"/>
          </w:tcPr>
          <w:p w14:paraId="612C4ACA"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00623/TEOLOYUCAN/IP/2025</w:t>
            </w:r>
          </w:p>
        </w:tc>
        <w:tc>
          <w:tcPr>
            <w:tcW w:w="5812" w:type="dxa"/>
          </w:tcPr>
          <w:p w14:paraId="7B3E0A36"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FEBRERO DE 2021</w:t>
            </w:r>
          </w:p>
        </w:tc>
      </w:tr>
      <w:tr w:rsidR="00A00199" w:rsidRPr="0024420A" w14:paraId="4403054B" w14:textId="77777777">
        <w:trPr>
          <w:jc w:val="center"/>
        </w:trPr>
        <w:tc>
          <w:tcPr>
            <w:tcW w:w="2830" w:type="dxa"/>
          </w:tcPr>
          <w:p w14:paraId="17F33AA9"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00621/TEOLOYUCAN/IP/2025</w:t>
            </w:r>
          </w:p>
        </w:tc>
        <w:tc>
          <w:tcPr>
            <w:tcW w:w="5812" w:type="dxa"/>
          </w:tcPr>
          <w:p w14:paraId="691E21C9"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DICIEMBRE DE 2021</w:t>
            </w:r>
          </w:p>
        </w:tc>
      </w:tr>
      <w:tr w:rsidR="00A00199" w:rsidRPr="0024420A" w14:paraId="160C72AB" w14:textId="77777777">
        <w:trPr>
          <w:jc w:val="center"/>
        </w:trPr>
        <w:tc>
          <w:tcPr>
            <w:tcW w:w="2830" w:type="dxa"/>
          </w:tcPr>
          <w:p w14:paraId="42EEEFF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00620/TEOLOYUCAN/IP/2025</w:t>
            </w:r>
          </w:p>
        </w:tc>
        <w:tc>
          <w:tcPr>
            <w:tcW w:w="5812" w:type="dxa"/>
          </w:tcPr>
          <w:p w14:paraId="6378381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NOVIEMBRE DE 2021</w:t>
            </w:r>
          </w:p>
        </w:tc>
      </w:tr>
      <w:tr w:rsidR="00A00199" w:rsidRPr="0024420A" w14:paraId="4DDE6A8C" w14:textId="77777777">
        <w:trPr>
          <w:jc w:val="center"/>
        </w:trPr>
        <w:tc>
          <w:tcPr>
            <w:tcW w:w="2830" w:type="dxa"/>
          </w:tcPr>
          <w:p w14:paraId="7697D951"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00622/TEOLOYUCAN/IP/2025</w:t>
            </w:r>
          </w:p>
        </w:tc>
        <w:tc>
          <w:tcPr>
            <w:tcW w:w="5812" w:type="dxa"/>
          </w:tcPr>
          <w:p w14:paraId="3A78F867" w14:textId="77777777" w:rsidR="00A417C7" w:rsidRPr="0024420A" w:rsidRDefault="00D806BB">
            <w:pPr>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sz w:val="16"/>
                <w:szCs w:val="16"/>
              </w:rPr>
              <w:t>SOLICITO TODAS LAS POLIZAS DE CHEQUES CON SU SOPORTE, DEL MES DE ENERO DE 2021</w:t>
            </w:r>
          </w:p>
        </w:tc>
      </w:tr>
      <w:tr w:rsidR="00A00199" w:rsidRPr="0024420A" w14:paraId="71DD8B08" w14:textId="77777777">
        <w:trPr>
          <w:jc w:val="center"/>
        </w:trPr>
        <w:tc>
          <w:tcPr>
            <w:tcW w:w="2830" w:type="dxa"/>
          </w:tcPr>
          <w:p w14:paraId="68AA629C"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00619/TEOLOYUCAN/IP/2025</w:t>
            </w:r>
          </w:p>
        </w:tc>
        <w:tc>
          <w:tcPr>
            <w:tcW w:w="5812" w:type="dxa"/>
          </w:tcPr>
          <w:p w14:paraId="6B95EE22"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OCTUBRE DE 2021</w:t>
            </w:r>
          </w:p>
        </w:tc>
      </w:tr>
      <w:tr w:rsidR="00A00199" w:rsidRPr="0024420A" w14:paraId="32EA1AB7" w14:textId="77777777">
        <w:trPr>
          <w:jc w:val="center"/>
        </w:trPr>
        <w:tc>
          <w:tcPr>
            <w:tcW w:w="2830" w:type="dxa"/>
          </w:tcPr>
          <w:p w14:paraId="5B2B9556"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lastRenderedPageBreak/>
              <w:t>00645/TEOLOYUCAN/IP/2025</w:t>
            </w:r>
          </w:p>
        </w:tc>
        <w:tc>
          <w:tcPr>
            <w:tcW w:w="5812" w:type="dxa"/>
          </w:tcPr>
          <w:p w14:paraId="320CDF9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NOVIEMBRE DE 2022</w:t>
            </w:r>
          </w:p>
        </w:tc>
      </w:tr>
      <w:tr w:rsidR="00A00199" w:rsidRPr="0024420A" w14:paraId="73E0E438" w14:textId="77777777">
        <w:trPr>
          <w:jc w:val="center"/>
        </w:trPr>
        <w:tc>
          <w:tcPr>
            <w:tcW w:w="2830" w:type="dxa"/>
          </w:tcPr>
          <w:p w14:paraId="5A0FB22D"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00644/TEOLOYUCAN/IP/2025</w:t>
            </w:r>
          </w:p>
        </w:tc>
        <w:tc>
          <w:tcPr>
            <w:tcW w:w="5812" w:type="dxa"/>
          </w:tcPr>
          <w:p w14:paraId="27333E11"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OCTUBRE DE 2022</w:t>
            </w:r>
          </w:p>
        </w:tc>
      </w:tr>
      <w:tr w:rsidR="00A00199" w:rsidRPr="0024420A" w14:paraId="32462255" w14:textId="77777777">
        <w:trPr>
          <w:jc w:val="center"/>
        </w:trPr>
        <w:tc>
          <w:tcPr>
            <w:tcW w:w="2830" w:type="dxa"/>
          </w:tcPr>
          <w:p w14:paraId="15A0349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00643/TEOLOYUCAN/IP/2025</w:t>
            </w:r>
          </w:p>
        </w:tc>
        <w:tc>
          <w:tcPr>
            <w:tcW w:w="5812" w:type="dxa"/>
          </w:tcPr>
          <w:p w14:paraId="3E0DCB89"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SEPTIEMBRE DE 2022</w:t>
            </w:r>
          </w:p>
        </w:tc>
      </w:tr>
      <w:tr w:rsidR="00A00199" w:rsidRPr="0024420A" w14:paraId="1774F350" w14:textId="77777777">
        <w:trPr>
          <w:jc w:val="center"/>
        </w:trPr>
        <w:tc>
          <w:tcPr>
            <w:tcW w:w="2830" w:type="dxa"/>
          </w:tcPr>
          <w:p w14:paraId="479FEF5E"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00642/TEOLOYUCAN/IP/2025</w:t>
            </w:r>
          </w:p>
        </w:tc>
        <w:tc>
          <w:tcPr>
            <w:tcW w:w="5812" w:type="dxa"/>
          </w:tcPr>
          <w:p w14:paraId="5DAED6D8"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AGOSTO DE 2022</w:t>
            </w:r>
          </w:p>
        </w:tc>
      </w:tr>
      <w:tr w:rsidR="00A00199" w:rsidRPr="0024420A" w14:paraId="5F143B1B" w14:textId="77777777">
        <w:trPr>
          <w:jc w:val="center"/>
        </w:trPr>
        <w:tc>
          <w:tcPr>
            <w:tcW w:w="2830" w:type="dxa"/>
          </w:tcPr>
          <w:p w14:paraId="7CA70B8A"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00641/TEOLOYUCAN/IP/2025</w:t>
            </w:r>
          </w:p>
        </w:tc>
        <w:tc>
          <w:tcPr>
            <w:tcW w:w="5812" w:type="dxa"/>
          </w:tcPr>
          <w:p w14:paraId="2F72B847"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JULIO DE 2022</w:t>
            </w:r>
          </w:p>
        </w:tc>
      </w:tr>
      <w:tr w:rsidR="00A00199" w:rsidRPr="0024420A" w14:paraId="31788FFC" w14:textId="77777777">
        <w:trPr>
          <w:jc w:val="center"/>
        </w:trPr>
        <w:tc>
          <w:tcPr>
            <w:tcW w:w="2830" w:type="dxa"/>
          </w:tcPr>
          <w:p w14:paraId="262C674F"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00640/TEOLOYUCAN/IP/2025</w:t>
            </w:r>
          </w:p>
        </w:tc>
        <w:tc>
          <w:tcPr>
            <w:tcW w:w="5812" w:type="dxa"/>
          </w:tcPr>
          <w:p w14:paraId="1083F5C7"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CHEQUES CON SU SOPORTE, DEL MES DE JUNIO DE 2022</w:t>
            </w:r>
          </w:p>
        </w:tc>
      </w:tr>
      <w:tr w:rsidR="00A00199" w:rsidRPr="0024420A" w14:paraId="5CDB4E63" w14:textId="77777777">
        <w:trPr>
          <w:jc w:val="center"/>
        </w:trPr>
        <w:tc>
          <w:tcPr>
            <w:tcW w:w="2830" w:type="dxa"/>
          </w:tcPr>
          <w:p w14:paraId="7938955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00612/TEOLOYUCAN/IP/2025</w:t>
            </w:r>
          </w:p>
        </w:tc>
        <w:tc>
          <w:tcPr>
            <w:tcW w:w="5812" w:type="dxa"/>
          </w:tcPr>
          <w:p w14:paraId="0AC5AF1B"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MARZO DE 2021</w:t>
            </w:r>
          </w:p>
        </w:tc>
      </w:tr>
      <w:tr w:rsidR="00A00199" w:rsidRPr="0024420A" w14:paraId="1169947C" w14:textId="77777777">
        <w:trPr>
          <w:jc w:val="center"/>
        </w:trPr>
        <w:tc>
          <w:tcPr>
            <w:tcW w:w="2830" w:type="dxa"/>
          </w:tcPr>
          <w:p w14:paraId="645B12EA"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00611/TEOLOYUCAN/IP/2025</w:t>
            </w:r>
          </w:p>
        </w:tc>
        <w:tc>
          <w:tcPr>
            <w:tcW w:w="5812" w:type="dxa"/>
          </w:tcPr>
          <w:p w14:paraId="14F18AE1"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FEBRERO DE 2021</w:t>
            </w:r>
          </w:p>
        </w:tc>
      </w:tr>
      <w:tr w:rsidR="00A00199" w:rsidRPr="0024420A" w14:paraId="5BCF5957" w14:textId="77777777">
        <w:trPr>
          <w:jc w:val="center"/>
        </w:trPr>
        <w:tc>
          <w:tcPr>
            <w:tcW w:w="2830" w:type="dxa"/>
          </w:tcPr>
          <w:p w14:paraId="1A721C1C"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00610/TEOLOYUCAN/IP/2025</w:t>
            </w:r>
          </w:p>
        </w:tc>
        <w:tc>
          <w:tcPr>
            <w:tcW w:w="5812" w:type="dxa"/>
          </w:tcPr>
          <w:p w14:paraId="26AD277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ENERO DE 2021</w:t>
            </w:r>
          </w:p>
        </w:tc>
      </w:tr>
      <w:tr w:rsidR="00A00199" w:rsidRPr="0024420A" w14:paraId="359D4176" w14:textId="77777777">
        <w:trPr>
          <w:jc w:val="center"/>
        </w:trPr>
        <w:tc>
          <w:tcPr>
            <w:tcW w:w="2830" w:type="dxa"/>
          </w:tcPr>
          <w:p w14:paraId="3CA35465"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00609/TEOLOYUCAN/IP/2025</w:t>
            </w:r>
          </w:p>
        </w:tc>
        <w:tc>
          <w:tcPr>
            <w:tcW w:w="5812" w:type="dxa"/>
          </w:tcPr>
          <w:p w14:paraId="60E96ED8" w14:textId="77777777" w:rsidR="00A417C7" w:rsidRPr="0024420A" w:rsidRDefault="00D806BB">
            <w:pPr>
              <w:jc w:val="both"/>
              <w:rPr>
                <w:rFonts w:ascii="Palatino Linotype" w:eastAsia="Palatino Linotype" w:hAnsi="Palatino Linotype" w:cs="Palatino Linotype"/>
                <w:sz w:val="16"/>
                <w:szCs w:val="16"/>
              </w:rPr>
            </w:pPr>
            <w:r w:rsidRPr="0024420A">
              <w:rPr>
                <w:rFonts w:ascii="Palatino Linotype" w:eastAsia="Palatino Linotype" w:hAnsi="Palatino Linotype" w:cs="Palatino Linotype"/>
                <w:sz w:val="16"/>
                <w:szCs w:val="16"/>
              </w:rPr>
              <w:t>SOLICITO TODAS LAS POLIZAS DE INGRESOS CON SU SOPORTE, DEL MES DE DICIEMBRE DE 2021</w:t>
            </w:r>
          </w:p>
          <w:p w14:paraId="764E5199" w14:textId="77777777" w:rsidR="00A417C7" w:rsidRPr="0024420A" w:rsidRDefault="00A417C7">
            <w:pPr>
              <w:spacing w:before="240" w:after="240"/>
              <w:jc w:val="both"/>
              <w:rPr>
                <w:rFonts w:ascii="Palatino Linotype" w:eastAsia="Palatino Linotype" w:hAnsi="Palatino Linotype" w:cs="Palatino Linotype"/>
                <w:i/>
                <w:sz w:val="16"/>
                <w:szCs w:val="16"/>
              </w:rPr>
            </w:pPr>
          </w:p>
        </w:tc>
      </w:tr>
      <w:tr w:rsidR="00A00199" w:rsidRPr="0024420A" w14:paraId="245C8EE2" w14:textId="77777777">
        <w:trPr>
          <w:jc w:val="center"/>
        </w:trPr>
        <w:tc>
          <w:tcPr>
            <w:tcW w:w="2830" w:type="dxa"/>
          </w:tcPr>
          <w:p w14:paraId="6CE50E7A"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00607/TEOLOYUCAN/IP/2025</w:t>
            </w:r>
          </w:p>
        </w:tc>
        <w:tc>
          <w:tcPr>
            <w:tcW w:w="5812" w:type="dxa"/>
          </w:tcPr>
          <w:p w14:paraId="2A694A8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OCTUBRE DE 2021</w:t>
            </w:r>
          </w:p>
        </w:tc>
      </w:tr>
      <w:tr w:rsidR="00A00199" w:rsidRPr="0024420A" w14:paraId="5F61C493" w14:textId="77777777">
        <w:trPr>
          <w:jc w:val="center"/>
        </w:trPr>
        <w:tc>
          <w:tcPr>
            <w:tcW w:w="2830" w:type="dxa"/>
          </w:tcPr>
          <w:p w14:paraId="0DE24148"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00605/TEOLOYUCAN/IP/2025</w:t>
            </w:r>
          </w:p>
        </w:tc>
        <w:tc>
          <w:tcPr>
            <w:tcW w:w="5812" w:type="dxa"/>
          </w:tcPr>
          <w:p w14:paraId="3BEF1E1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AGOSTO DE 2021</w:t>
            </w:r>
          </w:p>
        </w:tc>
      </w:tr>
      <w:tr w:rsidR="00A00199" w:rsidRPr="0024420A" w14:paraId="4866EDEE" w14:textId="77777777">
        <w:trPr>
          <w:jc w:val="center"/>
        </w:trPr>
        <w:tc>
          <w:tcPr>
            <w:tcW w:w="2830" w:type="dxa"/>
          </w:tcPr>
          <w:p w14:paraId="44BF170A"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lastRenderedPageBreak/>
              <w:t>00603/TEOLOYUCAN/IP/2025</w:t>
            </w:r>
          </w:p>
        </w:tc>
        <w:tc>
          <w:tcPr>
            <w:tcW w:w="5812" w:type="dxa"/>
          </w:tcPr>
          <w:p w14:paraId="71E3BA17"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MAYO DE 2021</w:t>
            </w:r>
          </w:p>
        </w:tc>
      </w:tr>
      <w:tr w:rsidR="00A00199" w:rsidRPr="0024420A" w14:paraId="3BDCD70D" w14:textId="77777777">
        <w:trPr>
          <w:jc w:val="center"/>
        </w:trPr>
        <w:tc>
          <w:tcPr>
            <w:tcW w:w="2830" w:type="dxa"/>
          </w:tcPr>
          <w:p w14:paraId="2FC29AC1"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00602/TEOLOYUCAN/IP/2025</w:t>
            </w:r>
          </w:p>
        </w:tc>
        <w:tc>
          <w:tcPr>
            <w:tcW w:w="5812" w:type="dxa"/>
          </w:tcPr>
          <w:p w14:paraId="57B7A90A"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ABRIL DE 2021</w:t>
            </w:r>
          </w:p>
        </w:tc>
      </w:tr>
      <w:tr w:rsidR="00A00199" w:rsidRPr="0024420A" w14:paraId="59CD3E78" w14:textId="77777777">
        <w:trPr>
          <w:jc w:val="center"/>
        </w:trPr>
        <w:tc>
          <w:tcPr>
            <w:tcW w:w="2830" w:type="dxa"/>
          </w:tcPr>
          <w:p w14:paraId="2232CF36"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00601/TEOLOYUCAN/IP/2025</w:t>
            </w:r>
          </w:p>
        </w:tc>
        <w:tc>
          <w:tcPr>
            <w:tcW w:w="5812" w:type="dxa"/>
          </w:tcPr>
          <w:p w14:paraId="12441B0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MARZO DE 2021</w:t>
            </w:r>
          </w:p>
        </w:tc>
      </w:tr>
      <w:tr w:rsidR="00A00199" w:rsidRPr="0024420A" w14:paraId="729724B9" w14:textId="77777777">
        <w:trPr>
          <w:jc w:val="center"/>
        </w:trPr>
        <w:tc>
          <w:tcPr>
            <w:tcW w:w="2830" w:type="dxa"/>
          </w:tcPr>
          <w:p w14:paraId="31E26F8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00600/TEOLOYUCAN/IP/2025</w:t>
            </w:r>
          </w:p>
        </w:tc>
        <w:tc>
          <w:tcPr>
            <w:tcW w:w="5812" w:type="dxa"/>
          </w:tcPr>
          <w:p w14:paraId="56DCE056"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FEBRERO DE 2021</w:t>
            </w:r>
          </w:p>
        </w:tc>
      </w:tr>
      <w:tr w:rsidR="00A00199" w:rsidRPr="0024420A" w14:paraId="669029B1" w14:textId="77777777">
        <w:trPr>
          <w:jc w:val="center"/>
        </w:trPr>
        <w:tc>
          <w:tcPr>
            <w:tcW w:w="2830" w:type="dxa"/>
          </w:tcPr>
          <w:p w14:paraId="2B68B31C"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00588/TEOLOYUCAN/IP/2025</w:t>
            </w:r>
          </w:p>
        </w:tc>
        <w:tc>
          <w:tcPr>
            <w:tcW w:w="5812" w:type="dxa"/>
          </w:tcPr>
          <w:p w14:paraId="6AAC143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FEBRERO DE 2020</w:t>
            </w:r>
          </w:p>
        </w:tc>
      </w:tr>
      <w:tr w:rsidR="00A00199" w:rsidRPr="0024420A" w14:paraId="06637F0E" w14:textId="77777777">
        <w:trPr>
          <w:jc w:val="center"/>
        </w:trPr>
        <w:tc>
          <w:tcPr>
            <w:tcW w:w="2830" w:type="dxa"/>
          </w:tcPr>
          <w:p w14:paraId="439C4F7B"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00587/TEOLOYUCAN/IP/2025</w:t>
            </w:r>
          </w:p>
        </w:tc>
        <w:tc>
          <w:tcPr>
            <w:tcW w:w="5812" w:type="dxa"/>
          </w:tcPr>
          <w:p w14:paraId="5EA1F5E7"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ENERO DE 2020</w:t>
            </w:r>
          </w:p>
        </w:tc>
      </w:tr>
      <w:tr w:rsidR="00A00199" w:rsidRPr="0024420A" w14:paraId="6166786B" w14:textId="77777777">
        <w:trPr>
          <w:jc w:val="center"/>
        </w:trPr>
        <w:tc>
          <w:tcPr>
            <w:tcW w:w="2830" w:type="dxa"/>
          </w:tcPr>
          <w:p w14:paraId="320DF149"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00618/TEOLOYUCAN/IP/2025</w:t>
            </w:r>
          </w:p>
        </w:tc>
        <w:tc>
          <w:tcPr>
            <w:tcW w:w="5812" w:type="dxa"/>
          </w:tcPr>
          <w:p w14:paraId="5BEE5602"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SEPTIEMBRE DE 2021</w:t>
            </w:r>
          </w:p>
        </w:tc>
      </w:tr>
      <w:tr w:rsidR="00A00199" w:rsidRPr="0024420A" w14:paraId="5540802A" w14:textId="77777777">
        <w:trPr>
          <w:jc w:val="center"/>
        </w:trPr>
        <w:tc>
          <w:tcPr>
            <w:tcW w:w="2830" w:type="dxa"/>
          </w:tcPr>
          <w:p w14:paraId="33269E14"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00617/TEOLOYUCAN/IP/2025</w:t>
            </w:r>
          </w:p>
        </w:tc>
        <w:tc>
          <w:tcPr>
            <w:tcW w:w="5812" w:type="dxa"/>
          </w:tcPr>
          <w:p w14:paraId="6B8B2CBF"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AGOSTO DE 2021</w:t>
            </w:r>
          </w:p>
        </w:tc>
      </w:tr>
      <w:tr w:rsidR="00A00199" w:rsidRPr="0024420A" w14:paraId="029EFD3B" w14:textId="77777777">
        <w:trPr>
          <w:jc w:val="center"/>
        </w:trPr>
        <w:tc>
          <w:tcPr>
            <w:tcW w:w="2830" w:type="dxa"/>
          </w:tcPr>
          <w:p w14:paraId="2681B0F0"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00616/TEOLOYUCAN/IP/2025</w:t>
            </w:r>
          </w:p>
        </w:tc>
        <w:tc>
          <w:tcPr>
            <w:tcW w:w="5812" w:type="dxa"/>
          </w:tcPr>
          <w:p w14:paraId="586DAD52"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JULIO DE 2021</w:t>
            </w:r>
          </w:p>
        </w:tc>
      </w:tr>
      <w:tr w:rsidR="00A00199" w:rsidRPr="0024420A" w14:paraId="77BB8B5E" w14:textId="77777777">
        <w:trPr>
          <w:jc w:val="center"/>
        </w:trPr>
        <w:tc>
          <w:tcPr>
            <w:tcW w:w="2830" w:type="dxa"/>
          </w:tcPr>
          <w:p w14:paraId="28657D21"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00615/TEOLOYUCAN/IP/2025</w:t>
            </w:r>
          </w:p>
        </w:tc>
        <w:tc>
          <w:tcPr>
            <w:tcW w:w="5812" w:type="dxa"/>
          </w:tcPr>
          <w:p w14:paraId="587E1369"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JUNIO DE 2021</w:t>
            </w:r>
          </w:p>
        </w:tc>
      </w:tr>
      <w:tr w:rsidR="00A00199" w:rsidRPr="0024420A" w14:paraId="73717344" w14:textId="77777777">
        <w:trPr>
          <w:jc w:val="center"/>
        </w:trPr>
        <w:tc>
          <w:tcPr>
            <w:tcW w:w="2830" w:type="dxa"/>
          </w:tcPr>
          <w:p w14:paraId="70DE8863" w14:textId="77777777" w:rsidR="00A417C7" w:rsidRPr="0024420A" w:rsidRDefault="00D806BB">
            <w:pPr>
              <w:spacing w:before="240" w:after="240"/>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00614/TEOLOYUCAN/IP/2025</w:t>
            </w:r>
          </w:p>
        </w:tc>
        <w:tc>
          <w:tcPr>
            <w:tcW w:w="5812" w:type="dxa"/>
          </w:tcPr>
          <w:p w14:paraId="242325E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MYO DE 2021</w:t>
            </w:r>
          </w:p>
        </w:tc>
      </w:tr>
      <w:tr w:rsidR="00A00199" w:rsidRPr="0024420A" w14:paraId="51BED931" w14:textId="77777777">
        <w:trPr>
          <w:jc w:val="center"/>
        </w:trPr>
        <w:tc>
          <w:tcPr>
            <w:tcW w:w="2830" w:type="dxa"/>
          </w:tcPr>
          <w:p w14:paraId="625FF6EE"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00613/TEOLOYUCAN/IP/2025</w:t>
            </w:r>
          </w:p>
        </w:tc>
        <w:tc>
          <w:tcPr>
            <w:tcW w:w="5812" w:type="dxa"/>
          </w:tcPr>
          <w:p w14:paraId="1690F2C9"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EGRESOS CON SU SOPORTE, DEL MES DE ABRIL DE 2021</w:t>
            </w:r>
          </w:p>
        </w:tc>
      </w:tr>
      <w:tr w:rsidR="00A00199" w:rsidRPr="0024420A" w14:paraId="32031FBE" w14:textId="77777777">
        <w:trPr>
          <w:jc w:val="center"/>
        </w:trPr>
        <w:tc>
          <w:tcPr>
            <w:tcW w:w="2830" w:type="dxa"/>
          </w:tcPr>
          <w:p w14:paraId="219F1447"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lastRenderedPageBreak/>
              <w:t>00599/TEOLOYUCAN/IP/2025</w:t>
            </w:r>
          </w:p>
        </w:tc>
        <w:tc>
          <w:tcPr>
            <w:tcW w:w="5812" w:type="dxa"/>
          </w:tcPr>
          <w:p w14:paraId="6ED9BBB6"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INGRESOS CON SU SOPORTE, DEL MES DE ENERO DE 2021</w:t>
            </w:r>
          </w:p>
        </w:tc>
      </w:tr>
      <w:tr w:rsidR="00A00199" w:rsidRPr="0024420A" w14:paraId="54E785B2" w14:textId="77777777">
        <w:trPr>
          <w:jc w:val="center"/>
        </w:trPr>
        <w:tc>
          <w:tcPr>
            <w:tcW w:w="2830" w:type="dxa"/>
          </w:tcPr>
          <w:p w14:paraId="3CE581C8"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00598/TEOLOYUCAN/IP/2025</w:t>
            </w:r>
          </w:p>
        </w:tc>
        <w:tc>
          <w:tcPr>
            <w:tcW w:w="5812" w:type="dxa"/>
          </w:tcPr>
          <w:p w14:paraId="4BB0B39E"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DICIEMBRE DE 2020</w:t>
            </w:r>
          </w:p>
        </w:tc>
      </w:tr>
      <w:tr w:rsidR="00A00199" w:rsidRPr="0024420A" w14:paraId="061DF3AE" w14:textId="77777777">
        <w:trPr>
          <w:jc w:val="center"/>
        </w:trPr>
        <w:tc>
          <w:tcPr>
            <w:tcW w:w="2830" w:type="dxa"/>
          </w:tcPr>
          <w:p w14:paraId="5100DA93"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00597/TEOLOYUCAN/IP/2025</w:t>
            </w:r>
          </w:p>
        </w:tc>
        <w:tc>
          <w:tcPr>
            <w:tcW w:w="5812" w:type="dxa"/>
          </w:tcPr>
          <w:p w14:paraId="28CE1C3C"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NOVIEMBRE DE 2020</w:t>
            </w:r>
          </w:p>
        </w:tc>
      </w:tr>
      <w:tr w:rsidR="00A00199" w:rsidRPr="0024420A" w14:paraId="4C74EA98" w14:textId="77777777">
        <w:trPr>
          <w:jc w:val="center"/>
        </w:trPr>
        <w:tc>
          <w:tcPr>
            <w:tcW w:w="2830" w:type="dxa"/>
          </w:tcPr>
          <w:p w14:paraId="461A116F"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00596/TEOLOYUCAN/IP/2025</w:t>
            </w:r>
          </w:p>
        </w:tc>
        <w:tc>
          <w:tcPr>
            <w:tcW w:w="5812" w:type="dxa"/>
          </w:tcPr>
          <w:p w14:paraId="711BA424"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OCTUBRE DE 2020</w:t>
            </w:r>
          </w:p>
        </w:tc>
      </w:tr>
      <w:tr w:rsidR="00A00199" w:rsidRPr="0024420A" w14:paraId="75675C27" w14:textId="77777777">
        <w:trPr>
          <w:jc w:val="center"/>
        </w:trPr>
        <w:tc>
          <w:tcPr>
            <w:tcW w:w="2830" w:type="dxa"/>
          </w:tcPr>
          <w:p w14:paraId="3C58AA40"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00595/TEOLOYUCAN/IP/2025</w:t>
            </w:r>
          </w:p>
        </w:tc>
        <w:tc>
          <w:tcPr>
            <w:tcW w:w="5812" w:type="dxa"/>
          </w:tcPr>
          <w:p w14:paraId="30883BB5"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SEPTIEMBRE DE 2020</w:t>
            </w:r>
          </w:p>
        </w:tc>
      </w:tr>
      <w:tr w:rsidR="00A00199" w:rsidRPr="0024420A" w14:paraId="1CB504EA" w14:textId="77777777">
        <w:trPr>
          <w:jc w:val="center"/>
        </w:trPr>
        <w:tc>
          <w:tcPr>
            <w:tcW w:w="2830" w:type="dxa"/>
          </w:tcPr>
          <w:p w14:paraId="1947365D"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00594/TEOLOYUCAN/IP/2025</w:t>
            </w:r>
          </w:p>
        </w:tc>
        <w:tc>
          <w:tcPr>
            <w:tcW w:w="5812" w:type="dxa"/>
          </w:tcPr>
          <w:p w14:paraId="5BFD3A5E"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AGOSTO DE 2020</w:t>
            </w:r>
          </w:p>
        </w:tc>
      </w:tr>
      <w:tr w:rsidR="00A00199" w:rsidRPr="0024420A" w14:paraId="4F6B2573" w14:textId="77777777">
        <w:trPr>
          <w:jc w:val="center"/>
        </w:trPr>
        <w:tc>
          <w:tcPr>
            <w:tcW w:w="2830" w:type="dxa"/>
          </w:tcPr>
          <w:p w14:paraId="678A3389"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00593/TEOLOYUCAN/IP/2025</w:t>
            </w:r>
          </w:p>
        </w:tc>
        <w:tc>
          <w:tcPr>
            <w:tcW w:w="5812" w:type="dxa"/>
          </w:tcPr>
          <w:p w14:paraId="3BE80741" w14:textId="77777777" w:rsidR="00A417C7" w:rsidRPr="0024420A" w:rsidRDefault="00D806BB">
            <w:pPr>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sz w:val="16"/>
                <w:szCs w:val="16"/>
              </w:rPr>
              <w:t>SOLICITO TODAS LAS POLIZAS DE CHEUQES CON SU SOPORTE, DEL MES DE JULIO DE 2020</w:t>
            </w:r>
          </w:p>
        </w:tc>
      </w:tr>
      <w:tr w:rsidR="00A00199" w:rsidRPr="0024420A" w14:paraId="6FB80FF9" w14:textId="77777777">
        <w:trPr>
          <w:jc w:val="center"/>
        </w:trPr>
        <w:tc>
          <w:tcPr>
            <w:tcW w:w="2830" w:type="dxa"/>
          </w:tcPr>
          <w:p w14:paraId="5C8888A3"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00592/TEOLOYUCAN/IP/2025</w:t>
            </w:r>
          </w:p>
        </w:tc>
        <w:tc>
          <w:tcPr>
            <w:tcW w:w="5812" w:type="dxa"/>
          </w:tcPr>
          <w:p w14:paraId="7CEEC993"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JUNIO DE 2020</w:t>
            </w:r>
          </w:p>
        </w:tc>
      </w:tr>
      <w:tr w:rsidR="00A00199" w:rsidRPr="0024420A" w14:paraId="0ACC8BA1" w14:textId="77777777">
        <w:trPr>
          <w:jc w:val="center"/>
        </w:trPr>
        <w:tc>
          <w:tcPr>
            <w:tcW w:w="2830" w:type="dxa"/>
          </w:tcPr>
          <w:p w14:paraId="0349C22A"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00591/TEOLOYUCAN/IP/2025</w:t>
            </w:r>
          </w:p>
        </w:tc>
        <w:tc>
          <w:tcPr>
            <w:tcW w:w="5812" w:type="dxa"/>
          </w:tcPr>
          <w:p w14:paraId="3FAA7EBA"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MAYO DE 2020</w:t>
            </w:r>
          </w:p>
        </w:tc>
      </w:tr>
      <w:tr w:rsidR="00A00199" w:rsidRPr="0024420A" w14:paraId="1748CE23" w14:textId="77777777">
        <w:trPr>
          <w:jc w:val="center"/>
        </w:trPr>
        <w:tc>
          <w:tcPr>
            <w:tcW w:w="2830" w:type="dxa"/>
          </w:tcPr>
          <w:p w14:paraId="641552BD" w14:textId="77777777" w:rsidR="00A417C7" w:rsidRPr="0024420A" w:rsidRDefault="00D806BB">
            <w:pPr>
              <w:spacing w:before="240" w:after="240"/>
              <w:jc w:val="center"/>
              <w:rPr>
                <w:rFonts w:ascii="Palatino Linotype" w:eastAsia="Palatino Linotype" w:hAnsi="Palatino Linotype" w:cs="Palatino Linotype"/>
                <w:b/>
                <w:sz w:val="18"/>
                <w:szCs w:val="18"/>
              </w:rPr>
            </w:pPr>
            <w:r w:rsidRPr="0024420A">
              <w:rPr>
                <w:rFonts w:ascii="Palatino Linotype" w:eastAsia="Palatino Linotype" w:hAnsi="Palatino Linotype" w:cs="Palatino Linotype"/>
                <w:b/>
                <w:sz w:val="18"/>
                <w:szCs w:val="18"/>
              </w:rPr>
              <w:t>00590/TEOLOYUCAN/IP/2025</w:t>
            </w:r>
          </w:p>
        </w:tc>
        <w:tc>
          <w:tcPr>
            <w:tcW w:w="5812" w:type="dxa"/>
          </w:tcPr>
          <w:p w14:paraId="2113FFCB" w14:textId="77777777" w:rsidR="00A417C7" w:rsidRPr="0024420A" w:rsidRDefault="00D806BB">
            <w:pPr>
              <w:spacing w:before="240" w:after="240"/>
              <w:jc w:val="both"/>
              <w:rPr>
                <w:rFonts w:ascii="Palatino Linotype" w:eastAsia="Palatino Linotype" w:hAnsi="Palatino Linotype" w:cs="Palatino Linotype"/>
                <w:i/>
                <w:sz w:val="16"/>
                <w:szCs w:val="16"/>
              </w:rPr>
            </w:pPr>
            <w:r w:rsidRPr="0024420A">
              <w:rPr>
                <w:rFonts w:ascii="Palatino Linotype" w:eastAsia="Palatino Linotype" w:hAnsi="Palatino Linotype" w:cs="Palatino Linotype"/>
                <w:i/>
                <w:sz w:val="16"/>
                <w:szCs w:val="16"/>
              </w:rPr>
              <w:t>SOLICITO TODAS LAS POLIZAS DE CHEUQES CON SU SOPORTE, DEL MES DE ABRIL DE 2020</w:t>
            </w:r>
          </w:p>
        </w:tc>
      </w:tr>
    </w:tbl>
    <w:p w14:paraId="5F18E1D1" w14:textId="77777777" w:rsidR="00A417C7" w:rsidRPr="0024420A" w:rsidRDefault="00D806BB">
      <w:pPr>
        <w:spacing w:before="240" w:after="240"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 xml:space="preserve">Modalidad elegida para la entrega de la información: </w:t>
      </w:r>
      <w:r w:rsidRPr="0024420A">
        <w:rPr>
          <w:rFonts w:ascii="Palatino Linotype" w:eastAsia="Palatino Linotype" w:hAnsi="Palatino Linotype" w:cs="Palatino Linotype"/>
          <w:sz w:val="22"/>
          <w:szCs w:val="22"/>
        </w:rPr>
        <w:t xml:space="preserve">A través del </w:t>
      </w:r>
      <w:r w:rsidRPr="0024420A">
        <w:rPr>
          <w:rFonts w:ascii="Palatino Linotype" w:eastAsia="Palatino Linotype" w:hAnsi="Palatino Linotype" w:cs="Palatino Linotype"/>
          <w:b/>
          <w:sz w:val="22"/>
          <w:szCs w:val="22"/>
        </w:rPr>
        <w:t xml:space="preserve">SAIMEX </w:t>
      </w:r>
    </w:p>
    <w:p w14:paraId="589BE53E" w14:textId="77777777" w:rsidR="00A417C7" w:rsidRPr="0024420A" w:rsidRDefault="00D806BB">
      <w:pPr>
        <w:spacing w:before="240" w:after="240"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 xml:space="preserve">2. Respuesta. </w:t>
      </w:r>
      <w:r w:rsidRPr="0024420A">
        <w:rPr>
          <w:rFonts w:ascii="Palatino Linotype" w:eastAsia="Palatino Linotype" w:hAnsi="Palatino Linotype" w:cs="Palatino Linotype"/>
          <w:sz w:val="22"/>
          <w:szCs w:val="22"/>
        </w:rPr>
        <w:t xml:space="preserve">El </w:t>
      </w:r>
      <w:r w:rsidRPr="0024420A">
        <w:rPr>
          <w:rFonts w:ascii="Palatino Linotype" w:eastAsia="Palatino Linotype" w:hAnsi="Palatino Linotype" w:cs="Palatino Linotype"/>
          <w:b/>
          <w:sz w:val="22"/>
          <w:szCs w:val="22"/>
        </w:rPr>
        <w:t xml:space="preserve">SUJETO OBLIGADO </w:t>
      </w:r>
      <w:r w:rsidRPr="0024420A">
        <w:rPr>
          <w:rFonts w:ascii="Palatino Linotype" w:eastAsia="Palatino Linotype" w:hAnsi="Palatino Linotype" w:cs="Palatino Linotype"/>
          <w:sz w:val="22"/>
          <w:szCs w:val="22"/>
        </w:rPr>
        <w:t>fue omiso en proporcionar respuesta.</w:t>
      </w:r>
    </w:p>
    <w:p w14:paraId="6FB65EF3"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lastRenderedPageBreak/>
        <w:t xml:space="preserve">3. Interposición de los recursos de revisión.  </w:t>
      </w:r>
      <w:r w:rsidRPr="0024420A">
        <w:rPr>
          <w:rFonts w:ascii="Palatino Linotype" w:eastAsia="Palatino Linotype" w:hAnsi="Palatino Linotype" w:cs="Palatino Linotype"/>
          <w:sz w:val="22"/>
          <w:szCs w:val="22"/>
        </w:rPr>
        <w:t xml:space="preserve">El </w:t>
      </w:r>
      <w:r w:rsidRPr="0024420A">
        <w:rPr>
          <w:rFonts w:ascii="Palatino Linotype" w:eastAsia="Palatino Linotype" w:hAnsi="Palatino Linotype" w:cs="Palatino Linotype"/>
          <w:b/>
          <w:sz w:val="22"/>
          <w:szCs w:val="22"/>
        </w:rPr>
        <w:t>doce, diecinueve</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veinte</w:t>
      </w:r>
      <w:r w:rsidRPr="0024420A">
        <w:rPr>
          <w:rFonts w:ascii="Palatino Linotype" w:eastAsia="Palatino Linotype" w:hAnsi="Palatino Linotype" w:cs="Palatino Linotype"/>
          <w:sz w:val="22"/>
          <w:szCs w:val="22"/>
        </w:rPr>
        <w:t xml:space="preserve"> y </w:t>
      </w:r>
      <w:r w:rsidRPr="0024420A">
        <w:rPr>
          <w:rFonts w:ascii="Palatino Linotype" w:eastAsia="Palatino Linotype" w:hAnsi="Palatino Linotype" w:cs="Palatino Linotype"/>
          <w:b/>
          <w:sz w:val="22"/>
          <w:szCs w:val="22"/>
        </w:rPr>
        <w:t xml:space="preserve">veintitrés de junio de dos mil veinticinco, la parte Recurrente, </w:t>
      </w:r>
      <w:r w:rsidRPr="0024420A">
        <w:rPr>
          <w:rFonts w:ascii="Palatino Linotype" w:eastAsia="Palatino Linotype" w:hAnsi="Palatino Linotype" w:cs="Palatino Linotype"/>
          <w:sz w:val="22"/>
          <w:szCs w:val="22"/>
        </w:rPr>
        <w:t>inconforme con la falta de respuestas, interpuso los recursos de revisión que nos ocupan, expresando, lo siguiente:</w:t>
      </w:r>
    </w:p>
    <w:tbl>
      <w:tblPr>
        <w:tblStyle w:val="afff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A00199" w:rsidRPr="0024420A" w14:paraId="6FA0EDA2" w14:textId="77777777">
        <w:tc>
          <w:tcPr>
            <w:tcW w:w="2942" w:type="dxa"/>
            <w:shd w:val="clear" w:color="auto" w:fill="EEECE1"/>
          </w:tcPr>
          <w:p w14:paraId="426591E7" w14:textId="77777777" w:rsidR="00A417C7" w:rsidRPr="0024420A" w:rsidRDefault="00D806BB">
            <w:pPr>
              <w:spacing w:before="240" w:after="240"/>
              <w:jc w:val="center"/>
              <w:rPr>
                <w:rFonts w:ascii="Palatino Linotype" w:eastAsia="Palatino Linotype" w:hAnsi="Palatino Linotype" w:cs="Palatino Linotype"/>
                <w:b/>
                <w:sz w:val="20"/>
                <w:szCs w:val="20"/>
              </w:rPr>
            </w:pPr>
            <w:r w:rsidRPr="0024420A">
              <w:rPr>
                <w:rFonts w:ascii="Palatino Linotype" w:eastAsia="Palatino Linotype" w:hAnsi="Palatino Linotype" w:cs="Palatino Linotype"/>
                <w:b/>
                <w:sz w:val="20"/>
                <w:szCs w:val="20"/>
              </w:rPr>
              <w:t>Número de recurso de revisión</w:t>
            </w:r>
          </w:p>
        </w:tc>
        <w:tc>
          <w:tcPr>
            <w:tcW w:w="2943" w:type="dxa"/>
            <w:shd w:val="clear" w:color="auto" w:fill="EEECE1"/>
          </w:tcPr>
          <w:p w14:paraId="4D9B2E0C" w14:textId="77777777" w:rsidR="00A417C7" w:rsidRPr="0024420A" w:rsidRDefault="00D806BB">
            <w:pPr>
              <w:spacing w:before="240" w:after="240"/>
              <w:jc w:val="center"/>
              <w:rPr>
                <w:rFonts w:ascii="Palatino Linotype" w:eastAsia="Palatino Linotype" w:hAnsi="Palatino Linotype" w:cs="Palatino Linotype"/>
                <w:b/>
                <w:sz w:val="20"/>
                <w:szCs w:val="20"/>
              </w:rPr>
            </w:pPr>
            <w:r w:rsidRPr="0024420A">
              <w:rPr>
                <w:rFonts w:ascii="Palatino Linotype" w:eastAsia="Palatino Linotype" w:hAnsi="Palatino Linotype" w:cs="Palatino Linotype"/>
                <w:b/>
                <w:sz w:val="20"/>
                <w:szCs w:val="20"/>
              </w:rPr>
              <w:t>Acto impugnado</w:t>
            </w:r>
          </w:p>
        </w:tc>
        <w:tc>
          <w:tcPr>
            <w:tcW w:w="2943" w:type="dxa"/>
            <w:shd w:val="clear" w:color="auto" w:fill="EEECE1"/>
          </w:tcPr>
          <w:p w14:paraId="5542681C" w14:textId="77777777" w:rsidR="00A417C7" w:rsidRPr="0024420A" w:rsidRDefault="00D806BB">
            <w:pPr>
              <w:spacing w:before="240" w:after="240"/>
              <w:jc w:val="center"/>
              <w:rPr>
                <w:rFonts w:ascii="Palatino Linotype" w:eastAsia="Palatino Linotype" w:hAnsi="Palatino Linotype" w:cs="Palatino Linotype"/>
                <w:b/>
                <w:sz w:val="20"/>
                <w:szCs w:val="20"/>
              </w:rPr>
            </w:pPr>
            <w:r w:rsidRPr="0024420A">
              <w:rPr>
                <w:rFonts w:ascii="Palatino Linotype" w:eastAsia="Palatino Linotype" w:hAnsi="Palatino Linotype" w:cs="Palatino Linotype"/>
                <w:b/>
                <w:sz w:val="20"/>
                <w:szCs w:val="20"/>
              </w:rPr>
              <w:t>Razones o motivos de inconformidad</w:t>
            </w:r>
          </w:p>
        </w:tc>
      </w:tr>
      <w:tr w:rsidR="00A00199" w:rsidRPr="0024420A" w14:paraId="1CAE5259" w14:textId="77777777">
        <w:tc>
          <w:tcPr>
            <w:tcW w:w="2942" w:type="dxa"/>
            <w:shd w:val="clear" w:color="auto" w:fill="auto"/>
          </w:tcPr>
          <w:p w14:paraId="0BC95C89" w14:textId="77777777" w:rsidR="00A417C7" w:rsidRPr="0024420A" w:rsidRDefault="00D806BB">
            <w:pPr>
              <w:spacing w:before="240" w:after="240"/>
              <w:jc w:val="center"/>
              <w:rPr>
                <w:rFonts w:ascii="Palatino Linotype" w:eastAsia="Palatino Linotype" w:hAnsi="Palatino Linotype" w:cs="Palatino Linotype"/>
                <w:b/>
                <w:sz w:val="20"/>
                <w:szCs w:val="20"/>
              </w:rPr>
            </w:pPr>
            <w:r w:rsidRPr="0024420A">
              <w:rPr>
                <w:rFonts w:ascii="Palatino Linotype" w:eastAsia="Palatino Linotype" w:hAnsi="Palatino Linotype" w:cs="Palatino Linotype"/>
                <w:b/>
                <w:sz w:val="22"/>
                <w:szCs w:val="22"/>
              </w:rPr>
              <w:t>06924/INFOEM/IP/RR/202506925/INFOEM/IP/RR/202506926/INFOEM/IP/RR/202506927/INFOEM/IP/RR/202506928/INFOEM/IP/RR/202506930/INFOEM/IP/RR/202506931/INFOEM/IP/RR/202506932/INFOEM/IP/RR/202506933/INFOEM/IP/RR/2025</w:t>
            </w:r>
          </w:p>
        </w:tc>
        <w:tc>
          <w:tcPr>
            <w:tcW w:w="2943" w:type="dxa"/>
          </w:tcPr>
          <w:p w14:paraId="46EFB0D6" w14:textId="77777777" w:rsidR="00A417C7" w:rsidRPr="0024420A" w:rsidRDefault="00D806BB">
            <w:pPr>
              <w:spacing w:before="240" w:after="24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18"/>
                <w:szCs w:val="18"/>
              </w:rPr>
              <w:t>“Falta de respuesta” (Sic)</w:t>
            </w:r>
          </w:p>
        </w:tc>
        <w:tc>
          <w:tcPr>
            <w:tcW w:w="2943" w:type="dxa"/>
          </w:tcPr>
          <w:p w14:paraId="745FDD01" w14:textId="77777777" w:rsidR="00A417C7" w:rsidRPr="0024420A" w:rsidRDefault="00D806BB">
            <w:pPr>
              <w:spacing w:before="240" w:after="24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18"/>
                <w:szCs w:val="18"/>
              </w:rPr>
              <w:t>“Ya han pasado más de 15 días hábiles y no me dan ninguna respuesta solicito que no me quiten mi derecho humano de acceso a la información pública y requiero la información solicitada lo antes posible.” (Sic)</w:t>
            </w:r>
          </w:p>
        </w:tc>
      </w:tr>
      <w:tr w:rsidR="00A00199" w:rsidRPr="0024420A" w14:paraId="7684F15E" w14:textId="77777777">
        <w:tc>
          <w:tcPr>
            <w:tcW w:w="2942" w:type="dxa"/>
            <w:shd w:val="clear" w:color="auto" w:fill="auto"/>
          </w:tcPr>
          <w:p w14:paraId="6699D1DC" w14:textId="77777777" w:rsidR="00A417C7" w:rsidRPr="0024420A" w:rsidRDefault="00D806BB">
            <w:pPr>
              <w:spacing w:before="240" w:after="240"/>
              <w:jc w:val="center"/>
              <w:rPr>
                <w:rFonts w:ascii="Palatino Linotype" w:eastAsia="Palatino Linotype" w:hAnsi="Palatino Linotype" w:cs="Palatino Linotype"/>
                <w:b/>
                <w:sz w:val="20"/>
                <w:szCs w:val="20"/>
              </w:rPr>
            </w:pPr>
            <w:r w:rsidRPr="0024420A">
              <w:rPr>
                <w:rFonts w:ascii="Palatino Linotype" w:eastAsia="Palatino Linotype" w:hAnsi="Palatino Linotype" w:cs="Palatino Linotype"/>
                <w:b/>
                <w:sz w:val="22"/>
                <w:szCs w:val="22"/>
              </w:rPr>
              <w:t>07421/INFOEM/IP/RR/202507422/INFOEM/IP/RR/202507423/INFOEM/IP/RR/202507424/INFOEM/IP/RR/202507425/INFOEM/IP/RR/202507426/INFOEM/IP/RR/202507427/INFOEM/IP/RR/202507428/INFOEM/IP/RR/202507429/INFOEM/IP/RR/202507430/INFOEM/IP/RR/202507431/INFOEM/IP/RR/202507432/INFOEM/IP/RR/202507433/INFOEM/IP/RR/202507434/INFOEM/IP/RR/202507435/INFOEM/IP/RR/202507436/INFOEM/IP/RR/202507437/INFOEM/IP/RR/202507438/INFOEM/IP/RR/2025</w:t>
            </w:r>
            <w:r w:rsidRPr="0024420A">
              <w:rPr>
                <w:rFonts w:ascii="Palatino Linotype" w:eastAsia="Palatino Linotype" w:hAnsi="Palatino Linotype" w:cs="Palatino Linotype"/>
                <w:b/>
                <w:sz w:val="22"/>
                <w:szCs w:val="22"/>
              </w:rPr>
              <w:lastRenderedPageBreak/>
              <w:t>07439/INFOEM/IP/RR/202507440/INFOEM/IP/RR/202507441/INFOEM/IP/RR/202507442/INFOEM/IP/RR/202507443/INFOEM/IP/RR/202507444/INFOEM/IP/RR/202507445/INFOEM/IP/RR/202507446/INFOEM/IP/RR/202507447/INFOEM/IP/RR/202507448/INFOEM/IP/RR/202507449/INFOEM/IP/RR/202507450/INFOEM/IP/RR/202507451/INFOEM/IP/RR/202507452/INFOEM/IP/RR/202507453/INFOEM/IP/RR/202507454/INFOEM/IP/RR/202507455/INFOEM/IP/RR/202507456/INFOEM/IP/RR/202507461/INFOEM/IP/RR/202507462/INFOEM/IP/RR/202507463/INFOEM/IP/RR/202507464/INFOEM/IP/RR/202507465/INFOEM/IP/RR/202507466/INFOEM/IP/RR/202507467/INFOEM/IP/RR/202507468/INFOEM/IP/RR/202507469/INFOEM/IP/RR/202507470/INFOEM/IP/RR/202507471/INFOEM/IP/RR/202507472/INFOEM/IP/RR/202507473/INFOEM/IP/RR/202507474/INFOEM/IP/RR/202507475/INFOEM/IP/RR/202507476/INFOEM/IP/RR/202507477/INFOEM/IP/RR/2025</w:t>
            </w:r>
          </w:p>
        </w:tc>
        <w:tc>
          <w:tcPr>
            <w:tcW w:w="2943" w:type="dxa"/>
          </w:tcPr>
          <w:p w14:paraId="3614C13C" w14:textId="77777777" w:rsidR="00A417C7" w:rsidRPr="0024420A" w:rsidRDefault="00D806BB">
            <w:pPr>
              <w:spacing w:before="240" w:after="24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18"/>
                <w:szCs w:val="18"/>
              </w:rPr>
              <w:lastRenderedPageBreak/>
              <w:t>“FALTA DE RESPUESTA” (Sic)</w:t>
            </w:r>
          </w:p>
        </w:tc>
        <w:tc>
          <w:tcPr>
            <w:tcW w:w="2943" w:type="dxa"/>
          </w:tcPr>
          <w:p w14:paraId="5545EC3E" w14:textId="77777777" w:rsidR="00A417C7" w:rsidRPr="0024420A" w:rsidRDefault="00D806BB">
            <w:pPr>
              <w:spacing w:before="240" w:after="24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18"/>
                <w:szCs w:val="18"/>
              </w:rPr>
              <w:t>“Han pasado más de 17 días hábiles y no me han dado ninguna respuesta al no tener ninguna respuesta están violentando mi derecho humano de acceso a la información pública solicito que se me dé respuesta a lo ya antes solicitado lo más pronto posible.” (Sic)</w:t>
            </w:r>
          </w:p>
        </w:tc>
      </w:tr>
      <w:tr w:rsidR="00A00199" w:rsidRPr="0024420A" w14:paraId="1A1A4847" w14:textId="77777777">
        <w:tc>
          <w:tcPr>
            <w:tcW w:w="2942" w:type="dxa"/>
            <w:shd w:val="clear" w:color="auto" w:fill="auto"/>
          </w:tcPr>
          <w:p w14:paraId="652CA419" w14:textId="77777777" w:rsidR="00A417C7" w:rsidRPr="0024420A" w:rsidRDefault="00D806BB">
            <w:pPr>
              <w:spacing w:before="240" w:after="240"/>
              <w:jc w:val="center"/>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lastRenderedPageBreak/>
              <w:t>07509/INFOEM/IP/RR/202507510/INFOEM/IP/RR/202507511/INFOEM/IP/RR/202507512/INFOEM/IP/RR/202507513/INFOEM/IP/RR/202507514/INFOEM/IP/RR/202507515/INFOEM/IP/RR/202507516/INFOEM/IP/RR/202507517/INFOEM/IP/RR/202507518/INFOEM/IP/RR/202507519/INFOEM/IP/RR/202507520/INFOEM/IP/RR/202507521/INFOEM/IP/RR/202507522/INFOEM/IP/RR/202507523/INFOEM/IP/RR/202507524/INFOEM/IP/RR/202507525/INFOEM/IP/RR/202507526/INFOEM/IP/RR/202507614/INFOEM/IP/RR/202507615/INFOEM/IP/RR/202507616/INFOEM/IP/RR/202507617/INFOEM/IP/RR/202507622/INFOEM/IP/RR/202507623/INFOEM/IP/RR/202507624/INFOEM/IP/RR/202507625/INFOEM/IP/RR/202507626/INFOEM/IP/RR/202507627/INFOEM/IP/RR/202507628/INFOEM/IP/RR/202507629/INFOEM/IP/RR/202507630/INFOEM/IP/RR/202507631/INFOEM/IP/RR/202507632/INFOEM/IP/RR/2025 07633/INFOEM/IP/RR/2025</w:t>
            </w:r>
          </w:p>
        </w:tc>
        <w:tc>
          <w:tcPr>
            <w:tcW w:w="2943" w:type="dxa"/>
          </w:tcPr>
          <w:p w14:paraId="7CA04425" w14:textId="77777777" w:rsidR="00A417C7" w:rsidRPr="0024420A" w:rsidRDefault="00D806BB">
            <w:pPr>
              <w:spacing w:before="240" w:after="240"/>
              <w:jc w:val="both"/>
              <w:rPr>
                <w:rFonts w:ascii="Palatino Linotype" w:eastAsia="Palatino Linotype" w:hAnsi="Palatino Linotype" w:cs="Palatino Linotype"/>
                <w:i/>
                <w:sz w:val="18"/>
                <w:szCs w:val="18"/>
              </w:rPr>
            </w:pPr>
            <w:r w:rsidRPr="0024420A">
              <w:rPr>
                <w:rFonts w:ascii="Palatino Linotype" w:eastAsia="Palatino Linotype" w:hAnsi="Palatino Linotype" w:cs="Palatino Linotype"/>
                <w:i/>
                <w:sz w:val="18"/>
                <w:szCs w:val="18"/>
              </w:rPr>
              <w:t>“FALTA DE RESPUESTA” (Sic)</w:t>
            </w:r>
          </w:p>
        </w:tc>
        <w:tc>
          <w:tcPr>
            <w:tcW w:w="2943" w:type="dxa"/>
          </w:tcPr>
          <w:p w14:paraId="2B634351" w14:textId="77777777" w:rsidR="00A417C7" w:rsidRPr="0024420A" w:rsidRDefault="00D806BB">
            <w:pPr>
              <w:spacing w:before="240" w:after="240"/>
              <w:jc w:val="both"/>
              <w:rPr>
                <w:rFonts w:ascii="Palatino Linotype" w:eastAsia="Palatino Linotype" w:hAnsi="Palatino Linotype" w:cs="Palatino Linotype"/>
                <w:i/>
                <w:sz w:val="18"/>
                <w:szCs w:val="18"/>
              </w:rPr>
            </w:pPr>
            <w:r w:rsidRPr="0024420A">
              <w:rPr>
                <w:rFonts w:ascii="Palatino Linotype" w:eastAsia="Palatino Linotype" w:hAnsi="Palatino Linotype" w:cs="Palatino Linotype"/>
                <w:i/>
                <w:sz w:val="18"/>
                <w:szCs w:val="18"/>
              </w:rPr>
              <w:t>“Han pasado más de 18 días hábiles y no me han dado ninguna respuesta al no tener ninguna respuesta están violentando mi derecho humano de acceso a la información pública solicito que se me dé respuesta a lo ya antes solicitado lo más pronto posible.” (Sic)</w:t>
            </w:r>
          </w:p>
        </w:tc>
      </w:tr>
    </w:tbl>
    <w:p w14:paraId="7D539B10"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lastRenderedPageBreak/>
        <w:t xml:space="preserve">4. Turnos. </w:t>
      </w:r>
      <w:r w:rsidRPr="0024420A">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sz w:val="22"/>
          <w:szCs w:val="22"/>
        </w:rPr>
        <w:t xml:space="preserve">turnados de la siguiente manera a efecto de presentar al Pleno los proyectos de resolución correspondientes: </w:t>
      </w:r>
    </w:p>
    <w:tbl>
      <w:tblPr>
        <w:tblStyle w:val="affff6"/>
        <w:tblW w:w="70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969"/>
      </w:tblGrid>
      <w:tr w:rsidR="00A00199" w:rsidRPr="0024420A" w14:paraId="6DB6BB0B" w14:textId="77777777">
        <w:trPr>
          <w:jc w:val="center"/>
        </w:trPr>
        <w:tc>
          <w:tcPr>
            <w:tcW w:w="3114" w:type="dxa"/>
            <w:shd w:val="clear" w:color="auto" w:fill="EEECE1"/>
          </w:tcPr>
          <w:p w14:paraId="0B70BBC3" w14:textId="77777777" w:rsidR="00A417C7" w:rsidRPr="0024420A" w:rsidRDefault="00D806BB">
            <w:pPr>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Número de Recurso</w:t>
            </w:r>
          </w:p>
        </w:tc>
        <w:tc>
          <w:tcPr>
            <w:tcW w:w="3969" w:type="dxa"/>
            <w:shd w:val="clear" w:color="auto" w:fill="EEECE1"/>
          </w:tcPr>
          <w:p w14:paraId="7EDFE08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Comisionado Ponente.</w:t>
            </w:r>
          </w:p>
        </w:tc>
      </w:tr>
      <w:tr w:rsidR="00A00199" w:rsidRPr="0024420A" w14:paraId="40F1B687" w14:textId="77777777">
        <w:trPr>
          <w:jc w:val="center"/>
        </w:trPr>
        <w:tc>
          <w:tcPr>
            <w:tcW w:w="3114" w:type="dxa"/>
          </w:tcPr>
          <w:p w14:paraId="163280D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06924/INFOEM/IP/RR/2025</w:t>
            </w:r>
          </w:p>
        </w:tc>
        <w:tc>
          <w:tcPr>
            <w:tcW w:w="3969" w:type="dxa"/>
          </w:tcPr>
          <w:p w14:paraId="2A84BA7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05654A0A" w14:textId="77777777">
        <w:trPr>
          <w:jc w:val="center"/>
        </w:trPr>
        <w:tc>
          <w:tcPr>
            <w:tcW w:w="3114" w:type="dxa"/>
          </w:tcPr>
          <w:p w14:paraId="13F4305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06925/INFOEM/IP/RR/2025</w:t>
            </w:r>
          </w:p>
        </w:tc>
        <w:tc>
          <w:tcPr>
            <w:tcW w:w="3969" w:type="dxa"/>
          </w:tcPr>
          <w:p w14:paraId="19EF1E2C"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05D4256B" w14:textId="77777777">
        <w:trPr>
          <w:jc w:val="center"/>
        </w:trPr>
        <w:tc>
          <w:tcPr>
            <w:tcW w:w="3114" w:type="dxa"/>
          </w:tcPr>
          <w:p w14:paraId="19D6231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06926/INFOEM/IP/RR/2025</w:t>
            </w:r>
          </w:p>
        </w:tc>
        <w:tc>
          <w:tcPr>
            <w:tcW w:w="3969" w:type="dxa"/>
          </w:tcPr>
          <w:p w14:paraId="470E2CA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57C8EF6E" w14:textId="77777777">
        <w:trPr>
          <w:jc w:val="center"/>
        </w:trPr>
        <w:tc>
          <w:tcPr>
            <w:tcW w:w="3114" w:type="dxa"/>
          </w:tcPr>
          <w:p w14:paraId="36AC1B1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06927/INFOEM/IP/RR/2025</w:t>
            </w:r>
          </w:p>
        </w:tc>
        <w:tc>
          <w:tcPr>
            <w:tcW w:w="3969" w:type="dxa"/>
          </w:tcPr>
          <w:p w14:paraId="0397209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5615873A" w14:textId="77777777">
        <w:trPr>
          <w:jc w:val="center"/>
        </w:trPr>
        <w:tc>
          <w:tcPr>
            <w:tcW w:w="3114" w:type="dxa"/>
          </w:tcPr>
          <w:p w14:paraId="529634D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06928/INFOEM/IP/RR/2025</w:t>
            </w:r>
          </w:p>
        </w:tc>
        <w:tc>
          <w:tcPr>
            <w:tcW w:w="3969" w:type="dxa"/>
          </w:tcPr>
          <w:p w14:paraId="6776DD5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68FC5AB9" w14:textId="77777777">
        <w:trPr>
          <w:jc w:val="center"/>
        </w:trPr>
        <w:tc>
          <w:tcPr>
            <w:tcW w:w="3114" w:type="dxa"/>
          </w:tcPr>
          <w:p w14:paraId="12F1A04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06930/INFOEM/IP/RR/2025</w:t>
            </w:r>
          </w:p>
        </w:tc>
        <w:tc>
          <w:tcPr>
            <w:tcW w:w="3969" w:type="dxa"/>
          </w:tcPr>
          <w:p w14:paraId="5A9D8B7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6598EACC" w14:textId="77777777">
        <w:trPr>
          <w:jc w:val="center"/>
        </w:trPr>
        <w:tc>
          <w:tcPr>
            <w:tcW w:w="3114" w:type="dxa"/>
          </w:tcPr>
          <w:p w14:paraId="34316D2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06931/INFOEM/IP/RR/2025</w:t>
            </w:r>
          </w:p>
        </w:tc>
        <w:tc>
          <w:tcPr>
            <w:tcW w:w="3969" w:type="dxa"/>
          </w:tcPr>
          <w:p w14:paraId="673489D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258B8410" w14:textId="77777777">
        <w:trPr>
          <w:jc w:val="center"/>
        </w:trPr>
        <w:tc>
          <w:tcPr>
            <w:tcW w:w="3114" w:type="dxa"/>
          </w:tcPr>
          <w:p w14:paraId="3674915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06932/INFOEM/IP/RR/2025</w:t>
            </w:r>
          </w:p>
        </w:tc>
        <w:tc>
          <w:tcPr>
            <w:tcW w:w="3969" w:type="dxa"/>
          </w:tcPr>
          <w:p w14:paraId="30F797E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32998EE3" w14:textId="77777777">
        <w:trPr>
          <w:jc w:val="center"/>
        </w:trPr>
        <w:tc>
          <w:tcPr>
            <w:tcW w:w="3114" w:type="dxa"/>
          </w:tcPr>
          <w:p w14:paraId="7456190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06933/INFOEM/IP/RR/2025</w:t>
            </w:r>
          </w:p>
        </w:tc>
        <w:tc>
          <w:tcPr>
            <w:tcW w:w="3969" w:type="dxa"/>
          </w:tcPr>
          <w:p w14:paraId="260BED4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7F17F306" w14:textId="77777777">
        <w:trPr>
          <w:jc w:val="center"/>
        </w:trPr>
        <w:tc>
          <w:tcPr>
            <w:tcW w:w="3114" w:type="dxa"/>
          </w:tcPr>
          <w:p w14:paraId="480B5DC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07421/INFOEM/IP/RR/2025</w:t>
            </w:r>
          </w:p>
        </w:tc>
        <w:tc>
          <w:tcPr>
            <w:tcW w:w="3969" w:type="dxa"/>
          </w:tcPr>
          <w:p w14:paraId="77186CE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342A1E40" w14:textId="77777777">
        <w:trPr>
          <w:jc w:val="center"/>
        </w:trPr>
        <w:tc>
          <w:tcPr>
            <w:tcW w:w="3114" w:type="dxa"/>
          </w:tcPr>
          <w:p w14:paraId="54D3241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07422/INFOEM/IP/RR/2025</w:t>
            </w:r>
          </w:p>
        </w:tc>
        <w:tc>
          <w:tcPr>
            <w:tcW w:w="3969" w:type="dxa"/>
          </w:tcPr>
          <w:p w14:paraId="431C6A6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29E55FB4" w14:textId="77777777">
        <w:trPr>
          <w:jc w:val="center"/>
        </w:trPr>
        <w:tc>
          <w:tcPr>
            <w:tcW w:w="3114" w:type="dxa"/>
          </w:tcPr>
          <w:p w14:paraId="4ED73F4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07423/INFOEM/IP/RR/2025</w:t>
            </w:r>
          </w:p>
        </w:tc>
        <w:tc>
          <w:tcPr>
            <w:tcW w:w="3969" w:type="dxa"/>
          </w:tcPr>
          <w:p w14:paraId="32A2C82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18475D0D" w14:textId="77777777">
        <w:trPr>
          <w:jc w:val="center"/>
        </w:trPr>
        <w:tc>
          <w:tcPr>
            <w:tcW w:w="3114" w:type="dxa"/>
          </w:tcPr>
          <w:p w14:paraId="5F95469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07424/INFOEM/IP/RR/2025</w:t>
            </w:r>
          </w:p>
        </w:tc>
        <w:tc>
          <w:tcPr>
            <w:tcW w:w="3969" w:type="dxa"/>
          </w:tcPr>
          <w:p w14:paraId="7CC1222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018D7E2F" w14:textId="77777777">
        <w:trPr>
          <w:jc w:val="center"/>
        </w:trPr>
        <w:tc>
          <w:tcPr>
            <w:tcW w:w="3114" w:type="dxa"/>
          </w:tcPr>
          <w:p w14:paraId="04C9886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07425/INFOEM/IP/RR/2025</w:t>
            </w:r>
          </w:p>
        </w:tc>
        <w:tc>
          <w:tcPr>
            <w:tcW w:w="3969" w:type="dxa"/>
          </w:tcPr>
          <w:p w14:paraId="42819DB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47633749" w14:textId="77777777">
        <w:trPr>
          <w:jc w:val="center"/>
        </w:trPr>
        <w:tc>
          <w:tcPr>
            <w:tcW w:w="3114" w:type="dxa"/>
          </w:tcPr>
          <w:p w14:paraId="2C2E83B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07426/INFOEM/IP/RR/2025</w:t>
            </w:r>
          </w:p>
        </w:tc>
        <w:tc>
          <w:tcPr>
            <w:tcW w:w="3969" w:type="dxa"/>
          </w:tcPr>
          <w:p w14:paraId="0F80485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7078DEA0" w14:textId="77777777">
        <w:trPr>
          <w:jc w:val="center"/>
        </w:trPr>
        <w:tc>
          <w:tcPr>
            <w:tcW w:w="3114" w:type="dxa"/>
          </w:tcPr>
          <w:p w14:paraId="444CC44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07427/INFOEM/IP/RR/2025</w:t>
            </w:r>
          </w:p>
        </w:tc>
        <w:tc>
          <w:tcPr>
            <w:tcW w:w="3969" w:type="dxa"/>
          </w:tcPr>
          <w:p w14:paraId="50127E0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636BDCB7" w14:textId="77777777">
        <w:trPr>
          <w:jc w:val="center"/>
        </w:trPr>
        <w:tc>
          <w:tcPr>
            <w:tcW w:w="3114" w:type="dxa"/>
          </w:tcPr>
          <w:p w14:paraId="6801A06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07428/INFOEM/IP/RR/2025</w:t>
            </w:r>
          </w:p>
        </w:tc>
        <w:tc>
          <w:tcPr>
            <w:tcW w:w="3969" w:type="dxa"/>
          </w:tcPr>
          <w:p w14:paraId="2173680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6E1955AD" w14:textId="77777777">
        <w:trPr>
          <w:jc w:val="center"/>
        </w:trPr>
        <w:tc>
          <w:tcPr>
            <w:tcW w:w="3114" w:type="dxa"/>
          </w:tcPr>
          <w:p w14:paraId="3BFF4D7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07429/INFOEM/IP/RR/2025</w:t>
            </w:r>
          </w:p>
        </w:tc>
        <w:tc>
          <w:tcPr>
            <w:tcW w:w="3969" w:type="dxa"/>
          </w:tcPr>
          <w:p w14:paraId="4C4AD6A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37EE1ECB" w14:textId="77777777">
        <w:trPr>
          <w:jc w:val="center"/>
        </w:trPr>
        <w:tc>
          <w:tcPr>
            <w:tcW w:w="3114" w:type="dxa"/>
          </w:tcPr>
          <w:p w14:paraId="5CF8B09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07430/INFOEM/IP/RR/2025</w:t>
            </w:r>
          </w:p>
        </w:tc>
        <w:tc>
          <w:tcPr>
            <w:tcW w:w="3969" w:type="dxa"/>
          </w:tcPr>
          <w:p w14:paraId="4B9BED5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691F3B8B" w14:textId="77777777">
        <w:trPr>
          <w:jc w:val="center"/>
        </w:trPr>
        <w:tc>
          <w:tcPr>
            <w:tcW w:w="3114" w:type="dxa"/>
          </w:tcPr>
          <w:p w14:paraId="45201DF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07431/INFOEM/IP/RR/2025</w:t>
            </w:r>
          </w:p>
        </w:tc>
        <w:tc>
          <w:tcPr>
            <w:tcW w:w="3969" w:type="dxa"/>
          </w:tcPr>
          <w:p w14:paraId="7C29C2B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27AD4FF1" w14:textId="77777777">
        <w:trPr>
          <w:jc w:val="center"/>
        </w:trPr>
        <w:tc>
          <w:tcPr>
            <w:tcW w:w="3114" w:type="dxa"/>
          </w:tcPr>
          <w:p w14:paraId="6E3C40B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07432/INFOEM/IP/RR/2025</w:t>
            </w:r>
          </w:p>
        </w:tc>
        <w:tc>
          <w:tcPr>
            <w:tcW w:w="3969" w:type="dxa"/>
          </w:tcPr>
          <w:p w14:paraId="188B00E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5A2641DE" w14:textId="77777777">
        <w:trPr>
          <w:jc w:val="center"/>
        </w:trPr>
        <w:tc>
          <w:tcPr>
            <w:tcW w:w="3114" w:type="dxa"/>
          </w:tcPr>
          <w:p w14:paraId="3EE09DB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07433/INFOEM/IP/RR/2025</w:t>
            </w:r>
          </w:p>
        </w:tc>
        <w:tc>
          <w:tcPr>
            <w:tcW w:w="3969" w:type="dxa"/>
          </w:tcPr>
          <w:p w14:paraId="4A0FC5DB"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78F0F864" w14:textId="77777777">
        <w:trPr>
          <w:jc w:val="center"/>
        </w:trPr>
        <w:tc>
          <w:tcPr>
            <w:tcW w:w="3114" w:type="dxa"/>
          </w:tcPr>
          <w:p w14:paraId="08B9BD4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07434/INFOEM/IP/RR/2025</w:t>
            </w:r>
          </w:p>
        </w:tc>
        <w:tc>
          <w:tcPr>
            <w:tcW w:w="3969" w:type="dxa"/>
          </w:tcPr>
          <w:p w14:paraId="589F78F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4C8A997B" w14:textId="77777777">
        <w:trPr>
          <w:jc w:val="center"/>
        </w:trPr>
        <w:tc>
          <w:tcPr>
            <w:tcW w:w="3114" w:type="dxa"/>
          </w:tcPr>
          <w:p w14:paraId="4F7611E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07435/INFOEM/IP/RR/2025</w:t>
            </w:r>
          </w:p>
        </w:tc>
        <w:tc>
          <w:tcPr>
            <w:tcW w:w="3969" w:type="dxa"/>
          </w:tcPr>
          <w:p w14:paraId="7F99DB9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17C2851F" w14:textId="77777777">
        <w:trPr>
          <w:jc w:val="center"/>
        </w:trPr>
        <w:tc>
          <w:tcPr>
            <w:tcW w:w="3114" w:type="dxa"/>
          </w:tcPr>
          <w:p w14:paraId="7C2EEB4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07436/INFOEM/IP/RR/2025</w:t>
            </w:r>
          </w:p>
        </w:tc>
        <w:tc>
          <w:tcPr>
            <w:tcW w:w="3969" w:type="dxa"/>
          </w:tcPr>
          <w:p w14:paraId="2F06178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669A293F" w14:textId="77777777">
        <w:trPr>
          <w:jc w:val="center"/>
        </w:trPr>
        <w:tc>
          <w:tcPr>
            <w:tcW w:w="3114" w:type="dxa"/>
          </w:tcPr>
          <w:p w14:paraId="1C79A44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07437/INFOEM/IP/RR/2025</w:t>
            </w:r>
          </w:p>
        </w:tc>
        <w:tc>
          <w:tcPr>
            <w:tcW w:w="3969" w:type="dxa"/>
          </w:tcPr>
          <w:p w14:paraId="019FB2C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4AA99D05" w14:textId="77777777">
        <w:trPr>
          <w:jc w:val="center"/>
        </w:trPr>
        <w:tc>
          <w:tcPr>
            <w:tcW w:w="3114" w:type="dxa"/>
          </w:tcPr>
          <w:p w14:paraId="432D557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07438/INFOEM/IP/RR/2025</w:t>
            </w:r>
          </w:p>
        </w:tc>
        <w:tc>
          <w:tcPr>
            <w:tcW w:w="3969" w:type="dxa"/>
          </w:tcPr>
          <w:p w14:paraId="3D358E8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671E2C80" w14:textId="77777777">
        <w:trPr>
          <w:jc w:val="center"/>
        </w:trPr>
        <w:tc>
          <w:tcPr>
            <w:tcW w:w="3114" w:type="dxa"/>
          </w:tcPr>
          <w:p w14:paraId="67F9A9B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07439/INFOEM/IP/RR/2025</w:t>
            </w:r>
          </w:p>
        </w:tc>
        <w:tc>
          <w:tcPr>
            <w:tcW w:w="3969" w:type="dxa"/>
          </w:tcPr>
          <w:p w14:paraId="6FF00C8B"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2CEDE5A2" w14:textId="77777777">
        <w:trPr>
          <w:jc w:val="center"/>
        </w:trPr>
        <w:tc>
          <w:tcPr>
            <w:tcW w:w="3114" w:type="dxa"/>
          </w:tcPr>
          <w:p w14:paraId="0B9E1C0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lastRenderedPageBreak/>
              <w:t>07440/INFOEM/IP/RR/2025</w:t>
            </w:r>
          </w:p>
        </w:tc>
        <w:tc>
          <w:tcPr>
            <w:tcW w:w="3969" w:type="dxa"/>
          </w:tcPr>
          <w:p w14:paraId="4BA5A66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123273FC" w14:textId="77777777">
        <w:trPr>
          <w:jc w:val="center"/>
        </w:trPr>
        <w:tc>
          <w:tcPr>
            <w:tcW w:w="3114" w:type="dxa"/>
          </w:tcPr>
          <w:p w14:paraId="3D8F496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07441/INFOEM/IP/RR/2025</w:t>
            </w:r>
          </w:p>
        </w:tc>
        <w:tc>
          <w:tcPr>
            <w:tcW w:w="3969" w:type="dxa"/>
          </w:tcPr>
          <w:p w14:paraId="3CFEB35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2DFF8F41" w14:textId="77777777">
        <w:trPr>
          <w:jc w:val="center"/>
        </w:trPr>
        <w:tc>
          <w:tcPr>
            <w:tcW w:w="3114" w:type="dxa"/>
          </w:tcPr>
          <w:p w14:paraId="3498558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07442/INFOEM/IP/RR/2025</w:t>
            </w:r>
          </w:p>
        </w:tc>
        <w:tc>
          <w:tcPr>
            <w:tcW w:w="3969" w:type="dxa"/>
          </w:tcPr>
          <w:p w14:paraId="5316D53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575BD92E" w14:textId="77777777">
        <w:trPr>
          <w:jc w:val="center"/>
        </w:trPr>
        <w:tc>
          <w:tcPr>
            <w:tcW w:w="3114" w:type="dxa"/>
          </w:tcPr>
          <w:p w14:paraId="4027816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07443/INFOEM/IP/RR/2025</w:t>
            </w:r>
          </w:p>
        </w:tc>
        <w:tc>
          <w:tcPr>
            <w:tcW w:w="3969" w:type="dxa"/>
          </w:tcPr>
          <w:p w14:paraId="469B857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2226B2DE" w14:textId="77777777">
        <w:trPr>
          <w:jc w:val="center"/>
        </w:trPr>
        <w:tc>
          <w:tcPr>
            <w:tcW w:w="3114" w:type="dxa"/>
          </w:tcPr>
          <w:p w14:paraId="79A7A75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07444/INFOEM/IP/RR/2025</w:t>
            </w:r>
          </w:p>
        </w:tc>
        <w:tc>
          <w:tcPr>
            <w:tcW w:w="3969" w:type="dxa"/>
          </w:tcPr>
          <w:p w14:paraId="2FCB37C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54BEBA3F" w14:textId="77777777">
        <w:trPr>
          <w:jc w:val="center"/>
        </w:trPr>
        <w:tc>
          <w:tcPr>
            <w:tcW w:w="3114" w:type="dxa"/>
          </w:tcPr>
          <w:p w14:paraId="41A8BAA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07445/INFOEM/IP/RR/2025</w:t>
            </w:r>
          </w:p>
        </w:tc>
        <w:tc>
          <w:tcPr>
            <w:tcW w:w="3969" w:type="dxa"/>
          </w:tcPr>
          <w:p w14:paraId="010C6D0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4BA0CF40" w14:textId="77777777">
        <w:trPr>
          <w:jc w:val="center"/>
        </w:trPr>
        <w:tc>
          <w:tcPr>
            <w:tcW w:w="3114" w:type="dxa"/>
          </w:tcPr>
          <w:p w14:paraId="33FBD88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07446/INFOEM/IP/RR/2025</w:t>
            </w:r>
          </w:p>
        </w:tc>
        <w:tc>
          <w:tcPr>
            <w:tcW w:w="3969" w:type="dxa"/>
          </w:tcPr>
          <w:p w14:paraId="5FAEAFF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53CDF9E5" w14:textId="77777777">
        <w:trPr>
          <w:jc w:val="center"/>
        </w:trPr>
        <w:tc>
          <w:tcPr>
            <w:tcW w:w="3114" w:type="dxa"/>
          </w:tcPr>
          <w:p w14:paraId="733B992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07447/INFOEM/IP/RR/2025</w:t>
            </w:r>
          </w:p>
        </w:tc>
        <w:tc>
          <w:tcPr>
            <w:tcW w:w="3969" w:type="dxa"/>
          </w:tcPr>
          <w:p w14:paraId="506F2AE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6C6399F4" w14:textId="77777777">
        <w:trPr>
          <w:jc w:val="center"/>
        </w:trPr>
        <w:tc>
          <w:tcPr>
            <w:tcW w:w="3114" w:type="dxa"/>
          </w:tcPr>
          <w:p w14:paraId="1FF8AA7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07448/INFOEM/IP/RR/2025</w:t>
            </w:r>
          </w:p>
        </w:tc>
        <w:tc>
          <w:tcPr>
            <w:tcW w:w="3969" w:type="dxa"/>
          </w:tcPr>
          <w:p w14:paraId="21AFB29B"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29073047" w14:textId="77777777">
        <w:trPr>
          <w:jc w:val="center"/>
        </w:trPr>
        <w:tc>
          <w:tcPr>
            <w:tcW w:w="3114" w:type="dxa"/>
          </w:tcPr>
          <w:p w14:paraId="441627F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07449/INFOEM/IP/RR/2025</w:t>
            </w:r>
          </w:p>
        </w:tc>
        <w:tc>
          <w:tcPr>
            <w:tcW w:w="3969" w:type="dxa"/>
          </w:tcPr>
          <w:p w14:paraId="21071D9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2C47C6B9" w14:textId="77777777">
        <w:trPr>
          <w:jc w:val="center"/>
        </w:trPr>
        <w:tc>
          <w:tcPr>
            <w:tcW w:w="3114" w:type="dxa"/>
          </w:tcPr>
          <w:p w14:paraId="13D3E86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07450/INFOEM/IP/R</w:t>
            </w:r>
            <w:r w:rsidRPr="0024420A">
              <w:rPr>
                <w:rFonts w:ascii="Palatino Linotype" w:eastAsia="Palatino Linotype" w:hAnsi="Palatino Linotype" w:cs="Palatino Linotype"/>
                <w:b/>
              </w:rPr>
              <w:t>R/2025</w:t>
            </w:r>
          </w:p>
        </w:tc>
        <w:tc>
          <w:tcPr>
            <w:tcW w:w="3969" w:type="dxa"/>
          </w:tcPr>
          <w:p w14:paraId="4386FA9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3537A088" w14:textId="77777777">
        <w:trPr>
          <w:jc w:val="center"/>
        </w:trPr>
        <w:tc>
          <w:tcPr>
            <w:tcW w:w="3114" w:type="dxa"/>
          </w:tcPr>
          <w:p w14:paraId="589F819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07451/INFOEM/IP/RR/2025</w:t>
            </w:r>
          </w:p>
        </w:tc>
        <w:tc>
          <w:tcPr>
            <w:tcW w:w="3969" w:type="dxa"/>
          </w:tcPr>
          <w:p w14:paraId="7A3A9A1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48BF1175" w14:textId="77777777">
        <w:trPr>
          <w:jc w:val="center"/>
        </w:trPr>
        <w:tc>
          <w:tcPr>
            <w:tcW w:w="3114" w:type="dxa"/>
          </w:tcPr>
          <w:p w14:paraId="3216524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07452/INFOEM/IP/RR/2025</w:t>
            </w:r>
          </w:p>
        </w:tc>
        <w:tc>
          <w:tcPr>
            <w:tcW w:w="3969" w:type="dxa"/>
          </w:tcPr>
          <w:p w14:paraId="1D5E611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3AF3558E" w14:textId="77777777">
        <w:trPr>
          <w:jc w:val="center"/>
        </w:trPr>
        <w:tc>
          <w:tcPr>
            <w:tcW w:w="3114" w:type="dxa"/>
          </w:tcPr>
          <w:p w14:paraId="650DA37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07453/INFOEM/IP/RR/2025</w:t>
            </w:r>
          </w:p>
        </w:tc>
        <w:tc>
          <w:tcPr>
            <w:tcW w:w="3969" w:type="dxa"/>
          </w:tcPr>
          <w:p w14:paraId="574631D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3972974F" w14:textId="77777777">
        <w:trPr>
          <w:jc w:val="center"/>
        </w:trPr>
        <w:tc>
          <w:tcPr>
            <w:tcW w:w="3114" w:type="dxa"/>
          </w:tcPr>
          <w:p w14:paraId="24260ED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07454/INFOEM/IP/RR/2025</w:t>
            </w:r>
          </w:p>
        </w:tc>
        <w:tc>
          <w:tcPr>
            <w:tcW w:w="3969" w:type="dxa"/>
          </w:tcPr>
          <w:p w14:paraId="63150BC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03B9A277" w14:textId="77777777">
        <w:trPr>
          <w:jc w:val="center"/>
        </w:trPr>
        <w:tc>
          <w:tcPr>
            <w:tcW w:w="3114" w:type="dxa"/>
          </w:tcPr>
          <w:p w14:paraId="7C23716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07455/INFOEM/IP/RR/2025</w:t>
            </w:r>
          </w:p>
        </w:tc>
        <w:tc>
          <w:tcPr>
            <w:tcW w:w="3969" w:type="dxa"/>
          </w:tcPr>
          <w:p w14:paraId="76C1CBF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04B2FF83" w14:textId="77777777">
        <w:trPr>
          <w:jc w:val="center"/>
        </w:trPr>
        <w:tc>
          <w:tcPr>
            <w:tcW w:w="3114" w:type="dxa"/>
          </w:tcPr>
          <w:p w14:paraId="039A4E7B"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07456/INFOEM/IP/RR/2025</w:t>
            </w:r>
          </w:p>
        </w:tc>
        <w:tc>
          <w:tcPr>
            <w:tcW w:w="3969" w:type="dxa"/>
          </w:tcPr>
          <w:p w14:paraId="51C16E5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43F1B1D5" w14:textId="77777777">
        <w:trPr>
          <w:jc w:val="center"/>
        </w:trPr>
        <w:tc>
          <w:tcPr>
            <w:tcW w:w="3114" w:type="dxa"/>
          </w:tcPr>
          <w:p w14:paraId="6200FA6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07461/INFOEM/IP/RR/2025</w:t>
            </w:r>
          </w:p>
        </w:tc>
        <w:tc>
          <w:tcPr>
            <w:tcW w:w="3969" w:type="dxa"/>
          </w:tcPr>
          <w:p w14:paraId="5A9291D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7F5E32D7" w14:textId="77777777">
        <w:trPr>
          <w:jc w:val="center"/>
        </w:trPr>
        <w:tc>
          <w:tcPr>
            <w:tcW w:w="3114" w:type="dxa"/>
          </w:tcPr>
          <w:p w14:paraId="2A40123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07462/INFOEM/IP/RR/2025</w:t>
            </w:r>
          </w:p>
        </w:tc>
        <w:tc>
          <w:tcPr>
            <w:tcW w:w="3969" w:type="dxa"/>
          </w:tcPr>
          <w:p w14:paraId="7707C00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10673C9D" w14:textId="77777777">
        <w:trPr>
          <w:jc w:val="center"/>
        </w:trPr>
        <w:tc>
          <w:tcPr>
            <w:tcW w:w="3114" w:type="dxa"/>
          </w:tcPr>
          <w:p w14:paraId="5BD156C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07463/INFOEM/IP/RR/2025</w:t>
            </w:r>
          </w:p>
        </w:tc>
        <w:tc>
          <w:tcPr>
            <w:tcW w:w="3969" w:type="dxa"/>
          </w:tcPr>
          <w:p w14:paraId="08FA965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7C3493EA" w14:textId="77777777">
        <w:trPr>
          <w:jc w:val="center"/>
        </w:trPr>
        <w:tc>
          <w:tcPr>
            <w:tcW w:w="3114" w:type="dxa"/>
          </w:tcPr>
          <w:p w14:paraId="638D09C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07464/INFOEM/IP/RR/2025</w:t>
            </w:r>
          </w:p>
        </w:tc>
        <w:tc>
          <w:tcPr>
            <w:tcW w:w="3969" w:type="dxa"/>
          </w:tcPr>
          <w:p w14:paraId="34BE1B9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3950B02B" w14:textId="77777777">
        <w:trPr>
          <w:jc w:val="center"/>
        </w:trPr>
        <w:tc>
          <w:tcPr>
            <w:tcW w:w="3114" w:type="dxa"/>
          </w:tcPr>
          <w:p w14:paraId="081B7D1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07465/INFOEM/IP/RR/2025</w:t>
            </w:r>
          </w:p>
        </w:tc>
        <w:tc>
          <w:tcPr>
            <w:tcW w:w="3969" w:type="dxa"/>
          </w:tcPr>
          <w:p w14:paraId="219A58E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57BCE3EA" w14:textId="77777777">
        <w:trPr>
          <w:jc w:val="center"/>
        </w:trPr>
        <w:tc>
          <w:tcPr>
            <w:tcW w:w="3114" w:type="dxa"/>
          </w:tcPr>
          <w:p w14:paraId="678321D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07466/INFOEM/IP/RR/2025</w:t>
            </w:r>
          </w:p>
        </w:tc>
        <w:tc>
          <w:tcPr>
            <w:tcW w:w="3969" w:type="dxa"/>
          </w:tcPr>
          <w:p w14:paraId="2CB5DBC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391B473F" w14:textId="77777777">
        <w:trPr>
          <w:jc w:val="center"/>
        </w:trPr>
        <w:tc>
          <w:tcPr>
            <w:tcW w:w="3114" w:type="dxa"/>
          </w:tcPr>
          <w:p w14:paraId="04806F9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07467/INFOEM/IP/RR/2025</w:t>
            </w:r>
          </w:p>
        </w:tc>
        <w:tc>
          <w:tcPr>
            <w:tcW w:w="3969" w:type="dxa"/>
          </w:tcPr>
          <w:p w14:paraId="4E449BD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2BA9BAC8" w14:textId="77777777">
        <w:trPr>
          <w:jc w:val="center"/>
        </w:trPr>
        <w:tc>
          <w:tcPr>
            <w:tcW w:w="3114" w:type="dxa"/>
          </w:tcPr>
          <w:p w14:paraId="668901F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07468/INFOEM/IP/RR/2025</w:t>
            </w:r>
          </w:p>
        </w:tc>
        <w:tc>
          <w:tcPr>
            <w:tcW w:w="3969" w:type="dxa"/>
          </w:tcPr>
          <w:p w14:paraId="311C746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4B30AAE6" w14:textId="77777777">
        <w:trPr>
          <w:jc w:val="center"/>
        </w:trPr>
        <w:tc>
          <w:tcPr>
            <w:tcW w:w="3114" w:type="dxa"/>
          </w:tcPr>
          <w:p w14:paraId="296F42B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07469/INFOEM/IP/RR/2025</w:t>
            </w:r>
          </w:p>
        </w:tc>
        <w:tc>
          <w:tcPr>
            <w:tcW w:w="3969" w:type="dxa"/>
          </w:tcPr>
          <w:p w14:paraId="2C5EC82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087363C7" w14:textId="77777777">
        <w:trPr>
          <w:jc w:val="center"/>
        </w:trPr>
        <w:tc>
          <w:tcPr>
            <w:tcW w:w="3114" w:type="dxa"/>
          </w:tcPr>
          <w:p w14:paraId="25191EA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07470/INFOEM/IP/RR/2025</w:t>
            </w:r>
          </w:p>
        </w:tc>
        <w:tc>
          <w:tcPr>
            <w:tcW w:w="3969" w:type="dxa"/>
          </w:tcPr>
          <w:p w14:paraId="4FB907F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5F624979" w14:textId="77777777">
        <w:trPr>
          <w:jc w:val="center"/>
        </w:trPr>
        <w:tc>
          <w:tcPr>
            <w:tcW w:w="3114" w:type="dxa"/>
          </w:tcPr>
          <w:p w14:paraId="4DC782F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07471/INFOEM/IP/RR/2025</w:t>
            </w:r>
          </w:p>
        </w:tc>
        <w:tc>
          <w:tcPr>
            <w:tcW w:w="3969" w:type="dxa"/>
          </w:tcPr>
          <w:p w14:paraId="79F8F88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2AB8D49F" w14:textId="77777777">
        <w:trPr>
          <w:jc w:val="center"/>
        </w:trPr>
        <w:tc>
          <w:tcPr>
            <w:tcW w:w="3114" w:type="dxa"/>
          </w:tcPr>
          <w:p w14:paraId="58A9944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07472/INFOEM/IP/RR/2025</w:t>
            </w:r>
          </w:p>
        </w:tc>
        <w:tc>
          <w:tcPr>
            <w:tcW w:w="3969" w:type="dxa"/>
          </w:tcPr>
          <w:p w14:paraId="7CAA422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39A85F6E" w14:textId="77777777">
        <w:trPr>
          <w:jc w:val="center"/>
        </w:trPr>
        <w:tc>
          <w:tcPr>
            <w:tcW w:w="3114" w:type="dxa"/>
          </w:tcPr>
          <w:p w14:paraId="0FC1946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07473/INFOEM/IP/RR/2025</w:t>
            </w:r>
          </w:p>
        </w:tc>
        <w:tc>
          <w:tcPr>
            <w:tcW w:w="3969" w:type="dxa"/>
          </w:tcPr>
          <w:p w14:paraId="1066250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36FC8B10" w14:textId="77777777">
        <w:trPr>
          <w:jc w:val="center"/>
        </w:trPr>
        <w:tc>
          <w:tcPr>
            <w:tcW w:w="3114" w:type="dxa"/>
          </w:tcPr>
          <w:p w14:paraId="0B61D48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07474/INFOEM/IP/RR/2025</w:t>
            </w:r>
          </w:p>
        </w:tc>
        <w:tc>
          <w:tcPr>
            <w:tcW w:w="3969" w:type="dxa"/>
          </w:tcPr>
          <w:p w14:paraId="4323298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0BB95120" w14:textId="77777777">
        <w:trPr>
          <w:jc w:val="center"/>
        </w:trPr>
        <w:tc>
          <w:tcPr>
            <w:tcW w:w="3114" w:type="dxa"/>
          </w:tcPr>
          <w:p w14:paraId="116FC40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07475/INFOEM/IP/RR/2025</w:t>
            </w:r>
          </w:p>
        </w:tc>
        <w:tc>
          <w:tcPr>
            <w:tcW w:w="3969" w:type="dxa"/>
          </w:tcPr>
          <w:p w14:paraId="07C0D50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6B16EADF" w14:textId="77777777">
        <w:trPr>
          <w:jc w:val="center"/>
        </w:trPr>
        <w:tc>
          <w:tcPr>
            <w:tcW w:w="3114" w:type="dxa"/>
          </w:tcPr>
          <w:p w14:paraId="5F69FB7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07476/INFOEM/IP/RR/2025</w:t>
            </w:r>
          </w:p>
        </w:tc>
        <w:tc>
          <w:tcPr>
            <w:tcW w:w="3969" w:type="dxa"/>
          </w:tcPr>
          <w:p w14:paraId="7FE0B89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65EDE88C" w14:textId="77777777">
        <w:trPr>
          <w:jc w:val="center"/>
        </w:trPr>
        <w:tc>
          <w:tcPr>
            <w:tcW w:w="3114" w:type="dxa"/>
          </w:tcPr>
          <w:p w14:paraId="693D61D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07477/INFOEM/IP/RR/2025</w:t>
            </w:r>
          </w:p>
        </w:tc>
        <w:tc>
          <w:tcPr>
            <w:tcW w:w="3969" w:type="dxa"/>
          </w:tcPr>
          <w:p w14:paraId="72DEBC6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00466673" w14:textId="77777777">
        <w:trPr>
          <w:jc w:val="center"/>
        </w:trPr>
        <w:tc>
          <w:tcPr>
            <w:tcW w:w="3114" w:type="dxa"/>
          </w:tcPr>
          <w:p w14:paraId="72FF20E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lastRenderedPageBreak/>
              <w:t>07509/INFOEM/IP/RR/2025</w:t>
            </w:r>
          </w:p>
        </w:tc>
        <w:tc>
          <w:tcPr>
            <w:tcW w:w="3969" w:type="dxa"/>
          </w:tcPr>
          <w:p w14:paraId="409DC97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7E3E4C45" w14:textId="77777777">
        <w:trPr>
          <w:jc w:val="center"/>
        </w:trPr>
        <w:tc>
          <w:tcPr>
            <w:tcW w:w="3114" w:type="dxa"/>
          </w:tcPr>
          <w:p w14:paraId="27D4EE3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07510/INFOEM/IP/RR/2025</w:t>
            </w:r>
          </w:p>
        </w:tc>
        <w:tc>
          <w:tcPr>
            <w:tcW w:w="3969" w:type="dxa"/>
          </w:tcPr>
          <w:p w14:paraId="2EC2B24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6BA8A4C9" w14:textId="77777777">
        <w:trPr>
          <w:jc w:val="center"/>
        </w:trPr>
        <w:tc>
          <w:tcPr>
            <w:tcW w:w="3114" w:type="dxa"/>
          </w:tcPr>
          <w:p w14:paraId="3700E44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07511/INFOEM/IP/RR/2025</w:t>
            </w:r>
          </w:p>
        </w:tc>
        <w:tc>
          <w:tcPr>
            <w:tcW w:w="3969" w:type="dxa"/>
          </w:tcPr>
          <w:p w14:paraId="384289A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508949D6" w14:textId="77777777">
        <w:trPr>
          <w:jc w:val="center"/>
        </w:trPr>
        <w:tc>
          <w:tcPr>
            <w:tcW w:w="3114" w:type="dxa"/>
          </w:tcPr>
          <w:p w14:paraId="3FC6A54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07512/INFOEM/IP/RR/2025</w:t>
            </w:r>
          </w:p>
        </w:tc>
        <w:tc>
          <w:tcPr>
            <w:tcW w:w="3969" w:type="dxa"/>
          </w:tcPr>
          <w:p w14:paraId="42BFBB8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09FFF78C" w14:textId="77777777">
        <w:trPr>
          <w:jc w:val="center"/>
        </w:trPr>
        <w:tc>
          <w:tcPr>
            <w:tcW w:w="3114" w:type="dxa"/>
          </w:tcPr>
          <w:p w14:paraId="3DE267E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07513/INFOEM/IP/RR/2025</w:t>
            </w:r>
          </w:p>
        </w:tc>
        <w:tc>
          <w:tcPr>
            <w:tcW w:w="3969" w:type="dxa"/>
          </w:tcPr>
          <w:p w14:paraId="31B864C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7E9B49CC" w14:textId="77777777">
        <w:trPr>
          <w:jc w:val="center"/>
        </w:trPr>
        <w:tc>
          <w:tcPr>
            <w:tcW w:w="3114" w:type="dxa"/>
          </w:tcPr>
          <w:p w14:paraId="3BC87EF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07514/INFOEM/IP/RR/2025</w:t>
            </w:r>
          </w:p>
        </w:tc>
        <w:tc>
          <w:tcPr>
            <w:tcW w:w="3969" w:type="dxa"/>
          </w:tcPr>
          <w:p w14:paraId="15BC948B"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0D290975" w14:textId="77777777">
        <w:trPr>
          <w:jc w:val="center"/>
        </w:trPr>
        <w:tc>
          <w:tcPr>
            <w:tcW w:w="3114" w:type="dxa"/>
          </w:tcPr>
          <w:p w14:paraId="266B04E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07515/INFOEM/IP/RR/2025</w:t>
            </w:r>
          </w:p>
        </w:tc>
        <w:tc>
          <w:tcPr>
            <w:tcW w:w="3969" w:type="dxa"/>
          </w:tcPr>
          <w:p w14:paraId="72A7099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305BD69A" w14:textId="77777777">
        <w:trPr>
          <w:jc w:val="center"/>
        </w:trPr>
        <w:tc>
          <w:tcPr>
            <w:tcW w:w="3114" w:type="dxa"/>
          </w:tcPr>
          <w:p w14:paraId="7A5C882B"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07516/INFOEM/IP/RR/2025</w:t>
            </w:r>
          </w:p>
        </w:tc>
        <w:tc>
          <w:tcPr>
            <w:tcW w:w="3969" w:type="dxa"/>
          </w:tcPr>
          <w:p w14:paraId="4AE0E27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264368CD" w14:textId="77777777">
        <w:trPr>
          <w:jc w:val="center"/>
        </w:trPr>
        <w:tc>
          <w:tcPr>
            <w:tcW w:w="3114" w:type="dxa"/>
          </w:tcPr>
          <w:p w14:paraId="4E44ABB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07517/INFOEM/IP/RR/202</w:t>
            </w:r>
            <w:r w:rsidRPr="0024420A">
              <w:rPr>
                <w:rFonts w:ascii="Palatino Linotype" w:eastAsia="Palatino Linotype" w:hAnsi="Palatino Linotype" w:cs="Palatino Linotype"/>
                <w:b/>
              </w:rPr>
              <w:t>5</w:t>
            </w:r>
          </w:p>
        </w:tc>
        <w:tc>
          <w:tcPr>
            <w:tcW w:w="3969" w:type="dxa"/>
          </w:tcPr>
          <w:p w14:paraId="3B7C2FD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444E572F" w14:textId="77777777">
        <w:trPr>
          <w:jc w:val="center"/>
        </w:trPr>
        <w:tc>
          <w:tcPr>
            <w:tcW w:w="3114" w:type="dxa"/>
          </w:tcPr>
          <w:p w14:paraId="03184E5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07518/INFOEM/IP/RR/2025</w:t>
            </w:r>
          </w:p>
        </w:tc>
        <w:tc>
          <w:tcPr>
            <w:tcW w:w="3969" w:type="dxa"/>
          </w:tcPr>
          <w:p w14:paraId="5681956D"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4E217C78" w14:textId="77777777">
        <w:trPr>
          <w:jc w:val="center"/>
        </w:trPr>
        <w:tc>
          <w:tcPr>
            <w:tcW w:w="3114" w:type="dxa"/>
          </w:tcPr>
          <w:p w14:paraId="0C7375B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07519/INFOEM/IP/RR/2025</w:t>
            </w:r>
          </w:p>
        </w:tc>
        <w:tc>
          <w:tcPr>
            <w:tcW w:w="3969" w:type="dxa"/>
          </w:tcPr>
          <w:p w14:paraId="4478174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1AF1AD70" w14:textId="77777777">
        <w:trPr>
          <w:jc w:val="center"/>
        </w:trPr>
        <w:tc>
          <w:tcPr>
            <w:tcW w:w="3114" w:type="dxa"/>
          </w:tcPr>
          <w:p w14:paraId="75B0EF9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07520/INFOEM/IP/RR/2025</w:t>
            </w:r>
          </w:p>
        </w:tc>
        <w:tc>
          <w:tcPr>
            <w:tcW w:w="3969" w:type="dxa"/>
          </w:tcPr>
          <w:p w14:paraId="1FE4788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16E7E24A" w14:textId="77777777">
        <w:trPr>
          <w:jc w:val="center"/>
        </w:trPr>
        <w:tc>
          <w:tcPr>
            <w:tcW w:w="3114" w:type="dxa"/>
          </w:tcPr>
          <w:p w14:paraId="449770F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07521/INFOEM/IP/RR/2025</w:t>
            </w:r>
          </w:p>
        </w:tc>
        <w:tc>
          <w:tcPr>
            <w:tcW w:w="3969" w:type="dxa"/>
          </w:tcPr>
          <w:p w14:paraId="00D56DF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7A78D749" w14:textId="77777777">
        <w:trPr>
          <w:jc w:val="center"/>
        </w:trPr>
        <w:tc>
          <w:tcPr>
            <w:tcW w:w="3114" w:type="dxa"/>
          </w:tcPr>
          <w:p w14:paraId="58E0F0A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07522/INFOEM/IP/RR/2025</w:t>
            </w:r>
          </w:p>
        </w:tc>
        <w:tc>
          <w:tcPr>
            <w:tcW w:w="3969" w:type="dxa"/>
          </w:tcPr>
          <w:p w14:paraId="487CE56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791BA5BD" w14:textId="77777777">
        <w:trPr>
          <w:jc w:val="center"/>
        </w:trPr>
        <w:tc>
          <w:tcPr>
            <w:tcW w:w="3114" w:type="dxa"/>
          </w:tcPr>
          <w:p w14:paraId="08E800F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07523/INFOEM/IP/RR/2025</w:t>
            </w:r>
          </w:p>
        </w:tc>
        <w:tc>
          <w:tcPr>
            <w:tcW w:w="3969" w:type="dxa"/>
          </w:tcPr>
          <w:p w14:paraId="47789C9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42A6BFFD" w14:textId="77777777">
        <w:trPr>
          <w:jc w:val="center"/>
        </w:trPr>
        <w:tc>
          <w:tcPr>
            <w:tcW w:w="3114" w:type="dxa"/>
          </w:tcPr>
          <w:p w14:paraId="34B24AE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07524/INFOEM/IP/RR/2025</w:t>
            </w:r>
          </w:p>
        </w:tc>
        <w:tc>
          <w:tcPr>
            <w:tcW w:w="3969" w:type="dxa"/>
          </w:tcPr>
          <w:p w14:paraId="36F07AE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699E7D2D" w14:textId="77777777">
        <w:trPr>
          <w:jc w:val="center"/>
        </w:trPr>
        <w:tc>
          <w:tcPr>
            <w:tcW w:w="3114" w:type="dxa"/>
          </w:tcPr>
          <w:p w14:paraId="122013D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07525/INFOEM/IP/RR/2025</w:t>
            </w:r>
          </w:p>
        </w:tc>
        <w:tc>
          <w:tcPr>
            <w:tcW w:w="3969" w:type="dxa"/>
          </w:tcPr>
          <w:p w14:paraId="73A7060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01B1623A" w14:textId="77777777">
        <w:trPr>
          <w:jc w:val="center"/>
        </w:trPr>
        <w:tc>
          <w:tcPr>
            <w:tcW w:w="3114" w:type="dxa"/>
          </w:tcPr>
          <w:p w14:paraId="00350A5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07526/INFOEM/IP/RR/2025</w:t>
            </w:r>
          </w:p>
        </w:tc>
        <w:tc>
          <w:tcPr>
            <w:tcW w:w="3969" w:type="dxa"/>
          </w:tcPr>
          <w:p w14:paraId="0DDA105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13E7188F" w14:textId="77777777">
        <w:trPr>
          <w:jc w:val="center"/>
        </w:trPr>
        <w:tc>
          <w:tcPr>
            <w:tcW w:w="3114" w:type="dxa"/>
          </w:tcPr>
          <w:p w14:paraId="0D1208A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07614/INFOEM/IP/RR/2025</w:t>
            </w:r>
          </w:p>
        </w:tc>
        <w:tc>
          <w:tcPr>
            <w:tcW w:w="3969" w:type="dxa"/>
          </w:tcPr>
          <w:p w14:paraId="07E2691C"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3D096C7F" w14:textId="77777777">
        <w:trPr>
          <w:jc w:val="center"/>
        </w:trPr>
        <w:tc>
          <w:tcPr>
            <w:tcW w:w="3114" w:type="dxa"/>
          </w:tcPr>
          <w:p w14:paraId="23A5E7F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07615/INFOEM/IP/RR/2025</w:t>
            </w:r>
          </w:p>
        </w:tc>
        <w:tc>
          <w:tcPr>
            <w:tcW w:w="3969" w:type="dxa"/>
          </w:tcPr>
          <w:p w14:paraId="2EC0FF2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445E3C45" w14:textId="77777777">
        <w:trPr>
          <w:jc w:val="center"/>
        </w:trPr>
        <w:tc>
          <w:tcPr>
            <w:tcW w:w="3114" w:type="dxa"/>
          </w:tcPr>
          <w:p w14:paraId="2D9426DB"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07616/INFOEM/IP/RR/2025</w:t>
            </w:r>
          </w:p>
        </w:tc>
        <w:tc>
          <w:tcPr>
            <w:tcW w:w="3969" w:type="dxa"/>
          </w:tcPr>
          <w:p w14:paraId="27A3722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2F70DA41" w14:textId="77777777">
        <w:trPr>
          <w:jc w:val="center"/>
        </w:trPr>
        <w:tc>
          <w:tcPr>
            <w:tcW w:w="3114" w:type="dxa"/>
          </w:tcPr>
          <w:p w14:paraId="6E3B0C90"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07617/INFOEM/IP/RR/2025</w:t>
            </w:r>
          </w:p>
        </w:tc>
        <w:tc>
          <w:tcPr>
            <w:tcW w:w="3969" w:type="dxa"/>
          </w:tcPr>
          <w:p w14:paraId="6A5DE6EC"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282B6770" w14:textId="77777777">
        <w:trPr>
          <w:jc w:val="center"/>
        </w:trPr>
        <w:tc>
          <w:tcPr>
            <w:tcW w:w="3114" w:type="dxa"/>
          </w:tcPr>
          <w:p w14:paraId="1771C66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07622/INFOEM/IP/RR/2025</w:t>
            </w:r>
          </w:p>
        </w:tc>
        <w:tc>
          <w:tcPr>
            <w:tcW w:w="3969" w:type="dxa"/>
          </w:tcPr>
          <w:p w14:paraId="02D45E1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6D8E6687" w14:textId="77777777">
        <w:trPr>
          <w:jc w:val="center"/>
        </w:trPr>
        <w:tc>
          <w:tcPr>
            <w:tcW w:w="3114" w:type="dxa"/>
          </w:tcPr>
          <w:p w14:paraId="242BF28F"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07623/INFOEM/IP/RR/2025</w:t>
            </w:r>
          </w:p>
        </w:tc>
        <w:tc>
          <w:tcPr>
            <w:tcW w:w="3969" w:type="dxa"/>
          </w:tcPr>
          <w:p w14:paraId="45050B46"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4FECAED1" w14:textId="77777777">
        <w:trPr>
          <w:jc w:val="center"/>
        </w:trPr>
        <w:tc>
          <w:tcPr>
            <w:tcW w:w="3114" w:type="dxa"/>
          </w:tcPr>
          <w:p w14:paraId="0B002AA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07624/INFOEM/IP/RR/2025</w:t>
            </w:r>
          </w:p>
        </w:tc>
        <w:tc>
          <w:tcPr>
            <w:tcW w:w="3969" w:type="dxa"/>
          </w:tcPr>
          <w:p w14:paraId="2071FC6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2DE23DDF" w14:textId="77777777">
        <w:trPr>
          <w:jc w:val="center"/>
        </w:trPr>
        <w:tc>
          <w:tcPr>
            <w:tcW w:w="3114" w:type="dxa"/>
          </w:tcPr>
          <w:p w14:paraId="45FB78FE"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07625/INFOEM/IP/RR/2025</w:t>
            </w:r>
          </w:p>
        </w:tc>
        <w:tc>
          <w:tcPr>
            <w:tcW w:w="3969" w:type="dxa"/>
          </w:tcPr>
          <w:p w14:paraId="5B5D85C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25EE6C75" w14:textId="77777777">
        <w:trPr>
          <w:jc w:val="center"/>
        </w:trPr>
        <w:tc>
          <w:tcPr>
            <w:tcW w:w="3114" w:type="dxa"/>
          </w:tcPr>
          <w:p w14:paraId="5B6C634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07626/INFOEM/IP/RR/2025</w:t>
            </w:r>
          </w:p>
        </w:tc>
        <w:tc>
          <w:tcPr>
            <w:tcW w:w="3969" w:type="dxa"/>
          </w:tcPr>
          <w:p w14:paraId="6829C81A"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4542E604" w14:textId="77777777">
        <w:trPr>
          <w:jc w:val="center"/>
        </w:trPr>
        <w:tc>
          <w:tcPr>
            <w:tcW w:w="3114" w:type="dxa"/>
          </w:tcPr>
          <w:p w14:paraId="46C3844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07627/INFOEM/IP/RR/2025</w:t>
            </w:r>
          </w:p>
        </w:tc>
        <w:tc>
          <w:tcPr>
            <w:tcW w:w="3969" w:type="dxa"/>
          </w:tcPr>
          <w:p w14:paraId="55B614A5"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158B3909" w14:textId="77777777">
        <w:trPr>
          <w:jc w:val="center"/>
        </w:trPr>
        <w:tc>
          <w:tcPr>
            <w:tcW w:w="3114" w:type="dxa"/>
          </w:tcPr>
          <w:p w14:paraId="327F0CC2"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07628/INFOEM/IP/RR/2025</w:t>
            </w:r>
          </w:p>
        </w:tc>
        <w:tc>
          <w:tcPr>
            <w:tcW w:w="3969" w:type="dxa"/>
          </w:tcPr>
          <w:p w14:paraId="4F19382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r w:rsidR="00A00199" w:rsidRPr="0024420A" w14:paraId="12FB3820" w14:textId="77777777">
        <w:trPr>
          <w:jc w:val="center"/>
        </w:trPr>
        <w:tc>
          <w:tcPr>
            <w:tcW w:w="3114" w:type="dxa"/>
          </w:tcPr>
          <w:p w14:paraId="1917C917"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07629/INFOEM/IP/RR/2025</w:t>
            </w:r>
          </w:p>
        </w:tc>
        <w:tc>
          <w:tcPr>
            <w:tcW w:w="3969" w:type="dxa"/>
          </w:tcPr>
          <w:p w14:paraId="408A416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Guadalupe Ramírez Peña</w:t>
            </w:r>
          </w:p>
        </w:tc>
      </w:tr>
      <w:tr w:rsidR="00A00199" w:rsidRPr="0024420A" w14:paraId="709A33A8" w14:textId="77777777">
        <w:trPr>
          <w:jc w:val="center"/>
        </w:trPr>
        <w:tc>
          <w:tcPr>
            <w:tcW w:w="3114" w:type="dxa"/>
          </w:tcPr>
          <w:p w14:paraId="4AA4F03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07630/INFOEM/IP/RR/2025</w:t>
            </w:r>
          </w:p>
        </w:tc>
        <w:tc>
          <w:tcPr>
            <w:tcW w:w="3969" w:type="dxa"/>
          </w:tcPr>
          <w:p w14:paraId="349FC6CB"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José Martínez Vilchis</w:t>
            </w:r>
          </w:p>
        </w:tc>
      </w:tr>
      <w:tr w:rsidR="00A00199" w:rsidRPr="0024420A" w14:paraId="116E9D9B" w14:textId="77777777">
        <w:trPr>
          <w:jc w:val="center"/>
        </w:trPr>
        <w:tc>
          <w:tcPr>
            <w:tcW w:w="3114" w:type="dxa"/>
          </w:tcPr>
          <w:p w14:paraId="66BCB308"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07631/INFOEM/IP/RR/2025</w:t>
            </w:r>
          </w:p>
        </w:tc>
        <w:tc>
          <w:tcPr>
            <w:tcW w:w="3969" w:type="dxa"/>
          </w:tcPr>
          <w:p w14:paraId="702D359C"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Luis Gustavo Parra Noriega</w:t>
            </w:r>
          </w:p>
        </w:tc>
      </w:tr>
      <w:tr w:rsidR="00A00199" w:rsidRPr="0024420A" w14:paraId="27FC5D33" w14:textId="77777777">
        <w:trPr>
          <w:jc w:val="center"/>
        </w:trPr>
        <w:tc>
          <w:tcPr>
            <w:tcW w:w="3114" w:type="dxa"/>
          </w:tcPr>
          <w:p w14:paraId="5BA10791"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07632/INFOEM/IP/RR/2025</w:t>
            </w:r>
          </w:p>
        </w:tc>
        <w:tc>
          <w:tcPr>
            <w:tcW w:w="3969" w:type="dxa"/>
          </w:tcPr>
          <w:p w14:paraId="4BAC31B9"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Sharon Cristina Morales Martínez</w:t>
            </w:r>
          </w:p>
        </w:tc>
      </w:tr>
      <w:tr w:rsidR="00A00199" w:rsidRPr="0024420A" w14:paraId="05B49422" w14:textId="77777777">
        <w:trPr>
          <w:jc w:val="center"/>
        </w:trPr>
        <w:tc>
          <w:tcPr>
            <w:tcW w:w="3114" w:type="dxa"/>
          </w:tcPr>
          <w:p w14:paraId="179042F3"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sz w:val="22"/>
                <w:szCs w:val="22"/>
              </w:rPr>
              <w:t>07633/INFOEM/IP/RR/2025</w:t>
            </w:r>
          </w:p>
        </w:tc>
        <w:tc>
          <w:tcPr>
            <w:tcW w:w="3969" w:type="dxa"/>
          </w:tcPr>
          <w:p w14:paraId="14651A74" w14:textId="77777777" w:rsidR="00A417C7" w:rsidRPr="0024420A" w:rsidRDefault="00D806BB">
            <w:pPr>
              <w:rPr>
                <w:rFonts w:ascii="Palatino Linotype" w:eastAsia="Palatino Linotype" w:hAnsi="Palatino Linotype" w:cs="Palatino Linotype"/>
                <w:b/>
              </w:rPr>
            </w:pPr>
            <w:r w:rsidRPr="0024420A">
              <w:rPr>
                <w:rFonts w:ascii="Palatino Linotype" w:eastAsia="Palatino Linotype" w:hAnsi="Palatino Linotype" w:cs="Palatino Linotype"/>
                <w:b/>
              </w:rPr>
              <w:t>María del Rosario Mejía Ayala</w:t>
            </w:r>
          </w:p>
        </w:tc>
      </w:tr>
    </w:tbl>
    <w:p w14:paraId="7BA39478"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lastRenderedPageBreak/>
        <w:t xml:space="preserve">5. Admisiones. </w:t>
      </w:r>
      <w:r w:rsidRPr="0024420A">
        <w:rPr>
          <w:rFonts w:ascii="Palatino Linotype" w:eastAsia="Palatino Linotype" w:hAnsi="Palatino Linotype" w:cs="Palatino Linotype"/>
          <w:sz w:val="22"/>
          <w:szCs w:val="22"/>
        </w:rPr>
        <w:t xml:space="preserve">El </w:t>
      </w:r>
      <w:r w:rsidRPr="0024420A">
        <w:rPr>
          <w:rFonts w:ascii="Palatino Linotype" w:eastAsia="Palatino Linotype" w:hAnsi="Palatino Linotype" w:cs="Palatino Linotype"/>
          <w:b/>
          <w:sz w:val="22"/>
          <w:szCs w:val="22"/>
        </w:rPr>
        <w:t xml:space="preserve">trece, dieciséis, diecisiete, veinte, veintitrés, veinticuatro, </w:t>
      </w:r>
      <w:proofErr w:type="gramStart"/>
      <w:r w:rsidRPr="0024420A">
        <w:rPr>
          <w:rFonts w:ascii="Palatino Linotype" w:eastAsia="Palatino Linotype" w:hAnsi="Palatino Linotype" w:cs="Palatino Linotype"/>
          <w:b/>
          <w:sz w:val="22"/>
          <w:szCs w:val="22"/>
        </w:rPr>
        <w:t>veinticinco,  veintiséis</w:t>
      </w:r>
      <w:proofErr w:type="gramEnd"/>
      <w:r w:rsidRPr="0024420A">
        <w:rPr>
          <w:rFonts w:ascii="Palatino Linotype" w:eastAsia="Palatino Linotype" w:hAnsi="Palatino Linotype" w:cs="Palatino Linotype"/>
          <w:b/>
          <w:sz w:val="22"/>
          <w:szCs w:val="22"/>
        </w:rPr>
        <w:t xml:space="preserve"> y treinta de junio de dos mil veinticinco,</w:t>
      </w:r>
      <w:r w:rsidRPr="0024420A">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4D83C1AB"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 xml:space="preserve">6. Manifestaciones e Informe Justificado. </w:t>
      </w:r>
      <w:r w:rsidRPr="0024420A">
        <w:rPr>
          <w:rFonts w:ascii="Palatino Linotype" w:eastAsia="Palatino Linotype" w:hAnsi="Palatino Linotype" w:cs="Palatino Linotype"/>
          <w:sz w:val="22"/>
          <w:szCs w:val="22"/>
        </w:rPr>
        <w:t>De las constancias que obran en los expedientes electrónicos del SAIMEX se desprende que el Sujeto Obligado rindió informes justificados, los cuales se pusieron a la vista el cinco de agosto de dos mil veinticinco, a través de los cuales, refiere que derivado de la cantidad de solicitudes que han recibido, se encuentran con una imposibilidad administrativa y humana, por lo que se pone a disposición del Recurrente la información requerida en consulta directa, en las oficinas ubicadas al interior de la Presidencia Municipal, en un horario de lunes a viernes de 9;00 a 18:00 en la Unidad de Transparencia.</w:t>
      </w:r>
    </w:p>
    <w:p w14:paraId="52A9A38C"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7.</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 xml:space="preserve">Acumulación de los recursos de revisión. </w:t>
      </w:r>
      <w:r w:rsidRPr="0024420A">
        <w:rPr>
          <w:rFonts w:ascii="Palatino Linotype" w:eastAsia="Palatino Linotype" w:hAnsi="Palatino Linotype" w:cs="Palatino Linotype"/>
          <w:sz w:val="22"/>
          <w:szCs w:val="22"/>
        </w:rPr>
        <w:t xml:space="preserve">El </w:t>
      </w:r>
      <w:r w:rsidRPr="0024420A">
        <w:rPr>
          <w:rFonts w:ascii="Palatino Linotype" w:eastAsia="Palatino Linotype" w:hAnsi="Palatino Linotype" w:cs="Palatino Linotype"/>
          <w:b/>
          <w:sz w:val="22"/>
          <w:szCs w:val="22"/>
        </w:rPr>
        <w:t>dieciocho de junio de dos mil veinticinco y tres de julio</w:t>
      </w:r>
      <w:r w:rsidRPr="0024420A">
        <w:rPr>
          <w:rFonts w:ascii="Palatino Linotype" w:eastAsia="Palatino Linotype" w:hAnsi="Palatino Linotype" w:cs="Palatino Linotype"/>
          <w:sz w:val="22"/>
          <w:szCs w:val="22"/>
        </w:rPr>
        <w:t xml:space="preserve"> del dos mil veinticinco al advertir la conexidad causa y con la </w:t>
      </w:r>
      <w:r w:rsidRPr="0024420A">
        <w:rPr>
          <w:rFonts w:ascii="Palatino Linotype" w:eastAsia="Palatino Linotype" w:hAnsi="Palatino Linotype" w:cs="Palatino Linotype"/>
          <w:b/>
          <w:sz w:val="22"/>
          <w:szCs w:val="22"/>
        </w:rPr>
        <w:t>f</w:t>
      </w:r>
      <w:r w:rsidRPr="0024420A">
        <w:rPr>
          <w:rFonts w:ascii="Palatino Linotype" w:eastAsia="Palatino Linotype" w:hAnsi="Palatino Linotype" w:cs="Palatino Linotype"/>
          <w:sz w:val="22"/>
          <w:szCs w:val="22"/>
        </w:rPr>
        <w:t>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w:t>
      </w:r>
    </w:p>
    <w:p w14:paraId="50F41750" w14:textId="77777777" w:rsidR="00A417C7" w:rsidRPr="0024420A" w:rsidRDefault="00D806BB">
      <w:pPr>
        <w:pBdr>
          <w:top w:val="nil"/>
          <w:left w:val="nil"/>
          <w:bottom w:val="nil"/>
          <w:right w:val="nil"/>
          <w:between w:val="nil"/>
        </w:pBdr>
        <w:spacing w:after="200"/>
        <w:ind w:left="567" w:right="900"/>
        <w:jc w:val="center"/>
        <w:rPr>
          <w:rFonts w:ascii="Palatino Linotype" w:eastAsia="Palatino Linotype" w:hAnsi="Palatino Linotype" w:cs="Palatino Linotype"/>
        </w:rPr>
      </w:pPr>
      <w:r w:rsidRPr="0024420A">
        <w:rPr>
          <w:rFonts w:ascii="Palatino Linotype" w:eastAsia="Palatino Linotype" w:hAnsi="Palatino Linotype" w:cs="Palatino Linotype"/>
          <w:b/>
          <w:i/>
          <w:sz w:val="22"/>
          <w:szCs w:val="22"/>
        </w:rPr>
        <w:t>Código de Procedimientos Administrativos del Estado de México</w:t>
      </w:r>
    </w:p>
    <w:p w14:paraId="3F2F2FA7" w14:textId="77777777" w:rsidR="00A417C7" w:rsidRPr="0024420A" w:rsidRDefault="00D806BB">
      <w:pPr>
        <w:pBdr>
          <w:top w:val="nil"/>
          <w:left w:val="nil"/>
          <w:bottom w:val="nil"/>
          <w:right w:val="nil"/>
          <w:between w:val="nil"/>
        </w:pBdr>
        <w:spacing w:after="200"/>
        <w:ind w:left="567" w:right="900"/>
        <w:jc w:val="both"/>
        <w:rPr>
          <w:rFonts w:ascii="Palatino Linotype" w:eastAsia="Palatino Linotype" w:hAnsi="Palatino Linotype" w:cs="Palatino Linotype"/>
        </w:rPr>
      </w:pPr>
      <w:r w:rsidRPr="0024420A">
        <w:rPr>
          <w:rFonts w:ascii="Palatino Linotype" w:eastAsia="Palatino Linotype" w:hAnsi="Palatino Linotype" w:cs="Palatino Linotype"/>
          <w:b/>
          <w:i/>
          <w:sz w:val="22"/>
          <w:szCs w:val="22"/>
        </w:rPr>
        <w:t>“Artículo 18.-</w:t>
      </w:r>
      <w:r w:rsidRPr="0024420A">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w:t>
      </w:r>
      <w:r w:rsidRPr="0024420A">
        <w:rPr>
          <w:rFonts w:ascii="Palatino Linotype" w:eastAsia="Palatino Linotype" w:hAnsi="Palatino Linotype" w:cs="Palatino Linotype"/>
          <w:b/>
          <w:i/>
          <w:sz w:val="22"/>
          <w:szCs w:val="22"/>
        </w:rPr>
        <w:t>resulte conveniente el trámite unificado de los asuntos, para evitar la emisión de resoluciones contradictorias</w:t>
      </w:r>
      <w:r w:rsidRPr="0024420A">
        <w:rPr>
          <w:rFonts w:ascii="Palatino Linotype" w:eastAsia="Palatino Linotype" w:hAnsi="Palatino Linotype" w:cs="Palatino Linotype"/>
          <w:i/>
          <w:sz w:val="22"/>
          <w:szCs w:val="22"/>
        </w:rPr>
        <w:t>. La misma regla se aplicará, en lo conducente, para la separación de los expedientes.”</w:t>
      </w:r>
    </w:p>
    <w:p w14:paraId="10440079" w14:textId="77777777" w:rsidR="00A417C7" w:rsidRPr="0024420A" w:rsidRDefault="00A417C7">
      <w:pPr>
        <w:ind w:left="567" w:right="900"/>
        <w:rPr>
          <w:rFonts w:ascii="Palatino Linotype" w:eastAsia="Palatino Linotype" w:hAnsi="Palatino Linotype" w:cs="Palatino Linotype"/>
        </w:rPr>
      </w:pPr>
    </w:p>
    <w:p w14:paraId="1BD2DD87" w14:textId="77777777" w:rsidR="00A417C7" w:rsidRPr="0024420A" w:rsidRDefault="00D806BB">
      <w:pPr>
        <w:pBdr>
          <w:top w:val="nil"/>
          <w:left w:val="nil"/>
          <w:bottom w:val="nil"/>
          <w:right w:val="nil"/>
          <w:between w:val="nil"/>
        </w:pBdr>
        <w:spacing w:after="200"/>
        <w:ind w:left="567" w:right="900"/>
        <w:jc w:val="center"/>
        <w:rPr>
          <w:rFonts w:ascii="Palatino Linotype" w:eastAsia="Palatino Linotype" w:hAnsi="Palatino Linotype" w:cs="Palatino Linotype"/>
        </w:rPr>
      </w:pPr>
      <w:r w:rsidRPr="0024420A">
        <w:rPr>
          <w:rFonts w:ascii="Palatino Linotype" w:eastAsia="Palatino Linotype" w:hAnsi="Palatino Linotype" w:cs="Palatino Linotype"/>
          <w:b/>
          <w:i/>
          <w:sz w:val="22"/>
          <w:szCs w:val="22"/>
        </w:rPr>
        <w:t>Ley de Transparencia y Acceso a la Información Pública del Estado de México y Municipios</w:t>
      </w:r>
    </w:p>
    <w:p w14:paraId="03894708" w14:textId="77777777" w:rsidR="00A417C7" w:rsidRPr="0024420A" w:rsidRDefault="00D806BB">
      <w:pPr>
        <w:pBdr>
          <w:top w:val="nil"/>
          <w:left w:val="nil"/>
          <w:bottom w:val="nil"/>
          <w:right w:val="nil"/>
          <w:between w:val="nil"/>
        </w:pBdr>
        <w:spacing w:after="200"/>
        <w:ind w:left="567" w:right="90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“Artículo 195.-</w:t>
      </w:r>
      <w:r w:rsidRPr="0024420A">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4476C038" w14:textId="77777777" w:rsidR="00A417C7" w:rsidRPr="0024420A" w:rsidRDefault="00A417C7">
      <w:pPr>
        <w:pBdr>
          <w:top w:val="nil"/>
          <w:left w:val="nil"/>
          <w:bottom w:val="nil"/>
          <w:right w:val="nil"/>
          <w:between w:val="nil"/>
        </w:pBdr>
        <w:spacing w:after="200"/>
        <w:ind w:left="567" w:right="900"/>
        <w:jc w:val="both"/>
        <w:rPr>
          <w:rFonts w:ascii="Palatino Linotype" w:eastAsia="Palatino Linotype" w:hAnsi="Palatino Linotype" w:cs="Palatino Linotype"/>
        </w:rPr>
      </w:pPr>
    </w:p>
    <w:p w14:paraId="1AB8F4AB" w14:textId="77777777" w:rsidR="00A417C7" w:rsidRPr="0024420A" w:rsidRDefault="00D806BB">
      <w:pPr>
        <w:widowControl w:val="0"/>
        <w:spacing w:after="240" w:line="360" w:lineRule="auto"/>
        <w:jc w:val="both"/>
        <w:rPr>
          <w:rFonts w:ascii="Palatino Linotype" w:eastAsia="Palatino Linotype" w:hAnsi="Palatino Linotype" w:cs="Palatino Linotype"/>
          <w:sz w:val="22"/>
          <w:szCs w:val="22"/>
        </w:rPr>
      </w:pPr>
      <w:bookmarkStart w:id="1" w:name="_heading=h.2nhiryku8cwk" w:colFirst="0" w:colLast="0"/>
      <w:bookmarkEnd w:id="1"/>
      <w:r w:rsidRPr="0024420A">
        <w:rPr>
          <w:rFonts w:ascii="Palatino Linotype" w:eastAsia="Palatino Linotype" w:hAnsi="Palatino Linotype" w:cs="Palatino Linotype"/>
          <w:b/>
          <w:sz w:val="22"/>
          <w:szCs w:val="22"/>
        </w:rPr>
        <w:t xml:space="preserve">8.  Cierres de instrucción. </w:t>
      </w:r>
      <w:r w:rsidRPr="0024420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el </w:t>
      </w:r>
      <w:r w:rsidRPr="0024420A">
        <w:rPr>
          <w:rFonts w:ascii="Palatino Linotype" w:eastAsia="Palatino Linotype" w:hAnsi="Palatino Linotype" w:cs="Palatino Linotype"/>
          <w:b/>
          <w:sz w:val="22"/>
          <w:szCs w:val="22"/>
        </w:rPr>
        <w:t>tres y siete y de julio y</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once de agosto de</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dos mil veinticinco</w:t>
      </w:r>
      <w:r w:rsidRPr="0024420A">
        <w:rPr>
          <w:rFonts w:ascii="Palatino Linotype" w:eastAsia="Palatino Linotype" w:hAnsi="Palatino Linotype" w:cs="Palatino Linotype"/>
          <w:sz w:val="22"/>
          <w:szCs w:val="22"/>
        </w:rPr>
        <w:t>, la Comisionada Ponente determinó los cierres de instrucción en términos de la fracción VI del artículo 185 de la Ley de Transparencia y Acceso a la Información Pública del Estado de México y Municipios.</w:t>
      </w:r>
    </w:p>
    <w:p w14:paraId="448F132C"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En razón de que fueron debidamente sustanciados los expedientes electrónicos y no existen diligencias pendientes de desahogo, se emite la Resolución que conforme a Derecho proceda, de acuerdo con los siguientes:   </w:t>
      </w:r>
    </w:p>
    <w:p w14:paraId="3FDF4AAA" w14:textId="77777777" w:rsidR="00A417C7" w:rsidRPr="0024420A" w:rsidRDefault="00D806BB">
      <w:pPr>
        <w:widowControl w:val="0"/>
        <w:spacing w:before="240" w:after="240" w:line="360" w:lineRule="auto"/>
        <w:jc w:val="center"/>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II. C O N S I D E R A N D O</w:t>
      </w:r>
    </w:p>
    <w:p w14:paraId="744020C4"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Primero. Competencia.</w:t>
      </w:r>
      <w:r w:rsidRPr="0024420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w:t>
      </w:r>
      <w:r w:rsidRPr="0024420A">
        <w:rPr>
          <w:rFonts w:ascii="Palatino Linotype" w:eastAsia="Palatino Linotype" w:hAnsi="Palatino Linotype" w:cs="Palatino Linotype"/>
          <w:b/>
          <w:sz w:val="22"/>
          <w:szCs w:val="22"/>
        </w:rPr>
        <w:t>la parte Recurrente</w:t>
      </w:r>
      <w:r w:rsidRPr="0024420A">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w:t>
      </w:r>
      <w:r w:rsidRPr="0024420A">
        <w:rPr>
          <w:rFonts w:ascii="Palatino Linotype" w:eastAsia="Palatino Linotype" w:hAnsi="Palatino Linotype" w:cs="Palatino Linotype"/>
          <w:sz w:val="22"/>
          <w:szCs w:val="22"/>
        </w:rPr>
        <w:lastRenderedPageBreak/>
        <w:t>Acceso a la Información Pública y Protección de Datos Personales del Estado de México y Municipios.</w:t>
      </w:r>
    </w:p>
    <w:p w14:paraId="5B35E435" w14:textId="77777777" w:rsidR="00A417C7" w:rsidRPr="0024420A" w:rsidRDefault="00D806BB">
      <w:pPr>
        <w:spacing w:line="360" w:lineRule="auto"/>
        <w:jc w:val="both"/>
        <w:rPr>
          <w:rFonts w:ascii="Palatino Linotype" w:eastAsia="Palatino Linotype" w:hAnsi="Palatino Linotype" w:cs="Palatino Linotype"/>
          <w:sz w:val="22"/>
          <w:szCs w:val="22"/>
        </w:rPr>
      </w:pPr>
      <w:bookmarkStart w:id="2" w:name="_heading=h.30j0zll" w:colFirst="0" w:colLast="0"/>
      <w:bookmarkEnd w:id="2"/>
      <w:r w:rsidRPr="0024420A">
        <w:rPr>
          <w:rFonts w:ascii="Palatino Linotype" w:eastAsia="Palatino Linotype" w:hAnsi="Palatino Linotype" w:cs="Palatino Linotype"/>
          <w:b/>
          <w:sz w:val="22"/>
          <w:szCs w:val="22"/>
        </w:rPr>
        <w:t xml:space="preserve">Segundo. Oportunidad y Procedibilidad del Recurso de Revisión. </w:t>
      </w:r>
      <w:r w:rsidRPr="0024420A">
        <w:rPr>
          <w:rFonts w:ascii="Palatino Linotype" w:eastAsia="Palatino Linotype" w:hAnsi="Palatino Linotype" w:cs="Palatino Linotype"/>
          <w:sz w:val="22"/>
          <w:szCs w:val="22"/>
        </w:rPr>
        <w:t>Por cuanto hace a la oportunidad del recurso de revisión</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3D809966"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0989B739"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Derivado de lo anterior, se constituye la figura jurídica de la </w:t>
      </w:r>
      <w:r w:rsidRPr="0024420A">
        <w:rPr>
          <w:rFonts w:ascii="Palatino Linotype" w:eastAsia="Palatino Linotype" w:hAnsi="Palatino Linotype" w:cs="Palatino Linotype"/>
          <w:b/>
          <w:sz w:val="22"/>
          <w:szCs w:val="22"/>
        </w:rPr>
        <w:t>NEGATIVA FICTA</w:t>
      </w:r>
      <w:r w:rsidRPr="0024420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346BF08"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4C1B47A9"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De tal manera, en el presente recurso de revisión se actualizó la negativa ficta por parte del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xml:space="preserve"> al no haber respondido a la parte </w:t>
      </w:r>
      <w:r w:rsidRPr="0024420A">
        <w:rPr>
          <w:rFonts w:ascii="Palatino Linotype" w:eastAsia="Palatino Linotype" w:hAnsi="Palatino Linotype" w:cs="Palatino Linotype"/>
          <w:b/>
          <w:sz w:val="22"/>
          <w:szCs w:val="22"/>
        </w:rPr>
        <w:t>RECURRENTE</w:t>
      </w:r>
      <w:r w:rsidRPr="0024420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4D98E940"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7E391855"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lastRenderedPageBreak/>
        <w:t>Si a ello se le suma lo previsto en el párrafo segundo del artículo 178, párrafo segundo</w:t>
      </w:r>
      <w:r w:rsidRPr="0024420A">
        <w:rPr>
          <w:rFonts w:ascii="Palatino Linotype" w:eastAsia="Palatino Linotype" w:hAnsi="Palatino Linotype" w:cs="Palatino Linotype"/>
          <w:sz w:val="22"/>
          <w:szCs w:val="22"/>
          <w:vertAlign w:val="superscript"/>
        </w:rPr>
        <w:footnoteReference w:id="1"/>
      </w:r>
      <w:r w:rsidRPr="0024420A">
        <w:rPr>
          <w:rFonts w:ascii="Palatino Linotype" w:eastAsia="Palatino Linotype" w:hAnsi="Palatino Linotype" w:cs="Palatino Linotype"/>
          <w:sz w:val="22"/>
          <w:szCs w:val="22"/>
        </w:rPr>
        <w:t xml:space="preserve"> de la Ley de Transparencia y Acceso a la Información Pública vigente en la entidad.</w:t>
      </w:r>
    </w:p>
    <w:p w14:paraId="6F677E25"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705F48A6"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2730836" w14:textId="77777777" w:rsidR="00A417C7" w:rsidRPr="0024420A" w:rsidRDefault="00A417C7">
      <w:pPr>
        <w:spacing w:line="360" w:lineRule="auto"/>
        <w:jc w:val="both"/>
        <w:rPr>
          <w:rFonts w:ascii="Palatino Linotype" w:eastAsia="Palatino Linotype" w:hAnsi="Palatino Linotype" w:cs="Palatino Linotype"/>
          <w:i/>
          <w:sz w:val="22"/>
          <w:szCs w:val="22"/>
        </w:rPr>
      </w:pPr>
    </w:p>
    <w:p w14:paraId="620EB57D" w14:textId="77777777" w:rsidR="00A417C7" w:rsidRPr="0024420A" w:rsidRDefault="00D806BB">
      <w:pPr>
        <w:ind w:left="567" w:right="616"/>
        <w:jc w:val="both"/>
        <w:rPr>
          <w:rFonts w:ascii="Palatino Linotype" w:eastAsia="Palatino Linotype" w:hAnsi="Palatino Linotype" w:cs="Palatino Linotype"/>
          <w:b/>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CRITERIO 0001-15 NEGATIVA FICTA. PLAZO PARA INTERPONER EL RECURSO DE REVISIÓN TRATÁNDOSE DE</w:t>
      </w:r>
      <w:r w:rsidRPr="0024420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9556D40" w14:textId="77777777" w:rsidR="00A417C7" w:rsidRPr="0024420A" w:rsidRDefault="00A417C7">
      <w:pPr>
        <w:ind w:left="567" w:right="851"/>
        <w:jc w:val="both"/>
        <w:rPr>
          <w:rFonts w:ascii="Palatino Linotype" w:eastAsia="Palatino Linotype" w:hAnsi="Palatino Linotype" w:cs="Palatino Linotype"/>
          <w:i/>
          <w:sz w:val="22"/>
          <w:szCs w:val="22"/>
        </w:rPr>
      </w:pPr>
    </w:p>
    <w:p w14:paraId="0D4D1F39" w14:textId="77777777" w:rsidR="00A417C7" w:rsidRPr="0024420A" w:rsidRDefault="00D806BB">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4420A">
        <w:rPr>
          <w:rFonts w:ascii="Palatino Linotype" w:eastAsia="Palatino Linotype" w:hAnsi="Palatino Linotype" w:cs="Palatino Linotype"/>
          <w:b/>
          <w:sz w:val="22"/>
          <w:szCs w:val="22"/>
        </w:rPr>
        <w:t>EL</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SAIMEX</w:t>
      </w:r>
      <w:r w:rsidRPr="0024420A">
        <w:rPr>
          <w:rFonts w:ascii="Palatino Linotype" w:eastAsia="Palatino Linotype" w:hAnsi="Palatino Linotype" w:cs="Palatino Linotype"/>
          <w:sz w:val="22"/>
          <w:szCs w:val="22"/>
        </w:rPr>
        <w:t>.</w:t>
      </w:r>
    </w:p>
    <w:p w14:paraId="62B3818E"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24420A">
        <w:rPr>
          <w:rFonts w:ascii="Palatino Linotype" w:eastAsia="Palatino Linotype" w:hAnsi="Palatino Linotype" w:cs="Palatino Linotype"/>
          <w:b/>
          <w:sz w:val="22"/>
          <w:szCs w:val="22"/>
        </w:rPr>
        <w:t>RECURRENTE</w:t>
      </w:r>
      <w:r w:rsidRPr="0024420A">
        <w:rPr>
          <w:rFonts w:ascii="Palatino Linotype" w:eastAsia="Palatino Linotype" w:hAnsi="Palatino Linotype" w:cs="Palatino Linotype"/>
          <w:sz w:val="22"/>
          <w:szCs w:val="22"/>
        </w:rPr>
        <w:t>, no proporcionó su nombre</w:t>
      </w:r>
      <w:r w:rsidRPr="0024420A">
        <w:rPr>
          <w:rFonts w:ascii="Palatino Linotype" w:eastAsia="Palatino Linotype" w:hAnsi="Palatino Linotype" w:cs="Palatino Linotype"/>
          <w:b/>
          <w:sz w:val="22"/>
          <w:szCs w:val="22"/>
        </w:rPr>
        <w:t>,</w:t>
      </w:r>
      <w:r w:rsidRPr="0024420A">
        <w:rPr>
          <w:rFonts w:ascii="Palatino Linotype" w:eastAsia="Palatino Linotype" w:hAnsi="Palatino Linotype" w:cs="Palatino Linotype"/>
          <w:sz w:val="22"/>
          <w:szCs w:val="22"/>
        </w:rPr>
        <w:t xml:space="preserve"> como se advierte en el detalle de seguimiento del SAIMEX, no obstante el no proporcionar nombre</w:t>
      </w:r>
      <w:r w:rsidRPr="0024420A">
        <w:rPr>
          <w:rFonts w:ascii="Palatino Linotype" w:eastAsia="Palatino Linotype" w:hAnsi="Palatino Linotype" w:cs="Palatino Linotype"/>
          <w:strike/>
          <w:sz w:val="22"/>
          <w:szCs w:val="22"/>
        </w:rPr>
        <w:t xml:space="preserve"> </w:t>
      </w:r>
      <w:r w:rsidRPr="0024420A">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B7E191A" w14:textId="77777777" w:rsidR="00A417C7" w:rsidRPr="0024420A" w:rsidRDefault="00D806BB">
      <w:pPr>
        <w:spacing w:before="240" w:after="240"/>
        <w:ind w:left="851" w:right="902"/>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 xml:space="preserve">Las solicitudes </w:t>
      </w:r>
      <w:r w:rsidRPr="0024420A">
        <w:rPr>
          <w:rFonts w:ascii="Palatino Linotype" w:eastAsia="Palatino Linotype" w:hAnsi="Palatino Linotype" w:cs="Palatino Linotype"/>
          <w:i/>
          <w:sz w:val="22"/>
          <w:szCs w:val="22"/>
        </w:rPr>
        <w:t xml:space="preserve">anónimas, con </w:t>
      </w:r>
      <w:r w:rsidRPr="0024420A">
        <w:rPr>
          <w:rFonts w:ascii="Palatino Linotype" w:eastAsia="Palatino Linotype" w:hAnsi="Palatino Linotype" w:cs="Palatino Linotype"/>
          <w:b/>
          <w:i/>
          <w:sz w:val="22"/>
          <w:szCs w:val="22"/>
        </w:rPr>
        <w:t>nombre incompleto o seudónimo</w:t>
      </w:r>
      <w:r w:rsidRPr="0024420A">
        <w:rPr>
          <w:rFonts w:ascii="Palatino Linotype" w:eastAsia="Palatino Linotype" w:hAnsi="Palatino Linotype" w:cs="Palatino Linotype"/>
          <w:i/>
          <w:sz w:val="22"/>
          <w:szCs w:val="22"/>
        </w:rPr>
        <w:t xml:space="preserve"> </w:t>
      </w:r>
      <w:r w:rsidRPr="0024420A">
        <w:rPr>
          <w:rFonts w:ascii="Palatino Linotype" w:eastAsia="Palatino Linotype" w:hAnsi="Palatino Linotype" w:cs="Palatino Linotype"/>
          <w:b/>
          <w:i/>
          <w:sz w:val="22"/>
          <w:szCs w:val="22"/>
        </w:rPr>
        <w:t>serán procedentes para su trámite por parte del sujeto obligado ante quien se presente</w:t>
      </w:r>
      <w:r w:rsidRPr="0024420A">
        <w:rPr>
          <w:rFonts w:ascii="Palatino Linotype" w:eastAsia="Palatino Linotype" w:hAnsi="Palatino Linotype" w:cs="Palatino Linotype"/>
          <w:i/>
          <w:sz w:val="22"/>
          <w:szCs w:val="22"/>
        </w:rPr>
        <w:t>. No podrá requerirse información adicional con motivo del nombre proporcionado por el solicitante."(Sic)</w:t>
      </w:r>
    </w:p>
    <w:p w14:paraId="4F95BF3B" w14:textId="77777777" w:rsidR="00A417C7" w:rsidRPr="0024420A" w:rsidRDefault="00D806BB">
      <w:pPr>
        <w:spacing w:before="240" w:after="240"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ED60A88"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4420A">
        <w:rPr>
          <w:rFonts w:ascii="Palatino Linotype" w:eastAsia="Palatino Linotype" w:hAnsi="Palatino Linotype" w:cs="Palatino Linotype"/>
          <w:b/>
          <w:sz w:val="22"/>
          <w:szCs w:val="22"/>
        </w:rPr>
        <w:t>RECURRENTE</w:t>
      </w:r>
      <w:r w:rsidRPr="0024420A">
        <w:rPr>
          <w:rFonts w:ascii="Palatino Linotype" w:eastAsia="Palatino Linotype" w:hAnsi="Palatino Linotype" w:cs="Palatino Linotype"/>
          <w:sz w:val="22"/>
          <w:szCs w:val="22"/>
        </w:rPr>
        <w:t>, en términos del artículo 179, fracción VII del ordenamiento legal de la materia, que a la letra dice:</w:t>
      </w:r>
    </w:p>
    <w:p w14:paraId="345EE3EA"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375A600D" w14:textId="77777777" w:rsidR="00A417C7" w:rsidRPr="0024420A" w:rsidRDefault="00D806BB">
      <w:pPr>
        <w:ind w:left="567" w:right="616"/>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i/>
          <w:sz w:val="22"/>
          <w:szCs w:val="22"/>
        </w:rPr>
        <w:lastRenderedPageBreak/>
        <w:t>“</w:t>
      </w:r>
      <w:r w:rsidRPr="0024420A">
        <w:rPr>
          <w:rFonts w:ascii="Palatino Linotype" w:eastAsia="Palatino Linotype" w:hAnsi="Palatino Linotype" w:cs="Palatino Linotype"/>
          <w:b/>
          <w:sz w:val="22"/>
          <w:szCs w:val="22"/>
        </w:rPr>
        <w:t>Artículo 179.</w:t>
      </w:r>
      <w:r w:rsidRPr="0024420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4420A">
        <w:rPr>
          <w:rFonts w:ascii="Palatino Linotype" w:eastAsia="Palatino Linotype" w:hAnsi="Palatino Linotype" w:cs="Palatino Linotype"/>
          <w:sz w:val="22"/>
          <w:szCs w:val="22"/>
        </w:rPr>
        <w:t> </w:t>
      </w:r>
    </w:p>
    <w:p w14:paraId="2123969C" w14:textId="77777777" w:rsidR="00A417C7" w:rsidRPr="0024420A" w:rsidRDefault="00D806BB">
      <w:pPr>
        <w:ind w:left="567" w:right="616"/>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w:t>
      </w:r>
    </w:p>
    <w:p w14:paraId="6D55A7E0" w14:textId="77777777" w:rsidR="00A417C7" w:rsidRPr="0024420A" w:rsidRDefault="00D806BB">
      <w:pPr>
        <w:numPr>
          <w:ilvl w:val="0"/>
          <w:numId w:val="2"/>
        </w:numPr>
        <w:ind w:left="567" w:right="616" w:firstLine="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La falta de respuesta a una solicitud de acceso a la información…</w:t>
      </w:r>
    </w:p>
    <w:p w14:paraId="0A1627FA" w14:textId="77777777" w:rsidR="00A417C7" w:rsidRPr="0024420A" w:rsidRDefault="00A417C7">
      <w:pPr>
        <w:tabs>
          <w:tab w:val="left" w:pos="8647"/>
        </w:tabs>
        <w:spacing w:line="360" w:lineRule="auto"/>
        <w:jc w:val="both"/>
        <w:rPr>
          <w:rFonts w:ascii="Palatino Linotype" w:eastAsia="Palatino Linotype" w:hAnsi="Palatino Linotype" w:cs="Palatino Linotype"/>
          <w:b/>
          <w:sz w:val="22"/>
          <w:szCs w:val="22"/>
        </w:rPr>
      </w:pPr>
    </w:p>
    <w:p w14:paraId="0F084F01" w14:textId="77777777" w:rsidR="00A417C7" w:rsidRPr="0024420A" w:rsidRDefault="00D806BB">
      <w:pPr>
        <w:tabs>
          <w:tab w:val="left" w:pos="8647"/>
        </w:tabs>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 xml:space="preserve">Tercero. Materia de la revisión. </w:t>
      </w:r>
      <w:r w:rsidRPr="0024420A">
        <w:rPr>
          <w:rFonts w:ascii="Palatino Linotype" w:eastAsia="Palatino Linotype" w:hAnsi="Palatino Linotype" w:cs="Palatino Linotype"/>
          <w:sz w:val="22"/>
          <w:szCs w:val="22"/>
        </w:rPr>
        <w:t xml:space="preserve">Este Organismo Garante procede del análisis de los agravios hechos valer por la parte </w:t>
      </w:r>
      <w:r w:rsidRPr="0024420A">
        <w:rPr>
          <w:rFonts w:ascii="Palatino Linotype" w:eastAsia="Palatino Linotype" w:hAnsi="Palatino Linotype" w:cs="Palatino Linotype"/>
          <w:b/>
          <w:sz w:val="22"/>
          <w:szCs w:val="22"/>
        </w:rPr>
        <w:t>Recurrente</w:t>
      </w:r>
      <w:r w:rsidRPr="0024420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CCBA125" w14:textId="77777777" w:rsidR="00A417C7" w:rsidRPr="0024420A" w:rsidRDefault="00A417C7">
      <w:pPr>
        <w:tabs>
          <w:tab w:val="left" w:pos="8647"/>
        </w:tabs>
        <w:spacing w:line="360" w:lineRule="auto"/>
        <w:jc w:val="both"/>
        <w:rPr>
          <w:rFonts w:ascii="Palatino Linotype" w:eastAsia="Palatino Linotype" w:hAnsi="Palatino Linotype" w:cs="Palatino Linotype"/>
          <w:sz w:val="22"/>
          <w:szCs w:val="22"/>
        </w:rPr>
      </w:pPr>
    </w:p>
    <w:p w14:paraId="3AF1E2BB"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 xml:space="preserve">Cuarto. Estudio del asunto. </w:t>
      </w:r>
      <w:r w:rsidRPr="0024420A">
        <w:rPr>
          <w:rFonts w:ascii="Palatino Linotype" w:eastAsia="Palatino Linotype" w:hAnsi="Palatino Linotype" w:cs="Palatino Linotype"/>
          <w:sz w:val="22"/>
          <w:szCs w:val="22"/>
        </w:rPr>
        <w:t xml:space="preserve">Una vez determinada la vía sobre la que versará el presente recurso, y previa revisión de los expedientes de los recursos de revisión materia de la presente resolución, se advierte que el </w:t>
      </w:r>
      <w:r w:rsidRPr="0024420A">
        <w:rPr>
          <w:rFonts w:ascii="Palatino Linotype" w:eastAsia="Palatino Linotype" w:hAnsi="Palatino Linotype" w:cs="Palatino Linotype"/>
          <w:b/>
          <w:sz w:val="22"/>
          <w:szCs w:val="22"/>
        </w:rPr>
        <w:t xml:space="preserve">Sujeto Obligado </w:t>
      </w:r>
      <w:r w:rsidRPr="0024420A">
        <w:rPr>
          <w:rFonts w:ascii="Palatino Linotype" w:eastAsia="Palatino Linotype" w:hAnsi="Palatino Linotype" w:cs="Palatino Linotype"/>
          <w:sz w:val="22"/>
          <w:szCs w:val="22"/>
        </w:rPr>
        <w:t xml:space="preserve">no dio respuestas a las solicitudes de información planteadas por la parte </w:t>
      </w:r>
      <w:r w:rsidRPr="0024420A">
        <w:rPr>
          <w:rFonts w:ascii="Palatino Linotype" w:eastAsia="Palatino Linotype" w:hAnsi="Palatino Linotype" w:cs="Palatino Linotype"/>
          <w:b/>
          <w:sz w:val="22"/>
          <w:szCs w:val="22"/>
        </w:rPr>
        <w:t>Recurrente</w:t>
      </w:r>
      <w:r w:rsidRPr="0024420A">
        <w:rPr>
          <w:rFonts w:ascii="Palatino Linotype" w:eastAsia="Palatino Linotype" w:hAnsi="Palatino Linotype" w:cs="Palatino Linotype"/>
          <w:sz w:val="22"/>
          <w:szCs w:val="22"/>
        </w:rPr>
        <w:t xml:space="preserve">, lo que se traduce como la configuración de la </w:t>
      </w:r>
      <w:r w:rsidRPr="0024420A">
        <w:rPr>
          <w:rFonts w:ascii="Palatino Linotype" w:eastAsia="Palatino Linotype" w:hAnsi="Palatino Linotype" w:cs="Palatino Linotype"/>
          <w:b/>
          <w:sz w:val="22"/>
          <w:szCs w:val="22"/>
        </w:rPr>
        <w:t>negativa ficta</w:t>
      </w:r>
      <w:r w:rsidRPr="0024420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xml:space="preserve"> no emitió respuestas a la solicitudes de información, dentro de los plazos legalmente previstos para ello.</w:t>
      </w:r>
    </w:p>
    <w:p w14:paraId="6C93F50D"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032CDAC1"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las solicitudes formuladas por la parte </w:t>
      </w:r>
      <w:r w:rsidRPr="0024420A">
        <w:rPr>
          <w:rFonts w:ascii="Palatino Linotype" w:eastAsia="Palatino Linotype" w:hAnsi="Palatino Linotype" w:cs="Palatino Linotype"/>
          <w:b/>
          <w:sz w:val="22"/>
          <w:szCs w:val="22"/>
        </w:rPr>
        <w:t>Recurrente</w:t>
      </w:r>
      <w:r w:rsidRPr="0024420A">
        <w:rPr>
          <w:rFonts w:ascii="Palatino Linotype" w:eastAsia="Palatino Linotype" w:hAnsi="Palatino Linotype" w:cs="Palatino Linotype"/>
          <w:sz w:val="22"/>
          <w:szCs w:val="22"/>
        </w:rPr>
        <w:t xml:space="preserve">, se advierte que requirió al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xml:space="preserve"> le proporcionara, información consistente en lo siguiente:</w:t>
      </w:r>
    </w:p>
    <w:p w14:paraId="6AD0C84C" w14:textId="77777777" w:rsidR="00A417C7" w:rsidRPr="0024420A" w:rsidRDefault="00D806BB">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Egresos de enero, febrero y marzo 2025</w:t>
      </w:r>
    </w:p>
    <w:p w14:paraId="66A0EF90"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Egresos con su soporte documental de enero a diciembre de 2022 y 2021.</w:t>
      </w:r>
    </w:p>
    <w:p w14:paraId="47136411"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lastRenderedPageBreak/>
        <w:t>Pólizas de ingresos de enero, febrero y marzo de 2023 y 2025.</w:t>
      </w:r>
    </w:p>
    <w:p w14:paraId="4DF2CA93"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Ingresos con su soporte documental de enero a diciembre de 2022</w:t>
      </w:r>
    </w:p>
    <w:p w14:paraId="7652408A"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Ingresos con soporte documental de enero, febrero, marzo, abril, mayo, agosto, octubre y diciembre 2021</w:t>
      </w:r>
    </w:p>
    <w:p w14:paraId="4C82F7DA"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cheques de enero, febrero y marzo 2025.</w:t>
      </w:r>
    </w:p>
    <w:p w14:paraId="576B3AA3"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cheques con soporte documental de enero a diciembre de 2021 y 2022</w:t>
      </w:r>
    </w:p>
    <w:p w14:paraId="47B57441" w14:textId="77777777" w:rsidR="00A417C7" w:rsidRPr="0024420A" w:rsidRDefault="00D806B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cheques con soporte documental de enero, febrero y de abril a diciembre de 2020.</w:t>
      </w:r>
    </w:p>
    <w:p w14:paraId="1739B0D1"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El Sujeto Obligado fue omiso en dar respuesta a las solicitudes de acceso a la información pública; sin embargo, a través de los informes justificados, refirió que derivado del gran número de solicitudes de acceso a la información y recursos de revisión que han recibido, se encuentran con una imposibilidad humana y administrativa, por lo que se pone a disposición del Recurrente en consulta directa.</w:t>
      </w:r>
    </w:p>
    <w:p w14:paraId="1B40F52E"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Si bien, el Sujeto Obligado no negó contar con la información, sino por el contrario, asumió que la genera, posee y administra, al señalar que la misma será proporcionada en consulta directa; sin embargo, a efecto de robustecer la fuente obligacional del Sujeto Obligado, es necesario mencionar que la definición de </w:t>
      </w:r>
      <w:r w:rsidRPr="0024420A">
        <w:rPr>
          <w:rFonts w:ascii="Palatino Linotype" w:eastAsia="Palatino Linotype" w:hAnsi="Palatino Linotype" w:cs="Palatino Linotype"/>
          <w:i/>
          <w:sz w:val="22"/>
          <w:szCs w:val="22"/>
        </w:rPr>
        <w:t>póliza contable</w:t>
      </w:r>
      <w:r w:rsidRPr="0024420A">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260AA27B" w14:textId="77777777" w:rsidR="00A417C7" w:rsidRPr="0024420A" w:rsidRDefault="00A417C7">
      <w:pPr>
        <w:ind w:left="851" w:right="902"/>
        <w:jc w:val="both"/>
        <w:rPr>
          <w:rFonts w:ascii="Palatino Linotype" w:eastAsia="Palatino Linotype" w:hAnsi="Palatino Linotype" w:cs="Palatino Linotype"/>
          <w:i/>
          <w:sz w:val="22"/>
          <w:szCs w:val="22"/>
        </w:rPr>
      </w:pPr>
    </w:p>
    <w:p w14:paraId="01080814" w14:textId="77777777" w:rsidR="00A417C7" w:rsidRPr="0024420A" w:rsidRDefault="00D806BB">
      <w:pPr>
        <w:ind w:left="851" w:right="616"/>
        <w:jc w:val="both"/>
        <w:rPr>
          <w:rFonts w:ascii="Palatino Linotype" w:eastAsia="Palatino Linotype" w:hAnsi="Palatino Linotype" w:cs="Palatino Linotype"/>
          <w:b/>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PÓLIZA CONTABLE</w:t>
      </w:r>
    </w:p>
    <w:p w14:paraId="2C2A8E01" w14:textId="77777777" w:rsidR="00A417C7" w:rsidRPr="0024420A" w:rsidRDefault="00D806BB">
      <w:pPr>
        <w:ind w:left="851" w:right="616"/>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779692AE" w14:textId="77777777" w:rsidR="00A417C7" w:rsidRPr="0024420A" w:rsidRDefault="00A417C7">
      <w:pPr>
        <w:spacing w:after="120"/>
        <w:ind w:left="851" w:right="899"/>
        <w:jc w:val="both"/>
        <w:rPr>
          <w:rFonts w:ascii="Palatino Linotype" w:eastAsia="Palatino Linotype" w:hAnsi="Palatino Linotype" w:cs="Palatino Linotype"/>
          <w:i/>
          <w:sz w:val="22"/>
          <w:szCs w:val="22"/>
        </w:rPr>
      </w:pPr>
    </w:p>
    <w:p w14:paraId="66860C24" w14:textId="77777777" w:rsidR="00A417C7" w:rsidRPr="0024420A" w:rsidRDefault="00D806BB">
      <w:pPr>
        <w:spacing w:before="12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lastRenderedPageBreak/>
        <w:t xml:space="preserve">Así, se advierte que la </w:t>
      </w:r>
      <w:r w:rsidRPr="0024420A">
        <w:rPr>
          <w:rFonts w:ascii="Palatino Linotype" w:eastAsia="Palatino Linotype" w:hAnsi="Palatino Linotype" w:cs="Palatino Linotype"/>
          <w:i/>
          <w:sz w:val="22"/>
          <w:szCs w:val="22"/>
        </w:rPr>
        <w:t>póliza contable</w:t>
      </w:r>
      <w:r w:rsidRPr="0024420A">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 </w:t>
      </w:r>
    </w:p>
    <w:p w14:paraId="3F8CAB1A"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128CDF1D"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llamadas </w:t>
      </w:r>
      <w:r w:rsidRPr="0024420A">
        <w:rPr>
          <w:rFonts w:ascii="Palatino Linotype" w:eastAsia="Palatino Linotype" w:hAnsi="Palatino Linotype" w:cs="Palatino Linotype"/>
          <w:b/>
          <w:i/>
          <w:sz w:val="22"/>
          <w:szCs w:val="22"/>
        </w:rPr>
        <w:t>pólizas, tanto de ingresos, de egresos y de cheques</w:t>
      </w:r>
      <w:r w:rsidRPr="0024420A">
        <w:rPr>
          <w:rFonts w:ascii="Palatino Linotype" w:eastAsia="Palatino Linotype" w:hAnsi="Palatino Linotype" w:cs="Palatino Linotype"/>
          <w:sz w:val="22"/>
          <w:szCs w:val="22"/>
        </w:rPr>
        <w:t>, son aquellas en las cuales se anotan diariamente las operaciones que representan ingresos y egresos, es decir, salidas de dinero para el</w:t>
      </w:r>
      <w:r w:rsidRPr="0024420A">
        <w:rPr>
          <w:rFonts w:ascii="Palatino Linotype" w:eastAsia="Palatino Linotype" w:hAnsi="Palatino Linotype" w:cs="Palatino Linotype"/>
          <w:b/>
          <w:sz w:val="22"/>
          <w:szCs w:val="22"/>
        </w:rPr>
        <w:t xml:space="preserve"> Sujeto Obligado</w:t>
      </w:r>
      <w:r w:rsidRPr="0024420A">
        <w:rPr>
          <w:rFonts w:ascii="Palatino Linotype" w:eastAsia="Palatino Linotype" w:hAnsi="Palatino Linotype" w:cs="Palatino Linotype"/>
          <w:sz w:val="22"/>
          <w:szCs w:val="22"/>
        </w:rPr>
        <w:t xml:space="preserve">, las que, además, </w:t>
      </w:r>
      <w:r w:rsidRPr="0024420A">
        <w:rPr>
          <w:rFonts w:ascii="Palatino Linotype" w:eastAsia="Palatino Linotype" w:hAnsi="Palatino Linotype" w:cs="Palatino Linotype"/>
          <w:b/>
          <w:sz w:val="22"/>
          <w:szCs w:val="22"/>
        </w:rPr>
        <w:t>deben encontrarse acompañadas de las documentales que sirven de soporte de dicho movimiento</w:t>
      </w:r>
      <w:r w:rsidRPr="0024420A">
        <w:rPr>
          <w:rFonts w:ascii="Palatino Linotype" w:eastAsia="Palatino Linotype" w:hAnsi="Palatino Linotype" w:cs="Palatino Linotype"/>
          <w:sz w:val="22"/>
          <w:szCs w:val="22"/>
        </w:rPr>
        <w:t xml:space="preserve">, además de que las pólizas contables deben ser integradas por el soporte documental del gasto efectuado, como es la suficiencia y la requisición. </w:t>
      </w:r>
    </w:p>
    <w:p w14:paraId="415806C5"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690885FC"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En esta tesitura, los a manera de ejemplo, los “Lineamientos para la integración y entrega del Informe Trimestral Municipal 2024”, emitidos por el Órgano Superior de Fiscalización del Estado de México, OSFEM, establecen los criterios, formatos y documentación necesaria para presentar los informes trimestrales por parte de los entes fiscalizables, integrando la información en cuatro Módulos, advirtiendo que el Módulo 1 cuenta con el submódulo “Pólizas”, mismo que contempla las pólizas de egresos con los respectivos documentos comprobatorios, información que se debe grabar en discos compactos, cada uno con un mes del trimestre, tal y como se muestra a continuación: </w:t>
      </w:r>
    </w:p>
    <w:p w14:paraId="07090D43"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014E685C"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noProof/>
          <w:sz w:val="22"/>
          <w:szCs w:val="22"/>
        </w:rPr>
        <w:lastRenderedPageBreak/>
        <w:drawing>
          <wp:inline distT="0" distB="0" distL="0" distR="0" wp14:anchorId="498FD954" wp14:editId="2E914774">
            <wp:extent cx="5612130" cy="2348865"/>
            <wp:effectExtent l="0" t="0" r="0" b="0"/>
            <wp:docPr id="3260217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2348865"/>
                    </a:xfrm>
                    <a:prstGeom prst="rect">
                      <a:avLst/>
                    </a:prstGeom>
                    <a:ln/>
                  </pic:spPr>
                </pic:pic>
              </a:graphicData>
            </a:graphic>
          </wp:inline>
        </w:drawing>
      </w:r>
    </w:p>
    <w:p w14:paraId="38063A8F" w14:textId="77777777" w:rsidR="00A417C7" w:rsidRPr="0024420A" w:rsidRDefault="00A417C7">
      <w:pPr>
        <w:spacing w:line="360" w:lineRule="auto"/>
        <w:jc w:val="center"/>
        <w:rPr>
          <w:rFonts w:ascii="Palatino Linotype" w:eastAsia="Palatino Linotype" w:hAnsi="Palatino Linotype" w:cs="Palatino Linotype"/>
          <w:sz w:val="22"/>
          <w:szCs w:val="22"/>
        </w:rPr>
      </w:pPr>
    </w:p>
    <w:p w14:paraId="62014F13" w14:textId="77777777" w:rsidR="00A417C7" w:rsidRPr="0024420A" w:rsidRDefault="00D806B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De lo anterior se advierte primeramente que el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xml:space="preserve"> cuenta con atribuciones para generar, poseer y/o administrar la información solicitada, toda vez que son documentos que el Ayuntamiento genera en el ejercicio de sus atribuciones, ya que las pólizas de ingresos, egresos y de cheques dan cuenta de las operaciones contables en las que se produzca una entrada y salida de efectivo o erogaciones, mismas que deben de acompañarse de sus documentos comprobatorios, es decir, las facturas, sobre este término, se encuentra definido en el Glosario de Términos Hacendarios que emite el Instituto Hacendario del Estado de México, como:</w:t>
      </w:r>
    </w:p>
    <w:p w14:paraId="67436A03" w14:textId="77777777" w:rsidR="00A417C7" w:rsidRPr="0024420A" w:rsidRDefault="00A417C7">
      <w:pPr>
        <w:ind w:right="902"/>
        <w:jc w:val="both"/>
        <w:rPr>
          <w:rFonts w:ascii="Palatino Linotype" w:eastAsia="Palatino Linotype" w:hAnsi="Palatino Linotype" w:cs="Palatino Linotype"/>
          <w:i/>
          <w:sz w:val="22"/>
          <w:szCs w:val="22"/>
        </w:rPr>
      </w:pPr>
    </w:p>
    <w:p w14:paraId="2046D453" w14:textId="77777777" w:rsidR="00A417C7" w:rsidRPr="0024420A" w:rsidRDefault="00D806BB">
      <w:pPr>
        <w:ind w:left="851" w:right="616"/>
        <w:jc w:val="both"/>
        <w:rPr>
          <w:rFonts w:ascii="Palatino Linotype" w:eastAsia="Palatino Linotype" w:hAnsi="Palatino Linotype" w:cs="Palatino Linotype"/>
          <w:b/>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FACTURA</w:t>
      </w:r>
    </w:p>
    <w:p w14:paraId="584C48D2" w14:textId="77777777" w:rsidR="00A417C7" w:rsidRPr="0024420A" w:rsidRDefault="00D806BB">
      <w:pPr>
        <w:ind w:left="851" w:right="616"/>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Es el documento fiscal que emite la persona física o moral para comprobar la venta o adquisición de un bien y/o servicio.” (Sic)</w:t>
      </w:r>
    </w:p>
    <w:p w14:paraId="019283DF" w14:textId="77777777" w:rsidR="00A417C7" w:rsidRPr="0024420A" w:rsidRDefault="00A417C7">
      <w:pPr>
        <w:ind w:left="851" w:right="616"/>
        <w:jc w:val="both"/>
        <w:rPr>
          <w:rFonts w:ascii="Palatino Linotype" w:eastAsia="Palatino Linotype" w:hAnsi="Palatino Linotype" w:cs="Palatino Linotype"/>
          <w:sz w:val="22"/>
          <w:szCs w:val="22"/>
        </w:rPr>
      </w:pPr>
    </w:p>
    <w:p w14:paraId="6CD9C4D8"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w:t>
      </w:r>
      <w:r w:rsidRPr="0024420A">
        <w:rPr>
          <w:rFonts w:ascii="Palatino Linotype" w:eastAsia="Palatino Linotype" w:hAnsi="Palatino Linotype" w:cs="Palatino Linotype"/>
          <w:sz w:val="22"/>
          <w:szCs w:val="22"/>
        </w:rPr>
        <w:lastRenderedPageBreak/>
        <w:t xml:space="preserve">los recursos económicos del Estado, de los Municipios, así como de los Organismos Autónomos, se administrarán con eficiencia, eficacia y honradez, para cumplir con los objetivos y programas a los que estén destinados. </w:t>
      </w:r>
    </w:p>
    <w:p w14:paraId="79619391"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2F672C38"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41834A4"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4FA83851" w14:textId="77777777" w:rsidR="00A417C7" w:rsidRPr="0024420A" w:rsidRDefault="00D806BB">
      <w:pPr>
        <w:spacing w:line="276" w:lineRule="auto"/>
        <w:ind w:left="851" w:right="616"/>
        <w:jc w:val="both"/>
        <w:rPr>
          <w:rFonts w:ascii="Palatino Linotype" w:eastAsia="Palatino Linotype" w:hAnsi="Palatino Linotype" w:cs="Palatino Linotype"/>
          <w:b/>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 xml:space="preserve">REGISTRO CONTABLE </w:t>
      </w:r>
    </w:p>
    <w:p w14:paraId="038552DF" w14:textId="77777777" w:rsidR="00A417C7" w:rsidRPr="0024420A" w:rsidRDefault="00D806BB">
      <w:pPr>
        <w:spacing w:line="276" w:lineRule="auto"/>
        <w:ind w:left="851" w:right="616"/>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2CC8E784" w14:textId="77777777" w:rsidR="00A417C7" w:rsidRPr="0024420A" w:rsidRDefault="00D806BB">
      <w:pPr>
        <w:spacing w:line="276" w:lineRule="auto"/>
        <w:ind w:left="851" w:right="616"/>
        <w:jc w:val="both"/>
        <w:rPr>
          <w:rFonts w:ascii="Palatino Linotype" w:eastAsia="Palatino Linotype" w:hAnsi="Palatino Linotype" w:cs="Palatino Linotype"/>
          <w:b/>
          <w:i/>
          <w:sz w:val="22"/>
          <w:szCs w:val="22"/>
        </w:rPr>
      </w:pPr>
      <w:r w:rsidRPr="0024420A">
        <w:rPr>
          <w:rFonts w:ascii="Palatino Linotype" w:eastAsia="Palatino Linotype" w:hAnsi="Palatino Linotype" w:cs="Palatino Linotype"/>
          <w:b/>
          <w:i/>
          <w:sz w:val="22"/>
          <w:szCs w:val="22"/>
        </w:rPr>
        <w:t>“REGISTRO PRESUPUESTARIO</w:t>
      </w:r>
    </w:p>
    <w:p w14:paraId="326676C4" w14:textId="77777777" w:rsidR="00A417C7" w:rsidRPr="0024420A" w:rsidRDefault="00D806BB">
      <w:pPr>
        <w:spacing w:line="276" w:lineRule="auto"/>
        <w:ind w:left="851" w:right="616"/>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1FE6FF71"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7BE25B67"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35D977F4"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72DB9717"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debe ser la Tesorería Municipal o equivalente.</w:t>
      </w:r>
    </w:p>
    <w:p w14:paraId="6D404A2F"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6ADE97"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Dicho lo anterior, es de precisar que el Recurrente, para la solicitud </w:t>
      </w:r>
      <w:r w:rsidRPr="0024420A">
        <w:rPr>
          <w:rFonts w:ascii="Palatino Linotype" w:eastAsia="Palatino Linotype" w:hAnsi="Palatino Linotype" w:cs="Palatino Linotype"/>
          <w:b/>
          <w:sz w:val="22"/>
          <w:szCs w:val="22"/>
        </w:rPr>
        <w:t xml:space="preserve">00358/TEOLOYUCAN/IP/2025 que dio origen al recurso de revisión </w:t>
      </w:r>
      <w:r w:rsidRPr="0024420A">
        <w:rPr>
          <w:rFonts w:ascii="Palatino Linotype" w:eastAsia="Palatino Linotype" w:hAnsi="Palatino Linotype" w:cs="Palatino Linotype"/>
          <w:sz w:val="22"/>
          <w:szCs w:val="22"/>
        </w:rPr>
        <w:t xml:space="preserve">número de folio </w:t>
      </w:r>
      <w:r w:rsidRPr="0024420A">
        <w:rPr>
          <w:rFonts w:ascii="Palatino Linotype" w:eastAsia="Palatino Linotype" w:hAnsi="Palatino Linotype" w:cs="Palatino Linotype"/>
          <w:b/>
          <w:sz w:val="22"/>
          <w:szCs w:val="22"/>
        </w:rPr>
        <w:t>06930/INFOEM/IP/RR/2025</w:t>
      </w:r>
      <w:r w:rsidRPr="0024420A">
        <w:rPr>
          <w:rFonts w:ascii="Palatino Linotype" w:eastAsia="Palatino Linotype" w:hAnsi="Palatino Linotype" w:cs="Palatino Linotype"/>
          <w:sz w:val="22"/>
          <w:szCs w:val="22"/>
        </w:rPr>
        <w:t xml:space="preserve">, solicitó las pólizas de ingresos de marzo de 2025. Mientras que el Sujeto Obligado, a través del informe justificado entregó el documento electrónico denominado 00358-TEOLOYU-IP-2025, el cual se integra de 127 páginas bajo el título </w:t>
      </w:r>
      <w:proofErr w:type="gramStart"/>
      <w:r w:rsidRPr="0024420A">
        <w:rPr>
          <w:rFonts w:ascii="Palatino Linotype" w:eastAsia="Palatino Linotype" w:hAnsi="Palatino Linotype" w:cs="Palatino Linotype"/>
          <w:sz w:val="22"/>
          <w:szCs w:val="22"/>
        </w:rPr>
        <w:t>de  “</w:t>
      </w:r>
      <w:proofErr w:type="gramEnd"/>
      <w:r w:rsidRPr="0024420A">
        <w:rPr>
          <w:rFonts w:ascii="Palatino Linotype" w:eastAsia="Palatino Linotype" w:hAnsi="Palatino Linotype" w:cs="Palatino Linotype"/>
          <w:sz w:val="22"/>
          <w:szCs w:val="22"/>
        </w:rPr>
        <w:t>póliza de ingresos”, correspondiente al mes de marzo de dos mil veinticinco, se inserta imagen de referencia:</w:t>
      </w:r>
    </w:p>
    <w:p w14:paraId="5CEA27E3" w14:textId="77777777" w:rsidR="00A417C7" w:rsidRPr="0024420A" w:rsidRDefault="00D806BB">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24420A">
        <w:rPr>
          <w:rFonts w:ascii="Palatino Linotype" w:eastAsia="Palatino Linotype" w:hAnsi="Palatino Linotype" w:cs="Palatino Linotype"/>
          <w:noProof/>
          <w:sz w:val="22"/>
          <w:szCs w:val="22"/>
        </w:rPr>
        <w:drawing>
          <wp:inline distT="0" distB="0" distL="0" distR="0" wp14:anchorId="166F021D" wp14:editId="3BB0C543">
            <wp:extent cx="4202339" cy="3240908"/>
            <wp:effectExtent l="0" t="0" r="0" b="0"/>
            <wp:docPr id="3260217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202339" cy="3240908"/>
                    </a:xfrm>
                    <a:prstGeom prst="rect">
                      <a:avLst/>
                    </a:prstGeom>
                    <a:ln/>
                  </pic:spPr>
                </pic:pic>
              </a:graphicData>
            </a:graphic>
          </wp:inline>
        </w:drawing>
      </w:r>
    </w:p>
    <w:p w14:paraId="1E0911EC" w14:textId="77777777" w:rsidR="00A417C7" w:rsidRPr="0024420A" w:rsidRDefault="00D806BB">
      <w:pPr>
        <w:spacing w:before="240" w:after="240" w:line="360" w:lineRule="auto"/>
        <w:jc w:val="both"/>
        <w:rPr>
          <w:rFonts w:ascii="Palatino Linotype" w:eastAsia="Palatino Linotype" w:hAnsi="Palatino Linotype" w:cs="Palatino Linotype"/>
        </w:rPr>
      </w:pPr>
      <w:r w:rsidRPr="0024420A">
        <w:rPr>
          <w:rFonts w:ascii="Palatino Linotype" w:eastAsia="Palatino Linotype" w:hAnsi="Palatino Linotype" w:cs="Palatino Linotype"/>
        </w:rPr>
        <w:lastRenderedPageBreak/>
        <w:t>Ahora bien, corolario a lo anterior, se estima que el presente caso actualiza el supuesto previsto en el artículo 192, fracción III de la Ley de Transparencia y Acceso a la Información Pública del Estado de México y Municipios vigente, a saber:</w:t>
      </w:r>
    </w:p>
    <w:p w14:paraId="5D015822" w14:textId="77777777" w:rsidR="00A417C7" w:rsidRPr="0024420A" w:rsidRDefault="00D806BB">
      <w:pPr>
        <w:spacing w:before="240" w:after="240"/>
        <w:ind w:left="851" w:right="90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Artículo 192</w:t>
      </w:r>
      <w:r w:rsidRPr="0024420A">
        <w:rPr>
          <w:rFonts w:ascii="Palatino Linotype" w:eastAsia="Palatino Linotype" w:hAnsi="Palatino Linotype" w:cs="Palatino Linotype"/>
          <w:i/>
          <w:sz w:val="22"/>
          <w:szCs w:val="22"/>
        </w:rPr>
        <w:t xml:space="preserve">. </w:t>
      </w:r>
      <w:r w:rsidRPr="0024420A">
        <w:rPr>
          <w:rFonts w:ascii="Palatino Linotype" w:eastAsia="Palatino Linotype" w:hAnsi="Palatino Linotype" w:cs="Palatino Linotype"/>
          <w:b/>
          <w:i/>
          <w:sz w:val="22"/>
          <w:szCs w:val="22"/>
        </w:rPr>
        <w:t>El recurso será sobreseído</w:t>
      </w:r>
      <w:r w:rsidRPr="0024420A">
        <w:rPr>
          <w:rFonts w:ascii="Palatino Linotype" w:eastAsia="Palatino Linotype" w:hAnsi="Palatino Linotype" w:cs="Palatino Linotype"/>
          <w:i/>
          <w:sz w:val="22"/>
          <w:szCs w:val="22"/>
        </w:rPr>
        <w:t xml:space="preserve">, </w:t>
      </w:r>
      <w:r w:rsidRPr="0024420A">
        <w:rPr>
          <w:rFonts w:ascii="Palatino Linotype" w:eastAsia="Palatino Linotype" w:hAnsi="Palatino Linotype" w:cs="Palatino Linotype"/>
          <w:b/>
          <w:i/>
          <w:sz w:val="22"/>
          <w:szCs w:val="22"/>
        </w:rPr>
        <w:t>en todo o en parte,</w:t>
      </w:r>
      <w:r w:rsidRPr="0024420A">
        <w:rPr>
          <w:rFonts w:ascii="Palatino Linotype" w:eastAsia="Palatino Linotype" w:hAnsi="Palatino Linotype" w:cs="Palatino Linotype"/>
          <w:i/>
          <w:sz w:val="22"/>
          <w:szCs w:val="22"/>
        </w:rPr>
        <w:t xml:space="preserve"> </w:t>
      </w:r>
      <w:r w:rsidRPr="0024420A">
        <w:rPr>
          <w:rFonts w:ascii="Palatino Linotype" w:eastAsia="Palatino Linotype" w:hAnsi="Palatino Linotype" w:cs="Palatino Linotype"/>
          <w:b/>
          <w:i/>
          <w:sz w:val="22"/>
          <w:szCs w:val="22"/>
        </w:rPr>
        <w:t>cuando una vez admitido, se actualicen alguno de los siguientes supuestos</w:t>
      </w:r>
      <w:r w:rsidRPr="0024420A">
        <w:rPr>
          <w:rFonts w:ascii="Palatino Linotype" w:eastAsia="Palatino Linotype" w:hAnsi="Palatino Linotype" w:cs="Palatino Linotype"/>
          <w:i/>
          <w:sz w:val="22"/>
          <w:szCs w:val="22"/>
        </w:rPr>
        <w:t xml:space="preserve">: </w:t>
      </w:r>
    </w:p>
    <w:p w14:paraId="179F028C" w14:textId="77777777" w:rsidR="00A417C7" w:rsidRPr="0024420A" w:rsidRDefault="00D806BB">
      <w:pPr>
        <w:spacing w:before="240" w:after="240"/>
        <w:ind w:left="1134" w:right="90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p>
    <w:p w14:paraId="4A316171" w14:textId="77777777" w:rsidR="00A417C7" w:rsidRPr="0024420A" w:rsidRDefault="00D806BB">
      <w:pPr>
        <w:spacing w:before="240" w:after="240"/>
        <w:ind w:left="1134" w:right="900"/>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24420A">
        <w:rPr>
          <w:rFonts w:ascii="Palatino Linotype" w:eastAsia="Palatino Linotype" w:hAnsi="Palatino Linotype" w:cs="Palatino Linotype"/>
          <w:i/>
          <w:sz w:val="22"/>
          <w:szCs w:val="22"/>
        </w:rPr>
        <w:t>”</w:t>
      </w:r>
    </w:p>
    <w:p w14:paraId="637408CF"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7582E874" w14:textId="77777777" w:rsidR="00A417C7" w:rsidRPr="0024420A" w:rsidRDefault="00D806BB">
      <w:pPr>
        <w:spacing w:before="240" w:after="240" w:line="360" w:lineRule="auto"/>
        <w:ind w:left="284"/>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a) Cuando el sujeto obligado modifique el acto impugnado. </w:t>
      </w:r>
    </w:p>
    <w:p w14:paraId="3A1CA2A0" w14:textId="77777777" w:rsidR="00A417C7" w:rsidRPr="0024420A" w:rsidRDefault="00D806BB">
      <w:pPr>
        <w:spacing w:before="240" w:after="240" w:line="360" w:lineRule="auto"/>
        <w:ind w:left="284"/>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b) Cuando el sujeto obligado revoque el acto impugnado; </w:t>
      </w:r>
    </w:p>
    <w:p w14:paraId="7797B0F5"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Quedando en ambos casos el acto combatido sin materia o sin efectos.</w:t>
      </w:r>
    </w:p>
    <w:p w14:paraId="116CA93C" w14:textId="77777777" w:rsidR="00A417C7" w:rsidRPr="0024420A" w:rsidRDefault="00D806BB">
      <w:pPr>
        <w:spacing w:before="240" w:after="240"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sz w:val="22"/>
          <w:szCs w:val="22"/>
        </w:rPr>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24420A">
        <w:rPr>
          <w:rFonts w:ascii="Palatino Linotype" w:eastAsia="Palatino Linotype" w:hAnsi="Palatino Linotype" w:cs="Palatino Linotype"/>
          <w:b/>
          <w:sz w:val="22"/>
          <w:szCs w:val="22"/>
        </w:rPr>
        <w:t>.</w:t>
      </w:r>
    </w:p>
    <w:p w14:paraId="10A50A96"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2693E147"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lastRenderedPageBreak/>
        <w:t>En este orden de ideas, un acto impugnado queda sin efectos, cuando aun existiendo jurídicamente (esto es, que no se ha modificado, ni revocado) ya no genera ninguna consecuencia legal.</w:t>
      </w:r>
    </w:p>
    <w:p w14:paraId="123630E5"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43FE7B56" w14:textId="77777777" w:rsidR="00A417C7" w:rsidRPr="0024420A" w:rsidRDefault="00D806BB">
      <w:pPr>
        <w:spacing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 De tal manera, es evidente que con ello queda sin materia el presente recurso de revisión, ya que la inconformidad sobre la falta de respuesta se subsanó con la información entregada en informe justificado dentro del apartado de manifestaciones del SAIMEX. </w:t>
      </w:r>
    </w:p>
    <w:p w14:paraId="14CE6A49"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Es así que se concluye que la información remitida por el </w:t>
      </w:r>
      <w:r w:rsidRPr="0024420A">
        <w:rPr>
          <w:rFonts w:ascii="Palatino Linotype" w:eastAsia="Palatino Linotype" w:hAnsi="Palatino Linotype" w:cs="Palatino Linotype"/>
          <w:b/>
          <w:sz w:val="22"/>
          <w:szCs w:val="22"/>
        </w:rPr>
        <w:t xml:space="preserve">Sujeto Obligado </w:t>
      </w:r>
      <w:r w:rsidRPr="0024420A">
        <w:rPr>
          <w:rFonts w:ascii="Palatino Linotype" w:eastAsia="Palatino Linotype" w:hAnsi="Palatino Linotype" w:cs="Palatino Linotype"/>
          <w:sz w:val="22"/>
          <w:szCs w:val="22"/>
        </w:rPr>
        <w:t xml:space="preserve">en la etapa de manifestaciones satisface el requerimiento de información combatido, con lo cual quedó sin materia el presente recurso de revisión, actualizando entonces la causal prevista en la fracción III del artículo 192 de la Ley de la Materia vigente en la Entidad, antes transcrita. </w:t>
      </w:r>
    </w:p>
    <w:p w14:paraId="4DD03667" w14:textId="77777777" w:rsidR="00A417C7" w:rsidRPr="0024420A" w:rsidRDefault="00D806BB">
      <w:pPr>
        <w:spacing w:before="240" w:after="240"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sz w:val="22"/>
          <w:szCs w:val="22"/>
        </w:rPr>
        <w:t xml:space="preserve">Siendo el </w:t>
      </w:r>
      <w:r w:rsidRPr="0024420A">
        <w:rPr>
          <w:rFonts w:ascii="Palatino Linotype" w:eastAsia="Palatino Linotype" w:hAnsi="Palatino Linotype" w:cs="Palatino Linotype"/>
          <w:i/>
          <w:sz w:val="22"/>
          <w:szCs w:val="22"/>
        </w:rPr>
        <w:t>sobreseimiento</w:t>
      </w:r>
      <w:r w:rsidRPr="0024420A">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w:t>
      </w:r>
      <w:r w:rsidRPr="0024420A">
        <w:rPr>
          <w:rFonts w:ascii="Palatino Linotype" w:eastAsia="Palatino Linotype" w:hAnsi="Palatino Linotype" w:cs="Palatino Linotype"/>
          <w:sz w:val="22"/>
          <w:szCs w:val="22"/>
        </w:rPr>
        <w:lastRenderedPageBreak/>
        <w:t xml:space="preserve">en el criterio del Poder Judicial de la Federación con rubro: </w:t>
      </w:r>
      <w:r w:rsidRPr="0024420A">
        <w:rPr>
          <w:rFonts w:ascii="Palatino Linotype" w:eastAsia="Palatino Linotype" w:hAnsi="Palatino Linotype" w:cs="Palatino Linotype"/>
          <w:b/>
          <w:sz w:val="22"/>
          <w:szCs w:val="22"/>
        </w:rPr>
        <w:t>SOBRESEIMIENTO, NO PERMITE ENTRAR AL ESTUDIO DE LAS CUESTIONES DE FONDO</w:t>
      </w:r>
      <w:r w:rsidRPr="0024420A">
        <w:rPr>
          <w:rFonts w:ascii="Palatino Linotype" w:eastAsia="Palatino Linotype" w:hAnsi="Palatino Linotype" w:cs="Palatino Linotype"/>
          <w:b/>
          <w:sz w:val="22"/>
          <w:szCs w:val="22"/>
          <w:vertAlign w:val="superscript"/>
        </w:rPr>
        <w:footnoteReference w:id="2"/>
      </w:r>
      <w:r w:rsidRPr="0024420A">
        <w:rPr>
          <w:rFonts w:ascii="Palatino Linotype" w:eastAsia="Palatino Linotype" w:hAnsi="Palatino Linotype" w:cs="Palatino Linotype"/>
          <w:b/>
          <w:sz w:val="22"/>
          <w:szCs w:val="22"/>
        </w:rPr>
        <w:t>.</w:t>
      </w:r>
    </w:p>
    <w:p w14:paraId="47C3FCFC" w14:textId="77777777" w:rsidR="00A417C7" w:rsidRPr="0024420A" w:rsidRDefault="00D806BB">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Ahora bien, para el resto de solicitudes </w:t>
      </w:r>
      <w:r w:rsidRPr="0024420A">
        <w:rPr>
          <w:rFonts w:ascii="Palatino Linotype" w:eastAsia="Palatino Linotype" w:hAnsi="Palatino Linotype" w:cs="Palatino Linotype"/>
          <w:b/>
          <w:sz w:val="22"/>
          <w:szCs w:val="22"/>
        </w:rPr>
        <w:t xml:space="preserve">resulta necesario señalar que </w:t>
      </w:r>
      <w:r w:rsidRPr="0024420A">
        <w:rPr>
          <w:rFonts w:ascii="Palatino Linotype" w:eastAsia="Palatino Linotype" w:hAnsi="Palatino Linotype" w:cs="Palatino Linotype"/>
          <w:sz w:val="22"/>
          <w:szCs w:val="22"/>
        </w:rPr>
        <w:t xml:space="preserve">el </w:t>
      </w:r>
      <w:r w:rsidRPr="0024420A">
        <w:rPr>
          <w:rFonts w:ascii="Palatino Linotype" w:eastAsia="Palatino Linotype" w:hAnsi="Palatino Linotype" w:cs="Palatino Linotype"/>
          <w:b/>
          <w:sz w:val="22"/>
          <w:szCs w:val="22"/>
        </w:rPr>
        <w:t>Recurrente</w:t>
      </w:r>
      <w:r w:rsidRPr="0024420A">
        <w:rPr>
          <w:rFonts w:ascii="Palatino Linotype" w:eastAsia="Palatino Linotype" w:hAnsi="Palatino Linotype" w:cs="Palatino Linotype"/>
          <w:sz w:val="22"/>
          <w:szCs w:val="22"/>
        </w:rPr>
        <w:t xml:space="preserve">, eligió como modalidad de entrega </w:t>
      </w:r>
      <w:r w:rsidRPr="0024420A">
        <w:rPr>
          <w:rFonts w:ascii="Palatino Linotype" w:eastAsia="Palatino Linotype" w:hAnsi="Palatino Linotype" w:cs="Palatino Linotype"/>
          <w:i/>
          <w:sz w:val="22"/>
          <w:szCs w:val="22"/>
        </w:rPr>
        <w:t>“Sistema de Acceso a la Información Pública Mexiquense”</w:t>
      </w:r>
      <w:r w:rsidRPr="0024420A">
        <w:rPr>
          <w:rFonts w:ascii="Palatino Linotype" w:eastAsia="Palatino Linotype" w:hAnsi="Palatino Linotype" w:cs="Palatino Linotype"/>
          <w:sz w:val="22"/>
          <w:szCs w:val="22"/>
        </w:rPr>
        <w:t>, tal como se aprecia a continuación:</w:t>
      </w:r>
    </w:p>
    <w:p w14:paraId="44CD3B25" w14:textId="77777777" w:rsidR="00A417C7" w:rsidRPr="0024420A" w:rsidRDefault="00D806BB">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noProof/>
          <w:sz w:val="22"/>
          <w:szCs w:val="22"/>
        </w:rPr>
        <w:drawing>
          <wp:inline distT="0" distB="0" distL="0" distR="0" wp14:anchorId="078C740F" wp14:editId="324D1953">
            <wp:extent cx="5612130" cy="649605"/>
            <wp:effectExtent l="0" t="0" r="0" b="0"/>
            <wp:docPr id="3260217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649605"/>
                    </a:xfrm>
                    <a:prstGeom prst="rect">
                      <a:avLst/>
                    </a:prstGeom>
                    <a:ln/>
                  </pic:spPr>
                </pic:pic>
              </a:graphicData>
            </a:graphic>
          </wp:inline>
        </w:drawing>
      </w:r>
    </w:p>
    <w:p w14:paraId="1062CDFD" w14:textId="77777777" w:rsidR="00A417C7" w:rsidRPr="0024420A" w:rsidRDefault="00A417C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39852AB1" w14:textId="77777777" w:rsidR="00A417C7" w:rsidRPr="0024420A" w:rsidRDefault="00D806BB">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Por su parte, el Sujeto Obligado mediante su informe justificado manifestó que no puede enviarse la información a través de la modalidad elegida por el Recurrente, pues la cantidad de recursos humanos y materiales con los que cuenta resultan insuficientes, esto por encontrarse rebasados por el alto número de solicitudes que han ingresado recientemente.</w:t>
      </w:r>
    </w:p>
    <w:p w14:paraId="44C3A297" w14:textId="77777777" w:rsidR="00A417C7" w:rsidRPr="0024420A" w:rsidRDefault="00A417C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20414FFA" w14:textId="77777777" w:rsidR="00A417C7" w:rsidRPr="0024420A" w:rsidRDefault="00D806BB">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Dicho lo anterior, es necesario señalar que, la Ley de Transparencia y Acceso a la Información Pública del Estado de México y Municipios establece en los artículos 155 fracción V, 158 y 164 lo siguiente:</w:t>
      </w:r>
    </w:p>
    <w:p w14:paraId="04A5EA7D" w14:textId="77777777" w:rsidR="00A417C7" w:rsidRPr="0024420A" w:rsidRDefault="00D806BB">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Artículo 155. Para presentar una solicitud por escrito, no se podrán exigir mayores requisitos que los siguientes:</w:t>
      </w:r>
    </w:p>
    <w:p w14:paraId="6C216784" w14:textId="77777777" w:rsidR="00A417C7" w:rsidRPr="0024420A" w:rsidRDefault="00D806BB">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I. a IV. …</w:t>
      </w:r>
    </w:p>
    <w:p w14:paraId="588D364D" w14:textId="77777777" w:rsidR="00A417C7" w:rsidRPr="0024420A" w:rsidRDefault="00D806BB">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V. La modalidad en la que prefiere se otorgue el acceso a la información</w:t>
      </w:r>
      <w:r w:rsidRPr="0024420A">
        <w:rPr>
          <w:rFonts w:ascii="Palatino Linotype" w:eastAsia="Palatino Linotype" w:hAnsi="Palatino Linotype" w:cs="Palatino Linotype"/>
          <w:i/>
          <w:sz w:val="22"/>
          <w:szCs w:val="22"/>
        </w:rPr>
        <w:t xml:space="preserve">, la cual podrá ser verbal, siempre y cuando sea para fines de orientación, mediante consulta </w:t>
      </w:r>
      <w:r w:rsidRPr="0024420A">
        <w:rPr>
          <w:rFonts w:ascii="Palatino Linotype" w:eastAsia="Palatino Linotype" w:hAnsi="Palatino Linotype" w:cs="Palatino Linotype"/>
          <w:i/>
          <w:sz w:val="22"/>
          <w:szCs w:val="22"/>
        </w:rPr>
        <w:lastRenderedPageBreak/>
        <w:t>directa, mediante la expedición de copias simples o certificadas o la reproducción en cualquier otro medio, incluidos los electrónicos</w:t>
      </w:r>
    </w:p>
    <w:p w14:paraId="3C6911D9" w14:textId="77777777" w:rsidR="00A417C7" w:rsidRPr="0024420A" w:rsidRDefault="00D806BB">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p>
    <w:p w14:paraId="25DE7E8F" w14:textId="77777777" w:rsidR="00A417C7" w:rsidRPr="0024420A" w:rsidRDefault="00D806BB">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3AA0DC9" w14:textId="77777777" w:rsidR="00A417C7" w:rsidRPr="0024420A" w:rsidRDefault="00D806BB">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0DDFD00F" w14:textId="77777777" w:rsidR="00A417C7" w:rsidRPr="0024420A" w:rsidRDefault="00D806BB">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E3D8279" w14:textId="77777777" w:rsidR="00A417C7" w:rsidRPr="0024420A" w:rsidRDefault="00D806BB">
      <w:pPr>
        <w:pBdr>
          <w:top w:val="nil"/>
          <w:left w:val="nil"/>
          <w:bottom w:val="nil"/>
          <w:right w:val="nil"/>
          <w:between w:val="nil"/>
        </w:pBdr>
        <w:tabs>
          <w:tab w:val="left" w:pos="851"/>
        </w:tabs>
        <w:spacing w:before="240"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La normatividad en materia establece que </w:t>
      </w:r>
      <w:proofErr w:type="gramStart"/>
      <w:r w:rsidRPr="0024420A">
        <w:rPr>
          <w:rFonts w:ascii="Palatino Linotype" w:eastAsia="Palatino Linotype" w:hAnsi="Palatino Linotype" w:cs="Palatino Linotype"/>
          <w:sz w:val="22"/>
          <w:szCs w:val="22"/>
        </w:rPr>
        <w:t>la solicitudes</w:t>
      </w:r>
      <w:proofErr w:type="gramEnd"/>
      <w:r w:rsidRPr="0024420A">
        <w:rPr>
          <w:rFonts w:ascii="Palatino Linotype" w:eastAsia="Palatino Linotype" w:hAnsi="Palatino Linotype" w:cs="Palatino Linotype"/>
          <w:sz w:val="22"/>
          <w:szCs w:val="22"/>
        </w:rPr>
        <w:t xml:space="preserve"> de acceso a la información que formulen los recurrentes deberán contener, entre otros elementos, </w:t>
      </w:r>
      <w:r w:rsidRPr="0024420A">
        <w:rPr>
          <w:rFonts w:ascii="Palatino Linotype" w:eastAsia="Palatino Linotype" w:hAnsi="Palatino Linotype" w:cs="Palatino Linotype"/>
          <w:b/>
          <w:sz w:val="22"/>
          <w:szCs w:val="22"/>
        </w:rPr>
        <w:t>la modalidad de entrega de la información</w:t>
      </w:r>
      <w:r w:rsidRPr="0024420A">
        <w:rPr>
          <w:rFonts w:ascii="Palatino Linotype" w:eastAsia="Palatino Linotype" w:hAnsi="Palatino Linotype" w:cs="Palatino Linotype"/>
          <w:sz w:val="22"/>
          <w:szCs w:val="22"/>
        </w:rPr>
        <w:t xml:space="preserve">, misma que deberá privilegiarse y será excepcional un cambio de modalidad cuando la información sobrepase las capacidades técnicas administrativas y humanas, </w:t>
      </w:r>
      <w:r w:rsidRPr="0024420A">
        <w:rPr>
          <w:rFonts w:ascii="Palatino Linotype" w:eastAsia="Palatino Linotype" w:hAnsi="Palatino Linotype" w:cs="Palatino Linotype"/>
          <w:b/>
          <w:sz w:val="22"/>
          <w:szCs w:val="22"/>
        </w:rPr>
        <w:t>dicho cambio será debidamente fundado y motivado</w:t>
      </w:r>
      <w:r w:rsidRPr="0024420A">
        <w:rPr>
          <w:rFonts w:ascii="Palatino Linotype" w:eastAsia="Palatino Linotype" w:hAnsi="Palatino Linotype" w:cs="Palatino Linotype"/>
          <w:sz w:val="22"/>
          <w:szCs w:val="22"/>
        </w:rPr>
        <w:t>.</w:t>
      </w:r>
    </w:p>
    <w:p w14:paraId="78C3508B" w14:textId="77777777" w:rsidR="00A417C7" w:rsidRPr="0024420A" w:rsidRDefault="00A417C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p>
    <w:p w14:paraId="77F5D69C" w14:textId="77777777" w:rsidR="00A417C7" w:rsidRPr="0024420A" w:rsidRDefault="00D806B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Referente a la </w:t>
      </w:r>
      <w:r w:rsidRPr="0024420A">
        <w:rPr>
          <w:rFonts w:ascii="Palatino Linotype" w:eastAsia="Palatino Linotype" w:hAnsi="Palatino Linotype" w:cs="Palatino Linotype"/>
          <w:b/>
          <w:sz w:val="22"/>
          <w:szCs w:val="22"/>
        </w:rPr>
        <w:t>capacidad administrativa</w:t>
      </w:r>
      <w:r w:rsidRPr="0024420A">
        <w:rPr>
          <w:rFonts w:ascii="Palatino Linotype" w:eastAsia="Palatino Linotype" w:hAnsi="Palatino Linotype" w:cs="Palatino Linotype"/>
          <w:sz w:val="22"/>
          <w:szCs w:val="22"/>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24420A">
        <w:rPr>
          <w:rFonts w:ascii="Palatino Linotype" w:eastAsia="Palatino Linotype" w:hAnsi="Palatino Linotype" w:cs="Palatino Linotype"/>
          <w:b/>
          <w:sz w:val="22"/>
          <w:szCs w:val="22"/>
        </w:rPr>
        <w:t>eficiencia organizacional para efectuar funciones esenciales</w:t>
      </w:r>
      <w:r w:rsidRPr="0024420A">
        <w:rPr>
          <w:rFonts w:ascii="Palatino Linotype" w:eastAsia="Palatino Linotype" w:hAnsi="Palatino Linotype" w:cs="Palatino Linotype"/>
          <w:sz w:val="22"/>
          <w:szCs w:val="22"/>
        </w:rPr>
        <w:t>.</w:t>
      </w:r>
    </w:p>
    <w:p w14:paraId="2D371117" w14:textId="77777777" w:rsidR="00A417C7" w:rsidRPr="0024420A" w:rsidRDefault="00A417C7">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349760EB" w14:textId="77777777" w:rsidR="00A417C7" w:rsidRPr="0024420A" w:rsidRDefault="00D806B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E6DEEBD" w14:textId="77777777" w:rsidR="00A417C7" w:rsidRPr="0024420A" w:rsidRDefault="00A417C7">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4A6C9A8E" w14:textId="77777777" w:rsidR="00A417C7" w:rsidRPr="0024420A" w:rsidRDefault="00D806B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Desde una perspectiva institucional, la </w:t>
      </w:r>
      <w:r w:rsidRPr="0024420A">
        <w:rPr>
          <w:rFonts w:ascii="Palatino Linotype" w:eastAsia="Palatino Linotype" w:hAnsi="Palatino Linotype" w:cs="Palatino Linotype"/>
          <w:b/>
          <w:sz w:val="22"/>
          <w:szCs w:val="22"/>
        </w:rPr>
        <w:t>capacidad administrativa</w:t>
      </w:r>
      <w:r w:rsidRPr="0024420A">
        <w:rPr>
          <w:rFonts w:ascii="Palatino Linotype" w:eastAsia="Palatino Linotype" w:hAnsi="Palatino Linotype" w:cs="Palatino Linotype"/>
          <w:sz w:val="22"/>
          <w:szCs w:val="22"/>
        </w:rPr>
        <w:t xml:space="preserve"> es entendida como “</w:t>
      </w:r>
      <w:r w:rsidRPr="0024420A">
        <w:rPr>
          <w:rFonts w:ascii="Palatino Linotype" w:eastAsia="Palatino Linotype" w:hAnsi="Palatino Linotype" w:cs="Palatino Linotype"/>
          <w:i/>
          <w:sz w:val="22"/>
          <w:szCs w:val="22"/>
        </w:rPr>
        <w:t xml:space="preserve">las habilidades técnico-burocráticas del aparato estatal requeridas para alcanzar sus objetos. En este componente se ubican el nivel micro y meso de la Capacidad Institucional. El </w:t>
      </w:r>
      <w:r w:rsidRPr="0024420A">
        <w:rPr>
          <w:rFonts w:ascii="Palatino Linotype" w:eastAsia="Palatino Linotype" w:hAnsi="Palatino Linotype" w:cs="Palatino Linotype"/>
          <w:b/>
          <w:i/>
          <w:sz w:val="22"/>
          <w:szCs w:val="22"/>
        </w:rPr>
        <w:t>primero</w:t>
      </w:r>
      <w:r w:rsidRPr="0024420A">
        <w:rPr>
          <w:rFonts w:ascii="Palatino Linotype" w:eastAsia="Palatino Linotype" w:hAnsi="Palatino Linotype" w:cs="Palatino Linotype"/>
          <w:i/>
          <w:sz w:val="22"/>
          <w:szCs w:val="22"/>
        </w:rPr>
        <w:t xml:space="preserve"> hace alusión al individuo, al </w:t>
      </w:r>
      <w:r w:rsidRPr="0024420A">
        <w:rPr>
          <w:rFonts w:ascii="Palatino Linotype" w:eastAsia="Palatino Linotype" w:hAnsi="Palatino Linotype" w:cs="Palatino Linotype"/>
          <w:b/>
          <w:i/>
          <w:sz w:val="22"/>
          <w:szCs w:val="22"/>
        </w:rPr>
        <w:t>recurso humano</w:t>
      </w:r>
      <w:r w:rsidRPr="0024420A">
        <w:rPr>
          <w:rFonts w:ascii="Palatino Linotype" w:eastAsia="Palatino Linotype" w:hAnsi="Palatino Linotype" w:cs="Palatino Linotype"/>
          <w:i/>
          <w:sz w:val="22"/>
          <w:szCs w:val="22"/>
        </w:rPr>
        <w:t xml:space="preserve">. En el segundo nivel, se ubica la </w:t>
      </w:r>
      <w:r w:rsidRPr="0024420A">
        <w:rPr>
          <w:rFonts w:ascii="Palatino Linotype" w:eastAsia="Palatino Linotype" w:hAnsi="Palatino Linotype" w:cs="Palatino Linotype"/>
          <w:b/>
          <w:i/>
          <w:sz w:val="22"/>
          <w:szCs w:val="22"/>
        </w:rPr>
        <w:t>capacidad de gestión</w:t>
      </w:r>
      <w:r w:rsidRPr="0024420A">
        <w:rPr>
          <w:rFonts w:ascii="Palatino Linotype" w:eastAsia="Palatino Linotype" w:hAnsi="Palatino Linotype" w:cs="Palatino Linotype"/>
          <w:i/>
          <w:sz w:val="22"/>
          <w:szCs w:val="22"/>
        </w:rPr>
        <w:t>, el cual se centra en el fortalecimiento organizacional como área de intervención para construir capacidad; cultura organizacional, sistemas de comunicación u organización</w:t>
      </w:r>
      <w:r w:rsidRPr="0024420A">
        <w:rPr>
          <w:rFonts w:ascii="Palatino Linotype" w:eastAsia="Palatino Linotype" w:hAnsi="Palatino Linotype" w:cs="Palatino Linotype"/>
          <w:sz w:val="22"/>
          <w:szCs w:val="22"/>
        </w:rPr>
        <w:t>”</w:t>
      </w:r>
      <w:r w:rsidRPr="0024420A">
        <w:rPr>
          <w:rFonts w:ascii="Palatino Linotype" w:eastAsia="Palatino Linotype" w:hAnsi="Palatino Linotype" w:cs="Palatino Linotype"/>
          <w:i/>
          <w:sz w:val="22"/>
          <w:szCs w:val="22"/>
          <w:vertAlign w:val="superscript"/>
        </w:rPr>
        <w:t xml:space="preserve"> </w:t>
      </w:r>
      <w:r w:rsidRPr="0024420A">
        <w:rPr>
          <w:rFonts w:ascii="Palatino Linotype" w:eastAsia="Palatino Linotype" w:hAnsi="Palatino Linotype" w:cs="Palatino Linotype"/>
          <w:i/>
          <w:sz w:val="22"/>
          <w:szCs w:val="22"/>
          <w:vertAlign w:val="superscript"/>
        </w:rPr>
        <w:footnoteReference w:id="3"/>
      </w:r>
      <w:r w:rsidRPr="0024420A">
        <w:rPr>
          <w:rFonts w:ascii="Palatino Linotype" w:eastAsia="Palatino Linotype" w:hAnsi="Palatino Linotype" w:cs="Palatino Linotype"/>
          <w:sz w:val="22"/>
          <w:szCs w:val="22"/>
        </w:rPr>
        <w:t>.</w:t>
      </w:r>
    </w:p>
    <w:p w14:paraId="437227E1" w14:textId="77777777" w:rsidR="00A417C7" w:rsidRPr="0024420A" w:rsidRDefault="00A417C7">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0D70CAF8" w14:textId="77777777" w:rsidR="00A417C7" w:rsidRPr="0024420A" w:rsidRDefault="00D806B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3B27329C" w14:textId="77777777" w:rsidR="00A417C7" w:rsidRPr="0024420A" w:rsidRDefault="00A417C7">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69CD4C15" w14:textId="77777777" w:rsidR="00A417C7" w:rsidRPr="0024420A" w:rsidRDefault="00D806B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Ahora bien, respecto de las capacidades humanas, vale la pena precisar lo que se denomina por </w:t>
      </w:r>
      <w:r w:rsidRPr="0024420A">
        <w:rPr>
          <w:rFonts w:ascii="Palatino Linotype" w:eastAsia="Palatino Linotype" w:hAnsi="Palatino Linotype" w:cs="Palatino Linotype"/>
          <w:b/>
          <w:i/>
          <w:sz w:val="22"/>
          <w:szCs w:val="22"/>
        </w:rPr>
        <w:t>recursos humanos</w:t>
      </w:r>
      <w:r w:rsidRPr="0024420A">
        <w:rPr>
          <w:rFonts w:ascii="Palatino Linotype" w:eastAsia="Palatino Linotype" w:hAnsi="Palatino Linotype" w:cs="Palatino Linotype"/>
          <w:sz w:val="22"/>
          <w:szCs w:val="22"/>
        </w:rPr>
        <w:t>, lo cual podemos identificar como el conjunto de personas con las que cuenta una determinada organización, para desarrollar y ejecutar de manera correcta las acciones, actividades, labores y tareas que deben realizarse y que han sido solicitadas.</w:t>
      </w:r>
    </w:p>
    <w:p w14:paraId="03ECB16D" w14:textId="77777777" w:rsidR="00A417C7" w:rsidRPr="0024420A" w:rsidRDefault="00A417C7">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2A5F5660" w14:textId="77777777" w:rsidR="00A417C7" w:rsidRPr="0024420A" w:rsidRDefault="00D806B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El personal es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2681680F" w14:textId="77777777" w:rsidR="00A417C7" w:rsidRPr="0024420A" w:rsidRDefault="00A417C7">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4D81D05B" w14:textId="77777777" w:rsidR="00A417C7" w:rsidRPr="0024420A" w:rsidRDefault="00D806B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Es así que, el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xml:space="preserve"> pretendió realizar el cambio de modalidad ofreciendo consulta directa, sin embargo, es necesario traer a contexto el Criterio Orientador 8/2013 del entonces Instituto Federal de Acceso a la Información, cuyo texto y sentido literal es el siguiente:</w:t>
      </w:r>
    </w:p>
    <w:p w14:paraId="082302C9"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2E96B0"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Cuando exista impedimento justificado de atender la modalidad de entrega elegida por el solicitante, procede ofrecer todas las demás opciones previstas en la Ley.</w:t>
      </w:r>
      <w:r w:rsidRPr="0024420A">
        <w:rPr>
          <w:rFonts w:ascii="Palatino Linotype" w:eastAsia="Palatino Linotype" w:hAnsi="Palatino Linotype" w:cs="Palatino Linotype"/>
          <w:i/>
          <w:sz w:val="22"/>
          <w:szCs w:val="22"/>
        </w:rPr>
        <w:t xml:space="preserve"> </w:t>
      </w:r>
      <w:r w:rsidRPr="0024420A">
        <w:rPr>
          <w:rFonts w:ascii="Palatino Linotype" w:eastAsia="Palatino Linotype" w:hAnsi="Palatino Linotype" w:cs="Palatino Linotype"/>
          <w:i/>
          <w:sz w:val="22"/>
          <w:szCs w:val="22"/>
          <w:u w:val="single"/>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w:t>
      </w:r>
      <w:r w:rsidRPr="0024420A">
        <w:rPr>
          <w:rFonts w:ascii="Palatino Linotype" w:eastAsia="Palatino Linotype" w:hAnsi="Palatino Linotype" w:cs="Palatino Linotype"/>
          <w:i/>
          <w:sz w:val="22"/>
          <w:szCs w:val="22"/>
        </w:rPr>
        <w:t xml:space="preserve">, salvo que exista un impedimento justificado para atenderla, en cuyo caso, deberán exponerse las razones por las cuales no es posible utilizar el medio de reproducción solicitado. </w:t>
      </w:r>
      <w:r w:rsidRPr="0024420A">
        <w:rPr>
          <w:rFonts w:ascii="Palatino Linotype" w:eastAsia="Palatino Linotype" w:hAnsi="Palatino Linotype" w:cs="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24420A">
        <w:rPr>
          <w:rFonts w:ascii="Palatino Linotype" w:eastAsia="Palatino Linotype" w:hAnsi="Palatino Linotype" w:cs="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w:t>
      </w:r>
      <w:r w:rsidRPr="0024420A">
        <w:rPr>
          <w:rFonts w:ascii="Palatino Linotype" w:eastAsia="Palatino Linotype" w:hAnsi="Palatino Linotype" w:cs="Palatino Linotype"/>
          <w:i/>
          <w:sz w:val="22"/>
          <w:szCs w:val="22"/>
        </w:rPr>
        <w:lastRenderedPageBreak/>
        <w:t xml:space="preserve">garantizar el debido equilibrio entre el legítimo derecho de acceso a la información y las posibilidades materiales de otorgar acceso a los documentos. </w:t>
      </w:r>
    </w:p>
    <w:p w14:paraId="1057A439"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 xml:space="preserve">Resoluciones </w:t>
      </w:r>
    </w:p>
    <w:p w14:paraId="0D43E0B9"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 xml:space="preserve">RDA 2012/12. Interpuesto en contra de la Secretaría de Comunicaciones y Transportes. Comisionada Ponente Jacqueline </w:t>
      </w:r>
      <w:proofErr w:type="spellStart"/>
      <w:r w:rsidRPr="0024420A">
        <w:rPr>
          <w:rFonts w:ascii="Palatino Linotype" w:eastAsia="Palatino Linotype" w:hAnsi="Palatino Linotype" w:cs="Palatino Linotype"/>
          <w:i/>
          <w:sz w:val="22"/>
          <w:szCs w:val="22"/>
        </w:rPr>
        <w:t>Peschard</w:t>
      </w:r>
      <w:proofErr w:type="spellEnd"/>
      <w:r w:rsidRPr="0024420A">
        <w:rPr>
          <w:rFonts w:ascii="Palatino Linotype" w:eastAsia="Palatino Linotype" w:hAnsi="Palatino Linotype" w:cs="Palatino Linotype"/>
          <w:i/>
          <w:sz w:val="22"/>
          <w:szCs w:val="22"/>
        </w:rPr>
        <w:t xml:space="preserve"> Mariscal. </w:t>
      </w:r>
    </w:p>
    <w:p w14:paraId="0010CDA9"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 xml:space="preserve">RDA 0973/12. Interpuesto en contra de la Secretaría de Educación Pública. Comisionada Ponente Sigrid </w:t>
      </w:r>
      <w:proofErr w:type="spellStart"/>
      <w:r w:rsidRPr="0024420A">
        <w:rPr>
          <w:rFonts w:ascii="Palatino Linotype" w:eastAsia="Palatino Linotype" w:hAnsi="Palatino Linotype" w:cs="Palatino Linotype"/>
          <w:i/>
          <w:sz w:val="22"/>
          <w:szCs w:val="22"/>
        </w:rPr>
        <w:t>Arzt</w:t>
      </w:r>
      <w:proofErr w:type="spellEnd"/>
      <w:r w:rsidRPr="0024420A">
        <w:rPr>
          <w:rFonts w:ascii="Palatino Linotype" w:eastAsia="Palatino Linotype" w:hAnsi="Palatino Linotype" w:cs="Palatino Linotype"/>
          <w:i/>
          <w:sz w:val="22"/>
          <w:szCs w:val="22"/>
        </w:rPr>
        <w:t xml:space="preserve"> Colunga. </w:t>
      </w:r>
    </w:p>
    <w:p w14:paraId="1FAE8591"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 xml:space="preserve">RDA 0112/12. Interpuesto en contra de Petróleos Mexicanos. Comisionado Ponente Ángel Trinidad Zaldívar. </w:t>
      </w:r>
    </w:p>
    <w:p w14:paraId="0546D5DC"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 xml:space="preserve">RDA 0085/12. Interpuesto en contra del Instituto Nacional de Ciencias Médicas y Nutrición Salvador Zubirán. Comisionada Ponente Sigrid </w:t>
      </w:r>
      <w:proofErr w:type="spellStart"/>
      <w:r w:rsidRPr="0024420A">
        <w:rPr>
          <w:rFonts w:ascii="Palatino Linotype" w:eastAsia="Palatino Linotype" w:hAnsi="Palatino Linotype" w:cs="Palatino Linotype"/>
          <w:i/>
          <w:sz w:val="22"/>
          <w:szCs w:val="22"/>
        </w:rPr>
        <w:t>Arzt</w:t>
      </w:r>
      <w:proofErr w:type="spellEnd"/>
      <w:r w:rsidRPr="0024420A">
        <w:rPr>
          <w:rFonts w:ascii="Palatino Linotype" w:eastAsia="Palatino Linotype" w:hAnsi="Palatino Linotype" w:cs="Palatino Linotype"/>
          <w:i/>
          <w:sz w:val="22"/>
          <w:szCs w:val="22"/>
        </w:rPr>
        <w:t xml:space="preserve"> Colunga. </w:t>
      </w:r>
    </w:p>
    <w:p w14:paraId="0987134B"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3068/11. Interpuesto en contra de la Presidencia de la República. Comisionada Ponente María Elena Pérez-Jaén Zermeño. “</w:t>
      </w:r>
    </w:p>
    <w:p w14:paraId="1DFBEAD5" w14:textId="77777777" w:rsidR="00A417C7" w:rsidRPr="0024420A" w:rsidRDefault="00A417C7">
      <w:pPr>
        <w:ind w:left="567" w:right="567"/>
        <w:jc w:val="both"/>
        <w:rPr>
          <w:rFonts w:ascii="Palatino Linotype" w:eastAsia="Palatino Linotype" w:hAnsi="Palatino Linotype" w:cs="Palatino Linotype"/>
          <w:i/>
          <w:sz w:val="22"/>
          <w:szCs w:val="22"/>
        </w:rPr>
      </w:pPr>
    </w:p>
    <w:p w14:paraId="646CA4E6"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Criterio 02/2004 INFORMACIÓN DISPERSA</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24420A">
        <w:rPr>
          <w:rFonts w:ascii="Palatino Linotype" w:eastAsia="Palatino Linotype" w:hAnsi="Palatino Linotype" w:cs="Palatino Linotype"/>
          <w:i/>
          <w:sz w:val="22"/>
          <w:szCs w:val="22"/>
        </w:rPr>
        <w:t xml:space="preserve"> </w:t>
      </w:r>
      <w:r w:rsidRPr="0024420A">
        <w:rPr>
          <w:rFonts w:ascii="Palatino Linotype" w:eastAsia="Palatino Linotype" w:hAnsi="Palatino Linotype" w:cs="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24420A">
        <w:rPr>
          <w:rFonts w:ascii="Palatino Linotype" w:eastAsia="Palatino Linotype" w:hAnsi="Palatino Linotype" w:cs="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24420A">
        <w:rPr>
          <w:rFonts w:ascii="Palatino Linotype" w:eastAsia="Palatino Linotype" w:hAnsi="Palatino Linotype" w:cs="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24420A">
        <w:rPr>
          <w:rFonts w:ascii="Palatino Linotype" w:eastAsia="Palatino Linotype" w:hAnsi="Palatino Linotype" w:cs="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6FEFC3F" w14:textId="77777777" w:rsidR="00A417C7" w:rsidRPr="0024420A" w:rsidRDefault="00D806BB">
      <w:pPr>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lastRenderedPageBreak/>
        <w:t>(Énfasis añadido)</w:t>
      </w:r>
    </w:p>
    <w:p w14:paraId="6F1FDDEB" w14:textId="77777777" w:rsidR="00A417C7" w:rsidRPr="0024420A" w:rsidRDefault="00D806BB">
      <w:pPr>
        <w:pBdr>
          <w:top w:val="nil"/>
          <w:left w:val="nil"/>
          <w:bottom w:val="nil"/>
          <w:right w:val="nil"/>
          <w:between w:val="nil"/>
        </w:pBdr>
        <w:tabs>
          <w:tab w:val="left" w:pos="851"/>
        </w:tabs>
        <w:spacing w:before="240"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Los criterios refieren puntualmente que, cuando exista </w:t>
      </w:r>
      <w:r w:rsidRPr="0024420A">
        <w:rPr>
          <w:rFonts w:ascii="Palatino Linotype" w:eastAsia="Palatino Linotype" w:hAnsi="Palatino Linotype" w:cs="Palatino Linotype"/>
          <w:b/>
          <w:sz w:val="22"/>
          <w:szCs w:val="22"/>
        </w:rPr>
        <w:t xml:space="preserve">impedimento justificado </w:t>
      </w:r>
      <w:r w:rsidRPr="0024420A">
        <w:rPr>
          <w:rFonts w:ascii="Palatino Linotype" w:eastAsia="Palatino Linotype" w:hAnsi="Palatino Linotype" w:cs="Palatino Linotype"/>
          <w:sz w:val="22"/>
          <w:szCs w:val="22"/>
        </w:rPr>
        <w:t xml:space="preserve">para entregar la información solicitada, sólo entonces se procederá a ofrecer otras modalidades, tal como lo establece el Criterio Orientador 08/17 emitido por el entonces Pleno del Instituto Nacional de Transparencia, Acceso a la Información y Protección de Datos Personales, el cual establece lo siguiente: </w:t>
      </w:r>
    </w:p>
    <w:p w14:paraId="349162D4" w14:textId="77777777" w:rsidR="00A417C7" w:rsidRPr="0024420A" w:rsidRDefault="00A417C7">
      <w:pPr>
        <w:spacing w:line="360" w:lineRule="auto"/>
        <w:ind w:right="49"/>
        <w:jc w:val="both"/>
        <w:rPr>
          <w:rFonts w:ascii="Palatino Linotype" w:eastAsia="Palatino Linotype" w:hAnsi="Palatino Linotype" w:cs="Palatino Linotype"/>
          <w:sz w:val="22"/>
          <w:szCs w:val="22"/>
        </w:rPr>
      </w:pPr>
    </w:p>
    <w:p w14:paraId="48892C91" w14:textId="77777777" w:rsidR="00A417C7" w:rsidRPr="0024420A" w:rsidRDefault="00D806BB">
      <w:pPr>
        <w:spacing w:line="360" w:lineRule="auto"/>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24420A">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24420A">
        <w:rPr>
          <w:rFonts w:ascii="Palatino Linotype" w:eastAsia="Palatino Linotype" w:hAnsi="Palatino Linotype" w:cs="Palatino Linotype"/>
          <w:b/>
          <w:i/>
          <w:sz w:val="22"/>
          <w:szCs w:val="22"/>
          <w:u w:val="single"/>
        </w:rPr>
        <w:t>a) justifique el impedimento para atender la misma y b) se notifique al particular la disposición de la información en todas las modalidades que permita el documento de que se trate, procurando reducir, en todo momento, los costos de entrega</w:t>
      </w:r>
      <w:r w:rsidRPr="0024420A">
        <w:rPr>
          <w:rFonts w:ascii="Palatino Linotype" w:eastAsia="Palatino Linotype" w:hAnsi="Palatino Linotype" w:cs="Palatino Linotype"/>
          <w:i/>
          <w:sz w:val="22"/>
          <w:szCs w:val="22"/>
        </w:rPr>
        <w:t>.”</w:t>
      </w:r>
    </w:p>
    <w:p w14:paraId="517F9070" w14:textId="77777777" w:rsidR="00A417C7" w:rsidRPr="0024420A" w:rsidRDefault="00A417C7">
      <w:pPr>
        <w:spacing w:line="360" w:lineRule="auto"/>
        <w:ind w:right="49"/>
        <w:jc w:val="both"/>
        <w:rPr>
          <w:rFonts w:ascii="Palatino Linotype" w:eastAsia="Palatino Linotype" w:hAnsi="Palatino Linotype" w:cs="Palatino Linotype"/>
          <w:sz w:val="22"/>
          <w:szCs w:val="22"/>
        </w:rPr>
      </w:pPr>
    </w:p>
    <w:p w14:paraId="25D509C2" w14:textId="77777777" w:rsidR="00A417C7" w:rsidRPr="0024420A" w:rsidRDefault="00D806BB">
      <w:pPr>
        <w:spacing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 </w:t>
      </w:r>
    </w:p>
    <w:p w14:paraId="78E40E9F" w14:textId="77777777" w:rsidR="00A417C7" w:rsidRPr="0024420A" w:rsidRDefault="00A417C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p>
    <w:p w14:paraId="6011DDF9" w14:textId="77777777" w:rsidR="00A417C7" w:rsidRPr="0024420A" w:rsidRDefault="00D806BB">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Correlativo a lo anterior, los </w:t>
      </w:r>
      <w:r w:rsidRPr="0024420A">
        <w:rPr>
          <w:rFonts w:ascii="Palatino Linotype" w:eastAsia="Palatino Linotype" w:hAnsi="Palatino Linotype" w:cs="Palatino Linotype"/>
          <w:i/>
          <w:sz w:val="22"/>
          <w:szCs w:val="22"/>
        </w:rPr>
        <w:t>Lineamientos Generales en Materia de Clasificación y Desclasificación de la Información, así como para la Elaboración de Versiones Públicas</w:t>
      </w:r>
      <w:r w:rsidRPr="0024420A">
        <w:rPr>
          <w:rFonts w:ascii="Palatino Linotype" w:eastAsia="Palatino Linotype" w:hAnsi="Palatino Linotype" w:cs="Palatino Linotype"/>
          <w:sz w:val="22"/>
          <w:szCs w:val="22"/>
        </w:rPr>
        <w:t xml:space="preserve">, publicados por el Sistema Nacional de Transparencia, Acceso a la Información Pública y Protección de </w:t>
      </w:r>
      <w:r w:rsidRPr="0024420A">
        <w:rPr>
          <w:rFonts w:ascii="Palatino Linotype" w:eastAsia="Palatino Linotype" w:hAnsi="Palatino Linotype" w:cs="Palatino Linotype"/>
          <w:sz w:val="22"/>
          <w:szCs w:val="22"/>
        </w:rPr>
        <w:lastRenderedPageBreak/>
        <w:t>Datos Personales, en su Capítulo X, contemplan una serie de elementos, los cuales, los Sujetos Obligados deberán acreditar, a fin de realizar un cambio de modalidad a Consulta Directa apegada a derecho. A continuación, se vierten los Lineamientos aplicables:</w:t>
      </w:r>
    </w:p>
    <w:p w14:paraId="287D8F2C"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Sexagésimo séptimo. </w:t>
      </w:r>
      <w:r w:rsidRPr="0024420A">
        <w:rPr>
          <w:rFonts w:ascii="Palatino Linotype" w:eastAsia="Palatino Linotype" w:hAnsi="Palatino Linotype" w:cs="Palatino Linotype"/>
          <w:i/>
          <w:sz w:val="22"/>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73EA4C2B"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Sexagésimo octavo. </w:t>
      </w:r>
      <w:r w:rsidRPr="0024420A">
        <w:rPr>
          <w:rFonts w:ascii="Palatino Linotype" w:eastAsia="Palatino Linotype" w:hAnsi="Palatino Linotype" w:cs="Palatino Linotype"/>
          <w:i/>
          <w:sz w:val="22"/>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7E790EDE"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Sexagésimo noveno. </w:t>
      </w:r>
      <w:r w:rsidRPr="0024420A">
        <w:rPr>
          <w:rFonts w:ascii="Palatino Linotype" w:eastAsia="Palatino Linotype" w:hAnsi="Palatino Linotype" w:cs="Palatino Linotype"/>
          <w:i/>
          <w:sz w:val="22"/>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053C6798"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Septuagésimo. </w:t>
      </w:r>
      <w:r w:rsidRPr="0024420A">
        <w:rPr>
          <w:rFonts w:ascii="Palatino Linotype" w:eastAsia="Palatino Linotype" w:hAnsi="Palatino Linotype" w:cs="Palatino Linotype"/>
          <w:i/>
          <w:sz w:val="22"/>
          <w:szCs w:val="22"/>
        </w:rPr>
        <w:t>Para el desahogo de las actuaciones tendientes a permitir la consulta directa, en los casos en que ésta resulte procedente, los sujetos obligados deberán observar lo siguiente:</w:t>
      </w:r>
    </w:p>
    <w:p w14:paraId="795ED8F4"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I.</w:t>
      </w:r>
      <w:r w:rsidRPr="0024420A">
        <w:rPr>
          <w:rFonts w:ascii="Palatino Linotype" w:eastAsia="Palatino Linotype" w:hAnsi="Palatino Linotype" w:cs="Palatino Linotype"/>
          <w:i/>
          <w:sz w:val="22"/>
          <w:szCs w:val="22"/>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46B60552"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II.</w:t>
      </w:r>
      <w:r w:rsidRPr="0024420A">
        <w:rPr>
          <w:rFonts w:ascii="Palatino Linotype" w:eastAsia="Palatino Linotype" w:hAnsi="Palatino Linotype" w:cs="Palatino Linotype"/>
          <w:i/>
          <w:sz w:val="22"/>
          <w:szCs w:val="22"/>
        </w:rPr>
        <w:t> En su caso, la procedencia de los ajustes razonables solicitados y/o la procedencia de acceso en la lengua indígena requerida;</w:t>
      </w:r>
    </w:p>
    <w:p w14:paraId="4FF6FE38"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lastRenderedPageBreak/>
        <w:t>III.</w:t>
      </w:r>
      <w:r w:rsidRPr="0024420A">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5183859B"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IV.</w:t>
      </w:r>
      <w:r w:rsidRPr="0024420A">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3DA96E4A"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V.</w:t>
      </w:r>
      <w:r w:rsidRPr="0024420A">
        <w:rPr>
          <w:rFonts w:ascii="Palatino Linotype" w:eastAsia="Palatino Linotype" w:hAnsi="Palatino Linotype" w:cs="Palatino Linotype"/>
          <w:i/>
          <w:sz w:val="22"/>
          <w:szCs w:val="22"/>
        </w:rPr>
        <w:t> Abstenerse de requerir al solicitante que acredite interés alguno;</w:t>
      </w:r>
    </w:p>
    <w:p w14:paraId="27F8E4B3"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VI.</w:t>
      </w:r>
      <w:r w:rsidRPr="0024420A">
        <w:rPr>
          <w:rFonts w:ascii="Palatino Linotype" w:eastAsia="Palatino Linotype" w:hAnsi="Palatino Linotype" w:cs="Palatino Linotype"/>
          <w:i/>
          <w:sz w:val="22"/>
          <w:szCs w:val="22"/>
        </w:rPr>
        <w:t> Adoptar las medidas técnicas, físicas, administrativas y demás que resulten necesarias para</w:t>
      </w:r>
    </w:p>
    <w:p w14:paraId="126A7C60"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garantizar la integridad de la información a consultar, de conformidad con las características específicas del documento solicitado, tales como:</w:t>
      </w:r>
    </w:p>
    <w:p w14:paraId="1A321E15" w14:textId="77777777" w:rsidR="00A417C7" w:rsidRPr="0024420A" w:rsidRDefault="00D806BB">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a)</w:t>
      </w:r>
      <w:r w:rsidRPr="0024420A">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w:t>
      </w:r>
    </w:p>
    <w:p w14:paraId="0FB8CFBE" w14:textId="77777777" w:rsidR="00A417C7" w:rsidRPr="0024420A" w:rsidRDefault="00D806BB">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b)</w:t>
      </w:r>
      <w:r w:rsidRPr="0024420A">
        <w:rPr>
          <w:rFonts w:ascii="Palatino Linotype" w:eastAsia="Palatino Linotype" w:hAnsi="Palatino Linotype" w:cs="Palatino Linotype"/>
          <w:i/>
          <w:sz w:val="22"/>
          <w:szCs w:val="22"/>
        </w:rPr>
        <w:t> Equipo y personal de vigilancia;</w:t>
      </w:r>
    </w:p>
    <w:p w14:paraId="400663C5" w14:textId="77777777" w:rsidR="00A417C7" w:rsidRPr="0024420A" w:rsidRDefault="00D806BB">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c)</w:t>
      </w:r>
      <w:r w:rsidRPr="0024420A">
        <w:rPr>
          <w:rFonts w:ascii="Palatino Linotype" w:eastAsia="Palatino Linotype" w:hAnsi="Palatino Linotype" w:cs="Palatino Linotype"/>
          <w:i/>
          <w:sz w:val="22"/>
          <w:szCs w:val="22"/>
        </w:rPr>
        <w:t> Plan de acción contra robo o vandalismo;</w:t>
      </w:r>
    </w:p>
    <w:p w14:paraId="502E5BCD" w14:textId="77777777" w:rsidR="00A417C7" w:rsidRPr="0024420A" w:rsidRDefault="00D806BB">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d)</w:t>
      </w:r>
      <w:r w:rsidRPr="0024420A">
        <w:rPr>
          <w:rFonts w:ascii="Palatino Linotype" w:eastAsia="Palatino Linotype" w:hAnsi="Palatino Linotype" w:cs="Palatino Linotype"/>
          <w:i/>
          <w:sz w:val="22"/>
          <w:szCs w:val="22"/>
        </w:rPr>
        <w:t> Extintores de fuego de gas inocuo;</w:t>
      </w:r>
    </w:p>
    <w:p w14:paraId="1D849C25" w14:textId="77777777" w:rsidR="00A417C7" w:rsidRPr="0024420A" w:rsidRDefault="00D806BB">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e)</w:t>
      </w:r>
      <w:r w:rsidRPr="0024420A">
        <w:rPr>
          <w:rFonts w:ascii="Palatino Linotype" w:eastAsia="Palatino Linotype" w:hAnsi="Palatino Linotype" w:cs="Palatino Linotype"/>
          <w:i/>
          <w:sz w:val="22"/>
          <w:szCs w:val="22"/>
        </w:rPr>
        <w:t> Registro e identificación del personal autorizado para el tratamiento de los documentos o expedientes a revisar;</w:t>
      </w:r>
    </w:p>
    <w:p w14:paraId="0366F4A9" w14:textId="77777777" w:rsidR="00A417C7" w:rsidRPr="0024420A" w:rsidRDefault="00D806BB">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f)</w:t>
      </w:r>
      <w:r w:rsidRPr="0024420A">
        <w:rPr>
          <w:rFonts w:ascii="Palatino Linotype" w:eastAsia="Palatino Linotype" w:hAnsi="Palatino Linotype" w:cs="Palatino Linotype"/>
          <w:i/>
          <w:sz w:val="22"/>
          <w:szCs w:val="22"/>
        </w:rPr>
        <w:t> Registro e identificación de los particulares autorizados para llevar a cabo la consulta directa, y</w:t>
      </w:r>
    </w:p>
    <w:p w14:paraId="1FC4BA3C" w14:textId="77777777" w:rsidR="00A417C7" w:rsidRPr="0024420A" w:rsidRDefault="00D806BB">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g)</w:t>
      </w:r>
      <w:r w:rsidRPr="0024420A">
        <w:rPr>
          <w:rFonts w:ascii="Palatino Linotype" w:eastAsia="Palatino Linotype" w:hAnsi="Palatino Linotype" w:cs="Palatino Linotype"/>
          <w:i/>
          <w:sz w:val="22"/>
          <w:szCs w:val="22"/>
        </w:rPr>
        <w:t> Las demás que, a criterio de los sujetos obligados, resulten necesarias.</w:t>
      </w:r>
    </w:p>
    <w:p w14:paraId="5929442C"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VII. </w:t>
      </w:r>
      <w:r w:rsidRPr="0024420A">
        <w:rPr>
          <w:rFonts w:ascii="Palatino Linotype" w:eastAsia="Palatino Linotype" w:hAnsi="Palatino Linotype" w:cs="Palatino Linotype"/>
          <w:i/>
          <w:sz w:val="22"/>
          <w:szCs w:val="22"/>
        </w:rPr>
        <w:t>Hacer del conocimiento del solicitante, previo al acceso a la información, las reglas a que se sujetará la consulta para garantizar la integridad de los documentos, y</w:t>
      </w:r>
    </w:p>
    <w:p w14:paraId="1F29248D" w14:textId="77777777" w:rsidR="00A417C7" w:rsidRPr="0024420A" w:rsidRDefault="00D806BB">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VIII.</w:t>
      </w:r>
      <w:r w:rsidRPr="0024420A">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w:t>
      </w:r>
      <w:r w:rsidRPr="0024420A">
        <w:rPr>
          <w:rFonts w:ascii="Palatino Linotype" w:eastAsia="Palatino Linotype" w:hAnsi="Palatino Linotype" w:cs="Palatino Linotype"/>
          <w:i/>
          <w:sz w:val="22"/>
          <w:szCs w:val="22"/>
        </w:rPr>
        <w:lastRenderedPageBreak/>
        <w:t>solicitante, previo al acceso a la información, la resolución debidamente fundada y motivada del Comité de Transparencia, en la que se clasificaron las partes o secciones que no podrán dejarse a la vista del solicitante.</w:t>
      </w:r>
    </w:p>
    <w:p w14:paraId="086C0387"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Septuagésimo primero. </w:t>
      </w:r>
      <w:r w:rsidRPr="0024420A">
        <w:rPr>
          <w:rFonts w:ascii="Palatino Linotype" w:eastAsia="Palatino Linotype" w:hAnsi="Palatino Linotype" w:cs="Palatino Linotype"/>
          <w:i/>
          <w:sz w:val="22"/>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32CFFE67"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El solicitante deberá observar en todo momento las reglas que el sujeto obligado haya hecho de su conocimiento para efectos de la conservación de los documentos.</w:t>
      </w:r>
    </w:p>
    <w:p w14:paraId="705F7D46"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Septuagésimo segundo. </w:t>
      </w:r>
      <w:r w:rsidRPr="0024420A">
        <w:rPr>
          <w:rFonts w:ascii="Palatino Linotype" w:eastAsia="Palatino Linotype" w:hAnsi="Palatino Linotype" w:cs="Palatino Linotype"/>
          <w:i/>
          <w:sz w:val="22"/>
          <w:szCs w:val="22"/>
        </w:rPr>
        <w:t>El solicitante deberá realizar la consulta de los documentos requeridos en el lugar, horarios y con la persona destinada para tal efecto.</w:t>
      </w:r>
    </w:p>
    <w:p w14:paraId="1A55C7B0"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67DA7C15"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Septuagésimo tercero. </w:t>
      </w:r>
      <w:r w:rsidRPr="0024420A">
        <w:rPr>
          <w:rFonts w:ascii="Palatino Linotype" w:eastAsia="Palatino Linotype" w:hAnsi="Palatino Linotype" w:cs="Palatino Linotype"/>
          <w:i/>
          <w:sz w:val="22"/>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43D726F7" w14:textId="77777777" w:rsidR="00A417C7" w:rsidRPr="0024420A" w:rsidRDefault="00D806BB">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La información deberá ser entregada sin costo, cuando implique la entrega de no más de veinte hojas simples.”</w:t>
      </w:r>
    </w:p>
    <w:p w14:paraId="2FFEBCCE"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Es así que, </w:t>
      </w:r>
      <w:r w:rsidRPr="0024420A">
        <w:rPr>
          <w:rFonts w:ascii="Palatino Linotype" w:eastAsia="Palatino Linotype" w:hAnsi="Palatino Linotype" w:cs="Palatino Linotype"/>
          <w:b/>
          <w:sz w:val="22"/>
          <w:szCs w:val="22"/>
        </w:rPr>
        <w:t>los cambios de modalidad</w:t>
      </w:r>
      <w:r w:rsidRPr="0024420A">
        <w:rPr>
          <w:rFonts w:ascii="Palatino Linotype" w:eastAsia="Palatino Linotype" w:hAnsi="Palatino Linotype" w:cs="Palatino Linotype"/>
          <w:sz w:val="22"/>
          <w:szCs w:val="22"/>
        </w:rPr>
        <w:t xml:space="preserve"> serán procedentes siempre que se acredite la existencia de imposibilidad técnica administrativa y humana para poder cumplir con la modalidad primeramente elegida.</w:t>
      </w:r>
    </w:p>
    <w:p w14:paraId="5A9DF3F7"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A52F5B"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Establecido lo anterior, es de recordar que el Sujeto Obligado manifestó como impedimento la insuficiencia de recursos humanos y materiales con los que cuenta. En este contexto, debe entenderse que los recursos humanos se refieren al personal encargado de atender las </w:t>
      </w:r>
      <w:r w:rsidRPr="0024420A">
        <w:rPr>
          <w:rFonts w:ascii="Palatino Linotype" w:eastAsia="Palatino Linotype" w:hAnsi="Palatino Linotype" w:cs="Palatino Linotype"/>
          <w:sz w:val="22"/>
          <w:szCs w:val="22"/>
        </w:rPr>
        <w:lastRenderedPageBreak/>
        <w:t xml:space="preserve">solicitudes, mientras que los recursos materiales corresponden a los equipos tecnológicos y demás insumos utilizados para generar, administrar y resguardar la información requerida. Es decir, en su respuesta, </w:t>
      </w:r>
      <w:r w:rsidRPr="0024420A">
        <w:rPr>
          <w:rFonts w:ascii="Palatino Linotype" w:eastAsia="Palatino Linotype" w:hAnsi="Palatino Linotype" w:cs="Palatino Linotype"/>
          <w:b/>
          <w:sz w:val="22"/>
          <w:szCs w:val="22"/>
        </w:rPr>
        <w:t>el Sujeto Obligado no señaló ninguna imposibilidad técnica.</w:t>
      </w:r>
      <w:r w:rsidRPr="0024420A">
        <w:rPr>
          <w:rFonts w:ascii="Palatino Linotype" w:eastAsia="Palatino Linotype" w:hAnsi="Palatino Linotype" w:cs="Palatino Linotype"/>
          <w:sz w:val="22"/>
          <w:szCs w:val="22"/>
        </w:rPr>
        <w:t xml:space="preserve">  </w:t>
      </w:r>
    </w:p>
    <w:p w14:paraId="7416B416"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6079DEA"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A efecto de sustentar lo anterior, se solicitó al área de soporte técnico de este Instituto, notificara si existe reporte de incidencias por parte del Ayuntamiento en el que señalara alguna imposibilidad técnica para remitir la información requerida, la unidad administrativa respondió lo siguiente:</w:t>
      </w:r>
    </w:p>
    <w:p w14:paraId="0D41DF78"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26C0AE"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noProof/>
          <w:sz w:val="22"/>
          <w:szCs w:val="22"/>
        </w:rPr>
        <w:drawing>
          <wp:inline distT="0" distB="0" distL="0" distR="0" wp14:anchorId="52D14FA1" wp14:editId="42E8C275">
            <wp:extent cx="5590336" cy="1567419"/>
            <wp:effectExtent l="0" t="0" r="0" b="0"/>
            <wp:docPr id="3260217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590336" cy="1567419"/>
                    </a:xfrm>
                    <a:prstGeom prst="rect">
                      <a:avLst/>
                    </a:prstGeom>
                    <a:ln/>
                  </pic:spPr>
                </pic:pic>
              </a:graphicData>
            </a:graphic>
          </wp:inline>
        </w:drawing>
      </w:r>
    </w:p>
    <w:p w14:paraId="70BAB4FD"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BE4FB0"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Tal y como lo mencionó el área de informática de este Organismo Garante, el Ayuntamiento de Teoloyucan no realizó ningún reporte de incidencias a este Organismo Garante a efecto de sustentar la imposibilidad de atender la modalidad elegida por el Recurrente, es decir, a través del SAIMEX.</w:t>
      </w:r>
    </w:p>
    <w:p w14:paraId="3103DD7E"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C54FA58"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Además, se tiene que las pólizas de ingresos, egresos y de cheques forman parte integral de los informes mensuales y trimestrales que se remitieron al Órgano Superior de Fiscalización del Estado de México y Municipios, por lo que la información se encuentra previamente digitalizada y en los archivos del Sujeto Obligado, por lo que no se advierte la existencia de elementos que permitan identificar la necesidad de entregar la información en otras </w:t>
      </w:r>
      <w:r w:rsidRPr="0024420A">
        <w:rPr>
          <w:rFonts w:ascii="Palatino Linotype" w:eastAsia="Palatino Linotype" w:hAnsi="Palatino Linotype" w:cs="Palatino Linotype"/>
          <w:sz w:val="22"/>
          <w:szCs w:val="22"/>
        </w:rPr>
        <w:lastRenderedPageBreak/>
        <w:t>modalidades distintas a la elegida por el particular, en consecuencia, se ORDENA entregar la siguiente información a través del SAIMEX:</w:t>
      </w:r>
    </w:p>
    <w:p w14:paraId="6314FE6C" w14:textId="77777777" w:rsidR="00A417C7" w:rsidRPr="0024420A" w:rsidRDefault="00D806BB">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Egresos de enero, febrero y marzo de 2025</w:t>
      </w:r>
    </w:p>
    <w:p w14:paraId="37716A33"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Egresos con su soporte documental de enero a diciembre de 2022 y 2021.</w:t>
      </w:r>
    </w:p>
    <w:p w14:paraId="1503EEC3"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3" w:name="_heading=h.k7ubpp62quin" w:colFirst="0" w:colLast="0"/>
      <w:bookmarkEnd w:id="3"/>
      <w:r w:rsidRPr="0024420A">
        <w:rPr>
          <w:rFonts w:ascii="Palatino Linotype" w:eastAsia="Palatino Linotype" w:hAnsi="Palatino Linotype" w:cs="Palatino Linotype"/>
          <w:sz w:val="22"/>
          <w:szCs w:val="22"/>
        </w:rPr>
        <w:t>Pólizas de ingresos de enero, febrero y marzo de 2023 y enero y febrero de 2025.</w:t>
      </w:r>
    </w:p>
    <w:p w14:paraId="52EB6636"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Ingresos con su soporte documental de enero a diciembre de 2022</w:t>
      </w:r>
    </w:p>
    <w:p w14:paraId="2BBD0860"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Ingresos con soporte documental de enero, febrero, marzo, abril, mayo, agosto, octubre y diciembre de 2021</w:t>
      </w:r>
    </w:p>
    <w:p w14:paraId="0DF70DCA"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cheques de enero, febrero y marzo de 2025.</w:t>
      </w:r>
    </w:p>
    <w:p w14:paraId="59D8B9BA" w14:textId="77777777" w:rsidR="00A417C7" w:rsidRPr="0024420A" w:rsidRDefault="00D806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cheques con soporte documental de enero a diciembre de 2021 y 2022</w:t>
      </w:r>
    </w:p>
    <w:p w14:paraId="6A59E903" w14:textId="77777777" w:rsidR="00A417C7" w:rsidRPr="0024420A" w:rsidRDefault="00D806B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Pólizas de cheques con soporte documental de enero, febrero y de abril a diciembre de 2020.</w:t>
      </w:r>
    </w:p>
    <w:p w14:paraId="164D0D21"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De ser el caso de que la informa información que se ordena entregar contenga datos personales susceptibles de clasificarse como confidenciales, el Sujeto Obligado deberá estar a lo dispuesto en el Considerando Quinto de la presente resolución. </w:t>
      </w:r>
    </w:p>
    <w:p w14:paraId="24FD7A31"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455D0E" w14:textId="77777777" w:rsidR="00A417C7" w:rsidRPr="0024420A" w:rsidRDefault="00D806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Finalmente, es de señalar que, como ya se mencionó el</w:t>
      </w:r>
      <w:r w:rsidRPr="0024420A">
        <w:rPr>
          <w:rFonts w:ascii="Palatino Linotype" w:eastAsia="Palatino Linotype" w:hAnsi="Palatino Linotype" w:cs="Palatino Linotype"/>
          <w:b/>
          <w:sz w:val="22"/>
          <w:szCs w:val="22"/>
        </w:rPr>
        <w:t xml:space="preserve"> Sujeto Obligado</w:t>
      </w:r>
      <w:r w:rsidRPr="0024420A">
        <w:rPr>
          <w:rFonts w:ascii="Palatino Linotype" w:eastAsia="Palatino Linotype" w:hAnsi="Palatino Linotype" w:cs="Palatino Linotype"/>
          <w:sz w:val="22"/>
          <w:szCs w:val="22"/>
        </w:rPr>
        <w:t>, omitió proporcionar respuestas a las solicitudes de acceso a la información pública, en el término contemplado en el ya citado artículo 163 de la Ley de la materia, razón por la que se ordena dar vista</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sz w:val="22"/>
          <w:szCs w:val="22"/>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w:t>
      </w:r>
    </w:p>
    <w:p w14:paraId="1F0F9EDB" w14:textId="77777777" w:rsidR="00A417C7" w:rsidRPr="0024420A" w:rsidRDefault="00A417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4DF6F3" w14:textId="77777777" w:rsidR="00A417C7" w:rsidRPr="0024420A" w:rsidRDefault="00D806BB">
      <w:pPr>
        <w:tabs>
          <w:tab w:val="left" w:pos="709"/>
        </w:tabs>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lastRenderedPageBreak/>
        <w:t xml:space="preserve">Quinto. Versión Pública. </w:t>
      </w:r>
      <w:r w:rsidRPr="0024420A">
        <w:rPr>
          <w:rFonts w:ascii="Palatino Linotype" w:eastAsia="Palatino Linotype" w:hAnsi="Palatino Linotype" w:cs="Palatino Linotype"/>
          <w:sz w:val="22"/>
          <w:szCs w:val="22"/>
        </w:rPr>
        <w:t>Como fue debidamente apuntado, el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debe satisfacer la solicitud de acceso a la información; sin embargo, en caso de que la misma contenga datos personales, deberá clasificarlos, observando las formalidades siguientes:</w:t>
      </w:r>
    </w:p>
    <w:p w14:paraId="0B079562"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3CFA808E" w14:textId="77777777" w:rsidR="00A417C7" w:rsidRPr="0024420A" w:rsidRDefault="00D806BB">
      <w:pPr>
        <w:shd w:val="clear" w:color="auto" w:fill="FFFFFF"/>
        <w:spacing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7122AB03" w14:textId="77777777" w:rsidR="00A417C7" w:rsidRPr="0024420A" w:rsidRDefault="00A417C7">
      <w:pPr>
        <w:shd w:val="clear" w:color="auto" w:fill="FFFFFF"/>
        <w:spacing w:line="360" w:lineRule="auto"/>
        <w:ind w:right="49"/>
        <w:jc w:val="both"/>
        <w:rPr>
          <w:rFonts w:ascii="Palatino Linotype" w:eastAsia="Palatino Linotype" w:hAnsi="Palatino Linotype" w:cs="Palatino Linotype"/>
          <w:sz w:val="22"/>
          <w:szCs w:val="22"/>
        </w:rPr>
      </w:pPr>
    </w:p>
    <w:p w14:paraId="5A0793B7" w14:textId="77777777" w:rsidR="00A417C7" w:rsidRPr="0024420A" w:rsidRDefault="00D806BB">
      <w:pPr>
        <w:shd w:val="clear" w:color="auto" w:fill="FFFFFF"/>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FBAB69C" w14:textId="77777777" w:rsidR="00A417C7" w:rsidRPr="0024420A" w:rsidRDefault="00A417C7">
      <w:pPr>
        <w:shd w:val="clear" w:color="auto" w:fill="FFFFFF"/>
        <w:spacing w:line="360" w:lineRule="auto"/>
        <w:ind w:right="51"/>
        <w:jc w:val="both"/>
        <w:rPr>
          <w:rFonts w:ascii="Palatino Linotype" w:eastAsia="Palatino Linotype" w:hAnsi="Palatino Linotype" w:cs="Palatino Linotype"/>
          <w:sz w:val="22"/>
          <w:szCs w:val="22"/>
        </w:rPr>
      </w:pPr>
    </w:p>
    <w:p w14:paraId="68FC646C" w14:textId="77777777" w:rsidR="00A417C7" w:rsidRPr="0024420A" w:rsidRDefault="00D806BB">
      <w:pPr>
        <w:shd w:val="clear" w:color="auto" w:fill="FFFFFF"/>
        <w:spacing w:line="360" w:lineRule="auto"/>
        <w:ind w:right="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Al respecto, los artículos 3 fracciones IX, XX, XXI, XXXII y XLV; 6, 49 fracción VIII, 91, 137, 143 Fracción I, de la Ley de Transparencia y Acceso a la Información Pública del Estado de México y Municipios vigente establecen:</w:t>
      </w:r>
    </w:p>
    <w:p w14:paraId="35A576DA" w14:textId="77777777" w:rsidR="00A417C7" w:rsidRPr="0024420A" w:rsidRDefault="00A417C7">
      <w:pPr>
        <w:shd w:val="clear" w:color="auto" w:fill="FFFFFF"/>
        <w:spacing w:line="360" w:lineRule="auto"/>
        <w:ind w:right="51"/>
        <w:jc w:val="both"/>
        <w:rPr>
          <w:rFonts w:ascii="Palatino Linotype" w:eastAsia="Palatino Linotype" w:hAnsi="Palatino Linotype" w:cs="Palatino Linotype"/>
          <w:sz w:val="22"/>
          <w:szCs w:val="22"/>
        </w:rPr>
      </w:pPr>
    </w:p>
    <w:p w14:paraId="27CD4716"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i/>
          <w:sz w:val="22"/>
          <w:szCs w:val="22"/>
        </w:rPr>
        <w:t>“Artículo 3. Para los efectos de la presente Ley se entenderá por:</w:t>
      </w:r>
    </w:p>
    <w:p w14:paraId="092CF22F"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i/>
          <w:sz w:val="22"/>
          <w:szCs w:val="22"/>
        </w:rPr>
        <w:t>(…)</w:t>
      </w:r>
    </w:p>
    <w:p w14:paraId="1C53AABA"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i/>
          <w:sz w:val="22"/>
          <w:szCs w:val="22"/>
        </w:rPr>
        <w:t>IX. Datos personales:</w:t>
      </w:r>
      <w:r w:rsidRPr="0024420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0C95725"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p>
    <w:p w14:paraId="5720FB69"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XX. Información clasificada:</w:t>
      </w:r>
      <w:r w:rsidRPr="0024420A">
        <w:rPr>
          <w:rFonts w:ascii="Palatino Linotype" w:eastAsia="Palatino Linotype" w:hAnsi="Palatino Linotype" w:cs="Palatino Linotype"/>
          <w:i/>
          <w:sz w:val="22"/>
          <w:szCs w:val="22"/>
        </w:rPr>
        <w:t> Aquella considerada por la presente Ley como reservada o confidencial;</w:t>
      </w:r>
    </w:p>
    <w:p w14:paraId="2759C43C"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lastRenderedPageBreak/>
        <w:t>XXI. Información confidencial:</w:t>
      </w:r>
      <w:r w:rsidRPr="0024420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9CA0A83"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p>
    <w:p w14:paraId="17021FD4"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XXXII. Protección de Datos Personales:</w:t>
      </w:r>
      <w:r w:rsidRPr="0024420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78BD27F"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p>
    <w:p w14:paraId="5A171ABE"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i/>
          <w:sz w:val="22"/>
          <w:szCs w:val="22"/>
        </w:rPr>
        <w:t>XLV. Versión pública</w:t>
      </w:r>
      <w:r w:rsidRPr="0024420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369C53D"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i/>
          <w:sz w:val="22"/>
          <w:szCs w:val="22"/>
        </w:rPr>
        <w:t> Artículo 6.</w:t>
      </w:r>
      <w:r w:rsidRPr="0024420A">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BC0834F"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 </w:t>
      </w:r>
      <w:r w:rsidRPr="0024420A">
        <w:rPr>
          <w:rFonts w:ascii="Palatino Linotype" w:eastAsia="Palatino Linotype" w:hAnsi="Palatino Linotype" w:cs="Palatino Linotype"/>
          <w:b/>
          <w:i/>
          <w:sz w:val="22"/>
          <w:szCs w:val="22"/>
        </w:rPr>
        <w:t>Artículo 49.</w:t>
      </w:r>
      <w:r w:rsidRPr="0024420A">
        <w:rPr>
          <w:rFonts w:ascii="Palatino Linotype" w:eastAsia="Palatino Linotype" w:hAnsi="Palatino Linotype" w:cs="Palatino Linotype"/>
          <w:i/>
          <w:sz w:val="22"/>
          <w:szCs w:val="22"/>
        </w:rPr>
        <w:t> Los Comités de Transparencia tendrán las siguientes atribuciones:</w:t>
      </w:r>
    </w:p>
    <w:p w14:paraId="337A58D9"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p>
    <w:p w14:paraId="77AF4CED"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VIII</w:t>
      </w:r>
      <w:r w:rsidRPr="0024420A">
        <w:rPr>
          <w:rFonts w:ascii="Palatino Linotype" w:eastAsia="Palatino Linotype" w:hAnsi="Palatino Linotype" w:cs="Palatino Linotype"/>
          <w:i/>
          <w:sz w:val="22"/>
          <w:szCs w:val="22"/>
        </w:rPr>
        <w:t>. Aprobar, modificar o revocar la clasificación de la información;</w:t>
      </w:r>
    </w:p>
    <w:p w14:paraId="1B2726F9"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p>
    <w:p w14:paraId="480ED022"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 xml:space="preserve">Artículo 91. </w:t>
      </w:r>
      <w:r w:rsidRPr="0024420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B539299"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p>
    <w:p w14:paraId="502BE726"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i/>
          <w:sz w:val="22"/>
          <w:szCs w:val="22"/>
        </w:rPr>
        <w:t>Artículo 137</w:t>
      </w:r>
      <w:r w:rsidRPr="0024420A">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F4F887A"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i/>
          <w:sz w:val="22"/>
          <w:szCs w:val="22"/>
        </w:rPr>
        <w:t>Artículo 143</w:t>
      </w:r>
      <w:r w:rsidRPr="0024420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9338AD5" w14:textId="77777777" w:rsidR="00A417C7" w:rsidRPr="0024420A" w:rsidRDefault="00D806BB">
      <w:pPr>
        <w:shd w:val="clear" w:color="auto" w:fill="FFFFFF"/>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14:paraId="7961F766" w14:textId="77777777" w:rsidR="00A417C7" w:rsidRPr="0024420A" w:rsidRDefault="00A417C7">
      <w:pPr>
        <w:shd w:val="clear" w:color="auto" w:fill="FFFFFF"/>
        <w:spacing w:line="360" w:lineRule="auto"/>
        <w:ind w:left="851" w:right="851"/>
        <w:jc w:val="both"/>
        <w:rPr>
          <w:rFonts w:ascii="Palatino Linotype" w:eastAsia="Palatino Linotype" w:hAnsi="Palatino Linotype" w:cs="Palatino Linotype"/>
          <w:sz w:val="22"/>
          <w:szCs w:val="22"/>
        </w:rPr>
      </w:pPr>
    </w:p>
    <w:p w14:paraId="3E5D0515" w14:textId="77777777" w:rsidR="00A417C7" w:rsidRPr="0024420A" w:rsidRDefault="00D806BB">
      <w:pPr>
        <w:spacing w:line="360" w:lineRule="auto"/>
        <w:ind w:right="50"/>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198C861" w14:textId="77777777" w:rsidR="00A417C7" w:rsidRPr="0024420A" w:rsidRDefault="00A417C7">
      <w:pPr>
        <w:spacing w:line="360" w:lineRule="auto"/>
        <w:ind w:right="50"/>
        <w:jc w:val="both"/>
        <w:rPr>
          <w:rFonts w:ascii="Palatino Linotype" w:eastAsia="Palatino Linotype" w:hAnsi="Palatino Linotype" w:cs="Palatino Linotype"/>
          <w:sz w:val="22"/>
          <w:szCs w:val="22"/>
        </w:rPr>
      </w:pPr>
    </w:p>
    <w:p w14:paraId="2D4BEB3C" w14:textId="77777777" w:rsidR="00A417C7" w:rsidRPr="0024420A" w:rsidRDefault="00D806BB">
      <w:pPr>
        <w:spacing w:line="360" w:lineRule="auto"/>
        <w:ind w:right="50"/>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548C26E6" w14:textId="77777777" w:rsidR="00A417C7" w:rsidRPr="0024420A" w:rsidRDefault="00A417C7">
      <w:pPr>
        <w:spacing w:line="360" w:lineRule="auto"/>
        <w:ind w:right="50"/>
        <w:jc w:val="both"/>
        <w:rPr>
          <w:rFonts w:ascii="Palatino Linotype" w:eastAsia="Palatino Linotype" w:hAnsi="Palatino Linotype" w:cs="Palatino Linotype"/>
          <w:sz w:val="22"/>
          <w:szCs w:val="22"/>
        </w:rPr>
      </w:pPr>
    </w:p>
    <w:p w14:paraId="1FBD380C" w14:textId="77777777" w:rsidR="00A417C7" w:rsidRPr="0024420A" w:rsidRDefault="00D806BB">
      <w:pPr>
        <w:spacing w:line="360" w:lineRule="auto"/>
        <w:ind w:right="50"/>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sidRPr="0024420A">
        <w:rPr>
          <w:rFonts w:ascii="Palatino Linotype" w:eastAsia="Palatino Linotype" w:hAnsi="Palatino Linotype" w:cs="Palatino Linotype"/>
          <w:sz w:val="22"/>
          <w:szCs w:val="22"/>
        </w:rPr>
        <w:t>Responsable</w:t>
      </w:r>
      <w:proofErr w:type="gramEnd"/>
      <w:r w:rsidRPr="0024420A">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391BECD1" w14:textId="77777777" w:rsidR="00A417C7" w:rsidRPr="0024420A" w:rsidRDefault="00A417C7">
      <w:pPr>
        <w:spacing w:line="360" w:lineRule="auto"/>
        <w:ind w:right="50"/>
        <w:jc w:val="both"/>
        <w:rPr>
          <w:rFonts w:ascii="Palatino Linotype" w:eastAsia="Palatino Linotype" w:hAnsi="Palatino Linotype" w:cs="Palatino Linotype"/>
          <w:sz w:val="22"/>
          <w:szCs w:val="22"/>
        </w:rPr>
      </w:pPr>
    </w:p>
    <w:p w14:paraId="7F58DA33" w14:textId="77777777" w:rsidR="00A417C7" w:rsidRPr="0024420A" w:rsidRDefault="00D806BB">
      <w:pPr>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“Artículo 49.</w:t>
      </w:r>
      <w:r w:rsidRPr="0024420A">
        <w:rPr>
          <w:rFonts w:ascii="Palatino Linotype" w:eastAsia="Palatino Linotype" w:hAnsi="Palatino Linotype" w:cs="Palatino Linotype"/>
          <w:i/>
          <w:sz w:val="22"/>
          <w:szCs w:val="22"/>
        </w:rPr>
        <w:t xml:space="preserve"> </w:t>
      </w:r>
      <w:r w:rsidRPr="0024420A">
        <w:rPr>
          <w:rFonts w:ascii="Palatino Linotype" w:eastAsia="Palatino Linotype" w:hAnsi="Palatino Linotype" w:cs="Palatino Linotype"/>
          <w:b/>
          <w:i/>
          <w:sz w:val="22"/>
          <w:szCs w:val="22"/>
        </w:rPr>
        <w:t>Los Comités de Transparencia</w:t>
      </w:r>
      <w:r w:rsidRPr="0024420A">
        <w:rPr>
          <w:rFonts w:ascii="Palatino Linotype" w:eastAsia="Palatino Linotype" w:hAnsi="Palatino Linotype" w:cs="Palatino Linotype"/>
          <w:i/>
          <w:sz w:val="22"/>
          <w:szCs w:val="22"/>
        </w:rPr>
        <w:t xml:space="preserve"> tendrán las siguientes atribuciones:</w:t>
      </w:r>
    </w:p>
    <w:p w14:paraId="0EB7D349" w14:textId="77777777" w:rsidR="00A417C7" w:rsidRPr="0024420A" w:rsidRDefault="00D806BB">
      <w:pPr>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VIII. Aprobar, modificar o revocar la clasificación de la información</w:t>
      </w:r>
      <w:r w:rsidRPr="0024420A">
        <w:rPr>
          <w:rFonts w:ascii="Palatino Linotype" w:eastAsia="Palatino Linotype" w:hAnsi="Palatino Linotype" w:cs="Palatino Linotype"/>
          <w:i/>
          <w:sz w:val="22"/>
          <w:szCs w:val="22"/>
        </w:rPr>
        <w:t>…”</w:t>
      </w:r>
    </w:p>
    <w:p w14:paraId="3D315BA1" w14:textId="77777777" w:rsidR="00A417C7" w:rsidRPr="0024420A" w:rsidRDefault="00D806BB">
      <w:pPr>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w:t>
      </w:r>
      <w:r w:rsidRPr="0024420A">
        <w:rPr>
          <w:rFonts w:ascii="Palatino Linotype" w:eastAsia="Palatino Linotype" w:hAnsi="Palatino Linotype" w:cs="Palatino Linotype"/>
          <w:b/>
          <w:i/>
          <w:sz w:val="22"/>
          <w:szCs w:val="22"/>
        </w:rPr>
        <w:t>Artículo 53.</w:t>
      </w:r>
      <w:r w:rsidRPr="0024420A">
        <w:rPr>
          <w:rFonts w:ascii="Palatino Linotype" w:eastAsia="Palatino Linotype" w:hAnsi="Palatino Linotype" w:cs="Palatino Linotype"/>
          <w:i/>
          <w:sz w:val="22"/>
          <w:szCs w:val="22"/>
        </w:rPr>
        <w:t xml:space="preserve"> Las </w:t>
      </w:r>
      <w:r w:rsidRPr="0024420A">
        <w:rPr>
          <w:rFonts w:ascii="Palatino Linotype" w:eastAsia="Palatino Linotype" w:hAnsi="Palatino Linotype" w:cs="Palatino Linotype"/>
          <w:b/>
          <w:i/>
          <w:sz w:val="22"/>
          <w:szCs w:val="22"/>
        </w:rPr>
        <w:t>Unidades de Transparencia</w:t>
      </w:r>
      <w:r w:rsidRPr="0024420A">
        <w:rPr>
          <w:rFonts w:ascii="Palatino Linotype" w:eastAsia="Palatino Linotype" w:hAnsi="Palatino Linotype" w:cs="Palatino Linotype"/>
          <w:i/>
          <w:sz w:val="22"/>
          <w:szCs w:val="22"/>
        </w:rPr>
        <w:t xml:space="preserve"> tendrán las siguientes </w:t>
      </w:r>
      <w:r w:rsidRPr="0024420A">
        <w:rPr>
          <w:rFonts w:ascii="Palatino Linotype" w:eastAsia="Palatino Linotype" w:hAnsi="Palatino Linotype" w:cs="Palatino Linotype"/>
          <w:b/>
          <w:i/>
          <w:sz w:val="22"/>
          <w:szCs w:val="22"/>
        </w:rPr>
        <w:t>funciones</w:t>
      </w:r>
      <w:r w:rsidRPr="0024420A">
        <w:rPr>
          <w:rFonts w:ascii="Palatino Linotype" w:eastAsia="Palatino Linotype" w:hAnsi="Palatino Linotype" w:cs="Palatino Linotype"/>
          <w:i/>
          <w:sz w:val="22"/>
          <w:szCs w:val="22"/>
        </w:rPr>
        <w:t>:</w:t>
      </w:r>
    </w:p>
    <w:p w14:paraId="29950D9A" w14:textId="77777777" w:rsidR="00A417C7" w:rsidRPr="0024420A" w:rsidRDefault="00D806BB">
      <w:pPr>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X. Presentar ante el Comité, el proyecto de clasificación de información</w:t>
      </w:r>
      <w:r w:rsidRPr="0024420A">
        <w:rPr>
          <w:rFonts w:ascii="Palatino Linotype" w:eastAsia="Palatino Linotype" w:hAnsi="Palatino Linotype" w:cs="Palatino Linotype"/>
          <w:i/>
          <w:sz w:val="22"/>
          <w:szCs w:val="22"/>
        </w:rPr>
        <w:t xml:space="preserve">…” </w:t>
      </w:r>
    </w:p>
    <w:p w14:paraId="563785D1" w14:textId="77777777" w:rsidR="00A417C7" w:rsidRPr="0024420A" w:rsidRDefault="00D806BB">
      <w:pPr>
        <w:spacing w:line="276" w:lineRule="auto"/>
        <w:ind w:left="851" w:right="851"/>
        <w:jc w:val="both"/>
        <w:rPr>
          <w:rFonts w:ascii="Palatino Linotype" w:eastAsia="Palatino Linotype" w:hAnsi="Palatino Linotype" w:cs="Palatino Linotype"/>
          <w:b/>
          <w:i/>
          <w:sz w:val="22"/>
          <w:szCs w:val="22"/>
        </w:rPr>
      </w:pPr>
      <w:r w:rsidRPr="0024420A">
        <w:rPr>
          <w:rFonts w:ascii="Palatino Linotype" w:eastAsia="Palatino Linotype" w:hAnsi="Palatino Linotype" w:cs="Palatino Linotype"/>
          <w:b/>
          <w:i/>
          <w:sz w:val="22"/>
          <w:szCs w:val="22"/>
        </w:rPr>
        <w:t>“Artículo 59.</w:t>
      </w:r>
      <w:r w:rsidRPr="0024420A">
        <w:rPr>
          <w:rFonts w:ascii="Palatino Linotype" w:eastAsia="Palatino Linotype" w:hAnsi="Palatino Linotype" w:cs="Palatino Linotype"/>
          <w:i/>
          <w:sz w:val="22"/>
          <w:szCs w:val="22"/>
        </w:rPr>
        <w:t xml:space="preserve"> Los </w:t>
      </w:r>
      <w:r w:rsidRPr="0024420A">
        <w:rPr>
          <w:rFonts w:ascii="Palatino Linotype" w:eastAsia="Palatino Linotype" w:hAnsi="Palatino Linotype" w:cs="Palatino Linotype"/>
          <w:b/>
          <w:i/>
          <w:sz w:val="22"/>
          <w:szCs w:val="22"/>
        </w:rPr>
        <w:t>servidores públicos habilitados</w:t>
      </w:r>
      <w:r w:rsidRPr="0024420A">
        <w:rPr>
          <w:rFonts w:ascii="Palatino Linotype" w:eastAsia="Palatino Linotype" w:hAnsi="Palatino Linotype" w:cs="Palatino Linotype"/>
          <w:i/>
          <w:sz w:val="22"/>
          <w:szCs w:val="22"/>
        </w:rPr>
        <w:t xml:space="preserve"> tendrán las </w:t>
      </w:r>
      <w:r w:rsidRPr="0024420A">
        <w:rPr>
          <w:rFonts w:ascii="Palatino Linotype" w:eastAsia="Palatino Linotype" w:hAnsi="Palatino Linotype" w:cs="Palatino Linotype"/>
          <w:b/>
          <w:i/>
          <w:sz w:val="22"/>
          <w:szCs w:val="22"/>
        </w:rPr>
        <w:t>funciones</w:t>
      </w:r>
      <w:r w:rsidRPr="0024420A">
        <w:rPr>
          <w:rFonts w:ascii="Palatino Linotype" w:eastAsia="Palatino Linotype" w:hAnsi="Palatino Linotype" w:cs="Palatino Linotype"/>
          <w:i/>
          <w:sz w:val="22"/>
          <w:szCs w:val="22"/>
        </w:rPr>
        <w:t xml:space="preserve"> siguientes:</w:t>
      </w:r>
    </w:p>
    <w:p w14:paraId="2B157799" w14:textId="77777777" w:rsidR="00A417C7" w:rsidRPr="0024420A" w:rsidRDefault="00D806BB">
      <w:pPr>
        <w:spacing w:line="276" w:lineRule="auto"/>
        <w:ind w:left="851" w:right="85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4420A">
        <w:rPr>
          <w:rFonts w:ascii="Palatino Linotype" w:eastAsia="Palatino Linotype" w:hAnsi="Palatino Linotype" w:cs="Palatino Linotype"/>
          <w:i/>
          <w:sz w:val="22"/>
          <w:szCs w:val="22"/>
        </w:rPr>
        <w:t>, la cual tendrá los fundamentos y argumentos en que se basa dicha propuesta…”</w:t>
      </w:r>
    </w:p>
    <w:p w14:paraId="7199E5CC" w14:textId="77777777" w:rsidR="00A417C7" w:rsidRPr="0024420A" w:rsidRDefault="00A417C7">
      <w:pPr>
        <w:spacing w:line="360" w:lineRule="auto"/>
        <w:ind w:left="851" w:right="851"/>
        <w:jc w:val="both"/>
        <w:rPr>
          <w:rFonts w:ascii="Palatino Linotype" w:eastAsia="Palatino Linotype" w:hAnsi="Palatino Linotype" w:cs="Palatino Linotype"/>
          <w:i/>
          <w:sz w:val="22"/>
          <w:szCs w:val="22"/>
        </w:rPr>
      </w:pPr>
    </w:p>
    <w:p w14:paraId="3811AC4F"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90C2D71"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0337FA42"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cuyo contenido es de la literalidad siguiente:</w:t>
      </w:r>
    </w:p>
    <w:p w14:paraId="15885DEB"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2B87ACBC" w14:textId="77777777" w:rsidR="00A417C7" w:rsidRPr="0024420A" w:rsidRDefault="00D806BB">
      <w:pPr>
        <w:spacing w:line="276" w:lineRule="auto"/>
        <w:ind w:left="993" w:right="1041"/>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lastRenderedPageBreak/>
        <w:t>“</w:t>
      </w:r>
      <w:r w:rsidRPr="0024420A">
        <w:rPr>
          <w:rFonts w:ascii="Palatino Linotype" w:eastAsia="Palatino Linotype" w:hAnsi="Palatino Linotype" w:cs="Palatino Linotype"/>
          <w:b/>
          <w:i/>
          <w:sz w:val="22"/>
          <w:szCs w:val="22"/>
        </w:rPr>
        <w:t>Artículo 149.</w:t>
      </w:r>
      <w:r w:rsidRPr="0024420A">
        <w:rPr>
          <w:rFonts w:ascii="Palatino Linotype" w:eastAsia="Palatino Linotype" w:hAnsi="Palatino Linotype" w:cs="Palatino Linotype"/>
          <w:i/>
          <w:sz w:val="22"/>
          <w:szCs w:val="22"/>
        </w:rPr>
        <w:t xml:space="preserve"> El </w:t>
      </w:r>
      <w:r w:rsidRPr="0024420A">
        <w:rPr>
          <w:rFonts w:ascii="Palatino Linotype" w:eastAsia="Palatino Linotype" w:hAnsi="Palatino Linotype" w:cs="Palatino Linotype"/>
          <w:b/>
          <w:i/>
          <w:sz w:val="22"/>
          <w:szCs w:val="22"/>
        </w:rPr>
        <w:t>acuerdo que clasifique la información como confidencial</w:t>
      </w:r>
      <w:r w:rsidRPr="0024420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0EFA60CC" w14:textId="77777777" w:rsidR="00A417C7" w:rsidRPr="0024420A" w:rsidRDefault="00A417C7">
      <w:pPr>
        <w:spacing w:line="360" w:lineRule="auto"/>
        <w:ind w:left="993" w:right="1041"/>
        <w:jc w:val="both"/>
        <w:rPr>
          <w:rFonts w:ascii="Palatino Linotype" w:eastAsia="Palatino Linotype" w:hAnsi="Palatino Linotype" w:cs="Palatino Linotype"/>
          <w:i/>
          <w:sz w:val="22"/>
          <w:szCs w:val="22"/>
        </w:rPr>
      </w:pPr>
    </w:p>
    <w:p w14:paraId="366023F0" w14:textId="77777777" w:rsidR="00A417C7" w:rsidRPr="0024420A" w:rsidRDefault="00D806BB">
      <w:pPr>
        <w:spacing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214F8003" w14:textId="77777777" w:rsidR="00A417C7" w:rsidRPr="0024420A" w:rsidRDefault="00A417C7">
      <w:pPr>
        <w:spacing w:line="360" w:lineRule="auto"/>
        <w:ind w:right="49"/>
        <w:jc w:val="both"/>
        <w:rPr>
          <w:rFonts w:ascii="Palatino Linotype" w:eastAsia="Palatino Linotype" w:hAnsi="Palatino Linotype" w:cs="Palatino Linotype"/>
          <w:sz w:val="22"/>
          <w:szCs w:val="22"/>
        </w:rPr>
      </w:pPr>
    </w:p>
    <w:p w14:paraId="01EEB40F"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El artículo 143, fracción I, de la Ley de Transparencia y Acceso a la Información Pública del Estado de México y Municipios, establece que deberá omitirse, eliminarse o suprimirse la información </w:t>
      </w:r>
      <w:r w:rsidRPr="0024420A">
        <w:rPr>
          <w:rFonts w:ascii="Palatino Linotype" w:eastAsia="Palatino Linotype" w:hAnsi="Palatino Linotype" w:cs="Palatino Linotype"/>
          <w:b/>
          <w:sz w:val="22"/>
          <w:szCs w:val="22"/>
        </w:rPr>
        <w:t>confidencial</w:t>
      </w:r>
      <w:r w:rsidRPr="0024420A">
        <w:rPr>
          <w:rFonts w:ascii="Palatino Linotype" w:eastAsia="Palatino Linotype" w:hAnsi="Palatino Linotype" w:cs="Palatino Linotype"/>
          <w:sz w:val="22"/>
          <w:szCs w:val="22"/>
        </w:rPr>
        <w:t xml:space="preserve">. </w:t>
      </w:r>
    </w:p>
    <w:p w14:paraId="3D7E4312"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2FDFD60B"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w:t>
      </w:r>
      <w:r w:rsidRPr="0024420A">
        <w:rPr>
          <w:rFonts w:ascii="Palatino Linotype" w:eastAsia="Palatino Linotype" w:hAnsi="Palatino Linotype" w:cs="Palatino Linotype"/>
          <w:sz w:val="22"/>
          <w:szCs w:val="22"/>
        </w:rPr>
        <w:lastRenderedPageBreak/>
        <w:t>DE VERSIONES PÚBLICAS, publicados en el Diario Oficial de la Federación en fecha 15 de abril de 2016, mediante Acuerdo del Consejo Nacional del Sistema Nacional de Transparencia, Acceso a la Información Pública y Protección de Datos Personales.</w:t>
      </w:r>
    </w:p>
    <w:p w14:paraId="39233FEF" w14:textId="77777777" w:rsidR="00A417C7" w:rsidRPr="0024420A" w:rsidRDefault="00A417C7">
      <w:pPr>
        <w:spacing w:line="360" w:lineRule="auto"/>
        <w:jc w:val="both"/>
        <w:rPr>
          <w:rFonts w:ascii="Palatino Linotype" w:eastAsia="Palatino Linotype" w:hAnsi="Palatino Linotype" w:cs="Palatino Linotype"/>
          <w:sz w:val="22"/>
          <w:szCs w:val="22"/>
        </w:rPr>
      </w:pPr>
    </w:p>
    <w:p w14:paraId="185888CC"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 xml:space="preserve">Por lo tanto, es importante insistir que </w:t>
      </w:r>
      <w:r w:rsidRPr="0024420A">
        <w:rPr>
          <w:rFonts w:ascii="Palatino Linotype" w:eastAsia="Palatino Linotype" w:hAnsi="Palatino Linotype" w:cs="Palatino Linotype"/>
          <w:b/>
          <w:sz w:val="22"/>
          <w:szCs w:val="22"/>
        </w:rPr>
        <w:t>el Sujeto Obligado</w:t>
      </w:r>
      <w:r w:rsidRPr="0024420A">
        <w:rPr>
          <w:rFonts w:ascii="Palatino Linotype" w:eastAsia="Palatino Linotype" w:hAnsi="Palatino Linotype" w:cs="Palatino Linotype"/>
          <w:sz w:val="22"/>
          <w:szCs w:val="22"/>
        </w:rPr>
        <w:t xml:space="preserve"> deberá seguir el procedimiento legal establecido para su clasificación, esto es, que su Comité de Transparencia emita un Acuerdo de Clasificación que cumpla con las formalidades previstas, antes citadas</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sz w:val="22"/>
          <w:szCs w:val="22"/>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84ACD7"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57E76675" w14:textId="77777777" w:rsidR="00A417C7" w:rsidRPr="0024420A" w:rsidRDefault="00D806BB">
      <w:pPr>
        <w:numPr>
          <w:ilvl w:val="0"/>
          <w:numId w:val="4"/>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24420A">
        <w:rPr>
          <w:rFonts w:ascii="Palatino Linotype" w:eastAsia="Palatino Linotype" w:hAnsi="Palatino Linotype" w:cs="Palatino Linotype"/>
          <w:b/>
        </w:rPr>
        <w:t>R E S U E L V E:</w:t>
      </w:r>
    </w:p>
    <w:p w14:paraId="635272BD" w14:textId="77777777" w:rsidR="00A417C7" w:rsidRPr="0024420A" w:rsidRDefault="00D806BB">
      <w:pPr>
        <w:spacing w:before="240" w:after="240" w:line="360" w:lineRule="auto"/>
        <w:jc w:val="both"/>
        <w:rPr>
          <w:rFonts w:ascii="Palatino Linotype" w:eastAsia="Palatino Linotype" w:hAnsi="Palatino Linotype" w:cs="Palatino Linotype"/>
          <w:b/>
          <w:sz w:val="22"/>
          <w:szCs w:val="22"/>
        </w:rPr>
      </w:pPr>
      <w:bookmarkStart w:id="4" w:name="_heading=h.3znysh7" w:colFirst="0" w:colLast="0"/>
      <w:bookmarkEnd w:id="4"/>
      <w:r w:rsidRPr="0024420A">
        <w:rPr>
          <w:rFonts w:ascii="Palatino Linotype" w:eastAsia="Palatino Linotype" w:hAnsi="Palatino Linotype" w:cs="Palatino Linotype"/>
          <w:b/>
          <w:sz w:val="22"/>
          <w:szCs w:val="22"/>
        </w:rPr>
        <w:t xml:space="preserve">Primero. Se SOBRESEE </w:t>
      </w:r>
      <w:r w:rsidRPr="0024420A">
        <w:rPr>
          <w:rFonts w:ascii="Palatino Linotype" w:eastAsia="Palatino Linotype" w:hAnsi="Palatino Linotype" w:cs="Palatino Linotype"/>
          <w:sz w:val="22"/>
          <w:szCs w:val="22"/>
        </w:rPr>
        <w:t xml:space="preserve">el recurso de revisión número </w:t>
      </w:r>
      <w:r w:rsidRPr="0024420A">
        <w:rPr>
          <w:rFonts w:ascii="Palatino Linotype" w:eastAsia="Palatino Linotype" w:hAnsi="Palatino Linotype" w:cs="Palatino Linotype"/>
          <w:b/>
          <w:sz w:val="22"/>
          <w:szCs w:val="22"/>
        </w:rPr>
        <w:t>06930/INFOEM/IP/RR/2025</w:t>
      </w:r>
      <w:r w:rsidRPr="0024420A">
        <w:rPr>
          <w:rFonts w:ascii="Palatino Linotype" w:eastAsia="Palatino Linotype" w:hAnsi="Palatino Linotype" w:cs="Palatino Linotype"/>
          <w:sz w:val="22"/>
          <w:szCs w:val="22"/>
        </w:rPr>
        <w:t xml:space="preserve">, porque al colmar la pretensión de </w:t>
      </w:r>
      <w:r w:rsidRPr="0024420A">
        <w:rPr>
          <w:rFonts w:ascii="Palatino Linotype" w:eastAsia="Palatino Linotype" w:hAnsi="Palatino Linotype" w:cs="Palatino Linotype"/>
          <w:b/>
          <w:sz w:val="22"/>
          <w:szCs w:val="22"/>
        </w:rPr>
        <w:t>LA PARTE RECURRENTE</w:t>
      </w:r>
      <w:r w:rsidRPr="0024420A">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w:t>
      </w:r>
      <w:r w:rsidRPr="0024420A">
        <w:rPr>
          <w:rFonts w:ascii="Palatino Linotype" w:eastAsia="Palatino Linotype" w:hAnsi="Palatino Linotype" w:cs="Palatino Linotype"/>
          <w:sz w:val="22"/>
          <w:szCs w:val="22"/>
        </w:rPr>
        <w:lastRenderedPageBreak/>
        <w:t xml:space="preserve">fracción III de la Ley de Transparencia y Acceso a la Información Pública del Estado de México y Municipios, en términos del </w:t>
      </w:r>
      <w:r w:rsidRPr="0024420A">
        <w:rPr>
          <w:rFonts w:ascii="Palatino Linotype" w:eastAsia="Palatino Linotype" w:hAnsi="Palatino Linotype" w:cs="Palatino Linotype"/>
          <w:b/>
          <w:sz w:val="22"/>
          <w:szCs w:val="22"/>
        </w:rPr>
        <w:t>Considerando Cuarto</w:t>
      </w:r>
      <w:r w:rsidRPr="0024420A">
        <w:rPr>
          <w:rFonts w:ascii="Palatino Linotype" w:eastAsia="Palatino Linotype" w:hAnsi="Palatino Linotype" w:cs="Palatino Linotype"/>
          <w:sz w:val="22"/>
          <w:szCs w:val="22"/>
        </w:rPr>
        <w:t xml:space="preserve"> de la presente resolución.</w:t>
      </w:r>
    </w:p>
    <w:p w14:paraId="6D08AD80" w14:textId="77777777" w:rsidR="00A417C7" w:rsidRPr="0024420A" w:rsidRDefault="00D806BB">
      <w:pPr>
        <w:spacing w:before="240" w:after="240"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 xml:space="preserve">Segundo. </w:t>
      </w:r>
      <w:r w:rsidRPr="0024420A">
        <w:rPr>
          <w:rFonts w:ascii="Palatino Linotype" w:eastAsia="Palatino Linotype" w:hAnsi="Palatino Linotype" w:cs="Palatino Linotype"/>
          <w:sz w:val="22"/>
          <w:szCs w:val="22"/>
        </w:rPr>
        <w:t xml:space="preserve">Resultan </w:t>
      </w:r>
      <w:r w:rsidRPr="0024420A">
        <w:rPr>
          <w:rFonts w:ascii="Palatino Linotype" w:eastAsia="Palatino Linotype" w:hAnsi="Palatino Linotype" w:cs="Palatino Linotype"/>
          <w:b/>
          <w:sz w:val="22"/>
          <w:szCs w:val="22"/>
        </w:rPr>
        <w:t>fundadas</w:t>
      </w:r>
      <w:r w:rsidRPr="0024420A">
        <w:rPr>
          <w:rFonts w:ascii="Palatino Linotype" w:eastAsia="Palatino Linotype" w:hAnsi="Palatino Linotype" w:cs="Palatino Linotype"/>
          <w:sz w:val="22"/>
          <w:szCs w:val="22"/>
        </w:rPr>
        <w:t xml:space="preserve"> las razones o motivos de inconformidad hechos valer por </w:t>
      </w:r>
      <w:r w:rsidRPr="0024420A">
        <w:rPr>
          <w:rFonts w:ascii="Palatino Linotype" w:eastAsia="Palatino Linotype" w:hAnsi="Palatino Linotype" w:cs="Palatino Linotype"/>
          <w:b/>
          <w:sz w:val="22"/>
          <w:szCs w:val="22"/>
        </w:rPr>
        <w:t>la parte Recurrente</w:t>
      </w:r>
      <w:r w:rsidRPr="0024420A">
        <w:rPr>
          <w:rFonts w:ascii="Palatino Linotype" w:eastAsia="Palatino Linotype" w:hAnsi="Palatino Linotype" w:cs="Palatino Linotype"/>
          <w:sz w:val="22"/>
          <w:szCs w:val="22"/>
        </w:rPr>
        <w:t xml:space="preserve"> en los recursos de revisión </w:t>
      </w:r>
      <w:r w:rsidRPr="0024420A">
        <w:rPr>
          <w:rFonts w:ascii="Palatino Linotype" w:eastAsia="Palatino Linotype" w:hAnsi="Palatino Linotype" w:cs="Palatino Linotype"/>
          <w:b/>
          <w:sz w:val="22"/>
          <w:szCs w:val="22"/>
        </w:rPr>
        <w:t xml:space="preserve">06924/INFOEM/IP/RR/2025, 06925/INFOEM/IP/RR/2025, 06926/INFOEM/IP/RR/2025, 06927/INFOEM/IP/RR/2025, 06928/INFOEM/IP/RR/2025, 06931/INFOEM/IP/RR/2025, 06932/INFOEM/IP/RR/2025, 06933/INFOEM/IP/RR/2025, 07421/INFOEM/IP/RR/2025, 07422/INFOEM/IP/RR/2025, 07423/INFOEM/IP/RR/2025, 07424/INFOEM/IP/RR/2025, 07425/INFOEM/IP/RR/2025, 07426/INFOEM/IP/RR/2025, 07427/INFOEM/IP/RR/2025, 07428/INFOEM/IP/RR/2025, 07429/INFOEM/IP/RR/2025, 07430/INFOEM/IP/RR/2025, 07431/INFOEM/IP/RR/2025, 07432/INFOEM/IP/RR/2025, 07433/INFOEM/IP/RR/2025, 07434/INFOEM/IP/RR/2025, 07435/INFOEM/IP/RR/2025, 07436/INFOEM/IP/RR/2025, 07437/INFOEM/IP/RR/2025, 07438/INFOEM/IP/RR/2025, 07439/INFOEM/IP/RR/2025, 07440/INFOEM/IP/RR/2025, 07441/INFOEM/IP/RR/2025, 07442/INFOEM/IP/RR/2025, 07443/INFOEM/IP/RR/2025, 07444/INFOEM/IP/RR/2025, 07445/INFOEM/IP/RR/2025, 07446/INFOEM/IP/RR/2025, 07447/INFOEM/IP/RR/2025, 07448/INFOEM/IP/RR/2025, 07449/INFOEM/IP/RR/2025, 07450/INFOEM/IP/RR/2025, 07451/INFOEM/IP/RR/2025, 07452/INFOEM/IP/RR/2025, 07453/INFOEM/IP/RR/2025, 07454/INFOEM/IP/RR/2025, 07455/INFOEM/IP/RR/2025, 07456/INFOEM/IP/RR/2025, 07461/INFOEM/IP/RR/2025, 07462/INFOEM/IP/RR/2025, 07463/INFOEM/IP/RR/2025, 07464/INFOEM/IP/RR/2025, 07465/INFOEM/IP/RR/2025, 07466/INFOEM/IP/RR/2025, 07467/INFOEM/IP/RR/2025, 07468/INFOEM/IP/RR/2025, 07469/INFOEM/IP/RR/2025, 07470/INFOEM/IP/RR/2025, 07471/INFOEM/IP/RR/2025, 07472/INFOEM/IP/RR/2025, 07473/INFOEM/IP/RR/2025, 07474/INFOEM/IP/RR/2025, 07475/INFOEM/IP/RR/2025, 07476/INFOEM/IP/RR/2025, 07477/INFOEM/IP/RR/2025, 07509/INFOEM/IP/RR/2025, 07510/INFOEM/IP/RR/2025, 07511/INFOEM/IP/RR/2025, </w:t>
      </w:r>
      <w:r w:rsidRPr="0024420A">
        <w:rPr>
          <w:rFonts w:ascii="Palatino Linotype" w:eastAsia="Palatino Linotype" w:hAnsi="Palatino Linotype" w:cs="Palatino Linotype"/>
          <w:b/>
          <w:sz w:val="22"/>
          <w:szCs w:val="22"/>
        </w:rPr>
        <w:lastRenderedPageBreak/>
        <w:t>07512/INFOEM/IP/RR/2025, 07513/INFOEM/IP/RR/2025, 07514/INFOEM/IP/RR/2025, 07515/INFOEM/IP/RR/2025, 07516/INFOEM/IP/RR/2025, 07517/INFOEM/IP/RR/2025, 07518/INFOEM/IP/RR/2025, 07519/INFOEM/IP/RR/2025, 07520/INFOEM/IP/RR/2025, 07521/INFOEM/IP/RR/2025, 07522/INFOEM/IP/RR/2025, 07523/INFOEM/IP/RR/2025, 07524/INFOEM/IP/RR/2025, 07525/INFOEM/IP/RR/2025, 07526/INFOEM/IP/RR/2025, 07614/INFOEM/IP/RR/2025, 07615/INFOEM/IP/RR/2025, 07616/INFOEM/IP/RR/2025, 07617/INFOEM/IP/RR/2025, 07622/INFOEM/IP/RR/2025, 07623/INFOEM/IP/RR/2025, 07624/INFOEM/IP/RR/2025, 07625/INFOEM/IP/RR/2025, 07626/INFOEM/IP/RR/2025, 07627/INFOEM/IP/RR/2025, 07628/INFOEM/IP/RR/2025, 07629/INFOEM/IP/RR/2025, 07630/INFOEM/IP/RR/2025, 07631/INFOEM/IP/RR/2025, 07632/INFOEM/IP/RR/2025 y 07633/INFOEM/IP/RR/2025</w:t>
      </w:r>
      <w:r w:rsidRPr="0024420A">
        <w:rPr>
          <w:rFonts w:ascii="Palatino Linotype" w:eastAsia="Palatino Linotype" w:hAnsi="Palatino Linotype" w:cs="Palatino Linotype"/>
          <w:sz w:val="22"/>
          <w:szCs w:val="22"/>
        </w:rPr>
        <w:t xml:space="preserve">; por lo que, en términos de </w:t>
      </w:r>
      <w:r w:rsidRPr="0024420A">
        <w:rPr>
          <w:rFonts w:ascii="Palatino Linotype" w:eastAsia="Palatino Linotype" w:hAnsi="Palatino Linotype" w:cs="Palatino Linotype"/>
          <w:b/>
          <w:sz w:val="22"/>
          <w:szCs w:val="22"/>
        </w:rPr>
        <w:t>Considerando</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 xml:space="preserve">Cuarto </w:t>
      </w:r>
      <w:r w:rsidRPr="0024420A">
        <w:rPr>
          <w:rFonts w:ascii="Palatino Linotype" w:eastAsia="Palatino Linotype" w:hAnsi="Palatino Linotype" w:cs="Palatino Linotype"/>
          <w:sz w:val="22"/>
          <w:szCs w:val="22"/>
        </w:rPr>
        <w:t>de esta resolución.</w:t>
      </w:r>
    </w:p>
    <w:p w14:paraId="00F4F679" w14:textId="77777777" w:rsidR="00A417C7" w:rsidRPr="0024420A" w:rsidRDefault="00D806BB">
      <w:pPr>
        <w:spacing w:before="240" w:after="240"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 xml:space="preserve">Tercero. </w:t>
      </w:r>
      <w:r w:rsidRPr="0024420A">
        <w:rPr>
          <w:rFonts w:ascii="Palatino Linotype" w:eastAsia="Palatino Linotype" w:hAnsi="Palatino Linotype" w:cs="Palatino Linotype"/>
          <w:sz w:val="22"/>
          <w:szCs w:val="22"/>
        </w:rPr>
        <w:t xml:space="preserve">Se </w:t>
      </w:r>
      <w:r w:rsidRPr="0024420A">
        <w:rPr>
          <w:rFonts w:ascii="Palatino Linotype" w:eastAsia="Palatino Linotype" w:hAnsi="Palatino Linotype" w:cs="Palatino Linotype"/>
          <w:b/>
          <w:sz w:val="22"/>
          <w:szCs w:val="22"/>
        </w:rPr>
        <w:t>Ordena</w:t>
      </w:r>
      <w:r w:rsidRPr="0024420A">
        <w:rPr>
          <w:rFonts w:ascii="Palatino Linotype" w:eastAsia="Palatino Linotype" w:hAnsi="Palatino Linotype" w:cs="Palatino Linotype"/>
          <w:sz w:val="22"/>
          <w:szCs w:val="22"/>
        </w:rPr>
        <w:t xml:space="preserve"> al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xml:space="preserve">, en términos de los Considerandos </w:t>
      </w:r>
      <w:r w:rsidRPr="0024420A">
        <w:rPr>
          <w:rFonts w:ascii="Palatino Linotype" w:eastAsia="Palatino Linotype" w:hAnsi="Palatino Linotype" w:cs="Palatino Linotype"/>
          <w:b/>
          <w:sz w:val="22"/>
          <w:szCs w:val="22"/>
        </w:rPr>
        <w:t xml:space="preserve">Cuarto y Quinto </w:t>
      </w:r>
      <w:r w:rsidRPr="0024420A">
        <w:rPr>
          <w:rFonts w:ascii="Palatino Linotype" w:eastAsia="Palatino Linotype" w:hAnsi="Palatino Linotype" w:cs="Palatino Linotype"/>
          <w:sz w:val="22"/>
          <w:szCs w:val="22"/>
        </w:rPr>
        <w:t>de esta resolución, haga entrega vía SAIMEX, de ser el caso en versión pública, los documentos donde conste la siguiente información:</w:t>
      </w:r>
    </w:p>
    <w:p w14:paraId="50A033E2" w14:textId="77777777" w:rsidR="00A417C7" w:rsidRPr="0024420A" w:rsidRDefault="00D806BB">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Pólizas de Egresos de enero, febrero y marzo 2025</w:t>
      </w:r>
    </w:p>
    <w:p w14:paraId="2CF33A39" w14:textId="77777777" w:rsidR="00A417C7" w:rsidRPr="0024420A" w:rsidRDefault="00D806B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Pólizas de Egresos con su soporte documental de enero a diciembre de 2022 y 2021.</w:t>
      </w:r>
    </w:p>
    <w:p w14:paraId="0A0D68D6" w14:textId="77777777" w:rsidR="00A417C7" w:rsidRPr="0024420A" w:rsidRDefault="00D806B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Pólizas de ingresos de enero, febrero y marzo de 2023 y enero y febrero 2025.</w:t>
      </w:r>
    </w:p>
    <w:p w14:paraId="3F7BA233" w14:textId="77777777" w:rsidR="00A417C7" w:rsidRPr="0024420A" w:rsidRDefault="00D806B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Pólizas de Ingresos con su soporte documental de enero a diciembre de 2022</w:t>
      </w:r>
    </w:p>
    <w:p w14:paraId="050A4ACF" w14:textId="77777777" w:rsidR="00A417C7" w:rsidRPr="0024420A" w:rsidRDefault="00D806B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Pólizas de Ingresos con soporte documental de enero, febrero, marzo, abril, mayo, agosto, octubre y diciembre 2021</w:t>
      </w:r>
    </w:p>
    <w:p w14:paraId="76E4973A" w14:textId="77777777" w:rsidR="00A417C7" w:rsidRPr="0024420A" w:rsidRDefault="00D806B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Pólizas de cheques con soporte documental de enero, febrero y marzo 2025.</w:t>
      </w:r>
    </w:p>
    <w:p w14:paraId="3A8A7678" w14:textId="77777777" w:rsidR="00A417C7" w:rsidRPr="0024420A" w:rsidRDefault="00D806B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Pólizas de cheques con soporte documental de enero a diciembre de 2021 y 2022; y,</w:t>
      </w:r>
    </w:p>
    <w:p w14:paraId="6CEFB0BC" w14:textId="77777777" w:rsidR="00A417C7" w:rsidRPr="0024420A" w:rsidRDefault="00D806BB">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lastRenderedPageBreak/>
        <w:t>Pólizas de cheques con soporte documental de enero, febrero y de abril a diciembre de 2020.</w:t>
      </w:r>
    </w:p>
    <w:p w14:paraId="425BFFA7" w14:textId="77777777" w:rsidR="00A417C7" w:rsidRPr="0024420A" w:rsidRDefault="00D806BB">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24420A">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24420A">
        <w:rPr>
          <w:rFonts w:ascii="Palatino Linotype" w:eastAsia="Palatino Linotype" w:hAnsi="Palatino Linotype" w:cs="Palatino Linotype"/>
          <w:b/>
          <w:i/>
          <w:sz w:val="22"/>
          <w:szCs w:val="22"/>
        </w:rPr>
        <w:t>Recurrente</w:t>
      </w:r>
      <w:r w:rsidRPr="0024420A">
        <w:rPr>
          <w:rFonts w:ascii="Palatino Linotype" w:eastAsia="Palatino Linotype" w:hAnsi="Palatino Linotype" w:cs="Palatino Linotype"/>
          <w:i/>
          <w:sz w:val="22"/>
          <w:szCs w:val="22"/>
        </w:rPr>
        <w:t xml:space="preserve">, mismo que igualmente hará de su conocimiento. </w:t>
      </w:r>
    </w:p>
    <w:p w14:paraId="5E6B7E1C" w14:textId="77777777" w:rsidR="00A417C7" w:rsidRPr="0024420A" w:rsidRDefault="00A417C7">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p>
    <w:p w14:paraId="5CD1ED35" w14:textId="77777777" w:rsidR="00A417C7" w:rsidRPr="0024420A" w:rsidRDefault="00D806BB">
      <w:pPr>
        <w:spacing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Cuarto.</w:t>
      </w:r>
      <w:r w:rsidRPr="0024420A">
        <w:rPr>
          <w:rFonts w:ascii="Palatino Linotype" w:eastAsia="Palatino Linotype" w:hAnsi="Palatino Linotype" w:cs="Palatino Linotype"/>
          <w:sz w:val="22"/>
          <w:szCs w:val="22"/>
        </w:rPr>
        <w:t xml:space="preserve"> </w:t>
      </w:r>
      <w:r w:rsidRPr="0024420A">
        <w:rPr>
          <w:rFonts w:ascii="Palatino Linotype" w:eastAsia="Palatino Linotype" w:hAnsi="Palatino Linotype" w:cs="Palatino Linotype"/>
          <w:b/>
          <w:sz w:val="22"/>
          <w:szCs w:val="22"/>
        </w:rPr>
        <w:t xml:space="preserve">Notifíquese vía Sistema de Acceso a la Información Mexiquense </w:t>
      </w:r>
      <w:r w:rsidRPr="0024420A">
        <w:rPr>
          <w:rFonts w:ascii="Palatino Linotype" w:eastAsia="Palatino Linotype" w:hAnsi="Palatino Linotype" w:cs="Palatino Linotype"/>
          <w:sz w:val="22"/>
          <w:szCs w:val="22"/>
        </w:rPr>
        <w:t>la presente resolución al T</w:t>
      </w:r>
      <w:r w:rsidRPr="0024420A">
        <w:rPr>
          <w:rFonts w:ascii="Palatino Linotype" w:eastAsia="Palatino Linotype" w:hAnsi="Palatino Linotype" w:cs="Palatino Linotype"/>
          <w:b/>
          <w:sz w:val="22"/>
          <w:szCs w:val="22"/>
        </w:rPr>
        <w:t xml:space="preserve">itular de la Unidad de Transparencia </w:t>
      </w:r>
      <w:r w:rsidRPr="0024420A">
        <w:rPr>
          <w:rFonts w:ascii="Palatino Linotype" w:eastAsia="Palatino Linotype" w:hAnsi="Palatino Linotype" w:cs="Palatino Linotype"/>
          <w:sz w:val="22"/>
          <w:szCs w:val="22"/>
        </w:rPr>
        <w:t xml:space="preserve">del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85FFD0" w14:textId="77777777" w:rsidR="00A417C7" w:rsidRPr="0024420A" w:rsidRDefault="00D806BB">
      <w:pPr>
        <w:spacing w:before="240" w:after="240" w:line="360" w:lineRule="auto"/>
        <w:ind w:right="49"/>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 xml:space="preserve">Quinto. Notifíquese vía SAIMEX, </w:t>
      </w:r>
      <w:r w:rsidRPr="0024420A">
        <w:rPr>
          <w:rFonts w:ascii="Palatino Linotype" w:eastAsia="Palatino Linotype" w:hAnsi="Palatino Linotype" w:cs="Palatino Linotype"/>
          <w:sz w:val="22"/>
          <w:szCs w:val="22"/>
        </w:rPr>
        <w:t>a</w:t>
      </w:r>
      <w:r w:rsidRPr="0024420A">
        <w:rPr>
          <w:rFonts w:ascii="Palatino Linotype" w:eastAsia="Palatino Linotype" w:hAnsi="Palatino Linotype" w:cs="Palatino Linotype"/>
          <w:b/>
          <w:sz w:val="22"/>
          <w:szCs w:val="22"/>
        </w:rPr>
        <w:t xml:space="preserve"> la parte Recurrente</w:t>
      </w:r>
      <w:r w:rsidRPr="0024420A">
        <w:rPr>
          <w:rFonts w:ascii="Palatino Linotype" w:eastAsia="Palatino Linotype" w:hAnsi="Palatino Linotype" w:cs="Palatino Linotype"/>
          <w:sz w:val="22"/>
          <w:szCs w:val="22"/>
        </w:rPr>
        <w:t xml:space="preserve"> la presente resolución de conformidad con el artículo 196 de la Ley de Transparencia y Acceso a la Información Pública del Estado de México y Municipios, podrá impugnarla vía Juicio de Amparo en los términos de las leyes aplicables.</w:t>
      </w:r>
    </w:p>
    <w:p w14:paraId="3BB3CE8A" w14:textId="77777777" w:rsidR="00A417C7" w:rsidRPr="0024420A" w:rsidRDefault="00D806BB">
      <w:pPr>
        <w:spacing w:line="360" w:lineRule="auto"/>
        <w:jc w:val="both"/>
        <w:rPr>
          <w:rFonts w:ascii="Palatino Linotype" w:eastAsia="Palatino Linotype" w:hAnsi="Palatino Linotype" w:cs="Palatino Linotype"/>
          <w:sz w:val="22"/>
          <w:szCs w:val="22"/>
        </w:rPr>
      </w:pPr>
      <w:r w:rsidRPr="0024420A">
        <w:rPr>
          <w:rFonts w:ascii="Palatino Linotype" w:eastAsia="Palatino Linotype" w:hAnsi="Palatino Linotype" w:cs="Palatino Linotype"/>
          <w:b/>
          <w:sz w:val="22"/>
          <w:szCs w:val="22"/>
        </w:rPr>
        <w:t xml:space="preserve">Sexto. Notifíquese vía Sistema de Acceso a la Información Mexiquense </w:t>
      </w:r>
      <w:r w:rsidRPr="0024420A">
        <w:rPr>
          <w:rFonts w:ascii="Palatino Linotype" w:eastAsia="Palatino Linotype" w:hAnsi="Palatino Linotype" w:cs="Palatino Linotype"/>
          <w:sz w:val="22"/>
          <w:szCs w:val="22"/>
        </w:rPr>
        <w:t xml:space="preserve">a la parte </w:t>
      </w:r>
      <w:r w:rsidRPr="0024420A">
        <w:rPr>
          <w:rFonts w:ascii="Palatino Linotype" w:eastAsia="Palatino Linotype" w:hAnsi="Palatino Linotype" w:cs="Palatino Linotype"/>
          <w:b/>
          <w:sz w:val="22"/>
          <w:szCs w:val="22"/>
        </w:rPr>
        <w:t xml:space="preserve">Recurrente </w:t>
      </w:r>
      <w:r w:rsidRPr="0024420A">
        <w:rPr>
          <w:rFonts w:ascii="Palatino Linotype" w:eastAsia="Palatino Linotype" w:hAnsi="Palatino Linotype" w:cs="Palatino Linotype"/>
          <w:sz w:val="22"/>
          <w:szCs w:val="22"/>
        </w:rPr>
        <w:t xml:space="preserve">que la respuesta que dé el </w:t>
      </w:r>
      <w:r w:rsidRPr="0024420A">
        <w:rPr>
          <w:rFonts w:ascii="Palatino Linotype" w:eastAsia="Palatino Linotype" w:hAnsi="Palatino Linotype" w:cs="Palatino Linotype"/>
          <w:b/>
          <w:sz w:val="22"/>
          <w:szCs w:val="22"/>
        </w:rPr>
        <w:t>Sujeto Obligado</w:t>
      </w:r>
      <w:r w:rsidRPr="0024420A">
        <w:rPr>
          <w:rFonts w:ascii="Palatino Linotype" w:eastAsia="Palatino Linotype" w:hAnsi="Palatino Linotype" w:cs="Palatino Linotype"/>
          <w:sz w:val="22"/>
          <w:szCs w:val="22"/>
        </w:rPr>
        <w:t xml:space="preserve"> derivada de la presente resolución es susceptible de ser impugnadas nuevamente, mediante recurso de revisión, ante el </w:t>
      </w:r>
      <w:r w:rsidRPr="0024420A">
        <w:rPr>
          <w:rFonts w:ascii="Palatino Linotype" w:eastAsia="Palatino Linotype" w:hAnsi="Palatino Linotype" w:cs="Palatino Linotype"/>
          <w:sz w:val="22"/>
          <w:szCs w:val="22"/>
        </w:rPr>
        <w:lastRenderedPageBreak/>
        <w:t>Instituto, en términos del artículo 179, último párrafo de la Ley de Transparencia y Acceso a la Información Pública del Estado de México y Municipios.</w:t>
      </w:r>
    </w:p>
    <w:p w14:paraId="7C076742" w14:textId="77777777" w:rsidR="00A417C7" w:rsidRPr="0024420A" w:rsidRDefault="00A417C7">
      <w:pPr>
        <w:spacing w:line="360" w:lineRule="auto"/>
        <w:jc w:val="both"/>
        <w:rPr>
          <w:rFonts w:ascii="Palatino Linotype" w:eastAsia="Palatino Linotype" w:hAnsi="Palatino Linotype" w:cs="Palatino Linotype"/>
          <w:b/>
          <w:sz w:val="22"/>
          <w:szCs w:val="22"/>
        </w:rPr>
      </w:pPr>
    </w:p>
    <w:p w14:paraId="43115B18" w14:textId="77777777" w:rsidR="00A417C7" w:rsidRPr="0024420A" w:rsidRDefault="00D806BB">
      <w:pPr>
        <w:spacing w:line="360" w:lineRule="auto"/>
        <w:jc w:val="both"/>
        <w:rPr>
          <w:rFonts w:ascii="Palatino Linotype" w:eastAsia="Palatino Linotype" w:hAnsi="Palatino Linotype" w:cs="Palatino Linotype"/>
          <w:b/>
          <w:sz w:val="22"/>
          <w:szCs w:val="22"/>
        </w:rPr>
      </w:pPr>
      <w:r w:rsidRPr="0024420A">
        <w:rPr>
          <w:rFonts w:ascii="Palatino Linotype" w:eastAsia="Palatino Linotype" w:hAnsi="Palatino Linotype" w:cs="Palatino Linotype"/>
          <w:b/>
          <w:sz w:val="22"/>
          <w:szCs w:val="22"/>
        </w:rPr>
        <w:t xml:space="preserve">Séptimo. Gírese </w:t>
      </w:r>
      <w:r w:rsidRPr="0024420A">
        <w:rPr>
          <w:rFonts w:ascii="Palatino Linotype" w:eastAsia="Palatino Linotype" w:hAnsi="Palatino Linotype" w:cs="Palatino Linotype"/>
          <w:sz w:val="22"/>
          <w:szCs w:val="22"/>
        </w:rPr>
        <w:t xml:space="preserve">vista a la </w:t>
      </w:r>
      <w:r w:rsidRPr="0024420A">
        <w:rPr>
          <w:rFonts w:ascii="Palatino Linotype" w:eastAsia="Palatino Linotype" w:hAnsi="Palatino Linotype" w:cs="Palatino Linotype"/>
          <w:b/>
          <w:sz w:val="22"/>
          <w:szCs w:val="22"/>
        </w:rPr>
        <w:t>Secretaría Técnica del Pleno</w:t>
      </w:r>
      <w:r w:rsidRPr="0024420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4420A">
        <w:rPr>
          <w:rFonts w:ascii="Palatino Linotype" w:eastAsia="Palatino Linotype" w:hAnsi="Palatino Linotype" w:cs="Palatino Linotype"/>
          <w:b/>
          <w:sz w:val="22"/>
          <w:szCs w:val="22"/>
        </w:rPr>
        <w:t xml:space="preserve"> </w:t>
      </w:r>
      <w:r w:rsidRPr="0024420A">
        <w:rPr>
          <w:rFonts w:ascii="Palatino Linotype" w:eastAsia="Palatino Linotype" w:hAnsi="Palatino Linotype" w:cs="Palatino Linotype"/>
          <w:sz w:val="22"/>
          <w:szCs w:val="22"/>
        </w:rPr>
        <w:t>de la presente resolución.</w:t>
      </w:r>
      <w:r w:rsidRPr="0024420A">
        <w:rPr>
          <w:rFonts w:ascii="Palatino Linotype" w:eastAsia="Palatino Linotype" w:hAnsi="Palatino Linotype" w:cs="Palatino Linotype"/>
          <w:b/>
          <w:sz w:val="22"/>
          <w:szCs w:val="22"/>
        </w:rPr>
        <w:t xml:space="preserve"> </w:t>
      </w:r>
    </w:p>
    <w:p w14:paraId="0BE074F9" w14:textId="77777777" w:rsidR="00A417C7" w:rsidRPr="00A00199" w:rsidRDefault="00D806BB">
      <w:pPr>
        <w:spacing w:before="240" w:after="240" w:line="360" w:lineRule="auto"/>
        <w:jc w:val="both"/>
        <w:rPr>
          <w:rFonts w:ascii="Palatino Linotype" w:eastAsia="Palatino Linotype" w:hAnsi="Palatino Linotype" w:cs="Palatino Linotype"/>
        </w:rPr>
        <w:sectPr w:rsidR="00A417C7" w:rsidRPr="00A00199">
          <w:headerReference w:type="even" r:id="rId12"/>
          <w:headerReference w:type="default" r:id="rId13"/>
          <w:footerReference w:type="even" r:id="rId14"/>
          <w:footerReference w:type="default" r:id="rId15"/>
          <w:headerReference w:type="first" r:id="rId16"/>
          <w:footerReference w:type="first" r:id="rId17"/>
          <w:pgSz w:w="12240" w:h="15840"/>
          <w:pgMar w:top="621" w:right="1701" w:bottom="1701" w:left="1701" w:header="618" w:footer="709" w:gutter="0"/>
          <w:pgNumType w:start="1"/>
          <w:cols w:space="720"/>
          <w:titlePg/>
        </w:sectPr>
      </w:pPr>
      <w:r w:rsidRPr="0024420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3CF43259" w14:textId="77777777" w:rsidR="00A417C7" w:rsidRPr="00A00199" w:rsidRDefault="00A417C7">
      <w:pPr>
        <w:spacing w:before="240" w:after="240"/>
        <w:jc w:val="both"/>
        <w:rPr>
          <w:rFonts w:ascii="Palatino Linotype" w:eastAsia="Palatino Linotype" w:hAnsi="Palatino Linotype" w:cs="Palatino Linotype"/>
          <w:sz w:val="20"/>
          <w:szCs w:val="20"/>
        </w:rPr>
      </w:pPr>
    </w:p>
    <w:p w14:paraId="7F3C5B84" w14:textId="77777777" w:rsidR="00A417C7" w:rsidRPr="00A00199" w:rsidRDefault="00A417C7">
      <w:pPr>
        <w:spacing w:before="240" w:after="240"/>
        <w:jc w:val="both"/>
        <w:rPr>
          <w:rFonts w:ascii="Palatino Linotype" w:eastAsia="Palatino Linotype" w:hAnsi="Palatino Linotype" w:cs="Palatino Linotype"/>
          <w:sz w:val="20"/>
          <w:szCs w:val="20"/>
        </w:rPr>
      </w:pPr>
      <w:bookmarkStart w:id="5" w:name="_heading=h.1fob9te" w:colFirst="0" w:colLast="0"/>
      <w:bookmarkEnd w:id="5"/>
    </w:p>
    <w:sectPr w:rsidR="00A417C7" w:rsidRPr="00A00199">
      <w:headerReference w:type="first" r:id="rId18"/>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3948" w14:textId="77777777" w:rsidR="008E3883" w:rsidRDefault="008E3883">
      <w:r>
        <w:separator/>
      </w:r>
    </w:p>
  </w:endnote>
  <w:endnote w:type="continuationSeparator" w:id="0">
    <w:p w14:paraId="7868A4FB" w14:textId="77777777" w:rsidR="008E3883" w:rsidRDefault="008E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5F17" w14:textId="77777777" w:rsidR="00A417C7" w:rsidRDefault="00A417C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4F0C" w14:textId="77777777" w:rsidR="00A417C7" w:rsidRDefault="00D806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4420A">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4420A">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02CC6E68" w14:textId="77777777" w:rsidR="00A417C7" w:rsidRDefault="00A417C7">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77B44699" w14:textId="77777777" w:rsidR="00A417C7" w:rsidRDefault="00A417C7"/>
  <w:p w14:paraId="5A054BFA" w14:textId="77777777" w:rsidR="00A417C7" w:rsidRDefault="00A417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FD47" w14:textId="77777777" w:rsidR="00A417C7" w:rsidRDefault="00D806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4420A">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4420A">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287460F0" w14:textId="77777777" w:rsidR="00A417C7" w:rsidRDefault="00A417C7">
    <w:pPr>
      <w:pBdr>
        <w:top w:val="nil"/>
        <w:left w:val="nil"/>
        <w:bottom w:val="nil"/>
        <w:right w:val="nil"/>
        <w:between w:val="nil"/>
      </w:pBdr>
      <w:tabs>
        <w:tab w:val="center" w:pos="4252"/>
        <w:tab w:val="right" w:pos="8504"/>
      </w:tabs>
      <w:rPr>
        <w:rFonts w:ascii="Cambria" w:eastAsia="Cambria" w:hAnsi="Cambria" w:cs="Cambria"/>
        <w:color w:val="000000"/>
      </w:rPr>
    </w:pPr>
  </w:p>
  <w:p w14:paraId="13B7B05B" w14:textId="77777777" w:rsidR="00A417C7" w:rsidRDefault="00A417C7"/>
  <w:p w14:paraId="08F54C62" w14:textId="77777777" w:rsidR="00A417C7" w:rsidRDefault="00A41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DCB7" w14:textId="77777777" w:rsidR="008E3883" w:rsidRDefault="008E3883">
      <w:r>
        <w:separator/>
      </w:r>
    </w:p>
  </w:footnote>
  <w:footnote w:type="continuationSeparator" w:id="0">
    <w:p w14:paraId="5A6E977F" w14:textId="77777777" w:rsidR="008E3883" w:rsidRDefault="008E3883">
      <w:r>
        <w:continuationSeparator/>
      </w:r>
    </w:p>
  </w:footnote>
  <w:footnote w:id="1">
    <w:p w14:paraId="0C5E6AA8" w14:textId="77777777" w:rsidR="00A417C7" w:rsidRDefault="00D806BB">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1D2E6282" w14:textId="77777777" w:rsidR="00A417C7" w:rsidRDefault="00D806BB">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1785E6E7" w14:textId="77777777" w:rsidR="00A417C7" w:rsidRDefault="00D806BB">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06F7DEF3" w14:textId="77777777" w:rsidR="00A417C7" w:rsidRDefault="00D806BB">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E30B823" w14:textId="77777777" w:rsidR="00A417C7" w:rsidRDefault="00D806B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 w:id="3">
    <w:p w14:paraId="5E1508D4" w14:textId="77777777" w:rsidR="00A417C7" w:rsidRDefault="00D806B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FD60" w14:textId="77777777" w:rsidR="00A417C7" w:rsidRDefault="00A417C7">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DAAA" w14:textId="77777777" w:rsidR="00A417C7" w:rsidRDefault="00D806BB">
    <w:pPr>
      <w:ind w:right="758"/>
      <w:rPr>
        <w:rFonts w:ascii="Cambria" w:eastAsia="Cambria" w:hAnsi="Cambria" w:cs="Cambria"/>
        <w:color w:val="000000"/>
      </w:rPr>
    </w:pPr>
    <w:r>
      <w:rPr>
        <w:noProof/>
      </w:rPr>
      <w:drawing>
        <wp:anchor distT="0" distB="0" distL="0" distR="0" simplePos="0" relativeHeight="251658240" behindDoc="1" locked="0" layoutInCell="1" hidden="0" allowOverlap="1" wp14:anchorId="1181408B" wp14:editId="2695C7AD">
          <wp:simplePos x="0" y="0"/>
          <wp:positionH relativeFrom="column">
            <wp:posOffset>-1080123</wp:posOffset>
          </wp:positionH>
          <wp:positionV relativeFrom="paragraph">
            <wp:posOffset>-234299</wp:posOffset>
          </wp:positionV>
          <wp:extent cx="7809865" cy="10165715"/>
          <wp:effectExtent l="0" t="0" r="0" b="0"/>
          <wp:wrapNone/>
          <wp:docPr id="3260217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7"/>
      <w:tblW w:w="5811" w:type="dxa"/>
      <w:tblInd w:w="3261" w:type="dxa"/>
      <w:tblLayout w:type="fixed"/>
      <w:tblLook w:val="0400" w:firstRow="0" w:lastRow="0" w:firstColumn="0" w:lastColumn="0" w:noHBand="0" w:noVBand="1"/>
    </w:tblPr>
    <w:tblGrid>
      <w:gridCol w:w="2390"/>
      <w:gridCol w:w="3421"/>
    </w:tblGrid>
    <w:tr w:rsidR="00A417C7" w14:paraId="56E4C181" w14:textId="77777777">
      <w:trPr>
        <w:trHeight w:val="502"/>
      </w:trPr>
      <w:tc>
        <w:tcPr>
          <w:tcW w:w="2390" w:type="dxa"/>
          <w:shd w:val="clear" w:color="auto" w:fill="auto"/>
        </w:tcPr>
        <w:p w14:paraId="79407449" w14:textId="77777777" w:rsidR="00A417C7" w:rsidRDefault="00D806B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21" w:type="dxa"/>
          <w:shd w:val="clear" w:color="auto" w:fill="auto"/>
          <w:vAlign w:val="center"/>
        </w:tcPr>
        <w:p w14:paraId="38BA1C84" w14:textId="77777777" w:rsidR="00A417C7" w:rsidRDefault="00D806BB">
          <w:pPr>
            <w:ind w:right="452"/>
            <w:jc w:val="both"/>
            <w:rPr>
              <w:rFonts w:ascii="Palatino Linotype" w:eastAsia="Palatino Linotype" w:hAnsi="Palatino Linotype" w:cs="Palatino Linotype"/>
              <w:b/>
            </w:rPr>
          </w:pPr>
          <w:r>
            <w:rPr>
              <w:rFonts w:ascii="Palatino Linotype" w:eastAsia="Palatino Linotype" w:hAnsi="Palatino Linotype" w:cs="Palatino Linotype"/>
              <w:b/>
            </w:rPr>
            <w:t>06924/INFOEM/IP/RR/2025</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y acumulado</w:t>
          </w:r>
        </w:p>
      </w:tc>
    </w:tr>
    <w:tr w:rsidR="00A417C7" w14:paraId="4ED97750" w14:textId="77777777">
      <w:trPr>
        <w:trHeight w:val="190"/>
      </w:trPr>
      <w:tc>
        <w:tcPr>
          <w:tcW w:w="2390" w:type="dxa"/>
          <w:shd w:val="clear" w:color="auto" w:fill="auto"/>
          <w:vAlign w:val="center"/>
        </w:tcPr>
        <w:p w14:paraId="20E04BA1" w14:textId="77777777" w:rsidR="00A417C7" w:rsidRDefault="00D806B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21" w:type="dxa"/>
          <w:shd w:val="clear" w:color="auto" w:fill="auto"/>
          <w:vAlign w:val="center"/>
        </w:tcPr>
        <w:p w14:paraId="57C22A31" w14:textId="77777777" w:rsidR="00A417C7" w:rsidRDefault="00D806BB">
          <w:pPr>
            <w:ind w:left="27" w:right="-399"/>
            <w:jc w:val="both"/>
            <w:rPr>
              <w:rFonts w:ascii="Palatino Linotype" w:eastAsia="Palatino Linotype" w:hAnsi="Palatino Linotype" w:cs="Palatino Linotype"/>
              <w:b/>
            </w:rPr>
          </w:pPr>
          <w:r>
            <w:rPr>
              <w:rFonts w:ascii="Palatino Linotype" w:eastAsia="Palatino Linotype" w:hAnsi="Palatino Linotype" w:cs="Palatino Linotype"/>
              <w:b/>
            </w:rPr>
            <w:t>Ayuntamiento de Teoloyucan</w:t>
          </w:r>
        </w:p>
      </w:tc>
    </w:tr>
    <w:tr w:rsidR="00A417C7" w14:paraId="648BF7BD" w14:textId="77777777">
      <w:trPr>
        <w:trHeight w:val="251"/>
      </w:trPr>
      <w:tc>
        <w:tcPr>
          <w:tcW w:w="2390" w:type="dxa"/>
          <w:shd w:val="clear" w:color="auto" w:fill="auto"/>
          <w:vAlign w:val="center"/>
        </w:tcPr>
        <w:p w14:paraId="07C305EB" w14:textId="77777777" w:rsidR="00A417C7" w:rsidRDefault="00D806BB">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21" w:type="dxa"/>
          <w:shd w:val="clear" w:color="auto" w:fill="auto"/>
          <w:vAlign w:val="center"/>
        </w:tcPr>
        <w:p w14:paraId="5FC6B148" w14:textId="77777777" w:rsidR="00A417C7" w:rsidRDefault="00D806BB">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8ABECAB" w14:textId="77777777" w:rsidR="00A417C7" w:rsidRDefault="00D806BB">
    <w:pPr>
      <w:rPr>
        <w:rFonts w:ascii="Cambria" w:eastAsia="Cambria" w:hAnsi="Cambria" w:cs="Cambria"/>
        <w:color w:val="000000"/>
      </w:rPr>
    </w:pPr>
    <w:r>
      <w:tab/>
    </w:r>
  </w:p>
  <w:p w14:paraId="26A34240" w14:textId="77777777" w:rsidR="00A417C7" w:rsidRDefault="00D806BB">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13EF" w14:textId="77777777" w:rsidR="00A417C7" w:rsidRDefault="00D806B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B19EDA5" wp14:editId="0CBEBCD2">
          <wp:simplePos x="0" y="0"/>
          <wp:positionH relativeFrom="column">
            <wp:posOffset>-1058541</wp:posOffset>
          </wp:positionH>
          <wp:positionV relativeFrom="paragraph">
            <wp:posOffset>-290826</wp:posOffset>
          </wp:positionV>
          <wp:extent cx="7809865" cy="10165715"/>
          <wp:effectExtent l="0" t="0" r="0" b="0"/>
          <wp:wrapNone/>
          <wp:docPr id="3260217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8"/>
      <w:tblW w:w="6378" w:type="dxa"/>
      <w:tblInd w:w="3261" w:type="dxa"/>
      <w:tblLayout w:type="fixed"/>
      <w:tblLook w:val="0400" w:firstRow="0" w:lastRow="0" w:firstColumn="0" w:lastColumn="0" w:noHBand="0" w:noVBand="1"/>
    </w:tblPr>
    <w:tblGrid>
      <w:gridCol w:w="2512"/>
      <w:gridCol w:w="3866"/>
    </w:tblGrid>
    <w:tr w:rsidR="00A417C7" w14:paraId="5C9190DD" w14:textId="77777777">
      <w:trPr>
        <w:trHeight w:val="442"/>
      </w:trPr>
      <w:tc>
        <w:tcPr>
          <w:tcW w:w="2512" w:type="dxa"/>
          <w:shd w:val="clear" w:color="auto" w:fill="auto"/>
          <w:vAlign w:val="center"/>
        </w:tcPr>
        <w:p w14:paraId="4F795A11" w14:textId="77777777" w:rsidR="00A417C7" w:rsidRDefault="00D806B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shd w:val="clear" w:color="auto" w:fill="auto"/>
          <w:vAlign w:val="center"/>
        </w:tcPr>
        <w:p w14:paraId="7D811863" w14:textId="77777777" w:rsidR="00A417C7" w:rsidRDefault="00D806BB">
          <w:pPr>
            <w:tabs>
              <w:tab w:val="left" w:pos="2334"/>
            </w:tabs>
            <w:ind w:left="-76" w:right="877"/>
            <w:jc w:val="both"/>
            <w:rPr>
              <w:rFonts w:ascii="Palatino Linotype" w:eastAsia="Palatino Linotype" w:hAnsi="Palatino Linotype" w:cs="Palatino Linotype"/>
              <w:b/>
            </w:rPr>
          </w:pPr>
          <w:r>
            <w:rPr>
              <w:rFonts w:ascii="Palatino Linotype" w:eastAsia="Palatino Linotype" w:hAnsi="Palatino Linotype" w:cs="Palatino Linotype"/>
              <w:b/>
            </w:rPr>
            <w:t>06924/INFOEM/IP/RR/2025 y acumulados</w:t>
          </w:r>
        </w:p>
      </w:tc>
    </w:tr>
    <w:tr w:rsidR="00A417C7" w14:paraId="72894BA1" w14:textId="77777777">
      <w:trPr>
        <w:trHeight w:val="95"/>
      </w:trPr>
      <w:tc>
        <w:tcPr>
          <w:tcW w:w="2512" w:type="dxa"/>
          <w:shd w:val="clear" w:color="auto" w:fill="auto"/>
          <w:vAlign w:val="center"/>
        </w:tcPr>
        <w:p w14:paraId="576F54B6" w14:textId="77777777" w:rsidR="00A417C7" w:rsidRDefault="00D806B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shd w:val="clear" w:color="auto" w:fill="auto"/>
          <w:vAlign w:val="center"/>
        </w:tcPr>
        <w:p w14:paraId="6511AF91" w14:textId="77777777" w:rsidR="00A417C7" w:rsidRDefault="00A417C7">
          <w:pPr>
            <w:ind w:left="-76" w:right="1019"/>
            <w:jc w:val="both"/>
            <w:rPr>
              <w:rFonts w:ascii="Palatino Linotype" w:eastAsia="Palatino Linotype" w:hAnsi="Palatino Linotype" w:cs="Palatino Linotype"/>
              <w:b/>
            </w:rPr>
          </w:pPr>
        </w:p>
      </w:tc>
    </w:tr>
    <w:tr w:rsidR="00A417C7" w14:paraId="313522EA" w14:textId="77777777">
      <w:trPr>
        <w:trHeight w:val="168"/>
      </w:trPr>
      <w:tc>
        <w:tcPr>
          <w:tcW w:w="2512" w:type="dxa"/>
          <w:shd w:val="clear" w:color="auto" w:fill="auto"/>
          <w:vAlign w:val="center"/>
        </w:tcPr>
        <w:p w14:paraId="1827464B" w14:textId="77777777" w:rsidR="00A417C7" w:rsidRDefault="00D806B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shd w:val="clear" w:color="auto" w:fill="auto"/>
          <w:vAlign w:val="center"/>
        </w:tcPr>
        <w:p w14:paraId="35C066D1" w14:textId="77777777" w:rsidR="00A417C7" w:rsidRDefault="00D806BB">
          <w:pPr>
            <w:ind w:left="-76" w:right="310"/>
            <w:jc w:val="both"/>
            <w:rPr>
              <w:rFonts w:ascii="Palatino Linotype" w:eastAsia="Palatino Linotype" w:hAnsi="Palatino Linotype" w:cs="Palatino Linotype"/>
              <w:b/>
            </w:rPr>
          </w:pPr>
          <w:r>
            <w:rPr>
              <w:rFonts w:ascii="Palatino Linotype" w:eastAsia="Palatino Linotype" w:hAnsi="Palatino Linotype" w:cs="Palatino Linotype"/>
              <w:b/>
            </w:rPr>
            <w:t>Ayuntamiento de Teoloyucan</w:t>
          </w:r>
        </w:p>
      </w:tc>
    </w:tr>
    <w:tr w:rsidR="00A417C7" w14:paraId="3FF8EE96" w14:textId="77777777">
      <w:trPr>
        <w:trHeight w:val="221"/>
      </w:trPr>
      <w:tc>
        <w:tcPr>
          <w:tcW w:w="2512" w:type="dxa"/>
          <w:shd w:val="clear" w:color="auto" w:fill="auto"/>
          <w:vAlign w:val="center"/>
        </w:tcPr>
        <w:p w14:paraId="5E892D51" w14:textId="77777777" w:rsidR="00A417C7" w:rsidRDefault="00D806B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shd w:val="clear" w:color="auto" w:fill="auto"/>
          <w:vAlign w:val="center"/>
        </w:tcPr>
        <w:p w14:paraId="4F9C731D" w14:textId="77777777" w:rsidR="00A417C7" w:rsidRDefault="00D806BB">
          <w:pPr>
            <w:ind w:left="-76"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BE5BC2B" w14:textId="77777777" w:rsidR="00A417C7" w:rsidRDefault="00A417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56E9" w14:textId="77777777" w:rsidR="00A417C7" w:rsidRDefault="00A417C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AF7"/>
    <w:multiLevelType w:val="multilevel"/>
    <w:tmpl w:val="F13ACD6E"/>
    <w:lvl w:ilvl="0">
      <w:start w:val="7"/>
      <w:numFmt w:val="upperRoman"/>
      <w:pStyle w:val="Listaconvietas3"/>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4C63E4"/>
    <w:multiLevelType w:val="multilevel"/>
    <w:tmpl w:val="EB466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3035A9"/>
    <w:multiLevelType w:val="multilevel"/>
    <w:tmpl w:val="BC4083F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347402"/>
    <w:multiLevelType w:val="multilevel"/>
    <w:tmpl w:val="8714A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C7"/>
    <w:rsid w:val="0024420A"/>
    <w:rsid w:val="00376E53"/>
    <w:rsid w:val="008E3883"/>
    <w:rsid w:val="00A00199"/>
    <w:rsid w:val="00A417C7"/>
    <w:rsid w:val="00D806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C9F7"/>
  <w15:docId w15:val="{58F91A8E-D08C-4512-9B6E-11C454E9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character" w:customStyle="1" w:styleId="SubttuloCar">
    <w:name w:val="Subtítulo Car"/>
    <w:basedOn w:val="Fuentedeprrafopredeter"/>
    <w:uiPriority w:val="11"/>
    <w:rsid w:val="00D91005"/>
    <w:rPr>
      <w:color w:val="5A5A5A" w:themeColor="text1" w:themeTint="A5"/>
      <w:spacing w:val="15"/>
      <w:sz w:val="22"/>
      <w:szCs w:val="22"/>
      <w:lang w:val="es-ES"/>
    </w:r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rPr>
      <w:sz w:val="22"/>
      <w:szCs w:val="22"/>
    </w:rPr>
    <w:tblPr>
      <w:tblStyleRowBandSize w:val="1"/>
      <w:tblStyleColBandSize w:val="1"/>
      <w:tblCellMar>
        <w:left w:w="115" w:type="dxa"/>
        <w:right w:w="115" w:type="dxa"/>
      </w:tblCellMar>
    </w:tblPr>
  </w:style>
  <w:style w:type="table" w:customStyle="1" w:styleId="36">
    <w:name w:val="36"/>
    <w:basedOn w:val="TableNormal20"/>
    <w:rPr>
      <w:sz w:val="22"/>
      <w:szCs w:val="22"/>
    </w:rPr>
    <w:tblPr>
      <w:tblStyleRowBandSize w:val="1"/>
      <w:tblStyleColBandSize w:val="1"/>
      <w:tblCellMar>
        <w:left w:w="115" w:type="dxa"/>
        <w:right w:w="115" w:type="dxa"/>
      </w:tblCellMar>
    </w:tblPr>
  </w:style>
  <w:style w:type="table" w:customStyle="1" w:styleId="35">
    <w:name w:val="35"/>
    <w:basedOn w:val="TableNormal20"/>
    <w:rPr>
      <w:sz w:val="22"/>
      <w:szCs w:val="22"/>
    </w:rPr>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tblPr>
      <w:tblStyleRowBandSize w:val="1"/>
      <w:tblStyleColBandSize w:val="1"/>
      <w:tblCellMar>
        <w:left w:w="115" w:type="dxa"/>
        <w:right w:w="115" w:type="dxa"/>
      </w:tblCellMar>
    </w:tblPr>
  </w:style>
  <w:style w:type="table" w:customStyle="1" w:styleId="32">
    <w:name w:val="32"/>
    <w:basedOn w:val="TableNormal20"/>
    <w:tblPr>
      <w:tblStyleRowBandSize w:val="1"/>
      <w:tblStyleColBandSize w:val="1"/>
      <w:tblCellMar>
        <w:left w:w="115" w:type="dxa"/>
        <w:right w:w="115" w:type="dxa"/>
      </w:tblCellMar>
    </w:tblPr>
  </w:style>
  <w:style w:type="table" w:customStyle="1" w:styleId="31">
    <w:name w:val="31"/>
    <w:basedOn w:val="TableNormal20"/>
    <w:tblPr>
      <w:tblStyleRowBandSize w:val="1"/>
      <w:tblStyleColBandSize w:val="1"/>
      <w:tblCellMar>
        <w:left w:w="115" w:type="dxa"/>
        <w:right w:w="115" w:type="dxa"/>
      </w:tblCellMar>
    </w:tblPr>
  </w:style>
  <w:style w:type="table" w:customStyle="1" w:styleId="30">
    <w:name w:val="30"/>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20"/>
    <w:rPr>
      <w:sz w:val="22"/>
      <w:szCs w:val="22"/>
    </w:rPr>
    <w:tblPr>
      <w:tblStyleRowBandSize w:val="1"/>
      <w:tblStyleColBandSize w:val="1"/>
      <w:tblCellMar>
        <w:left w:w="115" w:type="dxa"/>
        <w:right w:w="115" w:type="dxa"/>
      </w:tblCellMar>
    </w:tblPr>
  </w:style>
  <w:style w:type="table" w:customStyle="1" w:styleId="28">
    <w:name w:val="28"/>
    <w:basedOn w:val="TableNormal20"/>
    <w:rPr>
      <w:sz w:val="22"/>
      <w:szCs w:val="22"/>
    </w:rPr>
    <w:tblPr>
      <w:tblStyleRowBandSize w:val="1"/>
      <w:tblStyleColBandSize w:val="1"/>
      <w:tblCellMar>
        <w:left w:w="115" w:type="dxa"/>
        <w:right w:w="115" w:type="dxa"/>
      </w:tblCellMar>
    </w:tblPr>
  </w:style>
  <w:style w:type="table" w:customStyle="1" w:styleId="27">
    <w:name w:val="27"/>
    <w:basedOn w:val="TableNormal30"/>
    <w:rPr>
      <w:sz w:val="22"/>
      <w:szCs w:val="22"/>
    </w:rPr>
    <w:tblPr>
      <w:tblStyleRowBandSize w:val="1"/>
      <w:tblStyleColBandSize w:val="1"/>
      <w:tblCellMar>
        <w:left w:w="115" w:type="dxa"/>
        <w:right w:w="115" w:type="dxa"/>
      </w:tblCellMar>
    </w:tblPr>
  </w:style>
  <w:style w:type="table" w:customStyle="1" w:styleId="26">
    <w:name w:val="26"/>
    <w:basedOn w:val="TableNormal30"/>
    <w:rPr>
      <w:sz w:val="22"/>
      <w:szCs w:val="22"/>
    </w:rPr>
    <w:tblPr>
      <w:tblStyleRowBandSize w:val="1"/>
      <w:tblStyleColBandSize w:val="1"/>
      <w:tblCellMar>
        <w:left w:w="115" w:type="dxa"/>
        <w:right w:w="115" w:type="dxa"/>
      </w:tblCellMar>
    </w:tblPr>
  </w:style>
  <w:style w:type="table" w:customStyle="1" w:styleId="25">
    <w:name w:val="25"/>
    <w:basedOn w:val="TableNormal30"/>
    <w:tblPr>
      <w:tblStyleRowBandSize w:val="1"/>
      <w:tblStyleColBandSize w:val="1"/>
      <w:tblCellMar>
        <w:left w:w="115" w:type="dxa"/>
        <w:right w:w="115" w:type="dxa"/>
      </w:tblCellMar>
    </w:tblPr>
  </w:style>
  <w:style w:type="table" w:customStyle="1" w:styleId="24">
    <w:name w:val="24"/>
    <w:basedOn w:val="TableNormal30"/>
    <w:rPr>
      <w:sz w:val="22"/>
      <w:szCs w:val="22"/>
    </w:rPr>
    <w:tblPr>
      <w:tblStyleRowBandSize w:val="1"/>
      <w:tblStyleColBandSize w:val="1"/>
      <w:tblCellMar>
        <w:left w:w="115" w:type="dxa"/>
        <w:right w:w="115" w:type="dxa"/>
      </w:tblCellMar>
    </w:tblPr>
  </w:style>
  <w:style w:type="table" w:customStyle="1" w:styleId="23">
    <w:name w:val="23"/>
    <w:basedOn w:val="TableNormal30"/>
    <w:rPr>
      <w:sz w:val="22"/>
      <w:szCs w:val="22"/>
    </w:rPr>
    <w:tblPr>
      <w:tblStyleRowBandSize w:val="1"/>
      <w:tblStyleColBandSize w:val="1"/>
      <w:tblCellMar>
        <w:left w:w="115" w:type="dxa"/>
        <w:right w:w="115" w:type="dxa"/>
      </w:tblCellMar>
    </w:tblPr>
  </w:style>
  <w:style w:type="table" w:customStyle="1" w:styleId="22">
    <w:name w:val="22"/>
    <w:basedOn w:val="TableNormal40"/>
    <w:rPr>
      <w:sz w:val="22"/>
      <w:szCs w:val="22"/>
    </w:rPr>
    <w:tblPr>
      <w:tblStyleRowBandSize w:val="1"/>
      <w:tblStyleColBandSize w:val="1"/>
      <w:tblCellMar>
        <w:left w:w="115" w:type="dxa"/>
        <w:right w:w="115" w:type="dxa"/>
      </w:tblCellMar>
    </w:tblPr>
  </w:style>
  <w:style w:type="table" w:customStyle="1" w:styleId="21">
    <w:name w:val="21"/>
    <w:basedOn w:val="TableNormal40"/>
    <w:rPr>
      <w:sz w:val="22"/>
      <w:szCs w:val="22"/>
    </w:rPr>
    <w:tblPr>
      <w:tblStyleRowBandSize w:val="1"/>
      <w:tblStyleColBandSize w:val="1"/>
      <w:tblCellMar>
        <w:left w:w="115" w:type="dxa"/>
        <w:right w:w="115" w:type="dxa"/>
      </w:tblCellMar>
    </w:tblPr>
  </w:style>
  <w:style w:type="table" w:customStyle="1" w:styleId="20">
    <w:name w:val="20"/>
    <w:basedOn w:val="TableNormal40"/>
    <w:rPr>
      <w:sz w:val="22"/>
      <w:szCs w:val="22"/>
    </w:rPr>
    <w:tblPr>
      <w:tblStyleRowBandSize w:val="1"/>
      <w:tblStyleColBandSize w:val="1"/>
      <w:tblCellMar>
        <w:left w:w="115" w:type="dxa"/>
        <w:right w:w="115" w:type="dxa"/>
      </w:tblCellMar>
    </w:tblPr>
  </w:style>
  <w:style w:type="table" w:customStyle="1" w:styleId="19">
    <w:name w:val="19"/>
    <w:basedOn w:val="TableNormal40"/>
    <w:rPr>
      <w:sz w:val="22"/>
      <w:szCs w:val="22"/>
    </w:rPr>
    <w:tblPr>
      <w:tblStyleRowBandSize w:val="1"/>
      <w:tblStyleColBandSize w:val="1"/>
      <w:tblCellMar>
        <w:left w:w="115" w:type="dxa"/>
        <w:right w:w="115" w:type="dxa"/>
      </w:tblCellMar>
    </w:tblPr>
  </w:style>
  <w:style w:type="table" w:customStyle="1" w:styleId="18">
    <w:name w:val="18"/>
    <w:basedOn w:val="TableNormal4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50"/>
    <w:tblPr>
      <w:tblStyleRowBandSize w:val="1"/>
      <w:tblStyleColBandSize w:val="1"/>
      <w:tblCellMar>
        <w:left w:w="115" w:type="dxa"/>
        <w:right w:w="115" w:type="dxa"/>
      </w:tblCellMar>
    </w:tblPr>
  </w:style>
  <w:style w:type="table" w:customStyle="1" w:styleId="15">
    <w:name w:val="15"/>
    <w:basedOn w:val="TableNormal50"/>
    <w:rPr>
      <w:sz w:val="22"/>
      <w:szCs w:val="22"/>
    </w:rPr>
    <w:tblPr>
      <w:tblStyleRowBandSize w:val="1"/>
      <w:tblStyleColBandSize w:val="1"/>
      <w:tblCellMar>
        <w:left w:w="115" w:type="dxa"/>
        <w:right w:w="115" w:type="dxa"/>
      </w:tblCellMar>
    </w:tblPr>
  </w:style>
  <w:style w:type="table" w:customStyle="1" w:styleId="14">
    <w:name w:val="14"/>
    <w:basedOn w:val="TableNormal50"/>
    <w:rPr>
      <w:sz w:val="22"/>
      <w:szCs w:val="22"/>
    </w:rPr>
    <w:tblPr>
      <w:tblStyleRowBandSize w:val="1"/>
      <w:tblStyleColBandSize w:val="1"/>
      <w:tblCellMar>
        <w:left w:w="115" w:type="dxa"/>
        <w:right w:w="115" w:type="dxa"/>
      </w:tblCellMar>
    </w:tblPr>
  </w:style>
  <w:style w:type="table" w:customStyle="1" w:styleId="13">
    <w:name w:val="13"/>
    <w:basedOn w:val="TableNormal60"/>
    <w:rPr>
      <w:sz w:val="22"/>
      <w:szCs w:val="22"/>
    </w:rPr>
    <w:tblPr>
      <w:tblStyleRowBandSize w:val="1"/>
      <w:tblStyleColBandSize w:val="1"/>
      <w:tblCellMar>
        <w:left w:w="115" w:type="dxa"/>
        <w:right w:w="115" w:type="dxa"/>
      </w:tblCellMar>
    </w:tblPr>
  </w:style>
  <w:style w:type="table" w:customStyle="1" w:styleId="12">
    <w:name w:val="12"/>
    <w:basedOn w:val="TableNormal60"/>
    <w:rPr>
      <w:sz w:val="22"/>
      <w:szCs w:val="22"/>
    </w:rPr>
    <w:tblPr>
      <w:tblStyleRowBandSize w:val="1"/>
      <w:tblStyleColBandSize w:val="1"/>
      <w:tblCellMar>
        <w:left w:w="115" w:type="dxa"/>
        <w:right w:w="115" w:type="dxa"/>
      </w:tblCellMar>
    </w:tblPr>
  </w:style>
  <w:style w:type="table" w:customStyle="1" w:styleId="11">
    <w:name w:val="11"/>
    <w:basedOn w:val="TableNormal60"/>
    <w:rPr>
      <w:sz w:val="22"/>
      <w:szCs w:val="22"/>
    </w:rPr>
    <w:tblPr>
      <w:tblStyleRowBandSize w:val="1"/>
      <w:tblStyleColBandSize w:val="1"/>
      <w:tblCellMar>
        <w:left w:w="115" w:type="dxa"/>
        <w:right w:w="115" w:type="dxa"/>
      </w:tblCellMar>
    </w:tblPr>
  </w:style>
  <w:style w:type="table" w:customStyle="1" w:styleId="10">
    <w:name w:val="10"/>
    <w:basedOn w:val="TableNormal60"/>
    <w:rPr>
      <w:sz w:val="22"/>
      <w:szCs w:val="22"/>
    </w:rPr>
    <w:tblPr>
      <w:tblStyleRowBandSize w:val="1"/>
      <w:tblStyleColBandSize w:val="1"/>
      <w:tblCellMar>
        <w:left w:w="115" w:type="dxa"/>
        <w:right w:w="115" w:type="dxa"/>
      </w:tblCellMar>
    </w:tblPr>
  </w:style>
  <w:style w:type="table" w:customStyle="1" w:styleId="9">
    <w:name w:val="9"/>
    <w:basedOn w:val="TableNormal70"/>
    <w:rPr>
      <w:sz w:val="22"/>
      <w:szCs w:val="22"/>
    </w:rPr>
    <w:tblPr>
      <w:tblStyleRowBandSize w:val="1"/>
      <w:tblStyleColBandSize w:val="1"/>
      <w:tblCellMar>
        <w:left w:w="115" w:type="dxa"/>
        <w:right w:w="115" w:type="dxa"/>
      </w:tblCellMar>
    </w:tblPr>
  </w:style>
  <w:style w:type="table" w:customStyle="1" w:styleId="8">
    <w:name w:val="8"/>
    <w:basedOn w:val="TableNormal70"/>
    <w:rPr>
      <w:sz w:val="22"/>
      <w:szCs w:val="22"/>
    </w:rPr>
    <w:tblPr>
      <w:tblStyleRowBandSize w:val="1"/>
      <w:tblStyleColBandSize w:val="1"/>
      <w:tblCellMar>
        <w:left w:w="115" w:type="dxa"/>
        <w:right w:w="115" w:type="dxa"/>
      </w:tblCellMar>
    </w:tblPr>
  </w:style>
  <w:style w:type="table" w:customStyle="1" w:styleId="7">
    <w:name w:val="7"/>
    <w:basedOn w:val="TableNormal70"/>
    <w:rPr>
      <w:sz w:val="22"/>
      <w:szCs w:val="22"/>
    </w:rPr>
    <w:tblPr>
      <w:tblStyleRowBandSize w:val="1"/>
      <w:tblStyleColBandSize w:val="1"/>
      <w:tblCellMar>
        <w:left w:w="115" w:type="dxa"/>
        <w:right w:w="115" w:type="dxa"/>
      </w:tblCellMar>
    </w:tblPr>
  </w:style>
  <w:style w:type="table" w:customStyle="1" w:styleId="6">
    <w:name w:val="6"/>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70"/>
    <w:rPr>
      <w:sz w:val="22"/>
      <w:szCs w:val="22"/>
    </w:rPr>
    <w:tblPr>
      <w:tblStyleRowBandSize w:val="1"/>
      <w:tblStyleColBandSize w:val="1"/>
      <w:tblCellMar>
        <w:left w:w="115" w:type="dxa"/>
        <w:right w:w="115" w:type="dxa"/>
      </w:tblCellMar>
    </w:tblPr>
  </w:style>
  <w:style w:type="table" w:customStyle="1" w:styleId="3">
    <w:name w:val="3"/>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
    <w:name w:val="2"/>
    <w:basedOn w:val="TableNormal70"/>
    <w:rPr>
      <w:sz w:val="22"/>
      <w:szCs w:val="22"/>
    </w:rPr>
    <w:tblPr>
      <w:tblStyleRowBandSize w:val="1"/>
      <w:tblStyleColBandSize w:val="1"/>
      <w:tblCellMar>
        <w:left w:w="115" w:type="dxa"/>
        <w:right w:w="115" w:type="dxa"/>
      </w:tblCellMar>
    </w:tblPr>
  </w:style>
  <w:style w:type="table" w:customStyle="1" w:styleId="1">
    <w:name w:val="1"/>
    <w:basedOn w:val="TableNormal70"/>
    <w:rPr>
      <w:sz w:val="22"/>
      <w:szCs w:val="22"/>
    </w:rPr>
    <w:tblPr>
      <w:tblStyleRowBandSize w:val="1"/>
      <w:tblStyleColBandSize w:val="1"/>
      <w:tblCellMar>
        <w:left w:w="115" w:type="dxa"/>
        <w:right w:w="115" w:type="dxa"/>
      </w:tblCellMar>
    </w:tblPr>
  </w:style>
  <w:style w:type="table" w:customStyle="1" w:styleId="a">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a"/>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652AFE"/>
  </w:style>
  <w:style w:type="table" w:customStyle="1" w:styleId="a6">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d">
    <w:basedOn w:val="TableNormal6"/>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6"/>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0">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5"/>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7">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9">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a">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b">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c">
    <w:basedOn w:val="TableNormal4"/>
    <w:tblPr>
      <w:tblStyleRowBandSize w:val="1"/>
      <w:tblStyleColBandSize w:val="1"/>
      <w:tblCellMar>
        <w:top w:w="15" w:type="dxa"/>
        <w:left w:w="15" w:type="dxa"/>
        <w:bottom w:w="15" w:type="dxa"/>
        <w:right w:w="15" w:type="dxa"/>
      </w:tblCellMar>
    </w:tblPr>
  </w:style>
  <w:style w:type="table" w:customStyle="1" w:styleId="affd">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e">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0">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1">
    <w:basedOn w:val="TableNormal3"/>
    <w:tblPr>
      <w:tblStyleRowBandSize w:val="1"/>
      <w:tblStyleColBandSize w:val="1"/>
      <w:tblCellMar>
        <w:left w:w="108" w:type="dxa"/>
        <w:right w:w="108" w:type="dxa"/>
      </w:tblCellMar>
    </w:tblPr>
  </w:style>
  <w:style w:type="table" w:customStyle="1" w:styleId="afff2">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left w:w="108" w:type="dxa"/>
        <w:right w:w="108" w:type="dxa"/>
      </w:tblCellMar>
    </w:tblPr>
  </w:style>
  <w:style w:type="table" w:customStyle="1" w:styleId="afff4">
    <w:basedOn w:val="TableNormal3"/>
    <w:tblPr>
      <w:tblStyleRowBandSize w:val="1"/>
      <w:tblStyleColBandSize w:val="1"/>
      <w:tblCellMar>
        <w:left w:w="108" w:type="dxa"/>
        <w:right w:w="108" w:type="dxa"/>
      </w:tblCellMar>
    </w:tblPr>
  </w:style>
  <w:style w:type="table" w:customStyle="1" w:styleId="afff5">
    <w:basedOn w:val="TableNormal3"/>
    <w:tblPr>
      <w:tblStyleRowBandSize w:val="1"/>
      <w:tblStyleColBandSize w:val="1"/>
      <w:tblCellMar>
        <w:left w:w="108" w:type="dxa"/>
        <w:right w:w="108" w:type="dxa"/>
      </w:tblCellMar>
    </w:tblPr>
  </w:style>
  <w:style w:type="table" w:customStyle="1" w:styleId="afff6">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7">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8">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9">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c">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d">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e">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2">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3">
    <w:basedOn w:val="TableNormal1"/>
    <w:rPr>
      <w:rFonts w:ascii="Calibri" w:eastAsia="Calibri" w:hAnsi="Calibri" w:cs="Calibri"/>
      <w:sz w:val="22"/>
      <w:szCs w:val="22"/>
    </w:rPr>
    <w:tblPr>
      <w:tblStyleRowBandSize w:val="1"/>
      <w:tblStyleColBandSize w:val="1"/>
      <w:tblCellMar>
        <w:left w:w="115" w:type="dxa"/>
        <w:right w:w="115" w:type="dxa"/>
      </w:tblCellMar>
    </w:tblPr>
  </w:style>
  <w:style w:type="paragraph" w:styleId="Subttulo">
    <w:name w:val="Subtitle"/>
    <w:basedOn w:val="Normal"/>
    <w:next w:val="Normal"/>
    <w:pPr>
      <w:spacing w:after="160"/>
    </w:pPr>
    <w:rPr>
      <w:rFonts w:ascii="Cambria" w:eastAsia="Cambria" w:hAnsi="Cambria" w:cs="Cambria"/>
      <w:color w:val="5A5A5A"/>
      <w:sz w:val="22"/>
      <w:szCs w:val="22"/>
    </w:rPr>
  </w:style>
  <w:style w:type="table" w:customStyle="1" w:styleId="aff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8">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16Vgzg9GTUVujRPbibmEhX+hg==">CgMxLjAyCGguZ2pkZ3hzMg5oLjJuaGlyeWt1OGN3azIJaC4zMGowemxsMg5oLms3dWJwcDYycXVpbjIJaC4zem55c2g3MgloLjFmb2I5dGU4AHIhMWlPV0RfMERQQ05HM3ZwQ0gwYlFKcUFXeWdBUDMwM0xU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12380</Words>
  <Characters>68093</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2025-08-15T20:23:00Z</cp:lastPrinted>
  <dcterms:created xsi:type="dcterms:W3CDTF">2025-09-04T21:42:00Z</dcterms:created>
  <dcterms:modified xsi:type="dcterms:W3CDTF">2025-09-04T21:42:00Z</dcterms:modified>
</cp:coreProperties>
</file>