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rPr>
          <w:rFonts w:ascii="Times New Roman" w:eastAsia="Times New Roman" w:hAnsi="Times New Roman" w:cs="Times New Roman"/>
          <w:color w:val="auto"/>
          <w:sz w:val="20"/>
          <w:szCs w:val="20"/>
          <w:lang w:val="es-ES" w:eastAsia="es-ES"/>
        </w:rPr>
        <w:id w:val="802194066"/>
        <w:docPartObj>
          <w:docPartGallery w:val="Table of Contents"/>
          <w:docPartUnique/>
        </w:docPartObj>
      </w:sdtPr>
      <w:sdtEndPr>
        <w:rPr>
          <w:rFonts w:ascii="Palatino Linotype" w:hAnsi="Palatino Linotype"/>
          <w:b/>
          <w:bCs/>
        </w:rPr>
      </w:sdtEndPr>
      <w:sdtContent>
        <w:p w14:paraId="6DFB0025" w14:textId="649A516F" w:rsidR="004717ED" w:rsidRPr="00AF71B0" w:rsidRDefault="004717ED">
          <w:pPr>
            <w:pStyle w:val="TtuloTDC"/>
            <w:rPr>
              <w:sz w:val="20"/>
              <w:szCs w:val="20"/>
            </w:rPr>
          </w:pPr>
          <w:r w:rsidRPr="00AF71B0">
            <w:rPr>
              <w:sz w:val="20"/>
              <w:szCs w:val="20"/>
              <w:lang w:val="es-ES"/>
            </w:rPr>
            <w:t>Tabla de contenido</w:t>
          </w:r>
        </w:p>
        <w:p w14:paraId="7F49E6B9" w14:textId="77777777" w:rsidR="00C50711" w:rsidRDefault="004717ED">
          <w:pPr>
            <w:pStyle w:val="TDC1"/>
            <w:rPr>
              <w:rFonts w:asciiTheme="minorHAnsi" w:eastAsiaTheme="minorEastAsia" w:hAnsiTheme="minorHAnsi" w:cstheme="minorBidi"/>
              <w:noProof/>
              <w:sz w:val="22"/>
              <w:szCs w:val="22"/>
              <w:lang w:eastAsia="es-MX"/>
            </w:rPr>
          </w:pPr>
          <w:r w:rsidRPr="00D006DB">
            <w:rPr>
              <w:rFonts w:ascii="Palatino Linotype" w:hAnsi="Palatino Linotype"/>
              <w:b/>
              <w:bCs/>
              <w:lang w:val="es-ES"/>
            </w:rPr>
            <w:fldChar w:fldCharType="begin"/>
          </w:r>
          <w:r w:rsidRPr="00D006DB">
            <w:rPr>
              <w:rFonts w:ascii="Palatino Linotype" w:hAnsi="Palatino Linotype"/>
              <w:b/>
              <w:bCs/>
              <w:lang w:val="es-ES"/>
            </w:rPr>
            <w:instrText xml:space="preserve"> TOC \o "1-3" \h \z \u </w:instrText>
          </w:r>
          <w:r w:rsidRPr="00D006DB">
            <w:rPr>
              <w:rFonts w:ascii="Palatino Linotype" w:hAnsi="Palatino Linotype"/>
              <w:b/>
              <w:bCs/>
              <w:lang w:val="es-ES"/>
            </w:rPr>
            <w:fldChar w:fldCharType="separate"/>
          </w:r>
          <w:hyperlink w:anchor="_Toc190695541" w:history="1">
            <w:r w:rsidR="00C50711" w:rsidRPr="00805133">
              <w:rPr>
                <w:rStyle w:val="Hipervnculo"/>
                <w:noProof/>
                <w:lang w:val="pt-BR" w:eastAsia="en-US"/>
              </w:rPr>
              <w:t>A N T E C E D E N T E S</w:t>
            </w:r>
            <w:r w:rsidR="00C50711">
              <w:rPr>
                <w:noProof/>
                <w:webHidden/>
              </w:rPr>
              <w:tab/>
            </w:r>
            <w:r w:rsidR="00C50711">
              <w:rPr>
                <w:noProof/>
                <w:webHidden/>
              </w:rPr>
              <w:fldChar w:fldCharType="begin"/>
            </w:r>
            <w:r w:rsidR="00C50711">
              <w:rPr>
                <w:noProof/>
                <w:webHidden/>
              </w:rPr>
              <w:instrText xml:space="preserve"> PAGEREF _Toc190695541 \h </w:instrText>
            </w:r>
            <w:r w:rsidR="00C50711">
              <w:rPr>
                <w:noProof/>
                <w:webHidden/>
              </w:rPr>
            </w:r>
            <w:r w:rsidR="00C50711">
              <w:rPr>
                <w:noProof/>
                <w:webHidden/>
              </w:rPr>
              <w:fldChar w:fldCharType="separate"/>
            </w:r>
            <w:r w:rsidR="00176691">
              <w:rPr>
                <w:noProof/>
                <w:webHidden/>
              </w:rPr>
              <w:t>2</w:t>
            </w:r>
            <w:r w:rsidR="00C50711">
              <w:rPr>
                <w:noProof/>
                <w:webHidden/>
              </w:rPr>
              <w:fldChar w:fldCharType="end"/>
            </w:r>
          </w:hyperlink>
        </w:p>
        <w:p w14:paraId="512535BA" w14:textId="77777777" w:rsidR="00C50711" w:rsidRDefault="00C50711">
          <w:pPr>
            <w:pStyle w:val="TDC2"/>
            <w:tabs>
              <w:tab w:val="right" w:leader="dot" w:pos="9034"/>
            </w:tabs>
            <w:rPr>
              <w:rFonts w:asciiTheme="minorHAnsi" w:eastAsiaTheme="minorEastAsia" w:hAnsiTheme="minorHAnsi" w:cstheme="minorBidi"/>
              <w:noProof/>
              <w:sz w:val="22"/>
              <w:szCs w:val="22"/>
              <w:lang w:eastAsia="es-MX"/>
            </w:rPr>
          </w:pPr>
          <w:hyperlink w:anchor="_Toc190695542" w:history="1">
            <w:r w:rsidRPr="00805133">
              <w:rPr>
                <w:rStyle w:val="Hipervnculo"/>
                <w:noProof/>
                <w:lang w:eastAsia="en-US"/>
              </w:rPr>
              <w:t>I. Presentación de la solicitud de información</w:t>
            </w:r>
            <w:r>
              <w:rPr>
                <w:noProof/>
                <w:webHidden/>
              </w:rPr>
              <w:tab/>
            </w:r>
            <w:r>
              <w:rPr>
                <w:noProof/>
                <w:webHidden/>
              </w:rPr>
              <w:fldChar w:fldCharType="begin"/>
            </w:r>
            <w:r>
              <w:rPr>
                <w:noProof/>
                <w:webHidden/>
              </w:rPr>
              <w:instrText xml:space="preserve"> PAGEREF _Toc190695542 \h </w:instrText>
            </w:r>
            <w:r>
              <w:rPr>
                <w:noProof/>
                <w:webHidden/>
              </w:rPr>
            </w:r>
            <w:r>
              <w:rPr>
                <w:noProof/>
                <w:webHidden/>
              </w:rPr>
              <w:fldChar w:fldCharType="separate"/>
            </w:r>
            <w:r w:rsidR="00176691">
              <w:rPr>
                <w:noProof/>
                <w:webHidden/>
              </w:rPr>
              <w:t>2</w:t>
            </w:r>
            <w:r>
              <w:rPr>
                <w:noProof/>
                <w:webHidden/>
              </w:rPr>
              <w:fldChar w:fldCharType="end"/>
            </w:r>
          </w:hyperlink>
        </w:p>
        <w:p w14:paraId="1B8AF76A" w14:textId="77777777" w:rsidR="00C50711" w:rsidRDefault="00C50711">
          <w:pPr>
            <w:pStyle w:val="TDC2"/>
            <w:tabs>
              <w:tab w:val="right" w:leader="dot" w:pos="9034"/>
            </w:tabs>
            <w:rPr>
              <w:rFonts w:asciiTheme="minorHAnsi" w:eastAsiaTheme="minorEastAsia" w:hAnsiTheme="minorHAnsi" w:cstheme="minorBidi"/>
              <w:noProof/>
              <w:sz w:val="22"/>
              <w:szCs w:val="22"/>
              <w:lang w:eastAsia="es-MX"/>
            </w:rPr>
          </w:pPr>
          <w:hyperlink w:anchor="_Toc190695543" w:history="1">
            <w:r w:rsidRPr="00805133">
              <w:rPr>
                <w:rStyle w:val="Hipervnculo"/>
                <w:noProof/>
              </w:rPr>
              <w:t>II. Respuesta del Sujeto Obligado</w:t>
            </w:r>
            <w:r>
              <w:rPr>
                <w:noProof/>
                <w:webHidden/>
              </w:rPr>
              <w:tab/>
            </w:r>
            <w:r>
              <w:rPr>
                <w:noProof/>
                <w:webHidden/>
              </w:rPr>
              <w:fldChar w:fldCharType="begin"/>
            </w:r>
            <w:r>
              <w:rPr>
                <w:noProof/>
                <w:webHidden/>
              </w:rPr>
              <w:instrText xml:space="preserve"> PAGEREF _Toc190695543 \h </w:instrText>
            </w:r>
            <w:r>
              <w:rPr>
                <w:noProof/>
                <w:webHidden/>
              </w:rPr>
            </w:r>
            <w:r>
              <w:rPr>
                <w:noProof/>
                <w:webHidden/>
              </w:rPr>
              <w:fldChar w:fldCharType="separate"/>
            </w:r>
            <w:r w:rsidR="00176691">
              <w:rPr>
                <w:noProof/>
                <w:webHidden/>
              </w:rPr>
              <w:t>3</w:t>
            </w:r>
            <w:r>
              <w:rPr>
                <w:noProof/>
                <w:webHidden/>
              </w:rPr>
              <w:fldChar w:fldCharType="end"/>
            </w:r>
          </w:hyperlink>
        </w:p>
        <w:p w14:paraId="3D4264FD" w14:textId="77777777" w:rsidR="00C50711" w:rsidRDefault="00C50711">
          <w:pPr>
            <w:pStyle w:val="TDC2"/>
            <w:tabs>
              <w:tab w:val="right" w:leader="dot" w:pos="9034"/>
            </w:tabs>
            <w:rPr>
              <w:rFonts w:asciiTheme="minorHAnsi" w:eastAsiaTheme="minorEastAsia" w:hAnsiTheme="minorHAnsi" w:cstheme="minorBidi"/>
              <w:noProof/>
              <w:sz w:val="22"/>
              <w:szCs w:val="22"/>
              <w:lang w:eastAsia="es-MX"/>
            </w:rPr>
          </w:pPr>
          <w:hyperlink w:anchor="_Toc190695544" w:history="1">
            <w:r w:rsidRPr="00805133">
              <w:rPr>
                <w:rStyle w:val="Hipervnculo"/>
                <w:noProof/>
              </w:rPr>
              <w:t>III. Interposición del Recurso de Revisión</w:t>
            </w:r>
            <w:r>
              <w:rPr>
                <w:noProof/>
                <w:webHidden/>
              </w:rPr>
              <w:tab/>
            </w:r>
            <w:r>
              <w:rPr>
                <w:noProof/>
                <w:webHidden/>
              </w:rPr>
              <w:fldChar w:fldCharType="begin"/>
            </w:r>
            <w:r>
              <w:rPr>
                <w:noProof/>
                <w:webHidden/>
              </w:rPr>
              <w:instrText xml:space="preserve"> PAGEREF _Toc190695544 \h </w:instrText>
            </w:r>
            <w:r>
              <w:rPr>
                <w:noProof/>
                <w:webHidden/>
              </w:rPr>
            </w:r>
            <w:r>
              <w:rPr>
                <w:noProof/>
                <w:webHidden/>
              </w:rPr>
              <w:fldChar w:fldCharType="separate"/>
            </w:r>
            <w:r w:rsidR="00176691">
              <w:rPr>
                <w:noProof/>
                <w:webHidden/>
              </w:rPr>
              <w:t>3</w:t>
            </w:r>
            <w:r>
              <w:rPr>
                <w:noProof/>
                <w:webHidden/>
              </w:rPr>
              <w:fldChar w:fldCharType="end"/>
            </w:r>
          </w:hyperlink>
        </w:p>
        <w:p w14:paraId="372922B1" w14:textId="77777777" w:rsidR="00C50711" w:rsidRDefault="00C50711">
          <w:pPr>
            <w:pStyle w:val="TDC2"/>
            <w:tabs>
              <w:tab w:val="right" w:leader="dot" w:pos="9034"/>
            </w:tabs>
            <w:rPr>
              <w:rFonts w:asciiTheme="minorHAnsi" w:eastAsiaTheme="minorEastAsia" w:hAnsiTheme="minorHAnsi" w:cstheme="minorBidi"/>
              <w:noProof/>
              <w:sz w:val="22"/>
              <w:szCs w:val="22"/>
              <w:lang w:eastAsia="es-MX"/>
            </w:rPr>
          </w:pPr>
          <w:hyperlink w:anchor="_Toc190695545" w:history="1">
            <w:r w:rsidRPr="00805133">
              <w:rPr>
                <w:rStyle w:val="Hipervnculo"/>
                <w:noProof/>
              </w:rPr>
              <w:t>IV. Trámite del Recurso de Revisión ante el Instituto</w:t>
            </w:r>
            <w:r>
              <w:rPr>
                <w:noProof/>
                <w:webHidden/>
              </w:rPr>
              <w:tab/>
            </w:r>
            <w:r>
              <w:rPr>
                <w:noProof/>
                <w:webHidden/>
              </w:rPr>
              <w:fldChar w:fldCharType="begin"/>
            </w:r>
            <w:r>
              <w:rPr>
                <w:noProof/>
                <w:webHidden/>
              </w:rPr>
              <w:instrText xml:space="preserve"> PAGEREF _Toc190695545 \h </w:instrText>
            </w:r>
            <w:r>
              <w:rPr>
                <w:noProof/>
                <w:webHidden/>
              </w:rPr>
            </w:r>
            <w:r>
              <w:rPr>
                <w:noProof/>
                <w:webHidden/>
              </w:rPr>
              <w:fldChar w:fldCharType="separate"/>
            </w:r>
            <w:r w:rsidR="00176691">
              <w:rPr>
                <w:noProof/>
                <w:webHidden/>
              </w:rPr>
              <w:t>4</w:t>
            </w:r>
            <w:r>
              <w:rPr>
                <w:noProof/>
                <w:webHidden/>
              </w:rPr>
              <w:fldChar w:fldCharType="end"/>
            </w:r>
          </w:hyperlink>
        </w:p>
        <w:p w14:paraId="40249F8A" w14:textId="77777777" w:rsidR="00C50711" w:rsidRDefault="00C50711">
          <w:pPr>
            <w:pStyle w:val="TDC3"/>
            <w:tabs>
              <w:tab w:val="right" w:leader="dot" w:pos="9034"/>
            </w:tabs>
            <w:rPr>
              <w:rFonts w:asciiTheme="minorHAnsi" w:eastAsiaTheme="minorEastAsia" w:hAnsiTheme="minorHAnsi" w:cstheme="minorBidi"/>
              <w:noProof/>
              <w:sz w:val="22"/>
              <w:szCs w:val="22"/>
              <w:lang w:eastAsia="es-MX"/>
            </w:rPr>
          </w:pPr>
          <w:hyperlink w:anchor="_Toc190695546" w:history="1">
            <w:r w:rsidRPr="00805133">
              <w:rPr>
                <w:rStyle w:val="Hipervnculo"/>
                <w:noProof/>
              </w:rPr>
              <w:t>a) Turno del Recurso de Revisión.</w:t>
            </w:r>
            <w:r>
              <w:rPr>
                <w:noProof/>
                <w:webHidden/>
              </w:rPr>
              <w:tab/>
            </w:r>
            <w:r>
              <w:rPr>
                <w:noProof/>
                <w:webHidden/>
              </w:rPr>
              <w:fldChar w:fldCharType="begin"/>
            </w:r>
            <w:r>
              <w:rPr>
                <w:noProof/>
                <w:webHidden/>
              </w:rPr>
              <w:instrText xml:space="preserve"> PAGEREF _Toc190695546 \h </w:instrText>
            </w:r>
            <w:r>
              <w:rPr>
                <w:noProof/>
                <w:webHidden/>
              </w:rPr>
            </w:r>
            <w:r>
              <w:rPr>
                <w:noProof/>
                <w:webHidden/>
              </w:rPr>
              <w:fldChar w:fldCharType="separate"/>
            </w:r>
            <w:r w:rsidR="00176691">
              <w:rPr>
                <w:noProof/>
                <w:webHidden/>
              </w:rPr>
              <w:t>4</w:t>
            </w:r>
            <w:r>
              <w:rPr>
                <w:noProof/>
                <w:webHidden/>
              </w:rPr>
              <w:fldChar w:fldCharType="end"/>
            </w:r>
          </w:hyperlink>
        </w:p>
        <w:p w14:paraId="580956A9" w14:textId="77777777" w:rsidR="00C50711" w:rsidRDefault="00C50711">
          <w:pPr>
            <w:pStyle w:val="TDC3"/>
            <w:tabs>
              <w:tab w:val="right" w:leader="dot" w:pos="9034"/>
            </w:tabs>
            <w:rPr>
              <w:rFonts w:asciiTheme="minorHAnsi" w:eastAsiaTheme="minorEastAsia" w:hAnsiTheme="minorHAnsi" w:cstheme="minorBidi"/>
              <w:noProof/>
              <w:sz w:val="22"/>
              <w:szCs w:val="22"/>
              <w:lang w:eastAsia="es-MX"/>
            </w:rPr>
          </w:pPr>
          <w:hyperlink w:anchor="_Toc190695547" w:history="1">
            <w:r w:rsidRPr="00805133">
              <w:rPr>
                <w:rStyle w:val="Hipervnculo"/>
                <w:noProof/>
              </w:rPr>
              <w:t>b) Admisión del Recurso de Revisión.</w:t>
            </w:r>
            <w:r>
              <w:rPr>
                <w:noProof/>
                <w:webHidden/>
              </w:rPr>
              <w:tab/>
            </w:r>
            <w:r>
              <w:rPr>
                <w:noProof/>
                <w:webHidden/>
              </w:rPr>
              <w:fldChar w:fldCharType="begin"/>
            </w:r>
            <w:r>
              <w:rPr>
                <w:noProof/>
                <w:webHidden/>
              </w:rPr>
              <w:instrText xml:space="preserve"> PAGEREF _Toc190695547 \h </w:instrText>
            </w:r>
            <w:r>
              <w:rPr>
                <w:noProof/>
                <w:webHidden/>
              </w:rPr>
            </w:r>
            <w:r>
              <w:rPr>
                <w:noProof/>
                <w:webHidden/>
              </w:rPr>
              <w:fldChar w:fldCharType="separate"/>
            </w:r>
            <w:r w:rsidR="00176691">
              <w:rPr>
                <w:noProof/>
                <w:webHidden/>
              </w:rPr>
              <w:t>4</w:t>
            </w:r>
            <w:r>
              <w:rPr>
                <w:noProof/>
                <w:webHidden/>
              </w:rPr>
              <w:fldChar w:fldCharType="end"/>
            </w:r>
          </w:hyperlink>
        </w:p>
        <w:p w14:paraId="794E6FF3" w14:textId="77777777" w:rsidR="00C50711" w:rsidRDefault="00C50711">
          <w:pPr>
            <w:pStyle w:val="TDC3"/>
            <w:tabs>
              <w:tab w:val="right" w:leader="dot" w:pos="9034"/>
            </w:tabs>
            <w:rPr>
              <w:rFonts w:asciiTheme="minorHAnsi" w:eastAsiaTheme="minorEastAsia" w:hAnsiTheme="minorHAnsi" w:cstheme="minorBidi"/>
              <w:noProof/>
              <w:sz w:val="22"/>
              <w:szCs w:val="22"/>
              <w:lang w:eastAsia="es-MX"/>
            </w:rPr>
          </w:pPr>
          <w:hyperlink w:anchor="_Toc190695548" w:history="1">
            <w:r w:rsidRPr="00805133">
              <w:rPr>
                <w:rStyle w:val="Hipervnculo"/>
                <w:noProof/>
              </w:rPr>
              <w:t>c) Informe Justificado.</w:t>
            </w:r>
            <w:r>
              <w:rPr>
                <w:noProof/>
                <w:webHidden/>
              </w:rPr>
              <w:tab/>
            </w:r>
            <w:r>
              <w:rPr>
                <w:noProof/>
                <w:webHidden/>
              </w:rPr>
              <w:fldChar w:fldCharType="begin"/>
            </w:r>
            <w:r>
              <w:rPr>
                <w:noProof/>
                <w:webHidden/>
              </w:rPr>
              <w:instrText xml:space="preserve"> PAGEREF _Toc190695548 \h </w:instrText>
            </w:r>
            <w:r>
              <w:rPr>
                <w:noProof/>
                <w:webHidden/>
              </w:rPr>
            </w:r>
            <w:r>
              <w:rPr>
                <w:noProof/>
                <w:webHidden/>
              </w:rPr>
              <w:fldChar w:fldCharType="separate"/>
            </w:r>
            <w:r w:rsidR="00176691">
              <w:rPr>
                <w:noProof/>
                <w:webHidden/>
              </w:rPr>
              <w:t>4</w:t>
            </w:r>
            <w:r>
              <w:rPr>
                <w:noProof/>
                <w:webHidden/>
              </w:rPr>
              <w:fldChar w:fldCharType="end"/>
            </w:r>
          </w:hyperlink>
        </w:p>
        <w:p w14:paraId="5129C652" w14:textId="77777777" w:rsidR="00C50711" w:rsidRDefault="00C50711">
          <w:pPr>
            <w:pStyle w:val="TDC3"/>
            <w:tabs>
              <w:tab w:val="right" w:leader="dot" w:pos="9034"/>
            </w:tabs>
            <w:rPr>
              <w:rFonts w:asciiTheme="minorHAnsi" w:eastAsiaTheme="minorEastAsia" w:hAnsiTheme="minorHAnsi" w:cstheme="minorBidi"/>
              <w:noProof/>
              <w:sz w:val="22"/>
              <w:szCs w:val="22"/>
              <w:lang w:eastAsia="es-MX"/>
            </w:rPr>
          </w:pPr>
          <w:hyperlink w:anchor="_Toc190695549" w:history="1">
            <w:r w:rsidRPr="00805133">
              <w:rPr>
                <w:rStyle w:val="Hipervnculo"/>
                <w:noProof/>
              </w:rPr>
              <w:t>d) Cierre de instrucción.</w:t>
            </w:r>
            <w:r>
              <w:rPr>
                <w:noProof/>
                <w:webHidden/>
              </w:rPr>
              <w:tab/>
            </w:r>
            <w:r>
              <w:rPr>
                <w:noProof/>
                <w:webHidden/>
              </w:rPr>
              <w:fldChar w:fldCharType="begin"/>
            </w:r>
            <w:r>
              <w:rPr>
                <w:noProof/>
                <w:webHidden/>
              </w:rPr>
              <w:instrText xml:space="preserve"> PAGEREF _Toc190695549 \h </w:instrText>
            </w:r>
            <w:r>
              <w:rPr>
                <w:noProof/>
                <w:webHidden/>
              </w:rPr>
            </w:r>
            <w:r>
              <w:rPr>
                <w:noProof/>
                <w:webHidden/>
              </w:rPr>
              <w:fldChar w:fldCharType="separate"/>
            </w:r>
            <w:r w:rsidR="00176691">
              <w:rPr>
                <w:noProof/>
                <w:webHidden/>
              </w:rPr>
              <w:t>4</w:t>
            </w:r>
            <w:r>
              <w:rPr>
                <w:noProof/>
                <w:webHidden/>
              </w:rPr>
              <w:fldChar w:fldCharType="end"/>
            </w:r>
          </w:hyperlink>
        </w:p>
        <w:p w14:paraId="4AAA1A2B" w14:textId="77777777" w:rsidR="00C50711" w:rsidRDefault="00C50711">
          <w:pPr>
            <w:pStyle w:val="TDC1"/>
            <w:rPr>
              <w:rFonts w:asciiTheme="minorHAnsi" w:eastAsiaTheme="minorEastAsia" w:hAnsiTheme="minorHAnsi" w:cstheme="minorBidi"/>
              <w:noProof/>
              <w:sz w:val="22"/>
              <w:szCs w:val="22"/>
              <w:lang w:eastAsia="es-MX"/>
            </w:rPr>
          </w:pPr>
          <w:hyperlink w:anchor="_Toc190695550" w:history="1">
            <w:r w:rsidRPr="00805133">
              <w:rPr>
                <w:rStyle w:val="Hipervnculo"/>
                <w:noProof/>
                <w:lang w:val="pt-BR"/>
              </w:rPr>
              <w:t>C O N S I D E R A N D O S</w:t>
            </w:r>
            <w:r>
              <w:rPr>
                <w:noProof/>
                <w:webHidden/>
              </w:rPr>
              <w:tab/>
            </w:r>
            <w:r>
              <w:rPr>
                <w:noProof/>
                <w:webHidden/>
              </w:rPr>
              <w:fldChar w:fldCharType="begin"/>
            </w:r>
            <w:r>
              <w:rPr>
                <w:noProof/>
                <w:webHidden/>
              </w:rPr>
              <w:instrText xml:space="preserve"> PAGEREF _Toc190695550 \h </w:instrText>
            </w:r>
            <w:r>
              <w:rPr>
                <w:noProof/>
                <w:webHidden/>
              </w:rPr>
            </w:r>
            <w:r>
              <w:rPr>
                <w:noProof/>
                <w:webHidden/>
              </w:rPr>
              <w:fldChar w:fldCharType="separate"/>
            </w:r>
            <w:r w:rsidR="00176691">
              <w:rPr>
                <w:noProof/>
                <w:webHidden/>
              </w:rPr>
              <w:t>5</w:t>
            </w:r>
            <w:r>
              <w:rPr>
                <w:noProof/>
                <w:webHidden/>
              </w:rPr>
              <w:fldChar w:fldCharType="end"/>
            </w:r>
          </w:hyperlink>
        </w:p>
        <w:p w14:paraId="7ABAD06A" w14:textId="77777777" w:rsidR="00C50711" w:rsidRDefault="00C50711">
          <w:pPr>
            <w:pStyle w:val="TDC2"/>
            <w:tabs>
              <w:tab w:val="right" w:leader="dot" w:pos="9034"/>
            </w:tabs>
            <w:rPr>
              <w:rFonts w:asciiTheme="minorHAnsi" w:eastAsiaTheme="minorEastAsia" w:hAnsiTheme="minorHAnsi" w:cstheme="minorBidi"/>
              <w:noProof/>
              <w:sz w:val="22"/>
              <w:szCs w:val="22"/>
              <w:lang w:eastAsia="es-MX"/>
            </w:rPr>
          </w:pPr>
          <w:hyperlink w:anchor="_Toc190695551" w:history="1">
            <w:r w:rsidRPr="00805133">
              <w:rPr>
                <w:rStyle w:val="Hipervnculo"/>
                <w:rFonts w:eastAsia="Calibri"/>
                <w:noProof/>
                <w:lang w:val="es-ES" w:eastAsia="es-MX"/>
              </w:rPr>
              <w:t xml:space="preserve">PRIMERO. </w:t>
            </w:r>
            <w:r w:rsidRPr="00805133">
              <w:rPr>
                <w:rStyle w:val="Hipervnculo"/>
                <w:noProof/>
                <w:lang w:val="es-ES"/>
              </w:rPr>
              <w:t>Competencia</w:t>
            </w:r>
            <w:r>
              <w:rPr>
                <w:noProof/>
                <w:webHidden/>
              </w:rPr>
              <w:tab/>
            </w:r>
            <w:r>
              <w:rPr>
                <w:noProof/>
                <w:webHidden/>
              </w:rPr>
              <w:fldChar w:fldCharType="begin"/>
            </w:r>
            <w:r>
              <w:rPr>
                <w:noProof/>
                <w:webHidden/>
              </w:rPr>
              <w:instrText xml:space="preserve"> PAGEREF _Toc190695551 \h </w:instrText>
            </w:r>
            <w:r>
              <w:rPr>
                <w:noProof/>
                <w:webHidden/>
              </w:rPr>
            </w:r>
            <w:r>
              <w:rPr>
                <w:noProof/>
                <w:webHidden/>
              </w:rPr>
              <w:fldChar w:fldCharType="separate"/>
            </w:r>
            <w:r w:rsidR="00176691">
              <w:rPr>
                <w:noProof/>
                <w:webHidden/>
              </w:rPr>
              <w:t>5</w:t>
            </w:r>
            <w:r>
              <w:rPr>
                <w:noProof/>
                <w:webHidden/>
              </w:rPr>
              <w:fldChar w:fldCharType="end"/>
            </w:r>
          </w:hyperlink>
        </w:p>
        <w:p w14:paraId="6BDA68D1" w14:textId="77777777" w:rsidR="00C50711" w:rsidRDefault="00C50711">
          <w:pPr>
            <w:pStyle w:val="TDC2"/>
            <w:tabs>
              <w:tab w:val="right" w:leader="dot" w:pos="9034"/>
            </w:tabs>
            <w:rPr>
              <w:rFonts w:asciiTheme="minorHAnsi" w:eastAsiaTheme="minorEastAsia" w:hAnsiTheme="minorHAnsi" w:cstheme="minorBidi"/>
              <w:noProof/>
              <w:sz w:val="22"/>
              <w:szCs w:val="22"/>
              <w:lang w:eastAsia="es-MX"/>
            </w:rPr>
          </w:pPr>
          <w:hyperlink w:anchor="_Toc190695552" w:history="1">
            <w:r w:rsidRPr="00805133">
              <w:rPr>
                <w:rStyle w:val="Hipervnculo"/>
                <w:noProof/>
                <w:lang w:eastAsia="es-MX"/>
              </w:rPr>
              <w:t>SEGUNDO. Causales de improcedencia y sobreseimiento</w:t>
            </w:r>
            <w:r>
              <w:rPr>
                <w:noProof/>
                <w:webHidden/>
              </w:rPr>
              <w:tab/>
            </w:r>
            <w:r>
              <w:rPr>
                <w:noProof/>
                <w:webHidden/>
              </w:rPr>
              <w:fldChar w:fldCharType="begin"/>
            </w:r>
            <w:r>
              <w:rPr>
                <w:noProof/>
                <w:webHidden/>
              </w:rPr>
              <w:instrText xml:space="preserve"> PAGEREF _Toc190695552 \h </w:instrText>
            </w:r>
            <w:r>
              <w:rPr>
                <w:noProof/>
                <w:webHidden/>
              </w:rPr>
            </w:r>
            <w:r>
              <w:rPr>
                <w:noProof/>
                <w:webHidden/>
              </w:rPr>
              <w:fldChar w:fldCharType="separate"/>
            </w:r>
            <w:r w:rsidR="00176691">
              <w:rPr>
                <w:noProof/>
                <w:webHidden/>
              </w:rPr>
              <w:t>5</w:t>
            </w:r>
            <w:r>
              <w:rPr>
                <w:noProof/>
                <w:webHidden/>
              </w:rPr>
              <w:fldChar w:fldCharType="end"/>
            </w:r>
          </w:hyperlink>
        </w:p>
        <w:p w14:paraId="34F412F0" w14:textId="77777777" w:rsidR="00C50711" w:rsidRDefault="00C50711">
          <w:pPr>
            <w:pStyle w:val="TDC3"/>
            <w:tabs>
              <w:tab w:val="right" w:leader="dot" w:pos="9034"/>
            </w:tabs>
            <w:rPr>
              <w:rFonts w:asciiTheme="minorHAnsi" w:eastAsiaTheme="minorEastAsia" w:hAnsiTheme="minorHAnsi" w:cstheme="minorBidi"/>
              <w:noProof/>
              <w:sz w:val="22"/>
              <w:szCs w:val="22"/>
              <w:lang w:eastAsia="es-MX"/>
            </w:rPr>
          </w:pPr>
          <w:hyperlink w:anchor="_Toc190695553" w:history="1">
            <w:r w:rsidRPr="00805133">
              <w:rPr>
                <w:rStyle w:val="Hipervnculo"/>
                <w:noProof/>
                <w:lang w:eastAsia="es-ES_tradnl"/>
              </w:rPr>
              <w:t>Causales de sobreseimiento</w:t>
            </w:r>
            <w:r>
              <w:rPr>
                <w:noProof/>
                <w:webHidden/>
              </w:rPr>
              <w:tab/>
            </w:r>
            <w:r>
              <w:rPr>
                <w:noProof/>
                <w:webHidden/>
              </w:rPr>
              <w:fldChar w:fldCharType="begin"/>
            </w:r>
            <w:r>
              <w:rPr>
                <w:noProof/>
                <w:webHidden/>
              </w:rPr>
              <w:instrText xml:space="preserve"> PAGEREF _Toc190695553 \h </w:instrText>
            </w:r>
            <w:r>
              <w:rPr>
                <w:noProof/>
                <w:webHidden/>
              </w:rPr>
            </w:r>
            <w:r>
              <w:rPr>
                <w:noProof/>
                <w:webHidden/>
              </w:rPr>
              <w:fldChar w:fldCharType="separate"/>
            </w:r>
            <w:r w:rsidR="00176691">
              <w:rPr>
                <w:noProof/>
                <w:webHidden/>
              </w:rPr>
              <w:t>6</w:t>
            </w:r>
            <w:r>
              <w:rPr>
                <w:noProof/>
                <w:webHidden/>
              </w:rPr>
              <w:fldChar w:fldCharType="end"/>
            </w:r>
          </w:hyperlink>
        </w:p>
        <w:p w14:paraId="12874227" w14:textId="77777777" w:rsidR="00C50711" w:rsidRDefault="00C50711">
          <w:pPr>
            <w:pStyle w:val="TDC2"/>
            <w:tabs>
              <w:tab w:val="right" w:leader="dot" w:pos="9034"/>
            </w:tabs>
            <w:rPr>
              <w:rFonts w:asciiTheme="minorHAnsi" w:eastAsiaTheme="minorEastAsia" w:hAnsiTheme="minorHAnsi" w:cstheme="minorBidi"/>
              <w:noProof/>
              <w:sz w:val="22"/>
              <w:szCs w:val="22"/>
              <w:lang w:eastAsia="es-MX"/>
            </w:rPr>
          </w:pPr>
          <w:hyperlink w:anchor="_Toc190695554" w:history="1">
            <w:r w:rsidRPr="00805133">
              <w:rPr>
                <w:rStyle w:val="Hipervnculo"/>
                <w:noProof/>
                <w:lang w:val="es-ES" w:eastAsia="es-ES_tradnl"/>
              </w:rPr>
              <w:t>TERCERO. Determinación de la Controversia</w:t>
            </w:r>
            <w:r>
              <w:rPr>
                <w:noProof/>
                <w:webHidden/>
              </w:rPr>
              <w:tab/>
            </w:r>
            <w:r>
              <w:rPr>
                <w:noProof/>
                <w:webHidden/>
              </w:rPr>
              <w:fldChar w:fldCharType="begin"/>
            </w:r>
            <w:r>
              <w:rPr>
                <w:noProof/>
                <w:webHidden/>
              </w:rPr>
              <w:instrText xml:space="preserve"> PAGEREF _Toc190695554 \h </w:instrText>
            </w:r>
            <w:r>
              <w:rPr>
                <w:noProof/>
                <w:webHidden/>
              </w:rPr>
            </w:r>
            <w:r>
              <w:rPr>
                <w:noProof/>
                <w:webHidden/>
              </w:rPr>
              <w:fldChar w:fldCharType="separate"/>
            </w:r>
            <w:r w:rsidR="00176691">
              <w:rPr>
                <w:noProof/>
                <w:webHidden/>
              </w:rPr>
              <w:t>7</w:t>
            </w:r>
            <w:r>
              <w:rPr>
                <w:noProof/>
                <w:webHidden/>
              </w:rPr>
              <w:fldChar w:fldCharType="end"/>
            </w:r>
          </w:hyperlink>
        </w:p>
        <w:p w14:paraId="6A019826" w14:textId="77777777" w:rsidR="00C50711" w:rsidRDefault="00C50711">
          <w:pPr>
            <w:pStyle w:val="TDC2"/>
            <w:tabs>
              <w:tab w:val="right" w:leader="dot" w:pos="9034"/>
            </w:tabs>
            <w:rPr>
              <w:rFonts w:asciiTheme="minorHAnsi" w:eastAsiaTheme="minorEastAsia" w:hAnsiTheme="minorHAnsi" w:cstheme="minorBidi"/>
              <w:noProof/>
              <w:sz w:val="22"/>
              <w:szCs w:val="22"/>
              <w:lang w:eastAsia="es-MX"/>
            </w:rPr>
          </w:pPr>
          <w:hyperlink w:anchor="_Toc190695555" w:history="1">
            <w:r w:rsidRPr="00805133">
              <w:rPr>
                <w:rStyle w:val="Hipervnculo"/>
                <w:noProof/>
                <w:lang w:val="es-ES"/>
              </w:rPr>
              <w:t xml:space="preserve">CUARTO. </w:t>
            </w:r>
            <w:r w:rsidRPr="00805133">
              <w:rPr>
                <w:rStyle w:val="Hipervnculo"/>
                <w:noProof/>
              </w:rPr>
              <w:t>Marco normativo aplicable en materia de transparencia y acceso a la información pública</w:t>
            </w:r>
            <w:r>
              <w:rPr>
                <w:noProof/>
                <w:webHidden/>
              </w:rPr>
              <w:tab/>
            </w:r>
            <w:r>
              <w:rPr>
                <w:noProof/>
                <w:webHidden/>
              </w:rPr>
              <w:fldChar w:fldCharType="begin"/>
            </w:r>
            <w:r>
              <w:rPr>
                <w:noProof/>
                <w:webHidden/>
              </w:rPr>
              <w:instrText xml:space="preserve"> PAGEREF _Toc190695555 \h </w:instrText>
            </w:r>
            <w:r>
              <w:rPr>
                <w:noProof/>
                <w:webHidden/>
              </w:rPr>
            </w:r>
            <w:r>
              <w:rPr>
                <w:noProof/>
                <w:webHidden/>
              </w:rPr>
              <w:fldChar w:fldCharType="separate"/>
            </w:r>
            <w:r w:rsidR="00176691">
              <w:rPr>
                <w:noProof/>
                <w:webHidden/>
              </w:rPr>
              <w:t>8</w:t>
            </w:r>
            <w:r>
              <w:rPr>
                <w:noProof/>
                <w:webHidden/>
              </w:rPr>
              <w:fldChar w:fldCharType="end"/>
            </w:r>
          </w:hyperlink>
        </w:p>
        <w:p w14:paraId="5A36DCAB" w14:textId="77777777" w:rsidR="00C50711" w:rsidRDefault="00C50711">
          <w:pPr>
            <w:pStyle w:val="TDC2"/>
            <w:tabs>
              <w:tab w:val="right" w:leader="dot" w:pos="9034"/>
            </w:tabs>
            <w:rPr>
              <w:rFonts w:asciiTheme="minorHAnsi" w:eastAsiaTheme="minorEastAsia" w:hAnsiTheme="minorHAnsi" w:cstheme="minorBidi"/>
              <w:noProof/>
              <w:sz w:val="22"/>
              <w:szCs w:val="22"/>
              <w:lang w:eastAsia="es-MX"/>
            </w:rPr>
          </w:pPr>
          <w:hyperlink w:anchor="_Toc190695556" w:history="1">
            <w:r w:rsidRPr="00805133">
              <w:rPr>
                <w:rStyle w:val="Hipervnculo"/>
                <w:noProof/>
              </w:rPr>
              <w:t>QUINTO. Estudio de Fondo</w:t>
            </w:r>
            <w:r>
              <w:rPr>
                <w:noProof/>
                <w:webHidden/>
              </w:rPr>
              <w:tab/>
            </w:r>
            <w:r>
              <w:rPr>
                <w:noProof/>
                <w:webHidden/>
              </w:rPr>
              <w:fldChar w:fldCharType="begin"/>
            </w:r>
            <w:r>
              <w:rPr>
                <w:noProof/>
                <w:webHidden/>
              </w:rPr>
              <w:instrText xml:space="preserve"> PAGEREF _Toc190695556 \h </w:instrText>
            </w:r>
            <w:r>
              <w:rPr>
                <w:noProof/>
                <w:webHidden/>
              </w:rPr>
            </w:r>
            <w:r>
              <w:rPr>
                <w:noProof/>
                <w:webHidden/>
              </w:rPr>
              <w:fldChar w:fldCharType="separate"/>
            </w:r>
            <w:r w:rsidR="00176691">
              <w:rPr>
                <w:noProof/>
                <w:webHidden/>
              </w:rPr>
              <w:t>9</w:t>
            </w:r>
            <w:r>
              <w:rPr>
                <w:noProof/>
                <w:webHidden/>
              </w:rPr>
              <w:fldChar w:fldCharType="end"/>
            </w:r>
          </w:hyperlink>
        </w:p>
        <w:p w14:paraId="05BC776C" w14:textId="77777777" w:rsidR="00C50711" w:rsidRDefault="00C50711">
          <w:pPr>
            <w:pStyle w:val="TDC2"/>
            <w:tabs>
              <w:tab w:val="right" w:leader="dot" w:pos="9034"/>
            </w:tabs>
            <w:rPr>
              <w:rFonts w:asciiTheme="minorHAnsi" w:eastAsiaTheme="minorEastAsia" w:hAnsiTheme="minorHAnsi" w:cstheme="minorBidi"/>
              <w:noProof/>
              <w:sz w:val="22"/>
              <w:szCs w:val="22"/>
              <w:lang w:eastAsia="es-MX"/>
            </w:rPr>
          </w:pPr>
          <w:hyperlink w:anchor="_Toc190695557" w:history="1">
            <w:r w:rsidRPr="00805133">
              <w:rPr>
                <w:rStyle w:val="Hipervnculo"/>
                <w:noProof/>
                <w:lang w:val="es-ES"/>
              </w:rPr>
              <w:t>SEXTO. Decisión</w:t>
            </w:r>
            <w:r>
              <w:rPr>
                <w:noProof/>
                <w:webHidden/>
              </w:rPr>
              <w:tab/>
            </w:r>
            <w:r>
              <w:rPr>
                <w:noProof/>
                <w:webHidden/>
              </w:rPr>
              <w:fldChar w:fldCharType="begin"/>
            </w:r>
            <w:r>
              <w:rPr>
                <w:noProof/>
                <w:webHidden/>
              </w:rPr>
              <w:instrText xml:space="preserve"> PAGEREF _Toc190695557 \h </w:instrText>
            </w:r>
            <w:r>
              <w:rPr>
                <w:noProof/>
                <w:webHidden/>
              </w:rPr>
            </w:r>
            <w:r>
              <w:rPr>
                <w:noProof/>
                <w:webHidden/>
              </w:rPr>
              <w:fldChar w:fldCharType="separate"/>
            </w:r>
            <w:r w:rsidR="00176691">
              <w:rPr>
                <w:noProof/>
                <w:webHidden/>
              </w:rPr>
              <w:t>21</w:t>
            </w:r>
            <w:r>
              <w:rPr>
                <w:noProof/>
                <w:webHidden/>
              </w:rPr>
              <w:fldChar w:fldCharType="end"/>
            </w:r>
          </w:hyperlink>
        </w:p>
        <w:p w14:paraId="2A3E21E8" w14:textId="77777777" w:rsidR="00C50711" w:rsidRDefault="00C50711">
          <w:pPr>
            <w:pStyle w:val="TDC3"/>
            <w:tabs>
              <w:tab w:val="right" w:leader="dot" w:pos="9034"/>
            </w:tabs>
            <w:rPr>
              <w:rFonts w:asciiTheme="minorHAnsi" w:eastAsiaTheme="minorEastAsia" w:hAnsiTheme="minorHAnsi" w:cstheme="minorBidi"/>
              <w:noProof/>
              <w:sz w:val="22"/>
              <w:szCs w:val="22"/>
              <w:lang w:eastAsia="es-MX"/>
            </w:rPr>
          </w:pPr>
          <w:hyperlink w:anchor="_Toc190695558" w:history="1">
            <w:r w:rsidRPr="00805133">
              <w:rPr>
                <w:rStyle w:val="Hipervnculo"/>
                <w:noProof/>
                <w:lang w:val="es-ES" w:eastAsia="en-US"/>
              </w:rPr>
              <w:t>Términos de la Resolución para conocimiento del Particular.</w:t>
            </w:r>
            <w:r>
              <w:rPr>
                <w:noProof/>
                <w:webHidden/>
              </w:rPr>
              <w:tab/>
            </w:r>
            <w:r>
              <w:rPr>
                <w:noProof/>
                <w:webHidden/>
              </w:rPr>
              <w:fldChar w:fldCharType="begin"/>
            </w:r>
            <w:r>
              <w:rPr>
                <w:noProof/>
                <w:webHidden/>
              </w:rPr>
              <w:instrText xml:space="preserve"> PAGEREF _Toc190695558 \h </w:instrText>
            </w:r>
            <w:r>
              <w:rPr>
                <w:noProof/>
                <w:webHidden/>
              </w:rPr>
            </w:r>
            <w:r>
              <w:rPr>
                <w:noProof/>
                <w:webHidden/>
              </w:rPr>
              <w:fldChar w:fldCharType="separate"/>
            </w:r>
            <w:r w:rsidR="00176691">
              <w:rPr>
                <w:noProof/>
                <w:webHidden/>
              </w:rPr>
              <w:t>21</w:t>
            </w:r>
            <w:r>
              <w:rPr>
                <w:noProof/>
                <w:webHidden/>
              </w:rPr>
              <w:fldChar w:fldCharType="end"/>
            </w:r>
          </w:hyperlink>
        </w:p>
        <w:p w14:paraId="2CA7998C" w14:textId="77777777" w:rsidR="00C50711" w:rsidRDefault="00C50711">
          <w:pPr>
            <w:pStyle w:val="TDC1"/>
            <w:rPr>
              <w:rFonts w:asciiTheme="minorHAnsi" w:eastAsiaTheme="minorEastAsia" w:hAnsiTheme="minorHAnsi" w:cstheme="minorBidi"/>
              <w:noProof/>
              <w:sz w:val="22"/>
              <w:szCs w:val="22"/>
              <w:lang w:eastAsia="es-MX"/>
            </w:rPr>
          </w:pPr>
          <w:hyperlink w:anchor="_Toc190695559" w:history="1">
            <w:r w:rsidRPr="00805133">
              <w:rPr>
                <w:rStyle w:val="Hipervnculo"/>
                <w:noProof/>
                <w:lang w:val="pt-BR"/>
              </w:rPr>
              <w:t>R E S U E L V E</w:t>
            </w:r>
            <w:r>
              <w:rPr>
                <w:noProof/>
                <w:webHidden/>
              </w:rPr>
              <w:tab/>
            </w:r>
            <w:r>
              <w:rPr>
                <w:noProof/>
                <w:webHidden/>
              </w:rPr>
              <w:fldChar w:fldCharType="begin"/>
            </w:r>
            <w:r>
              <w:rPr>
                <w:noProof/>
                <w:webHidden/>
              </w:rPr>
              <w:instrText xml:space="preserve"> PAGEREF _Toc190695559 \h </w:instrText>
            </w:r>
            <w:r>
              <w:rPr>
                <w:noProof/>
                <w:webHidden/>
              </w:rPr>
            </w:r>
            <w:r>
              <w:rPr>
                <w:noProof/>
                <w:webHidden/>
              </w:rPr>
              <w:fldChar w:fldCharType="separate"/>
            </w:r>
            <w:r w:rsidR="00176691">
              <w:rPr>
                <w:noProof/>
                <w:webHidden/>
              </w:rPr>
              <w:t>22</w:t>
            </w:r>
            <w:r>
              <w:rPr>
                <w:noProof/>
                <w:webHidden/>
              </w:rPr>
              <w:fldChar w:fldCharType="end"/>
            </w:r>
          </w:hyperlink>
        </w:p>
        <w:p w14:paraId="34BA68A7" w14:textId="77777777" w:rsidR="00C50711" w:rsidRDefault="00C50711">
          <w:pPr>
            <w:pStyle w:val="TDC2"/>
            <w:tabs>
              <w:tab w:val="right" w:leader="dot" w:pos="9034"/>
            </w:tabs>
            <w:rPr>
              <w:rFonts w:asciiTheme="minorHAnsi" w:eastAsiaTheme="minorEastAsia" w:hAnsiTheme="minorHAnsi" w:cstheme="minorBidi"/>
              <w:noProof/>
              <w:sz w:val="22"/>
              <w:szCs w:val="22"/>
              <w:lang w:eastAsia="es-MX"/>
            </w:rPr>
          </w:pPr>
          <w:hyperlink w:anchor="_Toc190695560" w:history="1">
            <w:r w:rsidRPr="00805133">
              <w:rPr>
                <w:rStyle w:val="Hipervnculo"/>
                <w:noProof/>
              </w:rPr>
              <w:t>PRIMERO.</w:t>
            </w:r>
            <w:r>
              <w:rPr>
                <w:noProof/>
                <w:webHidden/>
              </w:rPr>
              <w:tab/>
            </w:r>
            <w:r>
              <w:rPr>
                <w:noProof/>
                <w:webHidden/>
              </w:rPr>
              <w:fldChar w:fldCharType="begin"/>
            </w:r>
            <w:r>
              <w:rPr>
                <w:noProof/>
                <w:webHidden/>
              </w:rPr>
              <w:instrText xml:space="preserve"> PAGEREF _Toc190695560 \h </w:instrText>
            </w:r>
            <w:r>
              <w:rPr>
                <w:noProof/>
                <w:webHidden/>
              </w:rPr>
            </w:r>
            <w:r>
              <w:rPr>
                <w:noProof/>
                <w:webHidden/>
              </w:rPr>
              <w:fldChar w:fldCharType="separate"/>
            </w:r>
            <w:r w:rsidR="00176691">
              <w:rPr>
                <w:noProof/>
                <w:webHidden/>
              </w:rPr>
              <w:t>22</w:t>
            </w:r>
            <w:r>
              <w:rPr>
                <w:noProof/>
                <w:webHidden/>
              </w:rPr>
              <w:fldChar w:fldCharType="end"/>
            </w:r>
          </w:hyperlink>
        </w:p>
        <w:p w14:paraId="6E4D8B82" w14:textId="77777777" w:rsidR="00C50711" w:rsidRDefault="00C50711">
          <w:pPr>
            <w:pStyle w:val="TDC2"/>
            <w:tabs>
              <w:tab w:val="right" w:leader="dot" w:pos="9034"/>
            </w:tabs>
            <w:rPr>
              <w:rFonts w:asciiTheme="minorHAnsi" w:eastAsiaTheme="minorEastAsia" w:hAnsiTheme="minorHAnsi" w:cstheme="minorBidi"/>
              <w:noProof/>
              <w:sz w:val="22"/>
              <w:szCs w:val="22"/>
              <w:lang w:eastAsia="es-MX"/>
            </w:rPr>
          </w:pPr>
          <w:hyperlink w:anchor="_Toc190695561" w:history="1">
            <w:r w:rsidRPr="00805133">
              <w:rPr>
                <w:rStyle w:val="Hipervnculo"/>
                <w:noProof/>
              </w:rPr>
              <w:t>SEGUNDO.</w:t>
            </w:r>
            <w:r>
              <w:rPr>
                <w:noProof/>
                <w:webHidden/>
              </w:rPr>
              <w:tab/>
            </w:r>
            <w:r>
              <w:rPr>
                <w:noProof/>
                <w:webHidden/>
              </w:rPr>
              <w:fldChar w:fldCharType="begin"/>
            </w:r>
            <w:r>
              <w:rPr>
                <w:noProof/>
                <w:webHidden/>
              </w:rPr>
              <w:instrText xml:space="preserve"> PAGEREF _Toc190695561 \h </w:instrText>
            </w:r>
            <w:r>
              <w:rPr>
                <w:noProof/>
                <w:webHidden/>
              </w:rPr>
            </w:r>
            <w:r>
              <w:rPr>
                <w:noProof/>
                <w:webHidden/>
              </w:rPr>
              <w:fldChar w:fldCharType="separate"/>
            </w:r>
            <w:r w:rsidR="00176691">
              <w:rPr>
                <w:noProof/>
                <w:webHidden/>
              </w:rPr>
              <w:t>22</w:t>
            </w:r>
            <w:r>
              <w:rPr>
                <w:noProof/>
                <w:webHidden/>
              </w:rPr>
              <w:fldChar w:fldCharType="end"/>
            </w:r>
          </w:hyperlink>
        </w:p>
        <w:p w14:paraId="2FEDE6F3" w14:textId="77777777" w:rsidR="00C50711" w:rsidRDefault="00C50711">
          <w:pPr>
            <w:pStyle w:val="TDC2"/>
            <w:tabs>
              <w:tab w:val="right" w:leader="dot" w:pos="9034"/>
            </w:tabs>
            <w:rPr>
              <w:rFonts w:asciiTheme="minorHAnsi" w:eastAsiaTheme="minorEastAsia" w:hAnsiTheme="minorHAnsi" w:cstheme="minorBidi"/>
              <w:noProof/>
              <w:sz w:val="22"/>
              <w:szCs w:val="22"/>
              <w:lang w:eastAsia="es-MX"/>
            </w:rPr>
          </w:pPr>
          <w:hyperlink w:anchor="_Toc190695562" w:history="1">
            <w:r w:rsidRPr="00805133">
              <w:rPr>
                <w:rStyle w:val="Hipervnculo"/>
                <w:noProof/>
              </w:rPr>
              <w:t>TERCERO.</w:t>
            </w:r>
            <w:r>
              <w:rPr>
                <w:noProof/>
                <w:webHidden/>
              </w:rPr>
              <w:tab/>
            </w:r>
            <w:r>
              <w:rPr>
                <w:noProof/>
                <w:webHidden/>
              </w:rPr>
              <w:fldChar w:fldCharType="begin"/>
            </w:r>
            <w:r>
              <w:rPr>
                <w:noProof/>
                <w:webHidden/>
              </w:rPr>
              <w:instrText xml:space="preserve"> PAGEREF _Toc190695562 \h </w:instrText>
            </w:r>
            <w:r>
              <w:rPr>
                <w:noProof/>
                <w:webHidden/>
              </w:rPr>
            </w:r>
            <w:r>
              <w:rPr>
                <w:noProof/>
                <w:webHidden/>
              </w:rPr>
              <w:fldChar w:fldCharType="separate"/>
            </w:r>
            <w:r w:rsidR="00176691">
              <w:rPr>
                <w:noProof/>
                <w:webHidden/>
              </w:rPr>
              <w:t>22</w:t>
            </w:r>
            <w:r>
              <w:rPr>
                <w:noProof/>
                <w:webHidden/>
              </w:rPr>
              <w:fldChar w:fldCharType="end"/>
            </w:r>
          </w:hyperlink>
        </w:p>
        <w:p w14:paraId="54C1C155" w14:textId="77777777" w:rsidR="00C50711" w:rsidRDefault="00C50711">
          <w:pPr>
            <w:pStyle w:val="TDC2"/>
            <w:tabs>
              <w:tab w:val="right" w:leader="dot" w:pos="9034"/>
            </w:tabs>
            <w:rPr>
              <w:rFonts w:asciiTheme="minorHAnsi" w:eastAsiaTheme="minorEastAsia" w:hAnsiTheme="minorHAnsi" w:cstheme="minorBidi"/>
              <w:noProof/>
              <w:sz w:val="22"/>
              <w:szCs w:val="22"/>
              <w:lang w:eastAsia="es-MX"/>
            </w:rPr>
          </w:pPr>
          <w:hyperlink w:anchor="_Toc190695563" w:history="1">
            <w:r w:rsidRPr="00805133">
              <w:rPr>
                <w:rStyle w:val="Hipervnculo"/>
                <w:noProof/>
              </w:rPr>
              <w:t>CUARTO.</w:t>
            </w:r>
            <w:r>
              <w:rPr>
                <w:noProof/>
                <w:webHidden/>
              </w:rPr>
              <w:tab/>
            </w:r>
            <w:r>
              <w:rPr>
                <w:noProof/>
                <w:webHidden/>
              </w:rPr>
              <w:fldChar w:fldCharType="begin"/>
            </w:r>
            <w:r>
              <w:rPr>
                <w:noProof/>
                <w:webHidden/>
              </w:rPr>
              <w:instrText xml:space="preserve"> PAGEREF _Toc190695563 \h </w:instrText>
            </w:r>
            <w:r>
              <w:rPr>
                <w:noProof/>
                <w:webHidden/>
              </w:rPr>
            </w:r>
            <w:r>
              <w:rPr>
                <w:noProof/>
                <w:webHidden/>
              </w:rPr>
              <w:fldChar w:fldCharType="separate"/>
            </w:r>
            <w:r w:rsidR="00176691">
              <w:rPr>
                <w:noProof/>
                <w:webHidden/>
              </w:rPr>
              <w:t>23</w:t>
            </w:r>
            <w:r>
              <w:rPr>
                <w:noProof/>
                <w:webHidden/>
              </w:rPr>
              <w:fldChar w:fldCharType="end"/>
            </w:r>
          </w:hyperlink>
        </w:p>
        <w:p w14:paraId="51418C18" w14:textId="41C3D1B7" w:rsidR="004717ED" w:rsidRPr="00D006DB" w:rsidRDefault="004717ED">
          <w:pPr>
            <w:rPr>
              <w:rFonts w:ascii="Palatino Linotype" w:hAnsi="Palatino Linotype"/>
            </w:rPr>
          </w:pPr>
          <w:r w:rsidRPr="00D006DB">
            <w:rPr>
              <w:rFonts w:ascii="Palatino Linotype" w:hAnsi="Palatino Linotype"/>
              <w:b/>
              <w:bCs/>
              <w:lang w:val="es-ES"/>
            </w:rPr>
            <w:fldChar w:fldCharType="end"/>
          </w:r>
        </w:p>
      </w:sdtContent>
    </w:sdt>
    <w:p w14:paraId="350EC9AE" w14:textId="77777777" w:rsidR="00534BF1" w:rsidRDefault="00534BF1" w:rsidP="00695AC4">
      <w:pPr>
        <w:spacing w:line="360" w:lineRule="auto"/>
        <w:contextualSpacing/>
        <w:jc w:val="both"/>
        <w:rPr>
          <w:rFonts w:ascii="Palatino Linotype" w:hAnsi="Palatino Linotype" w:cs="Tahoma"/>
          <w:bCs/>
          <w:sz w:val="22"/>
          <w:szCs w:val="22"/>
        </w:rPr>
      </w:pPr>
    </w:p>
    <w:p w14:paraId="47D9D33C" w14:textId="23EF5506" w:rsidR="008F4B45" w:rsidRPr="00033B8E" w:rsidRDefault="008F4B45" w:rsidP="00695AC4">
      <w:pPr>
        <w:spacing w:line="360" w:lineRule="auto"/>
        <w:contextualSpacing/>
        <w:jc w:val="both"/>
        <w:rPr>
          <w:rFonts w:ascii="Palatino Linotype" w:hAnsi="Palatino Linotype"/>
          <w:noProof/>
          <w:sz w:val="22"/>
          <w:szCs w:val="22"/>
          <w:lang w:val="es-ES"/>
        </w:rPr>
      </w:pPr>
      <w:r w:rsidRPr="00033B8E">
        <w:rPr>
          <w:rFonts w:ascii="Palatino Linotype" w:hAnsi="Palatino Linotype" w:cs="Tahoma"/>
          <w:bCs/>
          <w:sz w:val="22"/>
          <w:szCs w:val="22"/>
        </w:rPr>
        <w:lastRenderedPageBreak/>
        <w:t xml:space="preserve">Resolución del Pleno del Instituto de Transparencia, Acceso a la Información Pública y Protección de Datos Personales del Estado de México y Municipios, con domicilio en Metepec, Estado de México, de fecha </w:t>
      </w:r>
      <w:r w:rsidR="005D770B">
        <w:rPr>
          <w:rFonts w:ascii="Palatino Linotype" w:hAnsi="Palatino Linotype" w:cs="Tahoma"/>
          <w:bCs/>
          <w:sz w:val="22"/>
          <w:szCs w:val="22"/>
        </w:rPr>
        <w:t>diecinueve de febrero de dos mil veinticinco</w:t>
      </w:r>
      <w:r w:rsidR="00B014BD" w:rsidRPr="00033B8E">
        <w:rPr>
          <w:rFonts w:ascii="Palatino Linotype" w:hAnsi="Palatino Linotype" w:cs="Tahoma"/>
          <w:bCs/>
          <w:sz w:val="22"/>
          <w:szCs w:val="22"/>
        </w:rPr>
        <w:t>.</w:t>
      </w:r>
    </w:p>
    <w:p w14:paraId="0A896D68" w14:textId="77777777" w:rsidR="008F4B45" w:rsidRPr="00033B8E" w:rsidRDefault="008F4B45" w:rsidP="00695AC4">
      <w:pPr>
        <w:spacing w:line="360" w:lineRule="auto"/>
        <w:contextualSpacing/>
        <w:jc w:val="both"/>
        <w:rPr>
          <w:rFonts w:ascii="Palatino Linotype" w:hAnsi="Palatino Linotype"/>
          <w:noProof/>
          <w:sz w:val="22"/>
          <w:szCs w:val="22"/>
          <w:lang w:val="es-ES"/>
        </w:rPr>
      </w:pPr>
    </w:p>
    <w:p w14:paraId="1801C976" w14:textId="468C54E1" w:rsidR="00B67D24" w:rsidRPr="00033B8E" w:rsidRDefault="00B67D24" w:rsidP="00695AC4">
      <w:pPr>
        <w:spacing w:line="360" w:lineRule="auto"/>
        <w:contextualSpacing/>
        <w:jc w:val="both"/>
        <w:rPr>
          <w:rFonts w:ascii="Palatino Linotype" w:hAnsi="Palatino Linotype" w:cs="Tahoma"/>
          <w:bCs/>
          <w:color w:val="0D0D0D" w:themeColor="text1" w:themeTint="F2"/>
          <w:sz w:val="22"/>
          <w:szCs w:val="22"/>
        </w:rPr>
      </w:pPr>
      <w:r w:rsidRPr="00033B8E">
        <w:rPr>
          <w:rFonts w:ascii="Palatino Linotype" w:hAnsi="Palatino Linotype" w:cs="Tahoma"/>
          <w:b/>
          <w:bCs/>
          <w:color w:val="0D0D0D" w:themeColor="text1" w:themeTint="F2"/>
          <w:sz w:val="22"/>
          <w:szCs w:val="22"/>
        </w:rPr>
        <w:t>VISTO</w:t>
      </w:r>
      <w:r w:rsidRPr="00033B8E">
        <w:rPr>
          <w:rFonts w:ascii="Palatino Linotype" w:hAnsi="Palatino Linotype" w:cs="Tahoma"/>
          <w:bCs/>
          <w:color w:val="0D0D0D" w:themeColor="text1" w:themeTint="F2"/>
          <w:sz w:val="22"/>
          <w:szCs w:val="22"/>
        </w:rPr>
        <w:t xml:space="preserve"> </w:t>
      </w:r>
      <w:r w:rsidR="009F789C">
        <w:rPr>
          <w:rFonts w:ascii="Palatino Linotype" w:hAnsi="Palatino Linotype" w:cs="Tahoma"/>
          <w:bCs/>
          <w:color w:val="0D0D0D" w:themeColor="text1" w:themeTint="F2"/>
          <w:sz w:val="22"/>
          <w:szCs w:val="22"/>
        </w:rPr>
        <w:t>el</w:t>
      </w:r>
      <w:r w:rsidRPr="00033B8E">
        <w:rPr>
          <w:rFonts w:ascii="Palatino Linotype" w:hAnsi="Palatino Linotype" w:cs="Tahoma"/>
          <w:bCs/>
          <w:color w:val="0D0D0D" w:themeColor="text1" w:themeTint="F2"/>
          <w:sz w:val="22"/>
          <w:szCs w:val="22"/>
        </w:rPr>
        <w:t xml:space="preserve"> expediente conformado con motivo de</w:t>
      </w:r>
      <w:r w:rsidR="009F789C">
        <w:rPr>
          <w:rFonts w:ascii="Palatino Linotype" w:hAnsi="Palatino Linotype" w:cs="Tahoma"/>
          <w:bCs/>
          <w:color w:val="0D0D0D" w:themeColor="text1" w:themeTint="F2"/>
          <w:sz w:val="22"/>
          <w:szCs w:val="22"/>
        </w:rPr>
        <w:t>l</w:t>
      </w:r>
      <w:r w:rsidRPr="00033B8E">
        <w:rPr>
          <w:rFonts w:ascii="Palatino Linotype" w:hAnsi="Palatino Linotype" w:cs="Tahoma"/>
          <w:bCs/>
          <w:color w:val="0D0D0D" w:themeColor="text1" w:themeTint="F2"/>
          <w:sz w:val="22"/>
          <w:szCs w:val="22"/>
        </w:rPr>
        <w:t xml:space="preserve"> Recurso de Revisión </w:t>
      </w:r>
      <w:r w:rsidR="005E15BB" w:rsidRPr="00C00DAE">
        <w:rPr>
          <w:rFonts w:ascii="Palatino Linotype" w:eastAsia="Calibri" w:hAnsi="Palatino Linotype" w:cs="Tahoma"/>
          <w:b/>
          <w:bCs/>
          <w:sz w:val="22"/>
          <w:szCs w:val="22"/>
          <w:lang w:eastAsia="en-US"/>
        </w:rPr>
        <w:t>0</w:t>
      </w:r>
      <w:r w:rsidR="0082621D" w:rsidRPr="00C00DAE">
        <w:rPr>
          <w:rFonts w:ascii="Palatino Linotype" w:eastAsia="Calibri" w:hAnsi="Palatino Linotype" w:cs="Tahoma"/>
          <w:b/>
          <w:bCs/>
          <w:sz w:val="22"/>
          <w:szCs w:val="22"/>
          <w:lang w:eastAsia="en-US"/>
        </w:rPr>
        <w:t>0</w:t>
      </w:r>
      <w:r w:rsidR="006A3A2E" w:rsidRPr="00C00DAE">
        <w:rPr>
          <w:rFonts w:ascii="Palatino Linotype" w:eastAsia="Calibri" w:hAnsi="Palatino Linotype" w:cs="Tahoma"/>
          <w:b/>
          <w:bCs/>
          <w:sz w:val="22"/>
          <w:szCs w:val="22"/>
          <w:lang w:eastAsia="en-US"/>
        </w:rPr>
        <w:t>426</w:t>
      </w:r>
      <w:r w:rsidR="005E15BB" w:rsidRPr="00C00DAE">
        <w:rPr>
          <w:rFonts w:ascii="Palatino Linotype" w:eastAsia="Calibri" w:hAnsi="Palatino Linotype" w:cs="Tahoma"/>
          <w:b/>
          <w:bCs/>
          <w:sz w:val="22"/>
          <w:szCs w:val="22"/>
          <w:lang w:eastAsia="en-US"/>
        </w:rPr>
        <w:t>/INFOEM/IP/RR/202</w:t>
      </w:r>
      <w:r w:rsidR="0082621D" w:rsidRPr="00C00DAE">
        <w:rPr>
          <w:rFonts w:ascii="Palatino Linotype" w:eastAsia="Calibri" w:hAnsi="Palatino Linotype" w:cs="Tahoma"/>
          <w:b/>
          <w:bCs/>
          <w:sz w:val="22"/>
          <w:szCs w:val="22"/>
          <w:lang w:eastAsia="en-US"/>
        </w:rPr>
        <w:t>5</w:t>
      </w:r>
      <w:r w:rsidR="000104C4">
        <w:rPr>
          <w:rFonts w:ascii="Palatino Linotype" w:eastAsia="Calibri" w:hAnsi="Palatino Linotype" w:cs="Tahoma"/>
          <w:sz w:val="22"/>
          <w:szCs w:val="22"/>
          <w:lang w:eastAsia="en-US"/>
        </w:rPr>
        <w:t>,</w:t>
      </w:r>
      <w:r w:rsidR="00F77239">
        <w:rPr>
          <w:rFonts w:ascii="Palatino Linotype" w:eastAsia="Calibri" w:hAnsi="Palatino Linotype" w:cs="Tahoma"/>
          <w:sz w:val="22"/>
          <w:szCs w:val="22"/>
          <w:lang w:eastAsia="en-US"/>
        </w:rPr>
        <w:t xml:space="preserve"> </w:t>
      </w:r>
      <w:r w:rsidRPr="00033B8E">
        <w:rPr>
          <w:rFonts w:ascii="Palatino Linotype" w:hAnsi="Palatino Linotype" w:cs="Tahoma"/>
          <w:color w:val="0D0D0D" w:themeColor="text1" w:themeTint="F2"/>
          <w:sz w:val="22"/>
          <w:szCs w:val="22"/>
        </w:rPr>
        <w:t>interpuesto por</w:t>
      </w:r>
      <w:r w:rsidRPr="00033B8E">
        <w:rPr>
          <w:rFonts w:ascii="Palatino Linotype" w:eastAsia="Calibri" w:hAnsi="Palatino Linotype" w:cs="Tahoma"/>
          <w:sz w:val="22"/>
          <w:szCs w:val="22"/>
          <w:lang w:eastAsia="en-US"/>
        </w:rPr>
        <w:t xml:space="preserve"> </w:t>
      </w:r>
      <w:r w:rsidR="0082621D" w:rsidRPr="0082621D">
        <w:rPr>
          <w:rFonts w:ascii="Palatino Linotype" w:eastAsia="Calibri" w:hAnsi="Palatino Linotype" w:cs="Tahoma"/>
          <w:sz w:val="22"/>
          <w:szCs w:val="22"/>
          <w:lang w:eastAsia="en-US"/>
        </w:rPr>
        <w:t xml:space="preserve"> </w:t>
      </w:r>
      <w:r w:rsidR="00ED1EF0" w:rsidRPr="00ED1EF0">
        <w:rPr>
          <w:rFonts w:ascii="Palatino Linotype" w:eastAsia="Calibri" w:hAnsi="Palatino Linotype" w:cs="Tahoma"/>
          <w:bCs/>
          <w:sz w:val="22"/>
          <w:szCs w:val="22"/>
          <w:highlight w:val="black"/>
          <w:lang w:eastAsia="en-US"/>
        </w:rPr>
        <w:t>XXXXXXXXXXXXXX</w:t>
      </w:r>
      <w:r w:rsidRPr="00033B8E">
        <w:rPr>
          <w:rFonts w:ascii="Palatino Linotype" w:hAnsi="Palatino Linotype" w:cs="Tahoma"/>
          <w:color w:val="0D0D0D" w:themeColor="text1" w:themeTint="F2"/>
          <w:sz w:val="22"/>
          <w:szCs w:val="22"/>
        </w:rPr>
        <w:t xml:space="preserve">, </w:t>
      </w:r>
      <w:r w:rsidR="009954B0">
        <w:rPr>
          <w:rFonts w:ascii="Palatino Linotype" w:hAnsi="Palatino Linotype" w:cs="Tahoma"/>
          <w:color w:val="0D0D0D" w:themeColor="text1" w:themeTint="F2"/>
          <w:sz w:val="22"/>
          <w:szCs w:val="22"/>
        </w:rPr>
        <w:t>persona</w:t>
      </w:r>
      <w:r w:rsidRPr="00033B8E">
        <w:rPr>
          <w:rFonts w:ascii="Palatino Linotype" w:hAnsi="Palatino Linotype" w:cs="Tahoma"/>
          <w:color w:val="0D0D0D" w:themeColor="text1" w:themeTint="F2"/>
          <w:sz w:val="22"/>
          <w:szCs w:val="22"/>
        </w:rPr>
        <w:t xml:space="preserve"> Recurrente o Particular, </w:t>
      </w:r>
      <w:r w:rsidRPr="00033B8E">
        <w:rPr>
          <w:rFonts w:ascii="Palatino Linotype" w:eastAsia="Calibri" w:hAnsi="Palatino Linotype" w:cs="Tahoma"/>
          <w:sz w:val="22"/>
          <w:szCs w:val="22"/>
          <w:lang w:val="es-ES" w:eastAsia="en-US"/>
        </w:rPr>
        <w:t xml:space="preserve">en contra de la respuesta del Sujeto Obligado, </w:t>
      </w:r>
      <w:r w:rsidR="0082621D" w:rsidRPr="00970858">
        <w:rPr>
          <w:rFonts w:ascii="Palatino Linotype" w:eastAsia="Calibri" w:hAnsi="Palatino Linotype" w:cs="Tahoma"/>
          <w:b/>
          <w:sz w:val="22"/>
          <w:szCs w:val="22"/>
          <w:lang w:eastAsia="en-US"/>
        </w:rPr>
        <w:t>Sistema Municipal Para el Desarrollo Integral de la Familia de Toluca</w:t>
      </w:r>
      <w:r w:rsidR="00F77239" w:rsidRPr="00970858">
        <w:rPr>
          <w:rFonts w:ascii="Palatino Linotype" w:eastAsia="Calibri" w:hAnsi="Palatino Linotype" w:cs="Tahoma"/>
          <w:b/>
          <w:sz w:val="22"/>
          <w:szCs w:val="22"/>
          <w:lang w:val="es-ES" w:eastAsia="en-US"/>
        </w:rPr>
        <w:t xml:space="preserve">, </w:t>
      </w:r>
      <w:r w:rsidR="00F77239">
        <w:rPr>
          <w:rFonts w:ascii="Palatino Linotype" w:eastAsia="Calibri" w:hAnsi="Palatino Linotype" w:cs="Tahoma"/>
          <w:sz w:val="22"/>
          <w:szCs w:val="22"/>
          <w:lang w:val="es-ES" w:eastAsia="en-US"/>
        </w:rPr>
        <w:t xml:space="preserve">a la </w:t>
      </w:r>
      <w:r w:rsidR="009F789C">
        <w:rPr>
          <w:rFonts w:ascii="Palatino Linotype" w:eastAsia="Calibri" w:hAnsi="Palatino Linotype" w:cs="Tahoma"/>
          <w:sz w:val="22"/>
          <w:szCs w:val="22"/>
          <w:lang w:val="es-ES" w:eastAsia="en-US"/>
        </w:rPr>
        <w:t>solicitud</w:t>
      </w:r>
      <w:r w:rsidRPr="00033B8E">
        <w:rPr>
          <w:rFonts w:ascii="Palatino Linotype" w:eastAsia="Calibri" w:hAnsi="Palatino Linotype" w:cs="Tahoma"/>
          <w:sz w:val="22"/>
          <w:szCs w:val="22"/>
          <w:lang w:val="es-ES" w:eastAsia="en-US"/>
        </w:rPr>
        <w:t xml:space="preserve"> de acceso a la información pública con número de folio </w:t>
      </w:r>
      <w:r w:rsidR="0082621D" w:rsidRPr="0082621D">
        <w:rPr>
          <w:rFonts w:ascii="Palatino Linotype" w:eastAsia="Calibri" w:hAnsi="Palatino Linotype" w:cs="Tahoma"/>
          <w:sz w:val="22"/>
          <w:szCs w:val="22"/>
          <w:lang w:eastAsia="en-US"/>
        </w:rPr>
        <w:t>000</w:t>
      </w:r>
      <w:r w:rsidR="006A3A2E">
        <w:rPr>
          <w:rFonts w:ascii="Palatino Linotype" w:eastAsia="Calibri" w:hAnsi="Palatino Linotype" w:cs="Tahoma"/>
          <w:sz w:val="22"/>
          <w:szCs w:val="22"/>
          <w:lang w:eastAsia="en-US"/>
        </w:rPr>
        <w:t>29</w:t>
      </w:r>
      <w:r w:rsidR="0082621D" w:rsidRPr="0082621D">
        <w:rPr>
          <w:rFonts w:ascii="Palatino Linotype" w:eastAsia="Calibri" w:hAnsi="Palatino Linotype" w:cs="Tahoma"/>
          <w:sz w:val="22"/>
          <w:szCs w:val="22"/>
          <w:lang w:eastAsia="en-US"/>
        </w:rPr>
        <w:t>/DIFTOLUCA/IP/2025</w:t>
      </w:r>
      <w:r w:rsidRPr="00033B8E">
        <w:rPr>
          <w:rFonts w:ascii="Palatino Linotype" w:eastAsia="Calibri" w:hAnsi="Palatino Linotype" w:cs="Tahoma"/>
          <w:sz w:val="22"/>
          <w:szCs w:val="22"/>
          <w:lang w:val="es-ES" w:eastAsia="en-US"/>
        </w:rPr>
        <w:t>, se emite la presente</w:t>
      </w:r>
      <w:r w:rsidRPr="00033B8E">
        <w:rPr>
          <w:rFonts w:ascii="Palatino Linotype" w:eastAsia="Calibri" w:hAnsi="Palatino Linotype" w:cs="Tahoma"/>
          <w:bCs/>
          <w:sz w:val="22"/>
          <w:szCs w:val="22"/>
          <w:lang w:val="es-ES" w:eastAsia="en-US"/>
        </w:rPr>
        <w:t xml:space="preserve"> Resolución, con base en los Antecedentes y Consideraciones que a continuación se exponen:</w:t>
      </w:r>
      <w:r w:rsidR="0082621D">
        <w:rPr>
          <w:rFonts w:ascii="Palatino Linotype" w:eastAsia="Calibri" w:hAnsi="Palatino Linotype" w:cs="Tahoma"/>
          <w:bCs/>
          <w:sz w:val="22"/>
          <w:szCs w:val="22"/>
          <w:lang w:val="es-ES" w:eastAsia="en-US"/>
        </w:rPr>
        <w:t xml:space="preserve">   </w:t>
      </w:r>
    </w:p>
    <w:p w14:paraId="4FC0AE1F" w14:textId="546D38B6" w:rsidR="00380A6B" w:rsidRPr="00033B8E" w:rsidRDefault="008F4B45" w:rsidP="00695AC4">
      <w:pPr>
        <w:tabs>
          <w:tab w:val="left" w:pos="2835"/>
        </w:tabs>
        <w:spacing w:line="360" w:lineRule="auto"/>
        <w:ind w:right="-93"/>
        <w:contextualSpacing/>
        <w:jc w:val="both"/>
        <w:rPr>
          <w:rFonts w:ascii="Palatino Linotype" w:eastAsia="Calibri" w:hAnsi="Palatino Linotype" w:cs="Tahoma"/>
          <w:b/>
          <w:bCs/>
          <w:sz w:val="22"/>
          <w:szCs w:val="22"/>
          <w:lang w:eastAsia="en-US"/>
        </w:rPr>
      </w:pPr>
      <w:r w:rsidRPr="00033B8E">
        <w:rPr>
          <w:rFonts w:ascii="Palatino Linotype" w:eastAsia="Calibri" w:hAnsi="Palatino Linotype" w:cs="Tahoma"/>
          <w:bCs/>
          <w:sz w:val="22"/>
          <w:szCs w:val="22"/>
          <w:lang w:val="es-ES" w:eastAsia="en-US"/>
        </w:rPr>
        <w:tab/>
      </w:r>
    </w:p>
    <w:p w14:paraId="0394FE27" w14:textId="256F0047" w:rsidR="008F4B45" w:rsidRPr="00A1214F" w:rsidRDefault="000F623D" w:rsidP="00695AC4">
      <w:pPr>
        <w:pStyle w:val="Ttulo1"/>
        <w:spacing w:before="0"/>
        <w:rPr>
          <w:lang w:val="pt-BR" w:eastAsia="en-US"/>
        </w:rPr>
      </w:pPr>
      <w:bookmarkStart w:id="0" w:name="_Toc190695541"/>
      <w:r w:rsidRPr="00A1214F">
        <w:rPr>
          <w:lang w:val="pt-BR" w:eastAsia="en-US"/>
        </w:rPr>
        <w:t>A N T E C E D E N T E S</w:t>
      </w:r>
      <w:bookmarkEnd w:id="0"/>
    </w:p>
    <w:p w14:paraId="05E6C7E8" w14:textId="77777777" w:rsidR="008F4B45" w:rsidRPr="00A1214F" w:rsidRDefault="008F4B45" w:rsidP="00695AC4">
      <w:pPr>
        <w:spacing w:line="360" w:lineRule="auto"/>
        <w:ind w:right="-93"/>
        <w:contextualSpacing/>
        <w:jc w:val="both"/>
        <w:rPr>
          <w:rFonts w:ascii="Palatino Linotype" w:eastAsia="Calibri" w:hAnsi="Palatino Linotype" w:cs="Tahoma"/>
          <w:bCs/>
          <w:sz w:val="22"/>
          <w:szCs w:val="22"/>
          <w:lang w:val="pt-BR" w:eastAsia="en-US"/>
        </w:rPr>
      </w:pPr>
    </w:p>
    <w:p w14:paraId="018FC96E" w14:textId="607FADD8" w:rsidR="008F4B45" w:rsidRPr="00033B8E" w:rsidRDefault="008F4B45" w:rsidP="00695AC4">
      <w:pPr>
        <w:pStyle w:val="Ttulo2"/>
        <w:spacing w:before="0"/>
        <w:rPr>
          <w:lang w:eastAsia="en-US"/>
        </w:rPr>
      </w:pPr>
      <w:bookmarkStart w:id="1" w:name="_Toc190695542"/>
      <w:r w:rsidRPr="00033B8E">
        <w:rPr>
          <w:lang w:eastAsia="en-US"/>
        </w:rPr>
        <w:t xml:space="preserve">I. Presentación </w:t>
      </w:r>
      <w:r w:rsidR="000F623D">
        <w:rPr>
          <w:lang w:eastAsia="en-US"/>
        </w:rPr>
        <w:t>de la solicitud de información</w:t>
      </w:r>
      <w:bookmarkEnd w:id="1"/>
    </w:p>
    <w:p w14:paraId="59E5F325" w14:textId="77777777" w:rsidR="00316AB7" w:rsidRPr="00033B8E" w:rsidRDefault="00316AB7" w:rsidP="00695AC4">
      <w:pPr>
        <w:autoSpaceDE w:val="0"/>
        <w:autoSpaceDN w:val="0"/>
        <w:adjustRightInd w:val="0"/>
        <w:spacing w:line="360" w:lineRule="auto"/>
        <w:jc w:val="both"/>
        <w:rPr>
          <w:rFonts w:ascii="Palatino Linotype" w:hAnsi="Palatino Linotype" w:cs="Tahoma"/>
          <w:sz w:val="22"/>
          <w:szCs w:val="22"/>
        </w:rPr>
      </w:pPr>
    </w:p>
    <w:p w14:paraId="21B68177" w14:textId="32BF29BA" w:rsidR="008F4B45" w:rsidRPr="00033B8E" w:rsidRDefault="00316AB7" w:rsidP="00695AC4">
      <w:pPr>
        <w:autoSpaceDE w:val="0"/>
        <w:autoSpaceDN w:val="0"/>
        <w:adjustRightInd w:val="0"/>
        <w:spacing w:line="360" w:lineRule="auto"/>
        <w:jc w:val="both"/>
        <w:rPr>
          <w:rFonts w:ascii="Palatino Linotype" w:eastAsia="Calibri" w:hAnsi="Palatino Linotype" w:cs="Tahoma"/>
          <w:bCs/>
          <w:sz w:val="22"/>
          <w:szCs w:val="22"/>
          <w:lang w:eastAsia="en-US"/>
        </w:rPr>
      </w:pPr>
      <w:r w:rsidRPr="00033B8E">
        <w:rPr>
          <w:rFonts w:ascii="Palatino Linotype" w:hAnsi="Palatino Linotype" w:cs="Tahoma"/>
          <w:sz w:val="22"/>
          <w:szCs w:val="22"/>
        </w:rPr>
        <w:t xml:space="preserve">Con fecha </w:t>
      </w:r>
      <w:r w:rsidR="0082621D">
        <w:rPr>
          <w:rFonts w:ascii="Palatino Linotype" w:hAnsi="Palatino Linotype" w:cs="Tahoma"/>
          <w:sz w:val="22"/>
          <w:szCs w:val="22"/>
        </w:rPr>
        <w:t>quince de enero de dos mil veinticinco</w:t>
      </w:r>
      <w:r w:rsidRPr="00033B8E">
        <w:rPr>
          <w:rFonts w:ascii="Palatino Linotype" w:hAnsi="Palatino Linotype" w:cs="Tahoma"/>
          <w:sz w:val="22"/>
          <w:szCs w:val="22"/>
        </w:rPr>
        <w:t xml:space="preserve">, </w:t>
      </w:r>
      <w:r w:rsidR="005E15BB">
        <w:rPr>
          <w:rFonts w:ascii="Palatino Linotype" w:hAnsi="Palatino Linotype" w:cs="Tahoma"/>
          <w:sz w:val="22"/>
          <w:szCs w:val="22"/>
        </w:rPr>
        <w:t>el</w:t>
      </w:r>
      <w:r w:rsidRPr="00033B8E">
        <w:rPr>
          <w:rFonts w:ascii="Palatino Linotype" w:hAnsi="Palatino Linotype" w:cs="Tahoma"/>
          <w:sz w:val="22"/>
          <w:szCs w:val="22"/>
        </w:rPr>
        <w:t xml:space="preserve"> Particular presentó </w:t>
      </w:r>
      <w:r w:rsidR="0026006C">
        <w:rPr>
          <w:rFonts w:ascii="Palatino Linotype" w:hAnsi="Palatino Linotype" w:cs="Tahoma"/>
          <w:sz w:val="22"/>
          <w:szCs w:val="22"/>
        </w:rPr>
        <w:t xml:space="preserve">una </w:t>
      </w:r>
      <w:r w:rsidRPr="00033B8E">
        <w:rPr>
          <w:rFonts w:ascii="Palatino Linotype" w:hAnsi="Palatino Linotype" w:cs="Tahoma"/>
          <w:sz w:val="22"/>
          <w:szCs w:val="22"/>
        </w:rPr>
        <w:t>solicitud de acceso a la información pública, a través del Sistema de Acceso a la Información Mexiquense</w:t>
      </w:r>
      <w:r w:rsidR="00C00DAE">
        <w:rPr>
          <w:rFonts w:ascii="Palatino Linotype" w:hAnsi="Palatino Linotype" w:cs="Tahoma"/>
          <w:sz w:val="22"/>
          <w:szCs w:val="22"/>
        </w:rPr>
        <w:t>, en lo sucesivo</w:t>
      </w:r>
      <w:r w:rsidRPr="00033B8E">
        <w:rPr>
          <w:rFonts w:ascii="Palatino Linotype" w:hAnsi="Palatino Linotype" w:cs="Tahoma"/>
          <w:sz w:val="22"/>
          <w:szCs w:val="22"/>
        </w:rPr>
        <w:t xml:space="preserve"> </w:t>
      </w:r>
      <w:r w:rsidR="00C00DAE">
        <w:rPr>
          <w:rFonts w:ascii="Palatino Linotype" w:hAnsi="Palatino Linotype" w:cs="Tahoma"/>
          <w:sz w:val="22"/>
          <w:szCs w:val="22"/>
        </w:rPr>
        <w:t xml:space="preserve">el </w:t>
      </w:r>
      <w:r w:rsidRPr="00033B8E">
        <w:rPr>
          <w:rFonts w:ascii="Palatino Linotype" w:hAnsi="Palatino Linotype" w:cs="Tahoma"/>
          <w:sz w:val="22"/>
          <w:szCs w:val="22"/>
        </w:rPr>
        <w:t xml:space="preserve">SAIMEX, ante </w:t>
      </w:r>
      <w:r w:rsidR="0082621D">
        <w:rPr>
          <w:rFonts w:ascii="Palatino Linotype" w:hAnsi="Palatino Linotype" w:cs="Tahoma"/>
          <w:sz w:val="22"/>
          <w:szCs w:val="22"/>
        </w:rPr>
        <w:t xml:space="preserve">el </w:t>
      </w:r>
      <w:r w:rsidR="0082621D" w:rsidRPr="0082621D">
        <w:rPr>
          <w:rFonts w:ascii="Palatino Linotype" w:hAnsi="Palatino Linotype" w:cs="Tahoma"/>
          <w:sz w:val="22"/>
          <w:szCs w:val="22"/>
        </w:rPr>
        <w:t xml:space="preserve">Sistema Municipal </w:t>
      </w:r>
      <w:r w:rsidR="00C00DAE">
        <w:rPr>
          <w:rFonts w:ascii="Palatino Linotype" w:hAnsi="Palatino Linotype" w:cs="Tahoma"/>
          <w:sz w:val="22"/>
          <w:szCs w:val="22"/>
        </w:rPr>
        <w:t>p</w:t>
      </w:r>
      <w:r w:rsidR="0082621D" w:rsidRPr="0082621D">
        <w:rPr>
          <w:rFonts w:ascii="Palatino Linotype" w:hAnsi="Palatino Linotype" w:cs="Tahoma"/>
          <w:sz w:val="22"/>
          <w:szCs w:val="22"/>
        </w:rPr>
        <w:t>ara el Desarrollo Integral de la Familia de Toluca</w:t>
      </w:r>
      <w:r w:rsidR="007810CC" w:rsidRPr="00033B8E">
        <w:rPr>
          <w:rFonts w:ascii="Palatino Linotype" w:hAnsi="Palatino Linotype" w:cs="Tahoma"/>
          <w:bCs/>
          <w:sz w:val="22"/>
          <w:szCs w:val="22"/>
        </w:rPr>
        <w:t xml:space="preserve">, </w:t>
      </w:r>
      <w:r w:rsidR="00D3618F" w:rsidRPr="00033B8E">
        <w:rPr>
          <w:rFonts w:ascii="Palatino Linotype" w:eastAsia="Calibri" w:hAnsi="Palatino Linotype" w:cs="Tahoma"/>
          <w:bCs/>
          <w:sz w:val="22"/>
          <w:szCs w:val="22"/>
          <w:lang w:eastAsia="en-US"/>
        </w:rPr>
        <w:t>en</w:t>
      </w:r>
      <w:r w:rsidR="008F4B45" w:rsidRPr="00033B8E">
        <w:rPr>
          <w:rFonts w:ascii="Palatino Linotype" w:eastAsia="Calibri" w:hAnsi="Palatino Linotype" w:cs="Tahoma"/>
          <w:bCs/>
          <w:sz w:val="22"/>
          <w:szCs w:val="22"/>
          <w:lang w:eastAsia="en-US"/>
        </w:rPr>
        <w:t xml:space="preserve"> la cual requirió lo siguiente:</w:t>
      </w:r>
    </w:p>
    <w:p w14:paraId="4F3B7FD1" w14:textId="77777777" w:rsidR="009F789C" w:rsidRDefault="009F789C" w:rsidP="00695AC4">
      <w:pPr>
        <w:spacing w:line="360" w:lineRule="auto"/>
        <w:ind w:left="567" w:right="567"/>
        <w:contextualSpacing/>
        <w:jc w:val="both"/>
        <w:rPr>
          <w:rFonts w:ascii="Palatino Linotype" w:hAnsi="Palatino Linotype" w:cs="Tahoma"/>
          <w:b/>
          <w:i/>
          <w:iCs/>
        </w:rPr>
      </w:pPr>
    </w:p>
    <w:p w14:paraId="154A2E5E" w14:textId="6E8A8565" w:rsidR="00D3618F" w:rsidRPr="000F623D" w:rsidRDefault="009F789C" w:rsidP="00695AC4">
      <w:pPr>
        <w:spacing w:line="360" w:lineRule="auto"/>
        <w:ind w:left="567" w:right="567"/>
        <w:contextualSpacing/>
        <w:jc w:val="both"/>
        <w:rPr>
          <w:rFonts w:ascii="Palatino Linotype" w:hAnsi="Palatino Linotype" w:cs="Tahoma"/>
          <w:b/>
          <w:iCs/>
        </w:rPr>
      </w:pPr>
      <w:r w:rsidRPr="00033B8E">
        <w:rPr>
          <w:rFonts w:ascii="Palatino Linotype" w:hAnsi="Palatino Linotype" w:cs="Tahoma"/>
          <w:b/>
          <w:i/>
          <w:iCs/>
        </w:rPr>
        <w:t xml:space="preserve"> </w:t>
      </w:r>
      <w:r w:rsidR="00D3618F" w:rsidRPr="000F623D">
        <w:rPr>
          <w:rFonts w:ascii="Palatino Linotype" w:hAnsi="Palatino Linotype" w:cs="Tahoma"/>
          <w:b/>
          <w:iCs/>
        </w:rPr>
        <w:t>DESCRIPCIÓN CLARA Y PRECISA DE LA INFORMACIÓN SOLICITADA</w:t>
      </w:r>
    </w:p>
    <w:p w14:paraId="39A7FD48" w14:textId="6AB0993D" w:rsidR="00D3618F" w:rsidRPr="00695AC4" w:rsidRDefault="000F623D" w:rsidP="00695AC4">
      <w:pPr>
        <w:widowControl w:val="0"/>
        <w:spacing w:line="360" w:lineRule="auto"/>
        <w:ind w:left="567" w:right="567"/>
        <w:contextualSpacing/>
        <w:jc w:val="both"/>
        <w:rPr>
          <w:rFonts w:ascii="Palatino Linotype" w:hAnsi="Palatino Linotype"/>
          <w:bCs/>
          <w:iCs/>
          <w:color w:val="000000"/>
        </w:rPr>
      </w:pPr>
      <w:r>
        <w:rPr>
          <w:rFonts w:ascii="Palatino Linotype" w:hAnsi="Palatino Linotype"/>
          <w:bCs/>
          <w:i/>
          <w:iCs/>
          <w:color w:val="000000"/>
        </w:rPr>
        <w:t>“</w:t>
      </w:r>
      <w:r w:rsidR="006A3A2E" w:rsidRPr="006A3A2E">
        <w:rPr>
          <w:rFonts w:ascii="Palatino Linotype" w:hAnsi="Palatino Linotype"/>
          <w:bCs/>
          <w:i/>
          <w:iCs/>
          <w:color w:val="000000"/>
        </w:rPr>
        <w:t xml:space="preserve">SOLICITO DEL SISTEMA MUNICIPAL PARA EL DESARROLLO INTEGRAL DE LA FAMILIA DE TOLUCA, DE SU UNIDA DE LA UIPPE, TODAS LAS SOLICITUDES DE INFORMACIÓN QUE SE RECIBIERON EN EL AÑO 2024, CUANTAS FUERON ATENDIDAS Y COMO FUERON ATENDIDAS, LAS RESPUESTAS EMITIDAS POR CADA UNA DE LAS AREAS INVOLUCRADAS, CUANTAS FUERON RECURRIDAS Y SI </w:t>
      </w:r>
      <w:r w:rsidR="006A3A2E" w:rsidRPr="006A3A2E">
        <w:rPr>
          <w:rFonts w:ascii="Palatino Linotype" w:hAnsi="Palatino Linotype"/>
          <w:bCs/>
          <w:i/>
          <w:iCs/>
          <w:color w:val="000000"/>
        </w:rPr>
        <w:lastRenderedPageBreak/>
        <w:t>HAY PENDIENTES DE ATENDER</w:t>
      </w:r>
      <w:r>
        <w:rPr>
          <w:rFonts w:ascii="Palatino Linotype" w:hAnsi="Palatino Linotype"/>
          <w:bCs/>
          <w:i/>
          <w:iCs/>
          <w:color w:val="000000"/>
        </w:rPr>
        <w:t>”</w:t>
      </w:r>
      <w:r w:rsidR="00695AC4">
        <w:rPr>
          <w:rFonts w:ascii="Palatino Linotype" w:hAnsi="Palatino Linotype"/>
          <w:bCs/>
          <w:i/>
          <w:iCs/>
          <w:color w:val="000000"/>
        </w:rPr>
        <w:t xml:space="preserve"> </w:t>
      </w:r>
      <w:r w:rsidR="00695AC4">
        <w:rPr>
          <w:rFonts w:ascii="Palatino Linotype" w:hAnsi="Palatino Linotype"/>
          <w:bCs/>
          <w:iCs/>
          <w:color w:val="000000"/>
        </w:rPr>
        <w:t>(Sic)</w:t>
      </w:r>
      <w:r w:rsidR="00C00DAE">
        <w:rPr>
          <w:rFonts w:ascii="Palatino Linotype" w:hAnsi="Palatino Linotype"/>
          <w:bCs/>
          <w:iCs/>
          <w:color w:val="000000"/>
        </w:rPr>
        <w:t>.</w:t>
      </w:r>
    </w:p>
    <w:p w14:paraId="7FEC60D5" w14:textId="2A4BB840" w:rsidR="00D3618F" w:rsidRPr="00033B8E" w:rsidRDefault="00D3618F" w:rsidP="00695AC4">
      <w:pPr>
        <w:widowControl w:val="0"/>
        <w:spacing w:line="360" w:lineRule="auto"/>
        <w:ind w:left="567" w:right="567"/>
        <w:contextualSpacing/>
        <w:jc w:val="both"/>
        <w:rPr>
          <w:rFonts w:ascii="Palatino Linotype" w:hAnsi="Palatino Linotype"/>
          <w:bCs/>
          <w:i/>
          <w:iCs/>
          <w:color w:val="000000"/>
        </w:rPr>
      </w:pPr>
    </w:p>
    <w:p w14:paraId="43E13316" w14:textId="13F39CBE" w:rsidR="00D3618F" w:rsidRDefault="000F623D" w:rsidP="00695AC4">
      <w:pPr>
        <w:tabs>
          <w:tab w:val="left" w:pos="4667"/>
        </w:tabs>
        <w:spacing w:line="360" w:lineRule="auto"/>
        <w:ind w:left="567"/>
        <w:jc w:val="both"/>
        <w:rPr>
          <w:rFonts w:ascii="Palatino Linotype" w:hAnsi="Palatino Linotype" w:cs="Tahoma"/>
          <w:bCs/>
          <w:i/>
        </w:rPr>
      </w:pPr>
      <w:r w:rsidRPr="000F623D">
        <w:rPr>
          <w:rFonts w:ascii="Palatino Linotype" w:hAnsi="Palatino Linotype" w:cs="Tahoma"/>
          <w:b/>
          <w:bCs/>
        </w:rPr>
        <w:t>MODALIDAD DE ENTREGA</w:t>
      </w:r>
      <w:r w:rsidR="00A1214F">
        <w:rPr>
          <w:rFonts w:ascii="Palatino Linotype" w:hAnsi="Palatino Linotype" w:cs="Tahoma"/>
          <w:b/>
          <w:bCs/>
        </w:rPr>
        <w:t xml:space="preserve"> </w:t>
      </w:r>
      <w:r>
        <w:rPr>
          <w:rFonts w:ascii="Palatino Linotype" w:hAnsi="Palatino Linotype" w:cs="Tahoma"/>
          <w:bCs/>
          <w:i/>
        </w:rPr>
        <w:t>“SAIMEX”</w:t>
      </w:r>
      <w:r w:rsidR="00C00DAE">
        <w:rPr>
          <w:rFonts w:ascii="Palatino Linotype" w:hAnsi="Palatino Linotype" w:cs="Tahoma"/>
          <w:bCs/>
          <w:i/>
        </w:rPr>
        <w:t>.</w:t>
      </w:r>
    </w:p>
    <w:p w14:paraId="124152D8" w14:textId="77777777" w:rsidR="00F61C75" w:rsidRPr="0026006C" w:rsidRDefault="00F61C75" w:rsidP="00695AC4">
      <w:pPr>
        <w:tabs>
          <w:tab w:val="left" w:pos="567"/>
        </w:tabs>
        <w:spacing w:line="360" w:lineRule="auto"/>
        <w:ind w:left="567" w:right="-28"/>
        <w:jc w:val="both"/>
        <w:rPr>
          <w:rFonts w:ascii="Palatino Linotype" w:hAnsi="Palatino Linotype" w:cs="Tahoma"/>
          <w:bCs/>
          <w:i/>
          <w:sz w:val="22"/>
          <w:szCs w:val="22"/>
        </w:rPr>
      </w:pPr>
    </w:p>
    <w:p w14:paraId="091A1333" w14:textId="40CD7594" w:rsidR="008F4B45" w:rsidRDefault="00156E5D" w:rsidP="00695AC4">
      <w:pPr>
        <w:pStyle w:val="Ttulo2"/>
        <w:spacing w:before="0"/>
      </w:pPr>
      <w:bookmarkStart w:id="2" w:name="_Toc190695543"/>
      <w:r w:rsidRPr="00033B8E">
        <w:t xml:space="preserve">II. </w:t>
      </w:r>
      <w:r w:rsidR="008F4B45" w:rsidRPr="00033B8E">
        <w:t>Respuesta del Sujeto Obligado</w:t>
      </w:r>
      <w:bookmarkEnd w:id="2"/>
    </w:p>
    <w:p w14:paraId="5636B513" w14:textId="77777777" w:rsidR="00AB3B2F" w:rsidRPr="00033B8E" w:rsidRDefault="00AB3B2F" w:rsidP="00695AC4">
      <w:pPr>
        <w:pStyle w:val="Prrafodelista"/>
        <w:tabs>
          <w:tab w:val="left" w:pos="567"/>
        </w:tabs>
        <w:spacing w:line="360" w:lineRule="auto"/>
        <w:ind w:left="0"/>
        <w:jc w:val="both"/>
        <w:rPr>
          <w:rFonts w:ascii="Palatino Linotype" w:hAnsi="Palatino Linotype" w:cs="Tahoma"/>
          <w:szCs w:val="22"/>
        </w:rPr>
      </w:pPr>
    </w:p>
    <w:p w14:paraId="1E94E787" w14:textId="42CB1ABD" w:rsidR="00E94E54" w:rsidRDefault="00F77239" w:rsidP="00695AC4">
      <w:pPr>
        <w:autoSpaceDE w:val="0"/>
        <w:autoSpaceDN w:val="0"/>
        <w:adjustRightInd w:val="0"/>
        <w:spacing w:line="360" w:lineRule="auto"/>
        <w:ind w:right="-28"/>
        <w:jc w:val="both"/>
        <w:rPr>
          <w:rFonts w:ascii="Palatino Linotype" w:hAnsi="Palatino Linotype" w:cs="Tahoma"/>
          <w:sz w:val="22"/>
          <w:szCs w:val="22"/>
        </w:rPr>
      </w:pPr>
      <w:r w:rsidRPr="00033B8E">
        <w:rPr>
          <w:rFonts w:ascii="Palatino Linotype" w:hAnsi="Palatino Linotype" w:cs="Tahoma"/>
          <w:bCs/>
          <w:sz w:val="22"/>
          <w:szCs w:val="22"/>
        </w:rPr>
        <w:t xml:space="preserve">Con fecha </w:t>
      </w:r>
      <w:r w:rsidR="0082621D">
        <w:rPr>
          <w:rFonts w:ascii="Palatino Linotype" w:hAnsi="Palatino Linotype" w:cs="Tahoma"/>
          <w:bCs/>
          <w:sz w:val="22"/>
          <w:szCs w:val="22"/>
        </w:rPr>
        <w:t>veinti</w:t>
      </w:r>
      <w:r w:rsidR="006A3A2E">
        <w:rPr>
          <w:rFonts w:ascii="Palatino Linotype" w:hAnsi="Palatino Linotype" w:cs="Tahoma"/>
          <w:bCs/>
          <w:sz w:val="22"/>
          <w:szCs w:val="22"/>
        </w:rPr>
        <w:t>uno</w:t>
      </w:r>
      <w:r w:rsidR="0082621D">
        <w:rPr>
          <w:rFonts w:ascii="Palatino Linotype" w:hAnsi="Palatino Linotype" w:cs="Tahoma"/>
          <w:bCs/>
          <w:sz w:val="22"/>
          <w:szCs w:val="22"/>
        </w:rPr>
        <w:t xml:space="preserve"> de enero de dos mil veinticinco</w:t>
      </w:r>
      <w:r w:rsidRPr="00033B8E">
        <w:rPr>
          <w:rFonts w:ascii="Palatino Linotype" w:hAnsi="Palatino Linotype" w:cs="Tahoma"/>
          <w:bCs/>
          <w:sz w:val="22"/>
          <w:szCs w:val="22"/>
        </w:rPr>
        <w:t>, el</w:t>
      </w:r>
      <w:r w:rsidRPr="00033B8E">
        <w:rPr>
          <w:rFonts w:ascii="Palatino Linotype" w:hAnsi="Palatino Linotype" w:cs="Tahoma"/>
          <w:b/>
          <w:sz w:val="22"/>
          <w:szCs w:val="22"/>
        </w:rPr>
        <w:t xml:space="preserve"> </w:t>
      </w:r>
      <w:r w:rsidRPr="00033B8E">
        <w:rPr>
          <w:rFonts w:ascii="Palatino Linotype" w:hAnsi="Palatino Linotype" w:cs="Tahoma"/>
          <w:sz w:val="22"/>
          <w:szCs w:val="22"/>
        </w:rPr>
        <w:t>Sujeto Obligado dio respuesta a la</w:t>
      </w:r>
      <w:r>
        <w:rPr>
          <w:rFonts w:ascii="Palatino Linotype" w:hAnsi="Palatino Linotype" w:cs="Tahoma"/>
          <w:sz w:val="22"/>
          <w:szCs w:val="22"/>
        </w:rPr>
        <w:t xml:space="preserve"> solicitud</w:t>
      </w:r>
      <w:r w:rsidRPr="00033B8E">
        <w:rPr>
          <w:rFonts w:ascii="Palatino Linotype" w:hAnsi="Palatino Linotype" w:cs="Tahoma"/>
          <w:sz w:val="22"/>
          <w:szCs w:val="22"/>
        </w:rPr>
        <w:t xml:space="preserve"> de acceso a la información, a través del </w:t>
      </w:r>
      <w:r w:rsidR="00C00DAE">
        <w:rPr>
          <w:rFonts w:ascii="Palatino Linotype" w:hAnsi="Palatino Linotype" w:cs="Tahoma"/>
          <w:sz w:val="22"/>
          <w:szCs w:val="22"/>
        </w:rPr>
        <w:t>SAIMEX</w:t>
      </w:r>
      <w:r w:rsidRPr="00033B8E">
        <w:rPr>
          <w:rFonts w:ascii="Palatino Linotype" w:hAnsi="Palatino Linotype" w:cs="Tahoma"/>
          <w:sz w:val="22"/>
          <w:szCs w:val="22"/>
        </w:rPr>
        <w:t xml:space="preserve">, </w:t>
      </w:r>
      <w:r w:rsidR="007F3801">
        <w:rPr>
          <w:rFonts w:ascii="Palatino Linotype" w:hAnsi="Palatino Linotype" w:cs="Tahoma"/>
          <w:sz w:val="22"/>
          <w:szCs w:val="22"/>
        </w:rPr>
        <w:t>mediante</w:t>
      </w:r>
      <w:r w:rsidR="007F3801" w:rsidRPr="007F3801">
        <w:rPr>
          <w:rFonts w:ascii="Palatino Linotype" w:hAnsi="Palatino Linotype" w:cs="Tahoma"/>
          <w:sz w:val="22"/>
          <w:szCs w:val="22"/>
        </w:rPr>
        <w:t xml:space="preserve"> </w:t>
      </w:r>
      <w:r w:rsidR="007F3801">
        <w:rPr>
          <w:rFonts w:ascii="Palatino Linotype" w:hAnsi="Palatino Linotype" w:cs="Tahoma"/>
          <w:sz w:val="22"/>
          <w:szCs w:val="22"/>
        </w:rPr>
        <w:t>o</w:t>
      </w:r>
      <w:r w:rsidR="007F3801" w:rsidRPr="007F3801">
        <w:rPr>
          <w:rFonts w:ascii="Palatino Linotype" w:hAnsi="Palatino Linotype" w:cs="Tahoma"/>
          <w:sz w:val="22"/>
          <w:szCs w:val="22"/>
        </w:rPr>
        <w:t xml:space="preserve">ficio </w:t>
      </w:r>
      <w:r w:rsidR="0082621D">
        <w:rPr>
          <w:rFonts w:ascii="Palatino Linotype" w:hAnsi="Palatino Linotype" w:cs="Tahoma"/>
          <w:sz w:val="22"/>
          <w:szCs w:val="22"/>
        </w:rPr>
        <w:t>200B10100/</w:t>
      </w:r>
      <w:r w:rsidR="006A3A2E">
        <w:rPr>
          <w:rFonts w:ascii="Palatino Linotype" w:hAnsi="Palatino Linotype" w:cs="Tahoma"/>
          <w:sz w:val="22"/>
          <w:szCs w:val="22"/>
        </w:rPr>
        <w:t>046</w:t>
      </w:r>
      <w:r w:rsidR="0082621D">
        <w:rPr>
          <w:rFonts w:ascii="Palatino Linotype" w:hAnsi="Palatino Linotype" w:cs="Tahoma"/>
          <w:sz w:val="22"/>
          <w:szCs w:val="22"/>
        </w:rPr>
        <w:t>/2025</w:t>
      </w:r>
      <w:r w:rsidR="007F3801" w:rsidRPr="007F3801">
        <w:rPr>
          <w:rFonts w:ascii="Palatino Linotype" w:hAnsi="Palatino Linotype" w:cs="Tahoma"/>
          <w:sz w:val="22"/>
          <w:szCs w:val="22"/>
        </w:rPr>
        <w:t xml:space="preserve">, de fecha </w:t>
      </w:r>
      <w:r w:rsidR="0082621D">
        <w:rPr>
          <w:rFonts w:ascii="Palatino Linotype" w:hAnsi="Palatino Linotype" w:cs="Tahoma"/>
          <w:sz w:val="22"/>
          <w:szCs w:val="22"/>
        </w:rPr>
        <w:t>veint</w:t>
      </w:r>
      <w:r w:rsidR="006A3A2E">
        <w:rPr>
          <w:rFonts w:ascii="Palatino Linotype" w:hAnsi="Palatino Linotype" w:cs="Tahoma"/>
          <w:sz w:val="22"/>
          <w:szCs w:val="22"/>
        </w:rPr>
        <w:t>e</w:t>
      </w:r>
      <w:r w:rsidR="007F3801" w:rsidRPr="007F3801">
        <w:rPr>
          <w:rFonts w:ascii="Palatino Linotype" w:hAnsi="Palatino Linotype" w:cs="Tahoma"/>
          <w:sz w:val="22"/>
          <w:szCs w:val="22"/>
        </w:rPr>
        <w:t xml:space="preserve"> de </w:t>
      </w:r>
      <w:r w:rsidR="0082621D">
        <w:rPr>
          <w:rFonts w:ascii="Palatino Linotype" w:hAnsi="Palatino Linotype" w:cs="Tahoma"/>
          <w:sz w:val="22"/>
          <w:szCs w:val="22"/>
        </w:rPr>
        <w:t>enero de dos mil veinticinco</w:t>
      </w:r>
      <w:r w:rsidR="007F3801" w:rsidRPr="007F3801">
        <w:rPr>
          <w:rFonts w:ascii="Palatino Linotype" w:hAnsi="Palatino Linotype" w:cs="Tahoma"/>
          <w:sz w:val="22"/>
          <w:szCs w:val="22"/>
        </w:rPr>
        <w:t>, signado por Titular de la Unidad de Transparencia</w:t>
      </w:r>
      <w:r w:rsidR="007F3801">
        <w:rPr>
          <w:rFonts w:ascii="Palatino Linotype" w:hAnsi="Palatino Linotype" w:cs="Tahoma"/>
          <w:sz w:val="22"/>
          <w:szCs w:val="22"/>
        </w:rPr>
        <w:t>,</w:t>
      </w:r>
      <w:r w:rsidR="0082621D">
        <w:rPr>
          <w:rFonts w:ascii="Palatino Linotype" w:hAnsi="Palatino Linotype" w:cs="Tahoma"/>
          <w:sz w:val="22"/>
          <w:szCs w:val="22"/>
        </w:rPr>
        <w:t xml:space="preserve"> señaló </w:t>
      </w:r>
      <w:r w:rsidR="00E94E54">
        <w:rPr>
          <w:rFonts w:ascii="Palatino Linotype" w:hAnsi="Palatino Linotype" w:cs="Tahoma"/>
          <w:sz w:val="22"/>
          <w:szCs w:val="22"/>
        </w:rPr>
        <w:t xml:space="preserve">que la información solicitada se encuentra publicada en la fracción </w:t>
      </w:r>
      <w:r w:rsidR="006A3A2E">
        <w:rPr>
          <w:rFonts w:ascii="Palatino Linotype" w:hAnsi="Palatino Linotype" w:cs="Tahoma"/>
          <w:sz w:val="22"/>
          <w:szCs w:val="22"/>
        </w:rPr>
        <w:t>X</w:t>
      </w:r>
      <w:r w:rsidR="00E94E54">
        <w:rPr>
          <w:rFonts w:ascii="Palatino Linotype" w:hAnsi="Palatino Linotype" w:cs="Tahoma"/>
          <w:sz w:val="22"/>
          <w:szCs w:val="22"/>
        </w:rPr>
        <w:t>VII</w:t>
      </w:r>
      <w:r w:rsidR="00C00DAE">
        <w:rPr>
          <w:rFonts w:ascii="Palatino Linotype" w:hAnsi="Palatino Linotype" w:cs="Tahoma"/>
          <w:sz w:val="22"/>
          <w:szCs w:val="22"/>
        </w:rPr>
        <w:t>,</w:t>
      </w:r>
      <w:r w:rsidR="00E94E54">
        <w:rPr>
          <w:rFonts w:ascii="Palatino Linotype" w:hAnsi="Palatino Linotype" w:cs="Tahoma"/>
          <w:sz w:val="22"/>
          <w:szCs w:val="22"/>
        </w:rPr>
        <w:t xml:space="preserve"> “</w:t>
      </w:r>
      <w:r w:rsidR="006A3A2E">
        <w:rPr>
          <w:rFonts w:ascii="Palatino Linotype" w:hAnsi="Palatino Linotype" w:cs="Tahoma"/>
          <w:sz w:val="22"/>
          <w:szCs w:val="22"/>
        </w:rPr>
        <w:t>Registro de Solicitudes de Acceso a la Información recibidas y atendidas</w:t>
      </w:r>
      <w:r w:rsidR="00E94E54">
        <w:rPr>
          <w:rFonts w:ascii="Palatino Linotype" w:hAnsi="Palatino Linotype" w:cs="Tahoma"/>
          <w:sz w:val="22"/>
          <w:szCs w:val="22"/>
        </w:rPr>
        <w:t>” del Sistema de Información Pública de Oficio Mexiquense (IPOMEX), por lo que proporcionó liga</w:t>
      </w:r>
      <w:r w:rsidR="006A3A2E">
        <w:rPr>
          <w:rFonts w:ascii="Palatino Linotype" w:hAnsi="Palatino Linotype" w:cs="Tahoma"/>
          <w:sz w:val="22"/>
          <w:szCs w:val="22"/>
        </w:rPr>
        <w:t xml:space="preserve"> electrónica en formato cerrado, adicionalmente informó que de las 221 solicitudes ingresadas a través del SAIMEX en el ejercicio 2024, únicamente fueron recurridas 30 solicitudes, de las cuales no quedó pendiente de atención</w:t>
      </w:r>
      <w:r w:rsidR="00C00DAE" w:rsidRPr="00C00DAE">
        <w:rPr>
          <w:rFonts w:ascii="Palatino Linotype" w:hAnsi="Palatino Linotype" w:cs="Tahoma"/>
          <w:sz w:val="22"/>
          <w:szCs w:val="22"/>
        </w:rPr>
        <w:t xml:space="preserve"> </w:t>
      </w:r>
      <w:r w:rsidR="00C00DAE">
        <w:rPr>
          <w:rFonts w:ascii="Palatino Linotype" w:hAnsi="Palatino Linotype" w:cs="Tahoma"/>
          <w:sz w:val="22"/>
          <w:szCs w:val="22"/>
        </w:rPr>
        <w:t>ninguna</w:t>
      </w:r>
      <w:r w:rsidR="006A3A2E">
        <w:rPr>
          <w:rFonts w:ascii="Palatino Linotype" w:hAnsi="Palatino Linotype" w:cs="Tahoma"/>
          <w:sz w:val="22"/>
          <w:szCs w:val="22"/>
        </w:rPr>
        <w:t>.</w:t>
      </w:r>
      <w:r w:rsidR="00E94E54">
        <w:rPr>
          <w:rFonts w:ascii="Palatino Linotype" w:hAnsi="Palatino Linotype" w:cs="Tahoma"/>
          <w:sz w:val="22"/>
          <w:szCs w:val="22"/>
        </w:rPr>
        <w:t xml:space="preserve"> </w:t>
      </w:r>
    </w:p>
    <w:p w14:paraId="29785E0D" w14:textId="77777777" w:rsidR="007F3801" w:rsidRDefault="007F3801" w:rsidP="00695AC4">
      <w:pPr>
        <w:autoSpaceDE w:val="0"/>
        <w:autoSpaceDN w:val="0"/>
        <w:adjustRightInd w:val="0"/>
        <w:spacing w:line="360" w:lineRule="auto"/>
        <w:jc w:val="both"/>
        <w:rPr>
          <w:rFonts w:ascii="Palatino Linotype" w:hAnsi="Palatino Linotype" w:cs="Tahoma"/>
          <w:b/>
          <w:sz w:val="22"/>
          <w:szCs w:val="22"/>
        </w:rPr>
      </w:pPr>
    </w:p>
    <w:p w14:paraId="512BBB54" w14:textId="2C5D1F86" w:rsidR="00FD5AA4" w:rsidRPr="006C5DA2" w:rsidRDefault="00FD5AA4" w:rsidP="00695AC4">
      <w:pPr>
        <w:pStyle w:val="Ttulo2"/>
        <w:spacing w:before="0"/>
      </w:pPr>
      <w:bookmarkStart w:id="3" w:name="_Toc190695544"/>
      <w:r w:rsidRPr="006C5DA2">
        <w:t>I</w:t>
      </w:r>
      <w:r w:rsidR="0082621D">
        <w:t>II</w:t>
      </w:r>
      <w:r w:rsidRPr="006C5DA2">
        <w:t>. Interposición del Recurso de Revisión</w:t>
      </w:r>
      <w:bookmarkEnd w:id="3"/>
      <w:r w:rsidRPr="006C5DA2">
        <w:t xml:space="preserve"> </w:t>
      </w:r>
    </w:p>
    <w:p w14:paraId="15BE5ED5" w14:textId="77777777" w:rsidR="00FD5AA4" w:rsidRPr="006C5DA2" w:rsidRDefault="00FD5AA4" w:rsidP="00695AC4">
      <w:pPr>
        <w:widowControl w:val="0"/>
        <w:spacing w:line="360" w:lineRule="auto"/>
        <w:jc w:val="both"/>
        <w:rPr>
          <w:rFonts w:ascii="Palatino Linotype" w:hAnsi="Palatino Linotype" w:cs="Tahoma"/>
          <w:sz w:val="22"/>
          <w:szCs w:val="22"/>
        </w:rPr>
      </w:pPr>
    </w:p>
    <w:p w14:paraId="4348D8A3" w14:textId="1E9C3406" w:rsidR="00FD5AA4" w:rsidRPr="0092034B" w:rsidRDefault="00FD5AA4" w:rsidP="00695AC4">
      <w:pPr>
        <w:widowControl w:val="0"/>
        <w:spacing w:line="360" w:lineRule="auto"/>
        <w:jc w:val="both"/>
        <w:rPr>
          <w:rFonts w:ascii="Palatino Linotype" w:hAnsi="Palatino Linotype" w:cs="Tahoma"/>
          <w:b/>
          <w:bCs/>
          <w:sz w:val="22"/>
          <w:szCs w:val="22"/>
        </w:rPr>
      </w:pPr>
      <w:r w:rsidRPr="006C5DA2">
        <w:rPr>
          <w:rFonts w:ascii="Palatino Linotype" w:hAnsi="Palatino Linotype" w:cs="Tahoma"/>
          <w:sz w:val="22"/>
          <w:szCs w:val="22"/>
        </w:rPr>
        <w:t xml:space="preserve">Con fecha </w:t>
      </w:r>
      <w:r w:rsidR="00B36076">
        <w:rPr>
          <w:rFonts w:ascii="Palatino Linotype" w:hAnsi="Palatino Linotype" w:cs="Tahoma"/>
          <w:sz w:val="22"/>
          <w:szCs w:val="22"/>
        </w:rPr>
        <w:t>treinta y uno de enero de dos mil veinticinco</w:t>
      </w:r>
      <w:r w:rsidR="00C12969">
        <w:rPr>
          <w:rFonts w:ascii="Palatino Linotype" w:hAnsi="Palatino Linotype" w:cs="Tahoma"/>
          <w:sz w:val="22"/>
          <w:szCs w:val="22"/>
        </w:rPr>
        <w:t xml:space="preserve">, </w:t>
      </w:r>
      <w:r w:rsidR="00D64985">
        <w:rPr>
          <w:rFonts w:ascii="Palatino Linotype" w:hAnsi="Palatino Linotype" w:cs="Tahoma"/>
          <w:sz w:val="22"/>
          <w:szCs w:val="22"/>
        </w:rPr>
        <w:t>el</w:t>
      </w:r>
      <w:r w:rsidRPr="006C5DA2">
        <w:rPr>
          <w:rFonts w:ascii="Palatino Linotype" w:hAnsi="Palatino Linotype" w:cs="Tahoma"/>
          <w:sz w:val="22"/>
          <w:szCs w:val="22"/>
        </w:rPr>
        <w:t xml:space="preserve"> Particular interpuso Recurso de Revisión en este Instituto, a través del </w:t>
      </w:r>
      <w:r w:rsidR="00C00DAE">
        <w:rPr>
          <w:rFonts w:ascii="Palatino Linotype" w:hAnsi="Palatino Linotype" w:cs="Tahoma"/>
          <w:sz w:val="22"/>
          <w:szCs w:val="22"/>
          <w:lang w:val="es-ES"/>
        </w:rPr>
        <w:t>SAIMEX</w:t>
      </w:r>
      <w:r w:rsidRPr="006C5DA2">
        <w:rPr>
          <w:rFonts w:ascii="Palatino Linotype" w:hAnsi="Palatino Linotype" w:cs="Tahoma"/>
          <w:sz w:val="22"/>
          <w:szCs w:val="22"/>
          <w:lang w:val="es-ES"/>
        </w:rPr>
        <w:t xml:space="preserve">, en </w:t>
      </w:r>
      <w:r w:rsidRPr="006C5DA2">
        <w:rPr>
          <w:rFonts w:ascii="Palatino Linotype" w:hAnsi="Palatino Linotype" w:cs="Tahoma"/>
          <w:sz w:val="22"/>
          <w:szCs w:val="22"/>
        </w:rPr>
        <w:t>contra de la respuesta del Sujeto Obligado,</w:t>
      </w:r>
      <w:r w:rsidR="00C12969">
        <w:rPr>
          <w:rFonts w:ascii="Palatino Linotype" w:hAnsi="Palatino Linotype" w:cs="Tahoma"/>
          <w:sz w:val="22"/>
          <w:szCs w:val="22"/>
        </w:rPr>
        <w:t xml:space="preserve"> </w:t>
      </w:r>
      <w:r w:rsidRPr="006C5DA2">
        <w:rPr>
          <w:rFonts w:ascii="Palatino Linotype" w:hAnsi="Palatino Linotype" w:cs="Tahoma"/>
          <w:bCs/>
          <w:sz w:val="22"/>
          <w:szCs w:val="22"/>
          <w:lang w:val="es-ES"/>
        </w:rPr>
        <w:t>en los términos siguientes</w:t>
      </w:r>
      <w:r w:rsidRPr="006C5DA2">
        <w:rPr>
          <w:rFonts w:ascii="Palatino Linotype" w:hAnsi="Palatino Linotype" w:cs="Tahoma"/>
          <w:b/>
          <w:bCs/>
          <w:sz w:val="22"/>
          <w:szCs w:val="22"/>
          <w:lang w:val="es-ES"/>
        </w:rPr>
        <w:t>:</w:t>
      </w:r>
    </w:p>
    <w:p w14:paraId="5CABB516" w14:textId="77777777" w:rsidR="00FD5AA4" w:rsidRPr="006C5DA2" w:rsidRDefault="00FD5AA4" w:rsidP="00695AC4">
      <w:pPr>
        <w:widowControl w:val="0"/>
        <w:spacing w:line="360" w:lineRule="auto"/>
        <w:jc w:val="both"/>
        <w:rPr>
          <w:rFonts w:ascii="Palatino Linotype" w:hAnsi="Palatino Linotype" w:cs="Tahoma"/>
          <w:b/>
          <w:bCs/>
          <w:sz w:val="22"/>
          <w:szCs w:val="22"/>
          <w:lang w:val="es-ES"/>
        </w:rPr>
      </w:pPr>
    </w:p>
    <w:p w14:paraId="424EFEF5" w14:textId="77777777" w:rsidR="00FD5AA4" w:rsidRPr="006C5DA2" w:rsidRDefault="00FD5AA4" w:rsidP="00695AC4">
      <w:pPr>
        <w:tabs>
          <w:tab w:val="left" w:pos="4667"/>
        </w:tabs>
        <w:spacing w:line="360" w:lineRule="auto"/>
        <w:ind w:left="567" w:right="567"/>
        <w:jc w:val="both"/>
        <w:rPr>
          <w:rFonts w:ascii="Palatino Linotype" w:hAnsi="Palatino Linotype" w:cs="Tahoma"/>
          <w:b/>
          <w:bCs/>
          <w:i/>
        </w:rPr>
      </w:pPr>
      <w:r w:rsidRPr="006C5DA2">
        <w:rPr>
          <w:rFonts w:ascii="Palatino Linotype" w:hAnsi="Palatino Linotype" w:cs="Tahoma"/>
          <w:b/>
          <w:bCs/>
          <w:i/>
        </w:rPr>
        <w:t>“ACTO IMPUGNADO</w:t>
      </w:r>
    </w:p>
    <w:p w14:paraId="6B97E168" w14:textId="04CDA7A5" w:rsidR="00FD5AA4" w:rsidRPr="006C5DA2" w:rsidRDefault="0025041F" w:rsidP="00695AC4">
      <w:pPr>
        <w:tabs>
          <w:tab w:val="left" w:pos="4667"/>
        </w:tabs>
        <w:spacing w:line="360" w:lineRule="auto"/>
        <w:ind w:left="567" w:right="567"/>
        <w:jc w:val="both"/>
        <w:rPr>
          <w:rFonts w:ascii="Palatino Linotype" w:hAnsi="Palatino Linotype" w:cs="Tahoma"/>
          <w:bCs/>
          <w:i/>
        </w:rPr>
      </w:pPr>
      <w:r w:rsidRPr="0025041F">
        <w:rPr>
          <w:rFonts w:ascii="Palatino Linotype" w:hAnsi="Palatino Linotype" w:cs="Tahoma"/>
          <w:bCs/>
          <w:i/>
        </w:rPr>
        <w:t xml:space="preserve">la respuesta de la titular de la </w:t>
      </w:r>
      <w:proofErr w:type="spellStart"/>
      <w:r w:rsidRPr="0025041F">
        <w:rPr>
          <w:rFonts w:ascii="Palatino Linotype" w:hAnsi="Palatino Linotype" w:cs="Tahoma"/>
          <w:bCs/>
          <w:i/>
        </w:rPr>
        <w:t>uippe</w:t>
      </w:r>
      <w:proofErr w:type="spellEnd"/>
      <w:r w:rsidRPr="0025041F">
        <w:rPr>
          <w:rFonts w:ascii="Palatino Linotype" w:hAnsi="Palatino Linotype" w:cs="Tahoma"/>
          <w:bCs/>
          <w:i/>
        </w:rPr>
        <w:t>, mediante oficio 200B10!00/046/2025 de fecha 20 de enero de 2025</w:t>
      </w:r>
      <w:r w:rsidR="00FD5AA4" w:rsidRPr="006C5DA2">
        <w:rPr>
          <w:rFonts w:ascii="Palatino Linotype" w:hAnsi="Palatino Linotype" w:cs="Tahoma"/>
          <w:bCs/>
          <w:i/>
        </w:rPr>
        <w:t xml:space="preserve">” </w:t>
      </w:r>
      <w:r w:rsidR="00B36076" w:rsidRPr="00B36076">
        <w:rPr>
          <w:rFonts w:ascii="Palatino Linotype" w:hAnsi="Palatino Linotype" w:cs="Tahoma"/>
          <w:bCs/>
        </w:rPr>
        <w:t>(</w:t>
      </w:r>
      <w:r w:rsidR="00B36076" w:rsidRPr="00A04D75">
        <w:rPr>
          <w:rFonts w:ascii="Palatino Linotype" w:hAnsi="Palatino Linotype" w:cs="Tahoma"/>
          <w:bCs/>
          <w:i/>
          <w:iCs/>
        </w:rPr>
        <w:t>Sic</w:t>
      </w:r>
      <w:r w:rsidR="00B36076" w:rsidRPr="00B36076">
        <w:rPr>
          <w:rFonts w:ascii="Palatino Linotype" w:hAnsi="Palatino Linotype" w:cs="Tahoma"/>
          <w:bCs/>
        </w:rPr>
        <w:t>)</w:t>
      </w:r>
      <w:r w:rsidR="00C00DAE">
        <w:rPr>
          <w:rFonts w:ascii="Palatino Linotype" w:hAnsi="Palatino Linotype" w:cs="Tahoma"/>
          <w:bCs/>
        </w:rPr>
        <w:t>.</w:t>
      </w:r>
    </w:p>
    <w:p w14:paraId="3CAF3BE8" w14:textId="77777777" w:rsidR="00FD5AA4" w:rsidRPr="006C5DA2" w:rsidRDefault="00FD5AA4" w:rsidP="00695AC4">
      <w:pPr>
        <w:tabs>
          <w:tab w:val="left" w:pos="4667"/>
        </w:tabs>
        <w:spacing w:line="360" w:lineRule="auto"/>
        <w:ind w:left="567" w:right="567"/>
        <w:jc w:val="both"/>
        <w:rPr>
          <w:rFonts w:ascii="Palatino Linotype" w:hAnsi="Palatino Linotype" w:cs="Tahoma"/>
          <w:bCs/>
          <w:i/>
        </w:rPr>
      </w:pPr>
    </w:p>
    <w:p w14:paraId="299A0721" w14:textId="77777777" w:rsidR="00FD5AA4" w:rsidRPr="006C5DA2" w:rsidRDefault="00FD5AA4" w:rsidP="00695AC4">
      <w:pPr>
        <w:tabs>
          <w:tab w:val="left" w:pos="4667"/>
        </w:tabs>
        <w:spacing w:line="360" w:lineRule="auto"/>
        <w:ind w:left="567" w:right="567"/>
        <w:jc w:val="both"/>
        <w:rPr>
          <w:rFonts w:ascii="Palatino Linotype" w:hAnsi="Palatino Linotype" w:cs="Tahoma"/>
          <w:b/>
          <w:bCs/>
          <w:i/>
        </w:rPr>
      </w:pPr>
      <w:r w:rsidRPr="006C5DA2">
        <w:rPr>
          <w:rFonts w:ascii="Palatino Linotype" w:hAnsi="Palatino Linotype" w:cs="Tahoma"/>
          <w:b/>
          <w:bCs/>
          <w:i/>
        </w:rPr>
        <w:lastRenderedPageBreak/>
        <w:t>“RAZONES O MOTIVOS DE LA INCONFORMIDAD</w:t>
      </w:r>
    </w:p>
    <w:p w14:paraId="15103A48" w14:textId="3F220248" w:rsidR="00FD5AA4" w:rsidRPr="006C5DA2" w:rsidRDefault="0025041F" w:rsidP="00695AC4">
      <w:pPr>
        <w:tabs>
          <w:tab w:val="left" w:pos="4667"/>
        </w:tabs>
        <w:spacing w:line="360" w:lineRule="auto"/>
        <w:ind w:left="567" w:right="567"/>
        <w:jc w:val="both"/>
        <w:rPr>
          <w:rFonts w:ascii="Palatino Linotype" w:hAnsi="Palatino Linotype" w:cs="Tahoma"/>
          <w:i/>
        </w:rPr>
      </w:pPr>
      <w:r w:rsidRPr="0025041F">
        <w:rPr>
          <w:rFonts w:ascii="Palatino Linotype" w:hAnsi="Palatino Linotype"/>
          <w:i/>
        </w:rPr>
        <w:t xml:space="preserve">no entregan la </w:t>
      </w:r>
      <w:proofErr w:type="spellStart"/>
      <w:r w:rsidRPr="0025041F">
        <w:rPr>
          <w:rFonts w:ascii="Palatino Linotype" w:hAnsi="Palatino Linotype"/>
          <w:i/>
        </w:rPr>
        <w:t>informacion</w:t>
      </w:r>
      <w:proofErr w:type="spellEnd"/>
      <w:r w:rsidRPr="0025041F">
        <w:rPr>
          <w:rFonts w:ascii="Palatino Linotype" w:hAnsi="Palatino Linotype"/>
          <w:i/>
        </w:rPr>
        <w:t xml:space="preserve"> solicitad</w:t>
      </w:r>
      <w:r w:rsidR="00A04D75">
        <w:rPr>
          <w:rFonts w:ascii="Palatino Linotype" w:hAnsi="Palatino Linotype"/>
          <w:i/>
        </w:rPr>
        <w:t xml:space="preserve"> </w:t>
      </w:r>
      <w:r w:rsidRPr="0025041F">
        <w:rPr>
          <w:rFonts w:ascii="Palatino Linotype" w:hAnsi="Palatino Linotype"/>
          <w:i/>
        </w:rPr>
        <w:t xml:space="preserve">a, </w:t>
      </w:r>
      <w:proofErr w:type="spellStart"/>
      <w:r w:rsidRPr="0025041F">
        <w:rPr>
          <w:rFonts w:ascii="Palatino Linotype" w:hAnsi="Palatino Linotype"/>
          <w:i/>
        </w:rPr>
        <w:t>pedi</w:t>
      </w:r>
      <w:proofErr w:type="spellEnd"/>
      <w:r w:rsidRPr="0025041F">
        <w:rPr>
          <w:rFonts w:ascii="Palatino Linotype" w:hAnsi="Palatino Linotype"/>
          <w:i/>
        </w:rPr>
        <w:t xml:space="preserve"> </w:t>
      </w:r>
      <w:proofErr w:type="spellStart"/>
      <w:r w:rsidRPr="0025041F">
        <w:rPr>
          <w:rFonts w:ascii="Palatino Linotype" w:hAnsi="Palatino Linotype"/>
          <w:i/>
        </w:rPr>
        <w:t>documentacion</w:t>
      </w:r>
      <w:proofErr w:type="spellEnd"/>
      <w:r w:rsidRPr="0025041F">
        <w:rPr>
          <w:rFonts w:ascii="Palatino Linotype" w:hAnsi="Palatino Linotype"/>
          <w:i/>
        </w:rPr>
        <w:t xml:space="preserve"> </w:t>
      </w:r>
      <w:proofErr w:type="spellStart"/>
      <w:r w:rsidRPr="0025041F">
        <w:rPr>
          <w:rFonts w:ascii="Palatino Linotype" w:hAnsi="Palatino Linotype"/>
          <w:i/>
        </w:rPr>
        <w:t>ademas</w:t>
      </w:r>
      <w:proofErr w:type="spellEnd"/>
      <w:r w:rsidR="00FD5AA4" w:rsidRPr="006C5DA2">
        <w:rPr>
          <w:rFonts w:ascii="Palatino Linotype" w:hAnsi="Palatino Linotype" w:cs="Tahoma"/>
          <w:i/>
        </w:rPr>
        <w:t xml:space="preserve">” </w:t>
      </w:r>
      <w:r w:rsidR="00B36076" w:rsidRPr="00B36076">
        <w:rPr>
          <w:rFonts w:ascii="Palatino Linotype" w:hAnsi="Palatino Linotype" w:cs="Tahoma"/>
          <w:bCs/>
        </w:rPr>
        <w:t>(</w:t>
      </w:r>
      <w:r w:rsidR="00B36076" w:rsidRPr="00A04D75">
        <w:rPr>
          <w:rFonts w:ascii="Palatino Linotype" w:hAnsi="Palatino Linotype" w:cs="Tahoma"/>
          <w:bCs/>
          <w:i/>
          <w:iCs/>
        </w:rPr>
        <w:t>Sic</w:t>
      </w:r>
      <w:r w:rsidR="00B36076" w:rsidRPr="00B36076">
        <w:rPr>
          <w:rFonts w:ascii="Palatino Linotype" w:hAnsi="Palatino Linotype" w:cs="Tahoma"/>
          <w:bCs/>
        </w:rPr>
        <w:t>)</w:t>
      </w:r>
      <w:r w:rsidR="00C00DAE">
        <w:rPr>
          <w:rFonts w:ascii="Palatino Linotype" w:hAnsi="Palatino Linotype" w:cs="Tahoma"/>
          <w:bCs/>
        </w:rPr>
        <w:t>.</w:t>
      </w:r>
    </w:p>
    <w:p w14:paraId="7041BF91" w14:textId="415F66A4" w:rsidR="00587430" w:rsidRDefault="00587430" w:rsidP="00695AC4">
      <w:pPr>
        <w:tabs>
          <w:tab w:val="left" w:pos="4667"/>
        </w:tabs>
        <w:spacing w:line="360" w:lineRule="auto"/>
        <w:ind w:right="567"/>
        <w:jc w:val="both"/>
        <w:rPr>
          <w:rFonts w:ascii="Palatino Linotype" w:hAnsi="Palatino Linotype" w:cs="Tahoma"/>
          <w:b/>
          <w:bCs/>
          <w:i/>
        </w:rPr>
      </w:pPr>
    </w:p>
    <w:p w14:paraId="3D23A4FC" w14:textId="2F46FCFF" w:rsidR="00FD5AA4" w:rsidRPr="006C5DA2" w:rsidRDefault="004F0F4E" w:rsidP="00695AC4">
      <w:pPr>
        <w:pStyle w:val="Ttulo2"/>
        <w:spacing w:before="0"/>
      </w:pPr>
      <w:bookmarkStart w:id="4" w:name="_Toc190695545"/>
      <w:r>
        <w:t>I</w:t>
      </w:r>
      <w:r w:rsidR="00FD5AA4" w:rsidRPr="006C5DA2">
        <w:t xml:space="preserve">V. Trámite del Recurso de Revisión </w:t>
      </w:r>
      <w:r w:rsidR="007F3801">
        <w:t>ante el Instituto</w:t>
      </w:r>
      <w:bookmarkEnd w:id="4"/>
    </w:p>
    <w:p w14:paraId="4C0F013E" w14:textId="77777777" w:rsidR="00B65BDF" w:rsidRPr="006C5DA2" w:rsidRDefault="00B65BDF" w:rsidP="00695AC4">
      <w:pPr>
        <w:spacing w:line="360" w:lineRule="auto"/>
        <w:jc w:val="both"/>
        <w:rPr>
          <w:rFonts w:ascii="Palatino Linotype" w:eastAsia="Batang" w:hAnsi="Palatino Linotype" w:cs="Tahoma"/>
          <w:b/>
          <w:bCs/>
          <w:sz w:val="22"/>
          <w:szCs w:val="22"/>
        </w:rPr>
      </w:pPr>
    </w:p>
    <w:p w14:paraId="2CB9F631" w14:textId="1B0C0540" w:rsidR="00FD5AA4" w:rsidRPr="006C5DA2" w:rsidRDefault="00FD5AA4" w:rsidP="00695AC4">
      <w:pPr>
        <w:spacing w:line="360" w:lineRule="auto"/>
        <w:jc w:val="both"/>
        <w:rPr>
          <w:rFonts w:ascii="Palatino Linotype" w:eastAsia="Batang" w:hAnsi="Palatino Linotype" w:cs="Tahoma"/>
          <w:bCs/>
          <w:sz w:val="22"/>
          <w:szCs w:val="22"/>
        </w:rPr>
      </w:pPr>
      <w:bookmarkStart w:id="5" w:name="_Toc190695546"/>
      <w:r w:rsidRPr="00FC5C55">
        <w:rPr>
          <w:rStyle w:val="Ttulo3Car"/>
          <w:sz w:val="22"/>
        </w:rPr>
        <w:t>a) Turno del Recurso de Revisión.</w:t>
      </w:r>
      <w:bookmarkEnd w:id="5"/>
      <w:r w:rsidRPr="006C5DA2">
        <w:rPr>
          <w:rFonts w:ascii="Palatino Linotype" w:eastAsia="Batang" w:hAnsi="Palatino Linotype" w:cs="Tahoma"/>
          <w:b/>
          <w:bCs/>
          <w:sz w:val="22"/>
          <w:szCs w:val="22"/>
        </w:rPr>
        <w:t xml:space="preserve"> </w:t>
      </w:r>
      <w:r w:rsidRPr="006C5DA2">
        <w:rPr>
          <w:rFonts w:ascii="Palatino Linotype" w:eastAsia="Batang" w:hAnsi="Palatino Linotype" w:cs="Tahoma"/>
          <w:bCs/>
          <w:sz w:val="22"/>
          <w:szCs w:val="22"/>
        </w:rPr>
        <w:t xml:space="preserve">El </w:t>
      </w:r>
      <w:r w:rsidR="004F0F4E" w:rsidRPr="004F0F4E">
        <w:rPr>
          <w:rFonts w:ascii="Palatino Linotype" w:eastAsia="Batang" w:hAnsi="Palatino Linotype" w:cs="Tahoma"/>
          <w:bCs/>
          <w:sz w:val="22"/>
          <w:szCs w:val="22"/>
        </w:rPr>
        <w:t>treinta y uno de enero de dos mil veinticinco</w:t>
      </w:r>
      <w:r w:rsidRPr="006C5DA2">
        <w:rPr>
          <w:rFonts w:ascii="Palatino Linotype" w:eastAsia="Batang" w:hAnsi="Palatino Linotype" w:cs="Tahoma"/>
          <w:bCs/>
          <w:sz w:val="22"/>
          <w:szCs w:val="22"/>
        </w:rPr>
        <w:t xml:space="preserve">, el </w:t>
      </w:r>
      <w:r w:rsidR="00C00DAE">
        <w:rPr>
          <w:rFonts w:ascii="Palatino Linotype" w:hAnsi="Palatino Linotype" w:cs="Tahoma"/>
          <w:sz w:val="22"/>
          <w:szCs w:val="22"/>
          <w:lang w:val="es-ES"/>
        </w:rPr>
        <w:t>SAIMEX</w:t>
      </w:r>
      <w:r w:rsidRPr="006C5DA2">
        <w:rPr>
          <w:rFonts w:ascii="Palatino Linotype" w:hAnsi="Palatino Linotype" w:cs="Tahoma"/>
          <w:sz w:val="22"/>
          <w:szCs w:val="22"/>
          <w:lang w:val="es-ES"/>
        </w:rPr>
        <w:t>,</w:t>
      </w:r>
      <w:r w:rsidRPr="006C5DA2">
        <w:rPr>
          <w:rFonts w:ascii="Palatino Linotype" w:eastAsia="Batang" w:hAnsi="Palatino Linotype" w:cs="Tahoma"/>
          <w:bCs/>
          <w:sz w:val="22"/>
          <w:szCs w:val="22"/>
        </w:rPr>
        <w:t xml:space="preserve"> asignó con número de expediente </w:t>
      </w:r>
      <w:r w:rsidR="005E15BB">
        <w:rPr>
          <w:rFonts w:ascii="Palatino Linotype" w:eastAsia="Batang" w:hAnsi="Palatino Linotype" w:cs="Tahoma"/>
          <w:b/>
          <w:bCs/>
          <w:sz w:val="22"/>
          <w:szCs w:val="22"/>
        </w:rPr>
        <w:t>0</w:t>
      </w:r>
      <w:r w:rsidR="004F0F4E">
        <w:rPr>
          <w:rFonts w:ascii="Palatino Linotype" w:eastAsia="Batang" w:hAnsi="Palatino Linotype" w:cs="Tahoma"/>
          <w:b/>
          <w:bCs/>
          <w:sz w:val="22"/>
          <w:szCs w:val="22"/>
        </w:rPr>
        <w:t>0</w:t>
      </w:r>
      <w:r w:rsidR="00FC5C55">
        <w:rPr>
          <w:rFonts w:ascii="Palatino Linotype" w:eastAsia="Batang" w:hAnsi="Palatino Linotype" w:cs="Tahoma"/>
          <w:b/>
          <w:bCs/>
          <w:sz w:val="22"/>
          <w:szCs w:val="22"/>
        </w:rPr>
        <w:t>426</w:t>
      </w:r>
      <w:r w:rsidR="005E15BB">
        <w:rPr>
          <w:rFonts w:ascii="Palatino Linotype" w:eastAsia="Batang" w:hAnsi="Palatino Linotype" w:cs="Tahoma"/>
          <w:b/>
          <w:bCs/>
          <w:sz w:val="22"/>
          <w:szCs w:val="22"/>
        </w:rPr>
        <w:t>/INFOEM/IP/RR/202</w:t>
      </w:r>
      <w:r w:rsidR="004F0F4E">
        <w:rPr>
          <w:rFonts w:ascii="Palatino Linotype" w:eastAsia="Batang" w:hAnsi="Palatino Linotype" w:cs="Tahoma"/>
          <w:b/>
          <w:bCs/>
          <w:sz w:val="22"/>
          <w:szCs w:val="22"/>
        </w:rPr>
        <w:t>5</w:t>
      </w:r>
      <w:r w:rsidR="00265C01">
        <w:rPr>
          <w:rFonts w:ascii="Palatino Linotype" w:eastAsia="Batang" w:hAnsi="Palatino Linotype" w:cs="Tahoma"/>
          <w:b/>
          <w:bCs/>
          <w:sz w:val="22"/>
          <w:szCs w:val="22"/>
        </w:rPr>
        <w:t xml:space="preserve"> </w:t>
      </w:r>
      <w:r w:rsidRPr="006C5DA2">
        <w:rPr>
          <w:rFonts w:ascii="Palatino Linotype" w:eastAsia="Batang" w:hAnsi="Palatino Linotype" w:cs="Tahoma"/>
          <w:bCs/>
          <w:sz w:val="22"/>
          <w:szCs w:val="22"/>
        </w:rPr>
        <w:t xml:space="preserve">al Medio de Impugnación que nos ocupa, con base en el sistema aprobado por el Pleno de este Órgano Garante y lo turnó al </w:t>
      </w:r>
      <w:r w:rsidRPr="00D23C5E">
        <w:rPr>
          <w:rFonts w:ascii="Palatino Linotype" w:eastAsia="Batang" w:hAnsi="Palatino Linotype" w:cs="Tahoma"/>
          <w:bCs/>
          <w:sz w:val="22"/>
          <w:szCs w:val="22"/>
        </w:rPr>
        <w:t>Comisionado Ponente Luis Gustavo Parra Noriega</w:t>
      </w:r>
      <w:r w:rsidRPr="006C5DA2">
        <w:rPr>
          <w:rFonts w:ascii="Palatino Linotype" w:eastAsia="Batang" w:hAnsi="Palatino Linotype" w:cs="Tahoma"/>
          <w:bCs/>
          <w:sz w:val="22"/>
          <w:szCs w:val="22"/>
        </w:rPr>
        <w:t>, para los efectos del artículo 185, fracción I de la Ley de Transparencia y Acceso a la Información Pública del Estado de México y Municipios.</w:t>
      </w:r>
      <w:r w:rsidR="004F0F4E">
        <w:rPr>
          <w:rFonts w:ascii="Palatino Linotype" w:eastAsia="Batang" w:hAnsi="Palatino Linotype" w:cs="Tahoma"/>
          <w:bCs/>
          <w:sz w:val="22"/>
          <w:szCs w:val="22"/>
        </w:rPr>
        <w:t xml:space="preserve"> </w:t>
      </w:r>
    </w:p>
    <w:p w14:paraId="752673EA" w14:textId="77777777" w:rsidR="00FD5AA4" w:rsidRPr="006C5DA2" w:rsidRDefault="00FD5AA4" w:rsidP="00695AC4">
      <w:pPr>
        <w:spacing w:line="360" w:lineRule="auto"/>
        <w:jc w:val="both"/>
        <w:rPr>
          <w:rFonts w:ascii="Palatino Linotype" w:eastAsia="Batang" w:hAnsi="Palatino Linotype" w:cs="Tahoma"/>
          <w:b/>
          <w:bCs/>
          <w:sz w:val="22"/>
          <w:szCs w:val="22"/>
        </w:rPr>
      </w:pPr>
    </w:p>
    <w:p w14:paraId="5F39C819" w14:textId="1810E3BD" w:rsidR="00FD5AA4" w:rsidRDefault="00FD5AA4" w:rsidP="00695AC4">
      <w:pPr>
        <w:spacing w:line="360" w:lineRule="auto"/>
        <w:jc w:val="both"/>
        <w:rPr>
          <w:rFonts w:ascii="Palatino Linotype" w:eastAsia="Batang" w:hAnsi="Palatino Linotype" w:cs="Tahoma"/>
          <w:bCs/>
          <w:sz w:val="22"/>
          <w:szCs w:val="22"/>
        </w:rPr>
      </w:pPr>
      <w:bookmarkStart w:id="6" w:name="_Toc190695547"/>
      <w:r w:rsidRPr="00FC5C55">
        <w:rPr>
          <w:rStyle w:val="Ttulo3Car"/>
          <w:sz w:val="22"/>
        </w:rPr>
        <w:t>b) Admisión del Recurso de Revisión.</w:t>
      </w:r>
      <w:bookmarkEnd w:id="6"/>
      <w:r w:rsidRPr="00FC5C55">
        <w:rPr>
          <w:rFonts w:ascii="Palatino Linotype" w:eastAsia="Batang" w:hAnsi="Palatino Linotype" w:cs="Tahoma"/>
          <w:b/>
          <w:bCs/>
          <w:sz w:val="24"/>
          <w:szCs w:val="22"/>
        </w:rPr>
        <w:t xml:space="preserve"> </w:t>
      </w:r>
      <w:r w:rsidRPr="006C5DA2">
        <w:rPr>
          <w:rFonts w:ascii="Palatino Linotype" w:eastAsia="Batang" w:hAnsi="Palatino Linotype" w:cs="Tahoma"/>
          <w:bCs/>
          <w:sz w:val="22"/>
          <w:szCs w:val="22"/>
        </w:rPr>
        <w:t xml:space="preserve">El </w:t>
      </w:r>
      <w:r w:rsidR="004F0F4E">
        <w:rPr>
          <w:rFonts w:ascii="Palatino Linotype" w:eastAsia="Batang" w:hAnsi="Palatino Linotype" w:cs="Tahoma"/>
          <w:bCs/>
          <w:sz w:val="22"/>
          <w:szCs w:val="22"/>
        </w:rPr>
        <w:t>cinco de febrero</w:t>
      </w:r>
      <w:r w:rsidR="004F0F4E" w:rsidRPr="004F0F4E">
        <w:rPr>
          <w:rFonts w:ascii="Palatino Linotype" w:eastAsia="Batang" w:hAnsi="Palatino Linotype" w:cs="Tahoma"/>
          <w:bCs/>
          <w:sz w:val="22"/>
          <w:szCs w:val="22"/>
        </w:rPr>
        <w:t xml:space="preserve"> de dos mil veinticinco</w:t>
      </w:r>
      <w:r w:rsidRPr="006C5DA2">
        <w:rPr>
          <w:rFonts w:ascii="Palatino Linotype" w:eastAsia="Batang" w:hAnsi="Palatino Linotype" w:cs="Tahoma"/>
          <w:bCs/>
          <w:sz w:val="22"/>
          <w:szCs w:val="22"/>
        </w:rPr>
        <w:t xml:space="preserve">, se acordó la admisión del Recurso de Revisión interpuesto por el Particular en contra del Sujeto Obligado, en términos del artículo 185, fracciones I, II y IV de la Ley de Transparencia y Acceso a la Información Pública del Estado de México y Municipios, el cual fue notificado a las partes el </w:t>
      </w:r>
      <w:r w:rsidR="004F0F4E">
        <w:rPr>
          <w:rFonts w:ascii="Palatino Linotype" w:eastAsia="Batang" w:hAnsi="Palatino Linotype" w:cs="Tahoma"/>
          <w:bCs/>
          <w:sz w:val="22"/>
          <w:szCs w:val="22"/>
        </w:rPr>
        <w:t>mismo día, mes y año</w:t>
      </w:r>
      <w:r w:rsidRPr="006C5DA2">
        <w:rPr>
          <w:rFonts w:ascii="Palatino Linotype" w:eastAsia="Batang" w:hAnsi="Palatino Linotype" w:cs="Tahoma"/>
          <w:bCs/>
          <w:sz w:val="22"/>
          <w:szCs w:val="22"/>
        </w:rPr>
        <w:t xml:space="preserve">, a través del </w:t>
      </w:r>
      <w:r w:rsidR="00C00DAE">
        <w:rPr>
          <w:rFonts w:ascii="Palatino Linotype" w:eastAsia="Batang" w:hAnsi="Palatino Linotype" w:cs="Tahoma"/>
          <w:bCs/>
          <w:sz w:val="22"/>
          <w:szCs w:val="22"/>
        </w:rPr>
        <w:t>SAIMEX</w:t>
      </w:r>
      <w:r w:rsidRPr="006C5DA2">
        <w:rPr>
          <w:rFonts w:ascii="Palatino Linotype" w:eastAsia="Batang" w:hAnsi="Palatino Linotype" w:cs="Tahoma"/>
          <w:bCs/>
          <w:sz w:val="22"/>
          <w:szCs w:val="22"/>
        </w:rPr>
        <w:t>, en el que se les otorgó un plazo de siete días hábiles posteriores a la misma, para que manifestaran lo que a su derecho conviniera y formularan alegatos.</w:t>
      </w:r>
    </w:p>
    <w:p w14:paraId="46BE5D18" w14:textId="77777777" w:rsidR="00FD5AA4" w:rsidRDefault="00FD5AA4" w:rsidP="00695AC4">
      <w:pPr>
        <w:spacing w:line="360" w:lineRule="auto"/>
        <w:jc w:val="both"/>
        <w:rPr>
          <w:rFonts w:ascii="Palatino Linotype" w:eastAsia="Batang" w:hAnsi="Palatino Linotype" w:cs="Tahoma"/>
          <w:bCs/>
          <w:sz w:val="22"/>
          <w:szCs w:val="22"/>
        </w:rPr>
      </w:pPr>
    </w:p>
    <w:p w14:paraId="70060F64" w14:textId="77777777" w:rsidR="00D87D20" w:rsidRPr="00FC5C55" w:rsidRDefault="00D87D20" w:rsidP="00695AC4">
      <w:pPr>
        <w:spacing w:line="360" w:lineRule="auto"/>
        <w:jc w:val="both"/>
        <w:rPr>
          <w:rFonts w:ascii="Palatino Linotype" w:hAnsi="Palatino Linotype" w:cs="Tahoma"/>
          <w:bCs/>
          <w:sz w:val="22"/>
          <w:szCs w:val="22"/>
          <w:lang w:val="es-ES"/>
        </w:rPr>
      </w:pPr>
      <w:bookmarkStart w:id="7" w:name="_Toc190695548"/>
      <w:r w:rsidRPr="00FC5C55">
        <w:rPr>
          <w:rStyle w:val="Ttulo3Car"/>
          <w:sz w:val="22"/>
          <w:szCs w:val="22"/>
        </w:rPr>
        <w:t>c) Informe Justificado.</w:t>
      </w:r>
      <w:bookmarkEnd w:id="7"/>
      <w:r w:rsidRPr="00FC5C55">
        <w:rPr>
          <w:rFonts w:ascii="Palatino Linotype" w:eastAsia="Calibri" w:hAnsi="Palatino Linotype"/>
          <w:b/>
          <w:color w:val="000000"/>
          <w:sz w:val="22"/>
          <w:szCs w:val="22"/>
          <w:lang w:eastAsia="en-US"/>
        </w:rPr>
        <w:t xml:space="preserve"> </w:t>
      </w:r>
      <w:r w:rsidRPr="00FC5C55">
        <w:rPr>
          <w:rFonts w:ascii="Palatino Linotype" w:hAnsi="Palatino Linotype" w:cs="Tahoma"/>
          <w:bCs/>
          <w:sz w:val="22"/>
          <w:szCs w:val="22"/>
          <w:lang w:val="es-ES"/>
        </w:rPr>
        <w:t xml:space="preserve">Las partes fueron omisas en presentar alegatos o manifestaciones que a derecho convinieran. </w:t>
      </w:r>
    </w:p>
    <w:p w14:paraId="33897154" w14:textId="77777777" w:rsidR="00D87D20" w:rsidRPr="00FC5C55" w:rsidRDefault="00D87D20" w:rsidP="00695AC4">
      <w:pPr>
        <w:spacing w:line="360" w:lineRule="auto"/>
        <w:ind w:right="567"/>
        <w:jc w:val="both"/>
        <w:rPr>
          <w:rFonts w:ascii="Palatino Linotype" w:hAnsi="Palatino Linotype" w:cs="Tahoma"/>
          <w:i/>
          <w:sz w:val="22"/>
          <w:szCs w:val="22"/>
        </w:rPr>
      </w:pPr>
    </w:p>
    <w:p w14:paraId="0BCB8473" w14:textId="4912A0C2" w:rsidR="00D87D20" w:rsidRPr="00D87D20" w:rsidRDefault="00D87D20" w:rsidP="00695AC4">
      <w:pPr>
        <w:spacing w:line="360" w:lineRule="auto"/>
        <w:jc w:val="both"/>
        <w:rPr>
          <w:rFonts w:ascii="Palatino Linotype" w:hAnsi="Palatino Linotype" w:cs="Tahoma"/>
          <w:sz w:val="22"/>
          <w:szCs w:val="24"/>
        </w:rPr>
      </w:pPr>
      <w:bookmarkStart w:id="8" w:name="_Toc190695549"/>
      <w:r w:rsidRPr="00FC5C55">
        <w:rPr>
          <w:rStyle w:val="Ttulo3Car"/>
          <w:sz w:val="22"/>
          <w:szCs w:val="22"/>
        </w:rPr>
        <w:t>d) Cierre de instrucción.</w:t>
      </w:r>
      <w:bookmarkEnd w:id="8"/>
      <w:r w:rsidRPr="00FC5C55">
        <w:rPr>
          <w:rFonts w:ascii="Palatino Linotype" w:hAnsi="Palatino Linotype" w:cs="Tahoma"/>
          <w:b/>
          <w:sz w:val="22"/>
          <w:szCs w:val="22"/>
        </w:rPr>
        <w:t xml:space="preserve"> </w:t>
      </w:r>
      <w:r w:rsidR="0012152C" w:rsidRPr="00FC5C55">
        <w:rPr>
          <w:rFonts w:ascii="Palatino Linotype" w:hAnsi="Palatino Linotype" w:cs="Tahoma"/>
          <w:sz w:val="22"/>
          <w:szCs w:val="22"/>
        </w:rPr>
        <w:t>En fecha diecisiete de febrero de dos mil veinticinco</w:t>
      </w:r>
      <w:r w:rsidRPr="00FC5C55">
        <w:rPr>
          <w:rFonts w:ascii="Palatino Linotype" w:hAnsi="Palatino Linotype" w:cs="Tahoma"/>
          <w:sz w:val="22"/>
          <w:szCs w:val="22"/>
        </w:rPr>
        <w:t xml:space="preserve">, al no existir diligencias pendientes por desahogar, se emitió el acuerdo por medio del cual se declaró cerrada la instrucción y se determinó pasar el expediente a resolución, en términos de lo </w:t>
      </w:r>
      <w:r w:rsidRPr="00FC5C55">
        <w:rPr>
          <w:rFonts w:ascii="Palatino Linotype" w:hAnsi="Palatino Linotype" w:cs="Tahoma"/>
          <w:sz w:val="22"/>
          <w:szCs w:val="22"/>
        </w:rPr>
        <w:lastRenderedPageBreak/>
        <w:t xml:space="preserve">dispuesto en los artículos 185, fracciones VI y VIII, de la Ley de Transparencia y Acceso a la Información Pública del Estado de México y Municipios, mismo que fue notificado a las partes el mismo día, a través del </w:t>
      </w:r>
      <w:r w:rsidR="00C00DAE">
        <w:rPr>
          <w:rFonts w:ascii="Palatino Linotype" w:hAnsi="Palatino Linotype" w:cs="Tahoma"/>
          <w:sz w:val="22"/>
          <w:szCs w:val="22"/>
          <w:lang w:val="es-ES"/>
        </w:rPr>
        <w:t>SAIMEX</w:t>
      </w:r>
      <w:r w:rsidRPr="00FC5C55">
        <w:rPr>
          <w:rFonts w:ascii="Palatino Linotype" w:hAnsi="Palatino Linotype" w:cs="Tahoma"/>
          <w:sz w:val="22"/>
          <w:szCs w:val="22"/>
        </w:rPr>
        <w:t>.</w:t>
      </w:r>
    </w:p>
    <w:p w14:paraId="19A4E248" w14:textId="77777777" w:rsidR="00D87D20" w:rsidRPr="00D87D20" w:rsidRDefault="00D87D20" w:rsidP="00695AC4">
      <w:pPr>
        <w:spacing w:line="360" w:lineRule="auto"/>
        <w:jc w:val="both"/>
        <w:rPr>
          <w:rFonts w:ascii="Palatino Linotype" w:hAnsi="Palatino Linotype" w:cs="Tahoma"/>
          <w:sz w:val="22"/>
          <w:szCs w:val="24"/>
        </w:rPr>
      </w:pPr>
    </w:p>
    <w:p w14:paraId="6589A7F7" w14:textId="77777777" w:rsidR="00D87D20" w:rsidRPr="00D87D20" w:rsidRDefault="00D87D20" w:rsidP="00695AC4">
      <w:pPr>
        <w:spacing w:line="360" w:lineRule="auto"/>
        <w:jc w:val="both"/>
        <w:rPr>
          <w:rFonts w:ascii="Palatino Linotype" w:hAnsi="Palatino Linotype" w:cs="Tahoma"/>
          <w:sz w:val="22"/>
          <w:szCs w:val="24"/>
        </w:rPr>
      </w:pPr>
      <w:r w:rsidRPr="00D87D20">
        <w:rPr>
          <w:rFonts w:ascii="Palatino Linotype" w:hAnsi="Palatino Linotype" w:cs="Tahoma"/>
          <w:sz w:val="22"/>
          <w:szCs w:val="24"/>
        </w:rPr>
        <w:t>En razón de que fue debidamente sustanciado e integrado el expediente electrónico y no existe diligencia pendiente de desahogo, se emite la resolución que conforme a Derecho proceda, de acuerdo a los siguientes:</w:t>
      </w:r>
    </w:p>
    <w:p w14:paraId="6CFD9754" w14:textId="77777777" w:rsidR="00D87D20" w:rsidRPr="00D87D20" w:rsidRDefault="00D87D20" w:rsidP="00695AC4">
      <w:pPr>
        <w:spacing w:line="360" w:lineRule="auto"/>
        <w:ind w:left="708"/>
        <w:jc w:val="both"/>
        <w:rPr>
          <w:rFonts w:ascii="Palatino Linotype" w:hAnsi="Palatino Linotype" w:cs="Tahoma"/>
          <w:bCs/>
          <w:iCs/>
          <w:sz w:val="22"/>
          <w:szCs w:val="22"/>
          <w:lang w:val="es-ES"/>
        </w:rPr>
      </w:pPr>
    </w:p>
    <w:p w14:paraId="57A3613C" w14:textId="77777777" w:rsidR="00D87D20" w:rsidRPr="00A1214F" w:rsidRDefault="00D87D20" w:rsidP="00695AC4">
      <w:pPr>
        <w:pStyle w:val="Ttulo1"/>
        <w:spacing w:before="0"/>
        <w:rPr>
          <w:lang w:val="pt-BR"/>
        </w:rPr>
      </w:pPr>
      <w:bookmarkStart w:id="9" w:name="_Toc190695550"/>
      <w:r w:rsidRPr="00A1214F">
        <w:rPr>
          <w:lang w:val="pt-BR"/>
        </w:rPr>
        <w:t>C O N S I D E R A N D O S</w:t>
      </w:r>
      <w:bookmarkEnd w:id="9"/>
      <w:r w:rsidRPr="00A1214F">
        <w:rPr>
          <w:lang w:val="pt-BR"/>
        </w:rPr>
        <w:t xml:space="preserve"> </w:t>
      </w:r>
    </w:p>
    <w:p w14:paraId="31D60E0B" w14:textId="77777777" w:rsidR="00D87D20" w:rsidRPr="00A1214F" w:rsidRDefault="00D87D20" w:rsidP="00695AC4">
      <w:pPr>
        <w:spacing w:line="360" w:lineRule="auto"/>
        <w:jc w:val="both"/>
        <w:rPr>
          <w:rFonts w:ascii="Palatino Linotype" w:eastAsiaTheme="minorHAnsi" w:hAnsi="Palatino Linotype" w:cstheme="minorBidi"/>
          <w:b/>
          <w:color w:val="000000" w:themeColor="text1"/>
          <w:sz w:val="22"/>
          <w:szCs w:val="22"/>
          <w:lang w:val="pt-BR" w:eastAsia="en-US"/>
        </w:rPr>
      </w:pPr>
    </w:p>
    <w:p w14:paraId="7BE58E44" w14:textId="77777777" w:rsidR="00D87D20" w:rsidRPr="00D87D20" w:rsidRDefault="00D87D20" w:rsidP="00695AC4">
      <w:pPr>
        <w:pStyle w:val="Ttulo2"/>
        <w:spacing w:before="0"/>
        <w:rPr>
          <w:lang w:val="es-ES"/>
        </w:rPr>
      </w:pPr>
      <w:bookmarkStart w:id="10" w:name="_Toc190695551"/>
      <w:r w:rsidRPr="00D87D20">
        <w:rPr>
          <w:rFonts w:eastAsia="Calibri"/>
          <w:color w:val="000000"/>
          <w:lang w:val="es-ES" w:eastAsia="es-MX"/>
        </w:rPr>
        <w:t xml:space="preserve">PRIMERO. </w:t>
      </w:r>
      <w:r w:rsidRPr="00D87D20">
        <w:rPr>
          <w:lang w:val="es-ES"/>
        </w:rPr>
        <w:t>Competencia</w:t>
      </w:r>
      <w:bookmarkEnd w:id="10"/>
    </w:p>
    <w:p w14:paraId="308FB17A" w14:textId="77777777" w:rsidR="00D87D20" w:rsidRPr="00D87D20" w:rsidRDefault="00D87D20" w:rsidP="00695AC4">
      <w:pPr>
        <w:autoSpaceDE w:val="0"/>
        <w:autoSpaceDN w:val="0"/>
        <w:adjustRightInd w:val="0"/>
        <w:spacing w:line="360" w:lineRule="auto"/>
        <w:jc w:val="both"/>
        <w:rPr>
          <w:rFonts w:ascii="Palatino Linotype" w:hAnsi="Palatino Linotype" w:cs="Tahoma"/>
          <w:b/>
          <w:sz w:val="22"/>
          <w:szCs w:val="24"/>
          <w:lang w:val="es-ES"/>
        </w:rPr>
      </w:pPr>
    </w:p>
    <w:p w14:paraId="13986905" w14:textId="6C0BC449" w:rsidR="00D87D20" w:rsidRPr="00D87D20" w:rsidRDefault="00D87D20" w:rsidP="00695AC4">
      <w:pPr>
        <w:spacing w:line="360" w:lineRule="auto"/>
        <w:jc w:val="both"/>
        <w:rPr>
          <w:rFonts w:ascii="Palatino Linotype" w:eastAsiaTheme="minorHAnsi" w:hAnsi="Palatino Linotype" w:cs="Tahoma"/>
          <w:color w:val="000000" w:themeColor="text1"/>
          <w:sz w:val="22"/>
          <w:szCs w:val="22"/>
          <w:lang w:eastAsia="en-US"/>
        </w:rPr>
      </w:pPr>
      <w:r w:rsidRPr="00D87D20">
        <w:rPr>
          <w:rFonts w:ascii="Palatino Linotype" w:eastAsiaTheme="minorHAnsi" w:hAnsi="Palatino Linotype" w:cs="Tahoma"/>
          <w:color w:val="000000" w:themeColor="text1"/>
          <w:sz w:val="22"/>
          <w:szCs w:val="22"/>
          <w:lang w:eastAsia="en-US"/>
        </w:rPr>
        <w:t xml:space="preserve">El Instituto de Transparencia, Acceso a la Información Pública y Protección de Datos Personales del Estado de México y Municipios, es competente para conocer y resolver el presente recurso de revisión interpuesto por la parte recurrente, conforme a lo dispuesto en </w:t>
      </w:r>
      <w:r w:rsidR="0012152C">
        <w:rPr>
          <w:rFonts w:ascii="Palatino Linotype" w:eastAsiaTheme="minorHAnsi" w:hAnsi="Palatino Linotype" w:cs="Tahoma"/>
          <w:color w:val="000000" w:themeColor="text1"/>
          <w:sz w:val="22"/>
          <w:szCs w:val="22"/>
          <w:lang w:eastAsia="en-US"/>
        </w:rPr>
        <w:t>e</w:t>
      </w:r>
      <w:r w:rsidRPr="00D87D20">
        <w:rPr>
          <w:rFonts w:ascii="Palatino Linotype" w:eastAsiaTheme="minorHAnsi" w:hAnsi="Palatino Linotype" w:cs="Tahoma"/>
          <w:color w:val="000000" w:themeColor="text1"/>
          <w:sz w:val="22"/>
          <w:szCs w:val="22"/>
          <w:lang w:eastAsia="en-US"/>
        </w:rPr>
        <w:t>l</w:t>
      </w:r>
      <w:r w:rsidR="0012152C">
        <w:rPr>
          <w:rFonts w:ascii="Palatino Linotype" w:eastAsiaTheme="minorHAnsi" w:hAnsi="Palatino Linotype" w:cs="Tahoma"/>
          <w:color w:val="000000" w:themeColor="text1"/>
          <w:sz w:val="22"/>
          <w:szCs w:val="22"/>
          <w:lang w:eastAsia="en-US"/>
        </w:rPr>
        <w:t xml:space="preserve"> artículo</w:t>
      </w:r>
      <w:r w:rsidRPr="00D87D20">
        <w:rPr>
          <w:rFonts w:ascii="Palatino Linotype" w:eastAsiaTheme="minorHAnsi" w:hAnsi="Palatino Linotype" w:cs="Tahoma"/>
          <w:color w:val="000000" w:themeColor="text1"/>
          <w:sz w:val="22"/>
          <w:szCs w:val="22"/>
          <w:lang w:eastAsia="en-US"/>
        </w:rPr>
        <w:t xml:space="preserve"> 5°, párrafos trigésimo segundo, trigésimo tercero y trigésimo cuarto, fracciones I, II, III, IV y V de la Constitución Política del Estado Libre y Soberano de México; 1°, 8°, 9°, 10, 37 y 42, fracciones I, II y III, de la Ley General de Transparencia y Acceso a la Información Pública; 1°, 2°, fracciones II y IV; 13, 29, 36, fracciones I y II; 176, 178, 179, 181 párrafo tercero, 185, 188 y 189 de la Ley Transparencia y Acceso a la Información Pública del Estado de México y Municipios; 7°, 9°, fracciones I y XXIII, y 11 del Reglamento Interior del Instituto de Transparencia, Acceso a la Información Pública y Protección de Datos Personales del Estado de México y Municipios.</w:t>
      </w:r>
    </w:p>
    <w:p w14:paraId="5901942B" w14:textId="77777777" w:rsidR="00D87D20" w:rsidRPr="00D87D20" w:rsidRDefault="00D87D20" w:rsidP="00695AC4">
      <w:pPr>
        <w:tabs>
          <w:tab w:val="left" w:pos="8055"/>
        </w:tabs>
        <w:spacing w:line="360" w:lineRule="auto"/>
        <w:jc w:val="both"/>
        <w:rPr>
          <w:rFonts w:ascii="Palatino Linotype" w:hAnsi="Palatino Linotype" w:cs="Tahoma"/>
          <w:bCs/>
          <w:sz w:val="22"/>
          <w:szCs w:val="22"/>
        </w:rPr>
      </w:pPr>
      <w:r w:rsidRPr="00D87D20">
        <w:rPr>
          <w:rFonts w:ascii="Palatino Linotype" w:hAnsi="Palatino Linotype" w:cs="Tahoma"/>
          <w:bCs/>
          <w:sz w:val="22"/>
          <w:szCs w:val="22"/>
        </w:rPr>
        <w:tab/>
      </w:r>
    </w:p>
    <w:p w14:paraId="2C9E2E08" w14:textId="77777777" w:rsidR="00D87D20" w:rsidRPr="00D87D20" w:rsidRDefault="00D87D20" w:rsidP="00695AC4">
      <w:pPr>
        <w:pStyle w:val="Ttulo2"/>
        <w:spacing w:before="0"/>
        <w:rPr>
          <w:lang w:eastAsia="es-MX"/>
        </w:rPr>
      </w:pPr>
      <w:bookmarkStart w:id="11" w:name="_Toc190695552"/>
      <w:r w:rsidRPr="00D87D20">
        <w:rPr>
          <w:lang w:eastAsia="es-MX"/>
        </w:rPr>
        <w:t>SEGUNDO. Causales de improcedencia y sobreseimiento</w:t>
      </w:r>
      <w:bookmarkEnd w:id="11"/>
    </w:p>
    <w:p w14:paraId="4B58BEC6" w14:textId="77777777" w:rsidR="00D87D20" w:rsidRPr="00D87D20" w:rsidRDefault="00D87D20" w:rsidP="00695AC4">
      <w:pPr>
        <w:autoSpaceDE w:val="0"/>
        <w:autoSpaceDN w:val="0"/>
        <w:adjustRightInd w:val="0"/>
        <w:spacing w:line="360" w:lineRule="auto"/>
        <w:jc w:val="both"/>
        <w:rPr>
          <w:rFonts w:ascii="Palatino Linotype" w:eastAsia="Calibri" w:hAnsi="Palatino Linotype" w:cs="Tahoma"/>
          <w:color w:val="000000"/>
          <w:sz w:val="22"/>
          <w:szCs w:val="22"/>
          <w:lang w:eastAsia="es-MX"/>
        </w:rPr>
      </w:pPr>
    </w:p>
    <w:p w14:paraId="269B91EA" w14:textId="77777777" w:rsidR="00D87D20" w:rsidRPr="00D87D20" w:rsidRDefault="00D87D20" w:rsidP="00695AC4">
      <w:pPr>
        <w:autoSpaceDE w:val="0"/>
        <w:autoSpaceDN w:val="0"/>
        <w:adjustRightInd w:val="0"/>
        <w:spacing w:line="360" w:lineRule="auto"/>
        <w:jc w:val="both"/>
        <w:rPr>
          <w:rFonts w:ascii="Palatino Linotype" w:eastAsia="Calibri" w:hAnsi="Palatino Linotype" w:cs="Tahoma"/>
          <w:color w:val="000000"/>
          <w:sz w:val="22"/>
          <w:szCs w:val="22"/>
          <w:lang w:eastAsia="es-MX"/>
        </w:rPr>
      </w:pPr>
      <w:r w:rsidRPr="00D87D20">
        <w:rPr>
          <w:rFonts w:ascii="Palatino Linotype" w:eastAsia="Calibri" w:hAnsi="Palatino Linotype" w:cs="Tahoma"/>
          <w:color w:val="000000"/>
          <w:sz w:val="22"/>
          <w:szCs w:val="22"/>
          <w:lang w:eastAsia="es-MX"/>
        </w:rPr>
        <w:lastRenderedPageBreak/>
        <w:t>Este Instituto realiza el estudio oficioso de las causales de improcedencia, por tratarse de una cuestión de orden público y de estudio preferente acorde con el Criterio orientador en la Tesis de Jurisprudencia “IMPROCEDENCIA.” (Semanario Judicial de la Federación, Quinta Época, 1985, pág. 262), el cual establece que debe examinarse previamente la procedencia del juicio de amparo, sea que las partes lo soliciten o no, por ser una cuestión de orden público; de tal suerte, deberá ser desechado cualquier Recurso de Revisión que actualice alguno de los supuestos establecidos en el artículo 191 de la Ley de Transparencia y Acceso a la Información Pública del Estado de México y Municipios, por ser improcedente.</w:t>
      </w:r>
    </w:p>
    <w:p w14:paraId="39398BA2" w14:textId="77777777" w:rsidR="00D87D20" w:rsidRPr="00D87D20" w:rsidRDefault="00D87D20" w:rsidP="00695AC4">
      <w:pPr>
        <w:autoSpaceDE w:val="0"/>
        <w:autoSpaceDN w:val="0"/>
        <w:adjustRightInd w:val="0"/>
        <w:spacing w:line="360" w:lineRule="auto"/>
        <w:jc w:val="both"/>
        <w:rPr>
          <w:rFonts w:ascii="Palatino Linotype" w:eastAsia="Calibri" w:hAnsi="Palatino Linotype" w:cs="Tahoma"/>
          <w:color w:val="000000"/>
          <w:sz w:val="22"/>
          <w:szCs w:val="22"/>
          <w:lang w:eastAsia="es-MX"/>
        </w:rPr>
      </w:pPr>
    </w:p>
    <w:p w14:paraId="6FAEA695" w14:textId="77777777" w:rsidR="00D87D20" w:rsidRPr="00D87D20" w:rsidRDefault="00D87D20" w:rsidP="00695AC4">
      <w:pPr>
        <w:autoSpaceDE w:val="0"/>
        <w:autoSpaceDN w:val="0"/>
        <w:adjustRightInd w:val="0"/>
        <w:spacing w:line="360" w:lineRule="auto"/>
        <w:jc w:val="both"/>
        <w:rPr>
          <w:rFonts w:ascii="Palatino Linotype" w:eastAsia="Calibri" w:hAnsi="Palatino Linotype" w:cs="Tahoma"/>
          <w:color w:val="000000"/>
          <w:sz w:val="22"/>
          <w:szCs w:val="22"/>
          <w:lang w:eastAsia="es-MX"/>
        </w:rPr>
      </w:pPr>
      <w:r w:rsidRPr="00D87D20">
        <w:rPr>
          <w:rFonts w:ascii="Palatino Linotype" w:eastAsia="Calibri" w:hAnsi="Palatino Linotype" w:cs="Tahoma"/>
          <w:color w:val="000000"/>
          <w:sz w:val="22"/>
          <w:szCs w:val="22"/>
          <w:lang w:eastAsia="es-MX"/>
        </w:rPr>
        <w:t>En el presente caso, no se actualiza ninguna de las causales de improcedencia establecidas en el ordenamiento jurídico previamente señalado, toda vez que: el recurso fue presentado dentro del plazo establecido en el artículo 178 de la Ley de Transparencia y Acceso a la Información Pública del Estado de México y Municipios; este Instituto no tiene conocimiento de que se encuentre en trámite algún medio de defensa presentado por el recurrente ante otra instancia; no existió prevención alguna; la veracidad de la respuesta no formó parte del agravio; ni se realizó una consulta o ampliación a los alcances del requerimiento informativo.</w:t>
      </w:r>
    </w:p>
    <w:p w14:paraId="1A398F14" w14:textId="77777777" w:rsidR="00D87D20" w:rsidRPr="00D87D20" w:rsidRDefault="00D87D20" w:rsidP="00695AC4">
      <w:pPr>
        <w:spacing w:line="360" w:lineRule="auto"/>
        <w:jc w:val="both"/>
        <w:rPr>
          <w:rFonts w:ascii="Palatino Linotype" w:eastAsia="Calibri" w:hAnsi="Palatino Linotype" w:cs="Tahoma"/>
          <w:b/>
          <w:sz w:val="22"/>
          <w:szCs w:val="22"/>
          <w:lang w:eastAsia="es-ES_tradnl"/>
        </w:rPr>
      </w:pPr>
    </w:p>
    <w:p w14:paraId="2D32A9F0" w14:textId="77777777" w:rsidR="00D87D20" w:rsidRPr="00D87D20" w:rsidRDefault="00D87D20" w:rsidP="00695AC4">
      <w:pPr>
        <w:pStyle w:val="Ttulo3"/>
        <w:spacing w:before="0"/>
        <w:rPr>
          <w:lang w:eastAsia="es-ES_tradnl"/>
        </w:rPr>
      </w:pPr>
      <w:bookmarkStart w:id="12" w:name="_Toc190695553"/>
      <w:r w:rsidRPr="00D87D20">
        <w:rPr>
          <w:lang w:eastAsia="es-ES_tradnl"/>
        </w:rPr>
        <w:t>Causales de sobreseimiento</w:t>
      </w:r>
      <w:bookmarkEnd w:id="12"/>
    </w:p>
    <w:p w14:paraId="0BAE3475" w14:textId="77777777" w:rsidR="00D87D20" w:rsidRPr="00D87D20" w:rsidRDefault="00D87D20" w:rsidP="00695AC4">
      <w:pPr>
        <w:spacing w:line="360" w:lineRule="auto"/>
        <w:jc w:val="both"/>
        <w:rPr>
          <w:rFonts w:ascii="Palatino Linotype" w:eastAsia="Calibri" w:hAnsi="Palatino Linotype" w:cs="Tahoma"/>
          <w:b/>
          <w:sz w:val="22"/>
          <w:szCs w:val="22"/>
          <w:lang w:eastAsia="es-ES_tradnl"/>
        </w:rPr>
      </w:pPr>
    </w:p>
    <w:p w14:paraId="351F1EEF" w14:textId="77777777" w:rsidR="00D87D20" w:rsidRPr="00D87D20" w:rsidRDefault="00D87D20" w:rsidP="00695AC4">
      <w:pPr>
        <w:spacing w:line="360" w:lineRule="auto"/>
        <w:jc w:val="both"/>
        <w:rPr>
          <w:rFonts w:ascii="Palatino Linotype" w:eastAsia="Calibri" w:hAnsi="Palatino Linotype" w:cs="Tahoma"/>
          <w:sz w:val="22"/>
          <w:szCs w:val="22"/>
          <w:lang w:eastAsia="es-ES_tradnl"/>
        </w:rPr>
      </w:pPr>
      <w:r w:rsidRPr="00D87D20">
        <w:rPr>
          <w:rFonts w:ascii="Palatino Linotype" w:eastAsia="Calibri" w:hAnsi="Palatino Linotype" w:cs="Tahoma"/>
          <w:sz w:val="22"/>
          <w:szCs w:val="22"/>
          <w:lang w:eastAsia="es-ES_tradnl"/>
        </w:rPr>
        <w:t>Por lo que hace a las causales de sobreseimiento, del análisis realizado por este Instituto, se advierte que</w:t>
      </w:r>
      <w:r w:rsidRPr="00D87D20">
        <w:rPr>
          <w:rFonts w:ascii="Palatino Linotype" w:eastAsia="Calibri" w:hAnsi="Palatino Linotype" w:cs="Tahoma"/>
          <w:b/>
          <w:sz w:val="22"/>
          <w:szCs w:val="22"/>
          <w:lang w:eastAsia="es-ES_tradnl"/>
        </w:rPr>
        <w:t xml:space="preserve"> no se actualiza ninguna de las previstas por el artículo 192 de la Ley de Transparencia y Acceso a la Información Pública del Estado de México y Municipios; </w:t>
      </w:r>
      <w:r w:rsidRPr="00D87D20">
        <w:rPr>
          <w:rFonts w:ascii="Palatino Linotype" w:hAnsi="Palatino Linotype" w:cs="Tahoma"/>
          <w:sz w:val="22"/>
          <w:szCs w:val="22"/>
        </w:rPr>
        <w:t xml:space="preserve">lo anterior, en virtud de que no existe constancia en el expediente en que se actúa, de que la recurrente se hubiera desistido del recurso, hubiera fallecido, que sobreviniera alguna causal de improcedencia, que el Sujeto Obligado hubiese modificado o revocado el acto impugnado, </w:t>
      </w:r>
      <w:r w:rsidRPr="00D87D20">
        <w:rPr>
          <w:rFonts w:ascii="Palatino Linotype" w:hAnsi="Palatino Linotype" w:cs="Tahoma"/>
          <w:sz w:val="22"/>
          <w:szCs w:val="22"/>
        </w:rPr>
        <w:lastRenderedPageBreak/>
        <w:t xml:space="preserve">o bien que el recurso de revisión hubiera quedado sin materia. </w:t>
      </w:r>
      <w:r w:rsidRPr="00D87D20">
        <w:rPr>
          <w:rFonts w:ascii="Palatino Linotype" w:eastAsia="Calibri" w:hAnsi="Palatino Linotype" w:cs="Tahoma"/>
          <w:bCs/>
          <w:sz w:val="22"/>
          <w:szCs w:val="22"/>
          <w:lang w:eastAsia="es-ES_tradnl"/>
        </w:rPr>
        <w:t xml:space="preserve">Por tales motivos, </w:t>
      </w:r>
      <w:r w:rsidRPr="00D87D20">
        <w:rPr>
          <w:rFonts w:ascii="Palatino Linotype" w:eastAsia="Calibri" w:hAnsi="Palatino Linotype" w:cs="Tahoma"/>
          <w:sz w:val="22"/>
          <w:szCs w:val="22"/>
          <w:lang w:eastAsia="es-ES_tradnl"/>
        </w:rPr>
        <w:t xml:space="preserve">se considera procedente entrar al fondo del presente asunto. </w:t>
      </w:r>
    </w:p>
    <w:p w14:paraId="05F273AB" w14:textId="77777777" w:rsidR="00D87D20" w:rsidRPr="00D87D20" w:rsidRDefault="00D87D20" w:rsidP="00695AC4">
      <w:pPr>
        <w:autoSpaceDE w:val="0"/>
        <w:autoSpaceDN w:val="0"/>
        <w:adjustRightInd w:val="0"/>
        <w:spacing w:line="360" w:lineRule="auto"/>
        <w:jc w:val="both"/>
        <w:rPr>
          <w:rFonts w:ascii="Palatino Linotype" w:eastAsia="Calibri" w:hAnsi="Palatino Linotype" w:cs="Tahoma"/>
          <w:color w:val="000000"/>
          <w:sz w:val="22"/>
          <w:szCs w:val="22"/>
          <w:lang w:eastAsia="es-MX"/>
        </w:rPr>
      </w:pPr>
    </w:p>
    <w:p w14:paraId="414C2D7B" w14:textId="77777777" w:rsidR="00D87D20" w:rsidRPr="00D87D20" w:rsidRDefault="00D87D20" w:rsidP="00695AC4">
      <w:pPr>
        <w:pStyle w:val="Ttulo2"/>
        <w:spacing w:before="0"/>
        <w:rPr>
          <w:lang w:val="es-ES" w:eastAsia="es-ES_tradnl"/>
        </w:rPr>
      </w:pPr>
      <w:bookmarkStart w:id="13" w:name="_Toc190695554"/>
      <w:r w:rsidRPr="00D87D20">
        <w:rPr>
          <w:lang w:val="es-ES" w:eastAsia="es-ES_tradnl"/>
        </w:rPr>
        <w:t>TERCERO. Determinación de la Controversia</w:t>
      </w:r>
      <w:bookmarkEnd w:id="13"/>
    </w:p>
    <w:p w14:paraId="227990AA" w14:textId="77777777" w:rsidR="00D87D20" w:rsidRPr="00D87D20" w:rsidRDefault="00D87D20" w:rsidP="00695AC4">
      <w:pPr>
        <w:tabs>
          <w:tab w:val="left" w:pos="4962"/>
        </w:tabs>
        <w:spacing w:line="360" w:lineRule="auto"/>
        <w:jc w:val="both"/>
        <w:rPr>
          <w:rFonts w:ascii="Palatino Linotype" w:eastAsia="Calibri" w:hAnsi="Palatino Linotype" w:cs="Tahoma"/>
          <w:iCs/>
          <w:sz w:val="22"/>
          <w:szCs w:val="22"/>
          <w:lang w:eastAsia="es-ES_tradnl"/>
        </w:rPr>
      </w:pPr>
    </w:p>
    <w:p w14:paraId="2CAFA074" w14:textId="27DCF643" w:rsidR="00D87D20" w:rsidRPr="00D87D20" w:rsidRDefault="00D87D20" w:rsidP="00695AC4">
      <w:pPr>
        <w:tabs>
          <w:tab w:val="left" w:pos="4962"/>
        </w:tabs>
        <w:spacing w:line="360" w:lineRule="auto"/>
        <w:jc w:val="both"/>
        <w:rPr>
          <w:rFonts w:ascii="Palatino Linotype" w:eastAsia="Calibri" w:hAnsi="Palatino Linotype" w:cs="Tahoma"/>
          <w:sz w:val="22"/>
          <w:szCs w:val="22"/>
          <w:lang w:eastAsia="en-US"/>
        </w:rPr>
      </w:pPr>
      <w:r w:rsidRPr="00D87D20">
        <w:rPr>
          <w:rFonts w:ascii="Palatino Linotype" w:eastAsia="Calibri" w:hAnsi="Palatino Linotype" w:cs="Tahoma"/>
          <w:iCs/>
          <w:sz w:val="22"/>
          <w:szCs w:val="22"/>
          <w:lang w:eastAsia="es-ES_tradnl"/>
        </w:rPr>
        <w:t>Con el objeto de ilustrar la controversia planteada, resulta conveniente precisar que el Particular</w:t>
      </w:r>
      <w:r w:rsidRPr="00D87D20">
        <w:rPr>
          <w:rFonts w:ascii="Palatino Linotype" w:eastAsia="Calibri" w:hAnsi="Palatino Linotype" w:cs="Tahoma"/>
          <w:sz w:val="22"/>
          <w:szCs w:val="22"/>
          <w:lang w:eastAsia="en-US"/>
        </w:rPr>
        <w:t xml:space="preserve">, solicitó </w:t>
      </w:r>
      <w:r w:rsidR="00A867F8">
        <w:rPr>
          <w:rFonts w:ascii="Palatino Linotype" w:eastAsia="Calibri" w:hAnsi="Palatino Linotype" w:cs="Tahoma"/>
          <w:sz w:val="22"/>
          <w:szCs w:val="22"/>
          <w:lang w:eastAsia="en-US"/>
        </w:rPr>
        <w:t>de</w:t>
      </w:r>
      <w:r w:rsidR="00FC5C55">
        <w:rPr>
          <w:rFonts w:ascii="Palatino Linotype" w:eastAsia="Calibri" w:hAnsi="Palatino Linotype" w:cs="Tahoma"/>
          <w:sz w:val="22"/>
          <w:szCs w:val="22"/>
          <w:lang w:eastAsia="en-US"/>
        </w:rPr>
        <w:t xml:space="preserve"> </w:t>
      </w:r>
      <w:r w:rsidR="00A867F8">
        <w:rPr>
          <w:rFonts w:ascii="Palatino Linotype" w:eastAsia="Calibri" w:hAnsi="Palatino Linotype" w:cs="Tahoma"/>
          <w:sz w:val="22"/>
          <w:szCs w:val="22"/>
          <w:lang w:eastAsia="en-US"/>
        </w:rPr>
        <w:t>l</w:t>
      </w:r>
      <w:r w:rsidR="00FC5C55">
        <w:rPr>
          <w:rFonts w:ascii="Palatino Linotype" w:eastAsia="Calibri" w:hAnsi="Palatino Linotype" w:cs="Tahoma"/>
          <w:sz w:val="22"/>
          <w:szCs w:val="22"/>
          <w:lang w:eastAsia="en-US"/>
        </w:rPr>
        <w:t xml:space="preserve">a UIPPE del </w:t>
      </w:r>
      <w:r w:rsidR="003A744C" w:rsidRPr="003A744C">
        <w:rPr>
          <w:rFonts w:ascii="Palatino Linotype" w:eastAsia="Calibri" w:hAnsi="Palatino Linotype" w:cs="Tahoma"/>
          <w:sz w:val="22"/>
          <w:szCs w:val="22"/>
          <w:lang w:eastAsia="en-US"/>
        </w:rPr>
        <w:t xml:space="preserve">Sistema Municipal </w:t>
      </w:r>
      <w:r w:rsidR="00C00DAE">
        <w:rPr>
          <w:rFonts w:ascii="Palatino Linotype" w:eastAsia="Calibri" w:hAnsi="Palatino Linotype" w:cs="Tahoma"/>
          <w:sz w:val="22"/>
          <w:szCs w:val="22"/>
          <w:lang w:eastAsia="en-US"/>
        </w:rPr>
        <w:t>p</w:t>
      </w:r>
      <w:r w:rsidR="003A744C" w:rsidRPr="003A744C">
        <w:rPr>
          <w:rFonts w:ascii="Palatino Linotype" w:eastAsia="Calibri" w:hAnsi="Palatino Linotype" w:cs="Tahoma"/>
          <w:sz w:val="22"/>
          <w:szCs w:val="22"/>
          <w:lang w:eastAsia="en-US"/>
        </w:rPr>
        <w:t>ara el Desarrollo Integral de la Familia de Toluca</w:t>
      </w:r>
      <w:r w:rsidR="00A867F8">
        <w:rPr>
          <w:rFonts w:ascii="Palatino Linotype" w:eastAsia="Calibri" w:hAnsi="Palatino Linotype" w:cs="Tahoma"/>
          <w:sz w:val="22"/>
          <w:szCs w:val="22"/>
          <w:lang w:eastAsia="en-US"/>
        </w:rPr>
        <w:t>,</w:t>
      </w:r>
      <w:r w:rsidR="00FC5C55">
        <w:rPr>
          <w:rFonts w:ascii="Palatino Linotype" w:eastAsia="Calibri" w:hAnsi="Palatino Linotype" w:cs="Tahoma"/>
          <w:sz w:val="22"/>
          <w:szCs w:val="22"/>
          <w:lang w:eastAsia="en-US"/>
        </w:rPr>
        <w:t xml:space="preserve"> en el ejercicio dos </w:t>
      </w:r>
      <w:r w:rsidR="00C00DAE">
        <w:rPr>
          <w:rFonts w:ascii="Palatino Linotype" w:eastAsia="Calibri" w:hAnsi="Palatino Linotype" w:cs="Tahoma"/>
          <w:sz w:val="22"/>
          <w:szCs w:val="22"/>
          <w:lang w:eastAsia="en-US"/>
        </w:rPr>
        <w:t>2024</w:t>
      </w:r>
      <w:r w:rsidR="00FC5C55">
        <w:rPr>
          <w:rFonts w:ascii="Palatino Linotype" w:eastAsia="Calibri" w:hAnsi="Palatino Linotype" w:cs="Tahoma"/>
          <w:sz w:val="22"/>
          <w:szCs w:val="22"/>
          <w:lang w:eastAsia="en-US"/>
        </w:rPr>
        <w:t>,</w:t>
      </w:r>
      <w:r w:rsidR="00A867F8">
        <w:rPr>
          <w:rFonts w:ascii="Palatino Linotype" w:eastAsia="Calibri" w:hAnsi="Palatino Linotype" w:cs="Tahoma"/>
          <w:sz w:val="22"/>
          <w:szCs w:val="22"/>
          <w:lang w:eastAsia="en-US"/>
        </w:rPr>
        <w:t xml:space="preserve"> lo siguiente:</w:t>
      </w:r>
    </w:p>
    <w:p w14:paraId="68AB3BAF" w14:textId="77777777" w:rsidR="00D87D20" w:rsidRPr="00D87D20" w:rsidRDefault="00D87D20" w:rsidP="00695AC4">
      <w:pPr>
        <w:tabs>
          <w:tab w:val="left" w:pos="4962"/>
        </w:tabs>
        <w:spacing w:line="360" w:lineRule="auto"/>
        <w:jc w:val="both"/>
        <w:rPr>
          <w:rFonts w:ascii="Palatino Linotype" w:eastAsia="Calibri" w:hAnsi="Palatino Linotype" w:cs="Tahoma"/>
          <w:sz w:val="22"/>
          <w:szCs w:val="22"/>
          <w:lang w:eastAsia="en-US"/>
        </w:rPr>
      </w:pPr>
    </w:p>
    <w:p w14:paraId="6F705014" w14:textId="31A131F9" w:rsidR="00DC24E5" w:rsidRDefault="00FC5C55" w:rsidP="00695AC4">
      <w:pPr>
        <w:pStyle w:val="Prrafodelista"/>
        <w:numPr>
          <w:ilvl w:val="0"/>
          <w:numId w:val="3"/>
        </w:numPr>
        <w:tabs>
          <w:tab w:val="left" w:pos="4962"/>
        </w:tabs>
        <w:spacing w:line="360" w:lineRule="auto"/>
        <w:jc w:val="both"/>
        <w:rPr>
          <w:rFonts w:ascii="Palatino Linotype" w:eastAsia="Calibri" w:hAnsi="Palatino Linotype" w:cs="Tahoma"/>
        </w:rPr>
      </w:pPr>
      <w:r>
        <w:rPr>
          <w:rFonts w:ascii="Palatino Linotype" w:eastAsia="Calibri" w:hAnsi="Palatino Linotype" w:cs="Tahoma"/>
        </w:rPr>
        <w:t>Solicitudes de información recibidas</w:t>
      </w:r>
      <w:r w:rsidR="00DC24E5">
        <w:rPr>
          <w:rFonts w:ascii="Palatino Linotype" w:eastAsia="Calibri" w:hAnsi="Palatino Linotype" w:cs="Tahoma"/>
        </w:rPr>
        <w:t>;</w:t>
      </w:r>
    </w:p>
    <w:p w14:paraId="045BDB28" w14:textId="1CCE0588" w:rsidR="00A867F8" w:rsidRDefault="00FC5C55" w:rsidP="00695AC4">
      <w:pPr>
        <w:pStyle w:val="Prrafodelista"/>
        <w:numPr>
          <w:ilvl w:val="0"/>
          <w:numId w:val="3"/>
        </w:numPr>
        <w:tabs>
          <w:tab w:val="left" w:pos="4962"/>
        </w:tabs>
        <w:spacing w:line="360" w:lineRule="auto"/>
        <w:jc w:val="both"/>
        <w:rPr>
          <w:rFonts w:ascii="Palatino Linotype" w:eastAsia="Calibri" w:hAnsi="Palatino Linotype" w:cs="Tahoma"/>
        </w:rPr>
      </w:pPr>
      <w:r>
        <w:rPr>
          <w:rFonts w:ascii="Palatino Linotype" w:eastAsia="Calibri" w:hAnsi="Palatino Linotype" w:cs="Tahoma"/>
        </w:rPr>
        <w:t>Número total de solicitudes de información atendidas</w:t>
      </w:r>
      <w:r w:rsidR="00A867F8">
        <w:rPr>
          <w:rFonts w:ascii="Palatino Linotype" w:eastAsia="Calibri" w:hAnsi="Palatino Linotype" w:cs="Tahoma"/>
        </w:rPr>
        <w:t>;</w:t>
      </w:r>
    </w:p>
    <w:p w14:paraId="6AA713D3" w14:textId="313C6D43" w:rsidR="00A867F8" w:rsidRDefault="00FC5C55" w:rsidP="00695AC4">
      <w:pPr>
        <w:pStyle w:val="Prrafodelista"/>
        <w:numPr>
          <w:ilvl w:val="0"/>
          <w:numId w:val="3"/>
        </w:numPr>
        <w:tabs>
          <w:tab w:val="left" w:pos="4962"/>
        </w:tabs>
        <w:spacing w:line="360" w:lineRule="auto"/>
        <w:jc w:val="both"/>
        <w:rPr>
          <w:rFonts w:ascii="Palatino Linotype" w:eastAsia="Calibri" w:hAnsi="Palatino Linotype" w:cs="Tahoma"/>
        </w:rPr>
      </w:pPr>
      <w:r>
        <w:rPr>
          <w:rFonts w:ascii="Palatino Linotype" w:eastAsia="Calibri" w:hAnsi="Palatino Linotype" w:cs="Tahoma"/>
        </w:rPr>
        <w:t>Respuestas emitidas por cada una de las áreas;</w:t>
      </w:r>
    </w:p>
    <w:p w14:paraId="76387EF9" w14:textId="34DA0BBA" w:rsidR="00FC5C55" w:rsidRDefault="00FC5C55" w:rsidP="00695AC4">
      <w:pPr>
        <w:pStyle w:val="Prrafodelista"/>
        <w:numPr>
          <w:ilvl w:val="0"/>
          <w:numId w:val="3"/>
        </w:numPr>
        <w:tabs>
          <w:tab w:val="left" w:pos="4962"/>
        </w:tabs>
        <w:spacing w:line="360" w:lineRule="auto"/>
        <w:jc w:val="both"/>
        <w:rPr>
          <w:rFonts w:ascii="Palatino Linotype" w:eastAsia="Calibri" w:hAnsi="Palatino Linotype" w:cs="Tahoma"/>
        </w:rPr>
      </w:pPr>
      <w:r>
        <w:rPr>
          <w:rFonts w:ascii="Palatino Linotype" w:eastAsia="Calibri" w:hAnsi="Palatino Linotype" w:cs="Tahoma"/>
        </w:rPr>
        <w:t>Número total de solicitudes recurridas;</w:t>
      </w:r>
    </w:p>
    <w:p w14:paraId="5C6614AC" w14:textId="6DA3C017" w:rsidR="00A867F8" w:rsidRPr="00FC5C55" w:rsidRDefault="00FC5C55" w:rsidP="00B34964">
      <w:pPr>
        <w:pStyle w:val="Prrafodelista"/>
        <w:numPr>
          <w:ilvl w:val="0"/>
          <w:numId w:val="3"/>
        </w:numPr>
        <w:tabs>
          <w:tab w:val="left" w:pos="4962"/>
        </w:tabs>
        <w:spacing w:line="360" w:lineRule="auto"/>
        <w:jc w:val="both"/>
        <w:rPr>
          <w:rFonts w:ascii="Palatino Linotype" w:eastAsia="Calibri" w:hAnsi="Palatino Linotype" w:cs="Tahoma"/>
        </w:rPr>
      </w:pPr>
      <w:r w:rsidRPr="00FC5C55">
        <w:rPr>
          <w:rFonts w:ascii="Palatino Linotype" w:eastAsia="Calibri" w:hAnsi="Palatino Linotype" w:cs="Tahoma"/>
        </w:rPr>
        <w:t>Número de solicitudes pendientes por atender;</w:t>
      </w:r>
      <w:r w:rsidR="00A867F8" w:rsidRPr="00FC5C55">
        <w:rPr>
          <w:rFonts w:ascii="Palatino Linotype" w:eastAsia="Calibri" w:hAnsi="Palatino Linotype" w:cs="Tahoma"/>
        </w:rPr>
        <w:t xml:space="preserve"> </w:t>
      </w:r>
    </w:p>
    <w:p w14:paraId="34C27130" w14:textId="77777777" w:rsidR="00D87D20" w:rsidRPr="00D87D20" w:rsidRDefault="00D87D20" w:rsidP="00695AC4">
      <w:pPr>
        <w:tabs>
          <w:tab w:val="left" w:pos="4962"/>
        </w:tabs>
        <w:spacing w:line="360" w:lineRule="auto"/>
        <w:jc w:val="both"/>
        <w:rPr>
          <w:rFonts w:ascii="Palatino Linotype" w:eastAsia="Calibri" w:hAnsi="Palatino Linotype" w:cs="Tahoma"/>
          <w:sz w:val="22"/>
          <w:szCs w:val="22"/>
          <w:lang w:eastAsia="en-US"/>
        </w:rPr>
      </w:pPr>
      <w:r w:rsidRPr="00D87D20">
        <w:rPr>
          <w:rFonts w:ascii="Palatino Linotype" w:eastAsia="Calibri" w:hAnsi="Palatino Linotype" w:cs="Tahoma"/>
          <w:sz w:val="22"/>
          <w:szCs w:val="22"/>
          <w:lang w:eastAsia="en-US"/>
        </w:rPr>
        <w:tab/>
      </w:r>
    </w:p>
    <w:p w14:paraId="227D0C4A" w14:textId="33D85482" w:rsidR="00D87D20" w:rsidRDefault="00D87D20" w:rsidP="00695AC4">
      <w:pPr>
        <w:tabs>
          <w:tab w:val="left" w:pos="4962"/>
        </w:tabs>
        <w:spacing w:line="360" w:lineRule="auto"/>
        <w:jc w:val="both"/>
        <w:rPr>
          <w:rFonts w:ascii="Palatino Linotype" w:hAnsi="Palatino Linotype" w:cs="Tahoma"/>
          <w:sz w:val="22"/>
          <w:szCs w:val="24"/>
        </w:rPr>
      </w:pPr>
      <w:r w:rsidRPr="00D87D20">
        <w:rPr>
          <w:rFonts w:ascii="Palatino Linotype" w:eastAsia="Calibri" w:hAnsi="Palatino Linotype" w:cs="Tahoma"/>
          <w:sz w:val="22"/>
          <w:szCs w:val="22"/>
          <w:lang w:eastAsia="en-US"/>
        </w:rPr>
        <w:t xml:space="preserve">Derivado de ello, el </w:t>
      </w:r>
      <w:r w:rsidRPr="00D87D20">
        <w:rPr>
          <w:rFonts w:ascii="Palatino Linotype" w:hAnsi="Palatino Linotype" w:cs="Tahoma"/>
          <w:bCs/>
          <w:iCs/>
          <w:sz w:val="22"/>
          <w:szCs w:val="22"/>
        </w:rPr>
        <w:t xml:space="preserve">Sujeto Obligado a través de la Titular de la Unidad de Transparencia remitió la respuesta </w:t>
      </w:r>
      <w:r w:rsidR="000718E2">
        <w:rPr>
          <w:rFonts w:ascii="Palatino Linotype" w:hAnsi="Palatino Linotype" w:cs="Tahoma"/>
          <w:bCs/>
          <w:iCs/>
          <w:sz w:val="22"/>
          <w:szCs w:val="22"/>
        </w:rPr>
        <w:t xml:space="preserve">y </w:t>
      </w:r>
      <w:r w:rsidR="00A867F8">
        <w:rPr>
          <w:rFonts w:ascii="Palatino Linotype" w:hAnsi="Palatino Linotype" w:cs="Tahoma"/>
          <w:bCs/>
          <w:iCs/>
          <w:sz w:val="22"/>
          <w:szCs w:val="22"/>
        </w:rPr>
        <w:t xml:space="preserve">señaló que la información requerida se encuentra publicada en IPOMEX en la fracción </w:t>
      </w:r>
      <w:r w:rsidR="000718E2">
        <w:rPr>
          <w:rFonts w:ascii="Palatino Linotype" w:hAnsi="Palatino Linotype" w:cs="Tahoma"/>
          <w:bCs/>
          <w:iCs/>
          <w:sz w:val="22"/>
          <w:szCs w:val="22"/>
        </w:rPr>
        <w:t>X</w:t>
      </w:r>
      <w:r w:rsidR="00A867F8">
        <w:rPr>
          <w:rFonts w:ascii="Palatino Linotype" w:hAnsi="Palatino Linotype" w:cs="Tahoma"/>
          <w:bCs/>
          <w:iCs/>
          <w:sz w:val="22"/>
          <w:szCs w:val="22"/>
        </w:rPr>
        <w:t>VII, por lo cual, proporcionó liga electrónica en formato cerrado</w:t>
      </w:r>
      <w:r w:rsidRPr="00D87D20">
        <w:rPr>
          <w:rFonts w:ascii="Palatino Linotype" w:hAnsi="Palatino Linotype" w:cs="Tahoma"/>
          <w:bCs/>
          <w:iCs/>
          <w:sz w:val="22"/>
          <w:szCs w:val="22"/>
        </w:rPr>
        <w:t xml:space="preserve">. </w:t>
      </w:r>
      <w:r w:rsidR="00A1214F" w:rsidRPr="00D87D20">
        <w:rPr>
          <w:rFonts w:ascii="Palatino Linotype" w:hAnsi="Palatino Linotype" w:cs="Tahoma"/>
          <w:bCs/>
          <w:iCs/>
          <w:sz w:val="22"/>
          <w:szCs w:val="22"/>
        </w:rPr>
        <w:t>Debido a</w:t>
      </w:r>
      <w:r w:rsidRPr="00D87D20">
        <w:rPr>
          <w:rFonts w:ascii="Palatino Linotype" w:hAnsi="Palatino Linotype" w:cs="Tahoma"/>
          <w:bCs/>
          <w:iCs/>
          <w:sz w:val="22"/>
          <w:szCs w:val="22"/>
        </w:rPr>
        <w:t xml:space="preserve"> lo anterior, </w:t>
      </w:r>
      <w:r w:rsidRPr="00D87D20">
        <w:rPr>
          <w:rFonts w:ascii="Palatino Linotype" w:hAnsi="Palatino Linotype" w:cs="Tahoma"/>
          <w:bCs/>
          <w:iCs/>
          <w:sz w:val="22"/>
          <w:szCs w:val="22"/>
          <w:lang w:val="es-ES"/>
        </w:rPr>
        <w:t xml:space="preserve">el Particular, señaló </w:t>
      </w:r>
      <w:r w:rsidR="00A867F8">
        <w:rPr>
          <w:rFonts w:ascii="Palatino Linotype" w:hAnsi="Palatino Linotype" w:cs="Tahoma"/>
          <w:bCs/>
          <w:iCs/>
          <w:sz w:val="22"/>
          <w:szCs w:val="22"/>
          <w:lang w:val="es-ES"/>
        </w:rPr>
        <w:t>como</w:t>
      </w:r>
      <w:r w:rsidRPr="00D87D20">
        <w:rPr>
          <w:rFonts w:ascii="Palatino Linotype" w:hAnsi="Palatino Linotype" w:cs="Tahoma"/>
          <w:bCs/>
          <w:iCs/>
          <w:sz w:val="22"/>
          <w:szCs w:val="22"/>
          <w:lang w:val="es-ES"/>
        </w:rPr>
        <w:t xml:space="preserve"> acto impugnado</w:t>
      </w:r>
      <w:r w:rsidR="00A867F8">
        <w:rPr>
          <w:rFonts w:ascii="Palatino Linotype" w:hAnsi="Palatino Linotype" w:cs="Tahoma"/>
          <w:bCs/>
          <w:iCs/>
          <w:sz w:val="22"/>
          <w:szCs w:val="22"/>
          <w:lang w:val="es-ES"/>
        </w:rPr>
        <w:t xml:space="preserve"> la respuesta proporcionada</w:t>
      </w:r>
      <w:r w:rsidRPr="00D87D20">
        <w:rPr>
          <w:rFonts w:ascii="Palatino Linotype" w:hAnsi="Palatino Linotype" w:cs="Tahoma"/>
          <w:bCs/>
          <w:iCs/>
          <w:sz w:val="22"/>
          <w:szCs w:val="22"/>
          <w:lang w:val="es-ES"/>
        </w:rPr>
        <w:t xml:space="preserve">, </w:t>
      </w:r>
      <w:r w:rsidR="00A867F8">
        <w:rPr>
          <w:rFonts w:ascii="Palatino Linotype" w:hAnsi="Palatino Linotype" w:cs="Tahoma"/>
          <w:bCs/>
          <w:iCs/>
          <w:sz w:val="22"/>
          <w:szCs w:val="22"/>
          <w:lang w:val="es-ES"/>
        </w:rPr>
        <w:t>mientras que</w:t>
      </w:r>
      <w:r w:rsidR="00923E81">
        <w:rPr>
          <w:rFonts w:ascii="Palatino Linotype" w:hAnsi="Palatino Linotype" w:cs="Tahoma"/>
          <w:bCs/>
          <w:iCs/>
          <w:sz w:val="22"/>
          <w:szCs w:val="22"/>
          <w:lang w:val="es-ES"/>
        </w:rPr>
        <w:t xml:space="preserve"> en sus motivos de inconformidad, </w:t>
      </w:r>
      <w:r w:rsidR="00A867F8">
        <w:rPr>
          <w:rFonts w:ascii="Palatino Linotype" w:hAnsi="Palatino Linotype" w:cs="Tahoma"/>
          <w:bCs/>
          <w:iCs/>
          <w:sz w:val="22"/>
          <w:szCs w:val="22"/>
          <w:lang w:val="es-ES"/>
        </w:rPr>
        <w:t xml:space="preserve">señaló que no le entregaron lo solicitado, </w:t>
      </w:r>
      <w:r w:rsidRPr="00D87D20">
        <w:rPr>
          <w:rFonts w:ascii="Palatino Linotype" w:hAnsi="Palatino Linotype" w:cs="Tahoma"/>
          <w:bCs/>
          <w:iCs/>
          <w:sz w:val="22"/>
          <w:szCs w:val="22"/>
          <w:lang w:val="es-ES"/>
        </w:rPr>
        <w:t xml:space="preserve">lo cual </w:t>
      </w:r>
      <w:r w:rsidR="00923E81">
        <w:rPr>
          <w:rFonts w:ascii="Palatino Linotype" w:hAnsi="Palatino Linotype" w:cs="Tahoma"/>
          <w:bCs/>
          <w:iCs/>
          <w:sz w:val="22"/>
          <w:szCs w:val="22"/>
          <w:lang w:val="es-ES"/>
        </w:rPr>
        <w:t>a</w:t>
      </w:r>
      <w:r w:rsidRPr="00D87D20">
        <w:rPr>
          <w:rFonts w:ascii="Palatino Linotype" w:hAnsi="Palatino Linotype" w:cs="Tahoma"/>
          <w:bCs/>
          <w:iCs/>
          <w:sz w:val="22"/>
          <w:szCs w:val="22"/>
          <w:lang w:val="es-ES"/>
        </w:rPr>
        <w:t xml:space="preserve">ctualiza </w:t>
      </w:r>
      <w:r w:rsidR="00A867F8">
        <w:rPr>
          <w:rFonts w:ascii="Palatino Linotype" w:hAnsi="Palatino Linotype" w:cs="Tahoma"/>
          <w:bCs/>
          <w:iCs/>
          <w:sz w:val="22"/>
          <w:szCs w:val="22"/>
          <w:lang w:val="es-ES"/>
        </w:rPr>
        <w:t>e</w:t>
      </w:r>
      <w:r w:rsidRPr="00D87D20">
        <w:rPr>
          <w:rFonts w:ascii="Palatino Linotype" w:hAnsi="Palatino Linotype" w:cs="Tahoma"/>
          <w:bCs/>
          <w:iCs/>
          <w:sz w:val="22"/>
          <w:szCs w:val="22"/>
          <w:lang w:val="es-ES"/>
        </w:rPr>
        <w:t>l supuesto</w:t>
      </w:r>
      <w:r w:rsidR="00A867F8">
        <w:rPr>
          <w:rFonts w:ascii="Palatino Linotype" w:hAnsi="Palatino Linotype" w:cs="Tahoma"/>
          <w:bCs/>
          <w:iCs/>
          <w:sz w:val="22"/>
          <w:szCs w:val="22"/>
          <w:lang w:val="es-ES"/>
        </w:rPr>
        <w:t xml:space="preserve"> previsto</w:t>
      </w:r>
      <w:r w:rsidRPr="00D87D20">
        <w:rPr>
          <w:rFonts w:ascii="Palatino Linotype" w:hAnsi="Palatino Linotype" w:cs="Tahoma"/>
          <w:bCs/>
          <w:iCs/>
          <w:sz w:val="22"/>
          <w:szCs w:val="22"/>
          <w:lang w:val="es-ES"/>
        </w:rPr>
        <w:t xml:space="preserve"> en el artículo 179, fracción I</w:t>
      </w:r>
      <w:r w:rsidR="00A867F8">
        <w:rPr>
          <w:rFonts w:ascii="Palatino Linotype" w:hAnsi="Palatino Linotype" w:cs="Tahoma"/>
          <w:bCs/>
          <w:iCs/>
          <w:sz w:val="22"/>
          <w:szCs w:val="22"/>
          <w:lang w:val="es-ES"/>
        </w:rPr>
        <w:t>X</w:t>
      </w:r>
      <w:r w:rsidRPr="00D87D20">
        <w:rPr>
          <w:rFonts w:ascii="Palatino Linotype" w:hAnsi="Palatino Linotype" w:cs="Tahoma"/>
          <w:bCs/>
          <w:iCs/>
          <w:sz w:val="22"/>
          <w:szCs w:val="22"/>
          <w:lang w:val="es-ES"/>
        </w:rPr>
        <w:t xml:space="preserve"> de la Ley </w:t>
      </w:r>
      <w:r w:rsidRPr="00D87D20">
        <w:rPr>
          <w:rFonts w:ascii="Palatino Linotype" w:hAnsi="Palatino Linotype" w:cs="Tahoma"/>
          <w:sz w:val="22"/>
          <w:szCs w:val="24"/>
        </w:rPr>
        <w:t xml:space="preserve">de Transparencia y Acceso a la Información Pública del Estado de México y Municipios. </w:t>
      </w:r>
    </w:p>
    <w:p w14:paraId="4CE53816" w14:textId="77777777" w:rsidR="00C00DAE" w:rsidRPr="00D87D20" w:rsidRDefault="00C00DAE" w:rsidP="00695AC4">
      <w:pPr>
        <w:tabs>
          <w:tab w:val="left" w:pos="4962"/>
        </w:tabs>
        <w:spacing w:line="360" w:lineRule="auto"/>
        <w:jc w:val="both"/>
        <w:rPr>
          <w:rFonts w:ascii="Palatino Linotype" w:hAnsi="Palatino Linotype" w:cs="Tahoma"/>
          <w:sz w:val="22"/>
          <w:szCs w:val="24"/>
        </w:rPr>
      </w:pPr>
    </w:p>
    <w:p w14:paraId="58EFD91D" w14:textId="77777777" w:rsidR="00D87D20" w:rsidRPr="00D87D20" w:rsidRDefault="00D87D20" w:rsidP="00695AC4">
      <w:pPr>
        <w:spacing w:line="360" w:lineRule="auto"/>
        <w:contextualSpacing/>
        <w:jc w:val="both"/>
        <w:rPr>
          <w:rFonts w:ascii="Palatino Linotype" w:hAnsi="Palatino Linotype" w:cs="Tahoma"/>
          <w:sz w:val="22"/>
          <w:szCs w:val="24"/>
        </w:rPr>
      </w:pPr>
      <w:r w:rsidRPr="00D87D20">
        <w:rPr>
          <w:rFonts w:ascii="Palatino Linotype" w:hAnsi="Palatino Linotype" w:cs="Tahoma"/>
          <w:sz w:val="22"/>
          <w:szCs w:val="24"/>
        </w:rPr>
        <w:lastRenderedPageBreak/>
        <w:t xml:space="preserve">Así las cosas, una vez admitido y notificado el Recurso de Revisión a las partes, tanto el Sujeto Obligado como el Recurrente, fueron omisos en presentar manifestaciones o alegatos que a su derecho convinieran. </w:t>
      </w:r>
    </w:p>
    <w:p w14:paraId="04690C8C" w14:textId="77777777" w:rsidR="00D87D20" w:rsidRPr="00D87D20" w:rsidRDefault="00D87D20" w:rsidP="00695AC4">
      <w:pPr>
        <w:spacing w:line="360" w:lineRule="auto"/>
        <w:contextualSpacing/>
        <w:jc w:val="both"/>
        <w:rPr>
          <w:rFonts w:ascii="Palatino Linotype" w:hAnsi="Palatino Linotype" w:cs="Tahoma"/>
          <w:sz w:val="22"/>
          <w:szCs w:val="24"/>
        </w:rPr>
      </w:pPr>
    </w:p>
    <w:p w14:paraId="4D13169F" w14:textId="5685E2BF" w:rsidR="00D87D20" w:rsidRPr="00D87D20" w:rsidRDefault="00D87D20" w:rsidP="00695AC4">
      <w:pPr>
        <w:spacing w:line="360" w:lineRule="auto"/>
        <w:jc w:val="both"/>
        <w:rPr>
          <w:rFonts w:ascii="Palatino Linotype" w:eastAsiaTheme="minorHAnsi" w:hAnsi="Palatino Linotype" w:cstheme="minorBidi"/>
          <w:color w:val="000000" w:themeColor="text1"/>
          <w:sz w:val="22"/>
          <w:szCs w:val="22"/>
          <w:lang w:eastAsia="en-US"/>
        </w:rPr>
      </w:pPr>
      <w:r w:rsidRPr="00D87D20">
        <w:rPr>
          <w:rFonts w:ascii="Palatino Linotype" w:eastAsiaTheme="minorHAnsi" w:hAnsi="Palatino Linotype" w:cstheme="minorBidi"/>
          <w:color w:val="000000" w:themeColor="text1"/>
          <w:sz w:val="22"/>
          <w:szCs w:val="22"/>
          <w:lang w:eastAsia="en-US"/>
        </w:rPr>
        <w:t xml:space="preserve">Lo hasta aquí expuesto, se desprende de las documentales que obran en el expediente de referencia, materia de la presente Resolución, consistentes en: la solicitud de acceso a la información con número de folio </w:t>
      </w:r>
      <w:r w:rsidR="00595E0A" w:rsidRPr="00595E0A">
        <w:rPr>
          <w:rFonts w:ascii="Palatino Linotype" w:eastAsia="Calibri" w:hAnsi="Palatino Linotype" w:cs="Tahoma"/>
          <w:color w:val="000000"/>
          <w:sz w:val="22"/>
          <w:szCs w:val="22"/>
          <w:lang w:eastAsia="en-US"/>
        </w:rPr>
        <w:t>000</w:t>
      </w:r>
      <w:r w:rsidR="000718E2">
        <w:rPr>
          <w:rFonts w:ascii="Palatino Linotype" w:eastAsia="Calibri" w:hAnsi="Palatino Linotype" w:cs="Tahoma"/>
          <w:color w:val="000000"/>
          <w:sz w:val="22"/>
          <w:szCs w:val="22"/>
          <w:lang w:eastAsia="en-US"/>
        </w:rPr>
        <w:t>29</w:t>
      </w:r>
      <w:r w:rsidR="00595E0A" w:rsidRPr="00595E0A">
        <w:rPr>
          <w:rFonts w:ascii="Palatino Linotype" w:eastAsia="Calibri" w:hAnsi="Palatino Linotype" w:cs="Tahoma"/>
          <w:color w:val="000000"/>
          <w:sz w:val="22"/>
          <w:szCs w:val="22"/>
          <w:lang w:eastAsia="en-US"/>
        </w:rPr>
        <w:t>/DIFTOLUCA/IP/2025</w:t>
      </w:r>
      <w:r w:rsidRPr="00D87D20">
        <w:rPr>
          <w:rFonts w:ascii="Palatino Linotype" w:eastAsia="Calibri" w:hAnsi="Palatino Linotype" w:cs="Tahoma"/>
          <w:color w:val="000000"/>
          <w:sz w:val="22"/>
          <w:szCs w:val="22"/>
          <w:lang w:eastAsia="en-US"/>
        </w:rPr>
        <w:t>;</w:t>
      </w:r>
      <w:r w:rsidRPr="00D87D20">
        <w:rPr>
          <w:rFonts w:ascii="Palatino Linotype" w:eastAsia="Calibri" w:hAnsi="Palatino Linotype" w:cs="Tahoma"/>
          <w:color w:val="000000" w:themeColor="text1"/>
          <w:sz w:val="22"/>
          <w:szCs w:val="22"/>
          <w:lang w:eastAsia="en-US"/>
        </w:rPr>
        <w:t xml:space="preserve"> el</w:t>
      </w:r>
      <w:r w:rsidRPr="00D87D20">
        <w:rPr>
          <w:rFonts w:ascii="Palatino Linotype" w:eastAsiaTheme="minorHAnsi" w:hAnsi="Palatino Linotype" w:cstheme="minorBidi"/>
          <w:color w:val="000000" w:themeColor="text1"/>
          <w:sz w:val="22"/>
          <w:szCs w:val="22"/>
          <w:lang w:eastAsia="en-US"/>
        </w:rPr>
        <w:t xml:space="preserve"> escrito </w:t>
      </w:r>
      <w:proofErr w:type="spellStart"/>
      <w:r w:rsidRPr="00D87D20">
        <w:rPr>
          <w:rFonts w:ascii="Palatino Linotype" w:eastAsiaTheme="minorHAnsi" w:hAnsi="Palatino Linotype" w:cstheme="minorBidi"/>
          <w:color w:val="000000" w:themeColor="text1"/>
          <w:sz w:val="22"/>
          <w:szCs w:val="22"/>
          <w:lang w:eastAsia="en-US"/>
        </w:rPr>
        <w:t>recursal</w:t>
      </w:r>
      <w:proofErr w:type="spellEnd"/>
      <w:r w:rsidRPr="00D87D20">
        <w:rPr>
          <w:rFonts w:ascii="Palatino Linotype" w:eastAsiaTheme="minorHAnsi" w:hAnsi="Palatino Linotype" w:cstheme="minorBidi"/>
          <w:color w:val="000000" w:themeColor="text1"/>
          <w:sz w:val="22"/>
          <w:szCs w:val="22"/>
          <w:lang w:eastAsia="en-US"/>
        </w:rPr>
        <w:t xml:space="preserve"> </w:t>
      </w:r>
      <w:r w:rsidR="00923E81" w:rsidRPr="00923E81">
        <w:rPr>
          <w:rFonts w:ascii="Palatino Linotype" w:hAnsi="Palatino Linotype"/>
          <w:sz w:val="22"/>
          <w:szCs w:val="22"/>
        </w:rPr>
        <w:t>0</w:t>
      </w:r>
      <w:r w:rsidR="00595E0A">
        <w:rPr>
          <w:rFonts w:ascii="Palatino Linotype" w:hAnsi="Palatino Linotype"/>
          <w:sz w:val="22"/>
          <w:szCs w:val="22"/>
        </w:rPr>
        <w:t>0</w:t>
      </w:r>
      <w:r w:rsidR="000718E2">
        <w:rPr>
          <w:rFonts w:ascii="Palatino Linotype" w:hAnsi="Palatino Linotype"/>
          <w:sz w:val="22"/>
          <w:szCs w:val="22"/>
        </w:rPr>
        <w:t>426</w:t>
      </w:r>
      <w:r w:rsidR="00923E81" w:rsidRPr="00923E81">
        <w:rPr>
          <w:rFonts w:ascii="Palatino Linotype" w:hAnsi="Palatino Linotype"/>
          <w:sz w:val="22"/>
          <w:szCs w:val="22"/>
        </w:rPr>
        <w:t>/INFOEM/IP/RR/202</w:t>
      </w:r>
      <w:r w:rsidR="00595E0A">
        <w:rPr>
          <w:rFonts w:ascii="Palatino Linotype" w:hAnsi="Palatino Linotype"/>
          <w:sz w:val="22"/>
          <w:szCs w:val="22"/>
        </w:rPr>
        <w:t>5</w:t>
      </w:r>
      <w:r w:rsidR="00923E81">
        <w:rPr>
          <w:rFonts w:ascii="Palatino Linotype" w:hAnsi="Palatino Linotype"/>
          <w:sz w:val="22"/>
          <w:szCs w:val="22"/>
        </w:rPr>
        <w:t xml:space="preserve"> </w:t>
      </w:r>
      <w:r w:rsidRPr="00D87D20">
        <w:rPr>
          <w:rFonts w:ascii="Palatino Linotype" w:eastAsiaTheme="minorHAnsi" w:hAnsi="Palatino Linotype" w:cstheme="minorBidi"/>
          <w:color w:val="000000" w:themeColor="text1"/>
          <w:sz w:val="22"/>
          <w:szCs w:val="22"/>
          <w:lang w:eastAsia="en-US"/>
        </w:rPr>
        <w:t xml:space="preserve">y la respuesta proporcionada por el Sujeto Obligado; instrumentales que se toman en cuenta a efecto de resolver el presente medio de impugnación, conforme a lo dispuesto por el artículo 185, fracción IV, de la Ley de Transparencia y Acceso a la Información Pública del Estado de México y Municipios. </w:t>
      </w:r>
    </w:p>
    <w:p w14:paraId="7057C1B4" w14:textId="77777777" w:rsidR="00D87D20" w:rsidRPr="00D87D20" w:rsidRDefault="00D87D20" w:rsidP="00695AC4">
      <w:pPr>
        <w:spacing w:line="360" w:lineRule="auto"/>
        <w:contextualSpacing/>
        <w:jc w:val="both"/>
        <w:rPr>
          <w:rFonts w:ascii="Palatino Linotype" w:hAnsi="Palatino Linotype" w:cs="Tahoma"/>
          <w:sz w:val="22"/>
          <w:szCs w:val="24"/>
        </w:rPr>
      </w:pPr>
    </w:p>
    <w:p w14:paraId="71AEFE77" w14:textId="77777777" w:rsidR="00D87D20" w:rsidRPr="00D87D20" w:rsidRDefault="00D87D20" w:rsidP="00695AC4">
      <w:pPr>
        <w:pStyle w:val="Ttulo2"/>
        <w:spacing w:before="0"/>
        <w:jc w:val="both"/>
      </w:pPr>
      <w:bookmarkStart w:id="14" w:name="_Toc190695555"/>
      <w:r w:rsidRPr="00D87D20">
        <w:rPr>
          <w:lang w:val="es-ES"/>
        </w:rPr>
        <w:t xml:space="preserve">CUARTO. </w:t>
      </w:r>
      <w:r w:rsidRPr="00D87D20">
        <w:t>Marco normativo aplicable en materia de transparencia y acceso a la información pública</w:t>
      </w:r>
      <w:bookmarkEnd w:id="14"/>
    </w:p>
    <w:p w14:paraId="6165009B" w14:textId="77777777" w:rsidR="00D87D20" w:rsidRPr="00D87D20" w:rsidRDefault="00D87D20" w:rsidP="00695AC4">
      <w:pPr>
        <w:spacing w:line="360" w:lineRule="auto"/>
        <w:ind w:right="-93"/>
        <w:jc w:val="both"/>
        <w:rPr>
          <w:rFonts w:ascii="Palatino Linotype" w:hAnsi="Palatino Linotype" w:cs="Tahoma"/>
          <w:b/>
          <w:sz w:val="22"/>
          <w:szCs w:val="24"/>
        </w:rPr>
      </w:pPr>
    </w:p>
    <w:p w14:paraId="7AD5315E" w14:textId="77777777" w:rsidR="00D87D20" w:rsidRPr="00D87D20" w:rsidRDefault="00D87D20" w:rsidP="00695AC4">
      <w:pPr>
        <w:spacing w:line="360" w:lineRule="auto"/>
        <w:contextualSpacing/>
        <w:jc w:val="both"/>
        <w:rPr>
          <w:rFonts w:ascii="Palatino Linotype" w:hAnsi="Palatino Linotype" w:cs="Tahoma"/>
          <w:sz w:val="22"/>
          <w:szCs w:val="24"/>
        </w:rPr>
      </w:pPr>
      <w:r w:rsidRPr="00D87D20">
        <w:rPr>
          <w:rFonts w:ascii="Palatino Linotype" w:hAnsi="Palatino Linotype" w:cs="Tahoma"/>
          <w:sz w:val="22"/>
          <w:szCs w:val="24"/>
        </w:rPr>
        <w:t>El artículo 6°, Apartado A), fracción I de la Constitución Política de los Estados Unidos Mexicanos, establece que toda la información en posesión de cualquier autoridad, es pública y sólo podrá ser reservada temporalmente por razones de interés público.</w:t>
      </w:r>
    </w:p>
    <w:p w14:paraId="5FD3D50A" w14:textId="77777777" w:rsidR="00D87D20" w:rsidRPr="00D87D20" w:rsidRDefault="00D87D20" w:rsidP="00695AC4">
      <w:pPr>
        <w:spacing w:line="360" w:lineRule="auto"/>
        <w:contextualSpacing/>
        <w:jc w:val="both"/>
        <w:rPr>
          <w:rFonts w:ascii="Palatino Linotype" w:hAnsi="Palatino Linotype" w:cs="Tahoma"/>
          <w:sz w:val="22"/>
          <w:szCs w:val="24"/>
        </w:rPr>
      </w:pPr>
    </w:p>
    <w:p w14:paraId="5CA0BE11" w14:textId="77777777" w:rsidR="00D87D20" w:rsidRPr="00D87D20" w:rsidRDefault="00D87D20" w:rsidP="00695AC4">
      <w:pPr>
        <w:spacing w:line="360" w:lineRule="auto"/>
        <w:jc w:val="both"/>
        <w:rPr>
          <w:rFonts w:ascii="Palatino Linotype" w:hAnsi="Palatino Linotype" w:cs="Tahoma"/>
          <w:sz w:val="22"/>
          <w:szCs w:val="24"/>
        </w:rPr>
      </w:pPr>
      <w:r w:rsidRPr="00D87D20">
        <w:rPr>
          <w:rFonts w:ascii="Palatino Linotype" w:hAnsi="Palatino Linotype" w:cs="Tahoma"/>
          <w:sz w:val="22"/>
          <w:szCs w:val="24"/>
        </w:rPr>
        <w:t>La Ley General de Transparencia y Acceso a la Información Pública, publicada en el Diario Oficial de la Federación el 4 de mayo de 2015, dispone en su artículo 70, la información que se considera corresponde a las Obligaciones de Transparencia, la cual debe estar disponible para cualquier persona de manera permanente y actualizada.</w:t>
      </w:r>
    </w:p>
    <w:p w14:paraId="1DA87F6C" w14:textId="77777777" w:rsidR="00D87D20" w:rsidRPr="00D87D20" w:rsidRDefault="00D87D20" w:rsidP="00695AC4">
      <w:pPr>
        <w:spacing w:line="360" w:lineRule="auto"/>
        <w:jc w:val="both"/>
        <w:rPr>
          <w:rFonts w:ascii="Palatino Linotype" w:hAnsi="Palatino Linotype" w:cs="Tahoma"/>
          <w:sz w:val="22"/>
          <w:szCs w:val="24"/>
        </w:rPr>
      </w:pPr>
    </w:p>
    <w:p w14:paraId="642D25A1" w14:textId="77777777" w:rsidR="00D87D20" w:rsidRPr="00D87D20" w:rsidRDefault="00D87D20" w:rsidP="00695AC4">
      <w:pPr>
        <w:spacing w:line="360" w:lineRule="auto"/>
        <w:jc w:val="both"/>
        <w:rPr>
          <w:rFonts w:ascii="Palatino Linotype" w:hAnsi="Palatino Linotype" w:cs="Tahoma"/>
          <w:sz w:val="22"/>
          <w:szCs w:val="24"/>
        </w:rPr>
      </w:pPr>
      <w:r w:rsidRPr="00D87D20">
        <w:rPr>
          <w:rFonts w:ascii="Palatino Linotype" w:hAnsi="Palatino Linotype" w:cs="Tahoma"/>
          <w:sz w:val="22"/>
          <w:szCs w:val="24"/>
        </w:rPr>
        <w:t xml:space="preserve">Por su parte, en materia local, el artículo 5°, fracción I de la Constitución Política del Estado Libre y Soberano de México, es coincidente con la Constitución Federal, en el sentido de la </w:t>
      </w:r>
      <w:r w:rsidRPr="00D87D20">
        <w:rPr>
          <w:rFonts w:ascii="Palatino Linotype" w:hAnsi="Palatino Linotype" w:cs="Tahoma"/>
          <w:sz w:val="22"/>
          <w:szCs w:val="24"/>
        </w:rPr>
        <w:lastRenderedPageBreak/>
        <w:t>publicidad de toda la información, con la única restricción de proteger el interés público, así como la información referente a la intimidad de la vida privada y la imagen de las personas, con las excepciones que establezca la ley reglamentaria.</w:t>
      </w:r>
    </w:p>
    <w:p w14:paraId="330971B3" w14:textId="77777777" w:rsidR="00D87D20" w:rsidRPr="00D87D20" w:rsidRDefault="00D87D20" w:rsidP="00695AC4">
      <w:pPr>
        <w:spacing w:line="360" w:lineRule="auto"/>
        <w:jc w:val="both"/>
        <w:rPr>
          <w:rFonts w:ascii="Palatino Linotype" w:hAnsi="Palatino Linotype" w:cs="Tahoma"/>
          <w:sz w:val="22"/>
          <w:szCs w:val="24"/>
        </w:rPr>
      </w:pPr>
    </w:p>
    <w:p w14:paraId="0C5B9C33" w14:textId="77777777" w:rsidR="00D87D20" w:rsidRPr="00D87D20" w:rsidRDefault="00D87D20" w:rsidP="00695AC4">
      <w:pPr>
        <w:spacing w:line="360" w:lineRule="auto"/>
        <w:jc w:val="both"/>
        <w:rPr>
          <w:rFonts w:ascii="Palatino Linotype" w:hAnsi="Palatino Linotype" w:cs="Tahoma"/>
          <w:sz w:val="22"/>
          <w:szCs w:val="24"/>
        </w:rPr>
      </w:pPr>
      <w:r w:rsidRPr="00D87D20">
        <w:rPr>
          <w:rFonts w:ascii="Palatino Linotype" w:hAnsi="Palatino Linotype" w:cs="Tahoma"/>
          <w:sz w:val="22"/>
          <w:szCs w:val="24"/>
        </w:rPr>
        <w:t>Por su parte, la Ley de Transparencia y Acceso a la Información Pública del Estado de México y Municipios (Reglamentaria del artículo 5° de la Constitución Local), establece lo siguiente:</w:t>
      </w:r>
    </w:p>
    <w:p w14:paraId="3183FE89" w14:textId="77777777" w:rsidR="00D87D20" w:rsidRPr="00D87D20" w:rsidRDefault="00D87D20" w:rsidP="00695AC4">
      <w:pPr>
        <w:spacing w:line="360" w:lineRule="auto"/>
        <w:jc w:val="both"/>
        <w:rPr>
          <w:rFonts w:ascii="Palatino Linotype" w:hAnsi="Palatino Linotype" w:cs="Tahoma"/>
          <w:sz w:val="22"/>
          <w:szCs w:val="24"/>
        </w:rPr>
      </w:pPr>
    </w:p>
    <w:p w14:paraId="2FC8957A" w14:textId="77777777" w:rsidR="00D87D20" w:rsidRPr="00D87D20" w:rsidRDefault="00D87D20" w:rsidP="00695AC4">
      <w:pPr>
        <w:spacing w:line="360" w:lineRule="auto"/>
        <w:jc w:val="both"/>
        <w:rPr>
          <w:rFonts w:ascii="Palatino Linotype" w:hAnsi="Palatino Linotype" w:cs="Tahoma"/>
          <w:sz w:val="22"/>
          <w:szCs w:val="24"/>
        </w:rPr>
      </w:pPr>
      <w:r w:rsidRPr="00D87D20">
        <w:rPr>
          <w:rFonts w:ascii="Palatino Linotype" w:hAnsi="Palatino Linotype" w:cs="Tahoma"/>
          <w:sz w:val="22"/>
          <w:szCs w:val="24"/>
        </w:rPr>
        <w:t>El artículo 12, que, quienes generen, recopilen, administren, manejen, procesen, archiven o conserven información pública serán responsables de la misma. El artículo 18, que, los Sujetos Obligados deberán documentar todo acto que derive del ejercicio de sus facultades, competencias o funciones, considerando desde su origen la eventual publicidad y reutilización de la información que generen.</w:t>
      </w:r>
    </w:p>
    <w:p w14:paraId="3D1B3CA4" w14:textId="77777777" w:rsidR="00D87D20" w:rsidRPr="00D87D20" w:rsidRDefault="00D87D20" w:rsidP="00695AC4">
      <w:pPr>
        <w:spacing w:line="360" w:lineRule="auto"/>
        <w:jc w:val="both"/>
        <w:rPr>
          <w:rFonts w:ascii="Palatino Linotype" w:hAnsi="Palatino Linotype" w:cs="Tahoma"/>
          <w:szCs w:val="24"/>
        </w:rPr>
      </w:pPr>
    </w:p>
    <w:p w14:paraId="271E3FD4" w14:textId="5F7A9093" w:rsidR="0086538F" w:rsidRDefault="00D87D20" w:rsidP="00695AC4">
      <w:pPr>
        <w:spacing w:line="360" w:lineRule="auto"/>
        <w:jc w:val="both"/>
        <w:rPr>
          <w:rFonts w:ascii="Palatino Linotype" w:hAnsi="Palatino Linotype" w:cs="Tahoma"/>
          <w:sz w:val="22"/>
          <w:szCs w:val="22"/>
        </w:rPr>
      </w:pPr>
      <w:r w:rsidRPr="00D87D20">
        <w:rPr>
          <w:rFonts w:ascii="Palatino Linotype" w:hAnsi="Palatino Linotype" w:cs="Tahoma"/>
          <w:sz w:val="22"/>
          <w:szCs w:val="24"/>
        </w:rPr>
        <w:t>El artículo 19, que, se presume que la información debe existir si se refiere a las facultades, competencias y funciones que los ordenamientos jurídicos aplicables otorgan a los sujetos obligados y en caso de que dichas facultades no se hayan ejercido, se deberá motivar la respuesta en función de las causas que motivaron tal circunstancia.</w:t>
      </w:r>
    </w:p>
    <w:p w14:paraId="4E1E9E2A" w14:textId="77777777" w:rsidR="00B65BDF" w:rsidRPr="00033B8E" w:rsidRDefault="00B65BDF" w:rsidP="00695AC4">
      <w:pPr>
        <w:spacing w:line="360" w:lineRule="auto"/>
        <w:jc w:val="both"/>
        <w:rPr>
          <w:rFonts w:ascii="Palatino Linotype" w:hAnsi="Palatino Linotype" w:cs="Tahoma"/>
          <w:sz w:val="22"/>
          <w:szCs w:val="22"/>
        </w:rPr>
      </w:pPr>
    </w:p>
    <w:p w14:paraId="3B10E5C2" w14:textId="0C2B3944" w:rsidR="00FC638E" w:rsidRDefault="003F7EDC" w:rsidP="00695AC4">
      <w:pPr>
        <w:pStyle w:val="Ttulo2"/>
        <w:spacing w:before="0"/>
      </w:pPr>
      <w:r>
        <w:t xml:space="preserve"> </w:t>
      </w:r>
      <w:bookmarkStart w:id="15" w:name="_Toc190695556"/>
      <w:r w:rsidR="00FC638E" w:rsidRPr="00033B8E">
        <w:t>QUINTO. Estudio de Fondo</w:t>
      </w:r>
      <w:bookmarkEnd w:id="15"/>
    </w:p>
    <w:p w14:paraId="707F958D" w14:textId="77777777" w:rsidR="0087367C" w:rsidRDefault="0087367C" w:rsidP="00695AC4">
      <w:pPr>
        <w:spacing w:line="360" w:lineRule="auto"/>
        <w:ind w:right="-28"/>
        <w:contextualSpacing/>
        <w:jc w:val="both"/>
        <w:rPr>
          <w:rFonts w:ascii="Palatino Linotype" w:hAnsi="Palatino Linotype" w:cs="Tahoma"/>
          <w:bCs/>
          <w:sz w:val="22"/>
          <w:szCs w:val="22"/>
          <w:shd w:val="clear" w:color="auto" w:fill="FFFFFF"/>
        </w:rPr>
      </w:pPr>
    </w:p>
    <w:p w14:paraId="456117A4" w14:textId="4692F63B" w:rsidR="00517E8A" w:rsidRDefault="00517E8A" w:rsidP="00695AC4">
      <w:pPr>
        <w:spacing w:line="360" w:lineRule="auto"/>
        <w:ind w:right="-93"/>
        <w:jc w:val="both"/>
        <w:rPr>
          <w:rFonts w:ascii="Palatino Linotype" w:hAnsi="Palatino Linotype" w:cs="Tahoma"/>
          <w:sz w:val="22"/>
          <w:szCs w:val="22"/>
          <w:lang w:val="es-ES"/>
        </w:rPr>
      </w:pPr>
      <w:r w:rsidRPr="00517E8A">
        <w:rPr>
          <w:rFonts w:ascii="Palatino Linotype" w:hAnsi="Palatino Linotype" w:cs="Tahoma"/>
          <w:sz w:val="22"/>
          <w:szCs w:val="22"/>
          <w:lang w:val="es-ES"/>
        </w:rPr>
        <w:t>Expuestas las posturas de las partes, se procede analizar la</w:t>
      </w:r>
      <w:r w:rsidR="00722603">
        <w:rPr>
          <w:rFonts w:ascii="Palatino Linotype" w:hAnsi="Palatino Linotype" w:cs="Tahoma"/>
          <w:sz w:val="22"/>
          <w:szCs w:val="22"/>
          <w:lang w:val="es-ES"/>
        </w:rPr>
        <w:t>s respuestas proporcionadas por el Sujeto Obligado, referentes a la</w:t>
      </w:r>
      <w:r w:rsidRPr="00517E8A">
        <w:rPr>
          <w:rFonts w:ascii="Palatino Linotype" w:hAnsi="Palatino Linotype" w:cs="Tahoma"/>
          <w:sz w:val="22"/>
          <w:szCs w:val="22"/>
          <w:lang w:val="es-ES"/>
        </w:rPr>
        <w:t xml:space="preserve"> </w:t>
      </w:r>
      <w:r w:rsidR="00363907" w:rsidRPr="00363907">
        <w:rPr>
          <w:rFonts w:ascii="Palatino Linotype" w:hAnsi="Palatino Linotype" w:cs="Tahoma"/>
          <w:sz w:val="22"/>
          <w:szCs w:val="22"/>
          <w:lang w:val="es-ES"/>
        </w:rPr>
        <w:t>entrega o puesta a disposición de información en un formato incomprensible y/o no accesible para el solicitante</w:t>
      </w:r>
      <w:r w:rsidR="00363907">
        <w:rPr>
          <w:rFonts w:ascii="Palatino Linotype" w:hAnsi="Palatino Linotype" w:cs="Tahoma"/>
          <w:sz w:val="22"/>
          <w:szCs w:val="22"/>
          <w:lang w:val="es-ES"/>
        </w:rPr>
        <w:t>,</w:t>
      </w:r>
      <w:r w:rsidR="00DD0768">
        <w:rPr>
          <w:rFonts w:ascii="Palatino Linotype" w:hAnsi="Palatino Linotype" w:cs="Tahoma"/>
          <w:sz w:val="22"/>
          <w:szCs w:val="22"/>
          <w:lang w:val="es-ES"/>
        </w:rPr>
        <w:t xml:space="preserve"> respecto a</w:t>
      </w:r>
      <w:r w:rsidR="00B34964">
        <w:rPr>
          <w:rFonts w:ascii="Palatino Linotype" w:hAnsi="Palatino Linotype" w:cs="Tahoma"/>
          <w:sz w:val="22"/>
          <w:szCs w:val="22"/>
          <w:lang w:val="es-ES"/>
        </w:rPr>
        <w:t xml:space="preserve"> </w:t>
      </w:r>
      <w:r w:rsidR="00DD0768" w:rsidRPr="00DD0768">
        <w:rPr>
          <w:rFonts w:ascii="Palatino Linotype" w:hAnsi="Palatino Linotype" w:cs="Tahoma"/>
          <w:sz w:val="22"/>
          <w:szCs w:val="22"/>
          <w:lang w:val="es-ES"/>
        </w:rPr>
        <w:t xml:space="preserve"> </w:t>
      </w:r>
      <w:r w:rsidR="00B34964">
        <w:rPr>
          <w:rFonts w:ascii="Palatino Linotype" w:hAnsi="Palatino Linotype" w:cs="Tahoma"/>
          <w:sz w:val="22"/>
          <w:szCs w:val="22"/>
          <w:lang w:val="es-ES"/>
        </w:rPr>
        <w:t>la información requerida a la UIPPE correspondiente al ejercicio dos mil veinticuatro</w:t>
      </w:r>
      <w:r w:rsidR="00363907">
        <w:rPr>
          <w:rFonts w:ascii="Palatino Linotype" w:hAnsi="Palatino Linotype" w:cs="Tahoma"/>
          <w:sz w:val="22"/>
          <w:szCs w:val="22"/>
          <w:lang w:val="es-ES"/>
        </w:rPr>
        <w:t>.</w:t>
      </w:r>
    </w:p>
    <w:p w14:paraId="175C4870" w14:textId="77777777" w:rsidR="00C50711" w:rsidRDefault="00C50711" w:rsidP="00695AC4">
      <w:pPr>
        <w:spacing w:line="360" w:lineRule="auto"/>
        <w:ind w:right="-93"/>
        <w:jc w:val="both"/>
        <w:rPr>
          <w:rFonts w:ascii="Palatino Linotype" w:hAnsi="Palatino Linotype" w:cs="Tahoma"/>
          <w:sz w:val="22"/>
          <w:szCs w:val="22"/>
          <w:lang w:val="es-ES"/>
        </w:rPr>
      </w:pPr>
    </w:p>
    <w:p w14:paraId="5D5DA755" w14:textId="345A24E9" w:rsidR="00C50711" w:rsidRPr="00534BF1" w:rsidRDefault="00C50711" w:rsidP="00C50711">
      <w:pPr>
        <w:spacing w:line="360" w:lineRule="auto"/>
        <w:jc w:val="both"/>
        <w:rPr>
          <w:rFonts w:ascii="Palatino Linotype" w:eastAsia="Calibri" w:hAnsi="Palatino Linotype" w:cs="Tahoma"/>
          <w:bCs/>
          <w:color w:val="000000"/>
          <w:sz w:val="22"/>
          <w:szCs w:val="22"/>
          <w:lang w:val="es-ES" w:eastAsia="en-US"/>
        </w:rPr>
      </w:pPr>
      <w:r w:rsidRPr="00534BF1">
        <w:rPr>
          <w:rFonts w:ascii="Palatino Linotype" w:eastAsia="Calibri" w:hAnsi="Palatino Linotype" w:cs="Tahoma"/>
          <w:bCs/>
          <w:color w:val="000000"/>
          <w:sz w:val="22"/>
          <w:szCs w:val="22"/>
          <w:lang w:val="es-ES" w:eastAsia="en-US"/>
        </w:rPr>
        <w:lastRenderedPageBreak/>
        <w:t>De inicio, es de señalar que el Recurrente manifestó en su solicitud “…</w:t>
      </w:r>
      <w:r w:rsidRPr="00534BF1">
        <w:rPr>
          <w:rFonts w:ascii="Palatino Linotype" w:eastAsia="Calibri" w:hAnsi="Palatino Linotype" w:cs="Tahoma"/>
          <w:bCs/>
          <w:i/>
          <w:iCs/>
          <w:color w:val="000000"/>
          <w:sz w:val="22"/>
          <w:szCs w:val="22"/>
          <w:lang w:eastAsia="en-US"/>
        </w:rPr>
        <w:t>COMO FUERON ATENDIDAS...” (Sic).</w:t>
      </w:r>
      <w:r w:rsidRPr="00534BF1">
        <w:rPr>
          <w:rFonts w:ascii="Palatino Linotype" w:eastAsia="Calibri" w:hAnsi="Palatino Linotype" w:cs="Tahoma"/>
          <w:bCs/>
          <w:color w:val="000000"/>
          <w:sz w:val="22"/>
          <w:szCs w:val="22"/>
          <w:lang w:val="es-ES" w:eastAsia="en-US"/>
        </w:rPr>
        <w:t xml:space="preserve">  Al respecto, es de precisar que se consideran manifestaciones subjetivas ya que las mismas no se pueden colmar con la entrega de un documento, sino más bien, se pretende hacer que el Sujeto Obligado realice un pronunciamiento, a través de la entrega de una razón o razonamiento, lo cual no es algo que la ley establezca como atribución, derecho o facultad, pues ello implicaría un juicio de valor referente a un cuestionamiento realizado, los cuales, al constituir interrogantes, inquietudes y manifestaciones se satisfacen vía derecho de petición.</w:t>
      </w:r>
    </w:p>
    <w:p w14:paraId="6CE94BC2" w14:textId="77777777" w:rsidR="00C50711" w:rsidRPr="00534BF1" w:rsidRDefault="00C50711" w:rsidP="00C50711">
      <w:pPr>
        <w:spacing w:line="360" w:lineRule="auto"/>
        <w:jc w:val="both"/>
        <w:rPr>
          <w:rFonts w:ascii="Palatino Linotype" w:eastAsia="Calibri" w:hAnsi="Palatino Linotype" w:cs="Tahoma"/>
          <w:bCs/>
          <w:color w:val="000000"/>
          <w:sz w:val="22"/>
          <w:szCs w:val="22"/>
          <w:lang w:val="es-ES" w:eastAsia="en-US"/>
        </w:rPr>
      </w:pPr>
    </w:p>
    <w:p w14:paraId="4D0C302F" w14:textId="77777777" w:rsidR="00C50711" w:rsidRPr="00534BF1" w:rsidRDefault="00C50711" w:rsidP="00C50711">
      <w:pPr>
        <w:spacing w:line="360" w:lineRule="auto"/>
        <w:jc w:val="both"/>
        <w:rPr>
          <w:rFonts w:ascii="Palatino Linotype" w:eastAsia="Calibri" w:hAnsi="Palatino Linotype" w:cs="Arial"/>
          <w:bCs/>
          <w:color w:val="000000"/>
          <w:sz w:val="22"/>
          <w:szCs w:val="22"/>
          <w:lang w:eastAsia="en-US"/>
        </w:rPr>
      </w:pPr>
      <w:r w:rsidRPr="00534BF1">
        <w:rPr>
          <w:rFonts w:ascii="Palatino Linotype" w:eastAsia="Calibri" w:hAnsi="Palatino Linotype" w:cs="Arial"/>
          <w:bCs/>
          <w:color w:val="000000"/>
          <w:sz w:val="22"/>
          <w:szCs w:val="22"/>
          <w:lang w:val="es-ES" w:eastAsia="en-US"/>
        </w:rPr>
        <w:t xml:space="preserve">Lo anterior, toma sustento </w:t>
      </w:r>
      <w:r w:rsidRPr="00534BF1">
        <w:rPr>
          <w:rFonts w:ascii="Palatino Linotype" w:eastAsia="Calibri" w:hAnsi="Palatino Linotype" w:cs="Arial"/>
          <w:bCs/>
          <w:color w:val="000000"/>
          <w:sz w:val="22"/>
          <w:szCs w:val="22"/>
          <w:lang w:eastAsia="en-US"/>
        </w:rPr>
        <w:t xml:space="preserve">la Jurisprudencia XXI.1o.P.A. J/27, de los Tribunales Colegiados de Circuito, localizada en la página 1406, del Semanario Judicial de la Federación y su Gaceta, Tomo </w:t>
      </w:r>
      <w:r w:rsidRPr="00534BF1">
        <w:rPr>
          <w:rFonts w:ascii="Calibri" w:eastAsia="Calibri" w:hAnsi="Calibri" w:cs="Calibri"/>
          <w:color w:val="000000"/>
          <w:sz w:val="26"/>
          <w:szCs w:val="26"/>
          <w:lang w:val="es-ES" w:eastAsia="en-US"/>
        </w:rPr>
        <w:t>XXXIII</w:t>
      </w:r>
      <w:r w:rsidRPr="00534BF1">
        <w:rPr>
          <w:rFonts w:ascii="Palatino Linotype" w:eastAsia="Calibri" w:hAnsi="Palatino Linotype" w:cs="Arial"/>
          <w:bCs/>
          <w:color w:val="000000"/>
          <w:sz w:val="22"/>
          <w:szCs w:val="22"/>
          <w:lang w:eastAsia="en-US"/>
        </w:rPr>
        <w:t>, marzo 2011, Novena Época, que establece lo siguiente:</w:t>
      </w:r>
    </w:p>
    <w:p w14:paraId="67A16BB0" w14:textId="77777777" w:rsidR="00C50711" w:rsidRPr="00534BF1" w:rsidRDefault="00C50711" w:rsidP="00C50711">
      <w:pPr>
        <w:spacing w:line="360" w:lineRule="auto"/>
        <w:jc w:val="both"/>
        <w:rPr>
          <w:rFonts w:ascii="Palatino Linotype" w:eastAsia="Calibri" w:hAnsi="Palatino Linotype" w:cs="Arial"/>
          <w:bCs/>
          <w:color w:val="000000"/>
          <w:sz w:val="22"/>
          <w:szCs w:val="22"/>
          <w:lang w:eastAsia="en-US"/>
        </w:rPr>
      </w:pPr>
    </w:p>
    <w:p w14:paraId="36AD3F5E" w14:textId="77777777" w:rsidR="00C50711" w:rsidRPr="00534BF1" w:rsidRDefault="00C50711" w:rsidP="00C50711">
      <w:pPr>
        <w:spacing w:line="360" w:lineRule="auto"/>
        <w:ind w:left="567" w:right="567"/>
        <w:jc w:val="both"/>
        <w:rPr>
          <w:rFonts w:ascii="Palatino Linotype" w:eastAsia="Calibri" w:hAnsi="Palatino Linotype" w:cs="Arial"/>
          <w:bCs/>
          <w:i/>
          <w:color w:val="000000"/>
          <w:lang w:val="es-ES" w:eastAsia="en-US"/>
        </w:rPr>
      </w:pPr>
      <w:r w:rsidRPr="00534BF1">
        <w:rPr>
          <w:rFonts w:ascii="Palatino Linotype" w:eastAsia="Calibri" w:hAnsi="Palatino Linotype" w:cs="Arial"/>
          <w:b/>
          <w:bCs/>
          <w:i/>
          <w:color w:val="000000"/>
          <w:lang w:val="es-ES" w:eastAsia="en-US"/>
        </w:rPr>
        <w:t xml:space="preserve">“DERECHO DE PETICIÓN. SUS ELEMENTOS. </w:t>
      </w:r>
      <w:r w:rsidRPr="00534BF1">
        <w:rPr>
          <w:rFonts w:ascii="Palatino Linotype" w:eastAsia="Calibri" w:hAnsi="Palatino Linotype" w:cs="Arial"/>
          <w:bCs/>
          <w:i/>
          <w:color w:val="000000"/>
          <w:lang w:val="es-ES" w:eastAsia="en-US"/>
        </w:rPr>
        <w:t xml:space="preserve">El denominado "derecho de petición", acorde con los criterios de los tribunales del Poder Judicial de la Federación, es la garantía individual consagrada en el artículo 8o. de la Constitución Política de los Estados Unidos Mexicanos, en función de la cual cualquier gobernado que presente una petición ante una autoridad, tiene derecho a recibir una respuesta. Así, su ejercicio por el particular y la correlativa obligación de la autoridad de producir una respuesta, se caracterizan por los elementos siguientes: A. La petición: debe formularse de manera pacífica y respetuosa, dirigirse a una autoridad y recabarse la constancia de que fue entregada; además de que el peticionario ha de proporcionar el domicilio para recibir la respuesta. B. La respuesta: la autoridad debe emitir un acuerdo en breve término, entendiéndose por éste el que racionalmente se requiera para estudiar la petición y acordarla, que tendrá que ser congruente con la petición y la autoridad debe notificar el acuerdo recaído a la petición en forma personal al gobernado en el domicilio que señaló para tales efectos, sin que exista obligación de resolver en determinado sentido, esto es, el ejercicio del derecho de petición no constriñe a la </w:t>
      </w:r>
      <w:r w:rsidRPr="00534BF1">
        <w:rPr>
          <w:rFonts w:ascii="Palatino Linotype" w:eastAsia="Calibri" w:hAnsi="Palatino Linotype" w:cs="Arial"/>
          <w:bCs/>
          <w:i/>
          <w:color w:val="000000"/>
          <w:lang w:val="es-ES" w:eastAsia="en-US"/>
        </w:rPr>
        <w:lastRenderedPageBreak/>
        <w:t>autoridad ante quien se formuló, a que provea de conformidad lo solicitado por el promovente, sino que está en libertad de resolver de conformidad con los ordenamientos que resulten aplicables al caso, y la respuesta o trámite que se dé a la petición debe ser comunicada precisamente por la autoridad ante quien se ejercitó el derecho, y no por otra diversa.”</w:t>
      </w:r>
    </w:p>
    <w:p w14:paraId="2F64B95D" w14:textId="77777777" w:rsidR="00C50711" w:rsidRPr="00534BF1" w:rsidRDefault="00C50711" w:rsidP="00C50711">
      <w:pPr>
        <w:spacing w:line="360" w:lineRule="auto"/>
        <w:jc w:val="both"/>
        <w:rPr>
          <w:rFonts w:ascii="Palatino Linotype" w:eastAsia="Calibri" w:hAnsi="Palatino Linotype" w:cs="Arial"/>
          <w:bCs/>
          <w:color w:val="000000"/>
          <w:sz w:val="22"/>
          <w:szCs w:val="22"/>
          <w:lang w:val="es-ES" w:eastAsia="en-US"/>
        </w:rPr>
      </w:pPr>
    </w:p>
    <w:p w14:paraId="4627F1D0" w14:textId="77777777" w:rsidR="00C50711" w:rsidRPr="00534BF1" w:rsidRDefault="00C50711" w:rsidP="00C50711">
      <w:pPr>
        <w:spacing w:line="360" w:lineRule="auto"/>
        <w:jc w:val="both"/>
        <w:rPr>
          <w:rFonts w:ascii="Palatino Linotype" w:eastAsia="Calibri" w:hAnsi="Palatino Linotype" w:cs="Arial"/>
          <w:bCs/>
          <w:color w:val="000000"/>
          <w:sz w:val="22"/>
          <w:szCs w:val="22"/>
          <w:lang w:val="es-ES" w:eastAsia="en-US"/>
        </w:rPr>
      </w:pPr>
      <w:r w:rsidRPr="00534BF1">
        <w:rPr>
          <w:rFonts w:ascii="Palatino Linotype" w:eastAsia="Calibri" w:hAnsi="Palatino Linotype" w:cs="Arial"/>
          <w:bCs/>
          <w:color w:val="000000"/>
          <w:sz w:val="22"/>
          <w:szCs w:val="22"/>
          <w:lang w:val="es-ES" w:eastAsia="en-US"/>
        </w:rPr>
        <w:t>De la Jurisprudencia citada, se advierte que el derecho de petición, es una prerrogativa individual consagrada en el artículo 8° de la Constitución Política de los Estados Unidos Mexicanos, con el fin de que cualquier ciudadano o persona, presente una petición de manera pacífica y respetuosa (pregunta, consulta, duda, entre otros), ante una autoridad, por lo que, tiene derecho de recibir una respuesta.</w:t>
      </w:r>
    </w:p>
    <w:p w14:paraId="057487EA" w14:textId="77777777" w:rsidR="00C50711" w:rsidRPr="00534BF1" w:rsidRDefault="00C50711" w:rsidP="00C50711">
      <w:pPr>
        <w:spacing w:line="360" w:lineRule="auto"/>
        <w:jc w:val="both"/>
        <w:rPr>
          <w:rFonts w:ascii="Palatino Linotype" w:hAnsi="Palatino Linotype" w:cs="Tahoma"/>
          <w:sz w:val="22"/>
          <w:szCs w:val="22"/>
          <w:shd w:val="clear" w:color="auto" w:fill="FFFFFF"/>
        </w:rPr>
      </w:pPr>
    </w:p>
    <w:p w14:paraId="628EDD32" w14:textId="77777777" w:rsidR="00C50711" w:rsidRPr="008848C0" w:rsidRDefault="00C50711" w:rsidP="00C50711">
      <w:pPr>
        <w:spacing w:line="360" w:lineRule="auto"/>
        <w:jc w:val="both"/>
        <w:rPr>
          <w:rFonts w:ascii="Palatino Linotype" w:eastAsia="Calibri" w:hAnsi="Palatino Linotype" w:cs="Tahoma"/>
          <w:bCs/>
          <w:color w:val="000000"/>
          <w:sz w:val="22"/>
          <w:szCs w:val="22"/>
          <w:lang w:val="es-ES" w:eastAsia="en-US"/>
        </w:rPr>
      </w:pPr>
      <w:r w:rsidRPr="00534BF1">
        <w:rPr>
          <w:rFonts w:ascii="Palatino Linotype" w:hAnsi="Palatino Linotype" w:cs="Tahoma"/>
          <w:color w:val="000000"/>
          <w:sz w:val="22"/>
          <w:szCs w:val="22"/>
          <w:lang w:val="es-ES"/>
        </w:rPr>
        <w:t xml:space="preserve">En ese orden de ideas, según Trujillo, Humberto (2019), en el “Diccionario de Transparencia y Acceso a la Información Pública” (p. 122), el derecho de petición, es una prerrogativa constitucional que tienen las personas para solicitar o reclamar a las autoridades públicas, de forma individual o a través de un grupo de personas; la cual dichas entidades están obligadas a recibirlas, proponer un acuerdo escrito que especifiqué los tiempos y la forma en que será contestada la consulta y reclamación y así ofrecer una respuesta. </w:t>
      </w:r>
      <w:r w:rsidRPr="00534BF1">
        <w:rPr>
          <w:rFonts w:ascii="Palatino Linotype" w:eastAsia="Calibri" w:hAnsi="Palatino Linotype" w:cs="Arial"/>
          <w:b/>
          <w:bCs/>
          <w:color w:val="000000"/>
          <w:sz w:val="22"/>
          <w:szCs w:val="22"/>
          <w:lang w:val="es-ES" w:eastAsia="en-US"/>
        </w:rPr>
        <w:t>De tal circunstancia, se puede colegir que respecto al requerimiento realizado, se trata de un derecho de petición y, por lo tanto, no puede ser atendido vía del derecho de acceso a la información pública.</w:t>
      </w:r>
    </w:p>
    <w:p w14:paraId="4A53ACA1" w14:textId="77777777" w:rsidR="00C50711" w:rsidRDefault="00C50711" w:rsidP="00695AC4">
      <w:pPr>
        <w:spacing w:line="360" w:lineRule="auto"/>
        <w:ind w:right="-93"/>
        <w:jc w:val="both"/>
        <w:rPr>
          <w:rFonts w:ascii="Palatino Linotype" w:hAnsi="Palatino Linotype" w:cs="Tahoma"/>
          <w:sz w:val="22"/>
          <w:szCs w:val="22"/>
          <w:lang w:val="es-ES"/>
        </w:rPr>
      </w:pPr>
    </w:p>
    <w:p w14:paraId="24B4B109" w14:textId="37A84840" w:rsidR="006429F6" w:rsidRDefault="006429F6" w:rsidP="006429F6">
      <w:pPr>
        <w:spacing w:line="360" w:lineRule="auto"/>
        <w:jc w:val="both"/>
        <w:rPr>
          <w:rFonts w:ascii="Palatino Linotype" w:eastAsia="Calibri" w:hAnsi="Palatino Linotype" w:cs="Tahoma"/>
          <w:sz w:val="22"/>
          <w:szCs w:val="22"/>
          <w:lang w:eastAsia="en-US"/>
        </w:rPr>
      </w:pPr>
      <w:r w:rsidRPr="006429F6">
        <w:rPr>
          <w:rFonts w:ascii="Palatino Linotype" w:hAnsi="Palatino Linotype" w:cs="Tahoma"/>
          <w:sz w:val="22"/>
          <w:szCs w:val="22"/>
        </w:rPr>
        <w:t xml:space="preserve">Precisado lo anterior, </w:t>
      </w:r>
      <w:r>
        <w:rPr>
          <w:rFonts w:ascii="Palatino Linotype" w:hAnsi="Palatino Linotype" w:cs="Tahoma"/>
          <w:sz w:val="22"/>
          <w:szCs w:val="22"/>
        </w:rPr>
        <w:t xml:space="preserve">el Reglamento Interno del </w:t>
      </w:r>
      <w:r w:rsidRPr="003A744C">
        <w:rPr>
          <w:rFonts w:ascii="Palatino Linotype" w:eastAsia="Calibri" w:hAnsi="Palatino Linotype" w:cs="Tahoma"/>
          <w:sz w:val="22"/>
          <w:szCs w:val="22"/>
          <w:lang w:eastAsia="en-US"/>
        </w:rPr>
        <w:t xml:space="preserve">Sistema Municipal </w:t>
      </w:r>
      <w:r w:rsidR="00C00DAE">
        <w:rPr>
          <w:rFonts w:ascii="Palatino Linotype" w:eastAsia="Calibri" w:hAnsi="Palatino Linotype" w:cs="Tahoma"/>
          <w:sz w:val="22"/>
          <w:szCs w:val="22"/>
          <w:lang w:eastAsia="en-US"/>
        </w:rPr>
        <w:t>p</w:t>
      </w:r>
      <w:r w:rsidRPr="003A744C">
        <w:rPr>
          <w:rFonts w:ascii="Palatino Linotype" w:eastAsia="Calibri" w:hAnsi="Palatino Linotype" w:cs="Tahoma"/>
          <w:sz w:val="22"/>
          <w:szCs w:val="22"/>
          <w:lang w:eastAsia="en-US"/>
        </w:rPr>
        <w:t>ara el Desarrollo Integral de la Familia de Toluca</w:t>
      </w:r>
      <w:r>
        <w:rPr>
          <w:rFonts w:ascii="Palatino Linotype" w:eastAsia="Calibri" w:hAnsi="Palatino Linotype" w:cs="Tahoma"/>
          <w:sz w:val="22"/>
          <w:szCs w:val="22"/>
          <w:lang w:eastAsia="en-US"/>
        </w:rPr>
        <w:t>, señala en su artículo 13, que p</w:t>
      </w:r>
      <w:r w:rsidRPr="006429F6">
        <w:rPr>
          <w:rFonts w:ascii="Palatino Linotype" w:eastAsia="Calibri" w:hAnsi="Palatino Linotype" w:cs="Tahoma"/>
          <w:sz w:val="22"/>
          <w:szCs w:val="22"/>
          <w:lang w:eastAsia="en-US"/>
        </w:rPr>
        <w:t>ara el estudio, planeación, despacho, control y evaluación de los asuntos de su competencia, la Dirección General se auxiliará de las Un</w:t>
      </w:r>
      <w:r>
        <w:rPr>
          <w:rFonts w:ascii="Palatino Linotype" w:eastAsia="Calibri" w:hAnsi="Palatino Linotype" w:cs="Tahoma"/>
          <w:sz w:val="22"/>
          <w:szCs w:val="22"/>
          <w:lang w:eastAsia="en-US"/>
        </w:rPr>
        <w:t xml:space="preserve">idades Administrativas básicas, entre ellas, la </w:t>
      </w:r>
      <w:r w:rsidRPr="006429F6">
        <w:rPr>
          <w:rFonts w:ascii="Palatino Linotype" w:eastAsia="Calibri" w:hAnsi="Palatino Linotype" w:cs="Tahoma"/>
          <w:sz w:val="22"/>
          <w:szCs w:val="22"/>
          <w:lang w:eastAsia="en-US"/>
        </w:rPr>
        <w:t>Unidad de Información, Planeación, Programación y Evaluación</w:t>
      </w:r>
      <w:r w:rsidR="009A4914">
        <w:rPr>
          <w:rFonts w:ascii="Palatino Linotype" w:eastAsia="Calibri" w:hAnsi="Palatino Linotype" w:cs="Tahoma"/>
          <w:sz w:val="22"/>
          <w:szCs w:val="22"/>
          <w:lang w:eastAsia="en-US"/>
        </w:rPr>
        <w:t>.</w:t>
      </w:r>
    </w:p>
    <w:p w14:paraId="5E3F7BB0" w14:textId="77777777" w:rsidR="009A4914" w:rsidRDefault="009A4914" w:rsidP="006429F6">
      <w:pPr>
        <w:spacing w:line="360" w:lineRule="auto"/>
        <w:jc w:val="both"/>
        <w:rPr>
          <w:rFonts w:ascii="Palatino Linotype" w:eastAsia="Calibri" w:hAnsi="Palatino Linotype" w:cs="Tahoma"/>
          <w:sz w:val="22"/>
          <w:szCs w:val="22"/>
          <w:lang w:eastAsia="en-US"/>
        </w:rPr>
      </w:pPr>
    </w:p>
    <w:p w14:paraId="6E34C550" w14:textId="77777777" w:rsidR="00C00DAE" w:rsidRDefault="009A4914" w:rsidP="006429F6">
      <w:pPr>
        <w:spacing w:line="360" w:lineRule="auto"/>
        <w:jc w:val="both"/>
        <w:rPr>
          <w:rFonts w:ascii="Palatino Linotype" w:eastAsia="Calibri" w:hAnsi="Palatino Linotype" w:cs="Tahoma"/>
          <w:sz w:val="22"/>
          <w:szCs w:val="22"/>
          <w:lang w:eastAsia="en-US"/>
        </w:rPr>
      </w:pPr>
      <w:r>
        <w:rPr>
          <w:rFonts w:ascii="Palatino Linotype" w:eastAsia="Calibri" w:hAnsi="Palatino Linotype" w:cs="Tahoma"/>
          <w:sz w:val="22"/>
          <w:szCs w:val="22"/>
          <w:lang w:eastAsia="en-US"/>
        </w:rPr>
        <w:t xml:space="preserve">En este sentido, en términos del Manual de Organización del </w:t>
      </w:r>
      <w:r w:rsidRPr="003A744C">
        <w:rPr>
          <w:rFonts w:ascii="Palatino Linotype" w:eastAsia="Calibri" w:hAnsi="Palatino Linotype" w:cs="Tahoma"/>
          <w:sz w:val="22"/>
          <w:szCs w:val="22"/>
          <w:lang w:eastAsia="en-US"/>
        </w:rPr>
        <w:t>Sistema Municipal Para el Desarrollo Integral de la Familia de Toluca</w:t>
      </w:r>
      <w:r>
        <w:rPr>
          <w:rFonts w:ascii="Palatino Linotype" w:eastAsia="Calibri" w:hAnsi="Palatino Linotype" w:cs="Tahoma"/>
          <w:sz w:val="22"/>
          <w:szCs w:val="22"/>
          <w:lang w:eastAsia="en-US"/>
        </w:rPr>
        <w:t xml:space="preserve">, señala que la </w:t>
      </w:r>
      <w:r w:rsidRPr="006429F6">
        <w:rPr>
          <w:rFonts w:ascii="Palatino Linotype" w:eastAsia="Calibri" w:hAnsi="Palatino Linotype" w:cs="Tahoma"/>
          <w:sz w:val="22"/>
          <w:szCs w:val="22"/>
          <w:lang w:eastAsia="en-US"/>
        </w:rPr>
        <w:t>Unidad de Información, Plane</w:t>
      </w:r>
      <w:r>
        <w:rPr>
          <w:rFonts w:ascii="Palatino Linotype" w:eastAsia="Calibri" w:hAnsi="Palatino Linotype" w:cs="Tahoma"/>
          <w:sz w:val="22"/>
          <w:szCs w:val="22"/>
          <w:lang w:eastAsia="en-US"/>
        </w:rPr>
        <w:t xml:space="preserve">ación, Programación y Evaluación, tiene por objetivo organizar y dirigir el proceso de planeación, seguimiento y evaluación de los programas y proyectos presupuestarios que opera el Sistema Municipal, así como lo referente a la atención de las obligaciones en materia de Mejora Regulatoria y </w:t>
      </w:r>
      <w:r w:rsidRPr="009A4914">
        <w:rPr>
          <w:rFonts w:ascii="Palatino Linotype" w:eastAsia="Calibri" w:hAnsi="Palatino Linotype" w:cs="Tahoma"/>
          <w:sz w:val="22"/>
          <w:szCs w:val="22"/>
          <w:u w:val="single"/>
          <w:lang w:eastAsia="en-US"/>
        </w:rPr>
        <w:t>a garantizar el derecho humano de acceso a la información y protección de datos personales.</w:t>
      </w:r>
      <w:r>
        <w:rPr>
          <w:rFonts w:ascii="Palatino Linotype" w:eastAsia="Calibri" w:hAnsi="Palatino Linotype" w:cs="Tahoma"/>
          <w:sz w:val="22"/>
          <w:szCs w:val="22"/>
          <w:lang w:eastAsia="en-US"/>
        </w:rPr>
        <w:t xml:space="preserve"> </w:t>
      </w:r>
    </w:p>
    <w:p w14:paraId="1BF56DF0" w14:textId="77777777" w:rsidR="00C00DAE" w:rsidRDefault="00C00DAE" w:rsidP="006429F6">
      <w:pPr>
        <w:spacing w:line="360" w:lineRule="auto"/>
        <w:jc w:val="both"/>
        <w:rPr>
          <w:rFonts w:ascii="Palatino Linotype" w:eastAsia="Calibri" w:hAnsi="Palatino Linotype" w:cs="Tahoma"/>
          <w:sz w:val="22"/>
          <w:szCs w:val="22"/>
          <w:lang w:eastAsia="en-US"/>
        </w:rPr>
      </w:pPr>
    </w:p>
    <w:p w14:paraId="447904BA" w14:textId="79826F51" w:rsidR="009A4914" w:rsidRDefault="009A4914" w:rsidP="006429F6">
      <w:pPr>
        <w:spacing w:line="360" w:lineRule="auto"/>
        <w:jc w:val="both"/>
        <w:rPr>
          <w:rFonts w:ascii="Palatino Linotype" w:hAnsi="Palatino Linotype" w:cs="Tahoma"/>
          <w:sz w:val="22"/>
          <w:szCs w:val="22"/>
        </w:rPr>
      </w:pPr>
      <w:r>
        <w:rPr>
          <w:rFonts w:ascii="Palatino Linotype" w:eastAsia="Calibri" w:hAnsi="Palatino Linotype" w:cs="Tahoma"/>
          <w:sz w:val="22"/>
          <w:szCs w:val="22"/>
          <w:lang w:eastAsia="en-US"/>
        </w:rPr>
        <w:t>Además, dentro de sus funciones se encuentra la de tutelar y garantizar el ejercicio del derecho humano de acceso a la información, privilegiando el principio de máxima publicidad y la protección de datos personales en poder del sujeto Obligado, así como, los derechos de acceso, rectificación, cancelación y oposición, promoviendo la transparencia y la rendición de cuentas en la gestión pública como herramientas esenciales para ejercer el control democrático y eficiente de la administración pública municipal, a través de las funciones designadas, conforme al artículo 53 de la Ley de Transparencia Local.</w:t>
      </w:r>
    </w:p>
    <w:p w14:paraId="4E35B36F" w14:textId="77777777" w:rsidR="006429F6" w:rsidRDefault="006429F6" w:rsidP="006429F6">
      <w:pPr>
        <w:spacing w:line="360" w:lineRule="auto"/>
        <w:jc w:val="both"/>
        <w:rPr>
          <w:rFonts w:ascii="Palatino Linotype" w:hAnsi="Palatino Linotype" w:cs="Tahoma"/>
          <w:sz w:val="22"/>
          <w:szCs w:val="22"/>
        </w:rPr>
      </w:pPr>
    </w:p>
    <w:p w14:paraId="6D2DE718" w14:textId="36D3CA2E" w:rsidR="006429F6" w:rsidRPr="006429F6" w:rsidRDefault="00EF0E06" w:rsidP="006429F6">
      <w:pPr>
        <w:spacing w:line="360" w:lineRule="auto"/>
        <w:jc w:val="both"/>
        <w:rPr>
          <w:rFonts w:ascii="Palatino Linotype" w:hAnsi="Palatino Linotype" w:cs="Tahoma"/>
          <w:sz w:val="22"/>
          <w:szCs w:val="22"/>
        </w:rPr>
      </w:pPr>
      <w:r>
        <w:rPr>
          <w:rFonts w:ascii="Palatino Linotype" w:hAnsi="Palatino Linotype" w:cs="Tahoma"/>
          <w:sz w:val="22"/>
          <w:szCs w:val="22"/>
        </w:rPr>
        <w:t>En este sentido, se trae</w:t>
      </w:r>
      <w:r w:rsidR="006429F6" w:rsidRPr="006429F6">
        <w:rPr>
          <w:rFonts w:ascii="Palatino Linotype" w:hAnsi="Palatino Linotype" w:cs="Tahoma"/>
          <w:sz w:val="22"/>
          <w:szCs w:val="22"/>
        </w:rPr>
        <w:t xml:space="preserve"> a colación el artículo 53 de la Ley de Transparencia Local, que señala cuales son las atribuciones de las Unidades de Transparencia, entre ellas, recabar, difundir y actualizar la información relativa a las obligaciones de transparencia comunes y específicas, llevar un registro de las solicitudes de acceso a la información, sus respuestas, resultados, costos de reproducción y envío, resolución a los recursos de revisión que se hayan emitido en contra de sus respuestas y del cumplimiento de las mismas.</w:t>
      </w:r>
    </w:p>
    <w:p w14:paraId="15077A1C" w14:textId="77777777" w:rsidR="006429F6" w:rsidRPr="006429F6" w:rsidRDefault="006429F6" w:rsidP="006429F6">
      <w:pPr>
        <w:spacing w:line="360" w:lineRule="auto"/>
        <w:jc w:val="both"/>
        <w:rPr>
          <w:rFonts w:ascii="Palatino Linotype" w:hAnsi="Palatino Linotype" w:cs="Tahoma"/>
          <w:sz w:val="22"/>
          <w:szCs w:val="22"/>
        </w:rPr>
      </w:pPr>
    </w:p>
    <w:p w14:paraId="5AE43759" w14:textId="77777777" w:rsidR="006429F6" w:rsidRPr="006429F6" w:rsidRDefault="006429F6" w:rsidP="006429F6">
      <w:pPr>
        <w:spacing w:line="360" w:lineRule="auto"/>
        <w:jc w:val="both"/>
        <w:rPr>
          <w:rFonts w:ascii="Palatino Linotype" w:hAnsi="Palatino Linotype" w:cs="Tahoma"/>
          <w:sz w:val="22"/>
          <w:szCs w:val="22"/>
        </w:rPr>
      </w:pPr>
      <w:r w:rsidRPr="006429F6">
        <w:rPr>
          <w:rFonts w:ascii="Palatino Linotype" w:hAnsi="Palatino Linotype" w:cs="Tahoma"/>
          <w:sz w:val="22"/>
          <w:szCs w:val="22"/>
        </w:rPr>
        <w:lastRenderedPageBreak/>
        <w:t xml:space="preserve">En este mismo sentido, el artículo 92, fracción XVII, de la ya citada Ley de Transparencia local, señala como obligación una obligación común de transparencia que los sujetos obligados deberán poner a disposición del público de manera permanente y actualizada de forma sencilla, precisa y entendible, en los respectivos medios electrónicos, de acuerdo con sus facultades, atribuciones, funciones u objeto social, según corresponda, la información, por lo menos, de los temas, documentos y políticas como lo son la </w:t>
      </w:r>
      <w:r w:rsidRPr="006429F6">
        <w:rPr>
          <w:rFonts w:ascii="Palatino Linotype" w:hAnsi="Palatino Linotype" w:cs="Tahoma"/>
          <w:b/>
          <w:sz w:val="22"/>
          <w:szCs w:val="22"/>
          <w:u w:val="single"/>
        </w:rPr>
        <w:t>dirección electrónica donde podrán recibirse las solicitudes para obtener la información, así como el registro de las solicitudes recibidas y atendidas</w:t>
      </w:r>
      <w:r w:rsidRPr="006429F6">
        <w:rPr>
          <w:rFonts w:ascii="Palatino Linotype" w:hAnsi="Palatino Linotype" w:cs="Tahoma"/>
          <w:sz w:val="22"/>
          <w:szCs w:val="22"/>
        </w:rPr>
        <w:t>.</w:t>
      </w:r>
    </w:p>
    <w:p w14:paraId="64C506D8" w14:textId="77777777" w:rsidR="006429F6" w:rsidRDefault="006429F6" w:rsidP="00695AC4">
      <w:pPr>
        <w:spacing w:line="360" w:lineRule="auto"/>
        <w:ind w:right="-93"/>
        <w:jc w:val="both"/>
        <w:rPr>
          <w:rFonts w:ascii="Palatino Linotype" w:hAnsi="Palatino Linotype" w:cs="Tahoma"/>
          <w:sz w:val="22"/>
          <w:szCs w:val="22"/>
          <w:lang w:val="es-ES"/>
        </w:rPr>
      </w:pPr>
    </w:p>
    <w:p w14:paraId="39DA24A6" w14:textId="315D72D7" w:rsidR="006429F6" w:rsidRPr="006429F6" w:rsidRDefault="006429F6" w:rsidP="006429F6">
      <w:pPr>
        <w:spacing w:line="360" w:lineRule="auto"/>
        <w:jc w:val="both"/>
        <w:rPr>
          <w:rFonts w:ascii="Palatino Linotype" w:hAnsi="Palatino Linotype" w:cs="Tahoma"/>
          <w:sz w:val="22"/>
          <w:szCs w:val="22"/>
        </w:rPr>
      </w:pPr>
      <w:r w:rsidRPr="006429F6">
        <w:rPr>
          <w:rFonts w:ascii="Palatino Linotype" w:hAnsi="Palatino Linotype" w:cs="Tahoma"/>
          <w:sz w:val="22"/>
          <w:szCs w:val="22"/>
        </w:rPr>
        <w:t xml:space="preserve">Atento a lo anterior, la información solicitada se trata de una obligación común de transparencia, en la que los Sujetos Obligados, entre ellos el </w:t>
      </w:r>
      <w:r w:rsidRPr="006429F6">
        <w:rPr>
          <w:rFonts w:ascii="Palatino Linotype" w:eastAsia="Calibri" w:hAnsi="Palatino Linotype" w:cs="Tahoma"/>
          <w:sz w:val="22"/>
          <w:szCs w:val="22"/>
        </w:rPr>
        <w:t xml:space="preserve">Sistema Municipal </w:t>
      </w:r>
      <w:r w:rsidR="00C00DAE">
        <w:rPr>
          <w:rFonts w:ascii="Palatino Linotype" w:eastAsia="Calibri" w:hAnsi="Palatino Linotype" w:cs="Tahoma"/>
          <w:sz w:val="22"/>
          <w:szCs w:val="22"/>
        </w:rPr>
        <w:t>p</w:t>
      </w:r>
      <w:r w:rsidRPr="006429F6">
        <w:rPr>
          <w:rFonts w:ascii="Palatino Linotype" w:eastAsia="Calibri" w:hAnsi="Palatino Linotype" w:cs="Tahoma"/>
          <w:sz w:val="22"/>
          <w:szCs w:val="22"/>
        </w:rPr>
        <w:t xml:space="preserve">ara el Desarrollo Integral de la Familia de Toluca, se encuentran obligados normativamente a contar con la información solicitada y proporcionar las direcciones electrónicas donde podrán consultar la información, entre ellas, la requerida, es decir, </w:t>
      </w:r>
      <w:r w:rsidRPr="006429F6">
        <w:rPr>
          <w:rFonts w:ascii="Palatino Linotype" w:hAnsi="Palatino Linotype" w:cs="Tahoma"/>
          <w:sz w:val="22"/>
          <w:szCs w:val="22"/>
        </w:rPr>
        <w:t>el registro de las solicitudes recibidas y atendidas.</w:t>
      </w:r>
      <w:r>
        <w:rPr>
          <w:rFonts w:ascii="Palatino Linotype" w:hAnsi="Palatino Linotype" w:cs="Tahoma"/>
          <w:sz w:val="22"/>
          <w:szCs w:val="22"/>
        </w:rPr>
        <w:t xml:space="preserve"> </w:t>
      </w:r>
    </w:p>
    <w:p w14:paraId="355FF511" w14:textId="77777777" w:rsidR="002451ED" w:rsidRDefault="002451ED" w:rsidP="00695AC4">
      <w:pPr>
        <w:spacing w:line="360" w:lineRule="auto"/>
        <w:jc w:val="both"/>
        <w:rPr>
          <w:rFonts w:ascii="Palatino Linotype" w:eastAsia="Calibri" w:hAnsi="Palatino Linotype" w:cs="Tahoma"/>
          <w:b/>
          <w:bCs/>
          <w:szCs w:val="22"/>
          <w:lang w:eastAsia="en-US"/>
        </w:rPr>
      </w:pPr>
    </w:p>
    <w:p w14:paraId="6E236937" w14:textId="77777777" w:rsidR="006429F6" w:rsidRPr="006429F6" w:rsidRDefault="006429F6" w:rsidP="006429F6">
      <w:pPr>
        <w:spacing w:line="360" w:lineRule="auto"/>
        <w:jc w:val="both"/>
        <w:rPr>
          <w:rFonts w:ascii="Palatino Linotype" w:hAnsi="Palatino Linotype" w:cs="Tahoma"/>
          <w:sz w:val="22"/>
          <w:szCs w:val="22"/>
        </w:rPr>
      </w:pPr>
      <w:r w:rsidRPr="006429F6">
        <w:rPr>
          <w:rFonts w:ascii="Palatino Linotype" w:hAnsi="Palatino Linotype" w:cs="Tahoma"/>
          <w:sz w:val="22"/>
          <w:szCs w:val="22"/>
        </w:rPr>
        <w:t xml:space="preserve">No pasa desapercibido, que a través del Periódico Oficial “Gaceta del Gobierno” del Estado Libre y Soberano de México, en fecha 4 de junio de 2018, se publicó el ”ACUERDO MEDIANTE EL CUAL SE APRUEBAN LOS LINEAMIENTOS TÉCNICOS PARA LA PUBLICACIÓN, HOMOLOGACIÓN Y ESTANDARIZACIÓN DE LA INFORMACIÓN ESTABLECIDA EN EL TÍTULO QUINTO, CAPÍTULOS II, III Y IV, Y EL TÍTULO NOVENO DE LA LEY DE TRANSPARENCIA Y ACCESO A LA INFORMACIÓN PÚBLICA DEL ESTADO DE MÉXICO Y MUNICIPIOS; ADICIONAL DE AQUELLA CONTEMPLADA EN EL TÍTULO QUINTO DE LA LEY GENERAL DE TRANSPARENCIA Y ACCESO A LA INFORMACIÓN PÚBLICA.” que señala en la </w:t>
      </w:r>
      <w:r w:rsidRPr="006429F6">
        <w:rPr>
          <w:rFonts w:ascii="Palatino Linotype" w:hAnsi="Palatino Linotype" w:cs="Tahoma"/>
          <w:b/>
          <w:i/>
          <w:sz w:val="22"/>
          <w:szCs w:val="22"/>
        </w:rPr>
        <w:t>Sección VI</w:t>
      </w:r>
      <w:r w:rsidRPr="006429F6">
        <w:rPr>
          <w:rFonts w:ascii="Palatino Linotype" w:hAnsi="Palatino Linotype" w:cs="Tahoma"/>
          <w:sz w:val="22"/>
          <w:szCs w:val="22"/>
        </w:rPr>
        <w:t xml:space="preserve">, </w:t>
      </w:r>
      <w:r w:rsidRPr="006429F6">
        <w:rPr>
          <w:rFonts w:ascii="Palatino Linotype" w:hAnsi="Palatino Linotype" w:cs="Tahoma"/>
          <w:b/>
          <w:i/>
          <w:sz w:val="22"/>
          <w:szCs w:val="22"/>
        </w:rPr>
        <w:t>fracción</w:t>
      </w:r>
      <w:r w:rsidRPr="006429F6">
        <w:rPr>
          <w:rFonts w:ascii="Palatino Linotype" w:hAnsi="Palatino Linotype" w:cs="Tahoma"/>
          <w:sz w:val="22"/>
          <w:szCs w:val="22"/>
        </w:rPr>
        <w:t xml:space="preserve"> </w:t>
      </w:r>
      <w:r w:rsidRPr="006429F6">
        <w:rPr>
          <w:rFonts w:ascii="Palatino Linotype" w:hAnsi="Palatino Linotype" w:cs="Tahoma"/>
          <w:b/>
          <w:i/>
          <w:sz w:val="22"/>
          <w:szCs w:val="22"/>
        </w:rPr>
        <w:t xml:space="preserve">XVII. Dirección electrónica </w:t>
      </w:r>
      <w:r w:rsidRPr="006429F6">
        <w:rPr>
          <w:rFonts w:ascii="Palatino Linotype" w:hAnsi="Palatino Linotype" w:cs="Tahoma"/>
          <w:b/>
          <w:i/>
          <w:sz w:val="22"/>
          <w:szCs w:val="22"/>
        </w:rPr>
        <w:lastRenderedPageBreak/>
        <w:t>donde podrán recibirse las solicitudes para obtener la información, así como el registro de las solicitudes recibidas y atendidas</w:t>
      </w:r>
      <w:r w:rsidRPr="006429F6">
        <w:rPr>
          <w:rFonts w:ascii="Palatino Linotype" w:hAnsi="Palatino Linotype" w:cs="Tahoma"/>
          <w:sz w:val="22"/>
          <w:szCs w:val="22"/>
        </w:rPr>
        <w:t>, lo siguiente:</w:t>
      </w:r>
    </w:p>
    <w:p w14:paraId="5F8853BF" w14:textId="77777777" w:rsidR="006429F6" w:rsidRPr="006429F6" w:rsidRDefault="006429F6" w:rsidP="006429F6">
      <w:pPr>
        <w:spacing w:line="360" w:lineRule="auto"/>
        <w:jc w:val="both"/>
        <w:rPr>
          <w:rFonts w:ascii="Palatino Linotype" w:hAnsi="Palatino Linotype" w:cs="Tahoma"/>
          <w:sz w:val="22"/>
          <w:szCs w:val="22"/>
        </w:rPr>
      </w:pPr>
    </w:p>
    <w:p w14:paraId="0C01AE77" w14:textId="77777777" w:rsidR="006429F6" w:rsidRPr="006429F6" w:rsidRDefault="006429F6" w:rsidP="006429F6">
      <w:pPr>
        <w:spacing w:line="360" w:lineRule="auto"/>
        <w:ind w:left="567" w:right="567"/>
        <w:jc w:val="both"/>
        <w:rPr>
          <w:rFonts w:ascii="Palatino Linotype" w:hAnsi="Palatino Linotype" w:cs="Tahoma"/>
          <w:i/>
          <w:szCs w:val="22"/>
        </w:rPr>
      </w:pPr>
      <w:r w:rsidRPr="006429F6">
        <w:rPr>
          <w:rFonts w:ascii="Palatino Linotype" w:hAnsi="Palatino Linotype" w:cs="Tahoma"/>
          <w:i/>
          <w:szCs w:val="22"/>
        </w:rPr>
        <w:t xml:space="preserve">“En términos de los artículos 152 y 153 de la Ley de Transparencia y Acceso a la Información Pública del Estado de México y Municipios; cualquier persona, por sí misma o a través de su representante, podrá presentar solicitud de acceso a información ante las Unidades de Transparencia de los sujetos obligados; a través del sistema electrónico establecido para tal efecto o de la Plataforma Nacional de Transparencia; en la oficina u oficinas designadas para ello; vía correo electrónico, correo postal, mensajería, telégrafo, verbalmente o cualquier medio aprobado por el Instituto o por el Sistema Nacional de Transparencia, Acceso a la Información y Protección de Datos Personales. </w:t>
      </w:r>
    </w:p>
    <w:p w14:paraId="378ECA2C" w14:textId="77777777" w:rsidR="006429F6" w:rsidRPr="006429F6" w:rsidRDefault="006429F6" w:rsidP="006429F6">
      <w:pPr>
        <w:spacing w:line="360" w:lineRule="auto"/>
        <w:ind w:left="567" w:right="567"/>
        <w:jc w:val="both"/>
        <w:rPr>
          <w:rFonts w:ascii="Palatino Linotype" w:hAnsi="Palatino Linotype" w:cs="Tahoma"/>
          <w:i/>
          <w:szCs w:val="22"/>
        </w:rPr>
      </w:pPr>
    </w:p>
    <w:p w14:paraId="7BEEC3A3" w14:textId="77777777" w:rsidR="006429F6" w:rsidRPr="006429F6" w:rsidRDefault="006429F6" w:rsidP="006429F6">
      <w:pPr>
        <w:spacing w:line="360" w:lineRule="auto"/>
        <w:ind w:left="567" w:right="567"/>
        <w:jc w:val="both"/>
        <w:rPr>
          <w:rFonts w:ascii="Palatino Linotype" w:hAnsi="Palatino Linotype" w:cs="Tahoma"/>
          <w:i/>
          <w:szCs w:val="22"/>
        </w:rPr>
      </w:pPr>
      <w:r w:rsidRPr="006429F6">
        <w:rPr>
          <w:rFonts w:ascii="Palatino Linotype" w:hAnsi="Palatino Linotype" w:cs="Tahoma"/>
          <w:i/>
          <w:szCs w:val="22"/>
        </w:rPr>
        <w:t xml:space="preserve">De conformidad con los numerales Segundo, fracción LII, Cuadragésimo y Cuadragésimo quinto de los Lineamientos para la Implementación y Operación de la Plataforma Nacional de Transparencia; el Sistema de Solicitudes de Acceso a la Información (SISAI y SAIMEX) es la herramienta electrónica de la Plataforma Nacional de Transparencia, mediante la cual las personas podrán presentar sus solicitudes de acceso a la información; asimismo, es la herramienta para el registro y captura de todas las solicitudes recibidas por los sujetos obligados a través de los medios señalados en la Ley General. Las Unidades de Transparencia deberán registrar la recepción de las solicitudes de información, procesarlas y darles trámite a través de la Plataforma Nacional de Transparencia, independientemente del medio de recepción. </w:t>
      </w:r>
    </w:p>
    <w:p w14:paraId="11D43343" w14:textId="77777777" w:rsidR="006429F6" w:rsidRPr="006429F6" w:rsidRDefault="006429F6" w:rsidP="006429F6">
      <w:pPr>
        <w:spacing w:line="360" w:lineRule="auto"/>
        <w:ind w:left="567" w:right="567"/>
        <w:jc w:val="both"/>
        <w:rPr>
          <w:rFonts w:ascii="Palatino Linotype" w:hAnsi="Palatino Linotype" w:cs="Tahoma"/>
          <w:i/>
          <w:szCs w:val="22"/>
        </w:rPr>
      </w:pPr>
    </w:p>
    <w:p w14:paraId="14BF4C50" w14:textId="77777777" w:rsidR="006429F6" w:rsidRPr="006429F6" w:rsidRDefault="006429F6" w:rsidP="006429F6">
      <w:pPr>
        <w:spacing w:line="360" w:lineRule="auto"/>
        <w:ind w:left="567" w:right="567"/>
        <w:jc w:val="both"/>
        <w:rPr>
          <w:rFonts w:ascii="Palatino Linotype" w:hAnsi="Palatino Linotype" w:cs="Tahoma"/>
          <w:i/>
          <w:szCs w:val="22"/>
        </w:rPr>
      </w:pPr>
      <w:r w:rsidRPr="006429F6">
        <w:rPr>
          <w:rFonts w:ascii="Palatino Linotype" w:hAnsi="Palatino Linotype" w:cs="Tahoma"/>
          <w:i/>
          <w:szCs w:val="22"/>
          <w:u w:val="single"/>
        </w:rPr>
        <w:t>Los sujetos obligados publicarán, en el Formato 5 previsto en los presentes Lineamientos, la información correspondiente a todas las solicitudes de acceso a la información recibida y atendida, así como la respuesta proporcionada a cada una de ellas, adjuntando los documentos que se hayan acompañado a dicha respuesta</w:t>
      </w:r>
      <w:r w:rsidRPr="006429F6">
        <w:rPr>
          <w:rFonts w:ascii="Palatino Linotype" w:hAnsi="Palatino Linotype" w:cs="Tahoma"/>
          <w:i/>
          <w:szCs w:val="22"/>
        </w:rPr>
        <w:t xml:space="preserve">. En caso de que la referida información contenga datos personales, los documentos respectivos se deberán difundir en versión pública. </w:t>
      </w:r>
    </w:p>
    <w:p w14:paraId="09DF4AAB" w14:textId="77777777" w:rsidR="006429F6" w:rsidRPr="006429F6" w:rsidRDefault="006429F6" w:rsidP="006429F6">
      <w:pPr>
        <w:spacing w:line="360" w:lineRule="auto"/>
        <w:ind w:left="567" w:right="567"/>
        <w:jc w:val="both"/>
        <w:rPr>
          <w:rFonts w:ascii="Palatino Linotype" w:hAnsi="Palatino Linotype" w:cs="Tahoma"/>
          <w:i/>
          <w:szCs w:val="22"/>
        </w:rPr>
      </w:pPr>
    </w:p>
    <w:p w14:paraId="56403F09" w14:textId="77777777" w:rsidR="006429F6" w:rsidRPr="006429F6" w:rsidRDefault="006429F6" w:rsidP="006429F6">
      <w:pPr>
        <w:spacing w:line="360" w:lineRule="auto"/>
        <w:ind w:left="567" w:right="567"/>
        <w:jc w:val="both"/>
        <w:rPr>
          <w:rFonts w:ascii="Palatino Linotype" w:hAnsi="Palatino Linotype" w:cs="Tahoma"/>
          <w:i/>
          <w:szCs w:val="22"/>
          <w:u w:val="single"/>
        </w:rPr>
      </w:pPr>
      <w:r w:rsidRPr="006429F6">
        <w:rPr>
          <w:rFonts w:ascii="Palatino Linotype" w:hAnsi="Palatino Linotype" w:cs="Tahoma"/>
          <w:i/>
          <w:szCs w:val="22"/>
          <w:u w:val="single"/>
        </w:rPr>
        <w:lastRenderedPageBreak/>
        <w:t>El hipervínculo al SISAI y SAIMEX o al sistema electrónico establecido para la presentación, registro, captura y trámite de las solicitudes de acceso a la información, se publicará en cumplimiento al criterio 8 del Formato 13 LGT_Art_70_Fr_XIII, establecido en los Lineamientos Técnicos Generales, con sujeción a los dispuesto en dicho ordenamiento.</w:t>
      </w:r>
    </w:p>
    <w:p w14:paraId="79BF2FF5" w14:textId="77777777" w:rsidR="006429F6" w:rsidRPr="006429F6" w:rsidRDefault="006429F6" w:rsidP="006429F6">
      <w:pPr>
        <w:spacing w:line="360" w:lineRule="auto"/>
        <w:ind w:left="567" w:right="567"/>
        <w:jc w:val="both"/>
        <w:rPr>
          <w:rFonts w:ascii="Palatino Linotype" w:hAnsi="Palatino Linotype" w:cs="Tahoma"/>
          <w:b/>
          <w:i/>
          <w:szCs w:val="22"/>
          <w:u w:val="single"/>
        </w:rPr>
      </w:pPr>
    </w:p>
    <w:p w14:paraId="369FB53A" w14:textId="77777777" w:rsidR="006429F6" w:rsidRPr="006429F6" w:rsidRDefault="006429F6" w:rsidP="006429F6">
      <w:pPr>
        <w:spacing w:line="360" w:lineRule="auto"/>
        <w:ind w:left="567" w:right="567"/>
        <w:jc w:val="both"/>
        <w:rPr>
          <w:rFonts w:ascii="Palatino Linotype" w:hAnsi="Palatino Linotype" w:cs="Tahoma"/>
          <w:b/>
          <w:i/>
          <w:szCs w:val="22"/>
          <w:u w:val="single"/>
        </w:rPr>
      </w:pPr>
      <w:r w:rsidRPr="006429F6">
        <w:rPr>
          <w:rFonts w:ascii="Palatino Linotype" w:hAnsi="Palatino Linotype" w:cs="Tahoma"/>
          <w:i/>
          <w:szCs w:val="22"/>
        </w:rPr>
        <w:t xml:space="preserve">Periodo de actualización: </w:t>
      </w:r>
      <w:r w:rsidRPr="006429F6">
        <w:rPr>
          <w:rFonts w:ascii="Palatino Linotype" w:hAnsi="Palatino Linotype" w:cs="Tahoma"/>
          <w:b/>
          <w:i/>
          <w:szCs w:val="22"/>
          <w:u w:val="single"/>
        </w:rPr>
        <w:t xml:space="preserve">Trimestral. </w:t>
      </w:r>
    </w:p>
    <w:p w14:paraId="27F84937" w14:textId="77777777" w:rsidR="006429F6" w:rsidRPr="006429F6" w:rsidRDefault="006429F6" w:rsidP="006429F6">
      <w:pPr>
        <w:spacing w:line="360" w:lineRule="auto"/>
        <w:ind w:left="567" w:right="567"/>
        <w:jc w:val="both"/>
        <w:rPr>
          <w:rFonts w:ascii="Palatino Linotype" w:hAnsi="Palatino Linotype" w:cs="Tahoma"/>
          <w:b/>
          <w:i/>
          <w:szCs w:val="22"/>
          <w:u w:val="single"/>
        </w:rPr>
      </w:pPr>
    </w:p>
    <w:p w14:paraId="7B1D7FF8" w14:textId="77777777" w:rsidR="006429F6" w:rsidRPr="006429F6" w:rsidRDefault="006429F6" w:rsidP="006429F6">
      <w:pPr>
        <w:spacing w:line="360" w:lineRule="auto"/>
        <w:ind w:left="567" w:right="567"/>
        <w:jc w:val="both"/>
        <w:rPr>
          <w:rFonts w:ascii="Palatino Linotype" w:hAnsi="Palatino Linotype" w:cs="Tahoma"/>
          <w:b/>
          <w:i/>
          <w:szCs w:val="22"/>
          <w:u w:val="single"/>
        </w:rPr>
      </w:pPr>
      <w:r w:rsidRPr="006429F6">
        <w:rPr>
          <w:rFonts w:ascii="Palatino Linotype" w:hAnsi="Palatino Linotype" w:cs="Tahoma"/>
          <w:i/>
          <w:szCs w:val="22"/>
        </w:rPr>
        <w:t xml:space="preserve">Conservar en el sitio de Internet: </w:t>
      </w:r>
      <w:r w:rsidRPr="006429F6">
        <w:rPr>
          <w:rFonts w:ascii="Palatino Linotype" w:hAnsi="Palatino Linotype" w:cs="Tahoma"/>
          <w:b/>
          <w:i/>
          <w:szCs w:val="22"/>
          <w:u w:val="single"/>
        </w:rPr>
        <w:t xml:space="preserve">Información del ejercicio en curso y la correspondiente al ejercicio anterior. </w:t>
      </w:r>
    </w:p>
    <w:p w14:paraId="35C347C1" w14:textId="77777777" w:rsidR="006429F6" w:rsidRPr="006429F6" w:rsidRDefault="006429F6" w:rsidP="006429F6">
      <w:pPr>
        <w:spacing w:line="360" w:lineRule="auto"/>
        <w:ind w:left="567" w:right="567"/>
        <w:jc w:val="both"/>
        <w:rPr>
          <w:rFonts w:ascii="Palatino Linotype" w:hAnsi="Palatino Linotype" w:cs="Tahoma"/>
          <w:b/>
          <w:i/>
          <w:szCs w:val="22"/>
          <w:u w:val="single"/>
        </w:rPr>
      </w:pPr>
    </w:p>
    <w:p w14:paraId="1FA477EE" w14:textId="77777777" w:rsidR="006429F6" w:rsidRPr="006429F6" w:rsidRDefault="006429F6" w:rsidP="006429F6">
      <w:pPr>
        <w:spacing w:line="360" w:lineRule="auto"/>
        <w:ind w:left="567" w:right="567"/>
        <w:jc w:val="both"/>
        <w:rPr>
          <w:rFonts w:ascii="Palatino Linotype" w:hAnsi="Palatino Linotype" w:cs="Tahoma"/>
          <w:b/>
          <w:i/>
          <w:szCs w:val="22"/>
          <w:u w:val="single"/>
        </w:rPr>
      </w:pPr>
      <w:r w:rsidRPr="006429F6">
        <w:rPr>
          <w:rFonts w:ascii="Palatino Linotype" w:hAnsi="Palatino Linotype" w:cs="Tahoma"/>
          <w:b/>
          <w:i/>
          <w:szCs w:val="22"/>
          <w:u w:val="single"/>
        </w:rPr>
        <w:t>Aplica a: Todos los sujetos obligados</w:t>
      </w:r>
    </w:p>
    <w:p w14:paraId="03999D83" w14:textId="77777777" w:rsidR="006429F6" w:rsidRPr="006429F6" w:rsidRDefault="006429F6" w:rsidP="006429F6">
      <w:pPr>
        <w:spacing w:line="360" w:lineRule="auto"/>
        <w:ind w:left="567" w:right="567"/>
        <w:jc w:val="both"/>
        <w:rPr>
          <w:rFonts w:ascii="Palatino Linotype" w:hAnsi="Palatino Linotype" w:cs="Tahoma"/>
          <w:i/>
          <w:szCs w:val="22"/>
        </w:rPr>
      </w:pPr>
      <w:r w:rsidRPr="006429F6">
        <w:rPr>
          <w:rFonts w:ascii="Palatino Linotype" w:hAnsi="Palatino Linotype" w:cs="Tahoma"/>
          <w:i/>
          <w:szCs w:val="22"/>
        </w:rPr>
        <w:t>…”</w:t>
      </w:r>
    </w:p>
    <w:p w14:paraId="54B4B904" w14:textId="77777777" w:rsidR="00BA7EBF" w:rsidRDefault="00BA7EBF" w:rsidP="00695AC4">
      <w:pPr>
        <w:spacing w:line="360" w:lineRule="auto"/>
        <w:contextualSpacing/>
        <w:jc w:val="both"/>
        <w:rPr>
          <w:rFonts w:ascii="Palatino Linotype" w:eastAsia="Palatino Linotype" w:hAnsi="Palatino Linotype" w:cs="Palatino Linotype"/>
          <w:color w:val="000000"/>
          <w:sz w:val="22"/>
          <w:szCs w:val="22"/>
        </w:rPr>
      </w:pPr>
    </w:p>
    <w:p w14:paraId="212E0CA5" w14:textId="757FA889" w:rsidR="006429F6" w:rsidRDefault="006429F6" w:rsidP="00695AC4">
      <w:pPr>
        <w:spacing w:line="360" w:lineRule="auto"/>
        <w:contextualSpacing/>
        <w:jc w:val="both"/>
        <w:rPr>
          <w:rFonts w:ascii="Palatino Linotype" w:eastAsia="Palatino Linotype" w:hAnsi="Palatino Linotype" w:cs="Palatino Linotype"/>
          <w:color w:val="000000"/>
          <w:sz w:val="22"/>
          <w:szCs w:val="22"/>
        </w:rPr>
      </w:pPr>
      <w:r w:rsidRPr="006429F6">
        <w:rPr>
          <w:rFonts w:ascii="Palatino Linotype" w:eastAsia="Palatino Linotype" w:hAnsi="Palatino Linotype" w:cs="Palatino Linotype"/>
          <w:color w:val="000000"/>
          <w:sz w:val="22"/>
          <w:szCs w:val="22"/>
        </w:rPr>
        <w:t>Derivado de lo anterior y</w:t>
      </w:r>
      <w:r w:rsidR="00C00DAE">
        <w:rPr>
          <w:rFonts w:ascii="Palatino Linotype" w:eastAsia="Palatino Linotype" w:hAnsi="Palatino Linotype" w:cs="Palatino Linotype"/>
          <w:color w:val="000000"/>
          <w:sz w:val="22"/>
          <w:szCs w:val="22"/>
        </w:rPr>
        <w:t>,</w:t>
      </w:r>
      <w:r w:rsidRPr="006429F6">
        <w:rPr>
          <w:rFonts w:ascii="Palatino Linotype" w:eastAsia="Palatino Linotype" w:hAnsi="Palatino Linotype" w:cs="Palatino Linotype"/>
          <w:color w:val="000000"/>
          <w:sz w:val="22"/>
          <w:szCs w:val="22"/>
        </w:rPr>
        <w:t xml:space="preserve"> como ha quedado plasmado en párrafos que anteceden, la información solicitada, normativamente se encuentra señalada como una obligación de transparencia común p</w:t>
      </w:r>
      <w:r w:rsidR="006412FA">
        <w:rPr>
          <w:rFonts w:ascii="Palatino Linotype" w:eastAsia="Palatino Linotype" w:hAnsi="Palatino Linotype" w:cs="Palatino Linotype"/>
          <w:color w:val="000000"/>
          <w:sz w:val="22"/>
          <w:szCs w:val="22"/>
        </w:rPr>
        <w:t>ara todos los Sujetos Obligados, además, de que</w:t>
      </w:r>
      <w:r w:rsidRPr="006429F6">
        <w:rPr>
          <w:rFonts w:ascii="Palatino Linotype" w:eastAsia="Palatino Linotype" w:hAnsi="Palatino Linotype" w:cs="Palatino Linotype"/>
          <w:color w:val="000000"/>
          <w:sz w:val="22"/>
          <w:szCs w:val="22"/>
        </w:rPr>
        <w:t xml:space="preserve"> los Lineamientos Técnicos Estatales, antes referidos, señalan que los Sujetos Obligados deberán de conservar en sus sitios de internet la información del ejercicio en curso y la correspondiente al ejercicio anterior y su periodo de actualización será trimestral, es decir, los Sujetos Obligados como lo es el Sistema Municipal Para el Desarrollo Integral de la Familia de Toluca, cuenta con una excepción normativa para poseer la información a través de los hipervínculos de SAIMEX o al sistema electrónico establecido para la publicación de las solicitudes recibidas y atendidas.</w:t>
      </w:r>
    </w:p>
    <w:p w14:paraId="5C49A407" w14:textId="64ADEB92" w:rsidR="006412FA" w:rsidRPr="006412FA" w:rsidRDefault="006412FA" w:rsidP="006412FA">
      <w:pPr>
        <w:spacing w:line="360" w:lineRule="auto"/>
        <w:jc w:val="both"/>
        <w:rPr>
          <w:rFonts w:ascii="Palatino Linotype" w:eastAsiaTheme="minorHAnsi" w:hAnsi="Palatino Linotype" w:cs="Tahoma"/>
          <w:bCs/>
          <w:color w:val="0D0D0D" w:themeColor="text1" w:themeTint="F2"/>
          <w:sz w:val="22"/>
          <w:szCs w:val="24"/>
          <w:lang w:eastAsia="en-US"/>
        </w:rPr>
      </w:pPr>
      <w:r w:rsidRPr="006412FA">
        <w:rPr>
          <w:rFonts w:ascii="Palatino Linotype" w:eastAsiaTheme="minorHAnsi" w:hAnsi="Palatino Linotype" w:cs="Tahoma"/>
          <w:bCs/>
          <w:color w:val="0D0D0D" w:themeColor="text1" w:themeTint="F2"/>
          <w:sz w:val="22"/>
          <w:szCs w:val="24"/>
          <w:lang w:eastAsia="en-US"/>
        </w:rPr>
        <w:t xml:space="preserve">En </w:t>
      </w:r>
      <w:r>
        <w:rPr>
          <w:rFonts w:ascii="Palatino Linotype" w:eastAsiaTheme="minorHAnsi" w:hAnsi="Palatino Linotype" w:cs="Tahoma"/>
          <w:bCs/>
          <w:color w:val="0D0D0D" w:themeColor="text1" w:themeTint="F2"/>
          <w:sz w:val="22"/>
          <w:szCs w:val="24"/>
          <w:lang w:eastAsia="en-US"/>
        </w:rPr>
        <w:t>este sentido</w:t>
      </w:r>
      <w:r w:rsidRPr="006412FA">
        <w:rPr>
          <w:rFonts w:ascii="Palatino Linotype" w:eastAsiaTheme="minorHAnsi" w:hAnsi="Palatino Linotype" w:cs="Tahoma"/>
          <w:bCs/>
          <w:color w:val="0D0D0D" w:themeColor="text1" w:themeTint="F2"/>
          <w:sz w:val="22"/>
          <w:szCs w:val="24"/>
          <w:lang w:eastAsia="en-US"/>
        </w:rPr>
        <w:t xml:space="preserve">, </w:t>
      </w:r>
      <w:r>
        <w:rPr>
          <w:rFonts w:ascii="Palatino Linotype" w:eastAsiaTheme="minorHAnsi" w:hAnsi="Palatino Linotype" w:cs="Tahoma"/>
          <w:bCs/>
          <w:color w:val="0D0D0D" w:themeColor="text1" w:themeTint="F2"/>
          <w:sz w:val="22"/>
          <w:szCs w:val="24"/>
          <w:lang w:eastAsia="en-US"/>
        </w:rPr>
        <w:t xml:space="preserve">se advierte que </w:t>
      </w:r>
      <w:r w:rsidRPr="006412FA">
        <w:rPr>
          <w:rFonts w:ascii="Palatino Linotype" w:eastAsiaTheme="minorHAnsi" w:hAnsi="Palatino Linotype" w:cs="Tahoma"/>
          <w:bCs/>
          <w:color w:val="0D0D0D" w:themeColor="text1" w:themeTint="F2"/>
          <w:sz w:val="22"/>
          <w:szCs w:val="24"/>
          <w:lang w:eastAsia="en-US"/>
        </w:rPr>
        <w:t>el objetivo de publicar las solicitudes y respuestas en el I</w:t>
      </w:r>
      <w:r>
        <w:rPr>
          <w:rFonts w:ascii="Palatino Linotype" w:eastAsiaTheme="minorHAnsi" w:hAnsi="Palatino Linotype" w:cs="Tahoma"/>
          <w:bCs/>
          <w:color w:val="0D0D0D" w:themeColor="text1" w:themeTint="F2"/>
          <w:sz w:val="22"/>
          <w:szCs w:val="24"/>
          <w:lang w:eastAsia="en-US"/>
        </w:rPr>
        <w:t>POMEX</w:t>
      </w:r>
      <w:r w:rsidRPr="006412FA">
        <w:rPr>
          <w:rFonts w:ascii="Palatino Linotype" w:eastAsiaTheme="minorHAnsi" w:hAnsi="Palatino Linotype" w:cs="Tahoma"/>
          <w:bCs/>
          <w:color w:val="0D0D0D" w:themeColor="text1" w:themeTint="F2"/>
          <w:sz w:val="22"/>
          <w:szCs w:val="24"/>
          <w:lang w:eastAsia="en-US"/>
        </w:rPr>
        <w:t xml:space="preserve">, es que las personas puedan consultarlas sin necesidad de presentar solicitudes, por lo que tampoco los sujetos obligados están constreñidos a hacer un doble procesamiento, que implique preparar la información en versión pública para el </w:t>
      </w:r>
      <w:r>
        <w:rPr>
          <w:rFonts w:ascii="Palatino Linotype" w:eastAsiaTheme="minorHAnsi" w:hAnsi="Palatino Linotype" w:cs="Tahoma"/>
          <w:bCs/>
          <w:color w:val="0D0D0D" w:themeColor="text1" w:themeTint="F2"/>
          <w:sz w:val="22"/>
          <w:szCs w:val="24"/>
          <w:lang w:eastAsia="en-US"/>
        </w:rPr>
        <w:t>IPOMEX</w:t>
      </w:r>
      <w:r w:rsidRPr="006412FA">
        <w:rPr>
          <w:rFonts w:ascii="Palatino Linotype" w:eastAsiaTheme="minorHAnsi" w:hAnsi="Palatino Linotype" w:cs="Tahoma"/>
          <w:bCs/>
          <w:color w:val="0D0D0D" w:themeColor="text1" w:themeTint="F2"/>
          <w:sz w:val="22"/>
          <w:szCs w:val="24"/>
          <w:lang w:eastAsia="en-US"/>
        </w:rPr>
        <w:t xml:space="preserve"> y cada que se presenten </w:t>
      </w:r>
      <w:r w:rsidRPr="006412FA">
        <w:rPr>
          <w:rFonts w:ascii="Palatino Linotype" w:eastAsiaTheme="minorHAnsi" w:hAnsi="Palatino Linotype" w:cs="Tahoma"/>
          <w:bCs/>
          <w:color w:val="0D0D0D" w:themeColor="text1" w:themeTint="F2"/>
          <w:sz w:val="22"/>
          <w:szCs w:val="24"/>
          <w:lang w:eastAsia="en-US"/>
        </w:rPr>
        <w:lastRenderedPageBreak/>
        <w:t>solicitudes, de las solicitudes de acceso a la información tengan que procesar la información que en el sistema ya está disponible para su consulta inmediata, permanente y actualizada.</w:t>
      </w:r>
    </w:p>
    <w:p w14:paraId="07960C26" w14:textId="77777777" w:rsidR="006429F6" w:rsidRDefault="006429F6" w:rsidP="00695AC4">
      <w:pPr>
        <w:spacing w:line="360" w:lineRule="auto"/>
        <w:contextualSpacing/>
        <w:jc w:val="both"/>
        <w:rPr>
          <w:rFonts w:ascii="Palatino Linotype" w:eastAsia="Palatino Linotype" w:hAnsi="Palatino Linotype" w:cs="Palatino Linotype"/>
          <w:color w:val="000000"/>
          <w:sz w:val="22"/>
          <w:szCs w:val="22"/>
        </w:rPr>
      </w:pPr>
    </w:p>
    <w:p w14:paraId="7CC10751" w14:textId="34868352" w:rsidR="006412FA" w:rsidRDefault="00D006DB" w:rsidP="00695AC4">
      <w:pPr>
        <w:spacing w:line="360" w:lineRule="auto"/>
        <w:contextualSpacing/>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lang w:val="es-ES"/>
        </w:rPr>
        <w:t>Derivado de lo anterior,</w:t>
      </w:r>
      <w:r w:rsidR="006412FA" w:rsidRPr="006412FA">
        <w:rPr>
          <w:rFonts w:ascii="Palatino Linotype" w:eastAsia="Palatino Linotype" w:hAnsi="Palatino Linotype" w:cs="Palatino Linotype"/>
          <w:color w:val="000000"/>
          <w:sz w:val="22"/>
          <w:szCs w:val="22"/>
        </w:rPr>
        <w:t xml:space="preserve"> el Sujeto Obligado mediante respuesta a través de su unidad administrativa competente, Unidad de Información, Planeación, Programación y Evaluación, </w:t>
      </w:r>
      <w:r w:rsidR="006412FA">
        <w:rPr>
          <w:rFonts w:ascii="Palatino Linotype" w:eastAsia="Palatino Linotype" w:hAnsi="Palatino Linotype" w:cs="Palatino Linotype"/>
          <w:color w:val="000000"/>
          <w:sz w:val="22"/>
          <w:szCs w:val="22"/>
        </w:rPr>
        <w:t>señaló que la información solicitada se encuentra publicada en el IPOMEX</w:t>
      </w:r>
      <w:r w:rsidR="006412FA" w:rsidRPr="006412FA">
        <w:rPr>
          <w:rFonts w:ascii="Palatino Linotype" w:hAnsi="Palatino Linotype" w:cs="Tahoma"/>
          <w:bCs/>
          <w:iCs/>
          <w:sz w:val="22"/>
          <w:szCs w:val="22"/>
        </w:rPr>
        <w:t xml:space="preserve"> </w:t>
      </w:r>
      <w:r w:rsidR="006412FA" w:rsidRPr="006412FA">
        <w:rPr>
          <w:rFonts w:ascii="Palatino Linotype" w:eastAsia="Palatino Linotype" w:hAnsi="Palatino Linotype" w:cs="Palatino Linotype"/>
          <w:bCs/>
          <w:iCs/>
          <w:color w:val="000000"/>
          <w:sz w:val="22"/>
          <w:szCs w:val="22"/>
        </w:rPr>
        <w:t>en la fracción XVII, por lo cual, proporcionó liga electrónica en formato cerrado</w:t>
      </w:r>
      <w:r w:rsidR="006412FA">
        <w:rPr>
          <w:rFonts w:ascii="Palatino Linotype" w:eastAsia="Palatino Linotype" w:hAnsi="Palatino Linotype" w:cs="Palatino Linotype"/>
          <w:bCs/>
          <w:iCs/>
          <w:color w:val="000000"/>
          <w:sz w:val="22"/>
          <w:szCs w:val="22"/>
        </w:rPr>
        <w:t>, además de que señaló que fueron</w:t>
      </w:r>
      <w:r w:rsidR="006412FA" w:rsidRPr="006412FA">
        <w:rPr>
          <w:rFonts w:ascii="Palatino Linotype" w:eastAsia="Palatino Linotype" w:hAnsi="Palatino Linotype" w:cs="Palatino Linotype"/>
          <w:color w:val="000000"/>
          <w:sz w:val="22"/>
          <w:szCs w:val="22"/>
        </w:rPr>
        <w:t xml:space="preserve"> 221 solicitudes </w:t>
      </w:r>
      <w:r w:rsidR="006412FA">
        <w:rPr>
          <w:rFonts w:ascii="Palatino Linotype" w:eastAsia="Palatino Linotype" w:hAnsi="Palatino Linotype" w:cs="Palatino Linotype"/>
          <w:color w:val="000000"/>
          <w:sz w:val="22"/>
          <w:szCs w:val="22"/>
        </w:rPr>
        <w:t xml:space="preserve">las </w:t>
      </w:r>
      <w:r w:rsidR="006412FA" w:rsidRPr="006412FA">
        <w:rPr>
          <w:rFonts w:ascii="Palatino Linotype" w:eastAsia="Palatino Linotype" w:hAnsi="Palatino Linotype" w:cs="Palatino Linotype"/>
          <w:color w:val="000000"/>
          <w:sz w:val="22"/>
          <w:szCs w:val="22"/>
        </w:rPr>
        <w:t xml:space="preserve">ingresadas a través del SAIMEX en el ejercicio 2024, </w:t>
      </w:r>
      <w:r w:rsidR="006412FA">
        <w:rPr>
          <w:rFonts w:ascii="Palatino Linotype" w:eastAsia="Palatino Linotype" w:hAnsi="Palatino Linotype" w:cs="Palatino Linotype"/>
          <w:color w:val="000000"/>
          <w:sz w:val="22"/>
          <w:szCs w:val="22"/>
        </w:rPr>
        <w:t>de las cuales se</w:t>
      </w:r>
      <w:r w:rsidR="006412FA" w:rsidRPr="006412FA">
        <w:rPr>
          <w:rFonts w:ascii="Palatino Linotype" w:eastAsia="Palatino Linotype" w:hAnsi="Palatino Linotype" w:cs="Palatino Linotype"/>
          <w:color w:val="000000"/>
          <w:sz w:val="22"/>
          <w:szCs w:val="22"/>
        </w:rPr>
        <w:t xml:space="preserve"> recurri</w:t>
      </w:r>
      <w:r w:rsidR="006412FA">
        <w:rPr>
          <w:rFonts w:ascii="Palatino Linotype" w:eastAsia="Palatino Linotype" w:hAnsi="Palatino Linotype" w:cs="Palatino Linotype"/>
          <w:color w:val="000000"/>
          <w:sz w:val="22"/>
          <w:szCs w:val="22"/>
        </w:rPr>
        <w:t>eron</w:t>
      </w:r>
      <w:r w:rsidR="006412FA" w:rsidRPr="006412FA">
        <w:rPr>
          <w:rFonts w:ascii="Palatino Linotype" w:eastAsia="Palatino Linotype" w:hAnsi="Palatino Linotype" w:cs="Palatino Linotype"/>
          <w:color w:val="000000"/>
          <w:sz w:val="22"/>
          <w:szCs w:val="22"/>
        </w:rPr>
        <w:t xml:space="preserve"> 30</w:t>
      </w:r>
      <w:r w:rsidR="006412FA">
        <w:rPr>
          <w:rFonts w:ascii="Palatino Linotype" w:eastAsia="Palatino Linotype" w:hAnsi="Palatino Linotype" w:cs="Palatino Linotype"/>
          <w:color w:val="000000"/>
          <w:sz w:val="22"/>
          <w:szCs w:val="22"/>
        </w:rPr>
        <w:t xml:space="preserve"> y no se cuenta con alguna </w:t>
      </w:r>
      <w:r w:rsidR="006412FA" w:rsidRPr="006412FA">
        <w:rPr>
          <w:rFonts w:ascii="Palatino Linotype" w:eastAsia="Palatino Linotype" w:hAnsi="Palatino Linotype" w:cs="Palatino Linotype"/>
          <w:color w:val="000000"/>
          <w:sz w:val="22"/>
          <w:szCs w:val="22"/>
        </w:rPr>
        <w:t>pendiente de atención</w:t>
      </w:r>
      <w:r w:rsidR="006412FA">
        <w:rPr>
          <w:rFonts w:ascii="Palatino Linotype" w:eastAsia="Palatino Linotype" w:hAnsi="Palatino Linotype" w:cs="Palatino Linotype"/>
          <w:color w:val="000000"/>
          <w:sz w:val="22"/>
          <w:szCs w:val="22"/>
        </w:rPr>
        <w:t>.</w:t>
      </w:r>
      <w:r>
        <w:rPr>
          <w:rFonts w:ascii="Palatino Linotype" w:eastAsia="Palatino Linotype" w:hAnsi="Palatino Linotype" w:cs="Palatino Linotype"/>
          <w:color w:val="000000"/>
          <w:sz w:val="22"/>
          <w:szCs w:val="22"/>
        </w:rPr>
        <w:t xml:space="preserve"> </w:t>
      </w:r>
      <w:r w:rsidR="006412FA">
        <w:rPr>
          <w:rFonts w:ascii="Palatino Linotype" w:eastAsia="Palatino Linotype" w:hAnsi="Palatino Linotype" w:cs="Palatino Linotype"/>
          <w:color w:val="000000"/>
          <w:sz w:val="22"/>
          <w:szCs w:val="22"/>
        </w:rPr>
        <w:t>Es decir, de lo anterior se advierte que el Sujeto Obligado</w:t>
      </w:r>
      <w:r>
        <w:rPr>
          <w:rFonts w:ascii="Palatino Linotype" w:eastAsia="Palatino Linotype" w:hAnsi="Palatino Linotype" w:cs="Palatino Linotype"/>
          <w:color w:val="000000"/>
          <w:sz w:val="22"/>
          <w:szCs w:val="22"/>
        </w:rPr>
        <w:t>,</w:t>
      </w:r>
      <w:r w:rsidR="006412FA">
        <w:rPr>
          <w:rFonts w:ascii="Palatino Linotype" w:eastAsia="Palatino Linotype" w:hAnsi="Palatino Linotype" w:cs="Palatino Linotype"/>
          <w:color w:val="000000"/>
          <w:sz w:val="22"/>
          <w:szCs w:val="22"/>
        </w:rPr>
        <w:t xml:space="preserve"> </w:t>
      </w:r>
      <w:r w:rsidR="009E01C8">
        <w:rPr>
          <w:rFonts w:ascii="Palatino Linotype" w:eastAsia="Palatino Linotype" w:hAnsi="Palatino Linotype" w:cs="Palatino Linotype"/>
          <w:color w:val="000000"/>
          <w:sz w:val="22"/>
          <w:szCs w:val="22"/>
        </w:rPr>
        <w:t>señaló y proporcionó,</w:t>
      </w:r>
      <w:r w:rsidR="006412FA">
        <w:rPr>
          <w:rFonts w:ascii="Palatino Linotype" w:eastAsia="Palatino Linotype" w:hAnsi="Palatino Linotype" w:cs="Palatino Linotype"/>
          <w:color w:val="000000"/>
          <w:sz w:val="22"/>
          <w:szCs w:val="22"/>
        </w:rPr>
        <w:t xml:space="preserve"> lo siguiente:</w:t>
      </w:r>
    </w:p>
    <w:p w14:paraId="1158B5C4" w14:textId="77777777" w:rsidR="006412FA" w:rsidRDefault="006412FA" w:rsidP="00695AC4">
      <w:pPr>
        <w:spacing w:line="360" w:lineRule="auto"/>
        <w:contextualSpacing/>
        <w:jc w:val="both"/>
        <w:rPr>
          <w:rFonts w:ascii="Palatino Linotype" w:eastAsia="Palatino Linotype" w:hAnsi="Palatino Linotype" w:cs="Palatino Linotype"/>
          <w:color w:val="000000"/>
          <w:sz w:val="22"/>
          <w:szCs w:val="22"/>
        </w:rPr>
      </w:pPr>
    </w:p>
    <w:tbl>
      <w:tblPr>
        <w:tblStyle w:val="Tablaconcuadrcula"/>
        <w:tblW w:w="0" w:type="auto"/>
        <w:tblLook w:val="04A0" w:firstRow="1" w:lastRow="0" w:firstColumn="1" w:lastColumn="0" w:noHBand="0" w:noVBand="1"/>
      </w:tblPr>
      <w:tblGrid>
        <w:gridCol w:w="2405"/>
        <w:gridCol w:w="3827"/>
        <w:gridCol w:w="2802"/>
      </w:tblGrid>
      <w:tr w:rsidR="006412FA" w:rsidRPr="001F0646" w14:paraId="59127946" w14:textId="77777777" w:rsidTr="00D75941">
        <w:tc>
          <w:tcPr>
            <w:tcW w:w="2405" w:type="dxa"/>
          </w:tcPr>
          <w:p w14:paraId="286CE984" w14:textId="192DF7D7" w:rsidR="006412FA" w:rsidRPr="001F0646" w:rsidRDefault="006412FA" w:rsidP="006412FA">
            <w:pPr>
              <w:spacing w:line="360" w:lineRule="auto"/>
              <w:contextualSpacing/>
              <w:jc w:val="center"/>
              <w:rPr>
                <w:rFonts w:ascii="Palatino Linotype" w:eastAsia="Palatino Linotype" w:hAnsi="Palatino Linotype" w:cs="Palatino Linotype"/>
                <w:b/>
                <w:color w:val="000000"/>
                <w:sz w:val="18"/>
                <w:szCs w:val="22"/>
              </w:rPr>
            </w:pPr>
            <w:r w:rsidRPr="001F0646">
              <w:rPr>
                <w:rFonts w:ascii="Palatino Linotype" w:eastAsia="Palatino Linotype" w:hAnsi="Palatino Linotype" w:cs="Palatino Linotype"/>
                <w:b/>
                <w:color w:val="000000"/>
                <w:sz w:val="18"/>
                <w:szCs w:val="22"/>
              </w:rPr>
              <w:t>Requerimiento</w:t>
            </w:r>
          </w:p>
        </w:tc>
        <w:tc>
          <w:tcPr>
            <w:tcW w:w="3827" w:type="dxa"/>
          </w:tcPr>
          <w:p w14:paraId="75472CCA" w14:textId="335224BA" w:rsidR="006412FA" w:rsidRPr="001F0646" w:rsidRDefault="006412FA" w:rsidP="006412FA">
            <w:pPr>
              <w:spacing w:line="360" w:lineRule="auto"/>
              <w:contextualSpacing/>
              <w:jc w:val="center"/>
              <w:rPr>
                <w:rFonts w:ascii="Palatino Linotype" w:eastAsia="Palatino Linotype" w:hAnsi="Palatino Linotype" w:cs="Palatino Linotype"/>
                <w:b/>
                <w:color w:val="000000"/>
                <w:sz w:val="18"/>
                <w:szCs w:val="22"/>
              </w:rPr>
            </w:pPr>
            <w:r w:rsidRPr="001F0646">
              <w:rPr>
                <w:rFonts w:ascii="Palatino Linotype" w:eastAsia="Palatino Linotype" w:hAnsi="Palatino Linotype" w:cs="Palatino Linotype"/>
                <w:b/>
                <w:color w:val="000000"/>
                <w:sz w:val="18"/>
                <w:szCs w:val="22"/>
              </w:rPr>
              <w:t xml:space="preserve">Respuesta </w:t>
            </w:r>
          </w:p>
        </w:tc>
        <w:tc>
          <w:tcPr>
            <w:tcW w:w="2802" w:type="dxa"/>
          </w:tcPr>
          <w:p w14:paraId="468E384B" w14:textId="3D6F419C" w:rsidR="006412FA" w:rsidRPr="001F0646" w:rsidRDefault="006412FA" w:rsidP="006412FA">
            <w:pPr>
              <w:spacing w:line="360" w:lineRule="auto"/>
              <w:contextualSpacing/>
              <w:jc w:val="center"/>
              <w:rPr>
                <w:rFonts w:ascii="Palatino Linotype" w:eastAsia="Palatino Linotype" w:hAnsi="Palatino Linotype" w:cs="Palatino Linotype"/>
                <w:b/>
                <w:color w:val="000000"/>
                <w:sz w:val="18"/>
                <w:szCs w:val="22"/>
              </w:rPr>
            </w:pPr>
            <w:r w:rsidRPr="001F0646">
              <w:rPr>
                <w:rFonts w:ascii="Palatino Linotype" w:eastAsia="Palatino Linotype" w:hAnsi="Palatino Linotype" w:cs="Palatino Linotype"/>
                <w:b/>
                <w:color w:val="000000"/>
                <w:sz w:val="18"/>
                <w:szCs w:val="22"/>
              </w:rPr>
              <w:t xml:space="preserve">Observación </w:t>
            </w:r>
          </w:p>
        </w:tc>
      </w:tr>
      <w:tr w:rsidR="006412FA" w:rsidRPr="001F0646" w14:paraId="464543D8" w14:textId="77777777" w:rsidTr="00D75941">
        <w:tc>
          <w:tcPr>
            <w:tcW w:w="2405" w:type="dxa"/>
          </w:tcPr>
          <w:p w14:paraId="09F86D22" w14:textId="77777777" w:rsidR="006412FA" w:rsidRPr="001F0646" w:rsidRDefault="006412FA" w:rsidP="006412FA">
            <w:pPr>
              <w:spacing w:line="360" w:lineRule="auto"/>
              <w:contextualSpacing/>
              <w:jc w:val="both"/>
              <w:rPr>
                <w:rFonts w:ascii="Palatino Linotype" w:eastAsia="Palatino Linotype" w:hAnsi="Palatino Linotype" w:cs="Palatino Linotype"/>
                <w:color w:val="000000"/>
                <w:sz w:val="18"/>
                <w:szCs w:val="22"/>
              </w:rPr>
            </w:pPr>
            <w:r w:rsidRPr="001F0646">
              <w:rPr>
                <w:rFonts w:ascii="Palatino Linotype" w:eastAsia="Palatino Linotype" w:hAnsi="Palatino Linotype" w:cs="Palatino Linotype"/>
                <w:color w:val="000000"/>
                <w:sz w:val="18"/>
                <w:szCs w:val="22"/>
              </w:rPr>
              <w:t>1.</w:t>
            </w:r>
            <w:r w:rsidRPr="001F0646">
              <w:rPr>
                <w:rFonts w:ascii="Palatino Linotype" w:eastAsia="Palatino Linotype" w:hAnsi="Palatino Linotype" w:cs="Palatino Linotype"/>
                <w:color w:val="000000"/>
                <w:sz w:val="18"/>
                <w:szCs w:val="22"/>
              </w:rPr>
              <w:tab/>
              <w:t>Solicitudes de información recibidas;</w:t>
            </w:r>
          </w:p>
          <w:p w14:paraId="34C35F14" w14:textId="77817275" w:rsidR="006412FA" w:rsidRPr="001F0646" w:rsidRDefault="006412FA" w:rsidP="006412FA">
            <w:pPr>
              <w:spacing w:line="360" w:lineRule="auto"/>
              <w:contextualSpacing/>
              <w:jc w:val="both"/>
              <w:rPr>
                <w:rFonts w:ascii="Palatino Linotype" w:eastAsia="Palatino Linotype" w:hAnsi="Palatino Linotype" w:cs="Palatino Linotype"/>
                <w:color w:val="000000"/>
                <w:sz w:val="18"/>
                <w:szCs w:val="22"/>
              </w:rPr>
            </w:pPr>
          </w:p>
        </w:tc>
        <w:tc>
          <w:tcPr>
            <w:tcW w:w="3827" w:type="dxa"/>
          </w:tcPr>
          <w:p w14:paraId="46234447" w14:textId="4804291C" w:rsidR="006412FA" w:rsidRPr="001F0646" w:rsidRDefault="006412FA" w:rsidP="00695AC4">
            <w:pPr>
              <w:spacing w:line="360" w:lineRule="auto"/>
              <w:contextualSpacing/>
              <w:jc w:val="both"/>
              <w:rPr>
                <w:rFonts w:ascii="Palatino Linotype" w:eastAsia="Palatino Linotype" w:hAnsi="Palatino Linotype" w:cs="Palatino Linotype"/>
                <w:color w:val="000000"/>
                <w:sz w:val="18"/>
                <w:szCs w:val="22"/>
              </w:rPr>
            </w:pPr>
            <w:r w:rsidRPr="001F0646">
              <w:rPr>
                <w:rFonts w:ascii="Palatino Linotype" w:eastAsia="Palatino Linotype" w:hAnsi="Palatino Linotype" w:cs="Palatino Linotype"/>
                <w:color w:val="000000"/>
                <w:sz w:val="18"/>
                <w:szCs w:val="22"/>
              </w:rPr>
              <w:t>221 solicitudes ingresadas a través de SAIMEX</w:t>
            </w:r>
          </w:p>
        </w:tc>
        <w:tc>
          <w:tcPr>
            <w:tcW w:w="2802" w:type="dxa"/>
          </w:tcPr>
          <w:p w14:paraId="51FF329B" w14:textId="66674CDA" w:rsidR="006412FA" w:rsidRPr="001F0646" w:rsidRDefault="006412FA" w:rsidP="00695AC4">
            <w:pPr>
              <w:spacing w:line="360" w:lineRule="auto"/>
              <w:contextualSpacing/>
              <w:jc w:val="both"/>
              <w:rPr>
                <w:rFonts w:ascii="Palatino Linotype" w:eastAsia="Palatino Linotype" w:hAnsi="Palatino Linotype" w:cs="Palatino Linotype"/>
                <w:color w:val="000000"/>
                <w:sz w:val="18"/>
                <w:szCs w:val="22"/>
              </w:rPr>
            </w:pPr>
            <w:r w:rsidRPr="001F0646">
              <w:rPr>
                <w:rFonts w:ascii="Palatino Linotype" w:eastAsia="Palatino Linotype" w:hAnsi="Palatino Linotype" w:cs="Palatino Linotype"/>
                <w:color w:val="000000"/>
                <w:sz w:val="18"/>
                <w:szCs w:val="22"/>
              </w:rPr>
              <w:t xml:space="preserve">Coincide </w:t>
            </w:r>
            <w:r w:rsidR="00C00DAE">
              <w:rPr>
                <w:rFonts w:ascii="Palatino Linotype" w:eastAsia="Palatino Linotype" w:hAnsi="Palatino Linotype" w:cs="Palatino Linotype"/>
                <w:color w:val="000000"/>
                <w:sz w:val="18"/>
                <w:szCs w:val="22"/>
              </w:rPr>
              <w:t xml:space="preserve">con parte de </w:t>
            </w:r>
            <w:r w:rsidRPr="001F0646">
              <w:rPr>
                <w:rFonts w:ascii="Palatino Linotype" w:eastAsia="Palatino Linotype" w:hAnsi="Palatino Linotype" w:cs="Palatino Linotype"/>
                <w:color w:val="000000"/>
                <w:sz w:val="18"/>
                <w:szCs w:val="22"/>
              </w:rPr>
              <w:t>la información solicitada.</w:t>
            </w:r>
            <w:r w:rsidR="00C00DAE">
              <w:rPr>
                <w:rFonts w:ascii="Palatino Linotype" w:eastAsia="Palatino Linotype" w:hAnsi="Palatino Linotype" w:cs="Palatino Linotype"/>
                <w:color w:val="000000"/>
                <w:sz w:val="18"/>
                <w:szCs w:val="22"/>
              </w:rPr>
              <w:t xml:space="preserve"> Entregó la </w:t>
            </w:r>
            <w:r w:rsidR="00A04D75">
              <w:rPr>
                <w:rFonts w:ascii="Palatino Linotype" w:eastAsia="Palatino Linotype" w:hAnsi="Palatino Linotype" w:cs="Palatino Linotype"/>
                <w:color w:val="000000"/>
                <w:sz w:val="18"/>
                <w:szCs w:val="22"/>
              </w:rPr>
              <w:t>liga donde se puede acceder a la información, pero en formato cerrado.</w:t>
            </w:r>
            <w:r w:rsidR="00C00DAE">
              <w:rPr>
                <w:rFonts w:ascii="Palatino Linotype" w:eastAsia="Palatino Linotype" w:hAnsi="Palatino Linotype" w:cs="Palatino Linotype"/>
                <w:color w:val="000000"/>
                <w:sz w:val="18"/>
                <w:szCs w:val="22"/>
              </w:rPr>
              <w:t xml:space="preserve"> </w:t>
            </w:r>
          </w:p>
        </w:tc>
      </w:tr>
      <w:tr w:rsidR="006412FA" w:rsidRPr="001F0646" w14:paraId="3A5D45C4" w14:textId="77777777" w:rsidTr="00D75941">
        <w:tc>
          <w:tcPr>
            <w:tcW w:w="2405" w:type="dxa"/>
          </w:tcPr>
          <w:p w14:paraId="3C10E286" w14:textId="77777777" w:rsidR="006412FA" w:rsidRPr="001F0646" w:rsidRDefault="006412FA" w:rsidP="006412FA">
            <w:pPr>
              <w:spacing w:line="360" w:lineRule="auto"/>
              <w:contextualSpacing/>
              <w:jc w:val="both"/>
              <w:rPr>
                <w:rFonts w:ascii="Palatino Linotype" w:eastAsia="Palatino Linotype" w:hAnsi="Palatino Linotype" w:cs="Palatino Linotype"/>
                <w:color w:val="000000"/>
                <w:sz w:val="18"/>
                <w:szCs w:val="22"/>
              </w:rPr>
            </w:pPr>
            <w:r w:rsidRPr="001F0646">
              <w:rPr>
                <w:rFonts w:ascii="Palatino Linotype" w:eastAsia="Palatino Linotype" w:hAnsi="Palatino Linotype" w:cs="Palatino Linotype"/>
                <w:color w:val="000000"/>
                <w:sz w:val="18"/>
                <w:szCs w:val="22"/>
              </w:rPr>
              <w:t>2.</w:t>
            </w:r>
            <w:r w:rsidRPr="001F0646">
              <w:rPr>
                <w:rFonts w:ascii="Palatino Linotype" w:eastAsia="Palatino Linotype" w:hAnsi="Palatino Linotype" w:cs="Palatino Linotype"/>
                <w:color w:val="000000"/>
                <w:sz w:val="18"/>
                <w:szCs w:val="22"/>
              </w:rPr>
              <w:tab/>
              <w:t>Número total de solicitudes de información atendidas;</w:t>
            </w:r>
          </w:p>
          <w:p w14:paraId="6A487FA5" w14:textId="10956641" w:rsidR="006412FA" w:rsidRPr="001F0646" w:rsidRDefault="006412FA" w:rsidP="006412FA">
            <w:pPr>
              <w:spacing w:line="360" w:lineRule="auto"/>
              <w:contextualSpacing/>
              <w:jc w:val="both"/>
              <w:rPr>
                <w:rFonts w:ascii="Palatino Linotype" w:eastAsia="Palatino Linotype" w:hAnsi="Palatino Linotype" w:cs="Palatino Linotype"/>
                <w:color w:val="000000"/>
                <w:sz w:val="18"/>
                <w:szCs w:val="22"/>
              </w:rPr>
            </w:pPr>
          </w:p>
        </w:tc>
        <w:tc>
          <w:tcPr>
            <w:tcW w:w="3827" w:type="dxa"/>
          </w:tcPr>
          <w:p w14:paraId="7A55D666" w14:textId="21F665CD" w:rsidR="006412FA" w:rsidRPr="001F0646" w:rsidRDefault="001F0646" w:rsidP="00695AC4">
            <w:pPr>
              <w:spacing w:line="360" w:lineRule="auto"/>
              <w:contextualSpacing/>
              <w:jc w:val="both"/>
              <w:rPr>
                <w:rFonts w:ascii="Palatino Linotype" w:eastAsia="Palatino Linotype" w:hAnsi="Palatino Linotype" w:cs="Palatino Linotype"/>
                <w:color w:val="000000"/>
                <w:sz w:val="18"/>
                <w:szCs w:val="22"/>
              </w:rPr>
            </w:pPr>
            <w:r>
              <w:rPr>
                <w:rFonts w:ascii="Palatino Linotype" w:eastAsia="Palatino Linotype" w:hAnsi="Palatino Linotype" w:cs="Palatino Linotype"/>
                <w:color w:val="000000"/>
                <w:sz w:val="18"/>
                <w:szCs w:val="22"/>
              </w:rPr>
              <w:t>No se pronunció</w:t>
            </w:r>
            <w:r w:rsidR="00C00DAE">
              <w:rPr>
                <w:rFonts w:ascii="Palatino Linotype" w:eastAsia="Palatino Linotype" w:hAnsi="Palatino Linotype" w:cs="Palatino Linotype"/>
                <w:color w:val="000000"/>
                <w:sz w:val="18"/>
                <w:szCs w:val="22"/>
              </w:rPr>
              <w:t xml:space="preserve"> de manera específica, pero contestó que recibió 221 solicitudes y agregó </w:t>
            </w:r>
            <w:r>
              <w:rPr>
                <w:rFonts w:ascii="Palatino Linotype" w:eastAsia="Palatino Linotype" w:hAnsi="Palatino Linotype" w:cs="Palatino Linotype"/>
                <w:color w:val="000000"/>
                <w:sz w:val="18"/>
                <w:szCs w:val="22"/>
              </w:rPr>
              <w:t>que no se cuenta con solicitudes pendientes de dar atención se advierte que se atendieron todas.</w:t>
            </w:r>
          </w:p>
        </w:tc>
        <w:tc>
          <w:tcPr>
            <w:tcW w:w="2802" w:type="dxa"/>
          </w:tcPr>
          <w:p w14:paraId="217282B5" w14:textId="565E56A2" w:rsidR="001F0646" w:rsidRPr="001F0646" w:rsidRDefault="001F0646" w:rsidP="001F0646">
            <w:pPr>
              <w:spacing w:line="360" w:lineRule="auto"/>
              <w:contextualSpacing/>
              <w:jc w:val="both"/>
              <w:rPr>
                <w:rFonts w:ascii="Palatino Linotype" w:eastAsia="Palatino Linotype" w:hAnsi="Palatino Linotype" w:cs="Palatino Linotype"/>
                <w:color w:val="000000"/>
                <w:sz w:val="18"/>
                <w:szCs w:val="22"/>
              </w:rPr>
            </w:pPr>
            <w:r w:rsidRPr="001F0646">
              <w:rPr>
                <w:rFonts w:ascii="Palatino Linotype" w:eastAsia="Palatino Linotype" w:hAnsi="Palatino Linotype" w:cs="Palatino Linotype"/>
                <w:color w:val="000000"/>
                <w:sz w:val="18"/>
                <w:szCs w:val="22"/>
              </w:rPr>
              <w:t xml:space="preserve">Coincide </w:t>
            </w:r>
            <w:r w:rsidR="00C00DAE">
              <w:rPr>
                <w:rFonts w:ascii="Palatino Linotype" w:eastAsia="Palatino Linotype" w:hAnsi="Palatino Linotype" w:cs="Palatino Linotype"/>
                <w:color w:val="000000"/>
                <w:sz w:val="18"/>
                <w:szCs w:val="22"/>
              </w:rPr>
              <w:t>con</w:t>
            </w:r>
            <w:r w:rsidRPr="001F0646">
              <w:rPr>
                <w:rFonts w:ascii="Palatino Linotype" w:eastAsia="Palatino Linotype" w:hAnsi="Palatino Linotype" w:cs="Palatino Linotype"/>
                <w:color w:val="000000"/>
                <w:sz w:val="18"/>
                <w:szCs w:val="22"/>
              </w:rPr>
              <w:t xml:space="preserve"> la información solicitada.</w:t>
            </w:r>
          </w:p>
          <w:p w14:paraId="410D255B" w14:textId="77777777" w:rsidR="001F0646" w:rsidRPr="001F0646" w:rsidRDefault="001F0646" w:rsidP="001F0646">
            <w:pPr>
              <w:spacing w:line="360" w:lineRule="auto"/>
              <w:contextualSpacing/>
              <w:jc w:val="both"/>
              <w:rPr>
                <w:rFonts w:ascii="Palatino Linotype" w:eastAsia="Palatino Linotype" w:hAnsi="Palatino Linotype" w:cs="Palatino Linotype"/>
                <w:color w:val="000000"/>
                <w:sz w:val="18"/>
                <w:szCs w:val="22"/>
              </w:rPr>
            </w:pPr>
          </w:p>
          <w:p w14:paraId="4A0EF1C1" w14:textId="68AF6605" w:rsidR="006412FA" w:rsidRPr="001F0646" w:rsidRDefault="006412FA" w:rsidP="001F0646">
            <w:pPr>
              <w:spacing w:line="360" w:lineRule="auto"/>
              <w:contextualSpacing/>
              <w:jc w:val="both"/>
              <w:rPr>
                <w:rFonts w:ascii="Palatino Linotype" w:eastAsia="Palatino Linotype" w:hAnsi="Palatino Linotype" w:cs="Palatino Linotype"/>
                <w:color w:val="000000"/>
                <w:sz w:val="18"/>
                <w:szCs w:val="22"/>
              </w:rPr>
            </w:pPr>
          </w:p>
        </w:tc>
      </w:tr>
      <w:tr w:rsidR="006412FA" w:rsidRPr="001F0646" w14:paraId="7CD122F4" w14:textId="77777777" w:rsidTr="00D75941">
        <w:tc>
          <w:tcPr>
            <w:tcW w:w="2405" w:type="dxa"/>
          </w:tcPr>
          <w:p w14:paraId="274A4313" w14:textId="15600CC8" w:rsidR="006412FA" w:rsidRPr="001F0646" w:rsidRDefault="006412FA" w:rsidP="006412FA">
            <w:pPr>
              <w:spacing w:line="360" w:lineRule="auto"/>
              <w:contextualSpacing/>
              <w:jc w:val="both"/>
              <w:rPr>
                <w:rFonts w:ascii="Palatino Linotype" w:eastAsia="Palatino Linotype" w:hAnsi="Palatino Linotype" w:cs="Palatino Linotype"/>
                <w:color w:val="000000"/>
                <w:sz w:val="18"/>
                <w:szCs w:val="22"/>
              </w:rPr>
            </w:pPr>
            <w:r w:rsidRPr="001F0646">
              <w:rPr>
                <w:rFonts w:ascii="Palatino Linotype" w:eastAsia="Palatino Linotype" w:hAnsi="Palatino Linotype" w:cs="Palatino Linotype"/>
                <w:color w:val="000000"/>
                <w:sz w:val="18"/>
                <w:szCs w:val="22"/>
              </w:rPr>
              <w:t>3.</w:t>
            </w:r>
            <w:r w:rsidRPr="001F0646">
              <w:rPr>
                <w:rFonts w:ascii="Palatino Linotype" w:eastAsia="Palatino Linotype" w:hAnsi="Palatino Linotype" w:cs="Palatino Linotype"/>
                <w:color w:val="000000"/>
                <w:sz w:val="18"/>
                <w:szCs w:val="22"/>
              </w:rPr>
              <w:tab/>
              <w:t>Respuestas emitidas por cada una de las áreas;</w:t>
            </w:r>
          </w:p>
        </w:tc>
        <w:tc>
          <w:tcPr>
            <w:tcW w:w="3827" w:type="dxa"/>
          </w:tcPr>
          <w:p w14:paraId="66FC05B1" w14:textId="3946ADD0" w:rsidR="006412FA" w:rsidRPr="001F0646" w:rsidRDefault="00475972" w:rsidP="00695AC4">
            <w:pPr>
              <w:spacing w:line="360" w:lineRule="auto"/>
              <w:contextualSpacing/>
              <w:jc w:val="both"/>
              <w:rPr>
                <w:rFonts w:ascii="Palatino Linotype" w:eastAsia="Palatino Linotype" w:hAnsi="Palatino Linotype" w:cs="Palatino Linotype"/>
                <w:color w:val="000000"/>
                <w:sz w:val="18"/>
                <w:szCs w:val="22"/>
              </w:rPr>
            </w:pPr>
            <w:r>
              <w:rPr>
                <w:rFonts w:ascii="Palatino Linotype" w:eastAsia="Palatino Linotype" w:hAnsi="Palatino Linotype" w:cs="Palatino Linotype"/>
                <w:color w:val="000000"/>
                <w:sz w:val="18"/>
                <w:szCs w:val="22"/>
              </w:rPr>
              <w:t>No se pronunció</w:t>
            </w:r>
          </w:p>
        </w:tc>
        <w:tc>
          <w:tcPr>
            <w:tcW w:w="2802" w:type="dxa"/>
          </w:tcPr>
          <w:p w14:paraId="6D7356AD" w14:textId="4F395B10" w:rsidR="006412FA" w:rsidRPr="001F0646" w:rsidRDefault="00475972" w:rsidP="00695AC4">
            <w:pPr>
              <w:spacing w:line="360" w:lineRule="auto"/>
              <w:contextualSpacing/>
              <w:jc w:val="both"/>
              <w:rPr>
                <w:rFonts w:ascii="Palatino Linotype" w:eastAsia="Palatino Linotype" w:hAnsi="Palatino Linotype" w:cs="Palatino Linotype"/>
                <w:color w:val="000000"/>
                <w:sz w:val="18"/>
                <w:szCs w:val="22"/>
              </w:rPr>
            </w:pPr>
            <w:r>
              <w:rPr>
                <w:rFonts w:ascii="Palatino Linotype" w:eastAsia="Palatino Linotype" w:hAnsi="Palatino Linotype" w:cs="Palatino Linotype"/>
                <w:color w:val="000000"/>
                <w:sz w:val="18"/>
                <w:szCs w:val="22"/>
              </w:rPr>
              <w:t>No se pronunció</w:t>
            </w:r>
            <w:r w:rsidR="00A04D75">
              <w:rPr>
                <w:rFonts w:ascii="Palatino Linotype" w:eastAsia="Palatino Linotype" w:hAnsi="Palatino Linotype" w:cs="Palatino Linotype"/>
                <w:color w:val="000000"/>
                <w:sz w:val="18"/>
                <w:szCs w:val="22"/>
              </w:rPr>
              <w:t xml:space="preserve"> específicamente, pero entregó la liga donde se puede acceder a la información, pero en formato cerrado.</w:t>
            </w:r>
          </w:p>
        </w:tc>
      </w:tr>
      <w:tr w:rsidR="006412FA" w:rsidRPr="001F0646" w14:paraId="75456D6C" w14:textId="77777777" w:rsidTr="00D75941">
        <w:tc>
          <w:tcPr>
            <w:tcW w:w="2405" w:type="dxa"/>
          </w:tcPr>
          <w:p w14:paraId="7E36F16F" w14:textId="46A9B4A6" w:rsidR="006412FA" w:rsidRPr="001F0646" w:rsidRDefault="006412FA" w:rsidP="006412FA">
            <w:pPr>
              <w:spacing w:line="360" w:lineRule="auto"/>
              <w:contextualSpacing/>
              <w:jc w:val="both"/>
              <w:rPr>
                <w:rFonts w:ascii="Palatino Linotype" w:eastAsia="Palatino Linotype" w:hAnsi="Palatino Linotype" w:cs="Palatino Linotype"/>
                <w:color w:val="000000"/>
                <w:sz w:val="18"/>
                <w:szCs w:val="22"/>
              </w:rPr>
            </w:pPr>
            <w:r w:rsidRPr="001F0646">
              <w:rPr>
                <w:rFonts w:ascii="Palatino Linotype" w:eastAsia="Palatino Linotype" w:hAnsi="Palatino Linotype" w:cs="Palatino Linotype"/>
                <w:color w:val="000000"/>
                <w:sz w:val="18"/>
                <w:szCs w:val="22"/>
              </w:rPr>
              <w:lastRenderedPageBreak/>
              <w:t>4.</w:t>
            </w:r>
            <w:r w:rsidRPr="001F0646">
              <w:rPr>
                <w:rFonts w:ascii="Palatino Linotype" w:eastAsia="Palatino Linotype" w:hAnsi="Palatino Linotype" w:cs="Palatino Linotype"/>
                <w:color w:val="000000"/>
                <w:sz w:val="18"/>
                <w:szCs w:val="22"/>
              </w:rPr>
              <w:tab/>
              <w:t>Número t</w:t>
            </w:r>
            <w:r w:rsidR="00D75941">
              <w:rPr>
                <w:rFonts w:ascii="Palatino Linotype" w:eastAsia="Palatino Linotype" w:hAnsi="Palatino Linotype" w:cs="Palatino Linotype"/>
                <w:color w:val="000000"/>
                <w:sz w:val="18"/>
                <w:szCs w:val="22"/>
              </w:rPr>
              <w:t>otal de solicitudes recurridas;</w:t>
            </w:r>
          </w:p>
        </w:tc>
        <w:tc>
          <w:tcPr>
            <w:tcW w:w="3827" w:type="dxa"/>
          </w:tcPr>
          <w:p w14:paraId="1CD926D6" w14:textId="43D8A052" w:rsidR="006412FA" w:rsidRPr="001F0646" w:rsidRDefault="006412FA" w:rsidP="00695AC4">
            <w:pPr>
              <w:spacing w:line="360" w:lineRule="auto"/>
              <w:contextualSpacing/>
              <w:jc w:val="both"/>
              <w:rPr>
                <w:rFonts w:ascii="Palatino Linotype" w:eastAsia="Palatino Linotype" w:hAnsi="Palatino Linotype" w:cs="Palatino Linotype"/>
                <w:color w:val="000000"/>
                <w:sz w:val="18"/>
                <w:szCs w:val="22"/>
              </w:rPr>
            </w:pPr>
            <w:r w:rsidRPr="001F0646">
              <w:rPr>
                <w:rFonts w:ascii="Palatino Linotype" w:eastAsia="Palatino Linotype" w:hAnsi="Palatino Linotype" w:cs="Palatino Linotype"/>
                <w:color w:val="000000"/>
                <w:sz w:val="18"/>
                <w:szCs w:val="22"/>
              </w:rPr>
              <w:t>30 solicitudes recurridas</w:t>
            </w:r>
          </w:p>
        </w:tc>
        <w:tc>
          <w:tcPr>
            <w:tcW w:w="2802" w:type="dxa"/>
          </w:tcPr>
          <w:p w14:paraId="51B3AECA" w14:textId="75C71B70" w:rsidR="006412FA" w:rsidRPr="001F0646" w:rsidRDefault="006412FA" w:rsidP="00D006DB">
            <w:pPr>
              <w:spacing w:line="360" w:lineRule="auto"/>
              <w:contextualSpacing/>
              <w:jc w:val="both"/>
              <w:rPr>
                <w:rFonts w:ascii="Palatino Linotype" w:eastAsia="Palatino Linotype" w:hAnsi="Palatino Linotype" w:cs="Palatino Linotype"/>
                <w:color w:val="000000"/>
                <w:sz w:val="18"/>
                <w:szCs w:val="22"/>
              </w:rPr>
            </w:pPr>
            <w:r w:rsidRPr="001F0646">
              <w:rPr>
                <w:rFonts w:ascii="Palatino Linotype" w:eastAsia="Palatino Linotype" w:hAnsi="Palatino Linotype" w:cs="Palatino Linotype"/>
                <w:color w:val="000000"/>
                <w:sz w:val="18"/>
                <w:szCs w:val="22"/>
              </w:rPr>
              <w:t>Coincide con la infor</w:t>
            </w:r>
            <w:r w:rsidR="00D75941">
              <w:rPr>
                <w:rFonts w:ascii="Palatino Linotype" w:eastAsia="Palatino Linotype" w:hAnsi="Palatino Linotype" w:cs="Palatino Linotype"/>
                <w:color w:val="000000"/>
                <w:sz w:val="18"/>
                <w:szCs w:val="22"/>
              </w:rPr>
              <w:t>mación solicitada</w:t>
            </w:r>
            <w:r w:rsidR="00D006DB">
              <w:rPr>
                <w:rFonts w:ascii="Palatino Linotype" w:eastAsia="Palatino Linotype" w:hAnsi="Palatino Linotype" w:cs="Palatino Linotype"/>
                <w:color w:val="000000"/>
                <w:sz w:val="18"/>
                <w:szCs w:val="22"/>
              </w:rPr>
              <w:t>.</w:t>
            </w:r>
          </w:p>
        </w:tc>
      </w:tr>
      <w:tr w:rsidR="006412FA" w:rsidRPr="001F0646" w14:paraId="36910895" w14:textId="77777777" w:rsidTr="00D75941">
        <w:tc>
          <w:tcPr>
            <w:tcW w:w="2405" w:type="dxa"/>
          </w:tcPr>
          <w:p w14:paraId="3C09CEA6" w14:textId="6A705356" w:rsidR="006412FA" w:rsidRPr="001F0646" w:rsidRDefault="006412FA" w:rsidP="006412FA">
            <w:pPr>
              <w:spacing w:line="360" w:lineRule="auto"/>
              <w:contextualSpacing/>
              <w:jc w:val="both"/>
              <w:rPr>
                <w:rFonts w:ascii="Palatino Linotype" w:eastAsia="Palatino Linotype" w:hAnsi="Palatino Linotype" w:cs="Palatino Linotype"/>
                <w:color w:val="000000"/>
                <w:sz w:val="18"/>
                <w:szCs w:val="22"/>
              </w:rPr>
            </w:pPr>
            <w:r w:rsidRPr="001F0646">
              <w:rPr>
                <w:rFonts w:ascii="Palatino Linotype" w:eastAsia="Palatino Linotype" w:hAnsi="Palatino Linotype" w:cs="Palatino Linotype"/>
                <w:color w:val="000000"/>
                <w:sz w:val="18"/>
                <w:szCs w:val="22"/>
              </w:rPr>
              <w:t>5.</w:t>
            </w:r>
            <w:r w:rsidRPr="001F0646">
              <w:rPr>
                <w:rFonts w:ascii="Palatino Linotype" w:eastAsia="Palatino Linotype" w:hAnsi="Palatino Linotype" w:cs="Palatino Linotype"/>
                <w:color w:val="000000"/>
                <w:sz w:val="18"/>
                <w:szCs w:val="22"/>
              </w:rPr>
              <w:tab/>
              <w:t>Número de solicitudes pendientes por atender;</w:t>
            </w:r>
          </w:p>
        </w:tc>
        <w:tc>
          <w:tcPr>
            <w:tcW w:w="3827" w:type="dxa"/>
          </w:tcPr>
          <w:p w14:paraId="5F49947D" w14:textId="0376E4AB" w:rsidR="006412FA" w:rsidRPr="001F0646" w:rsidRDefault="00D006DB" w:rsidP="00695AC4">
            <w:pPr>
              <w:spacing w:line="360" w:lineRule="auto"/>
              <w:contextualSpacing/>
              <w:jc w:val="both"/>
              <w:rPr>
                <w:rFonts w:ascii="Palatino Linotype" w:eastAsia="Palatino Linotype" w:hAnsi="Palatino Linotype" w:cs="Palatino Linotype"/>
                <w:color w:val="000000"/>
                <w:sz w:val="18"/>
                <w:szCs w:val="22"/>
              </w:rPr>
            </w:pPr>
            <w:r>
              <w:rPr>
                <w:rFonts w:ascii="Palatino Linotype" w:eastAsia="Palatino Linotype" w:hAnsi="Palatino Linotype" w:cs="Palatino Linotype"/>
                <w:color w:val="000000"/>
                <w:sz w:val="18"/>
                <w:szCs w:val="22"/>
              </w:rPr>
              <w:t>N</w:t>
            </w:r>
            <w:r w:rsidR="001F0646" w:rsidRPr="001F0646">
              <w:rPr>
                <w:rFonts w:ascii="Palatino Linotype" w:eastAsia="Palatino Linotype" w:hAnsi="Palatino Linotype" w:cs="Palatino Linotype"/>
                <w:color w:val="000000"/>
                <w:sz w:val="18"/>
                <w:szCs w:val="22"/>
              </w:rPr>
              <w:t>o se cuenta con alguna pendiente de atención</w:t>
            </w:r>
          </w:p>
        </w:tc>
        <w:tc>
          <w:tcPr>
            <w:tcW w:w="2802" w:type="dxa"/>
          </w:tcPr>
          <w:p w14:paraId="24D2659D" w14:textId="72747DF6" w:rsidR="006412FA" w:rsidRPr="001F0646" w:rsidRDefault="00475972" w:rsidP="00D006DB">
            <w:pPr>
              <w:spacing w:line="360" w:lineRule="auto"/>
              <w:contextualSpacing/>
              <w:jc w:val="both"/>
              <w:rPr>
                <w:rFonts w:ascii="Palatino Linotype" w:eastAsia="Palatino Linotype" w:hAnsi="Palatino Linotype" w:cs="Palatino Linotype"/>
                <w:color w:val="000000"/>
                <w:sz w:val="18"/>
                <w:szCs w:val="22"/>
              </w:rPr>
            </w:pPr>
            <w:r w:rsidRPr="001F0646">
              <w:rPr>
                <w:rFonts w:ascii="Palatino Linotype" w:eastAsia="Palatino Linotype" w:hAnsi="Palatino Linotype" w:cs="Palatino Linotype"/>
                <w:color w:val="000000"/>
                <w:sz w:val="18"/>
                <w:szCs w:val="22"/>
              </w:rPr>
              <w:t>Coincide con la información solicitada.</w:t>
            </w:r>
          </w:p>
        </w:tc>
      </w:tr>
    </w:tbl>
    <w:p w14:paraId="1341CA64" w14:textId="77777777" w:rsidR="006412FA" w:rsidRPr="006412FA" w:rsidRDefault="006412FA" w:rsidP="00695AC4">
      <w:pPr>
        <w:spacing w:line="360" w:lineRule="auto"/>
        <w:contextualSpacing/>
        <w:jc w:val="both"/>
        <w:rPr>
          <w:rFonts w:ascii="Palatino Linotype" w:eastAsia="Palatino Linotype" w:hAnsi="Palatino Linotype" w:cs="Palatino Linotype"/>
          <w:color w:val="000000"/>
          <w:sz w:val="22"/>
          <w:szCs w:val="22"/>
        </w:rPr>
      </w:pPr>
    </w:p>
    <w:p w14:paraId="2DFBC30C" w14:textId="7DD21E95" w:rsidR="00810ED3" w:rsidRDefault="009E01C8" w:rsidP="00695AC4">
      <w:pPr>
        <w:spacing w:line="360" w:lineRule="auto"/>
        <w:jc w:val="both"/>
        <w:rPr>
          <w:rFonts w:ascii="Palatino Linotype" w:eastAsiaTheme="minorHAnsi" w:hAnsi="Palatino Linotype" w:cs="Tahoma"/>
          <w:color w:val="000000" w:themeColor="text1"/>
          <w:sz w:val="22"/>
          <w:szCs w:val="22"/>
          <w:lang w:eastAsia="en-US"/>
        </w:rPr>
      </w:pPr>
      <w:r>
        <w:rPr>
          <w:rFonts w:ascii="Palatino Linotype" w:hAnsi="Palatino Linotype" w:cs="Tahoma"/>
          <w:bCs/>
          <w:iCs/>
          <w:sz w:val="22"/>
          <w:szCs w:val="22"/>
        </w:rPr>
        <w:t>No pasa desapercibido, que</w:t>
      </w:r>
      <w:r w:rsidR="00810ED3" w:rsidRPr="00810ED3">
        <w:rPr>
          <w:rFonts w:ascii="Palatino Linotype" w:hAnsi="Palatino Linotype" w:cs="Tahoma"/>
          <w:bCs/>
          <w:iCs/>
          <w:sz w:val="22"/>
          <w:szCs w:val="22"/>
        </w:rPr>
        <w:t xml:space="preserve"> el Sujeto Obligado</w:t>
      </w:r>
      <w:r w:rsidR="008F75D4">
        <w:rPr>
          <w:rFonts w:ascii="Palatino Linotype" w:hAnsi="Palatino Linotype" w:cs="Tahoma"/>
          <w:bCs/>
          <w:iCs/>
          <w:sz w:val="22"/>
          <w:szCs w:val="22"/>
        </w:rPr>
        <w:t xml:space="preserve">, a través de la </w:t>
      </w:r>
      <w:r w:rsidRPr="009E01C8">
        <w:rPr>
          <w:rFonts w:ascii="Palatino Linotype" w:hAnsi="Palatino Linotype" w:cs="Tahoma"/>
          <w:bCs/>
          <w:iCs/>
          <w:sz w:val="22"/>
          <w:szCs w:val="22"/>
        </w:rPr>
        <w:t>Unidad de Información, Planeación, Programación y Evaluación</w:t>
      </w:r>
      <w:r w:rsidR="008F75D4">
        <w:rPr>
          <w:rFonts w:ascii="Palatino Linotype" w:hAnsi="Palatino Linotype" w:cs="Tahoma"/>
          <w:bCs/>
          <w:iCs/>
          <w:sz w:val="22"/>
          <w:szCs w:val="22"/>
        </w:rPr>
        <w:t xml:space="preserve">, </w:t>
      </w:r>
      <w:r w:rsidR="00810ED3" w:rsidRPr="00810ED3">
        <w:rPr>
          <w:rFonts w:ascii="Palatino Linotype" w:hAnsi="Palatino Linotype" w:cs="Tahoma"/>
          <w:bCs/>
          <w:iCs/>
          <w:sz w:val="22"/>
          <w:szCs w:val="22"/>
        </w:rPr>
        <w:t>señaló que la información se encuentra publicada en el portal de IPOMEX</w:t>
      </w:r>
      <w:r w:rsidR="00810ED3">
        <w:rPr>
          <w:rFonts w:ascii="Palatino Linotype" w:hAnsi="Palatino Linotype" w:cs="Tahoma"/>
          <w:bCs/>
          <w:iCs/>
          <w:sz w:val="22"/>
          <w:szCs w:val="22"/>
        </w:rPr>
        <w:t xml:space="preserve">, fracción </w:t>
      </w:r>
      <w:r>
        <w:rPr>
          <w:rFonts w:ascii="Palatino Linotype" w:hAnsi="Palatino Linotype" w:cs="Tahoma"/>
          <w:bCs/>
          <w:iCs/>
          <w:sz w:val="22"/>
          <w:szCs w:val="22"/>
        </w:rPr>
        <w:t>X</w:t>
      </w:r>
      <w:r w:rsidR="00810ED3">
        <w:rPr>
          <w:rFonts w:ascii="Palatino Linotype" w:hAnsi="Palatino Linotype" w:cs="Tahoma"/>
          <w:bCs/>
          <w:iCs/>
          <w:sz w:val="22"/>
          <w:szCs w:val="22"/>
        </w:rPr>
        <w:t>VII,</w:t>
      </w:r>
      <w:r w:rsidR="00810ED3" w:rsidRPr="00810ED3">
        <w:rPr>
          <w:rFonts w:ascii="Palatino Linotype" w:hAnsi="Palatino Linotype" w:cs="Tahoma"/>
          <w:bCs/>
          <w:iCs/>
          <w:sz w:val="22"/>
          <w:szCs w:val="22"/>
        </w:rPr>
        <w:t xml:space="preserve"> por lo que, </w:t>
      </w:r>
      <w:r w:rsidR="008F75D4">
        <w:rPr>
          <w:rFonts w:ascii="Palatino Linotype" w:hAnsi="Palatino Linotype" w:cs="Tahoma"/>
          <w:bCs/>
          <w:iCs/>
          <w:sz w:val="22"/>
          <w:szCs w:val="22"/>
        </w:rPr>
        <w:t>proporcionaba</w:t>
      </w:r>
      <w:r w:rsidR="00810ED3" w:rsidRPr="00810ED3">
        <w:rPr>
          <w:rFonts w:ascii="Palatino Linotype" w:hAnsi="Palatino Linotype" w:cs="Tahoma"/>
          <w:bCs/>
          <w:iCs/>
          <w:sz w:val="22"/>
          <w:szCs w:val="22"/>
        </w:rPr>
        <w:t xml:space="preserve"> el Link en el que se podía cons</w:t>
      </w:r>
      <w:r w:rsidR="008F75D4">
        <w:rPr>
          <w:rFonts w:ascii="Palatino Linotype" w:hAnsi="Palatino Linotype" w:cs="Tahoma"/>
          <w:bCs/>
          <w:iCs/>
          <w:sz w:val="22"/>
          <w:szCs w:val="22"/>
        </w:rPr>
        <w:t>ultar la información solicitada;</w:t>
      </w:r>
      <w:r w:rsidR="00810ED3" w:rsidRPr="00810ED3">
        <w:rPr>
          <w:rFonts w:ascii="Palatino Linotype" w:hAnsi="Palatino Linotype" w:cs="Tahoma"/>
          <w:bCs/>
          <w:iCs/>
          <w:sz w:val="22"/>
          <w:szCs w:val="22"/>
        </w:rPr>
        <w:t xml:space="preserve"> sin embargo, </w:t>
      </w:r>
      <w:r w:rsidR="00810ED3">
        <w:rPr>
          <w:rFonts w:ascii="Palatino Linotype" w:hAnsi="Palatino Linotype" w:cs="Tahoma"/>
          <w:bCs/>
          <w:iCs/>
          <w:sz w:val="22"/>
          <w:szCs w:val="22"/>
        </w:rPr>
        <w:t xml:space="preserve">no se puede </w:t>
      </w:r>
      <w:r w:rsidR="00810ED3" w:rsidRPr="00810ED3">
        <w:rPr>
          <w:rFonts w:ascii="Palatino Linotype" w:eastAsiaTheme="minorHAnsi" w:hAnsi="Palatino Linotype" w:cs="Tahoma"/>
          <w:color w:val="000000" w:themeColor="text1"/>
          <w:sz w:val="22"/>
          <w:szCs w:val="22"/>
          <w:lang w:eastAsia="en-US"/>
        </w:rPr>
        <w:t xml:space="preserve">tener acceso directo, </w:t>
      </w:r>
      <w:r w:rsidR="00810ED3" w:rsidRPr="00810ED3">
        <w:rPr>
          <w:rFonts w:ascii="Palatino Linotype" w:eastAsiaTheme="minorHAnsi" w:hAnsi="Palatino Linotype" w:cs="Tahoma"/>
          <w:b/>
          <w:bCs/>
          <w:color w:val="000000" w:themeColor="text1"/>
          <w:sz w:val="22"/>
          <w:szCs w:val="22"/>
          <w:lang w:eastAsia="en-US"/>
        </w:rPr>
        <w:t>toda vez que se encuentra en datos cerrados</w:t>
      </w:r>
      <w:r w:rsidR="00810ED3">
        <w:rPr>
          <w:rFonts w:ascii="Palatino Linotype" w:eastAsiaTheme="minorHAnsi" w:hAnsi="Palatino Linotype" w:cs="Tahoma"/>
          <w:b/>
          <w:bCs/>
          <w:color w:val="000000" w:themeColor="text1"/>
          <w:sz w:val="22"/>
          <w:szCs w:val="22"/>
          <w:lang w:eastAsia="en-US"/>
        </w:rPr>
        <w:t xml:space="preserve"> y al intentar copiar la misma</w:t>
      </w:r>
      <w:r w:rsidR="00526621">
        <w:rPr>
          <w:rFonts w:ascii="Palatino Linotype" w:eastAsiaTheme="minorHAnsi" w:hAnsi="Palatino Linotype" w:cs="Tahoma"/>
          <w:b/>
          <w:bCs/>
          <w:color w:val="000000" w:themeColor="text1"/>
          <w:sz w:val="22"/>
          <w:szCs w:val="22"/>
          <w:lang w:eastAsia="en-US"/>
        </w:rPr>
        <w:t>,</w:t>
      </w:r>
      <w:r w:rsidR="00810ED3">
        <w:rPr>
          <w:rFonts w:ascii="Palatino Linotype" w:eastAsiaTheme="minorHAnsi" w:hAnsi="Palatino Linotype" w:cs="Tahoma"/>
          <w:b/>
          <w:bCs/>
          <w:color w:val="000000" w:themeColor="text1"/>
          <w:sz w:val="22"/>
          <w:szCs w:val="22"/>
          <w:lang w:eastAsia="en-US"/>
        </w:rPr>
        <w:t xml:space="preserve"> no mantiene el mismo formato, al arrojar diversos dígitos distintos a los remitidos.</w:t>
      </w:r>
      <w:r w:rsidR="00810ED3" w:rsidRPr="00810ED3">
        <w:rPr>
          <w:rFonts w:ascii="Palatino Linotype" w:eastAsiaTheme="minorHAnsi" w:hAnsi="Palatino Linotype" w:cs="Tahoma"/>
          <w:color w:val="000000" w:themeColor="text1"/>
          <w:sz w:val="22"/>
          <w:szCs w:val="22"/>
          <w:lang w:eastAsia="en-US"/>
        </w:rPr>
        <w:t xml:space="preserve"> </w:t>
      </w:r>
      <w:r>
        <w:rPr>
          <w:rFonts w:ascii="Palatino Linotype" w:eastAsiaTheme="minorHAnsi" w:hAnsi="Palatino Linotype" w:cs="Tahoma"/>
          <w:color w:val="000000" w:themeColor="text1"/>
          <w:sz w:val="22"/>
          <w:szCs w:val="22"/>
          <w:lang w:eastAsia="en-US"/>
        </w:rPr>
        <w:t xml:space="preserve"> </w:t>
      </w:r>
    </w:p>
    <w:p w14:paraId="5C1C0342" w14:textId="77777777" w:rsidR="00107A87" w:rsidRDefault="00107A87" w:rsidP="00695AC4">
      <w:pPr>
        <w:spacing w:line="360" w:lineRule="auto"/>
        <w:jc w:val="both"/>
        <w:rPr>
          <w:rFonts w:ascii="Palatino Linotype" w:eastAsiaTheme="minorHAnsi" w:hAnsi="Palatino Linotype" w:cs="Tahoma"/>
          <w:color w:val="000000" w:themeColor="text1"/>
          <w:sz w:val="22"/>
          <w:szCs w:val="22"/>
          <w:lang w:eastAsia="en-US"/>
        </w:rPr>
      </w:pPr>
    </w:p>
    <w:p w14:paraId="0DE8362B" w14:textId="77777777" w:rsidR="00810ED3" w:rsidRPr="00810ED3" w:rsidRDefault="00810ED3" w:rsidP="00695AC4">
      <w:pPr>
        <w:spacing w:line="360" w:lineRule="auto"/>
        <w:jc w:val="both"/>
        <w:rPr>
          <w:rFonts w:ascii="Palatino Linotype" w:eastAsiaTheme="minorHAnsi" w:hAnsi="Palatino Linotype" w:cs="Tahoma"/>
          <w:color w:val="000000" w:themeColor="text1"/>
          <w:sz w:val="22"/>
          <w:szCs w:val="22"/>
          <w:lang w:eastAsia="en-US"/>
        </w:rPr>
      </w:pPr>
      <w:r w:rsidRPr="00810ED3">
        <w:rPr>
          <w:rFonts w:ascii="Palatino Linotype" w:eastAsiaTheme="minorHAnsi" w:hAnsi="Palatino Linotype" w:cs="Tahoma"/>
          <w:color w:val="000000" w:themeColor="text1"/>
          <w:sz w:val="22"/>
          <w:szCs w:val="22"/>
          <w:lang w:eastAsia="en-US"/>
        </w:rPr>
        <w:t>Sobre el tema, Trujillo, Humberto (2019), en el “Diccionario de Transparencia y Acceso a la Información Pública” (p. 136 y 137), precisa que cuando un Sujeto Obligado proporciona información pública de manera electrónica es necesario garantizar su interoperabilidad, lo cual se traduce al hecho a que la información contenga datos en formatos y estándares abiertos para su reproducción y reutilización electrónica de manera libre y sin ninguna restricción.</w:t>
      </w:r>
    </w:p>
    <w:p w14:paraId="2072B563" w14:textId="77777777" w:rsidR="00810ED3" w:rsidRPr="00810ED3" w:rsidRDefault="00810ED3" w:rsidP="00695AC4">
      <w:pPr>
        <w:spacing w:line="360" w:lineRule="auto"/>
        <w:jc w:val="both"/>
        <w:rPr>
          <w:rFonts w:ascii="Palatino Linotype" w:eastAsiaTheme="minorHAnsi" w:hAnsi="Palatino Linotype" w:cs="Tahoma"/>
          <w:color w:val="000000" w:themeColor="text1"/>
          <w:sz w:val="22"/>
          <w:szCs w:val="22"/>
          <w:lang w:eastAsia="en-US"/>
        </w:rPr>
      </w:pPr>
    </w:p>
    <w:p w14:paraId="6BA55F6B" w14:textId="77777777" w:rsidR="00810ED3" w:rsidRPr="00810ED3" w:rsidRDefault="00810ED3" w:rsidP="00695AC4">
      <w:pPr>
        <w:spacing w:line="360" w:lineRule="auto"/>
        <w:jc w:val="both"/>
        <w:rPr>
          <w:rFonts w:ascii="Palatino Linotype" w:eastAsiaTheme="minorHAnsi" w:hAnsi="Palatino Linotype" w:cs="Tahoma"/>
          <w:color w:val="000000" w:themeColor="text1"/>
          <w:sz w:val="22"/>
          <w:szCs w:val="22"/>
          <w:lang w:eastAsia="en-US"/>
        </w:rPr>
      </w:pPr>
      <w:r w:rsidRPr="00810ED3">
        <w:rPr>
          <w:rFonts w:ascii="Palatino Linotype" w:eastAsiaTheme="minorHAnsi" w:hAnsi="Palatino Linotype" w:cs="Tahoma"/>
          <w:color w:val="000000" w:themeColor="text1"/>
          <w:sz w:val="22"/>
          <w:szCs w:val="22"/>
          <w:lang w:eastAsia="en-US"/>
        </w:rPr>
        <w:t>Asimismo, establece que al proporcionar información pública es necesario que sea en un formato que no tenga ninguna restricción en el acceso o reutilización, por lo que, es necesario que los datos digitales (como ligas electrónicas), se proporcionen en un formato abierto, porque la entrega en datos cerrados puede propiciar error en la redacción y ello impide el acceso a la información.</w:t>
      </w:r>
    </w:p>
    <w:p w14:paraId="424A7E83" w14:textId="77777777" w:rsidR="00810ED3" w:rsidRPr="00810ED3" w:rsidRDefault="00810ED3" w:rsidP="00695AC4">
      <w:pPr>
        <w:spacing w:line="360" w:lineRule="auto"/>
        <w:jc w:val="both"/>
        <w:rPr>
          <w:rFonts w:ascii="Palatino Linotype" w:eastAsiaTheme="minorHAnsi" w:hAnsi="Palatino Linotype" w:cs="Tahoma"/>
          <w:color w:val="000000" w:themeColor="text1"/>
          <w:sz w:val="22"/>
          <w:szCs w:val="22"/>
          <w:lang w:eastAsia="en-US"/>
        </w:rPr>
      </w:pPr>
    </w:p>
    <w:p w14:paraId="3EE43E22" w14:textId="77777777" w:rsidR="00810ED3" w:rsidRPr="00810ED3" w:rsidRDefault="00810ED3" w:rsidP="00695AC4">
      <w:pPr>
        <w:spacing w:line="360" w:lineRule="auto"/>
        <w:jc w:val="both"/>
        <w:rPr>
          <w:rFonts w:ascii="Palatino Linotype" w:eastAsiaTheme="minorHAnsi" w:hAnsi="Palatino Linotype" w:cs="Tahoma"/>
          <w:color w:val="000000" w:themeColor="text1"/>
          <w:sz w:val="22"/>
          <w:szCs w:val="22"/>
          <w:lang w:eastAsia="en-US"/>
        </w:rPr>
      </w:pPr>
      <w:r w:rsidRPr="00810ED3">
        <w:rPr>
          <w:rFonts w:ascii="Palatino Linotype" w:eastAsiaTheme="minorHAnsi" w:hAnsi="Palatino Linotype" w:cs="Tahoma"/>
          <w:color w:val="000000" w:themeColor="text1"/>
          <w:sz w:val="22"/>
          <w:szCs w:val="22"/>
          <w:lang w:eastAsia="en-US"/>
        </w:rPr>
        <w:lastRenderedPageBreak/>
        <w:t>En ese contexto, el artículo 3°, fracción VI y X, de la Ley General de Transparencia y Acceso a la Información Pública, con relación, al diverso 3°, fracciones VIII y XVI de la Ley de Transparencia y Acceso a la Información Pública del Estado de México y Municipios, precisan lo siguiente:</w:t>
      </w:r>
    </w:p>
    <w:p w14:paraId="55307052" w14:textId="77777777" w:rsidR="00810ED3" w:rsidRPr="00810ED3" w:rsidRDefault="00810ED3" w:rsidP="00695AC4">
      <w:pPr>
        <w:spacing w:line="360" w:lineRule="auto"/>
        <w:jc w:val="both"/>
        <w:rPr>
          <w:rFonts w:ascii="Palatino Linotype" w:eastAsiaTheme="minorHAnsi" w:hAnsi="Palatino Linotype" w:cs="Tahoma"/>
          <w:color w:val="000000" w:themeColor="text1"/>
          <w:sz w:val="22"/>
          <w:szCs w:val="22"/>
          <w:lang w:eastAsia="en-US"/>
        </w:rPr>
      </w:pPr>
    </w:p>
    <w:p w14:paraId="3E51EF0D" w14:textId="77777777" w:rsidR="00810ED3" w:rsidRPr="00810ED3" w:rsidRDefault="00810ED3" w:rsidP="00695AC4">
      <w:pPr>
        <w:numPr>
          <w:ilvl w:val="0"/>
          <w:numId w:val="8"/>
        </w:numPr>
        <w:spacing w:line="360" w:lineRule="auto"/>
        <w:contextualSpacing/>
        <w:jc w:val="both"/>
        <w:rPr>
          <w:rFonts w:ascii="Palatino Linotype" w:hAnsi="Palatino Linotype" w:cs="Tahoma"/>
          <w:color w:val="000000" w:themeColor="text1"/>
          <w:sz w:val="22"/>
          <w:szCs w:val="24"/>
        </w:rPr>
      </w:pPr>
      <w:r w:rsidRPr="00810ED3">
        <w:rPr>
          <w:rFonts w:ascii="Palatino Linotype" w:hAnsi="Palatino Linotype" w:cs="Tahoma"/>
          <w:b/>
          <w:color w:val="000000" w:themeColor="text1"/>
          <w:sz w:val="22"/>
          <w:szCs w:val="24"/>
        </w:rPr>
        <w:t xml:space="preserve">Dato abierto: </w:t>
      </w:r>
      <w:r w:rsidRPr="00810ED3">
        <w:rPr>
          <w:rFonts w:ascii="Palatino Linotype" w:hAnsi="Palatino Linotype" w:cs="Tahoma"/>
          <w:color w:val="000000" w:themeColor="text1"/>
          <w:sz w:val="22"/>
          <w:szCs w:val="24"/>
        </w:rPr>
        <w:t>Datos digitales de carácter público que son accesibles en línea que pueden ser usados, reutilizados y redistribuidos por cualquier persona, mismos que se conforman de diversas características, entre las cuales se encuentra que se encuentren en formatos abiertos.</w:t>
      </w:r>
    </w:p>
    <w:p w14:paraId="684CA9D3" w14:textId="77777777" w:rsidR="00810ED3" w:rsidRPr="00810ED3" w:rsidRDefault="00810ED3" w:rsidP="00695AC4">
      <w:pPr>
        <w:spacing w:line="360" w:lineRule="auto"/>
        <w:jc w:val="both"/>
        <w:rPr>
          <w:rFonts w:ascii="Palatino Linotype" w:eastAsiaTheme="minorHAnsi" w:hAnsi="Palatino Linotype" w:cs="Tahoma"/>
          <w:color w:val="000000" w:themeColor="text1"/>
          <w:sz w:val="22"/>
          <w:szCs w:val="22"/>
          <w:lang w:eastAsia="en-US"/>
        </w:rPr>
      </w:pPr>
    </w:p>
    <w:p w14:paraId="601BF744" w14:textId="77777777" w:rsidR="00810ED3" w:rsidRPr="00810ED3" w:rsidRDefault="00810ED3" w:rsidP="00695AC4">
      <w:pPr>
        <w:numPr>
          <w:ilvl w:val="0"/>
          <w:numId w:val="8"/>
        </w:numPr>
        <w:spacing w:line="360" w:lineRule="auto"/>
        <w:contextualSpacing/>
        <w:jc w:val="both"/>
        <w:rPr>
          <w:rFonts w:ascii="Palatino Linotype" w:hAnsi="Palatino Linotype" w:cs="Tahoma"/>
          <w:color w:val="000000" w:themeColor="text1"/>
          <w:sz w:val="22"/>
          <w:szCs w:val="24"/>
        </w:rPr>
      </w:pPr>
      <w:r w:rsidRPr="00810ED3">
        <w:rPr>
          <w:rFonts w:ascii="Palatino Linotype" w:hAnsi="Palatino Linotype" w:cs="Tahoma"/>
          <w:b/>
          <w:color w:val="000000" w:themeColor="text1"/>
          <w:sz w:val="22"/>
          <w:szCs w:val="24"/>
        </w:rPr>
        <w:t>Formato accesible:</w:t>
      </w:r>
      <w:r w:rsidRPr="00810ED3">
        <w:rPr>
          <w:rFonts w:ascii="Palatino Linotype" w:hAnsi="Palatino Linotype" w:cs="Tahoma"/>
          <w:color w:val="000000" w:themeColor="text1"/>
          <w:sz w:val="22"/>
          <w:szCs w:val="24"/>
        </w:rPr>
        <w:t xml:space="preserve"> Conjunto de características técnicas y de presentación de la información que corresponden a la estructura lógica usada para almacenar datos de forma integral y facilitan su procesamiento digital, cuyas especificaciones estás disponibles públicamente y que permite el acceso sin restricción de uso por parte de los usuarios.</w:t>
      </w:r>
    </w:p>
    <w:p w14:paraId="2BE9CFF5" w14:textId="77777777" w:rsidR="00810ED3" w:rsidRPr="00810ED3" w:rsidRDefault="00810ED3" w:rsidP="00695AC4">
      <w:pPr>
        <w:spacing w:line="360" w:lineRule="auto"/>
        <w:jc w:val="both"/>
        <w:rPr>
          <w:rFonts w:ascii="Palatino Linotype" w:eastAsiaTheme="minorHAnsi" w:hAnsi="Palatino Linotype" w:cs="Tahoma"/>
          <w:color w:val="000000" w:themeColor="text1"/>
          <w:sz w:val="22"/>
          <w:szCs w:val="22"/>
          <w:lang w:eastAsia="en-US"/>
        </w:rPr>
      </w:pPr>
    </w:p>
    <w:p w14:paraId="43DBC531" w14:textId="77777777" w:rsidR="00810ED3" w:rsidRPr="00810ED3" w:rsidRDefault="00810ED3" w:rsidP="00695AC4">
      <w:pPr>
        <w:spacing w:line="360" w:lineRule="auto"/>
        <w:jc w:val="both"/>
        <w:rPr>
          <w:rFonts w:ascii="Palatino Linotype" w:eastAsiaTheme="minorHAnsi" w:hAnsi="Palatino Linotype" w:cs="Tahoma"/>
          <w:color w:val="000000" w:themeColor="text1"/>
          <w:sz w:val="22"/>
          <w:szCs w:val="22"/>
          <w:lang w:eastAsia="en-US"/>
        </w:rPr>
      </w:pPr>
      <w:r w:rsidRPr="00810ED3">
        <w:rPr>
          <w:rFonts w:ascii="Palatino Linotype" w:eastAsiaTheme="minorHAnsi" w:hAnsi="Palatino Linotype" w:cs="Tahoma"/>
          <w:color w:val="000000" w:themeColor="text1"/>
          <w:sz w:val="22"/>
          <w:szCs w:val="22"/>
          <w:lang w:eastAsia="en-US"/>
        </w:rPr>
        <w:t>Conforme a lo anterior, se considera que en el caso de que la información peticionada obre en ligas electrónicas, el Sujeto Obligado deberá privilegiar la entrega de estas, en datos abiertos, es decir, en un formato que permita la accesibilidad y facilidad a los Particulares, para obtener la información contenida estas.</w:t>
      </w:r>
    </w:p>
    <w:p w14:paraId="6128C4D0" w14:textId="77777777" w:rsidR="00810ED3" w:rsidRPr="00810ED3" w:rsidRDefault="00810ED3" w:rsidP="00695AC4">
      <w:pPr>
        <w:spacing w:line="360" w:lineRule="auto"/>
        <w:jc w:val="both"/>
        <w:rPr>
          <w:rFonts w:ascii="Palatino Linotype" w:eastAsiaTheme="minorHAnsi" w:hAnsi="Palatino Linotype" w:cs="Tahoma"/>
          <w:color w:val="000000" w:themeColor="text1"/>
          <w:sz w:val="22"/>
          <w:szCs w:val="22"/>
          <w:lang w:eastAsia="en-US"/>
        </w:rPr>
      </w:pPr>
    </w:p>
    <w:p w14:paraId="74133B7F" w14:textId="77777777" w:rsidR="00810ED3" w:rsidRPr="00810ED3" w:rsidRDefault="00810ED3" w:rsidP="00695AC4">
      <w:pPr>
        <w:spacing w:line="360" w:lineRule="auto"/>
        <w:jc w:val="both"/>
        <w:rPr>
          <w:rFonts w:ascii="Palatino Linotype" w:eastAsiaTheme="minorHAnsi" w:hAnsi="Palatino Linotype" w:cs="Tahoma"/>
          <w:color w:val="000000" w:themeColor="text1"/>
          <w:sz w:val="22"/>
          <w:szCs w:val="22"/>
          <w:lang w:eastAsia="en-US"/>
        </w:rPr>
      </w:pPr>
      <w:r w:rsidRPr="00810ED3">
        <w:rPr>
          <w:rFonts w:ascii="Palatino Linotype" w:eastAsiaTheme="minorHAnsi" w:hAnsi="Palatino Linotype" w:cs="Tahoma"/>
          <w:color w:val="000000" w:themeColor="text1"/>
          <w:sz w:val="22"/>
          <w:szCs w:val="22"/>
          <w:lang w:eastAsia="en-US"/>
        </w:rPr>
        <w:t xml:space="preserve">Al respecto, el artículo 161 de la Ley de Transparencia y Acceso a la Información Pública del Estado de México y Municipios, establece que cuando la documentación peticionada ya se encuentra disponible al público, entre otros, en formatos electrónicos disponibles en internet, los sujetos obligados cumplirán el derecho de acceso a la información, cuando le hagan saber </w:t>
      </w:r>
      <w:r w:rsidRPr="00810ED3">
        <w:rPr>
          <w:rFonts w:ascii="Palatino Linotype" w:eastAsiaTheme="minorHAnsi" w:hAnsi="Palatino Linotype" w:cs="Tahoma"/>
          <w:color w:val="000000" w:themeColor="text1"/>
          <w:sz w:val="22"/>
          <w:szCs w:val="22"/>
          <w:lang w:eastAsia="en-US"/>
        </w:rPr>
        <w:lastRenderedPageBreak/>
        <w:t>de manera precisa a los solicitantes, la fuente, el lugar y la forma en que se puede obtener la información.</w:t>
      </w:r>
    </w:p>
    <w:p w14:paraId="20DE7279" w14:textId="77777777" w:rsidR="00810ED3" w:rsidRPr="00810ED3" w:rsidRDefault="00810ED3" w:rsidP="00695AC4">
      <w:pPr>
        <w:spacing w:line="360" w:lineRule="auto"/>
        <w:jc w:val="both"/>
        <w:rPr>
          <w:rFonts w:ascii="Palatino Linotype" w:eastAsiaTheme="minorHAnsi" w:hAnsi="Palatino Linotype" w:cs="Tahoma"/>
          <w:color w:val="000000" w:themeColor="text1"/>
          <w:sz w:val="22"/>
          <w:szCs w:val="22"/>
          <w:lang w:eastAsia="en-US"/>
        </w:rPr>
      </w:pPr>
    </w:p>
    <w:p w14:paraId="10DA3ED6" w14:textId="77777777" w:rsidR="00810ED3" w:rsidRPr="00810ED3" w:rsidRDefault="00810ED3" w:rsidP="00695AC4">
      <w:pPr>
        <w:spacing w:line="360" w:lineRule="auto"/>
        <w:jc w:val="both"/>
        <w:rPr>
          <w:rFonts w:ascii="Palatino Linotype" w:eastAsiaTheme="minorHAnsi" w:hAnsi="Palatino Linotype" w:cs="Tahoma"/>
          <w:color w:val="000000" w:themeColor="text1"/>
          <w:sz w:val="22"/>
          <w:szCs w:val="22"/>
          <w:lang w:eastAsia="en-US"/>
        </w:rPr>
      </w:pPr>
      <w:r w:rsidRPr="00810ED3">
        <w:rPr>
          <w:rFonts w:ascii="Palatino Linotype" w:eastAsiaTheme="minorHAnsi" w:hAnsi="Palatino Linotype" w:cs="Tahoma"/>
          <w:color w:val="000000" w:themeColor="text1"/>
          <w:sz w:val="22"/>
          <w:szCs w:val="22"/>
          <w:lang w:eastAsia="en-US"/>
        </w:rPr>
        <w:t>Como se logra observar, el Sujeto Obligado, si bien proporcionó la página electrónica en la que a su consideración se encontraba la información solicitada, este omitió proporcionarla en formato abierto, es decir, hizo entrega de la liga en un formato cerrado, lo cual implica la dificultad de acceder a la misma, pues se traduce al hecho de que el Particular tendría que colocar cada dígito alfanumérico, y cuya equivocación implicaría no acceder a la información contenida en las mismas, por lo que, se considera que incumplió con lo establecido en el artículo 161 de la Ley de Transparencia y Acceso a la Información Pública del Estado de México y Municipios.</w:t>
      </w:r>
    </w:p>
    <w:p w14:paraId="1FA95808" w14:textId="77777777" w:rsidR="00810ED3" w:rsidRPr="00810ED3" w:rsidRDefault="00810ED3" w:rsidP="00695AC4">
      <w:pPr>
        <w:spacing w:line="360" w:lineRule="auto"/>
        <w:jc w:val="both"/>
        <w:rPr>
          <w:rFonts w:ascii="Palatino Linotype" w:eastAsiaTheme="minorHAnsi" w:hAnsi="Palatino Linotype" w:cs="Tahoma"/>
          <w:color w:val="000000" w:themeColor="text1"/>
          <w:sz w:val="22"/>
          <w:szCs w:val="22"/>
          <w:lang w:eastAsia="en-US"/>
        </w:rPr>
      </w:pPr>
    </w:p>
    <w:p w14:paraId="62C24C59" w14:textId="251BA384" w:rsidR="009E01C8" w:rsidRPr="00D75941" w:rsidRDefault="00810ED3" w:rsidP="00D75941">
      <w:pPr>
        <w:spacing w:line="360" w:lineRule="auto"/>
        <w:contextualSpacing/>
        <w:jc w:val="both"/>
        <w:rPr>
          <w:rFonts w:ascii="Palatino Linotype" w:eastAsia="Calibri" w:hAnsi="Palatino Linotype" w:cs="Tahoma"/>
          <w:bCs/>
          <w:color w:val="000000" w:themeColor="text1"/>
          <w:sz w:val="22"/>
          <w:szCs w:val="22"/>
          <w:lang w:eastAsia="en-US"/>
        </w:rPr>
      </w:pPr>
      <w:r w:rsidRPr="00810ED3">
        <w:rPr>
          <w:rFonts w:ascii="Palatino Linotype" w:eastAsia="Calibri" w:hAnsi="Palatino Linotype" w:cs="Tahoma"/>
          <w:bCs/>
          <w:color w:val="000000" w:themeColor="text1"/>
          <w:sz w:val="22"/>
          <w:szCs w:val="22"/>
          <w:lang w:eastAsia="en-US"/>
        </w:rPr>
        <w:t xml:space="preserve">En razón de ello, </w:t>
      </w:r>
      <w:r w:rsidR="00C61E36" w:rsidRPr="00C61E36">
        <w:rPr>
          <w:rFonts w:ascii="Palatino Linotype" w:eastAsia="Calibri" w:hAnsi="Palatino Linotype" w:cs="Tahoma"/>
          <w:bCs/>
          <w:color w:val="000000" w:themeColor="text1"/>
          <w:sz w:val="22"/>
          <w:szCs w:val="22"/>
          <w:lang w:eastAsia="en-US"/>
        </w:rPr>
        <w:t xml:space="preserve">el Sistema Municipal </w:t>
      </w:r>
      <w:r w:rsidR="00D75941">
        <w:rPr>
          <w:rFonts w:ascii="Palatino Linotype" w:eastAsia="Calibri" w:hAnsi="Palatino Linotype" w:cs="Tahoma"/>
          <w:bCs/>
          <w:color w:val="000000" w:themeColor="text1"/>
          <w:sz w:val="22"/>
          <w:szCs w:val="22"/>
          <w:lang w:eastAsia="en-US"/>
        </w:rPr>
        <w:t>p</w:t>
      </w:r>
      <w:r w:rsidR="00C61E36" w:rsidRPr="00C61E36">
        <w:rPr>
          <w:rFonts w:ascii="Palatino Linotype" w:eastAsia="Calibri" w:hAnsi="Palatino Linotype" w:cs="Tahoma"/>
          <w:bCs/>
          <w:color w:val="000000" w:themeColor="text1"/>
          <w:sz w:val="22"/>
          <w:szCs w:val="22"/>
          <w:lang w:eastAsia="en-US"/>
        </w:rPr>
        <w:t>ara el Desarrollo Integral de la Familia de Toluca</w:t>
      </w:r>
      <w:r w:rsidRPr="00810ED3">
        <w:rPr>
          <w:rFonts w:ascii="Palatino Linotype" w:eastAsia="Calibri" w:hAnsi="Palatino Linotype" w:cs="Tahoma"/>
          <w:bCs/>
          <w:color w:val="000000" w:themeColor="text1"/>
          <w:sz w:val="22"/>
          <w:szCs w:val="22"/>
          <w:lang w:eastAsia="en-US"/>
        </w:rPr>
        <w:t>, deberá hacer entrega de la información solicitada,</w:t>
      </w:r>
      <w:r w:rsidR="00D152FA">
        <w:rPr>
          <w:rFonts w:ascii="Palatino Linotype" w:eastAsia="Calibri" w:hAnsi="Palatino Linotype" w:cs="Tahoma"/>
          <w:bCs/>
          <w:color w:val="000000" w:themeColor="text1"/>
          <w:sz w:val="22"/>
          <w:szCs w:val="22"/>
          <w:lang w:eastAsia="en-US"/>
        </w:rPr>
        <w:t xml:space="preserve"> a saber, soporte documental de las solicitudes de información recibidas y las respuestas emitidas por cada una de las áreas,</w:t>
      </w:r>
      <w:r w:rsidR="009E01C8">
        <w:rPr>
          <w:rFonts w:ascii="Palatino Linotype" w:eastAsia="Calibri" w:hAnsi="Palatino Linotype" w:cs="Tahoma"/>
          <w:bCs/>
          <w:color w:val="000000" w:themeColor="text1"/>
          <w:sz w:val="22"/>
          <w:szCs w:val="22"/>
          <w:lang w:eastAsia="en-US"/>
        </w:rPr>
        <w:t xml:space="preserve"> </w:t>
      </w:r>
      <w:r w:rsidR="00D152FA">
        <w:rPr>
          <w:rFonts w:ascii="Palatino Linotype" w:eastAsia="Calibri" w:hAnsi="Palatino Linotype" w:cs="Tahoma"/>
          <w:bCs/>
          <w:color w:val="000000" w:themeColor="text1"/>
          <w:sz w:val="22"/>
          <w:szCs w:val="22"/>
          <w:lang w:eastAsia="en-US"/>
        </w:rPr>
        <w:t xml:space="preserve">información </w:t>
      </w:r>
      <w:r w:rsidR="009E01C8">
        <w:rPr>
          <w:rFonts w:ascii="Palatino Linotype" w:eastAsia="Calibri" w:hAnsi="Palatino Linotype" w:cs="Tahoma"/>
          <w:bCs/>
          <w:color w:val="000000" w:themeColor="text1"/>
          <w:sz w:val="22"/>
          <w:szCs w:val="22"/>
          <w:lang w:eastAsia="en-US"/>
        </w:rPr>
        <w:t>correspondiente al ejercicio dos mil veinticuatro</w:t>
      </w:r>
      <w:r w:rsidR="00D152FA">
        <w:rPr>
          <w:rFonts w:ascii="Palatino Linotype" w:eastAsia="Calibri" w:hAnsi="Palatino Linotype" w:cs="Tahoma"/>
          <w:bCs/>
          <w:color w:val="000000" w:themeColor="text1"/>
          <w:sz w:val="22"/>
          <w:szCs w:val="22"/>
          <w:lang w:eastAsia="en-US"/>
        </w:rPr>
        <w:t>.</w:t>
      </w:r>
      <w:r w:rsidR="00A04D75">
        <w:rPr>
          <w:rFonts w:ascii="Palatino Linotype" w:eastAsia="Calibri" w:hAnsi="Palatino Linotype" w:cs="Tahoma"/>
          <w:bCs/>
          <w:color w:val="000000" w:themeColor="text1"/>
          <w:sz w:val="22"/>
          <w:szCs w:val="22"/>
          <w:lang w:eastAsia="en-US"/>
        </w:rPr>
        <w:t xml:space="preserve"> Para dar atención a las solicitudes puede ser suficiente entregar de nueva cuenta la liga de acceso a las solicitudes de acceso a la información y sus respuestas, pero en un formato abierto, de tal forma que la persona Recurrente pueda acceder de manera sencilla, la otra forma es conceder acceso a la liga directa del </w:t>
      </w:r>
      <w:proofErr w:type="spellStart"/>
      <w:r w:rsidR="00A04D75">
        <w:rPr>
          <w:rFonts w:ascii="Palatino Linotype" w:eastAsia="Calibri" w:hAnsi="Palatino Linotype" w:cs="Tahoma"/>
          <w:bCs/>
          <w:color w:val="000000" w:themeColor="text1"/>
          <w:sz w:val="22"/>
          <w:szCs w:val="22"/>
          <w:lang w:eastAsia="en-US"/>
        </w:rPr>
        <w:t>Ipomex</w:t>
      </w:r>
      <w:proofErr w:type="spellEnd"/>
      <w:r w:rsidR="00A04D75">
        <w:rPr>
          <w:rFonts w:ascii="Palatino Linotype" w:eastAsia="Calibri" w:hAnsi="Palatino Linotype" w:cs="Tahoma"/>
          <w:bCs/>
          <w:color w:val="000000" w:themeColor="text1"/>
          <w:sz w:val="22"/>
          <w:szCs w:val="22"/>
          <w:lang w:eastAsia="en-US"/>
        </w:rPr>
        <w:t xml:space="preserve"> y la ruta para acceder a las solicitudes y las respuestas. La última vía es entregar de manera directa los documentos en su caso en versión pública de las solicitudes y respuestas. </w:t>
      </w:r>
    </w:p>
    <w:p w14:paraId="3848D908" w14:textId="77777777" w:rsidR="00D340B1" w:rsidRDefault="00D340B1" w:rsidP="00695AC4">
      <w:pPr>
        <w:spacing w:line="360" w:lineRule="auto"/>
        <w:contextualSpacing/>
        <w:jc w:val="both"/>
        <w:rPr>
          <w:rFonts w:ascii="Palatino Linotype" w:eastAsia="Calibri" w:hAnsi="Palatino Linotype" w:cs="Tahoma"/>
          <w:bCs/>
          <w:color w:val="000000" w:themeColor="text1"/>
          <w:sz w:val="22"/>
          <w:szCs w:val="22"/>
          <w:lang w:val="es-ES" w:eastAsia="en-US"/>
        </w:rPr>
      </w:pPr>
    </w:p>
    <w:p w14:paraId="72E42977" w14:textId="77777777" w:rsidR="00D340B1" w:rsidRPr="00D340B1" w:rsidRDefault="00D340B1" w:rsidP="00695AC4">
      <w:pPr>
        <w:tabs>
          <w:tab w:val="left" w:pos="4962"/>
        </w:tabs>
        <w:spacing w:line="360" w:lineRule="auto"/>
        <w:jc w:val="both"/>
        <w:rPr>
          <w:rFonts w:ascii="Palatino Linotype" w:hAnsi="Palatino Linotype" w:cs="Tahoma"/>
          <w:sz w:val="22"/>
          <w:szCs w:val="22"/>
        </w:rPr>
      </w:pPr>
      <w:r w:rsidRPr="00D340B1">
        <w:rPr>
          <w:rFonts w:ascii="Palatino Linotype" w:hAnsi="Palatino Linotype" w:cs="Tahoma"/>
          <w:sz w:val="22"/>
          <w:szCs w:val="22"/>
        </w:rPr>
        <w:t xml:space="preserve">De esta manera, </w:t>
      </w:r>
      <w:r w:rsidRPr="00D340B1">
        <w:rPr>
          <w:rFonts w:ascii="Palatino Linotype" w:hAnsi="Palatino Linotype" w:cs="Tahoma"/>
          <w:sz w:val="22"/>
          <w:szCs w:val="24"/>
          <w:lang w:val="es-ES"/>
        </w:rPr>
        <w:t xml:space="preserve">el derecho de acceso a la información pública se satisface en aquellos casos en que se entregue el soporte documental en el que conste la información solicitada, sin necesidad </w:t>
      </w:r>
      <w:r w:rsidRPr="00D340B1">
        <w:rPr>
          <w:rFonts w:ascii="Palatino Linotype" w:hAnsi="Palatino Linotype" w:cs="Tahoma"/>
          <w:sz w:val="22"/>
          <w:szCs w:val="24"/>
          <w:lang w:val="es-ES"/>
        </w:rPr>
        <w:lastRenderedPageBreak/>
        <w:t xml:space="preserve">de elaborar documentos </w:t>
      </w:r>
      <w:r w:rsidRPr="00D340B1">
        <w:rPr>
          <w:rFonts w:ascii="Palatino Linotype" w:hAnsi="Palatino Linotype" w:cs="Tahoma"/>
          <w:i/>
          <w:sz w:val="22"/>
          <w:szCs w:val="22"/>
        </w:rPr>
        <w:t>ad hoc</w:t>
      </w:r>
      <w:r w:rsidRPr="00D340B1">
        <w:rPr>
          <w:rFonts w:ascii="Palatino Linotype" w:hAnsi="Palatino Linotype" w:cs="Tahoma"/>
          <w:sz w:val="22"/>
          <w:szCs w:val="22"/>
        </w:rPr>
        <w:t xml:space="preserve">; lo cual, de conformidad con en el artículo 160 de la Ley de Transparencia y Acceso a la Información Pública del Estado de México y Municipios, el cual refiere que los sujetos obligados deberán entregar la información que obre en sus archivos. </w:t>
      </w:r>
    </w:p>
    <w:p w14:paraId="3617B317" w14:textId="77777777" w:rsidR="00D340B1" w:rsidRPr="00D340B1" w:rsidRDefault="00D340B1" w:rsidP="00695AC4">
      <w:pPr>
        <w:tabs>
          <w:tab w:val="left" w:pos="4962"/>
        </w:tabs>
        <w:spacing w:line="360" w:lineRule="auto"/>
        <w:jc w:val="both"/>
        <w:rPr>
          <w:rFonts w:ascii="Palatino Linotype" w:hAnsi="Palatino Linotype" w:cs="Tahoma"/>
          <w:sz w:val="22"/>
          <w:szCs w:val="22"/>
        </w:rPr>
      </w:pPr>
    </w:p>
    <w:p w14:paraId="5252D30E" w14:textId="77777777" w:rsidR="00D44071" w:rsidRPr="00D44071" w:rsidRDefault="00D44071" w:rsidP="00695AC4">
      <w:pPr>
        <w:spacing w:line="360" w:lineRule="auto"/>
        <w:jc w:val="both"/>
        <w:rPr>
          <w:rFonts w:ascii="Palatino Linotype" w:hAnsi="Palatino Linotype" w:cs="Tahoma"/>
          <w:bCs/>
          <w:iCs/>
          <w:sz w:val="22"/>
          <w:szCs w:val="22"/>
          <w:lang w:val="es-ES"/>
        </w:rPr>
      </w:pPr>
      <w:bookmarkStart w:id="16" w:name="_Hlk76480431"/>
      <w:r w:rsidRPr="00D44071">
        <w:rPr>
          <w:rFonts w:ascii="Palatino Linotype" w:hAnsi="Palatino Linotype" w:cs="Tahoma"/>
          <w:bCs/>
          <w:iCs/>
          <w:sz w:val="22"/>
          <w:szCs w:val="22"/>
          <w:lang w:val="es-ES_tradnl"/>
        </w:rPr>
        <w:t>No pasa desapercibido para este Instituto que los documentos que den cuenta de lo solicitado, pudieran contener datos confidenciales; a</w:t>
      </w:r>
      <w:r w:rsidRPr="00D44071">
        <w:rPr>
          <w:rFonts w:ascii="Palatino Linotype" w:hAnsi="Palatino Linotype" w:cs="Tahoma"/>
          <w:bCs/>
          <w:iCs/>
          <w:sz w:val="22"/>
          <w:szCs w:val="22"/>
          <w:lang w:val="es-ES"/>
        </w:rPr>
        <w:t xml:space="preserve">l respecto, conforme al artículo 3°, fracción XLV, relacionado con el 137, ambos de la Ley de Transparencia y Acceso a la Información Pública del Estado de México y Municipios, cuando un documento contenga información pública y reservada o confidencial, la Unidad de Transparencia para efectos de atender al requerimiento informativo, deberá elaborar una versión Pública en la que se testen las partes o secciones clasificadas, indicando su contenido de manera genérica y fundando y motivando su clasificación. </w:t>
      </w:r>
    </w:p>
    <w:p w14:paraId="4E77A41D" w14:textId="77777777" w:rsidR="00D44071" w:rsidRPr="00D44071" w:rsidRDefault="00D44071" w:rsidP="00695AC4">
      <w:pPr>
        <w:spacing w:line="360" w:lineRule="auto"/>
        <w:jc w:val="both"/>
        <w:rPr>
          <w:rFonts w:ascii="Palatino Linotype" w:hAnsi="Palatino Linotype" w:cs="Tahoma"/>
          <w:bCs/>
          <w:iCs/>
          <w:sz w:val="22"/>
          <w:szCs w:val="22"/>
          <w:lang w:val="es-ES"/>
        </w:rPr>
      </w:pPr>
    </w:p>
    <w:p w14:paraId="4E595007" w14:textId="5EDFD92E" w:rsidR="00D44071" w:rsidRDefault="00D44071" w:rsidP="00695AC4">
      <w:pPr>
        <w:spacing w:line="360" w:lineRule="auto"/>
        <w:jc w:val="both"/>
        <w:rPr>
          <w:rFonts w:ascii="Palatino Linotype" w:hAnsi="Palatino Linotype" w:cs="Tahoma"/>
          <w:bCs/>
          <w:iCs/>
          <w:sz w:val="22"/>
          <w:szCs w:val="22"/>
          <w:lang w:val="es-ES"/>
        </w:rPr>
      </w:pPr>
      <w:r w:rsidRPr="00D44071">
        <w:rPr>
          <w:rFonts w:ascii="Palatino Linotype" w:hAnsi="Palatino Linotype" w:cs="Tahoma"/>
          <w:bCs/>
          <w:iCs/>
          <w:sz w:val="22"/>
          <w:szCs w:val="22"/>
          <w:lang w:val="es-ES"/>
        </w:rPr>
        <w:t>Para tal situación, el Sujeto Obligado deberá seguir el procedimiento establecido en el artículo 168 de dicho ordenamiento jurídico; esto es, que el área competente deberá elaborar la versión pública, así como emitir el Acuerdo, por parte del Comité de Transparencia, donde confirme la clasificación de los datos o documentos, fundando y motivando la clasificación.</w:t>
      </w:r>
      <w:bookmarkEnd w:id="16"/>
    </w:p>
    <w:p w14:paraId="725513AD" w14:textId="77777777" w:rsidR="00A04D75" w:rsidRDefault="00A04D75" w:rsidP="00695AC4">
      <w:pPr>
        <w:spacing w:line="360" w:lineRule="auto"/>
        <w:jc w:val="both"/>
        <w:rPr>
          <w:rFonts w:ascii="Palatino Linotype" w:hAnsi="Palatino Linotype" w:cs="Tahoma"/>
          <w:bCs/>
          <w:iCs/>
          <w:sz w:val="22"/>
          <w:szCs w:val="22"/>
          <w:lang w:val="es-ES"/>
        </w:rPr>
      </w:pPr>
    </w:p>
    <w:p w14:paraId="3CD4DBBE" w14:textId="21FA9D81" w:rsidR="00A04D75" w:rsidRDefault="00A04D75" w:rsidP="00695AC4">
      <w:pPr>
        <w:spacing w:line="360" w:lineRule="auto"/>
        <w:jc w:val="both"/>
        <w:rPr>
          <w:rFonts w:ascii="Palatino Linotype" w:eastAsia="Calibri" w:hAnsi="Palatino Linotype" w:cs="Tahoma"/>
          <w:b/>
          <w:bCs/>
          <w:szCs w:val="22"/>
          <w:lang w:eastAsia="en-US"/>
        </w:rPr>
      </w:pPr>
      <w:r>
        <w:rPr>
          <w:rFonts w:ascii="Palatino Linotype" w:hAnsi="Palatino Linotype" w:cs="Tahoma"/>
          <w:bCs/>
          <w:iCs/>
          <w:sz w:val="22"/>
          <w:szCs w:val="22"/>
          <w:lang w:val="es-ES"/>
        </w:rPr>
        <w:t xml:space="preserve">No se omite aclara al Recurrente, que la entrega  de información en medios electrónicos es suficiente para tener por atendida las solicitudes de acceso a la información cuando esta ya se encuentra disponible en fuentes de acceso público como el IPOMEX (artículo 161 de la Ley de Transparencia y Acceso a la Información Pública del Estado de México y Municipios), que justamente fue elaborado para garantizar el derecho de acceso a la información,  de tal suerte que, si la información ya es de acceso público como las solicitudes de información en donde además de la respuesta se indica si estas fueron recurridas o no, no es necesario que se </w:t>
      </w:r>
      <w:r>
        <w:rPr>
          <w:rFonts w:ascii="Palatino Linotype" w:hAnsi="Palatino Linotype" w:cs="Tahoma"/>
          <w:bCs/>
          <w:iCs/>
          <w:sz w:val="22"/>
          <w:szCs w:val="22"/>
          <w:lang w:val="es-ES"/>
        </w:rPr>
        <w:lastRenderedPageBreak/>
        <w:t>entreguen todos los formatos para efecto de la sustanciación del procedimiento de atención se generó, en virtud de que, la información que usted requiere, ya se encuentra disponible en Internet.</w:t>
      </w:r>
    </w:p>
    <w:p w14:paraId="535FEC57" w14:textId="77777777" w:rsidR="00D44071" w:rsidRDefault="00D44071" w:rsidP="00695AC4">
      <w:pPr>
        <w:spacing w:line="360" w:lineRule="auto"/>
        <w:jc w:val="both"/>
        <w:rPr>
          <w:rFonts w:ascii="Palatino Linotype" w:eastAsia="Calibri" w:hAnsi="Palatino Linotype" w:cs="Tahoma"/>
          <w:b/>
          <w:bCs/>
          <w:szCs w:val="22"/>
          <w:lang w:eastAsia="en-US"/>
        </w:rPr>
      </w:pPr>
    </w:p>
    <w:p w14:paraId="2ACB3EBA" w14:textId="4E6D4244" w:rsidR="00401071" w:rsidRDefault="004717ED" w:rsidP="00695AC4">
      <w:pPr>
        <w:pStyle w:val="Ttulo2"/>
        <w:spacing w:before="0"/>
        <w:rPr>
          <w:rFonts w:eastAsia="Calibri"/>
          <w:bCs/>
          <w:lang w:eastAsia="en-US"/>
        </w:rPr>
      </w:pPr>
      <w:bookmarkStart w:id="17" w:name="_Toc190695557"/>
      <w:r>
        <w:rPr>
          <w:lang w:val="es-ES"/>
        </w:rPr>
        <w:t>SEXTO. Decisión</w:t>
      </w:r>
      <w:bookmarkEnd w:id="17"/>
    </w:p>
    <w:p w14:paraId="5232287B" w14:textId="77777777" w:rsidR="00401071" w:rsidRDefault="00401071" w:rsidP="00695AC4">
      <w:pPr>
        <w:spacing w:line="360" w:lineRule="auto"/>
        <w:jc w:val="both"/>
        <w:rPr>
          <w:rFonts w:ascii="Palatino Linotype" w:hAnsi="Palatino Linotype" w:cs="Tahoma"/>
          <w:sz w:val="22"/>
          <w:szCs w:val="22"/>
        </w:rPr>
      </w:pPr>
    </w:p>
    <w:p w14:paraId="38452E32" w14:textId="384DB8EA" w:rsidR="00E068A5" w:rsidRDefault="00401071" w:rsidP="00695AC4">
      <w:pPr>
        <w:spacing w:line="360" w:lineRule="auto"/>
        <w:jc w:val="both"/>
        <w:rPr>
          <w:rFonts w:ascii="Palatino Linotype" w:hAnsi="Palatino Linotype" w:cs="Tahoma"/>
          <w:sz w:val="22"/>
          <w:szCs w:val="22"/>
        </w:rPr>
      </w:pPr>
      <w:bookmarkStart w:id="18" w:name="_Hlk68806260"/>
      <w:r>
        <w:rPr>
          <w:rFonts w:ascii="Palatino Linotype" w:hAnsi="Palatino Linotype" w:cs="Tahoma"/>
          <w:sz w:val="22"/>
          <w:szCs w:val="22"/>
        </w:rPr>
        <w:t>Con fundamento en el artículo 186, fracción I</w:t>
      </w:r>
      <w:r w:rsidR="00181F1F">
        <w:rPr>
          <w:rFonts w:ascii="Palatino Linotype" w:hAnsi="Palatino Linotype" w:cs="Tahoma"/>
          <w:sz w:val="22"/>
          <w:szCs w:val="22"/>
        </w:rPr>
        <w:t>I</w:t>
      </w:r>
      <w:r>
        <w:rPr>
          <w:rFonts w:ascii="Palatino Linotype" w:hAnsi="Palatino Linotype" w:cs="Tahoma"/>
          <w:sz w:val="22"/>
          <w:szCs w:val="22"/>
        </w:rPr>
        <w:t xml:space="preserve">I, de la Ley de Transparencia y Acceso a la Información Pública del Estado de México y Municipios, este Instituto considera procedente </w:t>
      </w:r>
      <w:r w:rsidR="00681AE0">
        <w:rPr>
          <w:rFonts w:ascii="Palatino Linotype" w:hAnsi="Palatino Linotype" w:cs="Tahoma"/>
          <w:b/>
          <w:sz w:val="22"/>
          <w:szCs w:val="22"/>
        </w:rPr>
        <w:t>MODIFI</w:t>
      </w:r>
      <w:r w:rsidR="00181F1F">
        <w:rPr>
          <w:rFonts w:ascii="Palatino Linotype" w:hAnsi="Palatino Linotype" w:cs="Tahoma"/>
          <w:b/>
          <w:sz w:val="22"/>
          <w:szCs w:val="22"/>
        </w:rPr>
        <w:t>C</w:t>
      </w:r>
      <w:r>
        <w:rPr>
          <w:rFonts w:ascii="Palatino Linotype" w:hAnsi="Palatino Linotype" w:cs="Tahoma"/>
          <w:b/>
          <w:sz w:val="22"/>
          <w:szCs w:val="22"/>
        </w:rPr>
        <w:t xml:space="preserve">AR </w:t>
      </w:r>
      <w:r>
        <w:rPr>
          <w:rFonts w:ascii="Palatino Linotype" w:hAnsi="Palatino Linotype" w:cs="Tahoma"/>
          <w:sz w:val="22"/>
          <w:szCs w:val="22"/>
        </w:rPr>
        <w:t xml:space="preserve">la respuesta otorgada por </w:t>
      </w:r>
      <w:r w:rsidR="00C61E36" w:rsidRPr="00C61E36">
        <w:rPr>
          <w:rFonts w:ascii="Palatino Linotype" w:hAnsi="Palatino Linotype" w:cs="Tahoma"/>
          <w:sz w:val="22"/>
          <w:szCs w:val="22"/>
        </w:rPr>
        <w:t xml:space="preserve">el Sistema Municipal </w:t>
      </w:r>
      <w:r w:rsidR="00870A55">
        <w:rPr>
          <w:rFonts w:ascii="Palatino Linotype" w:hAnsi="Palatino Linotype" w:cs="Tahoma"/>
          <w:sz w:val="22"/>
          <w:szCs w:val="22"/>
        </w:rPr>
        <w:t>p</w:t>
      </w:r>
      <w:r w:rsidR="00C61E36" w:rsidRPr="00C61E36">
        <w:rPr>
          <w:rFonts w:ascii="Palatino Linotype" w:hAnsi="Palatino Linotype" w:cs="Tahoma"/>
          <w:sz w:val="22"/>
          <w:szCs w:val="22"/>
        </w:rPr>
        <w:t>ara el Desarrollo Integral de la Familia de Toluca</w:t>
      </w:r>
      <w:r>
        <w:rPr>
          <w:rFonts w:ascii="Palatino Linotype" w:hAnsi="Palatino Linotype" w:cs="Tahoma"/>
          <w:sz w:val="22"/>
          <w:szCs w:val="22"/>
        </w:rPr>
        <w:t xml:space="preserve">, a la solicitud de acceso a la información </w:t>
      </w:r>
      <w:r w:rsidR="00DC5CE3" w:rsidRPr="00DC5CE3">
        <w:rPr>
          <w:rFonts w:ascii="Palatino Linotype" w:eastAsia="Calibri" w:hAnsi="Palatino Linotype" w:cs="Tahoma"/>
          <w:iCs/>
          <w:sz w:val="22"/>
          <w:szCs w:val="22"/>
          <w:lang w:eastAsia="en-US"/>
        </w:rPr>
        <w:t>000</w:t>
      </w:r>
      <w:r w:rsidR="00681AE0">
        <w:rPr>
          <w:rFonts w:ascii="Palatino Linotype" w:eastAsia="Calibri" w:hAnsi="Palatino Linotype" w:cs="Tahoma"/>
          <w:iCs/>
          <w:sz w:val="22"/>
          <w:szCs w:val="22"/>
          <w:lang w:eastAsia="en-US"/>
        </w:rPr>
        <w:t>29</w:t>
      </w:r>
      <w:r w:rsidR="00DC5CE3" w:rsidRPr="00DC5CE3">
        <w:rPr>
          <w:rFonts w:ascii="Palatino Linotype" w:eastAsia="Calibri" w:hAnsi="Palatino Linotype" w:cs="Tahoma"/>
          <w:iCs/>
          <w:sz w:val="22"/>
          <w:szCs w:val="22"/>
          <w:lang w:eastAsia="en-US"/>
        </w:rPr>
        <w:t>/DIFTOLUCA/IP/2025</w:t>
      </w:r>
      <w:r w:rsidRPr="00F1285A">
        <w:rPr>
          <w:rFonts w:ascii="Palatino Linotype" w:hAnsi="Palatino Linotype" w:cs="Tahoma"/>
          <w:sz w:val="22"/>
          <w:szCs w:val="22"/>
        </w:rPr>
        <w:t xml:space="preserve">, referente al Recurso de Revisión con número </w:t>
      </w:r>
      <w:r w:rsidR="00181F1F" w:rsidRPr="00181F1F">
        <w:rPr>
          <w:rFonts w:ascii="Palatino Linotype" w:hAnsi="Palatino Linotype" w:cs="Tahoma"/>
          <w:sz w:val="22"/>
          <w:szCs w:val="22"/>
        </w:rPr>
        <w:t>0</w:t>
      </w:r>
      <w:r w:rsidR="00DC5CE3">
        <w:rPr>
          <w:rFonts w:ascii="Palatino Linotype" w:hAnsi="Palatino Linotype" w:cs="Tahoma"/>
          <w:sz w:val="22"/>
          <w:szCs w:val="22"/>
        </w:rPr>
        <w:t>0</w:t>
      </w:r>
      <w:r w:rsidR="00681AE0">
        <w:rPr>
          <w:rFonts w:ascii="Palatino Linotype" w:hAnsi="Palatino Linotype" w:cs="Tahoma"/>
          <w:sz w:val="22"/>
          <w:szCs w:val="22"/>
        </w:rPr>
        <w:t>426</w:t>
      </w:r>
      <w:r w:rsidR="00181F1F" w:rsidRPr="00181F1F">
        <w:rPr>
          <w:rFonts w:ascii="Palatino Linotype" w:hAnsi="Palatino Linotype" w:cs="Tahoma"/>
          <w:sz w:val="22"/>
          <w:szCs w:val="22"/>
        </w:rPr>
        <w:t>/INFOEM/IP/RR/202</w:t>
      </w:r>
      <w:r w:rsidR="00DC5CE3">
        <w:rPr>
          <w:rFonts w:ascii="Palatino Linotype" w:hAnsi="Palatino Linotype" w:cs="Tahoma"/>
          <w:sz w:val="22"/>
          <w:szCs w:val="22"/>
        </w:rPr>
        <w:t>5.</w:t>
      </w:r>
    </w:p>
    <w:p w14:paraId="07F0A340" w14:textId="77777777" w:rsidR="00E068A5" w:rsidRDefault="00E068A5" w:rsidP="00695AC4">
      <w:pPr>
        <w:spacing w:line="360" w:lineRule="auto"/>
        <w:jc w:val="both"/>
        <w:rPr>
          <w:rFonts w:ascii="Palatino Linotype" w:hAnsi="Palatino Linotype" w:cs="Tahoma"/>
          <w:sz w:val="22"/>
          <w:szCs w:val="22"/>
        </w:rPr>
      </w:pPr>
    </w:p>
    <w:p w14:paraId="1059DA85" w14:textId="510A01B7" w:rsidR="00401071" w:rsidRPr="00146732" w:rsidRDefault="00401071" w:rsidP="00695AC4">
      <w:pPr>
        <w:pStyle w:val="Ttulo3"/>
        <w:spacing w:before="0"/>
        <w:rPr>
          <w:lang w:val="es-ES" w:eastAsia="en-US"/>
        </w:rPr>
      </w:pPr>
      <w:bookmarkStart w:id="19" w:name="_Toc190695558"/>
      <w:r w:rsidRPr="00146732">
        <w:rPr>
          <w:lang w:val="es-ES" w:eastAsia="en-US"/>
        </w:rPr>
        <w:t>Términos de la Resolución para conocimiento del Particular.</w:t>
      </w:r>
      <w:bookmarkEnd w:id="19"/>
    </w:p>
    <w:p w14:paraId="6220CE8C" w14:textId="77777777" w:rsidR="00401071" w:rsidRPr="00146732" w:rsidRDefault="00401071" w:rsidP="00695AC4">
      <w:pPr>
        <w:autoSpaceDE w:val="0"/>
        <w:autoSpaceDN w:val="0"/>
        <w:adjustRightInd w:val="0"/>
        <w:spacing w:line="360" w:lineRule="auto"/>
        <w:jc w:val="both"/>
        <w:rPr>
          <w:rFonts w:ascii="Palatino Linotype" w:eastAsia="Calibri" w:hAnsi="Palatino Linotype" w:cs="Tahoma"/>
          <w:b/>
          <w:bCs/>
          <w:iCs/>
          <w:sz w:val="22"/>
          <w:szCs w:val="22"/>
          <w:lang w:val="es-ES" w:eastAsia="en-US"/>
        </w:rPr>
      </w:pPr>
    </w:p>
    <w:p w14:paraId="43CE93BB" w14:textId="1B65CBB0" w:rsidR="00B65BDF" w:rsidRDefault="00F1285A" w:rsidP="00695AC4">
      <w:pPr>
        <w:spacing w:line="360" w:lineRule="auto"/>
        <w:jc w:val="both"/>
        <w:rPr>
          <w:rFonts w:ascii="Palatino Linotype" w:eastAsia="Calibri" w:hAnsi="Palatino Linotype" w:cs="Tahoma"/>
          <w:bCs/>
          <w:sz w:val="22"/>
          <w:szCs w:val="22"/>
          <w:lang w:eastAsia="en-US"/>
        </w:rPr>
      </w:pPr>
      <w:r w:rsidRPr="001F26EE">
        <w:rPr>
          <w:rFonts w:ascii="Palatino Linotype" w:eastAsia="Calibri" w:hAnsi="Palatino Linotype" w:cs="Tahoma"/>
          <w:bCs/>
          <w:sz w:val="22"/>
          <w:szCs w:val="22"/>
          <w:lang w:eastAsia="en-US"/>
        </w:rPr>
        <w:t xml:space="preserve">Se le hace del conocimiento al ahora Recurrente, que, en el presente caso, se le </w:t>
      </w:r>
      <w:r w:rsidR="00870A55">
        <w:rPr>
          <w:rFonts w:ascii="Palatino Linotype" w:eastAsia="Calibri" w:hAnsi="Palatino Linotype" w:cs="Tahoma"/>
          <w:bCs/>
          <w:sz w:val="22"/>
          <w:szCs w:val="22"/>
          <w:lang w:eastAsia="en-US"/>
        </w:rPr>
        <w:t>concede</w:t>
      </w:r>
      <w:r w:rsidR="00E811C3">
        <w:rPr>
          <w:rFonts w:ascii="Palatino Linotype" w:eastAsia="Calibri" w:hAnsi="Palatino Linotype" w:cs="Tahoma"/>
          <w:bCs/>
          <w:sz w:val="22"/>
          <w:szCs w:val="22"/>
          <w:lang w:eastAsia="en-US"/>
        </w:rPr>
        <w:t xml:space="preserve"> </w:t>
      </w:r>
      <w:r w:rsidR="00681AE0">
        <w:rPr>
          <w:rFonts w:ascii="Palatino Linotype" w:eastAsia="Calibri" w:hAnsi="Palatino Linotype" w:cs="Tahoma"/>
          <w:bCs/>
          <w:sz w:val="22"/>
          <w:szCs w:val="22"/>
          <w:lang w:eastAsia="en-US"/>
        </w:rPr>
        <w:t xml:space="preserve">parcialmente </w:t>
      </w:r>
      <w:r w:rsidRPr="001F26EE">
        <w:rPr>
          <w:rFonts w:ascii="Palatino Linotype" w:eastAsia="Calibri" w:hAnsi="Palatino Linotype" w:cs="Tahoma"/>
          <w:bCs/>
          <w:sz w:val="22"/>
          <w:szCs w:val="22"/>
          <w:lang w:eastAsia="en-US"/>
        </w:rPr>
        <w:t xml:space="preserve">la razón </w:t>
      </w:r>
      <w:r w:rsidR="00DC5CE3">
        <w:rPr>
          <w:rFonts w:ascii="Palatino Linotype" w:eastAsia="Calibri" w:hAnsi="Palatino Linotype" w:cs="Tahoma"/>
          <w:bCs/>
          <w:sz w:val="22"/>
          <w:szCs w:val="22"/>
          <w:lang w:eastAsia="en-US"/>
        </w:rPr>
        <w:t>a</w:t>
      </w:r>
      <w:r w:rsidRPr="001F26EE">
        <w:rPr>
          <w:rFonts w:ascii="Palatino Linotype" w:eastAsia="Calibri" w:hAnsi="Palatino Linotype" w:cs="Tahoma"/>
          <w:bCs/>
          <w:sz w:val="22"/>
          <w:szCs w:val="22"/>
          <w:lang w:eastAsia="en-US"/>
        </w:rPr>
        <w:t xml:space="preserve"> su inconformidad, dado </w:t>
      </w:r>
      <w:r>
        <w:rPr>
          <w:rFonts w:ascii="Palatino Linotype" w:eastAsia="Calibri" w:hAnsi="Palatino Linotype" w:cs="Tahoma"/>
          <w:bCs/>
          <w:sz w:val="22"/>
          <w:szCs w:val="22"/>
          <w:lang w:eastAsia="en-US"/>
        </w:rPr>
        <w:t>que el Sujeto Obligado</w:t>
      </w:r>
      <w:r w:rsidR="00681AE0">
        <w:rPr>
          <w:rFonts w:ascii="Palatino Linotype" w:eastAsia="Calibri" w:hAnsi="Palatino Linotype" w:cs="Tahoma"/>
          <w:bCs/>
          <w:sz w:val="22"/>
          <w:szCs w:val="22"/>
          <w:lang w:eastAsia="en-US"/>
        </w:rPr>
        <w:t>, si bien</w:t>
      </w:r>
      <w:r w:rsidR="00DC5CE3">
        <w:rPr>
          <w:rFonts w:ascii="Palatino Linotype" w:eastAsia="Calibri" w:hAnsi="Palatino Linotype" w:cs="Tahoma"/>
          <w:bCs/>
          <w:sz w:val="22"/>
          <w:szCs w:val="22"/>
          <w:lang w:eastAsia="en-US"/>
        </w:rPr>
        <w:t xml:space="preserve"> proporcionó </w:t>
      </w:r>
      <w:r w:rsidR="00681AE0">
        <w:rPr>
          <w:rFonts w:ascii="Palatino Linotype" w:eastAsia="Calibri" w:hAnsi="Palatino Linotype" w:cs="Tahoma"/>
          <w:bCs/>
          <w:sz w:val="22"/>
          <w:szCs w:val="22"/>
          <w:lang w:eastAsia="en-US"/>
        </w:rPr>
        <w:t xml:space="preserve">parte de </w:t>
      </w:r>
      <w:r w:rsidR="00DC5CE3">
        <w:rPr>
          <w:rFonts w:ascii="Palatino Linotype" w:eastAsia="Calibri" w:hAnsi="Palatino Linotype" w:cs="Tahoma"/>
          <w:bCs/>
          <w:sz w:val="22"/>
          <w:szCs w:val="22"/>
          <w:lang w:eastAsia="en-US"/>
        </w:rPr>
        <w:t>la información solicitada</w:t>
      </w:r>
      <w:r w:rsidR="00C354FC">
        <w:rPr>
          <w:rFonts w:ascii="Palatino Linotype" w:eastAsia="Calibri" w:hAnsi="Palatino Linotype" w:cs="Tahoma"/>
          <w:bCs/>
          <w:sz w:val="22"/>
          <w:szCs w:val="22"/>
          <w:lang w:eastAsia="en-US"/>
        </w:rPr>
        <w:t>,</w:t>
      </w:r>
      <w:r w:rsidR="00DC5CE3">
        <w:rPr>
          <w:rFonts w:ascii="Palatino Linotype" w:eastAsia="Calibri" w:hAnsi="Palatino Linotype" w:cs="Tahoma"/>
          <w:bCs/>
          <w:sz w:val="22"/>
          <w:szCs w:val="22"/>
          <w:lang w:eastAsia="en-US"/>
        </w:rPr>
        <w:t xml:space="preserve"> </w:t>
      </w:r>
      <w:r w:rsidR="00681AE0">
        <w:rPr>
          <w:rFonts w:ascii="Palatino Linotype" w:eastAsia="Calibri" w:hAnsi="Palatino Linotype" w:cs="Tahoma"/>
          <w:bCs/>
          <w:sz w:val="22"/>
          <w:szCs w:val="22"/>
          <w:lang w:eastAsia="en-US"/>
        </w:rPr>
        <w:t xml:space="preserve">remitió </w:t>
      </w:r>
      <w:r w:rsidR="00E811C3" w:rsidRPr="00E811C3">
        <w:rPr>
          <w:rFonts w:ascii="Palatino Linotype" w:eastAsia="Calibri" w:hAnsi="Palatino Linotype" w:cs="Tahoma"/>
          <w:bCs/>
          <w:sz w:val="22"/>
          <w:szCs w:val="22"/>
          <w:lang w:eastAsia="en-US"/>
        </w:rPr>
        <w:t>ligas</w:t>
      </w:r>
      <w:r w:rsidR="00681AE0">
        <w:rPr>
          <w:rFonts w:ascii="Palatino Linotype" w:eastAsia="Calibri" w:hAnsi="Palatino Linotype" w:cs="Tahoma"/>
          <w:bCs/>
          <w:sz w:val="22"/>
          <w:szCs w:val="22"/>
          <w:lang w:eastAsia="en-US"/>
        </w:rPr>
        <w:t xml:space="preserve"> electrónicas</w:t>
      </w:r>
      <w:r w:rsidR="00E811C3" w:rsidRPr="00E811C3">
        <w:rPr>
          <w:rFonts w:ascii="Palatino Linotype" w:eastAsia="Calibri" w:hAnsi="Palatino Linotype" w:cs="Tahoma"/>
          <w:bCs/>
          <w:sz w:val="22"/>
          <w:szCs w:val="22"/>
          <w:lang w:eastAsia="en-US"/>
        </w:rPr>
        <w:t xml:space="preserve"> en datos cerrados, mismos que no pueden ser accesibles para la búsqueda de la información.</w:t>
      </w:r>
      <w:r w:rsidR="00E811C3">
        <w:rPr>
          <w:rFonts w:ascii="Palatino Linotype" w:eastAsia="Calibri" w:hAnsi="Palatino Linotype" w:cs="Tahoma"/>
          <w:bCs/>
          <w:sz w:val="22"/>
          <w:szCs w:val="22"/>
          <w:lang w:eastAsia="en-US"/>
        </w:rPr>
        <w:t xml:space="preserve">  </w:t>
      </w:r>
    </w:p>
    <w:p w14:paraId="635C44A5" w14:textId="77777777" w:rsidR="00870A55" w:rsidRDefault="00870A55" w:rsidP="00695AC4">
      <w:pPr>
        <w:spacing w:line="360" w:lineRule="auto"/>
        <w:jc w:val="both"/>
        <w:rPr>
          <w:rFonts w:ascii="Palatino Linotype" w:eastAsia="Calibri" w:hAnsi="Palatino Linotype" w:cs="Tahoma"/>
          <w:bCs/>
          <w:sz w:val="22"/>
          <w:szCs w:val="22"/>
          <w:lang w:eastAsia="en-US"/>
        </w:rPr>
      </w:pPr>
    </w:p>
    <w:p w14:paraId="6B597D88" w14:textId="63CDC190" w:rsidR="00870A55" w:rsidRDefault="00870A55" w:rsidP="00695AC4">
      <w:pPr>
        <w:spacing w:line="360" w:lineRule="auto"/>
        <w:jc w:val="both"/>
        <w:rPr>
          <w:rFonts w:ascii="Palatino Linotype" w:eastAsia="Calibri" w:hAnsi="Palatino Linotype" w:cs="Tahoma"/>
          <w:bCs/>
          <w:sz w:val="22"/>
          <w:szCs w:val="22"/>
          <w:lang w:eastAsia="en-US"/>
        </w:rPr>
      </w:pPr>
      <w:r>
        <w:rPr>
          <w:rFonts w:ascii="Palatino Linotype" w:eastAsia="Calibri" w:hAnsi="Palatino Linotype" w:cs="Tahoma"/>
          <w:bCs/>
          <w:sz w:val="22"/>
          <w:szCs w:val="22"/>
          <w:lang w:eastAsia="en-US"/>
        </w:rPr>
        <w:t xml:space="preserve">Por lo que se le ha ordenado a que remita la información de nuevo, no se omite reiterar que en caso de que el Ayuntamiento le remita la liga del </w:t>
      </w:r>
      <w:proofErr w:type="spellStart"/>
      <w:r>
        <w:rPr>
          <w:rFonts w:ascii="Palatino Linotype" w:eastAsia="Calibri" w:hAnsi="Palatino Linotype" w:cs="Tahoma"/>
          <w:bCs/>
          <w:sz w:val="22"/>
          <w:szCs w:val="22"/>
          <w:lang w:eastAsia="en-US"/>
        </w:rPr>
        <w:t>Ipomex</w:t>
      </w:r>
      <w:proofErr w:type="spellEnd"/>
      <w:r>
        <w:rPr>
          <w:rFonts w:ascii="Palatino Linotype" w:eastAsia="Calibri" w:hAnsi="Palatino Linotype" w:cs="Tahoma"/>
          <w:bCs/>
          <w:sz w:val="22"/>
          <w:szCs w:val="22"/>
          <w:lang w:eastAsia="en-US"/>
        </w:rPr>
        <w:t xml:space="preserve"> donde se publican las solicitudes y sus respuestas pero esta vez en formato abierto, será suficiente para tener por atendida su solicitud.</w:t>
      </w:r>
    </w:p>
    <w:p w14:paraId="73E4CD7B" w14:textId="77777777" w:rsidR="00B65BDF" w:rsidRDefault="00B65BDF" w:rsidP="00695AC4">
      <w:pPr>
        <w:spacing w:line="360" w:lineRule="auto"/>
        <w:jc w:val="both"/>
        <w:rPr>
          <w:rFonts w:ascii="Palatino Linotype" w:eastAsia="Calibri" w:hAnsi="Palatino Linotype" w:cs="Tahoma"/>
          <w:bCs/>
          <w:sz w:val="22"/>
          <w:szCs w:val="22"/>
          <w:lang w:eastAsia="en-US"/>
        </w:rPr>
      </w:pPr>
    </w:p>
    <w:p w14:paraId="50655233" w14:textId="67063324" w:rsidR="009A7C8A" w:rsidRDefault="009A7C8A" w:rsidP="00695AC4">
      <w:pPr>
        <w:spacing w:line="360" w:lineRule="auto"/>
        <w:jc w:val="both"/>
        <w:rPr>
          <w:rFonts w:ascii="Palatino Linotype" w:eastAsia="Calibri" w:hAnsi="Palatino Linotype" w:cs="Tahoma"/>
          <w:bCs/>
          <w:iCs/>
          <w:sz w:val="22"/>
          <w:szCs w:val="22"/>
          <w:lang w:val="es-ES_tradnl" w:eastAsia="en-US"/>
        </w:rPr>
      </w:pPr>
      <w:r w:rsidRPr="009A7C8A">
        <w:rPr>
          <w:rFonts w:ascii="Palatino Linotype" w:eastAsia="Calibri" w:hAnsi="Palatino Linotype" w:cs="Tahoma"/>
          <w:bCs/>
          <w:iCs/>
          <w:sz w:val="22"/>
          <w:szCs w:val="22"/>
          <w:lang w:val="es-ES_tradnl" w:eastAsia="en-US"/>
        </w:rPr>
        <w:t>La labor de este Instituto, es apoyar a la población a acceder a la información pública y garantizar la protección de los datos personales.</w:t>
      </w:r>
    </w:p>
    <w:p w14:paraId="6FE95529" w14:textId="77777777" w:rsidR="00401071" w:rsidRPr="00401071" w:rsidRDefault="00401071" w:rsidP="00695AC4">
      <w:pPr>
        <w:autoSpaceDE w:val="0"/>
        <w:autoSpaceDN w:val="0"/>
        <w:adjustRightInd w:val="0"/>
        <w:spacing w:line="360" w:lineRule="auto"/>
        <w:jc w:val="both"/>
        <w:rPr>
          <w:rFonts w:ascii="Palatino Linotype" w:eastAsia="Calibri" w:hAnsi="Palatino Linotype" w:cs="Tahoma"/>
          <w:b/>
          <w:bCs/>
          <w:iCs/>
          <w:sz w:val="22"/>
          <w:szCs w:val="22"/>
          <w:lang w:val="es-ES" w:eastAsia="en-US"/>
        </w:rPr>
      </w:pPr>
    </w:p>
    <w:p w14:paraId="7105A29A" w14:textId="77777777" w:rsidR="00401071" w:rsidRDefault="00401071" w:rsidP="00695AC4">
      <w:pPr>
        <w:autoSpaceDE w:val="0"/>
        <w:autoSpaceDN w:val="0"/>
        <w:adjustRightInd w:val="0"/>
        <w:spacing w:line="360" w:lineRule="auto"/>
        <w:jc w:val="both"/>
        <w:rPr>
          <w:rFonts w:ascii="Palatino Linotype" w:eastAsia="Calibri" w:hAnsi="Palatino Linotype" w:cs="Tahoma"/>
          <w:bCs/>
          <w:iCs/>
          <w:sz w:val="22"/>
          <w:szCs w:val="22"/>
          <w:lang w:eastAsia="en-US"/>
        </w:rPr>
      </w:pPr>
      <w:r>
        <w:rPr>
          <w:rFonts w:ascii="Palatino Linotype" w:eastAsia="Calibri" w:hAnsi="Palatino Linotype" w:cs="Tahoma"/>
          <w:bCs/>
          <w:iCs/>
          <w:sz w:val="22"/>
          <w:szCs w:val="22"/>
          <w:lang w:eastAsia="en-US"/>
        </w:rPr>
        <w:t>Por lo expuesto y fundado, este Pleno:</w:t>
      </w:r>
    </w:p>
    <w:bookmarkEnd w:id="18"/>
    <w:p w14:paraId="657007D9" w14:textId="77777777" w:rsidR="0087367C" w:rsidRDefault="0087367C" w:rsidP="00695AC4">
      <w:pPr>
        <w:spacing w:line="360" w:lineRule="auto"/>
        <w:jc w:val="center"/>
        <w:rPr>
          <w:rFonts w:ascii="Palatino Linotype" w:hAnsi="Palatino Linotype" w:cs="Tahoma"/>
          <w:b/>
          <w:bCs/>
          <w:sz w:val="22"/>
          <w:szCs w:val="22"/>
        </w:rPr>
      </w:pPr>
    </w:p>
    <w:p w14:paraId="1493CBEB" w14:textId="0AA70275" w:rsidR="00401071" w:rsidRPr="00A1214F" w:rsidRDefault="00401071" w:rsidP="00695AC4">
      <w:pPr>
        <w:pStyle w:val="Ttulo1"/>
        <w:spacing w:before="0"/>
        <w:rPr>
          <w:lang w:val="pt-BR"/>
        </w:rPr>
      </w:pPr>
      <w:bookmarkStart w:id="20" w:name="_Toc190695559"/>
      <w:r w:rsidRPr="00A1214F">
        <w:rPr>
          <w:lang w:val="pt-BR"/>
        </w:rPr>
        <w:t>R E S U E L V E</w:t>
      </w:r>
      <w:bookmarkEnd w:id="20"/>
    </w:p>
    <w:p w14:paraId="25C52C76" w14:textId="77777777" w:rsidR="00B65BDF" w:rsidRPr="00A1214F" w:rsidRDefault="00B65BDF" w:rsidP="00695AC4">
      <w:pPr>
        <w:spacing w:line="360" w:lineRule="auto"/>
        <w:ind w:right="113"/>
        <w:jc w:val="both"/>
        <w:rPr>
          <w:rFonts w:ascii="Palatino Linotype" w:hAnsi="Palatino Linotype" w:cs="Arial"/>
          <w:b/>
          <w:sz w:val="22"/>
          <w:szCs w:val="22"/>
          <w:lang w:val="pt-BR"/>
        </w:rPr>
      </w:pPr>
    </w:p>
    <w:p w14:paraId="6AE2F546" w14:textId="46B5B2D8" w:rsidR="00035B14" w:rsidRDefault="00035B14" w:rsidP="00695AC4">
      <w:pPr>
        <w:spacing w:line="360" w:lineRule="auto"/>
        <w:contextualSpacing/>
        <w:jc w:val="both"/>
        <w:rPr>
          <w:rFonts w:ascii="Palatino Linotype" w:eastAsia="Calibri" w:hAnsi="Palatino Linotype" w:cs="Tahoma"/>
          <w:bCs/>
          <w:color w:val="000000" w:themeColor="text1"/>
          <w:sz w:val="22"/>
          <w:szCs w:val="22"/>
          <w:lang w:eastAsia="en-US"/>
        </w:rPr>
      </w:pPr>
      <w:bookmarkStart w:id="21" w:name="_Toc190695560"/>
      <w:bookmarkStart w:id="22" w:name="_Hlk68806277"/>
      <w:r w:rsidRPr="004717ED">
        <w:rPr>
          <w:rStyle w:val="Ttulo2Car"/>
        </w:rPr>
        <w:t>PRIMERO.</w:t>
      </w:r>
      <w:bookmarkEnd w:id="21"/>
      <w:r w:rsidRPr="00A1214F">
        <w:rPr>
          <w:rFonts w:ascii="Palatino Linotype" w:eastAsiaTheme="minorHAnsi" w:hAnsi="Palatino Linotype" w:cs="Tahoma"/>
          <w:b/>
          <w:bCs/>
          <w:color w:val="000000" w:themeColor="text1"/>
          <w:sz w:val="22"/>
          <w:szCs w:val="22"/>
          <w:lang w:val="pt-BR" w:eastAsia="en-US"/>
        </w:rPr>
        <w:t xml:space="preserve"> </w:t>
      </w:r>
      <w:r w:rsidRPr="00035B14">
        <w:rPr>
          <w:rFonts w:ascii="Palatino Linotype" w:eastAsiaTheme="minorHAnsi" w:hAnsi="Palatino Linotype" w:cs="Tahoma"/>
          <w:bCs/>
          <w:color w:val="000000" w:themeColor="text1"/>
          <w:sz w:val="22"/>
          <w:szCs w:val="22"/>
          <w:lang w:eastAsia="en-US"/>
        </w:rPr>
        <w:t xml:space="preserve">Se </w:t>
      </w:r>
      <w:r w:rsidR="00F64142">
        <w:rPr>
          <w:rFonts w:ascii="Palatino Linotype" w:eastAsiaTheme="minorHAnsi" w:hAnsi="Palatino Linotype" w:cs="Tahoma"/>
          <w:b/>
          <w:bCs/>
          <w:color w:val="000000" w:themeColor="text1"/>
          <w:sz w:val="22"/>
          <w:szCs w:val="22"/>
          <w:lang w:eastAsia="en-US"/>
        </w:rPr>
        <w:t>MODIFI</w:t>
      </w:r>
      <w:r w:rsidRPr="00035B14">
        <w:rPr>
          <w:rFonts w:ascii="Palatino Linotype" w:eastAsiaTheme="minorHAnsi" w:hAnsi="Palatino Linotype" w:cs="Tahoma"/>
          <w:b/>
          <w:bCs/>
          <w:color w:val="000000" w:themeColor="text1"/>
          <w:sz w:val="22"/>
          <w:szCs w:val="22"/>
          <w:lang w:eastAsia="en-US"/>
        </w:rPr>
        <w:t>CA</w:t>
      </w:r>
      <w:r w:rsidRPr="00035B14">
        <w:rPr>
          <w:rFonts w:ascii="Palatino Linotype" w:eastAsiaTheme="minorHAnsi" w:hAnsi="Palatino Linotype" w:cs="Tahoma"/>
          <w:bCs/>
          <w:color w:val="000000" w:themeColor="text1"/>
          <w:sz w:val="22"/>
          <w:szCs w:val="22"/>
          <w:lang w:eastAsia="en-US"/>
        </w:rPr>
        <w:t xml:space="preserve"> la respuesta entregada por </w:t>
      </w:r>
      <w:r w:rsidR="00A042FF" w:rsidRPr="00A042FF">
        <w:rPr>
          <w:rFonts w:ascii="Palatino Linotype" w:eastAsiaTheme="minorHAnsi" w:hAnsi="Palatino Linotype" w:cs="Tahoma"/>
          <w:bCs/>
          <w:color w:val="000000" w:themeColor="text1"/>
          <w:sz w:val="22"/>
          <w:szCs w:val="22"/>
          <w:lang w:eastAsia="en-US"/>
        </w:rPr>
        <w:t xml:space="preserve">el Sistema Municipal </w:t>
      </w:r>
      <w:r w:rsidR="00870A55">
        <w:rPr>
          <w:rFonts w:ascii="Palatino Linotype" w:eastAsiaTheme="minorHAnsi" w:hAnsi="Palatino Linotype" w:cs="Tahoma"/>
          <w:bCs/>
          <w:color w:val="000000" w:themeColor="text1"/>
          <w:sz w:val="22"/>
          <w:szCs w:val="22"/>
          <w:lang w:eastAsia="en-US"/>
        </w:rPr>
        <w:t>p</w:t>
      </w:r>
      <w:r w:rsidR="00A042FF" w:rsidRPr="00A042FF">
        <w:rPr>
          <w:rFonts w:ascii="Palatino Linotype" w:eastAsiaTheme="minorHAnsi" w:hAnsi="Palatino Linotype" w:cs="Tahoma"/>
          <w:bCs/>
          <w:color w:val="000000" w:themeColor="text1"/>
          <w:sz w:val="22"/>
          <w:szCs w:val="22"/>
          <w:lang w:eastAsia="en-US"/>
        </w:rPr>
        <w:t xml:space="preserve">ara el Desarrollo Integral de la Familia de Toluca </w:t>
      </w:r>
      <w:r w:rsidRPr="00035B14">
        <w:rPr>
          <w:rFonts w:ascii="Palatino Linotype" w:eastAsiaTheme="minorHAnsi" w:hAnsi="Palatino Linotype" w:cs="Tahoma"/>
          <w:bCs/>
          <w:color w:val="000000" w:themeColor="text1"/>
          <w:sz w:val="22"/>
          <w:szCs w:val="22"/>
          <w:lang w:eastAsia="en-US"/>
        </w:rPr>
        <w:t xml:space="preserve">a la solicitud de </w:t>
      </w:r>
      <w:r w:rsidRPr="00035B14">
        <w:rPr>
          <w:rFonts w:ascii="Palatino Linotype" w:eastAsia="Calibri" w:hAnsi="Palatino Linotype" w:cs="Tahoma"/>
          <w:color w:val="000000" w:themeColor="text1"/>
          <w:sz w:val="22"/>
          <w:szCs w:val="22"/>
          <w:lang w:eastAsia="en-US"/>
        </w:rPr>
        <w:t>información</w:t>
      </w:r>
      <w:r w:rsidRPr="00035B14">
        <w:rPr>
          <w:rFonts w:ascii="Palatino Linotype" w:eastAsia="Calibri" w:hAnsi="Palatino Linotype" w:cs="Tahoma"/>
          <w:b/>
          <w:bCs/>
          <w:color w:val="000000" w:themeColor="text1"/>
          <w:sz w:val="22"/>
          <w:szCs w:val="22"/>
          <w:lang w:eastAsia="en-US"/>
        </w:rPr>
        <w:t xml:space="preserve"> </w:t>
      </w:r>
      <w:r w:rsidR="00A042FF" w:rsidRPr="00A042FF">
        <w:rPr>
          <w:rFonts w:ascii="Palatino Linotype" w:eastAsiaTheme="minorHAnsi" w:hAnsi="Palatino Linotype" w:cstheme="minorBidi"/>
          <w:b/>
          <w:bCs/>
          <w:color w:val="000000" w:themeColor="text1"/>
          <w:sz w:val="22"/>
          <w:szCs w:val="22"/>
          <w:lang w:eastAsia="en-US"/>
        </w:rPr>
        <w:t>000</w:t>
      </w:r>
      <w:r w:rsidR="00F64142">
        <w:rPr>
          <w:rFonts w:ascii="Palatino Linotype" w:eastAsiaTheme="minorHAnsi" w:hAnsi="Palatino Linotype" w:cstheme="minorBidi"/>
          <w:b/>
          <w:bCs/>
          <w:color w:val="000000" w:themeColor="text1"/>
          <w:sz w:val="22"/>
          <w:szCs w:val="22"/>
          <w:lang w:eastAsia="en-US"/>
        </w:rPr>
        <w:t>29</w:t>
      </w:r>
      <w:r w:rsidR="00A042FF" w:rsidRPr="00A042FF">
        <w:rPr>
          <w:rFonts w:ascii="Palatino Linotype" w:eastAsiaTheme="minorHAnsi" w:hAnsi="Palatino Linotype" w:cstheme="minorBidi"/>
          <w:b/>
          <w:bCs/>
          <w:color w:val="000000" w:themeColor="text1"/>
          <w:sz w:val="22"/>
          <w:szCs w:val="22"/>
          <w:lang w:eastAsia="en-US"/>
        </w:rPr>
        <w:t>/DIFTOLUCA/IP/2025</w:t>
      </w:r>
      <w:r w:rsidRPr="00035B14">
        <w:rPr>
          <w:rFonts w:ascii="Palatino Linotype" w:eastAsiaTheme="minorHAnsi" w:hAnsi="Palatino Linotype" w:cstheme="minorBidi"/>
          <w:color w:val="000000" w:themeColor="text1"/>
          <w:sz w:val="22"/>
          <w:szCs w:val="22"/>
          <w:lang w:eastAsia="en-US"/>
        </w:rPr>
        <w:t xml:space="preserve">, por resultar </w:t>
      </w:r>
      <w:r w:rsidR="00870A55" w:rsidRPr="00870A55">
        <w:rPr>
          <w:rFonts w:ascii="Palatino Linotype" w:eastAsiaTheme="minorHAnsi" w:hAnsi="Palatino Linotype" w:cstheme="minorBidi"/>
          <w:b/>
          <w:bCs/>
          <w:color w:val="000000" w:themeColor="text1"/>
          <w:sz w:val="22"/>
          <w:szCs w:val="22"/>
          <w:lang w:eastAsia="en-US"/>
        </w:rPr>
        <w:t>PARCIALMENTE</w:t>
      </w:r>
      <w:r w:rsidR="00870A55">
        <w:rPr>
          <w:rFonts w:ascii="Palatino Linotype" w:eastAsiaTheme="minorHAnsi" w:hAnsi="Palatino Linotype" w:cstheme="minorBidi"/>
          <w:color w:val="000000" w:themeColor="text1"/>
          <w:sz w:val="22"/>
          <w:szCs w:val="22"/>
          <w:lang w:eastAsia="en-US"/>
        </w:rPr>
        <w:t xml:space="preserve"> </w:t>
      </w:r>
      <w:r w:rsidR="00A042FF" w:rsidRPr="00A042FF">
        <w:rPr>
          <w:rFonts w:ascii="Palatino Linotype" w:eastAsiaTheme="minorHAnsi" w:hAnsi="Palatino Linotype" w:cstheme="minorBidi"/>
          <w:b/>
          <w:color w:val="000000" w:themeColor="text1"/>
          <w:sz w:val="22"/>
          <w:szCs w:val="22"/>
          <w:lang w:eastAsia="en-US"/>
        </w:rPr>
        <w:t>F</w:t>
      </w:r>
      <w:r w:rsidRPr="00035B14">
        <w:rPr>
          <w:rFonts w:ascii="Palatino Linotype" w:eastAsiaTheme="minorHAnsi" w:hAnsi="Palatino Linotype" w:cstheme="minorBidi"/>
          <w:b/>
          <w:color w:val="000000" w:themeColor="text1"/>
          <w:sz w:val="22"/>
          <w:szCs w:val="22"/>
          <w:lang w:eastAsia="en-US"/>
        </w:rPr>
        <w:t>UNDADAS</w:t>
      </w:r>
      <w:r w:rsidRPr="00035B14">
        <w:rPr>
          <w:rFonts w:ascii="Palatino Linotype" w:eastAsiaTheme="minorHAnsi" w:hAnsi="Palatino Linotype" w:cs="Tahoma"/>
          <w:color w:val="000000" w:themeColor="text1"/>
          <w:sz w:val="22"/>
          <w:szCs w:val="22"/>
          <w:lang w:eastAsia="en-US"/>
        </w:rPr>
        <w:t xml:space="preserve"> </w:t>
      </w:r>
      <w:r w:rsidRPr="00035B14">
        <w:rPr>
          <w:rFonts w:ascii="Palatino Linotype" w:eastAsia="Calibri" w:hAnsi="Palatino Linotype" w:cs="Tahoma"/>
          <w:color w:val="000000" w:themeColor="text1"/>
          <w:sz w:val="22"/>
          <w:szCs w:val="22"/>
          <w:lang w:eastAsia="en-US"/>
        </w:rPr>
        <w:t>las razones o motivos de inconformidad hechos valer por el Particular, en</w:t>
      </w:r>
      <w:r w:rsidRPr="00035B14">
        <w:rPr>
          <w:rFonts w:ascii="Palatino Linotype" w:eastAsia="Calibri" w:hAnsi="Palatino Linotype" w:cs="Tahoma"/>
          <w:bCs/>
          <w:color w:val="000000" w:themeColor="text1"/>
          <w:sz w:val="22"/>
          <w:szCs w:val="22"/>
          <w:lang w:eastAsia="en-US"/>
        </w:rPr>
        <w:t xml:space="preserve"> términos de los considerandos QUINTO </w:t>
      </w:r>
      <w:r w:rsidRPr="00035B14">
        <w:rPr>
          <w:rFonts w:ascii="Palatino Linotype" w:eastAsia="Calibri" w:hAnsi="Palatino Linotype" w:cs="Tahoma"/>
          <w:color w:val="000000" w:themeColor="text1"/>
          <w:sz w:val="22"/>
          <w:szCs w:val="22"/>
          <w:lang w:eastAsia="en-US"/>
        </w:rPr>
        <w:t xml:space="preserve">y </w:t>
      </w:r>
      <w:r w:rsidRPr="00035B14">
        <w:rPr>
          <w:rFonts w:ascii="Palatino Linotype" w:eastAsia="Calibri" w:hAnsi="Palatino Linotype" w:cs="Tahoma"/>
          <w:bCs/>
          <w:color w:val="000000" w:themeColor="text1"/>
          <w:sz w:val="22"/>
          <w:szCs w:val="22"/>
          <w:lang w:eastAsia="en-US"/>
        </w:rPr>
        <w:t>SEXTO de la presente Resolución.</w:t>
      </w:r>
    </w:p>
    <w:p w14:paraId="79CDB059" w14:textId="77777777" w:rsidR="00A042FF" w:rsidRPr="00035B14" w:rsidRDefault="00A042FF" w:rsidP="00695AC4">
      <w:pPr>
        <w:spacing w:line="360" w:lineRule="auto"/>
        <w:contextualSpacing/>
        <w:jc w:val="both"/>
        <w:rPr>
          <w:rFonts w:ascii="Palatino Linotype" w:eastAsia="Calibri" w:hAnsi="Palatino Linotype" w:cs="Tahoma"/>
          <w:bCs/>
          <w:color w:val="000000" w:themeColor="text1"/>
          <w:sz w:val="22"/>
          <w:szCs w:val="22"/>
          <w:lang w:eastAsia="en-US"/>
        </w:rPr>
      </w:pPr>
    </w:p>
    <w:p w14:paraId="3529805B" w14:textId="5C8DF490" w:rsidR="00035B14" w:rsidRPr="00035B14" w:rsidRDefault="00035B14" w:rsidP="00695AC4">
      <w:pPr>
        <w:spacing w:line="360" w:lineRule="auto"/>
        <w:contextualSpacing/>
        <w:jc w:val="both"/>
        <w:rPr>
          <w:rFonts w:ascii="Palatino Linotype" w:eastAsiaTheme="minorHAnsi" w:hAnsi="Palatino Linotype" w:cs="Tahoma"/>
          <w:color w:val="000000" w:themeColor="text1"/>
          <w:sz w:val="22"/>
          <w:szCs w:val="22"/>
          <w:lang w:eastAsia="en-US"/>
        </w:rPr>
      </w:pPr>
      <w:bookmarkStart w:id="23" w:name="_Toc190695561"/>
      <w:r w:rsidRPr="004717ED">
        <w:rPr>
          <w:rStyle w:val="Ttulo2Car"/>
        </w:rPr>
        <w:t>SEGUNDO.</w:t>
      </w:r>
      <w:bookmarkEnd w:id="23"/>
      <w:r w:rsidRPr="00035B14">
        <w:rPr>
          <w:rFonts w:ascii="Palatino Linotype" w:eastAsiaTheme="minorHAnsi" w:hAnsi="Palatino Linotype" w:cs="Tahoma"/>
          <w:b/>
          <w:bCs/>
          <w:color w:val="000000" w:themeColor="text1"/>
          <w:sz w:val="22"/>
          <w:szCs w:val="22"/>
          <w:lang w:eastAsia="en-US"/>
        </w:rPr>
        <w:t xml:space="preserve"> </w:t>
      </w:r>
      <w:r w:rsidRPr="00035B14">
        <w:rPr>
          <w:rFonts w:ascii="Palatino Linotype" w:eastAsiaTheme="minorHAnsi" w:hAnsi="Palatino Linotype" w:cs="Tahoma"/>
          <w:color w:val="000000" w:themeColor="text1"/>
          <w:sz w:val="22"/>
          <w:szCs w:val="22"/>
          <w:lang w:eastAsia="en-US"/>
        </w:rPr>
        <w:t xml:space="preserve">Se </w:t>
      </w:r>
      <w:r w:rsidRPr="00035B14">
        <w:rPr>
          <w:rFonts w:ascii="Palatino Linotype" w:eastAsiaTheme="minorHAnsi" w:hAnsi="Palatino Linotype" w:cs="Tahoma"/>
          <w:b/>
          <w:color w:val="000000" w:themeColor="text1"/>
          <w:sz w:val="22"/>
          <w:szCs w:val="22"/>
          <w:lang w:eastAsia="en-US"/>
        </w:rPr>
        <w:t xml:space="preserve">ORDENA </w:t>
      </w:r>
      <w:r w:rsidRPr="00035B14">
        <w:rPr>
          <w:rFonts w:ascii="Palatino Linotype" w:eastAsiaTheme="minorHAnsi" w:hAnsi="Palatino Linotype" w:cs="Tahoma"/>
          <w:bCs/>
          <w:color w:val="000000" w:themeColor="text1"/>
          <w:sz w:val="22"/>
          <w:szCs w:val="22"/>
          <w:lang w:eastAsia="en-US"/>
        </w:rPr>
        <w:t xml:space="preserve">al </w:t>
      </w:r>
      <w:r w:rsidRPr="00035B14">
        <w:rPr>
          <w:rFonts w:ascii="Palatino Linotype" w:eastAsiaTheme="minorHAnsi" w:hAnsi="Palatino Linotype" w:cs="Tahoma"/>
          <w:color w:val="000000" w:themeColor="text1"/>
          <w:sz w:val="22"/>
          <w:szCs w:val="22"/>
          <w:lang w:eastAsia="en-US"/>
        </w:rPr>
        <w:t>Ente Recurrido, a efecto de</w:t>
      </w:r>
      <w:r w:rsidRPr="00035B14">
        <w:rPr>
          <w:rFonts w:ascii="Palatino Linotype" w:eastAsia="Calibri" w:hAnsi="Palatino Linotype" w:cs="Tahoma"/>
          <w:color w:val="000000" w:themeColor="text1"/>
          <w:sz w:val="22"/>
          <w:szCs w:val="22"/>
          <w:lang w:eastAsia="es-MX"/>
        </w:rPr>
        <w:t xml:space="preserve"> que previa búsqueda exhaustiva y razonable, entregue</w:t>
      </w:r>
      <w:r w:rsidRPr="00035B14">
        <w:rPr>
          <w:rFonts w:ascii="Palatino Linotype" w:eastAsiaTheme="minorHAnsi" w:hAnsi="Palatino Linotype" w:cs="Tahoma"/>
          <w:color w:val="000000" w:themeColor="text1"/>
          <w:sz w:val="22"/>
          <w:szCs w:val="22"/>
          <w:lang w:eastAsia="en-US"/>
        </w:rPr>
        <w:t xml:space="preserve">, a través del SAIMEX, en versión pública, </w:t>
      </w:r>
      <w:r w:rsidR="00A042FF">
        <w:rPr>
          <w:rFonts w:ascii="Palatino Linotype" w:eastAsiaTheme="minorHAnsi" w:hAnsi="Palatino Linotype" w:cs="Tahoma"/>
          <w:color w:val="000000" w:themeColor="text1"/>
          <w:sz w:val="22"/>
          <w:szCs w:val="22"/>
          <w:lang w:eastAsia="en-US"/>
        </w:rPr>
        <w:t>los documentos, que den</w:t>
      </w:r>
      <w:r w:rsidRPr="00035B14">
        <w:rPr>
          <w:rFonts w:ascii="Palatino Linotype" w:eastAsiaTheme="minorHAnsi" w:hAnsi="Palatino Linotype" w:cs="Tahoma"/>
          <w:color w:val="000000" w:themeColor="text1"/>
          <w:sz w:val="22"/>
          <w:szCs w:val="22"/>
          <w:lang w:eastAsia="en-US"/>
        </w:rPr>
        <w:t xml:space="preserve"> cuenta</w:t>
      </w:r>
      <w:r w:rsidR="00870A55">
        <w:rPr>
          <w:rFonts w:ascii="Palatino Linotype" w:eastAsiaTheme="minorHAnsi" w:hAnsi="Palatino Linotype" w:cs="Tahoma"/>
          <w:color w:val="000000" w:themeColor="text1"/>
          <w:sz w:val="22"/>
          <w:szCs w:val="22"/>
          <w:lang w:eastAsia="en-US"/>
        </w:rPr>
        <w:t xml:space="preserve"> de </w:t>
      </w:r>
      <w:r w:rsidR="00870A55" w:rsidRPr="00870A55">
        <w:rPr>
          <w:rFonts w:ascii="Palatino Linotype" w:eastAsiaTheme="minorHAnsi" w:hAnsi="Palatino Linotype" w:cs="Tahoma"/>
          <w:b/>
          <w:bCs/>
          <w:color w:val="000000" w:themeColor="text1"/>
          <w:sz w:val="22"/>
          <w:szCs w:val="22"/>
          <w:lang w:eastAsia="en-US"/>
        </w:rPr>
        <w:t xml:space="preserve">las </w:t>
      </w:r>
      <w:r w:rsidR="00F64142" w:rsidRPr="00870A55">
        <w:rPr>
          <w:rFonts w:ascii="Palatino Linotype" w:eastAsiaTheme="minorHAnsi" w:hAnsi="Palatino Linotype" w:cs="Tahoma"/>
          <w:b/>
          <w:bCs/>
          <w:color w:val="000000" w:themeColor="text1"/>
          <w:sz w:val="22"/>
          <w:szCs w:val="22"/>
          <w:lang w:eastAsia="en-US"/>
        </w:rPr>
        <w:t xml:space="preserve">solicitudes de </w:t>
      </w:r>
      <w:r w:rsidR="00870A55">
        <w:rPr>
          <w:rFonts w:ascii="Palatino Linotype" w:eastAsiaTheme="minorHAnsi" w:hAnsi="Palatino Linotype" w:cs="Tahoma"/>
          <w:b/>
          <w:bCs/>
          <w:color w:val="000000" w:themeColor="text1"/>
          <w:sz w:val="22"/>
          <w:szCs w:val="22"/>
          <w:lang w:eastAsia="en-US"/>
        </w:rPr>
        <w:t xml:space="preserve">acceso a la </w:t>
      </w:r>
      <w:r w:rsidR="00F64142" w:rsidRPr="00870A55">
        <w:rPr>
          <w:rFonts w:ascii="Palatino Linotype" w:eastAsiaTheme="minorHAnsi" w:hAnsi="Palatino Linotype" w:cs="Tahoma"/>
          <w:b/>
          <w:bCs/>
          <w:color w:val="000000" w:themeColor="text1"/>
          <w:sz w:val="22"/>
          <w:szCs w:val="22"/>
          <w:lang w:eastAsia="en-US"/>
        </w:rPr>
        <w:t xml:space="preserve">información </w:t>
      </w:r>
      <w:r w:rsidR="00870A55">
        <w:rPr>
          <w:rFonts w:ascii="Palatino Linotype" w:eastAsiaTheme="minorHAnsi" w:hAnsi="Palatino Linotype" w:cs="Tahoma"/>
          <w:b/>
          <w:bCs/>
          <w:color w:val="000000" w:themeColor="text1"/>
          <w:sz w:val="22"/>
          <w:szCs w:val="22"/>
          <w:lang w:eastAsia="en-US"/>
        </w:rPr>
        <w:t xml:space="preserve">pública </w:t>
      </w:r>
      <w:r w:rsidR="00F64142" w:rsidRPr="00870A55">
        <w:rPr>
          <w:rFonts w:ascii="Palatino Linotype" w:eastAsiaTheme="minorHAnsi" w:hAnsi="Palatino Linotype" w:cs="Tahoma"/>
          <w:b/>
          <w:bCs/>
          <w:color w:val="000000" w:themeColor="text1"/>
          <w:sz w:val="22"/>
          <w:szCs w:val="22"/>
          <w:lang w:eastAsia="en-US"/>
        </w:rPr>
        <w:t>recibidas</w:t>
      </w:r>
      <w:r w:rsidR="00870A55">
        <w:rPr>
          <w:rFonts w:ascii="Palatino Linotype" w:eastAsiaTheme="minorHAnsi" w:hAnsi="Palatino Linotype" w:cs="Tahoma"/>
          <w:b/>
          <w:bCs/>
          <w:color w:val="000000" w:themeColor="text1"/>
          <w:sz w:val="22"/>
          <w:szCs w:val="22"/>
          <w:lang w:eastAsia="en-US"/>
        </w:rPr>
        <w:t xml:space="preserve"> en dos mil veinticuatro</w:t>
      </w:r>
      <w:r w:rsidR="00F64142" w:rsidRPr="00870A55">
        <w:rPr>
          <w:rFonts w:ascii="Palatino Linotype" w:eastAsiaTheme="minorHAnsi" w:hAnsi="Palatino Linotype" w:cs="Tahoma"/>
          <w:b/>
          <w:bCs/>
          <w:color w:val="000000" w:themeColor="text1"/>
          <w:sz w:val="22"/>
          <w:szCs w:val="22"/>
          <w:lang w:eastAsia="en-US"/>
        </w:rPr>
        <w:t xml:space="preserve"> y </w:t>
      </w:r>
      <w:r w:rsidR="00870A55" w:rsidRPr="00870A55">
        <w:rPr>
          <w:rFonts w:ascii="Palatino Linotype" w:eastAsiaTheme="minorHAnsi" w:hAnsi="Palatino Linotype" w:cs="Tahoma"/>
          <w:b/>
          <w:bCs/>
          <w:color w:val="000000" w:themeColor="text1"/>
          <w:sz w:val="22"/>
          <w:szCs w:val="22"/>
          <w:lang w:eastAsia="en-US"/>
        </w:rPr>
        <w:t>sus</w:t>
      </w:r>
      <w:r w:rsidR="00F64142" w:rsidRPr="00870A55">
        <w:rPr>
          <w:rFonts w:ascii="Palatino Linotype" w:eastAsiaTheme="minorHAnsi" w:hAnsi="Palatino Linotype" w:cs="Tahoma"/>
          <w:b/>
          <w:bCs/>
          <w:color w:val="000000" w:themeColor="text1"/>
          <w:sz w:val="22"/>
          <w:szCs w:val="22"/>
          <w:lang w:eastAsia="en-US"/>
        </w:rPr>
        <w:t xml:space="preserve"> </w:t>
      </w:r>
      <w:r w:rsidR="00870A55" w:rsidRPr="00870A55">
        <w:rPr>
          <w:rFonts w:ascii="Palatino Linotype" w:eastAsiaTheme="minorHAnsi" w:hAnsi="Palatino Linotype" w:cs="Tahoma"/>
          <w:b/>
          <w:bCs/>
          <w:color w:val="000000" w:themeColor="text1"/>
          <w:sz w:val="22"/>
          <w:szCs w:val="22"/>
          <w:lang w:eastAsia="en-US"/>
        </w:rPr>
        <w:t xml:space="preserve">respectivas </w:t>
      </w:r>
      <w:r w:rsidR="00F64142" w:rsidRPr="00870A55">
        <w:rPr>
          <w:rFonts w:ascii="Palatino Linotype" w:eastAsiaTheme="minorHAnsi" w:hAnsi="Palatino Linotype" w:cs="Tahoma"/>
          <w:b/>
          <w:bCs/>
          <w:color w:val="000000" w:themeColor="text1"/>
          <w:sz w:val="22"/>
          <w:szCs w:val="22"/>
          <w:lang w:eastAsia="en-US"/>
        </w:rPr>
        <w:t>respuestas</w:t>
      </w:r>
      <w:r w:rsidR="00F64142">
        <w:rPr>
          <w:rFonts w:ascii="Palatino Linotype" w:eastAsiaTheme="minorHAnsi" w:hAnsi="Palatino Linotype" w:cs="Tahoma"/>
          <w:color w:val="000000" w:themeColor="text1"/>
          <w:sz w:val="22"/>
          <w:szCs w:val="22"/>
          <w:lang w:eastAsia="en-US"/>
        </w:rPr>
        <w:t>.</w:t>
      </w:r>
    </w:p>
    <w:p w14:paraId="3DC48F91" w14:textId="77777777" w:rsidR="00035B14" w:rsidRPr="00035B14" w:rsidRDefault="00035B14" w:rsidP="00695AC4">
      <w:pPr>
        <w:spacing w:line="360" w:lineRule="auto"/>
        <w:contextualSpacing/>
        <w:jc w:val="both"/>
        <w:rPr>
          <w:rFonts w:ascii="Palatino Linotype" w:eastAsiaTheme="minorHAnsi" w:hAnsi="Palatino Linotype" w:cs="Tahoma"/>
          <w:color w:val="000000" w:themeColor="text1"/>
          <w:sz w:val="22"/>
          <w:szCs w:val="22"/>
          <w:lang w:eastAsia="en-US"/>
        </w:rPr>
      </w:pPr>
    </w:p>
    <w:p w14:paraId="38C471F0" w14:textId="1394ADC9" w:rsidR="00035B14" w:rsidRDefault="00A042FF" w:rsidP="00695AC4">
      <w:pPr>
        <w:spacing w:line="360" w:lineRule="auto"/>
        <w:contextualSpacing/>
        <w:jc w:val="both"/>
        <w:rPr>
          <w:rFonts w:ascii="Palatino Linotype" w:eastAsia="Calibri" w:hAnsi="Palatino Linotype" w:cs="Tahoma"/>
          <w:iCs/>
          <w:color w:val="000000" w:themeColor="text1"/>
          <w:sz w:val="22"/>
          <w:szCs w:val="22"/>
          <w:lang w:eastAsia="es-ES_tradnl"/>
        </w:rPr>
      </w:pPr>
      <w:r w:rsidRPr="00A042FF">
        <w:rPr>
          <w:rFonts w:ascii="Palatino Linotype" w:eastAsia="Calibri" w:hAnsi="Palatino Linotype" w:cs="Tahoma"/>
          <w:iCs/>
          <w:color w:val="000000" w:themeColor="text1"/>
          <w:sz w:val="22"/>
          <w:szCs w:val="22"/>
          <w:lang w:eastAsia="es-ES_tradnl"/>
        </w:rPr>
        <w:t>Además, deberá proporcionar el Acuerdo de Clasificación donde el Comité de Transparencia, confirme la eliminación de los datos o información clasificada, en las versiones públicas, de conformidad con los artículos 49, fracciones II y VIII y 132, fracción II de la Ley de Transparencia y Acceso a la Información Pública del Estado de México y Municipios.</w:t>
      </w:r>
    </w:p>
    <w:p w14:paraId="6353C9DE" w14:textId="77777777" w:rsidR="00035B14" w:rsidRPr="00035B14" w:rsidRDefault="00035B14" w:rsidP="00695AC4">
      <w:pPr>
        <w:spacing w:line="360" w:lineRule="auto"/>
        <w:contextualSpacing/>
        <w:jc w:val="both"/>
        <w:rPr>
          <w:rFonts w:ascii="Palatino Linotype" w:eastAsiaTheme="minorHAnsi" w:hAnsi="Palatino Linotype" w:cs="Arial"/>
          <w:b/>
          <w:color w:val="000000" w:themeColor="text1"/>
          <w:sz w:val="22"/>
          <w:szCs w:val="22"/>
          <w:lang w:eastAsia="en-US"/>
        </w:rPr>
      </w:pPr>
    </w:p>
    <w:p w14:paraId="20744701" w14:textId="79453074" w:rsidR="00035B14" w:rsidRPr="00035B14" w:rsidRDefault="00035B14" w:rsidP="00695AC4">
      <w:pPr>
        <w:spacing w:line="360" w:lineRule="auto"/>
        <w:contextualSpacing/>
        <w:jc w:val="both"/>
        <w:rPr>
          <w:rFonts w:ascii="Palatino Linotype" w:eastAsiaTheme="minorHAnsi" w:hAnsi="Palatino Linotype" w:cs="Tahoma"/>
          <w:color w:val="000000" w:themeColor="text1"/>
          <w:sz w:val="22"/>
          <w:szCs w:val="22"/>
          <w:lang w:eastAsia="en-US"/>
        </w:rPr>
      </w:pPr>
      <w:bookmarkStart w:id="24" w:name="_Toc190695562"/>
      <w:r w:rsidRPr="004717ED">
        <w:rPr>
          <w:rStyle w:val="Ttulo2Car"/>
        </w:rPr>
        <w:t>TERCERO.</w:t>
      </w:r>
      <w:bookmarkEnd w:id="24"/>
      <w:r w:rsidRPr="00035B14">
        <w:rPr>
          <w:rFonts w:ascii="Palatino Linotype" w:eastAsiaTheme="minorHAnsi" w:hAnsi="Palatino Linotype" w:cs="Tahoma"/>
          <w:b/>
          <w:color w:val="000000" w:themeColor="text1"/>
          <w:sz w:val="22"/>
          <w:szCs w:val="22"/>
          <w:lang w:eastAsia="en-US"/>
        </w:rPr>
        <w:t xml:space="preserve"> </w:t>
      </w:r>
      <w:r w:rsidRPr="00035B14">
        <w:rPr>
          <w:rFonts w:ascii="Palatino Linotype" w:eastAsia="Calibri" w:hAnsi="Palatino Linotype" w:cs="Tahoma"/>
          <w:b/>
          <w:bCs/>
          <w:iCs/>
          <w:color w:val="000000" w:themeColor="text1"/>
          <w:sz w:val="22"/>
          <w:szCs w:val="22"/>
          <w:lang w:eastAsia="en-US"/>
        </w:rPr>
        <w:t>NOTIFÍQUESE</w:t>
      </w:r>
      <w:r w:rsidR="00A77216">
        <w:rPr>
          <w:rFonts w:ascii="Palatino Linotype" w:eastAsia="Calibri" w:hAnsi="Palatino Linotype" w:cs="Tahoma"/>
          <w:b/>
          <w:bCs/>
          <w:iCs/>
          <w:color w:val="000000" w:themeColor="text1"/>
          <w:sz w:val="22"/>
          <w:szCs w:val="22"/>
          <w:lang w:eastAsia="en-US"/>
        </w:rPr>
        <w:t xml:space="preserve"> </w:t>
      </w:r>
      <w:r w:rsidR="00A77216">
        <w:rPr>
          <w:rFonts w:ascii="Palatino Linotype" w:eastAsiaTheme="minorHAnsi" w:hAnsi="Palatino Linotype" w:cs="Tahoma"/>
          <w:b/>
          <w:color w:val="000000" w:themeColor="text1"/>
          <w:sz w:val="22"/>
          <w:szCs w:val="22"/>
          <w:lang w:eastAsia="en-US"/>
        </w:rPr>
        <w:t>POR SAIMEX</w:t>
      </w:r>
      <w:r w:rsidRPr="00035B14">
        <w:rPr>
          <w:rFonts w:ascii="Palatino Linotype" w:eastAsia="Calibri" w:hAnsi="Palatino Linotype" w:cs="Tahoma"/>
          <w:b/>
          <w:bCs/>
          <w:iCs/>
          <w:color w:val="000000" w:themeColor="text1"/>
          <w:sz w:val="22"/>
          <w:szCs w:val="22"/>
          <w:lang w:eastAsia="en-US"/>
        </w:rPr>
        <w:t xml:space="preserve"> </w:t>
      </w:r>
      <w:r w:rsidRPr="00035B14">
        <w:rPr>
          <w:rFonts w:ascii="Palatino Linotype" w:eastAsia="Calibri" w:hAnsi="Palatino Linotype" w:cs="Tahoma"/>
          <w:bCs/>
          <w:iCs/>
          <w:color w:val="000000" w:themeColor="text1"/>
          <w:sz w:val="22"/>
          <w:szCs w:val="22"/>
          <w:lang w:eastAsia="en-US"/>
        </w:rPr>
        <w:t xml:space="preserve">la presente resolución al Titular de la Unidad de Transparencia del Sujeto Obligado, para que conforme al artículo 186, último párrafo, 189, segundo párrafo, y 194 de la Ley de Transparencia y Acceso a la Información Pública del Estado de México y Municipios; dé cumplimiento a lo ordenado dentro del plazo de diez días </w:t>
      </w:r>
      <w:r w:rsidRPr="00035B14">
        <w:rPr>
          <w:rFonts w:ascii="Palatino Linotype" w:eastAsia="Calibri" w:hAnsi="Palatino Linotype" w:cs="Tahoma"/>
          <w:bCs/>
          <w:iCs/>
          <w:color w:val="000000" w:themeColor="text1"/>
          <w:sz w:val="22"/>
          <w:szCs w:val="22"/>
          <w:lang w:eastAsia="en-US"/>
        </w:rPr>
        <w:lastRenderedPageBreak/>
        <w:t>hábiles, e informe a este Instituto en un plazo de tres días hábiles siguientes sobre el cumplimiento dado a la presente, se le apercibe que en caso de negarse a cumplir la presente resolución o hacerlo de manera parcial, se le impondrá una medida de apremio de conformidad con lo previsto en los artículos 198, 200, fracción III, 214, 215 y 216 de la Ley referida.</w:t>
      </w:r>
    </w:p>
    <w:p w14:paraId="27D4C6C9" w14:textId="77777777" w:rsidR="00035B14" w:rsidRPr="00035B14" w:rsidRDefault="00035B14" w:rsidP="00695AC4">
      <w:pPr>
        <w:spacing w:line="360" w:lineRule="auto"/>
        <w:contextualSpacing/>
        <w:jc w:val="both"/>
        <w:rPr>
          <w:rFonts w:ascii="Palatino Linotype" w:eastAsiaTheme="minorHAnsi" w:hAnsi="Palatino Linotype" w:cs="Tahoma"/>
          <w:color w:val="000000" w:themeColor="text1"/>
          <w:sz w:val="22"/>
          <w:szCs w:val="22"/>
          <w:lang w:eastAsia="en-US"/>
        </w:rPr>
      </w:pPr>
    </w:p>
    <w:p w14:paraId="28DAC332" w14:textId="77777777" w:rsidR="00035B14" w:rsidRPr="00035B14" w:rsidRDefault="00035B14" w:rsidP="00695AC4">
      <w:pPr>
        <w:spacing w:line="360" w:lineRule="auto"/>
        <w:contextualSpacing/>
        <w:jc w:val="both"/>
        <w:rPr>
          <w:rFonts w:ascii="Palatino Linotype" w:eastAsia="Calibri" w:hAnsi="Palatino Linotype" w:cs="Tahoma"/>
          <w:iCs/>
          <w:color w:val="000000" w:themeColor="text1"/>
          <w:sz w:val="22"/>
          <w:szCs w:val="22"/>
          <w:lang w:eastAsia="en-US"/>
        </w:rPr>
      </w:pPr>
      <w:bookmarkStart w:id="25" w:name="_Hlk61509110"/>
      <w:r w:rsidRPr="00035B14">
        <w:rPr>
          <w:rFonts w:ascii="Palatino Linotype" w:eastAsia="Calibri" w:hAnsi="Palatino Linotype" w:cs="Tahoma"/>
          <w:iCs/>
          <w:color w:val="000000" w:themeColor="text1"/>
          <w:sz w:val="22"/>
          <w:szCs w:val="22"/>
          <w:lang w:eastAsia="en-US"/>
        </w:rPr>
        <w:t>De conformidad con el artículo 198 de la Ley de Transparencia y Acceso a la Información Pública del Estado de México y Municipios, de considerarlo procedente, el Sujeto Obligado de manera fundada y motivada, podrá solicitar una ampliación de plazo para el cumplimiento de la presente Resolución.</w:t>
      </w:r>
      <w:bookmarkEnd w:id="25"/>
    </w:p>
    <w:p w14:paraId="6B7F1527" w14:textId="77777777" w:rsidR="00035B14" w:rsidRPr="00035B14" w:rsidRDefault="00035B14" w:rsidP="00695AC4">
      <w:pPr>
        <w:spacing w:line="360" w:lineRule="auto"/>
        <w:contextualSpacing/>
        <w:jc w:val="both"/>
        <w:rPr>
          <w:rFonts w:ascii="Palatino Linotype" w:eastAsiaTheme="minorHAnsi" w:hAnsi="Palatino Linotype" w:cs="Tahoma"/>
          <w:color w:val="000000" w:themeColor="text1"/>
          <w:sz w:val="22"/>
          <w:szCs w:val="22"/>
          <w:lang w:eastAsia="en-US"/>
        </w:rPr>
      </w:pPr>
    </w:p>
    <w:p w14:paraId="4037A1C7" w14:textId="1E248B28" w:rsidR="00401071" w:rsidRPr="006D1B93" w:rsidRDefault="00035B14" w:rsidP="00695AC4">
      <w:pPr>
        <w:spacing w:line="360" w:lineRule="auto"/>
        <w:jc w:val="both"/>
        <w:rPr>
          <w:rFonts w:ascii="Palatino Linotype" w:eastAsia="Calibri" w:hAnsi="Palatino Linotype" w:cs="Tahoma"/>
          <w:bCs/>
          <w:iCs/>
          <w:sz w:val="22"/>
          <w:szCs w:val="22"/>
          <w:lang w:val="es-ES_tradnl" w:eastAsia="en-US"/>
        </w:rPr>
      </w:pPr>
      <w:bookmarkStart w:id="26" w:name="_Toc190695563"/>
      <w:r w:rsidRPr="004717ED">
        <w:rPr>
          <w:rStyle w:val="Ttulo2Car"/>
        </w:rPr>
        <w:t>CUARTO.</w:t>
      </w:r>
      <w:bookmarkEnd w:id="26"/>
      <w:r w:rsidRPr="00035B14">
        <w:rPr>
          <w:rFonts w:ascii="Palatino Linotype" w:eastAsiaTheme="minorHAnsi" w:hAnsi="Palatino Linotype" w:cs="Tahoma"/>
          <w:b/>
          <w:color w:val="000000" w:themeColor="text1"/>
          <w:sz w:val="22"/>
          <w:szCs w:val="22"/>
          <w:lang w:eastAsia="en-US"/>
        </w:rPr>
        <w:t xml:space="preserve"> NOTIFÍQUESE</w:t>
      </w:r>
      <w:r w:rsidR="00A77216">
        <w:rPr>
          <w:rFonts w:ascii="Palatino Linotype" w:eastAsiaTheme="minorHAnsi" w:hAnsi="Palatino Linotype" w:cs="Tahoma"/>
          <w:b/>
          <w:color w:val="000000" w:themeColor="text1"/>
          <w:sz w:val="22"/>
          <w:szCs w:val="22"/>
          <w:lang w:eastAsia="en-US"/>
        </w:rPr>
        <w:t xml:space="preserve"> POR SAIMEX</w:t>
      </w:r>
      <w:r w:rsidRPr="00035B14">
        <w:rPr>
          <w:rFonts w:ascii="Palatino Linotype" w:eastAsiaTheme="minorHAnsi" w:hAnsi="Palatino Linotype" w:cs="Tahoma"/>
          <w:color w:val="000000" w:themeColor="text1"/>
          <w:sz w:val="22"/>
          <w:szCs w:val="22"/>
          <w:lang w:eastAsia="en-US"/>
        </w:rPr>
        <w:t xml:space="preserve"> al Recurrente la presente Resolución, asimismo, se hace de su conocimiento que de conformidad con lo establecido en el artículo 196 de la Ley de Transparencia y Acceso a la Información Pública del Estado de México y Municipios podrá promover el Juicio de Amparo en los términos de las leyes aplicables.</w:t>
      </w:r>
    </w:p>
    <w:p w14:paraId="31463113" w14:textId="77777777" w:rsidR="00401071" w:rsidRPr="006D1B93" w:rsidRDefault="00401071" w:rsidP="00695AC4">
      <w:pPr>
        <w:widowControl w:val="0"/>
        <w:spacing w:line="360" w:lineRule="auto"/>
        <w:jc w:val="both"/>
        <w:rPr>
          <w:rFonts w:ascii="Palatino Linotype" w:eastAsia="Calibri" w:hAnsi="Palatino Linotype" w:cs="Tahoma"/>
          <w:bCs/>
          <w:iCs/>
          <w:sz w:val="22"/>
          <w:szCs w:val="22"/>
          <w:lang w:val="es-ES_tradnl" w:eastAsia="en-US"/>
        </w:rPr>
      </w:pPr>
    </w:p>
    <w:bookmarkEnd w:id="22"/>
    <w:p w14:paraId="3A90DE22" w14:textId="336C5A47" w:rsidR="00E77BF2" w:rsidRPr="006D1B93" w:rsidRDefault="000B2951" w:rsidP="00695AC4">
      <w:pPr>
        <w:widowControl w:val="0"/>
        <w:spacing w:line="360" w:lineRule="auto"/>
        <w:jc w:val="both"/>
        <w:rPr>
          <w:rFonts w:ascii="Palatino Linotype" w:eastAsia="Calibri" w:hAnsi="Palatino Linotype" w:cs="Tahoma"/>
          <w:bCs/>
          <w:iCs/>
          <w:sz w:val="22"/>
          <w:szCs w:val="22"/>
          <w:lang w:val="es-ES_tradnl" w:eastAsia="en-US"/>
        </w:rPr>
      </w:pPr>
      <w:r w:rsidRPr="006D1B93">
        <w:rPr>
          <w:rFonts w:ascii="Palatino Linotype" w:eastAsia="Calibri" w:hAnsi="Palatino Linotype" w:cs="Tahoma"/>
          <w:bCs/>
          <w:iCs/>
          <w:sz w:val="22"/>
          <w:szCs w:val="22"/>
          <w:lang w:val="es-ES_tradnl" w:eastAsia="en-US"/>
        </w:rPr>
        <w:t xml:space="preserve">ASÍ, POR </w:t>
      </w:r>
      <w:r w:rsidRPr="006D1B93">
        <w:rPr>
          <w:rFonts w:ascii="Palatino Linotype" w:eastAsia="Calibri" w:hAnsi="Palatino Linotype" w:cs="Tahoma"/>
          <w:b/>
          <w:bCs/>
          <w:iCs/>
          <w:sz w:val="22"/>
          <w:szCs w:val="22"/>
          <w:lang w:val="es-ES_tradnl" w:eastAsia="en-US"/>
        </w:rPr>
        <w:t>UNANIMIDAD</w:t>
      </w:r>
      <w:r w:rsidRPr="006D1B93">
        <w:rPr>
          <w:rFonts w:ascii="Palatino Linotype" w:eastAsia="Calibri" w:hAnsi="Palatino Linotype" w:cs="Tahoma"/>
          <w:bCs/>
          <w:iCs/>
          <w:sz w:val="22"/>
          <w:szCs w:val="22"/>
          <w:lang w:val="es-ES_tradnl" w:eastAsia="en-US"/>
        </w:rPr>
        <w:t xml:space="preserve"> DE VOTOS, LO RESOLVIERON Y FIRMAN LOS COMISIONADOS DEL INSTITUTO DE TRANSPARENCIA, ACCESO A LA INFORMACIÓN PÚBLICA Y PROTECCIÓN DE DATOS PERSONALES DEL ESTADO DE MÉXICO Y MUNICIPIOS, JOSÉ MARTÍNEZ VILCHIS, MARÍA DEL ROSARIO MEJÍA AYALA, SHARON CRISTINA MORALES MARTÍNEZ, </w:t>
      </w:r>
      <w:r w:rsidR="00970858" w:rsidRPr="006D1B93">
        <w:rPr>
          <w:rFonts w:ascii="Palatino Linotype" w:eastAsia="Calibri" w:hAnsi="Palatino Linotype" w:cs="Tahoma"/>
          <w:bCs/>
          <w:iCs/>
          <w:sz w:val="22"/>
          <w:szCs w:val="22"/>
          <w:lang w:val="es-ES_tradnl" w:eastAsia="en-US"/>
        </w:rPr>
        <w:t xml:space="preserve">LUIS GUSTAVO PARRA NORIEGA </w:t>
      </w:r>
      <w:r w:rsidR="00970858">
        <w:rPr>
          <w:rFonts w:ascii="Palatino Linotype" w:eastAsia="Calibri" w:hAnsi="Palatino Linotype" w:cs="Tahoma"/>
          <w:bCs/>
          <w:iCs/>
          <w:sz w:val="22"/>
          <w:szCs w:val="22"/>
          <w:lang w:val="es-ES_tradnl" w:eastAsia="en-US"/>
        </w:rPr>
        <w:t xml:space="preserve"> Y GUADALUPE RAMÍREZ PEÑA</w:t>
      </w:r>
      <w:r w:rsidRPr="006D1B93">
        <w:rPr>
          <w:rFonts w:ascii="Palatino Linotype" w:eastAsia="Calibri" w:hAnsi="Palatino Linotype" w:cs="Tahoma"/>
          <w:bCs/>
          <w:iCs/>
          <w:sz w:val="22"/>
          <w:szCs w:val="22"/>
          <w:lang w:val="es-ES_tradnl" w:eastAsia="en-US"/>
        </w:rPr>
        <w:t xml:space="preserve">, EN LA </w:t>
      </w:r>
      <w:r w:rsidR="005D770B">
        <w:rPr>
          <w:rFonts w:ascii="Palatino Linotype" w:eastAsia="Calibri" w:hAnsi="Palatino Linotype" w:cs="Tahoma"/>
          <w:bCs/>
          <w:iCs/>
          <w:sz w:val="22"/>
          <w:szCs w:val="22"/>
          <w:lang w:val="es-ES_tradnl" w:eastAsia="en-US"/>
        </w:rPr>
        <w:t>SEXTA</w:t>
      </w:r>
      <w:r w:rsidRPr="006D1B93">
        <w:rPr>
          <w:rFonts w:ascii="Palatino Linotype" w:eastAsia="Calibri" w:hAnsi="Palatino Linotype" w:cs="Tahoma"/>
          <w:bCs/>
          <w:iCs/>
          <w:sz w:val="22"/>
          <w:szCs w:val="22"/>
          <w:lang w:val="es-ES_tradnl" w:eastAsia="en-US"/>
        </w:rPr>
        <w:t xml:space="preserve"> SESIÓN ORDINARIA, CELEBRADA EL </w:t>
      </w:r>
      <w:r w:rsidR="005D770B">
        <w:rPr>
          <w:rFonts w:ascii="Palatino Linotype" w:eastAsia="Calibri" w:hAnsi="Palatino Linotype" w:cs="Tahoma"/>
          <w:bCs/>
          <w:iCs/>
          <w:sz w:val="22"/>
          <w:szCs w:val="22"/>
          <w:lang w:val="es-ES_tradnl" w:eastAsia="en-US"/>
        </w:rPr>
        <w:t>DIECI</w:t>
      </w:r>
      <w:r w:rsidR="00EF5C00">
        <w:rPr>
          <w:rFonts w:ascii="Palatino Linotype" w:eastAsia="Calibri" w:hAnsi="Palatino Linotype" w:cs="Tahoma"/>
          <w:bCs/>
          <w:iCs/>
          <w:sz w:val="22"/>
          <w:szCs w:val="22"/>
          <w:lang w:val="es-ES_tradnl" w:eastAsia="en-US"/>
        </w:rPr>
        <w:t xml:space="preserve">NUEVE DE </w:t>
      </w:r>
      <w:r w:rsidR="005D770B">
        <w:rPr>
          <w:rFonts w:ascii="Palatino Linotype" w:eastAsia="Calibri" w:hAnsi="Palatino Linotype" w:cs="Tahoma"/>
          <w:bCs/>
          <w:iCs/>
          <w:sz w:val="22"/>
          <w:szCs w:val="22"/>
          <w:lang w:val="es-ES_tradnl" w:eastAsia="en-US"/>
        </w:rPr>
        <w:t>FEBRERO DE DOS MIL VEINTICINCO</w:t>
      </w:r>
      <w:r w:rsidRPr="006D1B93">
        <w:rPr>
          <w:rFonts w:ascii="Palatino Linotype" w:eastAsia="Calibri" w:hAnsi="Palatino Linotype" w:cs="Tahoma"/>
          <w:bCs/>
          <w:iCs/>
          <w:sz w:val="22"/>
          <w:szCs w:val="22"/>
          <w:lang w:val="es-ES_tradnl" w:eastAsia="en-US"/>
        </w:rPr>
        <w:t>, ANTE EL SECRETARIO TÉCNICO DEL PLENO, ALEXIS TAPIA RAMÍREZ.</w:t>
      </w:r>
    </w:p>
    <w:p w14:paraId="4EB8437A" w14:textId="0E017C29" w:rsidR="0087367C" w:rsidRPr="006D1B93" w:rsidRDefault="0087367C" w:rsidP="00557DB4">
      <w:pPr>
        <w:widowControl w:val="0"/>
        <w:spacing w:line="360" w:lineRule="auto"/>
        <w:jc w:val="both"/>
        <w:rPr>
          <w:rFonts w:ascii="Palatino Linotype" w:eastAsia="Calibri" w:hAnsi="Palatino Linotype" w:cs="Tahoma"/>
          <w:bCs/>
          <w:iCs/>
          <w:sz w:val="22"/>
          <w:szCs w:val="22"/>
          <w:lang w:val="es-ES_tradnl" w:eastAsia="en-US"/>
        </w:rPr>
      </w:pPr>
    </w:p>
    <w:p w14:paraId="6A04E664" w14:textId="77777777" w:rsidR="0087367C" w:rsidRDefault="0087367C" w:rsidP="00557DB4">
      <w:pPr>
        <w:spacing w:line="360" w:lineRule="auto"/>
        <w:ind w:right="-93"/>
        <w:jc w:val="both"/>
        <w:rPr>
          <w:rFonts w:ascii="Palatino Linotype" w:hAnsi="Palatino Linotype" w:cs="Tahoma"/>
          <w:sz w:val="22"/>
          <w:szCs w:val="22"/>
          <w:lang w:eastAsia="es-MX"/>
        </w:rPr>
      </w:pPr>
    </w:p>
    <w:p w14:paraId="1847708E" w14:textId="77777777" w:rsidR="00B65BDF" w:rsidRDefault="00B65BDF" w:rsidP="00557DB4">
      <w:pPr>
        <w:spacing w:line="360" w:lineRule="auto"/>
        <w:ind w:right="-93"/>
        <w:jc w:val="both"/>
        <w:rPr>
          <w:rFonts w:ascii="Palatino Linotype" w:hAnsi="Palatino Linotype" w:cs="Tahoma"/>
          <w:sz w:val="22"/>
          <w:szCs w:val="22"/>
          <w:lang w:eastAsia="es-MX"/>
        </w:rPr>
      </w:pPr>
    </w:p>
    <w:p w14:paraId="153EF498" w14:textId="77777777" w:rsidR="00B65BDF" w:rsidRPr="00033B8E" w:rsidRDefault="00B65BDF" w:rsidP="00557DB4">
      <w:pPr>
        <w:spacing w:line="360" w:lineRule="auto"/>
        <w:ind w:right="-93"/>
        <w:jc w:val="both"/>
        <w:rPr>
          <w:rFonts w:ascii="Palatino Linotype" w:hAnsi="Palatino Linotype" w:cs="Tahoma"/>
          <w:sz w:val="22"/>
          <w:szCs w:val="22"/>
          <w:lang w:eastAsia="es-MX"/>
        </w:rPr>
      </w:pPr>
    </w:p>
    <w:sectPr w:rsidR="00B65BDF" w:rsidRPr="00033B8E" w:rsidSect="00F1285A">
      <w:headerReference w:type="even" r:id="rId8"/>
      <w:headerReference w:type="default" r:id="rId9"/>
      <w:footerReference w:type="default" r:id="rId10"/>
      <w:headerReference w:type="first" r:id="rId11"/>
      <w:footerReference w:type="first" r:id="rId12"/>
      <w:type w:val="continuous"/>
      <w:pgSz w:w="12240" w:h="15840"/>
      <w:pgMar w:top="80" w:right="1608" w:bottom="1418" w:left="1588" w:header="709" w:footer="91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DB0017" w14:textId="77777777" w:rsidR="00751F34" w:rsidRDefault="00751F34" w:rsidP="00B31222">
      <w:r>
        <w:separator/>
      </w:r>
    </w:p>
  </w:endnote>
  <w:endnote w:type="continuationSeparator" w:id="0">
    <w:p w14:paraId="0434D527" w14:textId="77777777" w:rsidR="00751F34" w:rsidRDefault="00751F34" w:rsidP="00B312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Century Gothic">
    <w:charset w:val="00"/>
    <w:family w:val="swiss"/>
    <w:pitch w:val="variable"/>
    <w:sig w:usb0="00000287" w:usb1="00000000"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30156707"/>
      <w:docPartObj>
        <w:docPartGallery w:val="Page Numbers (Bottom of Page)"/>
        <w:docPartUnique/>
      </w:docPartObj>
    </w:sdtPr>
    <w:sdtContent>
      <w:sdt>
        <w:sdtPr>
          <w:id w:val="-1769616900"/>
          <w:docPartObj>
            <w:docPartGallery w:val="Page Numbers (Top of Page)"/>
            <w:docPartUnique/>
          </w:docPartObj>
        </w:sdtPr>
        <w:sdtContent>
          <w:p w14:paraId="11FF7C34" w14:textId="415F1E92" w:rsidR="00AF71B0" w:rsidRDefault="00AF71B0">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sidR="00176691">
              <w:rPr>
                <w:b/>
                <w:bCs/>
                <w:noProof/>
              </w:rPr>
              <w:t>23</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176691">
              <w:rPr>
                <w:b/>
                <w:bCs/>
                <w:noProof/>
              </w:rPr>
              <w:t>24</w:t>
            </w:r>
            <w:r>
              <w:rPr>
                <w:b/>
                <w:bCs/>
                <w:sz w:val="24"/>
                <w:szCs w:val="24"/>
              </w:rPr>
              <w:fldChar w:fldCharType="end"/>
            </w:r>
          </w:p>
        </w:sdtContent>
      </w:sdt>
    </w:sdtContent>
  </w:sdt>
  <w:p w14:paraId="2637F45B" w14:textId="77777777" w:rsidR="00AF71B0" w:rsidRDefault="00AF71B0"/>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59767700"/>
      <w:docPartObj>
        <w:docPartGallery w:val="Page Numbers (Bottom of Page)"/>
        <w:docPartUnique/>
      </w:docPartObj>
    </w:sdtPr>
    <w:sdtContent>
      <w:sdt>
        <w:sdtPr>
          <w:id w:val="315386424"/>
          <w:docPartObj>
            <w:docPartGallery w:val="Page Numbers (Top of Page)"/>
            <w:docPartUnique/>
          </w:docPartObj>
        </w:sdtPr>
        <w:sdtContent>
          <w:p w14:paraId="627CAB63" w14:textId="61874F73" w:rsidR="00AF71B0" w:rsidRDefault="00AF71B0">
            <w:pPr>
              <w:pStyle w:val="Piedepgina"/>
              <w:jc w:val="right"/>
            </w:pPr>
          </w:p>
          <w:p w14:paraId="63C7D70B" w14:textId="77777777" w:rsidR="00AF71B0" w:rsidRDefault="00AF71B0">
            <w:pPr>
              <w:pStyle w:val="Piedepgina"/>
              <w:jc w:val="right"/>
            </w:pPr>
          </w:p>
          <w:p w14:paraId="0491B849" w14:textId="77777777" w:rsidR="00AF71B0" w:rsidRDefault="00AF71B0">
            <w:pPr>
              <w:pStyle w:val="Piedepgina"/>
              <w:jc w:val="right"/>
            </w:pPr>
          </w:p>
          <w:p w14:paraId="65578296" w14:textId="2756B46D" w:rsidR="00AF71B0" w:rsidRDefault="00AF71B0">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sidR="00176691">
              <w:rPr>
                <w:b/>
                <w:bCs/>
                <w:noProof/>
              </w:rPr>
              <w:t>1</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176691">
              <w:rPr>
                <w:b/>
                <w:bCs/>
                <w:noProof/>
              </w:rPr>
              <w:t>24</w:t>
            </w:r>
            <w:r>
              <w:rPr>
                <w:b/>
                <w:bCs/>
                <w:sz w:val="24"/>
                <w:szCs w:val="24"/>
              </w:rPr>
              <w:fldChar w:fldCharType="end"/>
            </w:r>
          </w:p>
        </w:sdtContent>
      </w:sdt>
    </w:sdtContent>
  </w:sdt>
  <w:p w14:paraId="75B99463" w14:textId="77777777" w:rsidR="00AF71B0" w:rsidRDefault="00AF71B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4B6EE3" w14:textId="77777777" w:rsidR="00751F34" w:rsidRDefault="00751F34" w:rsidP="00B31222">
      <w:r>
        <w:separator/>
      </w:r>
    </w:p>
  </w:footnote>
  <w:footnote w:type="continuationSeparator" w:id="0">
    <w:p w14:paraId="519110DF" w14:textId="77777777" w:rsidR="00751F34" w:rsidRDefault="00751F34" w:rsidP="00B312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3B1279" w14:textId="74DCBF8F" w:rsidR="00AF71B0" w:rsidRDefault="00000000">
    <w:pPr>
      <w:pStyle w:val="Encabezado"/>
    </w:pPr>
    <w:r>
      <w:rPr>
        <w:noProof/>
        <w:lang w:eastAsia="es-MX"/>
      </w:rPr>
      <w:pict w14:anchorId="69E90AE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101532" o:spid="_x0000_s1026" type="#_x0000_t75" style="position:absolute;margin-left:0;margin-top:0;width:663.5pt;height:12in;z-index:-251656192;mso-position-horizontal:center;mso-position-horizontal-relative:margin;mso-position-vertical:center;mso-position-vertical-relative:margin" o:allowincell="f">
          <v:imagedata r:id="rId1" o:title="marcaaguaINFOEM"/>
          <w10:wrap anchorx="margin" anchory="margin"/>
        </v:shape>
      </w:pict>
    </w:r>
  </w:p>
  <w:p w14:paraId="1C930381" w14:textId="77777777" w:rsidR="00AF71B0" w:rsidRDefault="00AF71B0"/>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aconcuadrcula"/>
      <w:tblW w:w="5670" w:type="dxa"/>
      <w:tblInd w:w="36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2552"/>
      <w:gridCol w:w="3118"/>
    </w:tblGrid>
    <w:tr w:rsidR="00AF71B0" w14:paraId="5293DE37" w14:textId="77777777" w:rsidTr="00CC71F9">
      <w:trPr>
        <w:trHeight w:val="144"/>
      </w:trPr>
      <w:tc>
        <w:tcPr>
          <w:tcW w:w="2552" w:type="dxa"/>
          <w:vAlign w:val="bottom"/>
        </w:tcPr>
        <w:p w14:paraId="7AF80103" w14:textId="59EF163A" w:rsidR="00AF71B0" w:rsidRPr="00026EBB" w:rsidRDefault="00AF71B0" w:rsidP="003F6415">
          <w:pPr>
            <w:tabs>
              <w:tab w:val="right" w:pos="8838"/>
            </w:tabs>
            <w:rPr>
              <w:rFonts w:ascii="Palatino Linotype" w:eastAsia="Calibri" w:hAnsi="Palatino Linotype" w:cs="Tahoma"/>
              <w:b/>
              <w:sz w:val="22"/>
              <w:szCs w:val="22"/>
              <w:lang w:val="es-MX" w:eastAsia="en-US"/>
            </w:rPr>
          </w:pPr>
          <w:r w:rsidRPr="00026EBB">
            <w:rPr>
              <w:rFonts w:ascii="Palatino Linotype" w:eastAsia="Calibri" w:hAnsi="Palatino Linotype" w:cs="Tahoma"/>
              <w:b/>
              <w:sz w:val="22"/>
              <w:szCs w:val="22"/>
              <w:lang w:val="es-MX" w:eastAsia="en-US"/>
            </w:rPr>
            <w:t>Recurso de Revisión:</w:t>
          </w:r>
        </w:p>
      </w:tc>
      <w:tc>
        <w:tcPr>
          <w:tcW w:w="3118" w:type="dxa"/>
        </w:tcPr>
        <w:p w14:paraId="56189302" w14:textId="77777777" w:rsidR="00AF71B0" w:rsidRPr="002E5910" w:rsidRDefault="00AF71B0" w:rsidP="00F77239">
          <w:pPr>
            <w:tabs>
              <w:tab w:val="right" w:pos="8838"/>
            </w:tabs>
            <w:jc w:val="both"/>
            <w:rPr>
              <w:rFonts w:ascii="Palatino Linotype" w:eastAsia="Calibri" w:hAnsi="Palatino Linotype" w:cs="Tahoma"/>
              <w:lang w:val="es-MX" w:eastAsia="en-US"/>
            </w:rPr>
          </w:pPr>
        </w:p>
        <w:p w14:paraId="443D8D46" w14:textId="77777777" w:rsidR="00AF71B0" w:rsidRDefault="00AF71B0" w:rsidP="00F77239">
          <w:pPr>
            <w:tabs>
              <w:tab w:val="right" w:pos="8838"/>
            </w:tabs>
            <w:jc w:val="both"/>
            <w:rPr>
              <w:rFonts w:ascii="Palatino Linotype" w:eastAsia="Calibri" w:hAnsi="Palatino Linotype" w:cs="Tahoma"/>
              <w:sz w:val="22"/>
              <w:szCs w:val="22"/>
              <w:lang w:val="es-MX" w:eastAsia="en-US"/>
            </w:rPr>
          </w:pPr>
        </w:p>
        <w:p w14:paraId="174BD0BF" w14:textId="006094B8" w:rsidR="00AF71B0" w:rsidRPr="00D3618F" w:rsidRDefault="00AF71B0" w:rsidP="006A3A2E">
          <w:pPr>
            <w:tabs>
              <w:tab w:val="right" w:pos="8838"/>
            </w:tabs>
            <w:jc w:val="both"/>
            <w:rPr>
              <w:rFonts w:ascii="Palatino Linotype" w:eastAsia="Calibri" w:hAnsi="Palatino Linotype" w:cs="Tahoma"/>
              <w:sz w:val="22"/>
              <w:szCs w:val="22"/>
              <w:lang w:eastAsia="en-US"/>
            </w:rPr>
          </w:pPr>
          <w:r w:rsidRPr="00D3618F">
            <w:rPr>
              <w:rFonts w:ascii="Palatino Linotype" w:eastAsia="Calibri" w:hAnsi="Palatino Linotype" w:cs="Tahoma"/>
              <w:sz w:val="22"/>
              <w:szCs w:val="22"/>
              <w:lang w:val="es-MX" w:eastAsia="en-US"/>
            </w:rPr>
            <w:t>0</w:t>
          </w:r>
          <w:r>
            <w:rPr>
              <w:rFonts w:ascii="Palatino Linotype" w:eastAsia="Calibri" w:hAnsi="Palatino Linotype" w:cs="Tahoma"/>
              <w:sz w:val="22"/>
              <w:szCs w:val="22"/>
              <w:lang w:val="es-MX" w:eastAsia="en-US"/>
            </w:rPr>
            <w:t>0426/INFOEM/IP/RR/2025</w:t>
          </w:r>
          <w:r w:rsidRPr="00D3618F">
            <w:rPr>
              <w:rFonts w:ascii="Palatino Linotype" w:eastAsia="Calibri" w:hAnsi="Palatino Linotype" w:cs="Tahoma"/>
              <w:sz w:val="22"/>
              <w:szCs w:val="22"/>
              <w:lang w:val="es-MX" w:eastAsia="en-US"/>
            </w:rPr>
            <w:t xml:space="preserve"> </w:t>
          </w:r>
        </w:p>
      </w:tc>
    </w:tr>
    <w:tr w:rsidR="00AF71B0" w14:paraId="07F8E559" w14:textId="77777777" w:rsidTr="00CC71F9">
      <w:trPr>
        <w:trHeight w:val="144"/>
      </w:trPr>
      <w:tc>
        <w:tcPr>
          <w:tcW w:w="2552" w:type="dxa"/>
        </w:tcPr>
        <w:p w14:paraId="0DC0D1FB" w14:textId="77777777" w:rsidR="00AF71B0" w:rsidRPr="00026EBB" w:rsidRDefault="00AF71B0" w:rsidP="003F6415">
          <w:pPr>
            <w:tabs>
              <w:tab w:val="right" w:pos="8838"/>
            </w:tabs>
            <w:rPr>
              <w:rFonts w:ascii="Palatino Linotype" w:eastAsia="Calibri" w:hAnsi="Palatino Linotype" w:cs="Tahoma"/>
              <w:b/>
              <w:sz w:val="22"/>
              <w:szCs w:val="22"/>
              <w:lang w:val="es-MX" w:eastAsia="en-US"/>
            </w:rPr>
          </w:pPr>
          <w:r w:rsidRPr="00026EBB">
            <w:rPr>
              <w:rFonts w:ascii="Palatino Linotype" w:eastAsia="Calibri" w:hAnsi="Palatino Linotype" w:cs="Tahoma"/>
              <w:b/>
              <w:sz w:val="22"/>
              <w:szCs w:val="22"/>
              <w:lang w:val="es-MX" w:eastAsia="en-US"/>
            </w:rPr>
            <w:t>Sujeto Obligado:</w:t>
          </w:r>
        </w:p>
      </w:tc>
      <w:tc>
        <w:tcPr>
          <w:tcW w:w="3118" w:type="dxa"/>
        </w:tcPr>
        <w:p w14:paraId="3944302C" w14:textId="195F91DC" w:rsidR="00AF71B0" w:rsidRPr="00026EBB" w:rsidRDefault="00AF71B0" w:rsidP="009F789C">
          <w:pPr>
            <w:tabs>
              <w:tab w:val="right" w:pos="8838"/>
            </w:tabs>
            <w:jc w:val="both"/>
            <w:rPr>
              <w:rFonts w:ascii="Palatino Linotype" w:eastAsia="Calibri" w:hAnsi="Palatino Linotype" w:cs="Tahoma"/>
              <w:sz w:val="22"/>
              <w:szCs w:val="22"/>
              <w:lang w:val="es-MX" w:eastAsia="en-US"/>
            </w:rPr>
          </w:pPr>
          <w:r w:rsidRPr="005D770B">
            <w:rPr>
              <w:rFonts w:ascii="Palatino Linotype" w:eastAsia="Calibri" w:hAnsi="Palatino Linotype" w:cs="Tahoma"/>
              <w:sz w:val="22"/>
              <w:szCs w:val="22"/>
              <w:lang w:eastAsia="en-US"/>
            </w:rPr>
            <w:t xml:space="preserve">Sistema Municipal </w:t>
          </w:r>
          <w:r w:rsidR="00C00DAE">
            <w:rPr>
              <w:rFonts w:ascii="Palatino Linotype" w:eastAsia="Calibri" w:hAnsi="Palatino Linotype" w:cs="Tahoma"/>
              <w:sz w:val="22"/>
              <w:szCs w:val="22"/>
              <w:lang w:eastAsia="en-US"/>
            </w:rPr>
            <w:t>p</w:t>
          </w:r>
          <w:r w:rsidRPr="005D770B">
            <w:rPr>
              <w:rFonts w:ascii="Palatino Linotype" w:eastAsia="Calibri" w:hAnsi="Palatino Linotype" w:cs="Tahoma"/>
              <w:sz w:val="22"/>
              <w:szCs w:val="22"/>
              <w:lang w:eastAsia="en-US"/>
            </w:rPr>
            <w:t>ara el Desarrollo Integral de la Familia de Toluca</w:t>
          </w:r>
        </w:p>
      </w:tc>
    </w:tr>
    <w:tr w:rsidR="00AF71B0" w14:paraId="0E623641" w14:textId="77777777" w:rsidTr="00CC71F9">
      <w:trPr>
        <w:trHeight w:val="138"/>
      </w:trPr>
      <w:tc>
        <w:tcPr>
          <w:tcW w:w="2552" w:type="dxa"/>
        </w:tcPr>
        <w:p w14:paraId="7283473E" w14:textId="77777777" w:rsidR="00AF71B0" w:rsidRPr="00026EBB" w:rsidRDefault="00AF71B0" w:rsidP="003F6415">
          <w:pPr>
            <w:tabs>
              <w:tab w:val="right" w:pos="8838"/>
            </w:tabs>
            <w:rPr>
              <w:rFonts w:ascii="Palatino Linotype" w:eastAsia="Calibri" w:hAnsi="Palatino Linotype" w:cs="Tahoma"/>
              <w:b/>
              <w:sz w:val="22"/>
              <w:szCs w:val="22"/>
              <w:lang w:val="es-MX" w:eastAsia="en-US"/>
            </w:rPr>
          </w:pPr>
          <w:r w:rsidRPr="00026EBB">
            <w:rPr>
              <w:rFonts w:ascii="Palatino Linotype" w:eastAsia="Calibri" w:hAnsi="Palatino Linotype" w:cs="Tahoma"/>
              <w:b/>
              <w:sz w:val="22"/>
              <w:szCs w:val="22"/>
              <w:lang w:val="es-MX" w:eastAsia="en-US"/>
            </w:rPr>
            <w:t>Comisionado Ponente:</w:t>
          </w:r>
        </w:p>
      </w:tc>
      <w:tc>
        <w:tcPr>
          <w:tcW w:w="3118" w:type="dxa"/>
        </w:tcPr>
        <w:p w14:paraId="4B7A920B" w14:textId="77777777" w:rsidR="00AF71B0" w:rsidRDefault="00AF71B0" w:rsidP="003F6415">
          <w:pPr>
            <w:tabs>
              <w:tab w:val="right" w:pos="8838"/>
            </w:tabs>
            <w:jc w:val="both"/>
            <w:rPr>
              <w:rFonts w:ascii="Palatino Linotype" w:eastAsia="Calibri" w:hAnsi="Palatino Linotype" w:cs="Tahoma"/>
              <w:sz w:val="22"/>
              <w:szCs w:val="22"/>
              <w:lang w:val="es-MX" w:eastAsia="en-US"/>
            </w:rPr>
          </w:pPr>
          <w:r w:rsidRPr="00026EBB">
            <w:rPr>
              <w:rFonts w:ascii="Palatino Linotype" w:eastAsia="Calibri" w:hAnsi="Palatino Linotype" w:cs="Tahoma"/>
              <w:sz w:val="22"/>
              <w:szCs w:val="22"/>
              <w:lang w:val="es-MX" w:eastAsia="en-US"/>
            </w:rPr>
            <w:t>Luis Gustavo Parra Noriega</w:t>
          </w:r>
        </w:p>
        <w:p w14:paraId="31511367" w14:textId="26F977ED" w:rsidR="00AF71B0" w:rsidRPr="00026EBB" w:rsidRDefault="00AF71B0" w:rsidP="003F6415">
          <w:pPr>
            <w:tabs>
              <w:tab w:val="right" w:pos="8838"/>
            </w:tabs>
            <w:jc w:val="both"/>
            <w:rPr>
              <w:rFonts w:ascii="Palatino Linotype" w:eastAsia="Calibri" w:hAnsi="Palatino Linotype" w:cs="Tahoma"/>
              <w:b/>
              <w:sz w:val="22"/>
              <w:szCs w:val="22"/>
              <w:lang w:val="es-MX" w:eastAsia="en-US"/>
            </w:rPr>
          </w:pPr>
        </w:p>
      </w:tc>
    </w:tr>
  </w:tbl>
  <w:p w14:paraId="5173184F" w14:textId="38418CC2" w:rsidR="00AF71B0" w:rsidRPr="004B7285" w:rsidRDefault="00000000" w:rsidP="004B7285">
    <w:pPr>
      <w:pStyle w:val="Encabezado"/>
      <w:rPr>
        <w:sz w:val="14"/>
      </w:rPr>
    </w:pPr>
    <w:r>
      <w:rPr>
        <w:noProof/>
        <w:sz w:val="14"/>
        <w:lang w:eastAsia="es-MX"/>
      </w:rPr>
      <w:pict w14:anchorId="43FB6DE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101533" o:spid="_x0000_s1027" type="#_x0000_t75" style="position:absolute;margin-left:-43.4pt;margin-top:-137.2pt;width:663.5pt;height:12in;z-index:-251655168;mso-position-horizontal-relative:margin;mso-position-vertical-relative:margin" o:allowincell="f">
          <v:imagedata r:id="rId1" o:title="marcaaguaINFOEM"/>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aconcuadrcula"/>
      <w:tblW w:w="5386" w:type="dxa"/>
      <w:tblInd w:w="36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2410"/>
      <w:gridCol w:w="2976"/>
    </w:tblGrid>
    <w:tr w:rsidR="00AF71B0" w:rsidRPr="00264223" w14:paraId="4FD3E646" w14:textId="77777777" w:rsidTr="00CC71F9">
      <w:trPr>
        <w:trHeight w:val="284"/>
      </w:trPr>
      <w:tc>
        <w:tcPr>
          <w:tcW w:w="2410" w:type="dxa"/>
          <w:vAlign w:val="bottom"/>
        </w:tcPr>
        <w:p w14:paraId="6C3F733B" w14:textId="082196B1" w:rsidR="00AF71B0" w:rsidRPr="00D3618F" w:rsidRDefault="00AF71B0" w:rsidP="00D3618F">
          <w:pPr>
            <w:tabs>
              <w:tab w:val="right" w:pos="8838"/>
            </w:tabs>
            <w:ind w:right="-105"/>
            <w:rPr>
              <w:rFonts w:ascii="Palatino Linotype" w:eastAsia="Calibri" w:hAnsi="Palatino Linotype" w:cs="Tahoma"/>
              <w:b/>
              <w:sz w:val="22"/>
              <w:szCs w:val="22"/>
              <w:lang w:val="es-MX" w:eastAsia="en-US"/>
            </w:rPr>
          </w:pPr>
          <w:r w:rsidRPr="00D3618F">
            <w:rPr>
              <w:rFonts w:ascii="Palatino Linotype" w:eastAsia="Calibri" w:hAnsi="Palatino Linotype" w:cs="Tahoma"/>
              <w:b/>
              <w:sz w:val="22"/>
              <w:szCs w:val="22"/>
              <w:lang w:val="es-MX" w:eastAsia="en-US"/>
            </w:rPr>
            <w:t>Recurso de Revisión:</w:t>
          </w:r>
        </w:p>
      </w:tc>
      <w:tc>
        <w:tcPr>
          <w:tcW w:w="2976" w:type="dxa"/>
        </w:tcPr>
        <w:p w14:paraId="461510A7" w14:textId="77777777" w:rsidR="00AF71B0" w:rsidRPr="003842FD" w:rsidRDefault="00AF71B0" w:rsidP="009F789C">
          <w:pPr>
            <w:tabs>
              <w:tab w:val="right" w:pos="8838"/>
            </w:tabs>
            <w:ind w:left="-28"/>
            <w:jc w:val="both"/>
            <w:rPr>
              <w:rFonts w:ascii="Palatino Linotype" w:eastAsia="Calibri" w:hAnsi="Palatino Linotype" w:cs="Tahoma"/>
              <w:sz w:val="4"/>
              <w:szCs w:val="4"/>
              <w:lang w:eastAsia="en-US"/>
            </w:rPr>
          </w:pPr>
        </w:p>
        <w:p w14:paraId="123981B6" w14:textId="77777777" w:rsidR="00AF71B0" w:rsidRPr="00C11FAF" w:rsidRDefault="00AF71B0" w:rsidP="00F77239">
          <w:pPr>
            <w:tabs>
              <w:tab w:val="right" w:pos="8838"/>
            </w:tabs>
            <w:ind w:left="-28"/>
            <w:jc w:val="both"/>
            <w:rPr>
              <w:rFonts w:ascii="Palatino Linotype" w:eastAsia="Calibri" w:hAnsi="Palatino Linotype" w:cs="Tahoma"/>
              <w:sz w:val="6"/>
              <w:szCs w:val="6"/>
              <w:lang w:eastAsia="en-US"/>
            </w:rPr>
          </w:pPr>
        </w:p>
        <w:p w14:paraId="59348B61" w14:textId="620F5A2D" w:rsidR="00AF71B0" w:rsidRPr="00D3618F" w:rsidRDefault="00AF71B0" w:rsidP="006A3A2E">
          <w:pPr>
            <w:tabs>
              <w:tab w:val="right" w:pos="8838"/>
            </w:tabs>
            <w:ind w:left="-28"/>
            <w:jc w:val="both"/>
            <w:rPr>
              <w:rFonts w:ascii="Palatino Linotype" w:eastAsia="Calibri" w:hAnsi="Palatino Linotype" w:cs="Tahoma"/>
              <w:sz w:val="22"/>
              <w:szCs w:val="22"/>
              <w:lang w:eastAsia="en-US"/>
            </w:rPr>
          </w:pPr>
          <w:r w:rsidRPr="00D3618F">
            <w:rPr>
              <w:rFonts w:ascii="Palatino Linotype" w:eastAsia="Calibri" w:hAnsi="Palatino Linotype" w:cs="Tahoma"/>
              <w:sz w:val="22"/>
              <w:szCs w:val="22"/>
              <w:lang w:eastAsia="en-US"/>
            </w:rPr>
            <w:t>0</w:t>
          </w:r>
          <w:r>
            <w:rPr>
              <w:rFonts w:ascii="Palatino Linotype" w:eastAsia="Calibri" w:hAnsi="Palatino Linotype" w:cs="Tahoma"/>
              <w:sz w:val="22"/>
              <w:szCs w:val="22"/>
              <w:lang w:eastAsia="en-US"/>
            </w:rPr>
            <w:t>0426/INFOEM/IP/RR/2025</w:t>
          </w:r>
        </w:p>
      </w:tc>
    </w:tr>
    <w:tr w:rsidR="00AF71B0" w:rsidRPr="00264223" w14:paraId="6D1DD158" w14:textId="77777777" w:rsidTr="00CC71F9">
      <w:trPr>
        <w:trHeight w:val="104"/>
      </w:trPr>
      <w:tc>
        <w:tcPr>
          <w:tcW w:w="2410" w:type="dxa"/>
        </w:tcPr>
        <w:p w14:paraId="0F35E3B3" w14:textId="77777777" w:rsidR="00AF71B0" w:rsidRPr="00D3618F" w:rsidRDefault="00AF71B0" w:rsidP="00D3618F">
          <w:pPr>
            <w:tabs>
              <w:tab w:val="right" w:pos="8838"/>
            </w:tabs>
            <w:ind w:right="-105"/>
            <w:rPr>
              <w:rFonts w:ascii="Palatino Linotype" w:eastAsia="Calibri" w:hAnsi="Palatino Linotype" w:cs="Tahoma"/>
              <w:b/>
              <w:sz w:val="22"/>
              <w:szCs w:val="22"/>
              <w:lang w:val="es-MX" w:eastAsia="en-US"/>
            </w:rPr>
          </w:pPr>
          <w:r w:rsidRPr="00D3618F">
            <w:rPr>
              <w:rFonts w:ascii="Palatino Linotype" w:eastAsia="Calibri" w:hAnsi="Palatino Linotype" w:cs="Tahoma"/>
              <w:b/>
              <w:sz w:val="22"/>
              <w:szCs w:val="22"/>
              <w:lang w:val="es-MX" w:eastAsia="en-US"/>
            </w:rPr>
            <w:t>Recurrente:</w:t>
          </w:r>
        </w:p>
      </w:tc>
      <w:tc>
        <w:tcPr>
          <w:tcW w:w="2976" w:type="dxa"/>
        </w:tcPr>
        <w:p w14:paraId="216CFC75" w14:textId="4BF402C1" w:rsidR="00AF71B0" w:rsidRPr="00960890" w:rsidRDefault="00ED1EF0" w:rsidP="00D3618F">
          <w:pPr>
            <w:tabs>
              <w:tab w:val="right" w:pos="8838"/>
            </w:tabs>
            <w:jc w:val="both"/>
            <w:rPr>
              <w:rFonts w:ascii="Palatino Linotype" w:eastAsia="Calibri" w:hAnsi="Palatino Linotype" w:cs="Tahoma"/>
              <w:sz w:val="22"/>
              <w:szCs w:val="22"/>
              <w:lang w:val="es-MX" w:eastAsia="en-US"/>
            </w:rPr>
          </w:pPr>
          <w:r w:rsidRPr="00ED1EF0">
            <w:rPr>
              <w:rFonts w:ascii="Palatino Linotype" w:eastAsia="Calibri" w:hAnsi="Palatino Linotype" w:cs="Tahoma"/>
              <w:bCs/>
              <w:sz w:val="22"/>
              <w:szCs w:val="22"/>
              <w:highlight w:val="black"/>
              <w:lang w:val="es-MX" w:eastAsia="en-US"/>
            </w:rPr>
            <w:t>XXXXXXXXXXXXXX</w:t>
          </w:r>
        </w:p>
      </w:tc>
    </w:tr>
    <w:tr w:rsidR="00AF71B0" w:rsidRPr="00264223" w14:paraId="702544B7" w14:textId="77777777" w:rsidTr="00CC71F9">
      <w:trPr>
        <w:trHeight w:val="234"/>
      </w:trPr>
      <w:tc>
        <w:tcPr>
          <w:tcW w:w="2410" w:type="dxa"/>
        </w:tcPr>
        <w:p w14:paraId="2BF509B1" w14:textId="77777777" w:rsidR="00AF71B0" w:rsidRPr="00D3618F" w:rsidRDefault="00AF71B0" w:rsidP="00D3618F">
          <w:pPr>
            <w:tabs>
              <w:tab w:val="right" w:pos="8838"/>
            </w:tabs>
            <w:ind w:right="-105"/>
            <w:rPr>
              <w:rFonts w:ascii="Palatino Linotype" w:eastAsia="Calibri" w:hAnsi="Palatino Linotype" w:cs="Tahoma"/>
              <w:b/>
              <w:sz w:val="22"/>
              <w:szCs w:val="22"/>
              <w:lang w:val="es-MX" w:eastAsia="en-US"/>
            </w:rPr>
          </w:pPr>
          <w:r w:rsidRPr="00D3618F">
            <w:rPr>
              <w:rFonts w:ascii="Palatino Linotype" w:eastAsia="Calibri" w:hAnsi="Palatino Linotype" w:cs="Tahoma"/>
              <w:b/>
              <w:sz w:val="22"/>
              <w:szCs w:val="22"/>
              <w:lang w:val="es-MX" w:eastAsia="en-US"/>
            </w:rPr>
            <w:t>Sujeto Obligado:</w:t>
          </w:r>
        </w:p>
      </w:tc>
      <w:tc>
        <w:tcPr>
          <w:tcW w:w="2976" w:type="dxa"/>
        </w:tcPr>
        <w:p w14:paraId="7281945A" w14:textId="62F3642C" w:rsidR="00AF71B0" w:rsidRPr="00D3618F" w:rsidRDefault="00AF71B0" w:rsidP="009F789C">
          <w:pPr>
            <w:tabs>
              <w:tab w:val="right" w:pos="8838"/>
            </w:tabs>
            <w:jc w:val="both"/>
            <w:rPr>
              <w:rFonts w:ascii="Palatino Linotype" w:eastAsia="Calibri" w:hAnsi="Palatino Linotype" w:cs="Tahoma"/>
              <w:sz w:val="22"/>
              <w:szCs w:val="22"/>
              <w:lang w:val="es-MX" w:eastAsia="en-US"/>
            </w:rPr>
          </w:pPr>
          <w:r w:rsidRPr="005D770B">
            <w:rPr>
              <w:rFonts w:ascii="Palatino Linotype" w:eastAsia="Calibri" w:hAnsi="Palatino Linotype" w:cs="Tahoma"/>
              <w:sz w:val="22"/>
              <w:szCs w:val="22"/>
              <w:lang w:val="es-MX" w:eastAsia="en-US"/>
            </w:rPr>
            <w:t>Sistema Municipal Para el Desarrollo Integral de la Familia de Toluca</w:t>
          </w:r>
        </w:p>
      </w:tc>
    </w:tr>
    <w:tr w:rsidR="00AF71B0" w:rsidRPr="00264223" w14:paraId="6BF0DE15" w14:textId="77777777" w:rsidTr="00CC71F9">
      <w:trPr>
        <w:trHeight w:val="234"/>
      </w:trPr>
      <w:tc>
        <w:tcPr>
          <w:tcW w:w="2410" w:type="dxa"/>
        </w:tcPr>
        <w:p w14:paraId="60CA22C7" w14:textId="77777777" w:rsidR="00AF71B0" w:rsidRPr="00D3618F" w:rsidRDefault="00AF71B0" w:rsidP="00D3618F">
          <w:pPr>
            <w:tabs>
              <w:tab w:val="right" w:pos="8838"/>
            </w:tabs>
            <w:ind w:right="-105"/>
            <w:rPr>
              <w:rFonts w:ascii="Palatino Linotype" w:eastAsia="Calibri" w:hAnsi="Palatino Linotype" w:cs="Tahoma"/>
              <w:b/>
              <w:sz w:val="22"/>
              <w:szCs w:val="22"/>
              <w:lang w:val="es-MX" w:eastAsia="en-US"/>
            </w:rPr>
          </w:pPr>
          <w:r w:rsidRPr="00D3618F">
            <w:rPr>
              <w:rFonts w:ascii="Palatino Linotype" w:eastAsia="Calibri" w:hAnsi="Palatino Linotype" w:cs="Tahoma"/>
              <w:b/>
              <w:sz w:val="22"/>
              <w:szCs w:val="22"/>
              <w:lang w:val="es-MX" w:eastAsia="en-US"/>
            </w:rPr>
            <w:t>Comisionado Ponente:</w:t>
          </w:r>
        </w:p>
      </w:tc>
      <w:tc>
        <w:tcPr>
          <w:tcW w:w="2976" w:type="dxa"/>
        </w:tcPr>
        <w:p w14:paraId="45A527B3" w14:textId="77777777" w:rsidR="00AF71B0" w:rsidRPr="00D3618F" w:rsidRDefault="00AF71B0" w:rsidP="00D3618F">
          <w:pPr>
            <w:tabs>
              <w:tab w:val="right" w:pos="8838"/>
            </w:tabs>
            <w:rPr>
              <w:rFonts w:ascii="Palatino Linotype" w:eastAsia="Calibri" w:hAnsi="Palatino Linotype" w:cs="Tahoma"/>
              <w:sz w:val="22"/>
              <w:szCs w:val="22"/>
              <w:lang w:val="es-MX" w:eastAsia="en-US"/>
            </w:rPr>
          </w:pPr>
          <w:r w:rsidRPr="00D3618F">
            <w:rPr>
              <w:rFonts w:ascii="Palatino Linotype" w:eastAsia="Calibri" w:hAnsi="Palatino Linotype" w:cs="Tahoma"/>
              <w:sz w:val="22"/>
              <w:szCs w:val="22"/>
              <w:lang w:val="es-MX" w:eastAsia="en-US"/>
            </w:rPr>
            <w:t>Luis Gustavo Parra Noriega</w:t>
          </w:r>
        </w:p>
      </w:tc>
    </w:tr>
  </w:tbl>
  <w:p w14:paraId="7ED64CF1" w14:textId="78810767" w:rsidR="00AF71B0" w:rsidRDefault="00000000">
    <w:r>
      <w:rPr>
        <w:noProof/>
        <w:lang w:eastAsia="es-MX"/>
      </w:rPr>
      <w:pict w14:anchorId="5D92D6B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101531" o:spid="_x0000_s1025" type="#_x0000_t75" style="position:absolute;margin-left:-94.8pt;margin-top:-132.2pt;width:663.5pt;height:12in;z-index:-251657216;mso-position-horizontal-relative:margin;mso-position-vertical-relative:margin" o:allowincell="f">
          <v:imagedata r:id="rId1" o:title="marcaaguaINFOEM"/>
          <w10:wrap anchorx="margin" anchory="margin"/>
        </v:shape>
      </w:pict>
    </w:r>
  </w:p>
  <w:p w14:paraId="4B0F3367" w14:textId="77777777" w:rsidR="00AF71B0" w:rsidRDefault="00AF71B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3"/>
    <w:multiLevelType w:val="singleLevel"/>
    <w:tmpl w:val="7816848E"/>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08B240E3"/>
    <w:multiLevelType w:val="hybridMultilevel"/>
    <w:tmpl w:val="9D30C06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031772"/>
    <w:multiLevelType w:val="hybridMultilevel"/>
    <w:tmpl w:val="4A50631C"/>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3" w15:restartNumberingAfterBreak="0">
    <w:nsid w:val="2CAA2541"/>
    <w:multiLevelType w:val="multilevel"/>
    <w:tmpl w:val="D76AB7AE"/>
    <w:lvl w:ilvl="0">
      <w:start w:val="1"/>
      <w:numFmt w:val="bullet"/>
      <w:pStyle w:val="Listaconvietas3"/>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32D310F4"/>
    <w:multiLevelType w:val="hybridMultilevel"/>
    <w:tmpl w:val="9D30C06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3CB51C23"/>
    <w:multiLevelType w:val="hybridMultilevel"/>
    <w:tmpl w:val="2D322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4F35C50"/>
    <w:multiLevelType w:val="hybridMultilevel"/>
    <w:tmpl w:val="4CB6696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4A0D223F"/>
    <w:multiLevelType w:val="hybridMultilevel"/>
    <w:tmpl w:val="0AC6998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4F757344"/>
    <w:multiLevelType w:val="hybridMultilevel"/>
    <w:tmpl w:val="F1DAD6E6"/>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55E336B3"/>
    <w:multiLevelType w:val="hybridMultilevel"/>
    <w:tmpl w:val="511C1A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6D3D7FA1"/>
    <w:multiLevelType w:val="hybridMultilevel"/>
    <w:tmpl w:val="9D30C06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70245C7E"/>
    <w:multiLevelType w:val="hybridMultilevel"/>
    <w:tmpl w:val="2550F174"/>
    <w:lvl w:ilvl="0" w:tplc="087AAEF6">
      <w:numFmt w:val="bullet"/>
      <w:lvlText w:val="-"/>
      <w:lvlJc w:val="left"/>
      <w:pPr>
        <w:ind w:left="720" w:hanging="360"/>
      </w:pPr>
      <w:rPr>
        <w:rFonts w:ascii="Palatino Linotype" w:eastAsia="Times New Roman" w:hAnsi="Palatino Linotype" w:cs="Tahoma"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9016D24"/>
    <w:multiLevelType w:val="hybridMultilevel"/>
    <w:tmpl w:val="C3C25B6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473526129">
    <w:abstractNumId w:val="0"/>
  </w:num>
  <w:num w:numId="2" w16cid:durableId="1914967136">
    <w:abstractNumId w:val="8"/>
  </w:num>
  <w:num w:numId="3" w16cid:durableId="215553452">
    <w:abstractNumId w:val="4"/>
  </w:num>
  <w:num w:numId="4" w16cid:durableId="1462384215">
    <w:abstractNumId w:val="3"/>
  </w:num>
  <w:num w:numId="5" w16cid:durableId="591090655">
    <w:abstractNumId w:val="2"/>
  </w:num>
  <w:num w:numId="6" w16cid:durableId="58526950">
    <w:abstractNumId w:val="5"/>
  </w:num>
  <w:num w:numId="7" w16cid:durableId="2131774985">
    <w:abstractNumId w:val="7"/>
  </w:num>
  <w:num w:numId="8" w16cid:durableId="1511989601">
    <w:abstractNumId w:val="9"/>
  </w:num>
  <w:num w:numId="9" w16cid:durableId="1068379127">
    <w:abstractNumId w:val="12"/>
  </w:num>
  <w:num w:numId="10" w16cid:durableId="646469988">
    <w:abstractNumId w:val="11"/>
  </w:num>
  <w:num w:numId="11" w16cid:durableId="1125516">
    <w:abstractNumId w:val="10"/>
  </w:num>
  <w:num w:numId="12" w16cid:durableId="566963240">
    <w:abstractNumId w:val="1"/>
  </w:num>
  <w:num w:numId="13" w16cid:durableId="1347318775">
    <w:abstractNumId w:val="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pt-BR" w:vendorID="64" w:dllVersion="6" w:nlCheck="1" w:checkStyle="0"/>
  <w:activeWritingStyle w:appName="MSWord" w:lang="es-MX" w:vendorID="64" w:dllVersion="6" w:nlCheck="1" w:checkStyle="1"/>
  <w:activeWritingStyle w:appName="MSWord" w:lang="es-ES" w:vendorID="64" w:dllVersion="6" w:nlCheck="1" w:checkStyle="1"/>
  <w:activeWritingStyle w:appName="MSWord" w:lang="es-ES_tradnl" w:vendorID="64" w:dllVersion="6" w:nlCheck="1" w:checkStyle="1"/>
  <w:activeWritingStyle w:appName="MSWord" w:lang="es-MX" w:vendorID="64" w:dllVersion="4096" w:nlCheck="1" w:checkStyle="0"/>
  <w:activeWritingStyle w:appName="MSWord" w:lang="pt-BR" w:vendorID="64" w:dllVersion="4096" w:nlCheck="1" w:checkStyle="0"/>
  <w:activeWritingStyle w:appName="MSWord" w:lang="es-ES" w:vendorID="64" w:dllVersion="4096" w:nlCheck="1" w:checkStyle="0"/>
  <w:activeWritingStyle w:appName="MSWord" w:lang="es-ES_tradnl" w:vendorID="64" w:dllVersion="4096" w:nlCheck="1" w:checkStyle="0"/>
  <w:activeWritingStyle w:appName="MSWord" w:lang="es-MX" w:vendorID="64" w:dllVersion="0" w:nlCheck="1" w:checkStyle="0"/>
  <w:activeWritingStyle w:appName="MSWord" w:lang="es-ES" w:vendorID="64" w:dllVersion="0" w:nlCheck="1" w:checkStyle="0"/>
  <w:proofState w:spelling="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1222"/>
    <w:rsid w:val="000021BE"/>
    <w:rsid w:val="000027EB"/>
    <w:rsid w:val="0000328D"/>
    <w:rsid w:val="0000485A"/>
    <w:rsid w:val="00004DF1"/>
    <w:rsid w:val="0000512B"/>
    <w:rsid w:val="00006543"/>
    <w:rsid w:val="0000686D"/>
    <w:rsid w:val="00007753"/>
    <w:rsid w:val="000104C4"/>
    <w:rsid w:val="00010E18"/>
    <w:rsid w:val="00013A19"/>
    <w:rsid w:val="00014465"/>
    <w:rsid w:val="00014DCD"/>
    <w:rsid w:val="0001559E"/>
    <w:rsid w:val="00017019"/>
    <w:rsid w:val="00020FAA"/>
    <w:rsid w:val="000212E5"/>
    <w:rsid w:val="00021C64"/>
    <w:rsid w:val="00023837"/>
    <w:rsid w:val="0002405C"/>
    <w:rsid w:val="000241C5"/>
    <w:rsid w:val="00026EBB"/>
    <w:rsid w:val="00027CA1"/>
    <w:rsid w:val="00030081"/>
    <w:rsid w:val="000313A7"/>
    <w:rsid w:val="000313C2"/>
    <w:rsid w:val="000316CB"/>
    <w:rsid w:val="00032F5B"/>
    <w:rsid w:val="00033347"/>
    <w:rsid w:val="00033B8E"/>
    <w:rsid w:val="00034E9D"/>
    <w:rsid w:val="00035A90"/>
    <w:rsid w:val="00035B14"/>
    <w:rsid w:val="0003645D"/>
    <w:rsid w:val="000373BC"/>
    <w:rsid w:val="00037B34"/>
    <w:rsid w:val="00037F4B"/>
    <w:rsid w:val="0004168D"/>
    <w:rsid w:val="00041F0F"/>
    <w:rsid w:val="00043C4B"/>
    <w:rsid w:val="0004646B"/>
    <w:rsid w:val="00046977"/>
    <w:rsid w:val="000475E4"/>
    <w:rsid w:val="00047889"/>
    <w:rsid w:val="00047D67"/>
    <w:rsid w:val="00050DF6"/>
    <w:rsid w:val="00051A65"/>
    <w:rsid w:val="00051C89"/>
    <w:rsid w:val="00052121"/>
    <w:rsid w:val="000528E6"/>
    <w:rsid w:val="00053EBE"/>
    <w:rsid w:val="000551C1"/>
    <w:rsid w:val="00056B1A"/>
    <w:rsid w:val="00057236"/>
    <w:rsid w:val="0006017B"/>
    <w:rsid w:val="00063366"/>
    <w:rsid w:val="00063CA0"/>
    <w:rsid w:val="000717D3"/>
    <w:rsid w:val="000718E2"/>
    <w:rsid w:val="00072C02"/>
    <w:rsid w:val="00073274"/>
    <w:rsid w:val="000813B0"/>
    <w:rsid w:val="0008148B"/>
    <w:rsid w:val="0008165E"/>
    <w:rsid w:val="00081C8C"/>
    <w:rsid w:val="00082F59"/>
    <w:rsid w:val="00086B27"/>
    <w:rsid w:val="00087B93"/>
    <w:rsid w:val="000930AE"/>
    <w:rsid w:val="00093D95"/>
    <w:rsid w:val="00094124"/>
    <w:rsid w:val="000959D5"/>
    <w:rsid w:val="00097211"/>
    <w:rsid w:val="0009793B"/>
    <w:rsid w:val="000A20A4"/>
    <w:rsid w:val="000A2275"/>
    <w:rsid w:val="000A2389"/>
    <w:rsid w:val="000A238F"/>
    <w:rsid w:val="000A2407"/>
    <w:rsid w:val="000A2C7C"/>
    <w:rsid w:val="000A7211"/>
    <w:rsid w:val="000B0B4E"/>
    <w:rsid w:val="000B1D37"/>
    <w:rsid w:val="000B2951"/>
    <w:rsid w:val="000B2C93"/>
    <w:rsid w:val="000B36DD"/>
    <w:rsid w:val="000B523A"/>
    <w:rsid w:val="000B5711"/>
    <w:rsid w:val="000B6020"/>
    <w:rsid w:val="000B6349"/>
    <w:rsid w:val="000B6812"/>
    <w:rsid w:val="000B691A"/>
    <w:rsid w:val="000C2283"/>
    <w:rsid w:val="000C27CA"/>
    <w:rsid w:val="000C46DF"/>
    <w:rsid w:val="000C5210"/>
    <w:rsid w:val="000C5940"/>
    <w:rsid w:val="000C59CB"/>
    <w:rsid w:val="000C6D13"/>
    <w:rsid w:val="000C728F"/>
    <w:rsid w:val="000D0B08"/>
    <w:rsid w:val="000D0CE1"/>
    <w:rsid w:val="000D199C"/>
    <w:rsid w:val="000D2122"/>
    <w:rsid w:val="000D514C"/>
    <w:rsid w:val="000D71F7"/>
    <w:rsid w:val="000E0185"/>
    <w:rsid w:val="000E087D"/>
    <w:rsid w:val="000E0BEA"/>
    <w:rsid w:val="000E1817"/>
    <w:rsid w:val="000E33AA"/>
    <w:rsid w:val="000E67E4"/>
    <w:rsid w:val="000F24C8"/>
    <w:rsid w:val="000F3DA0"/>
    <w:rsid w:val="000F4876"/>
    <w:rsid w:val="000F555D"/>
    <w:rsid w:val="000F57B1"/>
    <w:rsid w:val="000F623D"/>
    <w:rsid w:val="000F7A45"/>
    <w:rsid w:val="000F7FD8"/>
    <w:rsid w:val="00100BAC"/>
    <w:rsid w:val="00101324"/>
    <w:rsid w:val="001017B7"/>
    <w:rsid w:val="001034C6"/>
    <w:rsid w:val="00103D64"/>
    <w:rsid w:val="001049B0"/>
    <w:rsid w:val="00104ADB"/>
    <w:rsid w:val="001057BC"/>
    <w:rsid w:val="00106127"/>
    <w:rsid w:val="00107A87"/>
    <w:rsid w:val="00107D2F"/>
    <w:rsid w:val="0011241E"/>
    <w:rsid w:val="001133D5"/>
    <w:rsid w:val="00114068"/>
    <w:rsid w:val="001149AB"/>
    <w:rsid w:val="001150E9"/>
    <w:rsid w:val="0012152C"/>
    <w:rsid w:val="001224BA"/>
    <w:rsid w:val="00127757"/>
    <w:rsid w:val="00127E51"/>
    <w:rsid w:val="00130F33"/>
    <w:rsid w:val="00132A80"/>
    <w:rsid w:val="00132F95"/>
    <w:rsid w:val="00134AF6"/>
    <w:rsid w:val="00135F5A"/>
    <w:rsid w:val="001373A9"/>
    <w:rsid w:val="001426E4"/>
    <w:rsid w:val="0014307A"/>
    <w:rsid w:val="00144D0B"/>
    <w:rsid w:val="00144E6E"/>
    <w:rsid w:val="00146080"/>
    <w:rsid w:val="00147566"/>
    <w:rsid w:val="001478DA"/>
    <w:rsid w:val="001507FD"/>
    <w:rsid w:val="00151053"/>
    <w:rsid w:val="00151442"/>
    <w:rsid w:val="00151FBB"/>
    <w:rsid w:val="0015211F"/>
    <w:rsid w:val="00153259"/>
    <w:rsid w:val="0015590E"/>
    <w:rsid w:val="00155F96"/>
    <w:rsid w:val="00156408"/>
    <w:rsid w:val="00156A6B"/>
    <w:rsid w:val="00156E5D"/>
    <w:rsid w:val="0015757C"/>
    <w:rsid w:val="00157B8F"/>
    <w:rsid w:val="00157FAC"/>
    <w:rsid w:val="00161DF9"/>
    <w:rsid w:val="00161ED0"/>
    <w:rsid w:val="00162CCE"/>
    <w:rsid w:val="00165891"/>
    <w:rsid w:val="00167281"/>
    <w:rsid w:val="00170545"/>
    <w:rsid w:val="00171ADD"/>
    <w:rsid w:val="001720DD"/>
    <w:rsid w:val="00173688"/>
    <w:rsid w:val="0017459B"/>
    <w:rsid w:val="00175B2F"/>
    <w:rsid w:val="00176691"/>
    <w:rsid w:val="0017695F"/>
    <w:rsid w:val="00180365"/>
    <w:rsid w:val="00181F1F"/>
    <w:rsid w:val="00182F0F"/>
    <w:rsid w:val="00183AF2"/>
    <w:rsid w:val="00183C9D"/>
    <w:rsid w:val="00183D24"/>
    <w:rsid w:val="001843F8"/>
    <w:rsid w:val="001851A6"/>
    <w:rsid w:val="001875A7"/>
    <w:rsid w:val="001875B7"/>
    <w:rsid w:val="001879E1"/>
    <w:rsid w:val="00190871"/>
    <w:rsid w:val="001921F6"/>
    <w:rsid w:val="0019389B"/>
    <w:rsid w:val="00194314"/>
    <w:rsid w:val="00194582"/>
    <w:rsid w:val="0019576A"/>
    <w:rsid w:val="001967D7"/>
    <w:rsid w:val="0019780B"/>
    <w:rsid w:val="001A1B88"/>
    <w:rsid w:val="001A1B94"/>
    <w:rsid w:val="001A2086"/>
    <w:rsid w:val="001A22F5"/>
    <w:rsid w:val="001A7FD2"/>
    <w:rsid w:val="001B107D"/>
    <w:rsid w:val="001B2CD9"/>
    <w:rsid w:val="001B33DF"/>
    <w:rsid w:val="001B3581"/>
    <w:rsid w:val="001B3680"/>
    <w:rsid w:val="001B6049"/>
    <w:rsid w:val="001B62A0"/>
    <w:rsid w:val="001B790F"/>
    <w:rsid w:val="001B7D42"/>
    <w:rsid w:val="001C1264"/>
    <w:rsid w:val="001C282F"/>
    <w:rsid w:val="001C4E35"/>
    <w:rsid w:val="001C5D12"/>
    <w:rsid w:val="001C7DAE"/>
    <w:rsid w:val="001D0084"/>
    <w:rsid w:val="001D0086"/>
    <w:rsid w:val="001D0094"/>
    <w:rsid w:val="001D0B67"/>
    <w:rsid w:val="001D33B5"/>
    <w:rsid w:val="001D425D"/>
    <w:rsid w:val="001D55EE"/>
    <w:rsid w:val="001D6F51"/>
    <w:rsid w:val="001D7012"/>
    <w:rsid w:val="001D7BD2"/>
    <w:rsid w:val="001E1355"/>
    <w:rsid w:val="001E2177"/>
    <w:rsid w:val="001E2A4D"/>
    <w:rsid w:val="001E53C2"/>
    <w:rsid w:val="001E551B"/>
    <w:rsid w:val="001E5BCF"/>
    <w:rsid w:val="001F0646"/>
    <w:rsid w:val="001F0E9C"/>
    <w:rsid w:val="001F1540"/>
    <w:rsid w:val="001F229D"/>
    <w:rsid w:val="001F352F"/>
    <w:rsid w:val="001F652C"/>
    <w:rsid w:val="001F739F"/>
    <w:rsid w:val="001F78D9"/>
    <w:rsid w:val="002020FC"/>
    <w:rsid w:val="00202DB8"/>
    <w:rsid w:val="0020427E"/>
    <w:rsid w:val="00205B1E"/>
    <w:rsid w:val="00207736"/>
    <w:rsid w:val="00212460"/>
    <w:rsid w:val="00215D0D"/>
    <w:rsid w:val="00217AEF"/>
    <w:rsid w:val="0022119B"/>
    <w:rsid w:val="00221576"/>
    <w:rsid w:val="00221EC9"/>
    <w:rsid w:val="00223ECD"/>
    <w:rsid w:val="002240FC"/>
    <w:rsid w:val="002241A6"/>
    <w:rsid w:val="002241E8"/>
    <w:rsid w:val="00224774"/>
    <w:rsid w:val="002247B0"/>
    <w:rsid w:val="00224F7A"/>
    <w:rsid w:val="00225152"/>
    <w:rsid w:val="00226633"/>
    <w:rsid w:val="00227BAB"/>
    <w:rsid w:val="00230E81"/>
    <w:rsid w:val="0023161F"/>
    <w:rsid w:val="00232673"/>
    <w:rsid w:val="00232890"/>
    <w:rsid w:val="00236863"/>
    <w:rsid w:val="00237B3E"/>
    <w:rsid w:val="00237C1F"/>
    <w:rsid w:val="00237D0D"/>
    <w:rsid w:val="0024089F"/>
    <w:rsid w:val="002433A4"/>
    <w:rsid w:val="002435DC"/>
    <w:rsid w:val="002451ED"/>
    <w:rsid w:val="00247B17"/>
    <w:rsid w:val="00250389"/>
    <w:rsid w:val="0025041F"/>
    <w:rsid w:val="00251F2E"/>
    <w:rsid w:val="00252669"/>
    <w:rsid w:val="002534FB"/>
    <w:rsid w:val="00254209"/>
    <w:rsid w:val="00254288"/>
    <w:rsid w:val="002545AA"/>
    <w:rsid w:val="0025469C"/>
    <w:rsid w:val="00255DE6"/>
    <w:rsid w:val="002579CE"/>
    <w:rsid w:val="00257F01"/>
    <w:rsid w:val="0026006C"/>
    <w:rsid w:val="00260D0F"/>
    <w:rsid w:val="00260FEC"/>
    <w:rsid w:val="00261DD6"/>
    <w:rsid w:val="00264223"/>
    <w:rsid w:val="00264534"/>
    <w:rsid w:val="002657E2"/>
    <w:rsid w:val="00265C01"/>
    <w:rsid w:val="0026609C"/>
    <w:rsid w:val="002705D2"/>
    <w:rsid w:val="002727CC"/>
    <w:rsid w:val="00273679"/>
    <w:rsid w:val="0028009F"/>
    <w:rsid w:val="0028090C"/>
    <w:rsid w:val="00281A35"/>
    <w:rsid w:val="00281D63"/>
    <w:rsid w:val="0028241A"/>
    <w:rsid w:val="00283E90"/>
    <w:rsid w:val="00284486"/>
    <w:rsid w:val="00284BF6"/>
    <w:rsid w:val="00285644"/>
    <w:rsid w:val="0028581E"/>
    <w:rsid w:val="002921EB"/>
    <w:rsid w:val="0029246E"/>
    <w:rsid w:val="00292DE5"/>
    <w:rsid w:val="0029330C"/>
    <w:rsid w:val="00293491"/>
    <w:rsid w:val="00293A8C"/>
    <w:rsid w:val="002A0FB8"/>
    <w:rsid w:val="002A3B3C"/>
    <w:rsid w:val="002A5A94"/>
    <w:rsid w:val="002A6193"/>
    <w:rsid w:val="002A6E29"/>
    <w:rsid w:val="002A7BD4"/>
    <w:rsid w:val="002A7F32"/>
    <w:rsid w:val="002B20A1"/>
    <w:rsid w:val="002B2147"/>
    <w:rsid w:val="002B226E"/>
    <w:rsid w:val="002B46D4"/>
    <w:rsid w:val="002B4CA6"/>
    <w:rsid w:val="002B54CF"/>
    <w:rsid w:val="002C1274"/>
    <w:rsid w:val="002C1A9C"/>
    <w:rsid w:val="002C1B25"/>
    <w:rsid w:val="002C31E3"/>
    <w:rsid w:val="002C51F7"/>
    <w:rsid w:val="002C5F39"/>
    <w:rsid w:val="002D1BE4"/>
    <w:rsid w:val="002D3FB8"/>
    <w:rsid w:val="002D5DDD"/>
    <w:rsid w:val="002D724D"/>
    <w:rsid w:val="002D7B5B"/>
    <w:rsid w:val="002E07C6"/>
    <w:rsid w:val="002E134F"/>
    <w:rsid w:val="002E3701"/>
    <w:rsid w:val="002E5015"/>
    <w:rsid w:val="002E5910"/>
    <w:rsid w:val="002E7ACF"/>
    <w:rsid w:val="002F0CE9"/>
    <w:rsid w:val="002F1820"/>
    <w:rsid w:val="002F18C3"/>
    <w:rsid w:val="002F199F"/>
    <w:rsid w:val="002F3691"/>
    <w:rsid w:val="002F3BD0"/>
    <w:rsid w:val="002F5B19"/>
    <w:rsid w:val="002F7079"/>
    <w:rsid w:val="002F7E3C"/>
    <w:rsid w:val="00300A0B"/>
    <w:rsid w:val="00300D70"/>
    <w:rsid w:val="00300D90"/>
    <w:rsid w:val="00301F46"/>
    <w:rsid w:val="0030387B"/>
    <w:rsid w:val="00303CAD"/>
    <w:rsid w:val="00304689"/>
    <w:rsid w:val="003046FD"/>
    <w:rsid w:val="003053CA"/>
    <w:rsid w:val="00305CA6"/>
    <w:rsid w:val="00306418"/>
    <w:rsid w:val="0030726B"/>
    <w:rsid w:val="003100F3"/>
    <w:rsid w:val="00310C11"/>
    <w:rsid w:val="00312072"/>
    <w:rsid w:val="00315492"/>
    <w:rsid w:val="00316600"/>
    <w:rsid w:val="00316AB7"/>
    <w:rsid w:val="003172EC"/>
    <w:rsid w:val="003201BA"/>
    <w:rsid w:val="00320BAA"/>
    <w:rsid w:val="003214FD"/>
    <w:rsid w:val="0032170B"/>
    <w:rsid w:val="00321C94"/>
    <w:rsid w:val="00323325"/>
    <w:rsid w:val="003243B0"/>
    <w:rsid w:val="00325EC0"/>
    <w:rsid w:val="00327E19"/>
    <w:rsid w:val="003337B6"/>
    <w:rsid w:val="003340EC"/>
    <w:rsid w:val="003350FF"/>
    <w:rsid w:val="00335DE5"/>
    <w:rsid w:val="00337B12"/>
    <w:rsid w:val="0034057C"/>
    <w:rsid w:val="00343E36"/>
    <w:rsid w:val="0034711B"/>
    <w:rsid w:val="00350142"/>
    <w:rsid w:val="00350787"/>
    <w:rsid w:val="00351628"/>
    <w:rsid w:val="00351AA8"/>
    <w:rsid w:val="00351F58"/>
    <w:rsid w:val="003526FB"/>
    <w:rsid w:val="003533B8"/>
    <w:rsid w:val="00353B6D"/>
    <w:rsid w:val="00354373"/>
    <w:rsid w:val="00354920"/>
    <w:rsid w:val="003551A5"/>
    <w:rsid w:val="00355AA1"/>
    <w:rsid w:val="00355DC6"/>
    <w:rsid w:val="0036028D"/>
    <w:rsid w:val="003604D7"/>
    <w:rsid w:val="003609CA"/>
    <w:rsid w:val="0036351E"/>
    <w:rsid w:val="00363907"/>
    <w:rsid w:val="00364521"/>
    <w:rsid w:val="00365026"/>
    <w:rsid w:val="00367842"/>
    <w:rsid w:val="00367F82"/>
    <w:rsid w:val="00370D29"/>
    <w:rsid w:val="003756AF"/>
    <w:rsid w:val="00375815"/>
    <w:rsid w:val="0037602F"/>
    <w:rsid w:val="00376EC8"/>
    <w:rsid w:val="00380441"/>
    <w:rsid w:val="00380A6B"/>
    <w:rsid w:val="003816A3"/>
    <w:rsid w:val="00382696"/>
    <w:rsid w:val="003833D1"/>
    <w:rsid w:val="00383A38"/>
    <w:rsid w:val="0038405F"/>
    <w:rsid w:val="003842FD"/>
    <w:rsid w:val="0038438A"/>
    <w:rsid w:val="003864D2"/>
    <w:rsid w:val="00386FF3"/>
    <w:rsid w:val="00390249"/>
    <w:rsid w:val="00390BF8"/>
    <w:rsid w:val="00391B57"/>
    <w:rsid w:val="00392082"/>
    <w:rsid w:val="00392877"/>
    <w:rsid w:val="00392E12"/>
    <w:rsid w:val="003944AC"/>
    <w:rsid w:val="00394645"/>
    <w:rsid w:val="00394D7E"/>
    <w:rsid w:val="00394F5B"/>
    <w:rsid w:val="003952EF"/>
    <w:rsid w:val="00395650"/>
    <w:rsid w:val="003956E9"/>
    <w:rsid w:val="003965EC"/>
    <w:rsid w:val="00396BA0"/>
    <w:rsid w:val="003A0E17"/>
    <w:rsid w:val="003A111E"/>
    <w:rsid w:val="003A16D4"/>
    <w:rsid w:val="003A357E"/>
    <w:rsid w:val="003A6757"/>
    <w:rsid w:val="003A6E62"/>
    <w:rsid w:val="003A744C"/>
    <w:rsid w:val="003A78B5"/>
    <w:rsid w:val="003A7BE8"/>
    <w:rsid w:val="003A7C85"/>
    <w:rsid w:val="003A7FBE"/>
    <w:rsid w:val="003B0D09"/>
    <w:rsid w:val="003B165A"/>
    <w:rsid w:val="003B2140"/>
    <w:rsid w:val="003B3EF3"/>
    <w:rsid w:val="003B6C11"/>
    <w:rsid w:val="003C1510"/>
    <w:rsid w:val="003C2478"/>
    <w:rsid w:val="003C28B8"/>
    <w:rsid w:val="003C2948"/>
    <w:rsid w:val="003C3768"/>
    <w:rsid w:val="003C4782"/>
    <w:rsid w:val="003C6934"/>
    <w:rsid w:val="003C6C3F"/>
    <w:rsid w:val="003C74F9"/>
    <w:rsid w:val="003C7827"/>
    <w:rsid w:val="003C7FD0"/>
    <w:rsid w:val="003D0268"/>
    <w:rsid w:val="003D0323"/>
    <w:rsid w:val="003D1A43"/>
    <w:rsid w:val="003D1A64"/>
    <w:rsid w:val="003D3757"/>
    <w:rsid w:val="003D37E4"/>
    <w:rsid w:val="003D3A9C"/>
    <w:rsid w:val="003E13A6"/>
    <w:rsid w:val="003E31E5"/>
    <w:rsid w:val="003E32ED"/>
    <w:rsid w:val="003E3A39"/>
    <w:rsid w:val="003E4693"/>
    <w:rsid w:val="003E56BD"/>
    <w:rsid w:val="003E58C9"/>
    <w:rsid w:val="003E68B3"/>
    <w:rsid w:val="003E79C7"/>
    <w:rsid w:val="003F12E0"/>
    <w:rsid w:val="003F204B"/>
    <w:rsid w:val="003F36D7"/>
    <w:rsid w:val="003F578D"/>
    <w:rsid w:val="003F6415"/>
    <w:rsid w:val="003F650B"/>
    <w:rsid w:val="003F67B8"/>
    <w:rsid w:val="003F7A60"/>
    <w:rsid w:val="003F7EDC"/>
    <w:rsid w:val="004004E9"/>
    <w:rsid w:val="00400FDE"/>
    <w:rsid w:val="00401071"/>
    <w:rsid w:val="00402109"/>
    <w:rsid w:val="00402595"/>
    <w:rsid w:val="004033A7"/>
    <w:rsid w:val="004052C5"/>
    <w:rsid w:val="004100AA"/>
    <w:rsid w:val="00411DA9"/>
    <w:rsid w:val="00412203"/>
    <w:rsid w:val="004130C7"/>
    <w:rsid w:val="00414815"/>
    <w:rsid w:val="00414B0D"/>
    <w:rsid w:val="0041563A"/>
    <w:rsid w:val="00415787"/>
    <w:rsid w:val="00417DE3"/>
    <w:rsid w:val="004203EE"/>
    <w:rsid w:val="00420B07"/>
    <w:rsid w:val="00422869"/>
    <w:rsid w:val="00426448"/>
    <w:rsid w:val="0043197C"/>
    <w:rsid w:val="0043257A"/>
    <w:rsid w:val="00436E0C"/>
    <w:rsid w:val="00436FD3"/>
    <w:rsid w:val="004406CF"/>
    <w:rsid w:val="00441804"/>
    <w:rsid w:val="0044293C"/>
    <w:rsid w:val="004435B4"/>
    <w:rsid w:val="00444335"/>
    <w:rsid w:val="0044446C"/>
    <w:rsid w:val="004471B4"/>
    <w:rsid w:val="00450248"/>
    <w:rsid w:val="004517E5"/>
    <w:rsid w:val="004520DF"/>
    <w:rsid w:val="0046048A"/>
    <w:rsid w:val="00461690"/>
    <w:rsid w:val="00462ED7"/>
    <w:rsid w:val="004631D5"/>
    <w:rsid w:val="00464C62"/>
    <w:rsid w:val="00466346"/>
    <w:rsid w:val="004717ED"/>
    <w:rsid w:val="00471CCA"/>
    <w:rsid w:val="00472E5E"/>
    <w:rsid w:val="00473F17"/>
    <w:rsid w:val="004751D6"/>
    <w:rsid w:val="00475972"/>
    <w:rsid w:val="00476345"/>
    <w:rsid w:val="00477DBA"/>
    <w:rsid w:val="00477E20"/>
    <w:rsid w:val="00480BB8"/>
    <w:rsid w:val="004810FE"/>
    <w:rsid w:val="00481674"/>
    <w:rsid w:val="00481D51"/>
    <w:rsid w:val="0048519E"/>
    <w:rsid w:val="00485EC7"/>
    <w:rsid w:val="00485F1D"/>
    <w:rsid w:val="004860BD"/>
    <w:rsid w:val="00487430"/>
    <w:rsid w:val="00492519"/>
    <w:rsid w:val="00492DCA"/>
    <w:rsid w:val="00493283"/>
    <w:rsid w:val="0049667A"/>
    <w:rsid w:val="004979A2"/>
    <w:rsid w:val="004A0262"/>
    <w:rsid w:val="004A0A7B"/>
    <w:rsid w:val="004A0BB0"/>
    <w:rsid w:val="004A1167"/>
    <w:rsid w:val="004A1FE5"/>
    <w:rsid w:val="004A26CD"/>
    <w:rsid w:val="004A2A21"/>
    <w:rsid w:val="004A3584"/>
    <w:rsid w:val="004A5121"/>
    <w:rsid w:val="004A577A"/>
    <w:rsid w:val="004A7990"/>
    <w:rsid w:val="004A7F16"/>
    <w:rsid w:val="004B134D"/>
    <w:rsid w:val="004B16B7"/>
    <w:rsid w:val="004B1796"/>
    <w:rsid w:val="004B2C95"/>
    <w:rsid w:val="004B2DBA"/>
    <w:rsid w:val="004B368B"/>
    <w:rsid w:val="004B591D"/>
    <w:rsid w:val="004B6965"/>
    <w:rsid w:val="004B7285"/>
    <w:rsid w:val="004B7542"/>
    <w:rsid w:val="004C0059"/>
    <w:rsid w:val="004C37AA"/>
    <w:rsid w:val="004C4ACC"/>
    <w:rsid w:val="004C6AC1"/>
    <w:rsid w:val="004C7E83"/>
    <w:rsid w:val="004D0556"/>
    <w:rsid w:val="004D1B42"/>
    <w:rsid w:val="004D2A6A"/>
    <w:rsid w:val="004D5893"/>
    <w:rsid w:val="004D5DB3"/>
    <w:rsid w:val="004E0096"/>
    <w:rsid w:val="004E2EC6"/>
    <w:rsid w:val="004E345F"/>
    <w:rsid w:val="004E3545"/>
    <w:rsid w:val="004E41C7"/>
    <w:rsid w:val="004E58C3"/>
    <w:rsid w:val="004E5A21"/>
    <w:rsid w:val="004E7FE7"/>
    <w:rsid w:val="004F0F4E"/>
    <w:rsid w:val="004F2D88"/>
    <w:rsid w:val="004F41A2"/>
    <w:rsid w:val="004F432B"/>
    <w:rsid w:val="005001F3"/>
    <w:rsid w:val="005008D7"/>
    <w:rsid w:val="005022E9"/>
    <w:rsid w:val="0050434B"/>
    <w:rsid w:val="0050485B"/>
    <w:rsid w:val="005070C3"/>
    <w:rsid w:val="005113AD"/>
    <w:rsid w:val="005113FE"/>
    <w:rsid w:val="005124DC"/>
    <w:rsid w:val="00512F7F"/>
    <w:rsid w:val="00513CA7"/>
    <w:rsid w:val="00515991"/>
    <w:rsid w:val="00516141"/>
    <w:rsid w:val="0051710B"/>
    <w:rsid w:val="00517E8A"/>
    <w:rsid w:val="00521C93"/>
    <w:rsid w:val="005220BE"/>
    <w:rsid w:val="00526621"/>
    <w:rsid w:val="00526667"/>
    <w:rsid w:val="00534BF1"/>
    <w:rsid w:val="00540DFD"/>
    <w:rsid w:val="00541D46"/>
    <w:rsid w:val="0054289F"/>
    <w:rsid w:val="00542D5F"/>
    <w:rsid w:val="005435DE"/>
    <w:rsid w:val="0054474A"/>
    <w:rsid w:val="00544C28"/>
    <w:rsid w:val="00545159"/>
    <w:rsid w:val="00546BAE"/>
    <w:rsid w:val="0055229C"/>
    <w:rsid w:val="00552EBD"/>
    <w:rsid w:val="00553827"/>
    <w:rsid w:val="00555F71"/>
    <w:rsid w:val="00557DB4"/>
    <w:rsid w:val="00560C32"/>
    <w:rsid w:val="005612CF"/>
    <w:rsid w:val="00562299"/>
    <w:rsid w:val="00564276"/>
    <w:rsid w:val="005643DB"/>
    <w:rsid w:val="0056521E"/>
    <w:rsid w:val="0057338D"/>
    <w:rsid w:val="005740F6"/>
    <w:rsid w:val="005743D2"/>
    <w:rsid w:val="00575177"/>
    <w:rsid w:val="00575D92"/>
    <w:rsid w:val="00575DE3"/>
    <w:rsid w:val="005761B3"/>
    <w:rsid w:val="00576F74"/>
    <w:rsid w:val="00577048"/>
    <w:rsid w:val="0057709B"/>
    <w:rsid w:val="005802BD"/>
    <w:rsid w:val="005810EF"/>
    <w:rsid w:val="00586FA8"/>
    <w:rsid w:val="00587430"/>
    <w:rsid w:val="005875B0"/>
    <w:rsid w:val="00587F23"/>
    <w:rsid w:val="00591E3A"/>
    <w:rsid w:val="00593CB4"/>
    <w:rsid w:val="00595E0A"/>
    <w:rsid w:val="00597A04"/>
    <w:rsid w:val="005A1156"/>
    <w:rsid w:val="005A1803"/>
    <w:rsid w:val="005A2440"/>
    <w:rsid w:val="005A3131"/>
    <w:rsid w:val="005A4096"/>
    <w:rsid w:val="005B0D7C"/>
    <w:rsid w:val="005B0E86"/>
    <w:rsid w:val="005B27D6"/>
    <w:rsid w:val="005B2CD4"/>
    <w:rsid w:val="005B3A3B"/>
    <w:rsid w:val="005B5DEE"/>
    <w:rsid w:val="005B6854"/>
    <w:rsid w:val="005C027A"/>
    <w:rsid w:val="005C0DBE"/>
    <w:rsid w:val="005C3721"/>
    <w:rsid w:val="005C4034"/>
    <w:rsid w:val="005C465F"/>
    <w:rsid w:val="005C651C"/>
    <w:rsid w:val="005C6D3A"/>
    <w:rsid w:val="005D0D06"/>
    <w:rsid w:val="005D1427"/>
    <w:rsid w:val="005D2B62"/>
    <w:rsid w:val="005D3B24"/>
    <w:rsid w:val="005D49C8"/>
    <w:rsid w:val="005D4C33"/>
    <w:rsid w:val="005D5173"/>
    <w:rsid w:val="005D5607"/>
    <w:rsid w:val="005D573F"/>
    <w:rsid w:val="005D770B"/>
    <w:rsid w:val="005E15BB"/>
    <w:rsid w:val="005E37E9"/>
    <w:rsid w:val="005E61D4"/>
    <w:rsid w:val="005E7FB2"/>
    <w:rsid w:val="005F03DB"/>
    <w:rsid w:val="005F11C2"/>
    <w:rsid w:val="005F1701"/>
    <w:rsid w:val="005F3C27"/>
    <w:rsid w:val="005F6858"/>
    <w:rsid w:val="005F77BB"/>
    <w:rsid w:val="005F7B7F"/>
    <w:rsid w:val="00601494"/>
    <w:rsid w:val="00602E30"/>
    <w:rsid w:val="00603A46"/>
    <w:rsid w:val="00611A49"/>
    <w:rsid w:val="00613017"/>
    <w:rsid w:val="00613A54"/>
    <w:rsid w:val="0061435D"/>
    <w:rsid w:val="00616189"/>
    <w:rsid w:val="006166F0"/>
    <w:rsid w:val="00616715"/>
    <w:rsid w:val="006172CA"/>
    <w:rsid w:val="00620EE6"/>
    <w:rsid w:val="00621760"/>
    <w:rsid w:val="006217BB"/>
    <w:rsid w:val="00622159"/>
    <w:rsid w:val="00622A27"/>
    <w:rsid w:val="00624BB7"/>
    <w:rsid w:val="00625BD5"/>
    <w:rsid w:val="00625DFB"/>
    <w:rsid w:val="00626B71"/>
    <w:rsid w:val="0062725F"/>
    <w:rsid w:val="00627D5D"/>
    <w:rsid w:val="006312B6"/>
    <w:rsid w:val="00632ADC"/>
    <w:rsid w:val="00634CEB"/>
    <w:rsid w:val="00635D14"/>
    <w:rsid w:val="00637179"/>
    <w:rsid w:val="0063734D"/>
    <w:rsid w:val="00640A28"/>
    <w:rsid w:val="006412FA"/>
    <w:rsid w:val="00641A4E"/>
    <w:rsid w:val="006429F6"/>
    <w:rsid w:val="00646100"/>
    <w:rsid w:val="006471BB"/>
    <w:rsid w:val="006476CA"/>
    <w:rsid w:val="006507A4"/>
    <w:rsid w:val="0065100D"/>
    <w:rsid w:val="006510BE"/>
    <w:rsid w:val="006510E5"/>
    <w:rsid w:val="00652D65"/>
    <w:rsid w:val="00653AD3"/>
    <w:rsid w:val="00653D74"/>
    <w:rsid w:val="00653F19"/>
    <w:rsid w:val="006549B0"/>
    <w:rsid w:val="006552AE"/>
    <w:rsid w:val="00655773"/>
    <w:rsid w:val="006563CA"/>
    <w:rsid w:val="006578FC"/>
    <w:rsid w:val="00657AC8"/>
    <w:rsid w:val="006608AB"/>
    <w:rsid w:val="00662E00"/>
    <w:rsid w:val="00663B2D"/>
    <w:rsid w:val="00664587"/>
    <w:rsid w:val="00665164"/>
    <w:rsid w:val="00666F25"/>
    <w:rsid w:val="00667C1C"/>
    <w:rsid w:val="006714B4"/>
    <w:rsid w:val="00671885"/>
    <w:rsid w:val="00673DD4"/>
    <w:rsid w:val="00674AEB"/>
    <w:rsid w:val="006753B0"/>
    <w:rsid w:val="0067635F"/>
    <w:rsid w:val="00676F42"/>
    <w:rsid w:val="00681656"/>
    <w:rsid w:val="00681AE0"/>
    <w:rsid w:val="00683CB5"/>
    <w:rsid w:val="0068455C"/>
    <w:rsid w:val="00685328"/>
    <w:rsid w:val="00690562"/>
    <w:rsid w:val="00692EC3"/>
    <w:rsid w:val="0069333E"/>
    <w:rsid w:val="00693C8E"/>
    <w:rsid w:val="00695AC4"/>
    <w:rsid w:val="00695F12"/>
    <w:rsid w:val="006969BA"/>
    <w:rsid w:val="006A026A"/>
    <w:rsid w:val="006A0425"/>
    <w:rsid w:val="006A1CDB"/>
    <w:rsid w:val="006A1D62"/>
    <w:rsid w:val="006A27A0"/>
    <w:rsid w:val="006A3759"/>
    <w:rsid w:val="006A3A2E"/>
    <w:rsid w:val="006A6D7F"/>
    <w:rsid w:val="006A73F2"/>
    <w:rsid w:val="006B0298"/>
    <w:rsid w:val="006B0E83"/>
    <w:rsid w:val="006B199C"/>
    <w:rsid w:val="006B3F47"/>
    <w:rsid w:val="006B49AE"/>
    <w:rsid w:val="006B50AC"/>
    <w:rsid w:val="006B5493"/>
    <w:rsid w:val="006B6FCB"/>
    <w:rsid w:val="006C0ADF"/>
    <w:rsid w:val="006C10C0"/>
    <w:rsid w:val="006C1B1D"/>
    <w:rsid w:val="006C2DF5"/>
    <w:rsid w:val="006C32BB"/>
    <w:rsid w:val="006C3747"/>
    <w:rsid w:val="006C4132"/>
    <w:rsid w:val="006C6F31"/>
    <w:rsid w:val="006C7760"/>
    <w:rsid w:val="006C7EEA"/>
    <w:rsid w:val="006D1B93"/>
    <w:rsid w:val="006D32A6"/>
    <w:rsid w:val="006D522C"/>
    <w:rsid w:val="006D5563"/>
    <w:rsid w:val="006D56AA"/>
    <w:rsid w:val="006D7795"/>
    <w:rsid w:val="006D7ACB"/>
    <w:rsid w:val="006E00EF"/>
    <w:rsid w:val="006E1340"/>
    <w:rsid w:val="006E1A7A"/>
    <w:rsid w:val="006E1E89"/>
    <w:rsid w:val="006E38AF"/>
    <w:rsid w:val="006E4819"/>
    <w:rsid w:val="006E4846"/>
    <w:rsid w:val="006E7ED1"/>
    <w:rsid w:val="006F01E7"/>
    <w:rsid w:val="006F1F3A"/>
    <w:rsid w:val="006F3C5E"/>
    <w:rsid w:val="006F59CF"/>
    <w:rsid w:val="006F7196"/>
    <w:rsid w:val="006F7630"/>
    <w:rsid w:val="006F76DD"/>
    <w:rsid w:val="006F7A9A"/>
    <w:rsid w:val="006F7EB8"/>
    <w:rsid w:val="00702DD7"/>
    <w:rsid w:val="00703208"/>
    <w:rsid w:val="007047D3"/>
    <w:rsid w:val="007052DC"/>
    <w:rsid w:val="00705406"/>
    <w:rsid w:val="00705C40"/>
    <w:rsid w:val="00706723"/>
    <w:rsid w:val="007073E2"/>
    <w:rsid w:val="0071087E"/>
    <w:rsid w:val="00710C5F"/>
    <w:rsid w:val="007112CD"/>
    <w:rsid w:val="0071540F"/>
    <w:rsid w:val="00717731"/>
    <w:rsid w:val="00720266"/>
    <w:rsid w:val="00722603"/>
    <w:rsid w:val="007229A1"/>
    <w:rsid w:val="00723390"/>
    <w:rsid w:val="007235AA"/>
    <w:rsid w:val="0072794B"/>
    <w:rsid w:val="00727AC1"/>
    <w:rsid w:val="007302B2"/>
    <w:rsid w:val="00731AE5"/>
    <w:rsid w:val="00732289"/>
    <w:rsid w:val="0073268D"/>
    <w:rsid w:val="00733CB9"/>
    <w:rsid w:val="00734A47"/>
    <w:rsid w:val="00735915"/>
    <w:rsid w:val="00735C21"/>
    <w:rsid w:val="0073614A"/>
    <w:rsid w:val="00736FF2"/>
    <w:rsid w:val="00740885"/>
    <w:rsid w:val="00740C8C"/>
    <w:rsid w:val="00741AC4"/>
    <w:rsid w:val="0074285B"/>
    <w:rsid w:val="007430C0"/>
    <w:rsid w:val="00745AEC"/>
    <w:rsid w:val="00745CF2"/>
    <w:rsid w:val="00746791"/>
    <w:rsid w:val="00746FCF"/>
    <w:rsid w:val="00750B13"/>
    <w:rsid w:val="007515BC"/>
    <w:rsid w:val="00751F34"/>
    <w:rsid w:val="007538C3"/>
    <w:rsid w:val="007573B2"/>
    <w:rsid w:val="007574BB"/>
    <w:rsid w:val="007575E2"/>
    <w:rsid w:val="0075764C"/>
    <w:rsid w:val="00761779"/>
    <w:rsid w:val="00761D32"/>
    <w:rsid w:val="00762198"/>
    <w:rsid w:val="00762F88"/>
    <w:rsid w:val="00763800"/>
    <w:rsid w:val="00763CE8"/>
    <w:rsid w:val="00764E7C"/>
    <w:rsid w:val="0076758C"/>
    <w:rsid w:val="00770792"/>
    <w:rsid w:val="00773903"/>
    <w:rsid w:val="00774FFE"/>
    <w:rsid w:val="00775638"/>
    <w:rsid w:val="00775677"/>
    <w:rsid w:val="0077599A"/>
    <w:rsid w:val="00777353"/>
    <w:rsid w:val="007808B3"/>
    <w:rsid w:val="00780BEC"/>
    <w:rsid w:val="00780CD6"/>
    <w:rsid w:val="007810CC"/>
    <w:rsid w:val="00782EA4"/>
    <w:rsid w:val="00785461"/>
    <w:rsid w:val="00785CCD"/>
    <w:rsid w:val="00786366"/>
    <w:rsid w:val="00786FF3"/>
    <w:rsid w:val="007875AA"/>
    <w:rsid w:val="007876CF"/>
    <w:rsid w:val="00787778"/>
    <w:rsid w:val="007912F6"/>
    <w:rsid w:val="00791CF1"/>
    <w:rsid w:val="00793090"/>
    <w:rsid w:val="00796BBC"/>
    <w:rsid w:val="00796F2A"/>
    <w:rsid w:val="0079735A"/>
    <w:rsid w:val="007A0094"/>
    <w:rsid w:val="007A0176"/>
    <w:rsid w:val="007A2F67"/>
    <w:rsid w:val="007A38C9"/>
    <w:rsid w:val="007A3918"/>
    <w:rsid w:val="007A5707"/>
    <w:rsid w:val="007B0B08"/>
    <w:rsid w:val="007B0E89"/>
    <w:rsid w:val="007B2C38"/>
    <w:rsid w:val="007B2E54"/>
    <w:rsid w:val="007B41BA"/>
    <w:rsid w:val="007B5D5F"/>
    <w:rsid w:val="007B6719"/>
    <w:rsid w:val="007B69E4"/>
    <w:rsid w:val="007B6F5A"/>
    <w:rsid w:val="007B7498"/>
    <w:rsid w:val="007B7AEE"/>
    <w:rsid w:val="007C05C4"/>
    <w:rsid w:val="007C1752"/>
    <w:rsid w:val="007C18A8"/>
    <w:rsid w:val="007C19B2"/>
    <w:rsid w:val="007C45E9"/>
    <w:rsid w:val="007C4A9C"/>
    <w:rsid w:val="007C6E6C"/>
    <w:rsid w:val="007C7EB6"/>
    <w:rsid w:val="007C7FBA"/>
    <w:rsid w:val="007D037A"/>
    <w:rsid w:val="007D1103"/>
    <w:rsid w:val="007D240B"/>
    <w:rsid w:val="007D2F75"/>
    <w:rsid w:val="007D3383"/>
    <w:rsid w:val="007D3C0E"/>
    <w:rsid w:val="007D4BEF"/>
    <w:rsid w:val="007D7FE7"/>
    <w:rsid w:val="007E22E7"/>
    <w:rsid w:val="007E41BC"/>
    <w:rsid w:val="007E4232"/>
    <w:rsid w:val="007E44BF"/>
    <w:rsid w:val="007E69BB"/>
    <w:rsid w:val="007E6AB8"/>
    <w:rsid w:val="007F0210"/>
    <w:rsid w:val="007F2109"/>
    <w:rsid w:val="007F21C5"/>
    <w:rsid w:val="007F253F"/>
    <w:rsid w:val="007F3801"/>
    <w:rsid w:val="007F3ACF"/>
    <w:rsid w:val="007F3EF1"/>
    <w:rsid w:val="007F564B"/>
    <w:rsid w:val="007F63B4"/>
    <w:rsid w:val="00800FD0"/>
    <w:rsid w:val="00801BCE"/>
    <w:rsid w:val="00802515"/>
    <w:rsid w:val="008047F6"/>
    <w:rsid w:val="00806694"/>
    <w:rsid w:val="008076A3"/>
    <w:rsid w:val="00810ED3"/>
    <w:rsid w:val="00812625"/>
    <w:rsid w:val="0081283F"/>
    <w:rsid w:val="008134D8"/>
    <w:rsid w:val="0081480A"/>
    <w:rsid w:val="008157BC"/>
    <w:rsid w:val="00817E2A"/>
    <w:rsid w:val="008202EB"/>
    <w:rsid w:val="0082180A"/>
    <w:rsid w:val="008240D3"/>
    <w:rsid w:val="0082621D"/>
    <w:rsid w:val="00827F88"/>
    <w:rsid w:val="00832A36"/>
    <w:rsid w:val="008336A5"/>
    <w:rsid w:val="0083420A"/>
    <w:rsid w:val="0083437E"/>
    <w:rsid w:val="00835474"/>
    <w:rsid w:val="00835E4C"/>
    <w:rsid w:val="008360D7"/>
    <w:rsid w:val="0083615F"/>
    <w:rsid w:val="008373C0"/>
    <w:rsid w:val="0084145F"/>
    <w:rsid w:val="008419FB"/>
    <w:rsid w:val="00841DA2"/>
    <w:rsid w:val="008434ED"/>
    <w:rsid w:val="008458F6"/>
    <w:rsid w:val="00845AED"/>
    <w:rsid w:val="00845CA0"/>
    <w:rsid w:val="0084708E"/>
    <w:rsid w:val="008506B4"/>
    <w:rsid w:val="00851AE4"/>
    <w:rsid w:val="00852121"/>
    <w:rsid w:val="00852462"/>
    <w:rsid w:val="0085256F"/>
    <w:rsid w:val="0085598D"/>
    <w:rsid w:val="00856700"/>
    <w:rsid w:val="008609FC"/>
    <w:rsid w:val="00861107"/>
    <w:rsid w:val="00862771"/>
    <w:rsid w:val="00862EC5"/>
    <w:rsid w:val="00863B11"/>
    <w:rsid w:val="0086538F"/>
    <w:rsid w:val="0086682F"/>
    <w:rsid w:val="00870A55"/>
    <w:rsid w:val="00871940"/>
    <w:rsid w:val="0087367C"/>
    <w:rsid w:val="00874663"/>
    <w:rsid w:val="0087655E"/>
    <w:rsid w:val="00876F54"/>
    <w:rsid w:val="00877292"/>
    <w:rsid w:val="0087754A"/>
    <w:rsid w:val="0087766C"/>
    <w:rsid w:val="00880552"/>
    <w:rsid w:val="008839DA"/>
    <w:rsid w:val="00884EE8"/>
    <w:rsid w:val="00885168"/>
    <w:rsid w:val="008876CE"/>
    <w:rsid w:val="008902D1"/>
    <w:rsid w:val="00891538"/>
    <w:rsid w:val="0089173B"/>
    <w:rsid w:val="00891760"/>
    <w:rsid w:val="00891E76"/>
    <w:rsid w:val="0089220F"/>
    <w:rsid w:val="008935AA"/>
    <w:rsid w:val="008935C3"/>
    <w:rsid w:val="008963F0"/>
    <w:rsid w:val="0089659E"/>
    <w:rsid w:val="00896C53"/>
    <w:rsid w:val="00897F18"/>
    <w:rsid w:val="008A03A5"/>
    <w:rsid w:val="008A0886"/>
    <w:rsid w:val="008A0DF3"/>
    <w:rsid w:val="008A137F"/>
    <w:rsid w:val="008A4138"/>
    <w:rsid w:val="008A4E02"/>
    <w:rsid w:val="008A5D96"/>
    <w:rsid w:val="008A791B"/>
    <w:rsid w:val="008B1B3B"/>
    <w:rsid w:val="008B5C93"/>
    <w:rsid w:val="008B6848"/>
    <w:rsid w:val="008B7067"/>
    <w:rsid w:val="008C2FA1"/>
    <w:rsid w:val="008C7925"/>
    <w:rsid w:val="008C7D74"/>
    <w:rsid w:val="008C7F6B"/>
    <w:rsid w:val="008D2278"/>
    <w:rsid w:val="008D2C4C"/>
    <w:rsid w:val="008D4CF9"/>
    <w:rsid w:val="008D6263"/>
    <w:rsid w:val="008D6344"/>
    <w:rsid w:val="008D7E0D"/>
    <w:rsid w:val="008D7EDB"/>
    <w:rsid w:val="008E1829"/>
    <w:rsid w:val="008E2327"/>
    <w:rsid w:val="008E5077"/>
    <w:rsid w:val="008E64F0"/>
    <w:rsid w:val="008E6FF3"/>
    <w:rsid w:val="008E707C"/>
    <w:rsid w:val="008E7B05"/>
    <w:rsid w:val="008F05F9"/>
    <w:rsid w:val="008F18ED"/>
    <w:rsid w:val="008F333B"/>
    <w:rsid w:val="008F3EA1"/>
    <w:rsid w:val="008F46C2"/>
    <w:rsid w:val="008F4B45"/>
    <w:rsid w:val="008F75D4"/>
    <w:rsid w:val="009001FC"/>
    <w:rsid w:val="009020A8"/>
    <w:rsid w:val="009031E7"/>
    <w:rsid w:val="00903D37"/>
    <w:rsid w:val="00907CDA"/>
    <w:rsid w:val="0091033F"/>
    <w:rsid w:val="0091055D"/>
    <w:rsid w:val="00910E4D"/>
    <w:rsid w:val="009140A3"/>
    <w:rsid w:val="00914C61"/>
    <w:rsid w:val="00915DD0"/>
    <w:rsid w:val="0091633A"/>
    <w:rsid w:val="00917D6F"/>
    <w:rsid w:val="0092034B"/>
    <w:rsid w:val="00921B1A"/>
    <w:rsid w:val="00921DDA"/>
    <w:rsid w:val="00923E81"/>
    <w:rsid w:val="0092600D"/>
    <w:rsid w:val="00927D6A"/>
    <w:rsid w:val="00927D70"/>
    <w:rsid w:val="00927ED6"/>
    <w:rsid w:val="0093039D"/>
    <w:rsid w:val="00931E4F"/>
    <w:rsid w:val="0093364D"/>
    <w:rsid w:val="00933A93"/>
    <w:rsid w:val="00936574"/>
    <w:rsid w:val="00937BBB"/>
    <w:rsid w:val="00943BCE"/>
    <w:rsid w:val="00945F8F"/>
    <w:rsid w:val="00954C41"/>
    <w:rsid w:val="0095551B"/>
    <w:rsid w:val="00957104"/>
    <w:rsid w:val="00957CA8"/>
    <w:rsid w:val="00960346"/>
    <w:rsid w:val="0096046C"/>
    <w:rsid w:val="00960890"/>
    <w:rsid w:val="009617D3"/>
    <w:rsid w:val="00963DC8"/>
    <w:rsid w:val="0096463B"/>
    <w:rsid w:val="00967869"/>
    <w:rsid w:val="00970475"/>
    <w:rsid w:val="00970858"/>
    <w:rsid w:val="00971F54"/>
    <w:rsid w:val="009725C5"/>
    <w:rsid w:val="00973F40"/>
    <w:rsid w:val="00973FDF"/>
    <w:rsid w:val="009741C3"/>
    <w:rsid w:val="00974249"/>
    <w:rsid w:val="00975112"/>
    <w:rsid w:val="009806E2"/>
    <w:rsid w:val="00983AA1"/>
    <w:rsid w:val="009849EF"/>
    <w:rsid w:val="00984BE6"/>
    <w:rsid w:val="00986DB7"/>
    <w:rsid w:val="0099315B"/>
    <w:rsid w:val="009934CF"/>
    <w:rsid w:val="00993B80"/>
    <w:rsid w:val="00994D5D"/>
    <w:rsid w:val="00994E30"/>
    <w:rsid w:val="00995364"/>
    <w:rsid w:val="009954B0"/>
    <w:rsid w:val="00995AD7"/>
    <w:rsid w:val="009A04BD"/>
    <w:rsid w:val="009A095D"/>
    <w:rsid w:val="009A0D75"/>
    <w:rsid w:val="009A32D7"/>
    <w:rsid w:val="009A347A"/>
    <w:rsid w:val="009A3DD0"/>
    <w:rsid w:val="009A4914"/>
    <w:rsid w:val="009A620E"/>
    <w:rsid w:val="009A7C8A"/>
    <w:rsid w:val="009B4115"/>
    <w:rsid w:val="009B4A61"/>
    <w:rsid w:val="009B548D"/>
    <w:rsid w:val="009B6578"/>
    <w:rsid w:val="009B68DB"/>
    <w:rsid w:val="009B6A6F"/>
    <w:rsid w:val="009C0007"/>
    <w:rsid w:val="009C04A3"/>
    <w:rsid w:val="009C0D49"/>
    <w:rsid w:val="009C155B"/>
    <w:rsid w:val="009C1AFE"/>
    <w:rsid w:val="009C3FA3"/>
    <w:rsid w:val="009C4081"/>
    <w:rsid w:val="009C53B4"/>
    <w:rsid w:val="009C5531"/>
    <w:rsid w:val="009C5F24"/>
    <w:rsid w:val="009D0234"/>
    <w:rsid w:val="009D048B"/>
    <w:rsid w:val="009D18AF"/>
    <w:rsid w:val="009D1FC2"/>
    <w:rsid w:val="009D2179"/>
    <w:rsid w:val="009D2F2C"/>
    <w:rsid w:val="009D3DB3"/>
    <w:rsid w:val="009D5C3E"/>
    <w:rsid w:val="009D69C6"/>
    <w:rsid w:val="009D7EDD"/>
    <w:rsid w:val="009E01C8"/>
    <w:rsid w:val="009E5419"/>
    <w:rsid w:val="009E5A6E"/>
    <w:rsid w:val="009E5FE8"/>
    <w:rsid w:val="009E60B7"/>
    <w:rsid w:val="009F46DC"/>
    <w:rsid w:val="009F46F2"/>
    <w:rsid w:val="009F789C"/>
    <w:rsid w:val="00A00BF3"/>
    <w:rsid w:val="00A0195F"/>
    <w:rsid w:val="00A01B25"/>
    <w:rsid w:val="00A01C00"/>
    <w:rsid w:val="00A042FF"/>
    <w:rsid w:val="00A04D75"/>
    <w:rsid w:val="00A05C27"/>
    <w:rsid w:val="00A060A7"/>
    <w:rsid w:val="00A06D9C"/>
    <w:rsid w:val="00A1055E"/>
    <w:rsid w:val="00A1086B"/>
    <w:rsid w:val="00A10AB8"/>
    <w:rsid w:val="00A112F7"/>
    <w:rsid w:val="00A11CAD"/>
    <w:rsid w:val="00A1214F"/>
    <w:rsid w:val="00A14169"/>
    <w:rsid w:val="00A14880"/>
    <w:rsid w:val="00A14949"/>
    <w:rsid w:val="00A1620A"/>
    <w:rsid w:val="00A1620D"/>
    <w:rsid w:val="00A16558"/>
    <w:rsid w:val="00A16AC0"/>
    <w:rsid w:val="00A20835"/>
    <w:rsid w:val="00A20877"/>
    <w:rsid w:val="00A23D31"/>
    <w:rsid w:val="00A24C9B"/>
    <w:rsid w:val="00A26E26"/>
    <w:rsid w:val="00A27124"/>
    <w:rsid w:val="00A27D2B"/>
    <w:rsid w:val="00A301A7"/>
    <w:rsid w:val="00A305C4"/>
    <w:rsid w:val="00A30C34"/>
    <w:rsid w:val="00A30FD3"/>
    <w:rsid w:val="00A33629"/>
    <w:rsid w:val="00A33A31"/>
    <w:rsid w:val="00A35B36"/>
    <w:rsid w:val="00A35E2F"/>
    <w:rsid w:val="00A37533"/>
    <w:rsid w:val="00A37891"/>
    <w:rsid w:val="00A37A11"/>
    <w:rsid w:val="00A40A51"/>
    <w:rsid w:val="00A40FA4"/>
    <w:rsid w:val="00A42292"/>
    <w:rsid w:val="00A42F10"/>
    <w:rsid w:val="00A44B26"/>
    <w:rsid w:val="00A46A8D"/>
    <w:rsid w:val="00A47916"/>
    <w:rsid w:val="00A47B53"/>
    <w:rsid w:val="00A50746"/>
    <w:rsid w:val="00A509EC"/>
    <w:rsid w:val="00A536DA"/>
    <w:rsid w:val="00A571CD"/>
    <w:rsid w:val="00A57C3D"/>
    <w:rsid w:val="00A61E0F"/>
    <w:rsid w:val="00A61F25"/>
    <w:rsid w:val="00A633BB"/>
    <w:rsid w:val="00A63630"/>
    <w:rsid w:val="00A65CD8"/>
    <w:rsid w:val="00A668B7"/>
    <w:rsid w:val="00A6697B"/>
    <w:rsid w:val="00A74C2D"/>
    <w:rsid w:val="00A76B34"/>
    <w:rsid w:val="00A77216"/>
    <w:rsid w:val="00A80644"/>
    <w:rsid w:val="00A83487"/>
    <w:rsid w:val="00A84169"/>
    <w:rsid w:val="00A842AC"/>
    <w:rsid w:val="00A854FF"/>
    <w:rsid w:val="00A867F8"/>
    <w:rsid w:val="00A87035"/>
    <w:rsid w:val="00A870D7"/>
    <w:rsid w:val="00A8745D"/>
    <w:rsid w:val="00A90F9B"/>
    <w:rsid w:val="00A92694"/>
    <w:rsid w:val="00A93072"/>
    <w:rsid w:val="00A95FB6"/>
    <w:rsid w:val="00A9629C"/>
    <w:rsid w:val="00AA35D5"/>
    <w:rsid w:val="00AA417B"/>
    <w:rsid w:val="00AA533F"/>
    <w:rsid w:val="00AA549A"/>
    <w:rsid w:val="00AA5897"/>
    <w:rsid w:val="00AA5A86"/>
    <w:rsid w:val="00AA70FB"/>
    <w:rsid w:val="00AB010D"/>
    <w:rsid w:val="00AB0749"/>
    <w:rsid w:val="00AB1209"/>
    <w:rsid w:val="00AB3B2F"/>
    <w:rsid w:val="00AB5709"/>
    <w:rsid w:val="00AB672D"/>
    <w:rsid w:val="00AB76D8"/>
    <w:rsid w:val="00AB7E6A"/>
    <w:rsid w:val="00AC1B61"/>
    <w:rsid w:val="00AC2C6E"/>
    <w:rsid w:val="00AC5EE6"/>
    <w:rsid w:val="00AC63CF"/>
    <w:rsid w:val="00AC641F"/>
    <w:rsid w:val="00AD0D24"/>
    <w:rsid w:val="00AD0FA2"/>
    <w:rsid w:val="00AD1923"/>
    <w:rsid w:val="00AD2611"/>
    <w:rsid w:val="00AD268D"/>
    <w:rsid w:val="00AD3AC5"/>
    <w:rsid w:val="00AD3D57"/>
    <w:rsid w:val="00AD477B"/>
    <w:rsid w:val="00AD4882"/>
    <w:rsid w:val="00AD6775"/>
    <w:rsid w:val="00AE0C5D"/>
    <w:rsid w:val="00AE1BA2"/>
    <w:rsid w:val="00AE4507"/>
    <w:rsid w:val="00AE47BF"/>
    <w:rsid w:val="00AE4BB7"/>
    <w:rsid w:val="00AE5024"/>
    <w:rsid w:val="00AF060E"/>
    <w:rsid w:val="00AF1985"/>
    <w:rsid w:val="00AF1CEC"/>
    <w:rsid w:val="00AF36A2"/>
    <w:rsid w:val="00AF47CE"/>
    <w:rsid w:val="00AF55CD"/>
    <w:rsid w:val="00AF6432"/>
    <w:rsid w:val="00AF6B9D"/>
    <w:rsid w:val="00AF71B0"/>
    <w:rsid w:val="00AF75BE"/>
    <w:rsid w:val="00AF7614"/>
    <w:rsid w:val="00AF79BD"/>
    <w:rsid w:val="00B014BD"/>
    <w:rsid w:val="00B05C6D"/>
    <w:rsid w:val="00B07F12"/>
    <w:rsid w:val="00B1415B"/>
    <w:rsid w:val="00B15278"/>
    <w:rsid w:val="00B21671"/>
    <w:rsid w:val="00B217E2"/>
    <w:rsid w:val="00B234EC"/>
    <w:rsid w:val="00B23DCB"/>
    <w:rsid w:val="00B26473"/>
    <w:rsid w:val="00B26FD2"/>
    <w:rsid w:val="00B2732B"/>
    <w:rsid w:val="00B274AE"/>
    <w:rsid w:val="00B274BF"/>
    <w:rsid w:val="00B30510"/>
    <w:rsid w:val="00B31222"/>
    <w:rsid w:val="00B32215"/>
    <w:rsid w:val="00B32C53"/>
    <w:rsid w:val="00B34964"/>
    <w:rsid w:val="00B36076"/>
    <w:rsid w:val="00B42E81"/>
    <w:rsid w:val="00B4329D"/>
    <w:rsid w:val="00B434FC"/>
    <w:rsid w:val="00B443F5"/>
    <w:rsid w:val="00B44D40"/>
    <w:rsid w:val="00B4561F"/>
    <w:rsid w:val="00B46640"/>
    <w:rsid w:val="00B5055C"/>
    <w:rsid w:val="00B51F5F"/>
    <w:rsid w:val="00B520F9"/>
    <w:rsid w:val="00B523E2"/>
    <w:rsid w:val="00B52812"/>
    <w:rsid w:val="00B5495A"/>
    <w:rsid w:val="00B54E2E"/>
    <w:rsid w:val="00B577A3"/>
    <w:rsid w:val="00B6087A"/>
    <w:rsid w:val="00B6258B"/>
    <w:rsid w:val="00B63C6B"/>
    <w:rsid w:val="00B64641"/>
    <w:rsid w:val="00B65BDF"/>
    <w:rsid w:val="00B667D0"/>
    <w:rsid w:val="00B67D24"/>
    <w:rsid w:val="00B67D38"/>
    <w:rsid w:val="00B7059A"/>
    <w:rsid w:val="00B7262F"/>
    <w:rsid w:val="00B727C5"/>
    <w:rsid w:val="00B72A7F"/>
    <w:rsid w:val="00B73FD4"/>
    <w:rsid w:val="00B7480A"/>
    <w:rsid w:val="00B74FC5"/>
    <w:rsid w:val="00B75A6C"/>
    <w:rsid w:val="00B81B8B"/>
    <w:rsid w:val="00B82F2D"/>
    <w:rsid w:val="00B83E2A"/>
    <w:rsid w:val="00B83E38"/>
    <w:rsid w:val="00B855DE"/>
    <w:rsid w:val="00B85DF3"/>
    <w:rsid w:val="00B86869"/>
    <w:rsid w:val="00B86C19"/>
    <w:rsid w:val="00B86E6F"/>
    <w:rsid w:val="00B870C6"/>
    <w:rsid w:val="00B92EDF"/>
    <w:rsid w:val="00B93510"/>
    <w:rsid w:val="00B93E33"/>
    <w:rsid w:val="00B94324"/>
    <w:rsid w:val="00B94F72"/>
    <w:rsid w:val="00B954F3"/>
    <w:rsid w:val="00B95BCD"/>
    <w:rsid w:val="00B95CDC"/>
    <w:rsid w:val="00B95CE5"/>
    <w:rsid w:val="00BA0D0B"/>
    <w:rsid w:val="00BA0ED5"/>
    <w:rsid w:val="00BA37A8"/>
    <w:rsid w:val="00BA3B45"/>
    <w:rsid w:val="00BA3B4C"/>
    <w:rsid w:val="00BA3EA8"/>
    <w:rsid w:val="00BA423D"/>
    <w:rsid w:val="00BA7EBF"/>
    <w:rsid w:val="00BB1891"/>
    <w:rsid w:val="00BB375D"/>
    <w:rsid w:val="00BB49A0"/>
    <w:rsid w:val="00BB5067"/>
    <w:rsid w:val="00BB515F"/>
    <w:rsid w:val="00BB5DFF"/>
    <w:rsid w:val="00BC1FA5"/>
    <w:rsid w:val="00BC2C0C"/>
    <w:rsid w:val="00BC55E5"/>
    <w:rsid w:val="00BC64F5"/>
    <w:rsid w:val="00BC732A"/>
    <w:rsid w:val="00BC758B"/>
    <w:rsid w:val="00BD181B"/>
    <w:rsid w:val="00BD2EAC"/>
    <w:rsid w:val="00BD4BB3"/>
    <w:rsid w:val="00BD5CDF"/>
    <w:rsid w:val="00BE17C6"/>
    <w:rsid w:val="00BE19FD"/>
    <w:rsid w:val="00BE2BD3"/>
    <w:rsid w:val="00BE4865"/>
    <w:rsid w:val="00BE69BF"/>
    <w:rsid w:val="00BE6A3C"/>
    <w:rsid w:val="00BE725A"/>
    <w:rsid w:val="00BE7430"/>
    <w:rsid w:val="00BE7B48"/>
    <w:rsid w:val="00BF166F"/>
    <w:rsid w:val="00BF3381"/>
    <w:rsid w:val="00BF5FA5"/>
    <w:rsid w:val="00BF63E6"/>
    <w:rsid w:val="00BF6AA8"/>
    <w:rsid w:val="00C00DAE"/>
    <w:rsid w:val="00C05514"/>
    <w:rsid w:val="00C05543"/>
    <w:rsid w:val="00C105B6"/>
    <w:rsid w:val="00C10FCF"/>
    <w:rsid w:val="00C11FAF"/>
    <w:rsid w:val="00C12969"/>
    <w:rsid w:val="00C12AA0"/>
    <w:rsid w:val="00C13895"/>
    <w:rsid w:val="00C143EE"/>
    <w:rsid w:val="00C1575E"/>
    <w:rsid w:val="00C16B4B"/>
    <w:rsid w:val="00C17427"/>
    <w:rsid w:val="00C20C00"/>
    <w:rsid w:val="00C210FD"/>
    <w:rsid w:val="00C21EB2"/>
    <w:rsid w:val="00C22901"/>
    <w:rsid w:val="00C22F6B"/>
    <w:rsid w:val="00C23131"/>
    <w:rsid w:val="00C25238"/>
    <w:rsid w:val="00C305C8"/>
    <w:rsid w:val="00C305F2"/>
    <w:rsid w:val="00C307AF"/>
    <w:rsid w:val="00C3345C"/>
    <w:rsid w:val="00C3368B"/>
    <w:rsid w:val="00C33C9A"/>
    <w:rsid w:val="00C354FC"/>
    <w:rsid w:val="00C3688D"/>
    <w:rsid w:val="00C4043F"/>
    <w:rsid w:val="00C407E5"/>
    <w:rsid w:val="00C42DAC"/>
    <w:rsid w:val="00C4342B"/>
    <w:rsid w:val="00C436FC"/>
    <w:rsid w:val="00C459A9"/>
    <w:rsid w:val="00C45A59"/>
    <w:rsid w:val="00C502A5"/>
    <w:rsid w:val="00C50711"/>
    <w:rsid w:val="00C509C7"/>
    <w:rsid w:val="00C521F7"/>
    <w:rsid w:val="00C53008"/>
    <w:rsid w:val="00C55151"/>
    <w:rsid w:val="00C558FF"/>
    <w:rsid w:val="00C560FA"/>
    <w:rsid w:val="00C5682B"/>
    <w:rsid w:val="00C570C5"/>
    <w:rsid w:val="00C57FF9"/>
    <w:rsid w:val="00C61E36"/>
    <w:rsid w:val="00C64434"/>
    <w:rsid w:val="00C659E5"/>
    <w:rsid w:val="00C6622F"/>
    <w:rsid w:val="00C7063C"/>
    <w:rsid w:val="00C721C2"/>
    <w:rsid w:val="00C724AF"/>
    <w:rsid w:val="00C73C57"/>
    <w:rsid w:val="00C74101"/>
    <w:rsid w:val="00C74625"/>
    <w:rsid w:val="00C74D43"/>
    <w:rsid w:val="00C75CA7"/>
    <w:rsid w:val="00C766D6"/>
    <w:rsid w:val="00C802AF"/>
    <w:rsid w:val="00C8079B"/>
    <w:rsid w:val="00C81C46"/>
    <w:rsid w:val="00C82E93"/>
    <w:rsid w:val="00C85675"/>
    <w:rsid w:val="00C87EBD"/>
    <w:rsid w:val="00C901BB"/>
    <w:rsid w:val="00C90CD3"/>
    <w:rsid w:val="00C923D7"/>
    <w:rsid w:val="00C92552"/>
    <w:rsid w:val="00C93F1B"/>
    <w:rsid w:val="00C976D1"/>
    <w:rsid w:val="00CA0E6B"/>
    <w:rsid w:val="00CA19C7"/>
    <w:rsid w:val="00CA1FCA"/>
    <w:rsid w:val="00CA1FD7"/>
    <w:rsid w:val="00CA35E0"/>
    <w:rsid w:val="00CA71D4"/>
    <w:rsid w:val="00CA7770"/>
    <w:rsid w:val="00CB1F3C"/>
    <w:rsid w:val="00CB4FC8"/>
    <w:rsid w:val="00CB5D29"/>
    <w:rsid w:val="00CB675A"/>
    <w:rsid w:val="00CB6D8D"/>
    <w:rsid w:val="00CB782B"/>
    <w:rsid w:val="00CC0525"/>
    <w:rsid w:val="00CC0E77"/>
    <w:rsid w:val="00CC1745"/>
    <w:rsid w:val="00CC2092"/>
    <w:rsid w:val="00CC248A"/>
    <w:rsid w:val="00CC302A"/>
    <w:rsid w:val="00CC5D85"/>
    <w:rsid w:val="00CC5E76"/>
    <w:rsid w:val="00CC71F9"/>
    <w:rsid w:val="00CC765A"/>
    <w:rsid w:val="00CC7B01"/>
    <w:rsid w:val="00CD3A5D"/>
    <w:rsid w:val="00CD5CBA"/>
    <w:rsid w:val="00CD5FD4"/>
    <w:rsid w:val="00CD7789"/>
    <w:rsid w:val="00CE0DCE"/>
    <w:rsid w:val="00CE1A0F"/>
    <w:rsid w:val="00CE1BC9"/>
    <w:rsid w:val="00CE1DAA"/>
    <w:rsid w:val="00CE33C1"/>
    <w:rsid w:val="00CE3AFD"/>
    <w:rsid w:val="00CE4DD6"/>
    <w:rsid w:val="00CE5178"/>
    <w:rsid w:val="00CE692A"/>
    <w:rsid w:val="00CE6A95"/>
    <w:rsid w:val="00CE76FF"/>
    <w:rsid w:val="00CF4012"/>
    <w:rsid w:val="00CF5C25"/>
    <w:rsid w:val="00CF6082"/>
    <w:rsid w:val="00CF7AA3"/>
    <w:rsid w:val="00CF7F57"/>
    <w:rsid w:val="00D006DB"/>
    <w:rsid w:val="00D0153B"/>
    <w:rsid w:val="00D01BAA"/>
    <w:rsid w:val="00D02BC6"/>
    <w:rsid w:val="00D0310D"/>
    <w:rsid w:val="00D05803"/>
    <w:rsid w:val="00D05C7C"/>
    <w:rsid w:val="00D06906"/>
    <w:rsid w:val="00D07742"/>
    <w:rsid w:val="00D100AE"/>
    <w:rsid w:val="00D110D4"/>
    <w:rsid w:val="00D1276A"/>
    <w:rsid w:val="00D13D25"/>
    <w:rsid w:val="00D14B4B"/>
    <w:rsid w:val="00D14DB7"/>
    <w:rsid w:val="00D14E1A"/>
    <w:rsid w:val="00D152FA"/>
    <w:rsid w:val="00D15ED5"/>
    <w:rsid w:val="00D1652E"/>
    <w:rsid w:val="00D20771"/>
    <w:rsid w:val="00D22B6A"/>
    <w:rsid w:val="00D23161"/>
    <w:rsid w:val="00D23C5E"/>
    <w:rsid w:val="00D255CF"/>
    <w:rsid w:val="00D25CC9"/>
    <w:rsid w:val="00D2649C"/>
    <w:rsid w:val="00D26B5D"/>
    <w:rsid w:val="00D319F1"/>
    <w:rsid w:val="00D340B1"/>
    <w:rsid w:val="00D348F7"/>
    <w:rsid w:val="00D351E9"/>
    <w:rsid w:val="00D3618F"/>
    <w:rsid w:val="00D36FAC"/>
    <w:rsid w:val="00D3703D"/>
    <w:rsid w:val="00D37ADF"/>
    <w:rsid w:val="00D37F2B"/>
    <w:rsid w:val="00D4063A"/>
    <w:rsid w:val="00D40BC3"/>
    <w:rsid w:val="00D40FDE"/>
    <w:rsid w:val="00D422ED"/>
    <w:rsid w:val="00D4260E"/>
    <w:rsid w:val="00D434EC"/>
    <w:rsid w:val="00D44071"/>
    <w:rsid w:val="00D444D0"/>
    <w:rsid w:val="00D44E9D"/>
    <w:rsid w:val="00D46E5C"/>
    <w:rsid w:val="00D472A7"/>
    <w:rsid w:val="00D5653C"/>
    <w:rsid w:val="00D569DE"/>
    <w:rsid w:val="00D56F64"/>
    <w:rsid w:val="00D61A0E"/>
    <w:rsid w:val="00D64076"/>
    <w:rsid w:val="00D64985"/>
    <w:rsid w:val="00D65317"/>
    <w:rsid w:val="00D717D8"/>
    <w:rsid w:val="00D71CF9"/>
    <w:rsid w:val="00D735AE"/>
    <w:rsid w:val="00D75941"/>
    <w:rsid w:val="00D75B45"/>
    <w:rsid w:val="00D75FF9"/>
    <w:rsid w:val="00D77FCD"/>
    <w:rsid w:val="00D80ED6"/>
    <w:rsid w:val="00D80F9D"/>
    <w:rsid w:val="00D81BAE"/>
    <w:rsid w:val="00D81D28"/>
    <w:rsid w:val="00D8255C"/>
    <w:rsid w:val="00D849DD"/>
    <w:rsid w:val="00D84B17"/>
    <w:rsid w:val="00D8507D"/>
    <w:rsid w:val="00D86735"/>
    <w:rsid w:val="00D86C7D"/>
    <w:rsid w:val="00D8718E"/>
    <w:rsid w:val="00D871FB"/>
    <w:rsid w:val="00D87D20"/>
    <w:rsid w:val="00D90C57"/>
    <w:rsid w:val="00D90C9D"/>
    <w:rsid w:val="00D90E57"/>
    <w:rsid w:val="00D91910"/>
    <w:rsid w:val="00D91AA8"/>
    <w:rsid w:val="00D944A6"/>
    <w:rsid w:val="00D95B92"/>
    <w:rsid w:val="00D95C7A"/>
    <w:rsid w:val="00D96BF1"/>
    <w:rsid w:val="00D96FC3"/>
    <w:rsid w:val="00DA12C3"/>
    <w:rsid w:val="00DA1E68"/>
    <w:rsid w:val="00DA2571"/>
    <w:rsid w:val="00DA33C6"/>
    <w:rsid w:val="00DA3D83"/>
    <w:rsid w:val="00DA45F0"/>
    <w:rsid w:val="00DA495D"/>
    <w:rsid w:val="00DA49A7"/>
    <w:rsid w:val="00DA7BA0"/>
    <w:rsid w:val="00DB0995"/>
    <w:rsid w:val="00DB3C6E"/>
    <w:rsid w:val="00DB469A"/>
    <w:rsid w:val="00DB52C3"/>
    <w:rsid w:val="00DB54C3"/>
    <w:rsid w:val="00DB58C7"/>
    <w:rsid w:val="00DB5DA3"/>
    <w:rsid w:val="00DB7E5F"/>
    <w:rsid w:val="00DC10B0"/>
    <w:rsid w:val="00DC1594"/>
    <w:rsid w:val="00DC24E5"/>
    <w:rsid w:val="00DC3DA9"/>
    <w:rsid w:val="00DC4BCD"/>
    <w:rsid w:val="00DC597C"/>
    <w:rsid w:val="00DC5CE3"/>
    <w:rsid w:val="00DC79C7"/>
    <w:rsid w:val="00DD0768"/>
    <w:rsid w:val="00DD1107"/>
    <w:rsid w:val="00DD178F"/>
    <w:rsid w:val="00DD1FE4"/>
    <w:rsid w:val="00DD3288"/>
    <w:rsid w:val="00DD4737"/>
    <w:rsid w:val="00DE01D8"/>
    <w:rsid w:val="00DE02D0"/>
    <w:rsid w:val="00DE0320"/>
    <w:rsid w:val="00DE0964"/>
    <w:rsid w:val="00DE2847"/>
    <w:rsid w:val="00DE2966"/>
    <w:rsid w:val="00DE2E2F"/>
    <w:rsid w:val="00DE4107"/>
    <w:rsid w:val="00DE436F"/>
    <w:rsid w:val="00DF0B5E"/>
    <w:rsid w:val="00DF0ED5"/>
    <w:rsid w:val="00DF72D9"/>
    <w:rsid w:val="00DF79E6"/>
    <w:rsid w:val="00DF7EC8"/>
    <w:rsid w:val="00E028ED"/>
    <w:rsid w:val="00E02A57"/>
    <w:rsid w:val="00E02AA7"/>
    <w:rsid w:val="00E04660"/>
    <w:rsid w:val="00E04BA2"/>
    <w:rsid w:val="00E068A5"/>
    <w:rsid w:val="00E104F6"/>
    <w:rsid w:val="00E10748"/>
    <w:rsid w:val="00E1094C"/>
    <w:rsid w:val="00E1100F"/>
    <w:rsid w:val="00E11030"/>
    <w:rsid w:val="00E11413"/>
    <w:rsid w:val="00E12975"/>
    <w:rsid w:val="00E12F57"/>
    <w:rsid w:val="00E14282"/>
    <w:rsid w:val="00E17ABD"/>
    <w:rsid w:val="00E200BA"/>
    <w:rsid w:val="00E215C5"/>
    <w:rsid w:val="00E2194D"/>
    <w:rsid w:val="00E2346B"/>
    <w:rsid w:val="00E2716B"/>
    <w:rsid w:val="00E27DDF"/>
    <w:rsid w:val="00E27E01"/>
    <w:rsid w:val="00E27F79"/>
    <w:rsid w:val="00E30A90"/>
    <w:rsid w:val="00E32DBA"/>
    <w:rsid w:val="00E350F4"/>
    <w:rsid w:val="00E37482"/>
    <w:rsid w:val="00E4249F"/>
    <w:rsid w:val="00E43469"/>
    <w:rsid w:val="00E43716"/>
    <w:rsid w:val="00E44303"/>
    <w:rsid w:val="00E4458D"/>
    <w:rsid w:val="00E445DA"/>
    <w:rsid w:val="00E45379"/>
    <w:rsid w:val="00E47D9F"/>
    <w:rsid w:val="00E50B22"/>
    <w:rsid w:val="00E50C4F"/>
    <w:rsid w:val="00E51E18"/>
    <w:rsid w:val="00E522D9"/>
    <w:rsid w:val="00E533BD"/>
    <w:rsid w:val="00E53706"/>
    <w:rsid w:val="00E567AD"/>
    <w:rsid w:val="00E573C6"/>
    <w:rsid w:val="00E57CE2"/>
    <w:rsid w:val="00E61343"/>
    <w:rsid w:val="00E613BA"/>
    <w:rsid w:val="00E617BD"/>
    <w:rsid w:val="00E618D9"/>
    <w:rsid w:val="00E63BDE"/>
    <w:rsid w:val="00E67B7B"/>
    <w:rsid w:val="00E70503"/>
    <w:rsid w:val="00E705B4"/>
    <w:rsid w:val="00E70BBB"/>
    <w:rsid w:val="00E713BD"/>
    <w:rsid w:val="00E715DE"/>
    <w:rsid w:val="00E72967"/>
    <w:rsid w:val="00E72A19"/>
    <w:rsid w:val="00E74768"/>
    <w:rsid w:val="00E759B2"/>
    <w:rsid w:val="00E770B3"/>
    <w:rsid w:val="00E77BF2"/>
    <w:rsid w:val="00E801F1"/>
    <w:rsid w:val="00E811C3"/>
    <w:rsid w:val="00E8155D"/>
    <w:rsid w:val="00E829A2"/>
    <w:rsid w:val="00E86361"/>
    <w:rsid w:val="00E90C37"/>
    <w:rsid w:val="00E90EB9"/>
    <w:rsid w:val="00E94E54"/>
    <w:rsid w:val="00E9718F"/>
    <w:rsid w:val="00EA0E04"/>
    <w:rsid w:val="00EA0F11"/>
    <w:rsid w:val="00EA1E39"/>
    <w:rsid w:val="00EA220D"/>
    <w:rsid w:val="00EA23CF"/>
    <w:rsid w:val="00EA3156"/>
    <w:rsid w:val="00EA39C8"/>
    <w:rsid w:val="00EA40A2"/>
    <w:rsid w:val="00EA4CD5"/>
    <w:rsid w:val="00EA4FB4"/>
    <w:rsid w:val="00EA518C"/>
    <w:rsid w:val="00EA58FB"/>
    <w:rsid w:val="00EA5D2C"/>
    <w:rsid w:val="00EA5D8E"/>
    <w:rsid w:val="00EA68DA"/>
    <w:rsid w:val="00EB07CF"/>
    <w:rsid w:val="00EB092D"/>
    <w:rsid w:val="00EB1E67"/>
    <w:rsid w:val="00EB2028"/>
    <w:rsid w:val="00EB3B88"/>
    <w:rsid w:val="00EB3C58"/>
    <w:rsid w:val="00EC3B8F"/>
    <w:rsid w:val="00EC5CA0"/>
    <w:rsid w:val="00EC5DB9"/>
    <w:rsid w:val="00EC63E2"/>
    <w:rsid w:val="00EC7372"/>
    <w:rsid w:val="00EC763F"/>
    <w:rsid w:val="00ED1EF0"/>
    <w:rsid w:val="00ED30E8"/>
    <w:rsid w:val="00ED3B69"/>
    <w:rsid w:val="00ED48BE"/>
    <w:rsid w:val="00ED554A"/>
    <w:rsid w:val="00ED57FE"/>
    <w:rsid w:val="00ED6CD1"/>
    <w:rsid w:val="00EE14AC"/>
    <w:rsid w:val="00EE3548"/>
    <w:rsid w:val="00EE5F2E"/>
    <w:rsid w:val="00EE693B"/>
    <w:rsid w:val="00EE6B2A"/>
    <w:rsid w:val="00EE783F"/>
    <w:rsid w:val="00EE7C15"/>
    <w:rsid w:val="00EF045F"/>
    <w:rsid w:val="00EF0E06"/>
    <w:rsid w:val="00EF17CF"/>
    <w:rsid w:val="00EF26B5"/>
    <w:rsid w:val="00EF35DA"/>
    <w:rsid w:val="00EF4A64"/>
    <w:rsid w:val="00EF4D79"/>
    <w:rsid w:val="00EF5C00"/>
    <w:rsid w:val="00EF7891"/>
    <w:rsid w:val="00EF7970"/>
    <w:rsid w:val="00F00407"/>
    <w:rsid w:val="00F02171"/>
    <w:rsid w:val="00F02559"/>
    <w:rsid w:val="00F033EF"/>
    <w:rsid w:val="00F061A6"/>
    <w:rsid w:val="00F107AF"/>
    <w:rsid w:val="00F11A06"/>
    <w:rsid w:val="00F11AB3"/>
    <w:rsid w:val="00F1285A"/>
    <w:rsid w:val="00F12DD0"/>
    <w:rsid w:val="00F15D77"/>
    <w:rsid w:val="00F20633"/>
    <w:rsid w:val="00F218DA"/>
    <w:rsid w:val="00F231F4"/>
    <w:rsid w:val="00F23595"/>
    <w:rsid w:val="00F23E81"/>
    <w:rsid w:val="00F25CFE"/>
    <w:rsid w:val="00F3060F"/>
    <w:rsid w:val="00F30788"/>
    <w:rsid w:val="00F317C3"/>
    <w:rsid w:val="00F32886"/>
    <w:rsid w:val="00F35243"/>
    <w:rsid w:val="00F368AF"/>
    <w:rsid w:val="00F4018F"/>
    <w:rsid w:val="00F43E6E"/>
    <w:rsid w:val="00F43F4A"/>
    <w:rsid w:val="00F44363"/>
    <w:rsid w:val="00F44423"/>
    <w:rsid w:val="00F454DD"/>
    <w:rsid w:val="00F45C9D"/>
    <w:rsid w:val="00F51236"/>
    <w:rsid w:val="00F51B47"/>
    <w:rsid w:val="00F5374C"/>
    <w:rsid w:val="00F541B8"/>
    <w:rsid w:val="00F5474D"/>
    <w:rsid w:val="00F54F4F"/>
    <w:rsid w:val="00F56CC2"/>
    <w:rsid w:val="00F574B7"/>
    <w:rsid w:val="00F60BC0"/>
    <w:rsid w:val="00F61B7F"/>
    <w:rsid w:val="00F61C75"/>
    <w:rsid w:val="00F62370"/>
    <w:rsid w:val="00F62437"/>
    <w:rsid w:val="00F628D3"/>
    <w:rsid w:val="00F62DC7"/>
    <w:rsid w:val="00F64142"/>
    <w:rsid w:val="00F6497E"/>
    <w:rsid w:val="00F677E2"/>
    <w:rsid w:val="00F67C16"/>
    <w:rsid w:val="00F71FD1"/>
    <w:rsid w:val="00F73751"/>
    <w:rsid w:val="00F75A95"/>
    <w:rsid w:val="00F75EAD"/>
    <w:rsid w:val="00F77154"/>
    <w:rsid w:val="00F77239"/>
    <w:rsid w:val="00F80F33"/>
    <w:rsid w:val="00F846D6"/>
    <w:rsid w:val="00F906D2"/>
    <w:rsid w:val="00F9173A"/>
    <w:rsid w:val="00F91800"/>
    <w:rsid w:val="00F94BA1"/>
    <w:rsid w:val="00F94D81"/>
    <w:rsid w:val="00F94E99"/>
    <w:rsid w:val="00F95447"/>
    <w:rsid w:val="00F9650A"/>
    <w:rsid w:val="00F965BB"/>
    <w:rsid w:val="00F967C7"/>
    <w:rsid w:val="00F96908"/>
    <w:rsid w:val="00FA0437"/>
    <w:rsid w:val="00FA16EC"/>
    <w:rsid w:val="00FA233F"/>
    <w:rsid w:val="00FA2E05"/>
    <w:rsid w:val="00FA2E5F"/>
    <w:rsid w:val="00FA32DB"/>
    <w:rsid w:val="00FA6902"/>
    <w:rsid w:val="00FA7D57"/>
    <w:rsid w:val="00FB0008"/>
    <w:rsid w:val="00FB071C"/>
    <w:rsid w:val="00FB3EA0"/>
    <w:rsid w:val="00FB4127"/>
    <w:rsid w:val="00FB55F4"/>
    <w:rsid w:val="00FB6B37"/>
    <w:rsid w:val="00FB7962"/>
    <w:rsid w:val="00FC0B63"/>
    <w:rsid w:val="00FC1A4F"/>
    <w:rsid w:val="00FC2209"/>
    <w:rsid w:val="00FC3860"/>
    <w:rsid w:val="00FC44B0"/>
    <w:rsid w:val="00FC5C55"/>
    <w:rsid w:val="00FC5F6B"/>
    <w:rsid w:val="00FC61D1"/>
    <w:rsid w:val="00FC638E"/>
    <w:rsid w:val="00FC7531"/>
    <w:rsid w:val="00FC7EAA"/>
    <w:rsid w:val="00FD1156"/>
    <w:rsid w:val="00FD3F39"/>
    <w:rsid w:val="00FD4B62"/>
    <w:rsid w:val="00FD4FA5"/>
    <w:rsid w:val="00FD5166"/>
    <w:rsid w:val="00FD5AA4"/>
    <w:rsid w:val="00FE2A58"/>
    <w:rsid w:val="00FE46AD"/>
    <w:rsid w:val="00FE52E4"/>
    <w:rsid w:val="00FE5410"/>
    <w:rsid w:val="00FE66C4"/>
    <w:rsid w:val="00FF1A96"/>
    <w:rsid w:val="00FF2D44"/>
    <w:rsid w:val="00FF456A"/>
    <w:rsid w:val="00FF6204"/>
    <w:rsid w:val="00FF625D"/>
    <w:rsid w:val="00FF62CB"/>
    <w:rsid w:val="00FF634D"/>
    <w:rsid w:val="00FF6BDF"/>
    <w:rsid w:val="00FF6D25"/>
    <w:rsid w:val="00FF7C50"/>
  </w:rsids>
  <m:mathPr>
    <m:mathFont m:val="Cambria Math"/>
    <m:brkBin m:val="before"/>
    <m:brkBinSub m:val="--"/>
    <m:smallFrac/>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7E203EB"/>
  <w15:docId w15:val="{DA0195A1-1DB8-4A80-AB5D-45EAC36255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01C8"/>
    <w:pPr>
      <w:spacing w:after="0" w:line="240" w:lineRule="auto"/>
    </w:pPr>
    <w:rPr>
      <w:rFonts w:ascii="Times New Roman" w:eastAsia="Times New Roman" w:hAnsi="Times New Roman" w:cs="Times New Roman"/>
      <w:sz w:val="20"/>
      <w:szCs w:val="20"/>
      <w:lang w:eastAsia="es-ES"/>
    </w:rPr>
  </w:style>
  <w:style w:type="paragraph" w:styleId="Ttulo1">
    <w:name w:val="heading 1"/>
    <w:basedOn w:val="Normal"/>
    <w:next w:val="Normal"/>
    <w:link w:val="Ttulo1Car"/>
    <w:uiPriority w:val="9"/>
    <w:qFormat/>
    <w:rsid w:val="004717ED"/>
    <w:pPr>
      <w:keepNext/>
      <w:keepLines/>
      <w:spacing w:before="240"/>
      <w:jc w:val="center"/>
      <w:outlineLvl w:val="0"/>
    </w:pPr>
    <w:rPr>
      <w:rFonts w:ascii="Palatino Linotype" w:eastAsiaTheme="majorEastAsia" w:hAnsi="Palatino Linotype" w:cstheme="majorBidi"/>
      <w:b/>
      <w:sz w:val="22"/>
      <w:szCs w:val="32"/>
    </w:rPr>
  </w:style>
  <w:style w:type="paragraph" w:styleId="Ttulo2">
    <w:name w:val="heading 2"/>
    <w:basedOn w:val="Normal"/>
    <w:next w:val="Normal"/>
    <w:link w:val="Ttulo2Car"/>
    <w:uiPriority w:val="9"/>
    <w:unhideWhenUsed/>
    <w:qFormat/>
    <w:rsid w:val="004717ED"/>
    <w:pPr>
      <w:keepNext/>
      <w:keepLines/>
      <w:spacing w:before="40"/>
      <w:outlineLvl w:val="1"/>
    </w:pPr>
    <w:rPr>
      <w:rFonts w:ascii="Palatino Linotype" w:eastAsiaTheme="majorEastAsia" w:hAnsi="Palatino Linotype" w:cstheme="majorBidi"/>
      <w:b/>
      <w:color w:val="000000" w:themeColor="text1"/>
      <w:sz w:val="22"/>
      <w:szCs w:val="26"/>
    </w:rPr>
  </w:style>
  <w:style w:type="paragraph" w:styleId="Ttulo3">
    <w:name w:val="heading 3"/>
    <w:basedOn w:val="Normal"/>
    <w:next w:val="Normal"/>
    <w:link w:val="Ttulo3Car"/>
    <w:uiPriority w:val="9"/>
    <w:unhideWhenUsed/>
    <w:qFormat/>
    <w:rsid w:val="004717ED"/>
    <w:pPr>
      <w:keepNext/>
      <w:keepLines/>
      <w:spacing w:before="40"/>
      <w:outlineLvl w:val="2"/>
    </w:pPr>
    <w:rPr>
      <w:rFonts w:ascii="Palatino Linotype" w:eastAsiaTheme="majorEastAsia" w:hAnsi="Palatino Linotype" w:cstheme="majorBidi"/>
      <w:b/>
      <w:color w:val="000000" w:themeColor="text1"/>
      <w:sz w:val="22"/>
      <w:szCs w:val="24"/>
    </w:rPr>
  </w:style>
  <w:style w:type="paragraph" w:styleId="Ttulo5">
    <w:name w:val="heading 5"/>
    <w:basedOn w:val="Normal"/>
    <w:next w:val="Normal"/>
    <w:link w:val="Ttulo5Car"/>
    <w:uiPriority w:val="9"/>
    <w:semiHidden/>
    <w:unhideWhenUsed/>
    <w:qFormat/>
    <w:rsid w:val="00C5682B"/>
    <w:pPr>
      <w:keepNext/>
      <w:keepLines/>
      <w:spacing w:before="40"/>
      <w:outlineLvl w:val="4"/>
    </w:pPr>
    <w:rPr>
      <w:rFonts w:asciiTheme="majorHAnsi" w:eastAsiaTheme="majorEastAsia" w:hAnsiTheme="majorHAnsi" w:cstheme="majorBidi"/>
      <w:color w:val="2F5496" w:themeColor="accent1" w:themeShade="BF"/>
    </w:rPr>
  </w:style>
  <w:style w:type="paragraph" w:styleId="Ttulo6">
    <w:name w:val="heading 6"/>
    <w:basedOn w:val="Normal"/>
    <w:next w:val="Normal"/>
    <w:link w:val="Ttulo6Car"/>
    <w:uiPriority w:val="9"/>
    <w:semiHidden/>
    <w:unhideWhenUsed/>
    <w:qFormat/>
    <w:rsid w:val="00AF7614"/>
    <w:pPr>
      <w:keepNext/>
      <w:keepLines/>
      <w:spacing w:before="40"/>
      <w:outlineLvl w:val="5"/>
    </w:pPr>
    <w:rPr>
      <w:rFonts w:asciiTheme="majorHAnsi" w:eastAsiaTheme="majorEastAsia" w:hAnsiTheme="majorHAnsi" w:cstheme="majorBidi"/>
      <w:color w:val="1F3763" w:themeColor="accent1" w:themeShade="7F"/>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4717ED"/>
    <w:rPr>
      <w:rFonts w:ascii="Palatino Linotype" w:eastAsiaTheme="majorEastAsia" w:hAnsi="Palatino Linotype" w:cstheme="majorBidi"/>
      <w:b/>
      <w:szCs w:val="32"/>
      <w:lang w:eastAsia="es-ES"/>
    </w:rPr>
  </w:style>
  <w:style w:type="paragraph" w:styleId="Encabezado">
    <w:name w:val="header"/>
    <w:basedOn w:val="Normal"/>
    <w:link w:val="EncabezadoCar"/>
    <w:uiPriority w:val="99"/>
    <w:unhideWhenUsed/>
    <w:rsid w:val="00B31222"/>
    <w:pPr>
      <w:tabs>
        <w:tab w:val="center" w:pos="4419"/>
        <w:tab w:val="right" w:pos="8838"/>
      </w:tabs>
    </w:pPr>
  </w:style>
  <w:style w:type="character" w:customStyle="1" w:styleId="EncabezadoCar">
    <w:name w:val="Encabezado Car"/>
    <w:basedOn w:val="Fuentedeprrafopredeter"/>
    <w:link w:val="Encabezado"/>
    <w:uiPriority w:val="99"/>
    <w:rsid w:val="00B31222"/>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unhideWhenUsed/>
    <w:rsid w:val="00B31222"/>
    <w:pPr>
      <w:tabs>
        <w:tab w:val="center" w:pos="4419"/>
        <w:tab w:val="right" w:pos="8838"/>
      </w:tabs>
    </w:pPr>
  </w:style>
  <w:style w:type="character" w:customStyle="1" w:styleId="PiedepginaCar">
    <w:name w:val="Pie de página Car"/>
    <w:basedOn w:val="Fuentedeprrafopredeter"/>
    <w:link w:val="Piedepgina"/>
    <w:uiPriority w:val="99"/>
    <w:rsid w:val="00B31222"/>
    <w:rPr>
      <w:rFonts w:ascii="Times New Roman" w:eastAsia="Times New Roman" w:hAnsi="Times New Roman" w:cs="Times New Roman"/>
      <w:sz w:val="20"/>
      <w:szCs w:val="20"/>
      <w:lang w:val="es-ES" w:eastAsia="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B31222"/>
    <w:pPr>
      <w:ind w:left="720"/>
      <w:contextualSpacing/>
    </w:pPr>
    <w:rPr>
      <w:rFonts w:ascii="Century Gothic" w:hAnsi="Century Gothic"/>
      <w:sz w:val="22"/>
      <w:szCs w:val="24"/>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basedOn w:val="Fuentedeprrafopredeter"/>
    <w:link w:val="Prrafodelista"/>
    <w:uiPriority w:val="34"/>
    <w:qFormat/>
    <w:rsid w:val="00B31222"/>
    <w:rPr>
      <w:rFonts w:ascii="Century Gothic" w:eastAsia="Times New Roman" w:hAnsi="Century Gothic" w:cs="Times New Roman"/>
      <w:szCs w:val="24"/>
      <w:lang w:eastAsia="es-ES"/>
    </w:rPr>
  </w:style>
  <w:style w:type="character" w:styleId="Hipervnculo">
    <w:name w:val="Hyperlink"/>
    <w:aliases w:val="Hipervínculo1,Hipervínculo11,Hipervínculo12,Hipervínculo13,Hipervínculo14,Hipervínculo15"/>
    <w:basedOn w:val="Fuentedeprrafopredeter"/>
    <w:uiPriority w:val="99"/>
    <w:unhideWhenUsed/>
    <w:qFormat/>
    <w:rsid w:val="00B31222"/>
    <w:rPr>
      <w:color w:val="0563C1" w:themeColor="hyperlink"/>
      <w:u w:val="single"/>
    </w:rPr>
  </w:style>
  <w:style w:type="character" w:styleId="Refdenotaalpie">
    <w:name w:val="footnote reference"/>
    <w:aliases w:val="Ref,de nota al pie,ftref, BVI fnr,16 Point,Superscript 6 Point,(Diplomarbeit FZ),BVI fnr,Footnote Reference,Texto de nota al pie,Footnotes refss,Appel note de bas de page,Footnote number,referencia nota al pie,f,4_G,Texto nota al pie"/>
    <w:basedOn w:val="Fuentedeprrafopredeter"/>
    <w:uiPriority w:val="99"/>
    <w:unhideWhenUsed/>
    <w:qFormat/>
    <w:rsid w:val="00B31222"/>
    <w:rPr>
      <w:vertAlign w:val="superscript"/>
    </w:rPr>
  </w:style>
  <w:style w:type="paragraph" w:styleId="Textonotapie">
    <w:name w:val="footnote text"/>
    <w:aliases w:val="Footnote reference,FA Fu,Footnote Text Char Char Char Char Char,Footnote Text Char Char Char Char,Footnote Text Char Char Char,ADB,single space,footnote text,fn,ft,Footnote Text Char1,Footnote Text Char Char,FOOTNOTES,Schriftart: 9 pt,Ca"/>
    <w:basedOn w:val="Normal"/>
    <w:link w:val="TextonotapieCar"/>
    <w:uiPriority w:val="99"/>
    <w:unhideWhenUsed/>
    <w:qFormat/>
    <w:rsid w:val="00B31222"/>
    <w:rPr>
      <w:rFonts w:ascii="Calibri" w:eastAsia="Calibri" w:hAnsi="Calibri"/>
      <w:lang w:eastAsia="en-US"/>
    </w:rPr>
  </w:style>
  <w:style w:type="character" w:customStyle="1" w:styleId="TextonotapieCar">
    <w:name w:val="Texto nota pie Car"/>
    <w:aliases w:val="Footnote reference Car,FA Fu Car,Footnote Text Char Char Char Char Char Car,Footnote Text Char Char Char Char Car,Footnote Text Char Char Char Car,ADB Car,single space Car,footnote text Car,fn Car,ft Car,Footnote Text Char1 Car,Ca Car"/>
    <w:basedOn w:val="Fuentedeprrafopredeter"/>
    <w:link w:val="Textonotapie"/>
    <w:uiPriority w:val="99"/>
    <w:rsid w:val="00B31222"/>
    <w:rPr>
      <w:rFonts w:ascii="Calibri" w:eastAsia="Calibri" w:hAnsi="Calibri" w:cs="Times New Roman"/>
      <w:sz w:val="20"/>
      <w:szCs w:val="20"/>
    </w:rPr>
  </w:style>
  <w:style w:type="character" w:styleId="Hipervnculovisitado">
    <w:name w:val="FollowedHyperlink"/>
    <w:basedOn w:val="Fuentedeprrafopredeter"/>
    <w:uiPriority w:val="99"/>
    <w:semiHidden/>
    <w:unhideWhenUsed/>
    <w:rsid w:val="00B31222"/>
    <w:rPr>
      <w:color w:val="954F72" w:themeColor="followedHyperlink"/>
      <w:u w:val="single"/>
    </w:rPr>
  </w:style>
  <w:style w:type="table" w:styleId="Tablaconcuadrcula">
    <w:name w:val="Table Grid"/>
    <w:basedOn w:val="Tablanormal"/>
    <w:uiPriority w:val="39"/>
    <w:rsid w:val="00B31222"/>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B31222"/>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31222"/>
    <w:rPr>
      <w:rFonts w:ascii="Segoe UI" w:eastAsia="Times New Roman" w:hAnsi="Segoe UI" w:cs="Segoe UI"/>
      <w:sz w:val="18"/>
      <w:szCs w:val="18"/>
      <w:lang w:val="es-ES" w:eastAsia="es-ES"/>
    </w:rPr>
  </w:style>
  <w:style w:type="character" w:styleId="Refdecomentario">
    <w:name w:val="annotation reference"/>
    <w:basedOn w:val="Fuentedeprrafopredeter"/>
    <w:uiPriority w:val="99"/>
    <w:semiHidden/>
    <w:unhideWhenUsed/>
    <w:rsid w:val="00B31222"/>
    <w:rPr>
      <w:sz w:val="16"/>
      <w:szCs w:val="16"/>
    </w:rPr>
  </w:style>
  <w:style w:type="paragraph" w:styleId="Textocomentario">
    <w:name w:val="annotation text"/>
    <w:basedOn w:val="Normal"/>
    <w:link w:val="TextocomentarioCar"/>
    <w:uiPriority w:val="99"/>
    <w:semiHidden/>
    <w:unhideWhenUsed/>
    <w:rsid w:val="00B31222"/>
  </w:style>
  <w:style w:type="character" w:customStyle="1" w:styleId="TextocomentarioCar">
    <w:name w:val="Texto comentario Car"/>
    <w:basedOn w:val="Fuentedeprrafopredeter"/>
    <w:link w:val="Textocomentario"/>
    <w:uiPriority w:val="99"/>
    <w:semiHidden/>
    <w:rsid w:val="00B31222"/>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B31222"/>
    <w:rPr>
      <w:b/>
      <w:bCs/>
    </w:rPr>
  </w:style>
  <w:style w:type="character" w:customStyle="1" w:styleId="AsuntodelcomentarioCar">
    <w:name w:val="Asunto del comentario Car"/>
    <w:basedOn w:val="TextocomentarioCar"/>
    <w:link w:val="Asuntodelcomentario"/>
    <w:uiPriority w:val="99"/>
    <w:semiHidden/>
    <w:rsid w:val="00B31222"/>
    <w:rPr>
      <w:rFonts w:ascii="Times New Roman" w:eastAsia="Times New Roman" w:hAnsi="Times New Roman" w:cs="Times New Roman"/>
      <w:b/>
      <w:bCs/>
      <w:sz w:val="20"/>
      <w:szCs w:val="20"/>
      <w:lang w:val="es-ES" w:eastAsia="es-ES"/>
    </w:rPr>
  </w:style>
  <w:style w:type="character" w:customStyle="1" w:styleId="Mencionar1">
    <w:name w:val="Mencionar1"/>
    <w:basedOn w:val="Fuentedeprrafopredeter"/>
    <w:uiPriority w:val="99"/>
    <w:semiHidden/>
    <w:unhideWhenUsed/>
    <w:rsid w:val="00B31222"/>
    <w:rPr>
      <w:color w:val="2B579A"/>
      <w:shd w:val="clear" w:color="auto" w:fill="E6E6E6"/>
    </w:rPr>
  </w:style>
  <w:style w:type="character" w:customStyle="1" w:styleId="Mencionar2">
    <w:name w:val="Mencionar2"/>
    <w:basedOn w:val="Fuentedeprrafopredeter"/>
    <w:uiPriority w:val="99"/>
    <w:semiHidden/>
    <w:unhideWhenUsed/>
    <w:rsid w:val="00B31222"/>
    <w:rPr>
      <w:color w:val="2B579A"/>
      <w:shd w:val="clear" w:color="auto" w:fill="E6E6E6"/>
    </w:rPr>
  </w:style>
  <w:style w:type="character" w:customStyle="1" w:styleId="maestrofonttexto">
    <w:name w:val="maestro_fonttexto"/>
    <w:basedOn w:val="Fuentedeprrafopredeter"/>
    <w:rsid w:val="00B31222"/>
  </w:style>
  <w:style w:type="character" w:styleId="Textoennegrita">
    <w:name w:val="Strong"/>
    <w:qFormat/>
    <w:rsid w:val="00B31222"/>
    <w:rPr>
      <w:b/>
      <w:bCs/>
    </w:rPr>
  </w:style>
  <w:style w:type="paragraph" w:styleId="HTMLconformatoprevio">
    <w:name w:val="HTML Preformatted"/>
    <w:basedOn w:val="Normal"/>
    <w:link w:val="HTMLconformatoprevioCar"/>
    <w:uiPriority w:val="99"/>
    <w:semiHidden/>
    <w:unhideWhenUsed/>
    <w:rsid w:val="00B312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eastAsia="es-MX"/>
    </w:rPr>
  </w:style>
  <w:style w:type="character" w:customStyle="1" w:styleId="HTMLconformatoprevioCar">
    <w:name w:val="HTML con formato previo Car"/>
    <w:basedOn w:val="Fuentedeprrafopredeter"/>
    <w:link w:val="HTMLconformatoprevio"/>
    <w:uiPriority w:val="99"/>
    <w:semiHidden/>
    <w:rsid w:val="00B31222"/>
    <w:rPr>
      <w:rFonts w:ascii="Courier New" w:eastAsia="Times New Roman" w:hAnsi="Courier New" w:cs="Courier New"/>
      <w:sz w:val="20"/>
      <w:szCs w:val="20"/>
      <w:lang w:eastAsia="es-MX"/>
    </w:rPr>
  </w:style>
  <w:style w:type="paragraph" w:customStyle="1" w:styleId="Default">
    <w:name w:val="Default"/>
    <w:rsid w:val="00B31222"/>
    <w:pPr>
      <w:autoSpaceDE w:val="0"/>
      <w:autoSpaceDN w:val="0"/>
      <w:adjustRightInd w:val="0"/>
      <w:spacing w:after="0" w:line="240" w:lineRule="auto"/>
    </w:pPr>
    <w:rPr>
      <w:rFonts w:ascii="Arial" w:hAnsi="Arial" w:cs="Arial"/>
      <w:color w:val="000000"/>
      <w:sz w:val="24"/>
      <w:szCs w:val="24"/>
    </w:rPr>
  </w:style>
  <w:style w:type="character" w:customStyle="1" w:styleId="CharacterStyle1">
    <w:name w:val="Character Style 1"/>
    <w:uiPriority w:val="99"/>
    <w:rsid w:val="00B31222"/>
    <w:rPr>
      <w:sz w:val="20"/>
      <w:szCs w:val="20"/>
    </w:rPr>
  </w:style>
  <w:style w:type="paragraph" w:customStyle="1" w:styleId="Estilo1">
    <w:name w:val="Estilo1"/>
    <w:basedOn w:val="Textoindependiente"/>
    <w:rsid w:val="00B31222"/>
  </w:style>
  <w:style w:type="paragraph" w:styleId="Textoindependiente">
    <w:name w:val="Body Text"/>
    <w:basedOn w:val="Normal"/>
    <w:link w:val="TextoindependienteCar"/>
    <w:uiPriority w:val="99"/>
    <w:unhideWhenUsed/>
    <w:rsid w:val="00B31222"/>
    <w:pPr>
      <w:spacing w:after="120"/>
    </w:pPr>
  </w:style>
  <w:style w:type="character" w:customStyle="1" w:styleId="TextoindependienteCar">
    <w:name w:val="Texto independiente Car"/>
    <w:basedOn w:val="Fuentedeprrafopredeter"/>
    <w:link w:val="Textoindependiente"/>
    <w:uiPriority w:val="99"/>
    <w:rsid w:val="00B31222"/>
    <w:rPr>
      <w:rFonts w:ascii="Times New Roman" w:eastAsia="Times New Roman" w:hAnsi="Times New Roman" w:cs="Times New Roman"/>
      <w:sz w:val="20"/>
      <w:szCs w:val="20"/>
      <w:lang w:val="es-ES" w:eastAsia="es-ES"/>
    </w:rPr>
  </w:style>
  <w:style w:type="paragraph" w:styleId="Sinespaciado">
    <w:name w:val="No Spacing"/>
    <w:aliases w:val="INAI,Francesa"/>
    <w:link w:val="SinespaciadoCar"/>
    <w:uiPriority w:val="1"/>
    <w:qFormat/>
    <w:rsid w:val="00B31222"/>
    <w:pPr>
      <w:spacing w:after="0" w:line="240" w:lineRule="auto"/>
      <w:ind w:left="567" w:right="567"/>
      <w:jc w:val="both"/>
    </w:pPr>
    <w:rPr>
      <w:rFonts w:ascii="Arial" w:eastAsia="Batang" w:hAnsi="Arial" w:cs="Times New Roman"/>
      <w:sz w:val="20"/>
      <w:szCs w:val="24"/>
      <w:lang w:eastAsia="es-ES"/>
    </w:rPr>
  </w:style>
  <w:style w:type="character" w:customStyle="1" w:styleId="SinespaciadoCar">
    <w:name w:val="Sin espaciado Car"/>
    <w:aliases w:val="INAI Car,Francesa Car"/>
    <w:basedOn w:val="Fuentedeprrafopredeter"/>
    <w:link w:val="Sinespaciado"/>
    <w:uiPriority w:val="1"/>
    <w:rsid w:val="00B31222"/>
    <w:rPr>
      <w:rFonts w:ascii="Arial" w:eastAsia="Batang" w:hAnsi="Arial" w:cs="Times New Roman"/>
      <w:sz w:val="20"/>
      <w:szCs w:val="24"/>
      <w:lang w:eastAsia="es-ES"/>
    </w:rPr>
  </w:style>
  <w:style w:type="paragraph" w:styleId="Lista">
    <w:name w:val="List"/>
    <w:basedOn w:val="Normal"/>
    <w:uiPriority w:val="99"/>
    <w:unhideWhenUsed/>
    <w:rsid w:val="00B31222"/>
    <w:pPr>
      <w:ind w:left="283" w:hanging="283"/>
      <w:contextualSpacing/>
    </w:pPr>
  </w:style>
  <w:style w:type="paragraph" w:styleId="Lista2">
    <w:name w:val="List 2"/>
    <w:basedOn w:val="Normal"/>
    <w:uiPriority w:val="99"/>
    <w:unhideWhenUsed/>
    <w:rsid w:val="00B31222"/>
    <w:pPr>
      <w:ind w:left="566" w:hanging="283"/>
      <w:contextualSpacing/>
    </w:pPr>
  </w:style>
  <w:style w:type="paragraph" w:styleId="Lista3">
    <w:name w:val="List 3"/>
    <w:basedOn w:val="Normal"/>
    <w:uiPriority w:val="99"/>
    <w:unhideWhenUsed/>
    <w:rsid w:val="00B31222"/>
    <w:pPr>
      <w:ind w:left="849" w:hanging="283"/>
      <w:contextualSpacing/>
    </w:pPr>
  </w:style>
  <w:style w:type="paragraph" w:styleId="Lista4">
    <w:name w:val="List 4"/>
    <w:basedOn w:val="Normal"/>
    <w:uiPriority w:val="99"/>
    <w:unhideWhenUsed/>
    <w:rsid w:val="00B31222"/>
    <w:pPr>
      <w:ind w:left="1132" w:hanging="283"/>
      <w:contextualSpacing/>
    </w:pPr>
  </w:style>
  <w:style w:type="paragraph" w:styleId="Saludo">
    <w:name w:val="Salutation"/>
    <w:basedOn w:val="Normal"/>
    <w:next w:val="Normal"/>
    <w:link w:val="SaludoCar"/>
    <w:uiPriority w:val="99"/>
    <w:unhideWhenUsed/>
    <w:rsid w:val="00B31222"/>
  </w:style>
  <w:style w:type="character" w:customStyle="1" w:styleId="SaludoCar">
    <w:name w:val="Saludo Car"/>
    <w:basedOn w:val="Fuentedeprrafopredeter"/>
    <w:link w:val="Saludo"/>
    <w:uiPriority w:val="99"/>
    <w:rsid w:val="00B31222"/>
    <w:rPr>
      <w:rFonts w:ascii="Times New Roman" w:eastAsia="Times New Roman" w:hAnsi="Times New Roman" w:cs="Times New Roman"/>
      <w:sz w:val="20"/>
      <w:szCs w:val="20"/>
      <w:lang w:val="es-ES" w:eastAsia="es-ES"/>
    </w:rPr>
  </w:style>
  <w:style w:type="paragraph" w:styleId="Listaconvietas2">
    <w:name w:val="List Bullet 2"/>
    <w:basedOn w:val="Normal"/>
    <w:uiPriority w:val="99"/>
    <w:unhideWhenUsed/>
    <w:rsid w:val="00B31222"/>
    <w:pPr>
      <w:numPr>
        <w:numId w:val="1"/>
      </w:numPr>
      <w:contextualSpacing/>
    </w:pPr>
  </w:style>
  <w:style w:type="paragraph" w:styleId="Ttulo">
    <w:name w:val="Title"/>
    <w:basedOn w:val="Normal"/>
    <w:next w:val="Normal"/>
    <w:link w:val="TtuloCar"/>
    <w:uiPriority w:val="10"/>
    <w:qFormat/>
    <w:rsid w:val="00B31222"/>
    <w:pPr>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B31222"/>
    <w:rPr>
      <w:rFonts w:asciiTheme="majorHAnsi" w:eastAsiaTheme="majorEastAsia" w:hAnsiTheme="majorHAnsi" w:cstheme="majorBidi"/>
      <w:spacing w:val="-10"/>
      <w:kern w:val="28"/>
      <w:sz w:val="56"/>
      <w:szCs w:val="56"/>
      <w:lang w:val="es-ES" w:eastAsia="es-ES"/>
    </w:rPr>
  </w:style>
  <w:style w:type="paragraph" w:styleId="Sangradetextonormal">
    <w:name w:val="Body Text Indent"/>
    <w:basedOn w:val="Normal"/>
    <w:link w:val="SangradetextonormalCar"/>
    <w:uiPriority w:val="99"/>
    <w:unhideWhenUsed/>
    <w:rsid w:val="00B31222"/>
    <w:pPr>
      <w:spacing w:after="120"/>
      <w:ind w:left="283"/>
    </w:pPr>
  </w:style>
  <w:style w:type="character" w:customStyle="1" w:styleId="SangradetextonormalCar">
    <w:name w:val="Sangría de texto normal Car"/>
    <w:basedOn w:val="Fuentedeprrafopredeter"/>
    <w:link w:val="Sangradetextonormal"/>
    <w:uiPriority w:val="99"/>
    <w:rsid w:val="00B31222"/>
    <w:rPr>
      <w:rFonts w:ascii="Times New Roman" w:eastAsia="Times New Roman" w:hAnsi="Times New Roman" w:cs="Times New Roman"/>
      <w:sz w:val="20"/>
      <w:szCs w:val="20"/>
      <w:lang w:val="es-ES" w:eastAsia="es-ES"/>
    </w:rPr>
  </w:style>
  <w:style w:type="paragraph" w:styleId="Textoindependienteprimerasangra2">
    <w:name w:val="Body Text First Indent 2"/>
    <w:basedOn w:val="Sangradetextonormal"/>
    <w:link w:val="Textoindependienteprimerasangra2Car"/>
    <w:uiPriority w:val="99"/>
    <w:unhideWhenUsed/>
    <w:rsid w:val="00B31222"/>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B31222"/>
    <w:rPr>
      <w:rFonts w:ascii="Times New Roman" w:eastAsia="Times New Roman" w:hAnsi="Times New Roman" w:cs="Times New Roman"/>
      <w:sz w:val="20"/>
      <w:szCs w:val="20"/>
      <w:lang w:val="es-ES" w:eastAsia="es-ES"/>
    </w:rPr>
  </w:style>
  <w:style w:type="character" w:customStyle="1" w:styleId="Mencionar3">
    <w:name w:val="Mencionar3"/>
    <w:basedOn w:val="Fuentedeprrafopredeter"/>
    <w:uiPriority w:val="99"/>
    <w:semiHidden/>
    <w:unhideWhenUsed/>
    <w:rsid w:val="00A47916"/>
    <w:rPr>
      <w:color w:val="2B579A"/>
      <w:shd w:val="clear" w:color="auto" w:fill="E6E6E6"/>
    </w:rPr>
  </w:style>
  <w:style w:type="character" w:customStyle="1" w:styleId="Mencionar4">
    <w:name w:val="Mencionar4"/>
    <w:basedOn w:val="Fuentedeprrafopredeter"/>
    <w:uiPriority w:val="99"/>
    <w:semiHidden/>
    <w:unhideWhenUsed/>
    <w:rsid w:val="00802515"/>
    <w:rPr>
      <w:color w:val="2B579A"/>
      <w:shd w:val="clear" w:color="auto" w:fill="E6E6E6"/>
    </w:rPr>
  </w:style>
  <w:style w:type="character" w:customStyle="1" w:styleId="maestrofonttexto1">
    <w:name w:val="maestro_fonttexto1"/>
    <w:basedOn w:val="Fuentedeprrafopredeter"/>
    <w:rsid w:val="00C25238"/>
    <w:rPr>
      <w:rFonts w:ascii="Arial" w:hAnsi="Arial" w:cs="Arial" w:hint="default"/>
      <w:sz w:val="15"/>
      <w:szCs w:val="15"/>
    </w:rPr>
  </w:style>
  <w:style w:type="character" w:customStyle="1" w:styleId="apple-converted-space">
    <w:name w:val="apple-converted-space"/>
    <w:basedOn w:val="Fuentedeprrafopredeter"/>
    <w:rsid w:val="00436FD3"/>
  </w:style>
  <w:style w:type="character" w:customStyle="1" w:styleId="Mencinsinresolver1">
    <w:name w:val="Mención sin resolver1"/>
    <w:basedOn w:val="Fuentedeprrafopredeter"/>
    <w:uiPriority w:val="99"/>
    <w:semiHidden/>
    <w:unhideWhenUsed/>
    <w:rsid w:val="00891760"/>
    <w:rPr>
      <w:color w:val="605E5C"/>
      <w:shd w:val="clear" w:color="auto" w:fill="E1DFDD"/>
    </w:rPr>
  </w:style>
  <w:style w:type="paragraph" w:styleId="NormalWeb">
    <w:name w:val="Normal (Web)"/>
    <w:basedOn w:val="Normal"/>
    <w:uiPriority w:val="99"/>
    <w:semiHidden/>
    <w:unhideWhenUsed/>
    <w:rsid w:val="00255DE6"/>
    <w:pPr>
      <w:spacing w:before="100" w:beforeAutospacing="1" w:after="100" w:afterAutospacing="1"/>
    </w:pPr>
    <w:rPr>
      <w:sz w:val="24"/>
      <w:szCs w:val="24"/>
      <w:lang w:val="es-ES"/>
    </w:rPr>
  </w:style>
  <w:style w:type="character" w:customStyle="1" w:styleId="Ttulo6Car">
    <w:name w:val="Título 6 Car"/>
    <w:basedOn w:val="Fuentedeprrafopredeter"/>
    <w:link w:val="Ttulo6"/>
    <w:uiPriority w:val="9"/>
    <w:semiHidden/>
    <w:rsid w:val="00AF7614"/>
    <w:rPr>
      <w:rFonts w:asciiTheme="majorHAnsi" w:eastAsiaTheme="majorEastAsia" w:hAnsiTheme="majorHAnsi" w:cstheme="majorBidi"/>
      <w:color w:val="1F3763" w:themeColor="accent1" w:themeShade="7F"/>
      <w:sz w:val="20"/>
      <w:szCs w:val="20"/>
      <w:lang w:eastAsia="es-ES"/>
    </w:rPr>
  </w:style>
  <w:style w:type="character" w:customStyle="1" w:styleId="Mencinsinresolver2">
    <w:name w:val="Mención sin resolver2"/>
    <w:basedOn w:val="Fuentedeprrafopredeter"/>
    <w:uiPriority w:val="99"/>
    <w:semiHidden/>
    <w:unhideWhenUsed/>
    <w:rsid w:val="007C1752"/>
    <w:rPr>
      <w:color w:val="605E5C"/>
      <w:shd w:val="clear" w:color="auto" w:fill="E1DFDD"/>
    </w:rPr>
  </w:style>
  <w:style w:type="character" w:customStyle="1" w:styleId="Ttulo5Car">
    <w:name w:val="Título 5 Car"/>
    <w:basedOn w:val="Fuentedeprrafopredeter"/>
    <w:link w:val="Ttulo5"/>
    <w:uiPriority w:val="9"/>
    <w:semiHidden/>
    <w:rsid w:val="00C5682B"/>
    <w:rPr>
      <w:rFonts w:asciiTheme="majorHAnsi" w:eastAsiaTheme="majorEastAsia" w:hAnsiTheme="majorHAnsi" w:cstheme="majorBidi"/>
      <w:color w:val="2F5496" w:themeColor="accent1" w:themeShade="BF"/>
      <w:sz w:val="20"/>
      <w:szCs w:val="20"/>
      <w:lang w:eastAsia="es-ES"/>
    </w:rPr>
  </w:style>
  <w:style w:type="character" w:customStyle="1" w:styleId="Mencinsinresolver3">
    <w:name w:val="Mención sin resolver3"/>
    <w:basedOn w:val="Fuentedeprrafopredeter"/>
    <w:uiPriority w:val="99"/>
    <w:semiHidden/>
    <w:unhideWhenUsed/>
    <w:rsid w:val="002E5910"/>
    <w:rPr>
      <w:color w:val="605E5C"/>
      <w:shd w:val="clear" w:color="auto" w:fill="E1DFDD"/>
    </w:rPr>
  </w:style>
  <w:style w:type="paragraph" w:styleId="Listaconvietas3">
    <w:name w:val="List Bullet 3"/>
    <w:basedOn w:val="Normal"/>
    <w:uiPriority w:val="99"/>
    <w:unhideWhenUsed/>
    <w:rsid w:val="00072C02"/>
    <w:pPr>
      <w:numPr>
        <w:numId w:val="4"/>
      </w:numPr>
      <w:contextualSpacing/>
    </w:pPr>
    <w:rPr>
      <w:sz w:val="24"/>
      <w:szCs w:val="24"/>
      <w:lang w:eastAsia="es-MX"/>
    </w:rPr>
  </w:style>
  <w:style w:type="character" w:customStyle="1" w:styleId="Ttulo2Car">
    <w:name w:val="Título 2 Car"/>
    <w:basedOn w:val="Fuentedeprrafopredeter"/>
    <w:link w:val="Ttulo2"/>
    <w:uiPriority w:val="9"/>
    <w:rsid w:val="004717ED"/>
    <w:rPr>
      <w:rFonts w:ascii="Palatino Linotype" w:eastAsiaTheme="majorEastAsia" w:hAnsi="Palatino Linotype" w:cstheme="majorBidi"/>
      <w:b/>
      <w:color w:val="000000" w:themeColor="text1"/>
      <w:szCs w:val="26"/>
      <w:lang w:eastAsia="es-ES"/>
    </w:rPr>
  </w:style>
  <w:style w:type="paragraph" w:styleId="TtuloTDC">
    <w:name w:val="TOC Heading"/>
    <w:basedOn w:val="Ttulo1"/>
    <w:next w:val="Normal"/>
    <w:uiPriority w:val="39"/>
    <w:unhideWhenUsed/>
    <w:qFormat/>
    <w:rsid w:val="004717ED"/>
    <w:pPr>
      <w:spacing w:line="259" w:lineRule="auto"/>
      <w:jc w:val="left"/>
      <w:outlineLvl w:val="9"/>
    </w:pPr>
    <w:rPr>
      <w:rFonts w:asciiTheme="majorHAnsi" w:hAnsiTheme="majorHAnsi"/>
      <w:b w:val="0"/>
      <w:color w:val="2F5496" w:themeColor="accent1" w:themeShade="BF"/>
      <w:sz w:val="32"/>
      <w:lang w:eastAsia="es-MX"/>
    </w:rPr>
  </w:style>
  <w:style w:type="character" w:customStyle="1" w:styleId="Ttulo3Car">
    <w:name w:val="Título 3 Car"/>
    <w:basedOn w:val="Fuentedeprrafopredeter"/>
    <w:link w:val="Ttulo3"/>
    <w:uiPriority w:val="9"/>
    <w:rsid w:val="004717ED"/>
    <w:rPr>
      <w:rFonts w:ascii="Palatino Linotype" w:eastAsiaTheme="majorEastAsia" w:hAnsi="Palatino Linotype" w:cstheme="majorBidi"/>
      <w:b/>
      <w:color w:val="000000" w:themeColor="text1"/>
      <w:szCs w:val="24"/>
      <w:lang w:eastAsia="es-ES"/>
    </w:rPr>
  </w:style>
  <w:style w:type="paragraph" w:styleId="TDC1">
    <w:name w:val="toc 1"/>
    <w:basedOn w:val="Normal"/>
    <w:next w:val="Normal"/>
    <w:autoRedefine/>
    <w:uiPriority w:val="39"/>
    <w:unhideWhenUsed/>
    <w:rsid w:val="00A16558"/>
    <w:pPr>
      <w:tabs>
        <w:tab w:val="right" w:leader="dot" w:pos="9034"/>
      </w:tabs>
      <w:spacing w:before="240" w:after="100" w:line="360" w:lineRule="auto"/>
    </w:pPr>
  </w:style>
  <w:style w:type="paragraph" w:styleId="TDC2">
    <w:name w:val="toc 2"/>
    <w:basedOn w:val="Normal"/>
    <w:next w:val="Normal"/>
    <w:autoRedefine/>
    <w:uiPriority w:val="39"/>
    <w:unhideWhenUsed/>
    <w:rsid w:val="004717ED"/>
    <w:pPr>
      <w:spacing w:after="100"/>
      <w:ind w:left="200"/>
    </w:pPr>
  </w:style>
  <w:style w:type="paragraph" w:styleId="TDC3">
    <w:name w:val="toc 3"/>
    <w:basedOn w:val="Normal"/>
    <w:next w:val="Normal"/>
    <w:autoRedefine/>
    <w:uiPriority w:val="39"/>
    <w:unhideWhenUsed/>
    <w:rsid w:val="004717ED"/>
    <w:pPr>
      <w:spacing w:after="100"/>
      <w:ind w:left="4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48243">
      <w:bodyDiv w:val="1"/>
      <w:marLeft w:val="0"/>
      <w:marRight w:val="0"/>
      <w:marTop w:val="0"/>
      <w:marBottom w:val="0"/>
      <w:divBdr>
        <w:top w:val="none" w:sz="0" w:space="0" w:color="auto"/>
        <w:left w:val="none" w:sz="0" w:space="0" w:color="auto"/>
        <w:bottom w:val="none" w:sz="0" w:space="0" w:color="auto"/>
        <w:right w:val="none" w:sz="0" w:space="0" w:color="auto"/>
      </w:divBdr>
    </w:div>
    <w:div w:id="9069151">
      <w:bodyDiv w:val="1"/>
      <w:marLeft w:val="0"/>
      <w:marRight w:val="0"/>
      <w:marTop w:val="0"/>
      <w:marBottom w:val="0"/>
      <w:divBdr>
        <w:top w:val="none" w:sz="0" w:space="0" w:color="auto"/>
        <w:left w:val="none" w:sz="0" w:space="0" w:color="auto"/>
        <w:bottom w:val="none" w:sz="0" w:space="0" w:color="auto"/>
        <w:right w:val="none" w:sz="0" w:space="0" w:color="auto"/>
      </w:divBdr>
    </w:div>
    <w:div w:id="22561575">
      <w:bodyDiv w:val="1"/>
      <w:marLeft w:val="0"/>
      <w:marRight w:val="0"/>
      <w:marTop w:val="0"/>
      <w:marBottom w:val="0"/>
      <w:divBdr>
        <w:top w:val="none" w:sz="0" w:space="0" w:color="auto"/>
        <w:left w:val="none" w:sz="0" w:space="0" w:color="auto"/>
        <w:bottom w:val="none" w:sz="0" w:space="0" w:color="auto"/>
        <w:right w:val="none" w:sz="0" w:space="0" w:color="auto"/>
      </w:divBdr>
    </w:div>
    <w:div w:id="24212379">
      <w:bodyDiv w:val="1"/>
      <w:marLeft w:val="0"/>
      <w:marRight w:val="0"/>
      <w:marTop w:val="0"/>
      <w:marBottom w:val="0"/>
      <w:divBdr>
        <w:top w:val="none" w:sz="0" w:space="0" w:color="auto"/>
        <w:left w:val="none" w:sz="0" w:space="0" w:color="auto"/>
        <w:bottom w:val="none" w:sz="0" w:space="0" w:color="auto"/>
        <w:right w:val="none" w:sz="0" w:space="0" w:color="auto"/>
      </w:divBdr>
    </w:div>
    <w:div w:id="35350906">
      <w:bodyDiv w:val="1"/>
      <w:marLeft w:val="0"/>
      <w:marRight w:val="0"/>
      <w:marTop w:val="0"/>
      <w:marBottom w:val="0"/>
      <w:divBdr>
        <w:top w:val="none" w:sz="0" w:space="0" w:color="auto"/>
        <w:left w:val="none" w:sz="0" w:space="0" w:color="auto"/>
        <w:bottom w:val="none" w:sz="0" w:space="0" w:color="auto"/>
        <w:right w:val="none" w:sz="0" w:space="0" w:color="auto"/>
      </w:divBdr>
    </w:div>
    <w:div w:id="64108941">
      <w:bodyDiv w:val="1"/>
      <w:marLeft w:val="0"/>
      <w:marRight w:val="0"/>
      <w:marTop w:val="0"/>
      <w:marBottom w:val="0"/>
      <w:divBdr>
        <w:top w:val="none" w:sz="0" w:space="0" w:color="auto"/>
        <w:left w:val="none" w:sz="0" w:space="0" w:color="auto"/>
        <w:bottom w:val="none" w:sz="0" w:space="0" w:color="auto"/>
        <w:right w:val="none" w:sz="0" w:space="0" w:color="auto"/>
      </w:divBdr>
    </w:div>
    <w:div w:id="68844203">
      <w:bodyDiv w:val="1"/>
      <w:marLeft w:val="0"/>
      <w:marRight w:val="0"/>
      <w:marTop w:val="0"/>
      <w:marBottom w:val="0"/>
      <w:divBdr>
        <w:top w:val="none" w:sz="0" w:space="0" w:color="auto"/>
        <w:left w:val="none" w:sz="0" w:space="0" w:color="auto"/>
        <w:bottom w:val="none" w:sz="0" w:space="0" w:color="auto"/>
        <w:right w:val="none" w:sz="0" w:space="0" w:color="auto"/>
      </w:divBdr>
    </w:div>
    <w:div w:id="77215633">
      <w:bodyDiv w:val="1"/>
      <w:marLeft w:val="0"/>
      <w:marRight w:val="0"/>
      <w:marTop w:val="0"/>
      <w:marBottom w:val="0"/>
      <w:divBdr>
        <w:top w:val="none" w:sz="0" w:space="0" w:color="auto"/>
        <w:left w:val="none" w:sz="0" w:space="0" w:color="auto"/>
        <w:bottom w:val="none" w:sz="0" w:space="0" w:color="auto"/>
        <w:right w:val="none" w:sz="0" w:space="0" w:color="auto"/>
      </w:divBdr>
    </w:div>
    <w:div w:id="120345385">
      <w:bodyDiv w:val="1"/>
      <w:marLeft w:val="0"/>
      <w:marRight w:val="0"/>
      <w:marTop w:val="0"/>
      <w:marBottom w:val="0"/>
      <w:divBdr>
        <w:top w:val="none" w:sz="0" w:space="0" w:color="auto"/>
        <w:left w:val="none" w:sz="0" w:space="0" w:color="auto"/>
        <w:bottom w:val="none" w:sz="0" w:space="0" w:color="auto"/>
        <w:right w:val="none" w:sz="0" w:space="0" w:color="auto"/>
      </w:divBdr>
    </w:div>
    <w:div w:id="138234821">
      <w:bodyDiv w:val="1"/>
      <w:marLeft w:val="0"/>
      <w:marRight w:val="0"/>
      <w:marTop w:val="0"/>
      <w:marBottom w:val="0"/>
      <w:divBdr>
        <w:top w:val="none" w:sz="0" w:space="0" w:color="auto"/>
        <w:left w:val="none" w:sz="0" w:space="0" w:color="auto"/>
        <w:bottom w:val="none" w:sz="0" w:space="0" w:color="auto"/>
        <w:right w:val="none" w:sz="0" w:space="0" w:color="auto"/>
      </w:divBdr>
    </w:div>
    <w:div w:id="142739494">
      <w:bodyDiv w:val="1"/>
      <w:marLeft w:val="0"/>
      <w:marRight w:val="0"/>
      <w:marTop w:val="0"/>
      <w:marBottom w:val="0"/>
      <w:divBdr>
        <w:top w:val="none" w:sz="0" w:space="0" w:color="auto"/>
        <w:left w:val="none" w:sz="0" w:space="0" w:color="auto"/>
        <w:bottom w:val="none" w:sz="0" w:space="0" w:color="auto"/>
        <w:right w:val="none" w:sz="0" w:space="0" w:color="auto"/>
      </w:divBdr>
    </w:div>
    <w:div w:id="156116579">
      <w:bodyDiv w:val="1"/>
      <w:marLeft w:val="0"/>
      <w:marRight w:val="0"/>
      <w:marTop w:val="0"/>
      <w:marBottom w:val="0"/>
      <w:divBdr>
        <w:top w:val="none" w:sz="0" w:space="0" w:color="auto"/>
        <w:left w:val="none" w:sz="0" w:space="0" w:color="auto"/>
        <w:bottom w:val="none" w:sz="0" w:space="0" w:color="auto"/>
        <w:right w:val="none" w:sz="0" w:space="0" w:color="auto"/>
      </w:divBdr>
    </w:div>
    <w:div w:id="166336764">
      <w:bodyDiv w:val="1"/>
      <w:marLeft w:val="0"/>
      <w:marRight w:val="0"/>
      <w:marTop w:val="0"/>
      <w:marBottom w:val="0"/>
      <w:divBdr>
        <w:top w:val="none" w:sz="0" w:space="0" w:color="auto"/>
        <w:left w:val="none" w:sz="0" w:space="0" w:color="auto"/>
        <w:bottom w:val="none" w:sz="0" w:space="0" w:color="auto"/>
        <w:right w:val="none" w:sz="0" w:space="0" w:color="auto"/>
      </w:divBdr>
      <w:divsChild>
        <w:div w:id="587348187">
          <w:marLeft w:val="0"/>
          <w:marRight w:val="0"/>
          <w:marTop w:val="0"/>
          <w:marBottom w:val="0"/>
          <w:divBdr>
            <w:top w:val="none" w:sz="0" w:space="0" w:color="auto"/>
            <w:left w:val="none" w:sz="0" w:space="0" w:color="auto"/>
            <w:bottom w:val="none" w:sz="0" w:space="0" w:color="auto"/>
            <w:right w:val="none" w:sz="0" w:space="0" w:color="auto"/>
          </w:divBdr>
        </w:div>
        <w:div w:id="854686728">
          <w:marLeft w:val="0"/>
          <w:marRight w:val="0"/>
          <w:marTop w:val="0"/>
          <w:marBottom w:val="0"/>
          <w:divBdr>
            <w:top w:val="none" w:sz="0" w:space="0" w:color="auto"/>
            <w:left w:val="none" w:sz="0" w:space="0" w:color="auto"/>
            <w:bottom w:val="none" w:sz="0" w:space="0" w:color="auto"/>
            <w:right w:val="none" w:sz="0" w:space="0" w:color="auto"/>
          </w:divBdr>
        </w:div>
        <w:div w:id="2005014136">
          <w:marLeft w:val="0"/>
          <w:marRight w:val="0"/>
          <w:marTop w:val="0"/>
          <w:marBottom w:val="0"/>
          <w:divBdr>
            <w:top w:val="none" w:sz="0" w:space="0" w:color="auto"/>
            <w:left w:val="none" w:sz="0" w:space="0" w:color="auto"/>
            <w:bottom w:val="none" w:sz="0" w:space="0" w:color="auto"/>
            <w:right w:val="none" w:sz="0" w:space="0" w:color="auto"/>
          </w:divBdr>
        </w:div>
      </w:divsChild>
    </w:div>
    <w:div w:id="184249317">
      <w:bodyDiv w:val="1"/>
      <w:marLeft w:val="0"/>
      <w:marRight w:val="0"/>
      <w:marTop w:val="0"/>
      <w:marBottom w:val="0"/>
      <w:divBdr>
        <w:top w:val="none" w:sz="0" w:space="0" w:color="auto"/>
        <w:left w:val="none" w:sz="0" w:space="0" w:color="auto"/>
        <w:bottom w:val="none" w:sz="0" w:space="0" w:color="auto"/>
        <w:right w:val="none" w:sz="0" w:space="0" w:color="auto"/>
      </w:divBdr>
    </w:div>
    <w:div w:id="190993073">
      <w:bodyDiv w:val="1"/>
      <w:marLeft w:val="0"/>
      <w:marRight w:val="0"/>
      <w:marTop w:val="0"/>
      <w:marBottom w:val="0"/>
      <w:divBdr>
        <w:top w:val="none" w:sz="0" w:space="0" w:color="auto"/>
        <w:left w:val="none" w:sz="0" w:space="0" w:color="auto"/>
        <w:bottom w:val="none" w:sz="0" w:space="0" w:color="auto"/>
        <w:right w:val="none" w:sz="0" w:space="0" w:color="auto"/>
      </w:divBdr>
    </w:div>
    <w:div w:id="198053936">
      <w:bodyDiv w:val="1"/>
      <w:marLeft w:val="0"/>
      <w:marRight w:val="0"/>
      <w:marTop w:val="0"/>
      <w:marBottom w:val="0"/>
      <w:divBdr>
        <w:top w:val="none" w:sz="0" w:space="0" w:color="auto"/>
        <w:left w:val="none" w:sz="0" w:space="0" w:color="auto"/>
        <w:bottom w:val="none" w:sz="0" w:space="0" w:color="auto"/>
        <w:right w:val="none" w:sz="0" w:space="0" w:color="auto"/>
      </w:divBdr>
    </w:div>
    <w:div w:id="208804969">
      <w:bodyDiv w:val="1"/>
      <w:marLeft w:val="0"/>
      <w:marRight w:val="0"/>
      <w:marTop w:val="0"/>
      <w:marBottom w:val="0"/>
      <w:divBdr>
        <w:top w:val="none" w:sz="0" w:space="0" w:color="auto"/>
        <w:left w:val="none" w:sz="0" w:space="0" w:color="auto"/>
        <w:bottom w:val="none" w:sz="0" w:space="0" w:color="auto"/>
        <w:right w:val="none" w:sz="0" w:space="0" w:color="auto"/>
      </w:divBdr>
    </w:div>
    <w:div w:id="231282173">
      <w:bodyDiv w:val="1"/>
      <w:marLeft w:val="0"/>
      <w:marRight w:val="0"/>
      <w:marTop w:val="0"/>
      <w:marBottom w:val="0"/>
      <w:divBdr>
        <w:top w:val="none" w:sz="0" w:space="0" w:color="auto"/>
        <w:left w:val="none" w:sz="0" w:space="0" w:color="auto"/>
        <w:bottom w:val="none" w:sz="0" w:space="0" w:color="auto"/>
        <w:right w:val="none" w:sz="0" w:space="0" w:color="auto"/>
      </w:divBdr>
    </w:div>
    <w:div w:id="263848016">
      <w:bodyDiv w:val="1"/>
      <w:marLeft w:val="0"/>
      <w:marRight w:val="0"/>
      <w:marTop w:val="0"/>
      <w:marBottom w:val="0"/>
      <w:divBdr>
        <w:top w:val="none" w:sz="0" w:space="0" w:color="auto"/>
        <w:left w:val="none" w:sz="0" w:space="0" w:color="auto"/>
        <w:bottom w:val="none" w:sz="0" w:space="0" w:color="auto"/>
        <w:right w:val="none" w:sz="0" w:space="0" w:color="auto"/>
      </w:divBdr>
    </w:div>
    <w:div w:id="271862910">
      <w:bodyDiv w:val="1"/>
      <w:marLeft w:val="0"/>
      <w:marRight w:val="0"/>
      <w:marTop w:val="0"/>
      <w:marBottom w:val="0"/>
      <w:divBdr>
        <w:top w:val="none" w:sz="0" w:space="0" w:color="auto"/>
        <w:left w:val="none" w:sz="0" w:space="0" w:color="auto"/>
        <w:bottom w:val="none" w:sz="0" w:space="0" w:color="auto"/>
        <w:right w:val="none" w:sz="0" w:space="0" w:color="auto"/>
      </w:divBdr>
    </w:div>
    <w:div w:id="272248118">
      <w:bodyDiv w:val="1"/>
      <w:marLeft w:val="0"/>
      <w:marRight w:val="0"/>
      <w:marTop w:val="0"/>
      <w:marBottom w:val="0"/>
      <w:divBdr>
        <w:top w:val="none" w:sz="0" w:space="0" w:color="auto"/>
        <w:left w:val="none" w:sz="0" w:space="0" w:color="auto"/>
        <w:bottom w:val="none" w:sz="0" w:space="0" w:color="auto"/>
        <w:right w:val="none" w:sz="0" w:space="0" w:color="auto"/>
      </w:divBdr>
    </w:div>
    <w:div w:id="334041240">
      <w:bodyDiv w:val="1"/>
      <w:marLeft w:val="0"/>
      <w:marRight w:val="0"/>
      <w:marTop w:val="0"/>
      <w:marBottom w:val="0"/>
      <w:divBdr>
        <w:top w:val="none" w:sz="0" w:space="0" w:color="auto"/>
        <w:left w:val="none" w:sz="0" w:space="0" w:color="auto"/>
        <w:bottom w:val="none" w:sz="0" w:space="0" w:color="auto"/>
        <w:right w:val="none" w:sz="0" w:space="0" w:color="auto"/>
      </w:divBdr>
    </w:div>
    <w:div w:id="335034988">
      <w:bodyDiv w:val="1"/>
      <w:marLeft w:val="0"/>
      <w:marRight w:val="0"/>
      <w:marTop w:val="0"/>
      <w:marBottom w:val="0"/>
      <w:divBdr>
        <w:top w:val="none" w:sz="0" w:space="0" w:color="auto"/>
        <w:left w:val="none" w:sz="0" w:space="0" w:color="auto"/>
        <w:bottom w:val="none" w:sz="0" w:space="0" w:color="auto"/>
        <w:right w:val="none" w:sz="0" w:space="0" w:color="auto"/>
      </w:divBdr>
      <w:divsChild>
        <w:div w:id="1375617587">
          <w:marLeft w:val="0"/>
          <w:marRight w:val="0"/>
          <w:marTop w:val="0"/>
          <w:marBottom w:val="0"/>
          <w:divBdr>
            <w:top w:val="none" w:sz="0" w:space="0" w:color="auto"/>
            <w:left w:val="none" w:sz="0" w:space="0" w:color="auto"/>
            <w:bottom w:val="none" w:sz="0" w:space="0" w:color="auto"/>
            <w:right w:val="none" w:sz="0" w:space="0" w:color="auto"/>
          </w:divBdr>
        </w:div>
        <w:div w:id="935407176">
          <w:marLeft w:val="0"/>
          <w:marRight w:val="0"/>
          <w:marTop w:val="0"/>
          <w:marBottom w:val="0"/>
          <w:divBdr>
            <w:top w:val="none" w:sz="0" w:space="0" w:color="auto"/>
            <w:left w:val="none" w:sz="0" w:space="0" w:color="auto"/>
            <w:bottom w:val="none" w:sz="0" w:space="0" w:color="auto"/>
            <w:right w:val="none" w:sz="0" w:space="0" w:color="auto"/>
          </w:divBdr>
        </w:div>
        <w:div w:id="403600714">
          <w:marLeft w:val="0"/>
          <w:marRight w:val="0"/>
          <w:marTop w:val="0"/>
          <w:marBottom w:val="0"/>
          <w:divBdr>
            <w:top w:val="none" w:sz="0" w:space="0" w:color="auto"/>
            <w:left w:val="none" w:sz="0" w:space="0" w:color="auto"/>
            <w:bottom w:val="none" w:sz="0" w:space="0" w:color="auto"/>
            <w:right w:val="none" w:sz="0" w:space="0" w:color="auto"/>
          </w:divBdr>
        </w:div>
        <w:div w:id="905533049">
          <w:marLeft w:val="0"/>
          <w:marRight w:val="0"/>
          <w:marTop w:val="0"/>
          <w:marBottom w:val="0"/>
          <w:divBdr>
            <w:top w:val="none" w:sz="0" w:space="0" w:color="auto"/>
            <w:left w:val="none" w:sz="0" w:space="0" w:color="auto"/>
            <w:bottom w:val="none" w:sz="0" w:space="0" w:color="auto"/>
            <w:right w:val="none" w:sz="0" w:space="0" w:color="auto"/>
          </w:divBdr>
        </w:div>
      </w:divsChild>
    </w:div>
    <w:div w:id="340008886">
      <w:bodyDiv w:val="1"/>
      <w:marLeft w:val="0"/>
      <w:marRight w:val="0"/>
      <w:marTop w:val="0"/>
      <w:marBottom w:val="0"/>
      <w:divBdr>
        <w:top w:val="none" w:sz="0" w:space="0" w:color="auto"/>
        <w:left w:val="none" w:sz="0" w:space="0" w:color="auto"/>
        <w:bottom w:val="none" w:sz="0" w:space="0" w:color="auto"/>
        <w:right w:val="none" w:sz="0" w:space="0" w:color="auto"/>
      </w:divBdr>
    </w:div>
    <w:div w:id="341590908">
      <w:bodyDiv w:val="1"/>
      <w:marLeft w:val="0"/>
      <w:marRight w:val="0"/>
      <w:marTop w:val="0"/>
      <w:marBottom w:val="0"/>
      <w:divBdr>
        <w:top w:val="none" w:sz="0" w:space="0" w:color="auto"/>
        <w:left w:val="none" w:sz="0" w:space="0" w:color="auto"/>
        <w:bottom w:val="none" w:sz="0" w:space="0" w:color="auto"/>
        <w:right w:val="none" w:sz="0" w:space="0" w:color="auto"/>
      </w:divBdr>
      <w:divsChild>
        <w:div w:id="366953804">
          <w:marLeft w:val="0"/>
          <w:marRight w:val="0"/>
          <w:marTop w:val="0"/>
          <w:marBottom w:val="0"/>
          <w:divBdr>
            <w:top w:val="none" w:sz="0" w:space="0" w:color="auto"/>
            <w:left w:val="none" w:sz="0" w:space="0" w:color="auto"/>
            <w:bottom w:val="none" w:sz="0" w:space="0" w:color="auto"/>
            <w:right w:val="none" w:sz="0" w:space="0" w:color="auto"/>
          </w:divBdr>
        </w:div>
        <w:div w:id="356124260">
          <w:marLeft w:val="0"/>
          <w:marRight w:val="0"/>
          <w:marTop w:val="0"/>
          <w:marBottom w:val="0"/>
          <w:divBdr>
            <w:top w:val="none" w:sz="0" w:space="0" w:color="auto"/>
            <w:left w:val="none" w:sz="0" w:space="0" w:color="auto"/>
            <w:bottom w:val="none" w:sz="0" w:space="0" w:color="auto"/>
            <w:right w:val="none" w:sz="0" w:space="0" w:color="auto"/>
          </w:divBdr>
        </w:div>
        <w:div w:id="557520594">
          <w:marLeft w:val="0"/>
          <w:marRight w:val="0"/>
          <w:marTop w:val="0"/>
          <w:marBottom w:val="0"/>
          <w:divBdr>
            <w:top w:val="none" w:sz="0" w:space="0" w:color="auto"/>
            <w:left w:val="none" w:sz="0" w:space="0" w:color="auto"/>
            <w:bottom w:val="none" w:sz="0" w:space="0" w:color="auto"/>
            <w:right w:val="none" w:sz="0" w:space="0" w:color="auto"/>
          </w:divBdr>
        </w:div>
      </w:divsChild>
    </w:div>
    <w:div w:id="345209379">
      <w:bodyDiv w:val="1"/>
      <w:marLeft w:val="0"/>
      <w:marRight w:val="0"/>
      <w:marTop w:val="0"/>
      <w:marBottom w:val="0"/>
      <w:divBdr>
        <w:top w:val="none" w:sz="0" w:space="0" w:color="auto"/>
        <w:left w:val="none" w:sz="0" w:space="0" w:color="auto"/>
        <w:bottom w:val="none" w:sz="0" w:space="0" w:color="auto"/>
        <w:right w:val="none" w:sz="0" w:space="0" w:color="auto"/>
      </w:divBdr>
    </w:div>
    <w:div w:id="352727374">
      <w:bodyDiv w:val="1"/>
      <w:marLeft w:val="0"/>
      <w:marRight w:val="0"/>
      <w:marTop w:val="0"/>
      <w:marBottom w:val="0"/>
      <w:divBdr>
        <w:top w:val="none" w:sz="0" w:space="0" w:color="auto"/>
        <w:left w:val="none" w:sz="0" w:space="0" w:color="auto"/>
        <w:bottom w:val="none" w:sz="0" w:space="0" w:color="auto"/>
        <w:right w:val="none" w:sz="0" w:space="0" w:color="auto"/>
      </w:divBdr>
    </w:div>
    <w:div w:id="411246475">
      <w:bodyDiv w:val="1"/>
      <w:marLeft w:val="0"/>
      <w:marRight w:val="0"/>
      <w:marTop w:val="0"/>
      <w:marBottom w:val="0"/>
      <w:divBdr>
        <w:top w:val="none" w:sz="0" w:space="0" w:color="auto"/>
        <w:left w:val="none" w:sz="0" w:space="0" w:color="auto"/>
        <w:bottom w:val="none" w:sz="0" w:space="0" w:color="auto"/>
        <w:right w:val="none" w:sz="0" w:space="0" w:color="auto"/>
      </w:divBdr>
    </w:div>
    <w:div w:id="463426680">
      <w:bodyDiv w:val="1"/>
      <w:marLeft w:val="0"/>
      <w:marRight w:val="0"/>
      <w:marTop w:val="0"/>
      <w:marBottom w:val="0"/>
      <w:divBdr>
        <w:top w:val="none" w:sz="0" w:space="0" w:color="auto"/>
        <w:left w:val="none" w:sz="0" w:space="0" w:color="auto"/>
        <w:bottom w:val="none" w:sz="0" w:space="0" w:color="auto"/>
        <w:right w:val="none" w:sz="0" w:space="0" w:color="auto"/>
      </w:divBdr>
    </w:div>
    <w:div w:id="473908540">
      <w:bodyDiv w:val="1"/>
      <w:marLeft w:val="0"/>
      <w:marRight w:val="0"/>
      <w:marTop w:val="0"/>
      <w:marBottom w:val="0"/>
      <w:divBdr>
        <w:top w:val="none" w:sz="0" w:space="0" w:color="auto"/>
        <w:left w:val="none" w:sz="0" w:space="0" w:color="auto"/>
        <w:bottom w:val="none" w:sz="0" w:space="0" w:color="auto"/>
        <w:right w:val="none" w:sz="0" w:space="0" w:color="auto"/>
      </w:divBdr>
    </w:div>
    <w:div w:id="475414075">
      <w:bodyDiv w:val="1"/>
      <w:marLeft w:val="0"/>
      <w:marRight w:val="0"/>
      <w:marTop w:val="0"/>
      <w:marBottom w:val="0"/>
      <w:divBdr>
        <w:top w:val="none" w:sz="0" w:space="0" w:color="auto"/>
        <w:left w:val="none" w:sz="0" w:space="0" w:color="auto"/>
        <w:bottom w:val="none" w:sz="0" w:space="0" w:color="auto"/>
        <w:right w:val="none" w:sz="0" w:space="0" w:color="auto"/>
      </w:divBdr>
    </w:div>
    <w:div w:id="486168658">
      <w:bodyDiv w:val="1"/>
      <w:marLeft w:val="0"/>
      <w:marRight w:val="0"/>
      <w:marTop w:val="0"/>
      <w:marBottom w:val="0"/>
      <w:divBdr>
        <w:top w:val="none" w:sz="0" w:space="0" w:color="auto"/>
        <w:left w:val="none" w:sz="0" w:space="0" w:color="auto"/>
        <w:bottom w:val="none" w:sz="0" w:space="0" w:color="auto"/>
        <w:right w:val="none" w:sz="0" w:space="0" w:color="auto"/>
      </w:divBdr>
    </w:div>
    <w:div w:id="486745336">
      <w:bodyDiv w:val="1"/>
      <w:marLeft w:val="0"/>
      <w:marRight w:val="0"/>
      <w:marTop w:val="0"/>
      <w:marBottom w:val="0"/>
      <w:divBdr>
        <w:top w:val="none" w:sz="0" w:space="0" w:color="auto"/>
        <w:left w:val="none" w:sz="0" w:space="0" w:color="auto"/>
        <w:bottom w:val="none" w:sz="0" w:space="0" w:color="auto"/>
        <w:right w:val="none" w:sz="0" w:space="0" w:color="auto"/>
      </w:divBdr>
    </w:div>
    <w:div w:id="522020283">
      <w:bodyDiv w:val="1"/>
      <w:marLeft w:val="0"/>
      <w:marRight w:val="0"/>
      <w:marTop w:val="0"/>
      <w:marBottom w:val="0"/>
      <w:divBdr>
        <w:top w:val="none" w:sz="0" w:space="0" w:color="auto"/>
        <w:left w:val="none" w:sz="0" w:space="0" w:color="auto"/>
        <w:bottom w:val="none" w:sz="0" w:space="0" w:color="auto"/>
        <w:right w:val="none" w:sz="0" w:space="0" w:color="auto"/>
      </w:divBdr>
    </w:div>
    <w:div w:id="543643945">
      <w:bodyDiv w:val="1"/>
      <w:marLeft w:val="0"/>
      <w:marRight w:val="0"/>
      <w:marTop w:val="0"/>
      <w:marBottom w:val="0"/>
      <w:divBdr>
        <w:top w:val="none" w:sz="0" w:space="0" w:color="auto"/>
        <w:left w:val="none" w:sz="0" w:space="0" w:color="auto"/>
        <w:bottom w:val="none" w:sz="0" w:space="0" w:color="auto"/>
        <w:right w:val="none" w:sz="0" w:space="0" w:color="auto"/>
      </w:divBdr>
    </w:div>
    <w:div w:id="552814093">
      <w:bodyDiv w:val="1"/>
      <w:marLeft w:val="0"/>
      <w:marRight w:val="0"/>
      <w:marTop w:val="0"/>
      <w:marBottom w:val="0"/>
      <w:divBdr>
        <w:top w:val="none" w:sz="0" w:space="0" w:color="auto"/>
        <w:left w:val="none" w:sz="0" w:space="0" w:color="auto"/>
        <w:bottom w:val="none" w:sz="0" w:space="0" w:color="auto"/>
        <w:right w:val="none" w:sz="0" w:space="0" w:color="auto"/>
      </w:divBdr>
    </w:div>
    <w:div w:id="584264319">
      <w:bodyDiv w:val="1"/>
      <w:marLeft w:val="0"/>
      <w:marRight w:val="0"/>
      <w:marTop w:val="0"/>
      <w:marBottom w:val="0"/>
      <w:divBdr>
        <w:top w:val="none" w:sz="0" w:space="0" w:color="auto"/>
        <w:left w:val="none" w:sz="0" w:space="0" w:color="auto"/>
        <w:bottom w:val="none" w:sz="0" w:space="0" w:color="auto"/>
        <w:right w:val="none" w:sz="0" w:space="0" w:color="auto"/>
      </w:divBdr>
    </w:div>
    <w:div w:id="635836293">
      <w:bodyDiv w:val="1"/>
      <w:marLeft w:val="0"/>
      <w:marRight w:val="0"/>
      <w:marTop w:val="0"/>
      <w:marBottom w:val="0"/>
      <w:divBdr>
        <w:top w:val="none" w:sz="0" w:space="0" w:color="auto"/>
        <w:left w:val="none" w:sz="0" w:space="0" w:color="auto"/>
        <w:bottom w:val="none" w:sz="0" w:space="0" w:color="auto"/>
        <w:right w:val="none" w:sz="0" w:space="0" w:color="auto"/>
      </w:divBdr>
    </w:div>
    <w:div w:id="640352948">
      <w:bodyDiv w:val="1"/>
      <w:marLeft w:val="0"/>
      <w:marRight w:val="0"/>
      <w:marTop w:val="0"/>
      <w:marBottom w:val="0"/>
      <w:divBdr>
        <w:top w:val="none" w:sz="0" w:space="0" w:color="auto"/>
        <w:left w:val="none" w:sz="0" w:space="0" w:color="auto"/>
        <w:bottom w:val="none" w:sz="0" w:space="0" w:color="auto"/>
        <w:right w:val="none" w:sz="0" w:space="0" w:color="auto"/>
      </w:divBdr>
    </w:div>
    <w:div w:id="641274106">
      <w:bodyDiv w:val="1"/>
      <w:marLeft w:val="0"/>
      <w:marRight w:val="0"/>
      <w:marTop w:val="0"/>
      <w:marBottom w:val="0"/>
      <w:divBdr>
        <w:top w:val="none" w:sz="0" w:space="0" w:color="auto"/>
        <w:left w:val="none" w:sz="0" w:space="0" w:color="auto"/>
        <w:bottom w:val="none" w:sz="0" w:space="0" w:color="auto"/>
        <w:right w:val="none" w:sz="0" w:space="0" w:color="auto"/>
      </w:divBdr>
    </w:div>
    <w:div w:id="670568218">
      <w:bodyDiv w:val="1"/>
      <w:marLeft w:val="0"/>
      <w:marRight w:val="0"/>
      <w:marTop w:val="0"/>
      <w:marBottom w:val="0"/>
      <w:divBdr>
        <w:top w:val="none" w:sz="0" w:space="0" w:color="auto"/>
        <w:left w:val="none" w:sz="0" w:space="0" w:color="auto"/>
        <w:bottom w:val="none" w:sz="0" w:space="0" w:color="auto"/>
        <w:right w:val="none" w:sz="0" w:space="0" w:color="auto"/>
      </w:divBdr>
      <w:divsChild>
        <w:div w:id="85227439">
          <w:marLeft w:val="0"/>
          <w:marRight w:val="0"/>
          <w:marTop w:val="0"/>
          <w:marBottom w:val="0"/>
          <w:divBdr>
            <w:top w:val="none" w:sz="0" w:space="0" w:color="auto"/>
            <w:left w:val="none" w:sz="0" w:space="0" w:color="auto"/>
            <w:bottom w:val="none" w:sz="0" w:space="0" w:color="auto"/>
            <w:right w:val="none" w:sz="0" w:space="0" w:color="auto"/>
          </w:divBdr>
        </w:div>
        <w:div w:id="647710696">
          <w:marLeft w:val="0"/>
          <w:marRight w:val="0"/>
          <w:marTop w:val="0"/>
          <w:marBottom w:val="0"/>
          <w:divBdr>
            <w:top w:val="none" w:sz="0" w:space="0" w:color="auto"/>
            <w:left w:val="none" w:sz="0" w:space="0" w:color="auto"/>
            <w:bottom w:val="none" w:sz="0" w:space="0" w:color="auto"/>
            <w:right w:val="none" w:sz="0" w:space="0" w:color="auto"/>
          </w:divBdr>
        </w:div>
      </w:divsChild>
    </w:div>
    <w:div w:id="688877900">
      <w:bodyDiv w:val="1"/>
      <w:marLeft w:val="0"/>
      <w:marRight w:val="0"/>
      <w:marTop w:val="0"/>
      <w:marBottom w:val="0"/>
      <w:divBdr>
        <w:top w:val="none" w:sz="0" w:space="0" w:color="auto"/>
        <w:left w:val="none" w:sz="0" w:space="0" w:color="auto"/>
        <w:bottom w:val="none" w:sz="0" w:space="0" w:color="auto"/>
        <w:right w:val="none" w:sz="0" w:space="0" w:color="auto"/>
      </w:divBdr>
      <w:divsChild>
        <w:div w:id="743138670">
          <w:marLeft w:val="0"/>
          <w:marRight w:val="0"/>
          <w:marTop w:val="0"/>
          <w:marBottom w:val="0"/>
          <w:divBdr>
            <w:top w:val="none" w:sz="0" w:space="0" w:color="auto"/>
            <w:left w:val="none" w:sz="0" w:space="0" w:color="auto"/>
            <w:bottom w:val="none" w:sz="0" w:space="0" w:color="auto"/>
            <w:right w:val="none" w:sz="0" w:space="0" w:color="auto"/>
          </w:divBdr>
        </w:div>
        <w:div w:id="1322735557">
          <w:marLeft w:val="0"/>
          <w:marRight w:val="0"/>
          <w:marTop w:val="0"/>
          <w:marBottom w:val="0"/>
          <w:divBdr>
            <w:top w:val="none" w:sz="0" w:space="0" w:color="auto"/>
            <w:left w:val="none" w:sz="0" w:space="0" w:color="auto"/>
            <w:bottom w:val="none" w:sz="0" w:space="0" w:color="auto"/>
            <w:right w:val="none" w:sz="0" w:space="0" w:color="auto"/>
          </w:divBdr>
        </w:div>
        <w:div w:id="823813829">
          <w:marLeft w:val="0"/>
          <w:marRight w:val="0"/>
          <w:marTop w:val="0"/>
          <w:marBottom w:val="0"/>
          <w:divBdr>
            <w:top w:val="none" w:sz="0" w:space="0" w:color="auto"/>
            <w:left w:val="none" w:sz="0" w:space="0" w:color="auto"/>
            <w:bottom w:val="none" w:sz="0" w:space="0" w:color="auto"/>
            <w:right w:val="none" w:sz="0" w:space="0" w:color="auto"/>
          </w:divBdr>
        </w:div>
      </w:divsChild>
    </w:div>
    <w:div w:id="708844788">
      <w:bodyDiv w:val="1"/>
      <w:marLeft w:val="0"/>
      <w:marRight w:val="0"/>
      <w:marTop w:val="0"/>
      <w:marBottom w:val="0"/>
      <w:divBdr>
        <w:top w:val="none" w:sz="0" w:space="0" w:color="auto"/>
        <w:left w:val="none" w:sz="0" w:space="0" w:color="auto"/>
        <w:bottom w:val="none" w:sz="0" w:space="0" w:color="auto"/>
        <w:right w:val="none" w:sz="0" w:space="0" w:color="auto"/>
      </w:divBdr>
    </w:div>
    <w:div w:id="724719849">
      <w:bodyDiv w:val="1"/>
      <w:marLeft w:val="0"/>
      <w:marRight w:val="0"/>
      <w:marTop w:val="0"/>
      <w:marBottom w:val="0"/>
      <w:divBdr>
        <w:top w:val="none" w:sz="0" w:space="0" w:color="auto"/>
        <w:left w:val="none" w:sz="0" w:space="0" w:color="auto"/>
        <w:bottom w:val="none" w:sz="0" w:space="0" w:color="auto"/>
        <w:right w:val="none" w:sz="0" w:space="0" w:color="auto"/>
      </w:divBdr>
      <w:divsChild>
        <w:div w:id="1918588258">
          <w:marLeft w:val="0"/>
          <w:marRight w:val="0"/>
          <w:marTop w:val="0"/>
          <w:marBottom w:val="0"/>
          <w:divBdr>
            <w:top w:val="none" w:sz="0" w:space="0" w:color="auto"/>
            <w:left w:val="none" w:sz="0" w:space="0" w:color="auto"/>
            <w:bottom w:val="none" w:sz="0" w:space="0" w:color="auto"/>
            <w:right w:val="none" w:sz="0" w:space="0" w:color="auto"/>
          </w:divBdr>
        </w:div>
        <w:div w:id="787819438">
          <w:marLeft w:val="0"/>
          <w:marRight w:val="0"/>
          <w:marTop w:val="0"/>
          <w:marBottom w:val="0"/>
          <w:divBdr>
            <w:top w:val="none" w:sz="0" w:space="0" w:color="auto"/>
            <w:left w:val="none" w:sz="0" w:space="0" w:color="auto"/>
            <w:bottom w:val="none" w:sz="0" w:space="0" w:color="auto"/>
            <w:right w:val="none" w:sz="0" w:space="0" w:color="auto"/>
          </w:divBdr>
        </w:div>
        <w:div w:id="1339966543">
          <w:marLeft w:val="0"/>
          <w:marRight w:val="0"/>
          <w:marTop w:val="0"/>
          <w:marBottom w:val="0"/>
          <w:divBdr>
            <w:top w:val="none" w:sz="0" w:space="0" w:color="auto"/>
            <w:left w:val="none" w:sz="0" w:space="0" w:color="auto"/>
            <w:bottom w:val="none" w:sz="0" w:space="0" w:color="auto"/>
            <w:right w:val="none" w:sz="0" w:space="0" w:color="auto"/>
          </w:divBdr>
        </w:div>
      </w:divsChild>
    </w:div>
    <w:div w:id="739791667">
      <w:bodyDiv w:val="1"/>
      <w:marLeft w:val="0"/>
      <w:marRight w:val="0"/>
      <w:marTop w:val="0"/>
      <w:marBottom w:val="0"/>
      <w:divBdr>
        <w:top w:val="none" w:sz="0" w:space="0" w:color="auto"/>
        <w:left w:val="none" w:sz="0" w:space="0" w:color="auto"/>
        <w:bottom w:val="none" w:sz="0" w:space="0" w:color="auto"/>
        <w:right w:val="none" w:sz="0" w:space="0" w:color="auto"/>
      </w:divBdr>
    </w:div>
    <w:div w:id="751972095">
      <w:bodyDiv w:val="1"/>
      <w:marLeft w:val="0"/>
      <w:marRight w:val="0"/>
      <w:marTop w:val="0"/>
      <w:marBottom w:val="0"/>
      <w:divBdr>
        <w:top w:val="none" w:sz="0" w:space="0" w:color="auto"/>
        <w:left w:val="none" w:sz="0" w:space="0" w:color="auto"/>
        <w:bottom w:val="none" w:sz="0" w:space="0" w:color="auto"/>
        <w:right w:val="none" w:sz="0" w:space="0" w:color="auto"/>
      </w:divBdr>
    </w:div>
    <w:div w:id="757362013">
      <w:bodyDiv w:val="1"/>
      <w:marLeft w:val="0"/>
      <w:marRight w:val="0"/>
      <w:marTop w:val="0"/>
      <w:marBottom w:val="0"/>
      <w:divBdr>
        <w:top w:val="none" w:sz="0" w:space="0" w:color="auto"/>
        <w:left w:val="none" w:sz="0" w:space="0" w:color="auto"/>
        <w:bottom w:val="none" w:sz="0" w:space="0" w:color="auto"/>
        <w:right w:val="none" w:sz="0" w:space="0" w:color="auto"/>
      </w:divBdr>
    </w:div>
    <w:div w:id="796415900">
      <w:bodyDiv w:val="1"/>
      <w:marLeft w:val="0"/>
      <w:marRight w:val="0"/>
      <w:marTop w:val="0"/>
      <w:marBottom w:val="0"/>
      <w:divBdr>
        <w:top w:val="none" w:sz="0" w:space="0" w:color="auto"/>
        <w:left w:val="none" w:sz="0" w:space="0" w:color="auto"/>
        <w:bottom w:val="none" w:sz="0" w:space="0" w:color="auto"/>
        <w:right w:val="none" w:sz="0" w:space="0" w:color="auto"/>
      </w:divBdr>
    </w:div>
    <w:div w:id="827550302">
      <w:bodyDiv w:val="1"/>
      <w:marLeft w:val="0"/>
      <w:marRight w:val="0"/>
      <w:marTop w:val="0"/>
      <w:marBottom w:val="0"/>
      <w:divBdr>
        <w:top w:val="none" w:sz="0" w:space="0" w:color="auto"/>
        <w:left w:val="none" w:sz="0" w:space="0" w:color="auto"/>
        <w:bottom w:val="none" w:sz="0" w:space="0" w:color="auto"/>
        <w:right w:val="none" w:sz="0" w:space="0" w:color="auto"/>
      </w:divBdr>
    </w:div>
    <w:div w:id="855115951">
      <w:bodyDiv w:val="1"/>
      <w:marLeft w:val="0"/>
      <w:marRight w:val="0"/>
      <w:marTop w:val="0"/>
      <w:marBottom w:val="0"/>
      <w:divBdr>
        <w:top w:val="none" w:sz="0" w:space="0" w:color="auto"/>
        <w:left w:val="none" w:sz="0" w:space="0" w:color="auto"/>
        <w:bottom w:val="none" w:sz="0" w:space="0" w:color="auto"/>
        <w:right w:val="none" w:sz="0" w:space="0" w:color="auto"/>
      </w:divBdr>
    </w:div>
    <w:div w:id="865292237">
      <w:bodyDiv w:val="1"/>
      <w:marLeft w:val="0"/>
      <w:marRight w:val="0"/>
      <w:marTop w:val="0"/>
      <w:marBottom w:val="0"/>
      <w:divBdr>
        <w:top w:val="none" w:sz="0" w:space="0" w:color="auto"/>
        <w:left w:val="none" w:sz="0" w:space="0" w:color="auto"/>
        <w:bottom w:val="none" w:sz="0" w:space="0" w:color="auto"/>
        <w:right w:val="none" w:sz="0" w:space="0" w:color="auto"/>
      </w:divBdr>
    </w:div>
    <w:div w:id="877086262">
      <w:bodyDiv w:val="1"/>
      <w:marLeft w:val="0"/>
      <w:marRight w:val="0"/>
      <w:marTop w:val="0"/>
      <w:marBottom w:val="0"/>
      <w:divBdr>
        <w:top w:val="none" w:sz="0" w:space="0" w:color="auto"/>
        <w:left w:val="none" w:sz="0" w:space="0" w:color="auto"/>
        <w:bottom w:val="none" w:sz="0" w:space="0" w:color="auto"/>
        <w:right w:val="none" w:sz="0" w:space="0" w:color="auto"/>
      </w:divBdr>
    </w:div>
    <w:div w:id="880476978">
      <w:bodyDiv w:val="1"/>
      <w:marLeft w:val="0"/>
      <w:marRight w:val="0"/>
      <w:marTop w:val="0"/>
      <w:marBottom w:val="0"/>
      <w:divBdr>
        <w:top w:val="none" w:sz="0" w:space="0" w:color="auto"/>
        <w:left w:val="none" w:sz="0" w:space="0" w:color="auto"/>
        <w:bottom w:val="none" w:sz="0" w:space="0" w:color="auto"/>
        <w:right w:val="none" w:sz="0" w:space="0" w:color="auto"/>
      </w:divBdr>
    </w:div>
    <w:div w:id="889146365">
      <w:bodyDiv w:val="1"/>
      <w:marLeft w:val="0"/>
      <w:marRight w:val="0"/>
      <w:marTop w:val="0"/>
      <w:marBottom w:val="0"/>
      <w:divBdr>
        <w:top w:val="none" w:sz="0" w:space="0" w:color="auto"/>
        <w:left w:val="none" w:sz="0" w:space="0" w:color="auto"/>
        <w:bottom w:val="none" w:sz="0" w:space="0" w:color="auto"/>
        <w:right w:val="none" w:sz="0" w:space="0" w:color="auto"/>
      </w:divBdr>
    </w:div>
    <w:div w:id="907039483">
      <w:bodyDiv w:val="1"/>
      <w:marLeft w:val="0"/>
      <w:marRight w:val="0"/>
      <w:marTop w:val="0"/>
      <w:marBottom w:val="0"/>
      <w:divBdr>
        <w:top w:val="none" w:sz="0" w:space="0" w:color="auto"/>
        <w:left w:val="none" w:sz="0" w:space="0" w:color="auto"/>
        <w:bottom w:val="none" w:sz="0" w:space="0" w:color="auto"/>
        <w:right w:val="none" w:sz="0" w:space="0" w:color="auto"/>
      </w:divBdr>
    </w:div>
    <w:div w:id="927662792">
      <w:bodyDiv w:val="1"/>
      <w:marLeft w:val="0"/>
      <w:marRight w:val="0"/>
      <w:marTop w:val="0"/>
      <w:marBottom w:val="0"/>
      <w:divBdr>
        <w:top w:val="none" w:sz="0" w:space="0" w:color="auto"/>
        <w:left w:val="none" w:sz="0" w:space="0" w:color="auto"/>
        <w:bottom w:val="none" w:sz="0" w:space="0" w:color="auto"/>
        <w:right w:val="none" w:sz="0" w:space="0" w:color="auto"/>
      </w:divBdr>
    </w:div>
    <w:div w:id="962924810">
      <w:bodyDiv w:val="1"/>
      <w:marLeft w:val="0"/>
      <w:marRight w:val="0"/>
      <w:marTop w:val="0"/>
      <w:marBottom w:val="0"/>
      <w:divBdr>
        <w:top w:val="none" w:sz="0" w:space="0" w:color="auto"/>
        <w:left w:val="none" w:sz="0" w:space="0" w:color="auto"/>
        <w:bottom w:val="none" w:sz="0" w:space="0" w:color="auto"/>
        <w:right w:val="none" w:sz="0" w:space="0" w:color="auto"/>
      </w:divBdr>
    </w:div>
    <w:div w:id="985860439">
      <w:bodyDiv w:val="1"/>
      <w:marLeft w:val="0"/>
      <w:marRight w:val="0"/>
      <w:marTop w:val="0"/>
      <w:marBottom w:val="0"/>
      <w:divBdr>
        <w:top w:val="none" w:sz="0" w:space="0" w:color="auto"/>
        <w:left w:val="none" w:sz="0" w:space="0" w:color="auto"/>
        <w:bottom w:val="none" w:sz="0" w:space="0" w:color="auto"/>
        <w:right w:val="none" w:sz="0" w:space="0" w:color="auto"/>
      </w:divBdr>
    </w:div>
    <w:div w:id="1016005999">
      <w:bodyDiv w:val="1"/>
      <w:marLeft w:val="0"/>
      <w:marRight w:val="0"/>
      <w:marTop w:val="0"/>
      <w:marBottom w:val="0"/>
      <w:divBdr>
        <w:top w:val="none" w:sz="0" w:space="0" w:color="auto"/>
        <w:left w:val="none" w:sz="0" w:space="0" w:color="auto"/>
        <w:bottom w:val="none" w:sz="0" w:space="0" w:color="auto"/>
        <w:right w:val="none" w:sz="0" w:space="0" w:color="auto"/>
      </w:divBdr>
    </w:div>
    <w:div w:id="1024985646">
      <w:bodyDiv w:val="1"/>
      <w:marLeft w:val="0"/>
      <w:marRight w:val="0"/>
      <w:marTop w:val="0"/>
      <w:marBottom w:val="0"/>
      <w:divBdr>
        <w:top w:val="none" w:sz="0" w:space="0" w:color="auto"/>
        <w:left w:val="none" w:sz="0" w:space="0" w:color="auto"/>
        <w:bottom w:val="none" w:sz="0" w:space="0" w:color="auto"/>
        <w:right w:val="none" w:sz="0" w:space="0" w:color="auto"/>
      </w:divBdr>
    </w:div>
    <w:div w:id="1048992560">
      <w:bodyDiv w:val="1"/>
      <w:marLeft w:val="0"/>
      <w:marRight w:val="0"/>
      <w:marTop w:val="0"/>
      <w:marBottom w:val="0"/>
      <w:divBdr>
        <w:top w:val="none" w:sz="0" w:space="0" w:color="auto"/>
        <w:left w:val="none" w:sz="0" w:space="0" w:color="auto"/>
        <w:bottom w:val="none" w:sz="0" w:space="0" w:color="auto"/>
        <w:right w:val="none" w:sz="0" w:space="0" w:color="auto"/>
      </w:divBdr>
    </w:div>
    <w:div w:id="1084760320">
      <w:bodyDiv w:val="1"/>
      <w:marLeft w:val="0"/>
      <w:marRight w:val="0"/>
      <w:marTop w:val="0"/>
      <w:marBottom w:val="0"/>
      <w:divBdr>
        <w:top w:val="none" w:sz="0" w:space="0" w:color="auto"/>
        <w:left w:val="none" w:sz="0" w:space="0" w:color="auto"/>
        <w:bottom w:val="none" w:sz="0" w:space="0" w:color="auto"/>
        <w:right w:val="none" w:sz="0" w:space="0" w:color="auto"/>
      </w:divBdr>
    </w:div>
    <w:div w:id="1095204274">
      <w:bodyDiv w:val="1"/>
      <w:marLeft w:val="0"/>
      <w:marRight w:val="0"/>
      <w:marTop w:val="0"/>
      <w:marBottom w:val="0"/>
      <w:divBdr>
        <w:top w:val="none" w:sz="0" w:space="0" w:color="auto"/>
        <w:left w:val="none" w:sz="0" w:space="0" w:color="auto"/>
        <w:bottom w:val="none" w:sz="0" w:space="0" w:color="auto"/>
        <w:right w:val="none" w:sz="0" w:space="0" w:color="auto"/>
      </w:divBdr>
    </w:div>
    <w:div w:id="1112435971">
      <w:bodyDiv w:val="1"/>
      <w:marLeft w:val="0"/>
      <w:marRight w:val="0"/>
      <w:marTop w:val="0"/>
      <w:marBottom w:val="0"/>
      <w:divBdr>
        <w:top w:val="none" w:sz="0" w:space="0" w:color="auto"/>
        <w:left w:val="none" w:sz="0" w:space="0" w:color="auto"/>
        <w:bottom w:val="none" w:sz="0" w:space="0" w:color="auto"/>
        <w:right w:val="none" w:sz="0" w:space="0" w:color="auto"/>
      </w:divBdr>
    </w:div>
    <w:div w:id="1133056200">
      <w:bodyDiv w:val="1"/>
      <w:marLeft w:val="0"/>
      <w:marRight w:val="0"/>
      <w:marTop w:val="0"/>
      <w:marBottom w:val="0"/>
      <w:divBdr>
        <w:top w:val="none" w:sz="0" w:space="0" w:color="auto"/>
        <w:left w:val="none" w:sz="0" w:space="0" w:color="auto"/>
        <w:bottom w:val="none" w:sz="0" w:space="0" w:color="auto"/>
        <w:right w:val="none" w:sz="0" w:space="0" w:color="auto"/>
      </w:divBdr>
    </w:div>
    <w:div w:id="1141925071">
      <w:bodyDiv w:val="1"/>
      <w:marLeft w:val="0"/>
      <w:marRight w:val="0"/>
      <w:marTop w:val="0"/>
      <w:marBottom w:val="0"/>
      <w:divBdr>
        <w:top w:val="none" w:sz="0" w:space="0" w:color="auto"/>
        <w:left w:val="none" w:sz="0" w:space="0" w:color="auto"/>
        <w:bottom w:val="none" w:sz="0" w:space="0" w:color="auto"/>
        <w:right w:val="none" w:sz="0" w:space="0" w:color="auto"/>
      </w:divBdr>
    </w:div>
    <w:div w:id="1151601446">
      <w:bodyDiv w:val="1"/>
      <w:marLeft w:val="0"/>
      <w:marRight w:val="0"/>
      <w:marTop w:val="0"/>
      <w:marBottom w:val="0"/>
      <w:divBdr>
        <w:top w:val="none" w:sz="0" w:space="0" w:color="auto"/>
        <w:left w:val="none" w:sz="0" w:space="0" w:color="auto"/>
        <w:bottom w:val="none" w:sz="0" w:space="0" w:color="auto"/>
        <w:right w:val="none" w:sz="0" w:space="0" w:color="auto"/>
      </w:divBdr>
    </w:div>
    <w:div w:id="1152402866">
      <w:bodyDiv w:val="1"/>
      <w:marLeft w:val="0"/>
      <w:marRight w:val="0"/>
      <w:marTop w:val="0"/>
      <w:marBottom w:val="0"/>
      <w:divBdr>
        <w:top w:val="none" w:sz="0" w:space="0" w:color="auto"/>
        <w:left w:val="none" w:sz="0" w:space="0" w:color="auto"/>
        <w:bottom w:val="none" w:sz="0" w:space="0" w:color="auto"/>
        <w:right w:val="none" w:sz="0" w:space="0" w:color="auto"/>
      </w:divBdr>
    </w:div>
    <w:div w:id="1160736548">
      <w:bodyDiv w:val="1"/>
      <w:marLeft w:val="0"/>
      <w:marRight w:val="0"/>
      <w:marTop w:val="0"/>
      <w:marBottom w:val="0"/>
      <w:divBdr>
        <w:top w:val="none" w:sz="0" w:space="0" w:color="auto"/>
        <w:left w:val="none" w:sz="0" w:space="0" w:color="auto"/>
        <w:bottom w:val="none" w:sz="0" w:space="0" w:color="auto"/>
        <w:right w:val="none" w:sz="0" w:space="0" w:color="auto"/>
      </w:divBdr>
    </w:div>
    <w:div w:id="1162165216">
      <w:bodyDiv w:val="1"/>
      <w:marLeft w:val="0"/>
      <w:marRight w:val="0"/>
      <w:marTop w:val="0"/>
      <w:marBottom w:val="0"/>
      <w:divBdr>
        <w:top w:val="none" w:sz="0" w:space="0" w:color="auto"/>
        <w:left w:val="none" w:sz="0" w:space="0" w:color="auto"/>
        <w:bottom w:val="none" w:sz="0" w:space="0" w:color="auto"/>
        <w:right w:val="none" w:sz="0" w:space="0" w:color="auto"/>
      </w:divBdr>
    </w:div>
    <w:div w:id="1224676557">
      <w:bodyDiv w:val="1"/>
      <w:marLeft w:val="0"/>
      <w:marRight w:val="0"/>
      <w:marTop w:val="0"/>
      <w:marBottom w:val="0"/>
      <w:divBdr>
        <w:top w:val="none" w:sz="0" w:space="0" w:color="auto"/>
        <w:left w:val="none" w:sz="0" w:space="0" w:color="auto"/>
        <w:bottom w:val="none" w:sz="0" w:space="0" w:color="auto"/>
        <w:right w:val="none" w:sz="0" w:space="0" w:color="auto"/>
      </w:divBdr>
      <w:divsChild>
        <w:div w:id="252471366">
          <w:marLeft w:val="0"/>
          <w:marRight w:val="0"/>
          <w:marTop w:val="0"/>
          <w:marBottom w:val="0"/>
          <w:divBdr>
            <w:top w:val="none" w:sz="0" w:space="0" w:color="auto"/>
            <w:left w:val="none" w:sz="0" w:space="0" w:color="auto"/>
            <w:bottom w:val="none" w:sz="0" w:space="0" w:color="auto"/>
            <w:right w:val="none" w:sz="0" w:space="0" w:color="auto"/>
          </w:divBdr>
        </w:div>
        <w:div w:id="1860502793">
          <w:marLeft w:val="0"/>
          <w:marRight w:val="0"/>
          <w:marTop w:val="0"/>
          <w:marBottom w:val="0"/>
          <w:divBdr>
            <w:top w:val="none" w:sz="0" w:space="0" w:color="auto"/>
            <w:left w:val="none" w:sz="0" w:space="0" w:color="auto"/>
            <w:bottom w:val="none" w:sz="0" w:space="0" w:color="auto"/>
            <w:right w:val="none" w:sz="0" w:space="0" w:color="auto"/>
          </w:divBdr>
        </w:div>
        <w:div w:id="680203027">
          <w:marLeft w:val="0"/>
          <w:marRight w:val="0"/>
          <w:marTop w:val="0"/>
          <w:marBottom w:val="0"/>
          <w:divBdr>
            <w:top w:val="none" w:sz="0" w:space="0" w:color="auto"/>
            <w:left w:val="none" w:sz="0" w:space="0" w:color="auto"/>
            <w:bottom w:val="none" w:sz="0" w:space="0" w:color="auto"/>
            <w:right w:val="none" w:sz="0" w:space="0" w:color="auto"/>
          </w:divBdr>
        </w:div>
      </w:divsChild>
    </w:div>
    <w:div w:id="1233933077">
      <w:bodyDiv w:val="1"/>
      <w:marLeft w:val="0"/>
      <w:marRight w:val="0"/>
      <w:marTop w:val="0"/>
      <w:marBottom w:val="0"/>
      <w:divBdr>
        <w:top w:val="none" w:sz="0" w:space="0" w:color="auto"/>
        <w:left w:val="none" w:sz="0" w:space="0" w:color="auto"/>
        <w:bottom w:val="none" w:sz="0" w:space="0" w:color="auto"/>
        <w:right w:val="none" w:sz="0" w:space="0" w:color="auto"/>
      </w:divBdr>
    </w:div>
    <w:div w:id="1244686411">
      <w:bodyDiv w:val="1"/>
      <w:marLeft w:val="0"/>
      <w:marRight w:val="0"/>
      <w:marTop w:val="0"/>
      <w:marBottom w:val="0"/>
      <w:divBdr>
        <w:top w:val="none" w:sz="0" w:space="0" w:color="auto"/>
        <w:left w:val="none" w:sz="0" w:space="0" w:color="auto"/>
        <w:bottom w:val="none" w:sz="0" w:space="0" w:color="auto"/>
        <w:right w:val="none" w:sz="0" w:space="0" w:color="auto"/>
      </w:divBdr>
    </w:div>
    <w:div w:id="1278029284">
      <w:bodyDiv w:val="1"/>
      <w:marLeft w:val="0"/>
      <w:marRight w:val="0"/>
      <w:marTop w:val="0"/>
      <w:marBottom w:val="0"/>
      <w:divBdr>
        <w:top w:val="none" w:sz="0" w:space="0" w:color="auto"/>
        <w:left w:val="none" w:sz="0" w:space="0" w:color="auto"/>
        <w:bottom w:val="none" w:sz="0" w:space="0" w:color="auto"/>
        <w:right w:val="none" w:sz="0" w:space="0" w:color="auto"/>
      </w:divBdr>
    </w:div>
    <w:div w:id="1307010189">
      <w:bodyDiv w:val="1"/>
      <w:marLeft w:val="0"/>
      <w:marRight w:val="0"/>
      <w:marTop w:val="0"/>
      <w:marBottom w:val="0"/>
      <w:divBdr>
        <w:top w:val="none" w:sz="0" w:space="0" w:color="auto"/>
        <w:left w:val="none" w:sz="0" w:space="0" w:color="auto"/>
        <w:bottom w:val="none" w:sz="0" w:space="0" w:color="auto"/>
        <w:right w:val="none" w:sz="0" w:space="0" w:color="auto"/>
      </w:divBdr>
    </w:div>
    <w:div w:id="1309045357">
      <w:bodyDiv w:val="1"/>
      <w:marLeft w:val="0"/>
      <w:marRight w:val="0"/>
      <w:marTop w:val="0"/>
      <w:marBottom w:val="0"/>
      <w:divBdr>
        <w:top w:val="none" w:sz="0" w:space="0" w:color="auto"/>
        <w:left w:val="none" w:sz="0" w:space="0" w:color="auto"/>
        <w:bottom w:val="none" w:sz="0" w:space="0" w:color="auto"/>
        <w:right w:val="none" w:sz="0" w:space="0" w:color="auto"/>
      </w:divBdr>
    </w:div>
    <w:div w:id="1343165720">
      <w:bodyDiv w:val="1"/>
      <w:marLeft w:val="0"/>
      <w:marRight w:val="0"/>
      <w:marTop w:val="0"/>
      <w:marBottom w:val="0"/>
      <w:divBdr>
        <w:top w:val="none" w:sz="0" w:space="0" w:color="auto"/>
        <w:left w:val="none" w:sz="0" w:space="0" w:color="auto"/>
        <w:bottom w:val="none" w:sz="0" w:space="0" w:color="auto"/>
        <w:right w:val="none" w:sz="0" w:space="0" w:color="auto"/>
      </w:divBdr>
    </w:div>
    <w:div w:id="1349678738">
      <w:bodyDiv w:val="1"/>
      <w:marLeft w:val="0"/>
      <w:marRight w:val="0"/>
      <w:marTop w:val="0"/>
      <w:marBottom w:val="0"/>
      <w:divBdr>
        <w:top w:val="none" w:sz="0" w:space="0" w:color="auto"/>
        <w:left w:val="none" w:sz="0" w:space="0" w:color="auto"/>
        <w:bottom w:val="none" w:sz="0" w:space="0" w:color="auto"/>
        <w:right w:val="none" w:sz="0" w:space="0" w:color="auto"/>
      </w:divBdr>
    </w:div>
    <w:div w:id="1365524695">
      <w:bodyDiv w:val="1"/>
      <w:marLeft w:val="0"/>
      <w:marRight w:val="0"/>
      <w:marTop w:val="0"/>
      <w:marBottom w:val="0"/>
      <w:divBdr>
        <w:top w:val="none" w:sz="0" w:space="0" w:color="auto"/>
        <w:left w:val="none" w:sz="0" w:space="0" w:color="auto"/>
        <w:bottom w:val="none" w:sz="0" w:space="0" w:color="auto"/>
        <w:right w:val="none" w:sz="0" w:space="0" w:color="auto"/>
      </w:divBdr>
    </w:div>
    <w:div w:id="1371564610">
      <w:bodyDiv w:val="1"/>
      <w:marLeft w:val="0"/>
      <w:marRight w:val="0"/>
      <w:marTop w:val="0"/>
      <w:marBottom w:val="0"/>
      <w:divBdr>
        <w:top w:val="none" w:sz="0" w:space="0" w:color="auto"/>
        <w:left w:val="none" w:sz="0" w:space="0" w:color="auto"/>
        <w:bottom w:val="none" w:sz="0" w:space="0" w:color="auto"/>
        <w:right w:val="none" w:sz="0" w:space="0" w:color="auto"/>
      </w:divBdr>
    </w:div>
    <w:div w:id="1389761608">
      <w:bodyDiv w:val="1"/>
      <w:marLeft w:val="0"/>
      <w:marRight w:val="0"/>
      <w:marTop w:val="0"/>
      <w:marBottom w:val="0"/>
      <w:divBdr>
        <w:top w:val="none" w:sz="0" w:space="0" w:color="auto"/>
        <w:left w:val="none" w:sz="0" w:space="0" w:color="auto"/>
        <w:bottom w:val="none" w:sz="0" w:space="0" w:color="auto"/>
        <w:right w:val="none" w:sz="0" w:space="0" w:color="auto"/>
      </w:divBdr>
    </w:div>
    <w:div w:id="1408769777">
      <w:bodyDiv w:val="1"/>
      <w:marLeft w:val="0"/>
      <w:marRight w:val="0"/>
      <w:marTop w:val="0"/>
      <w:marBottom w:val="0"/>
      <w:divBdr>
        <w:top w:val="none" w:sz="0" w:space="0" w:color="auto"/>
        <w:left w:val="none" w:sz="0" w:space="0" w:color="auto"/>
        <w:bottom w:val="none" w:sz="0" w:space="0" w:color="auto"/>
        <w:right w:val="none" w:sz="0" w:space="0" w:color="auto"/>
      </w:divBdr>
    </w:div>
    <w:div w:id="1410616136">
      <w:bodyDiv w:val="1"/>
      <w:marLeft w:val="0"/>
      <w:marRight w:val="0"/>
      <w:marTop w:val="0"/>
      <w:marBottom w:val="0"/>
      <w:divBdr>
        <w:top w:val="none" w:sz="0" w:space="0" w:color="auto"/>
        <w:left w:val="none" w:sz="0" w:space="0" w:color="auto"/>
        <w:bottom w:val="none" w:sz="0" w:space="0" w:color="auto"/>
        <w:right w:val="none" w:sz="0" w:space="0" w:color="auto"/>
      </w:divBdr>
    </w:div>
    <w:div w:id="1422919964">
      <w:bodyDiv w:val="1"/>
      <w:marLeft w:val="0"/>
      <w:marRight w:val="0"/>
      <w:marTop w:val="0"/>
      <w:marBottom w:val="0"/>
      <w:divBdr>
        <w:top w:val="none" w:sz="0" w:space="0" w:color="auto"/>
        <w:left w:val="none" w:sz="0" w:space="0" w:color="auto"/>
        <w:bottom w:val="none" w:sz="0" w:space="0" w:color="auto"/>
        <w:right w:val="none" w:sz="0" w:space="0" w:color="auto"/>
      </w:divBdr>
    </w:div>
    <w:div w:id="1425032406">
      <w:bodyDiv w:val="1"/>
      <w:marLeft w:val="0"/>
      <w:marRight w:val="0"/>
      <w:marTop w:val="0"/>
      <w:marBottom w:val="0"/>
      <w:divBdr>
        <w:top w:val="none" w:sz="0" w:space="0" w:color="auto"/>
        <w:left w:val="none" w:sz="0" w:space="0" w:color="auto"/>
        <w:bottom w:val="none" w:sz="0" w:space="0" w:color="auto"/>
        <w:right w:val="none" w:sz="0" w:space="0" w:color="auto"/>
      </w:divBdr>
    </w:div>
    <w:div w:id="1463695208">
      <w:bodyDiv w:val="1"/>
      <w:marLeft w:val="0"/>
      <w:marRight w:val="0"/>
      <w:marTop w:val="0"/>
      <w:marBottom w:val="0"/>
      <w:divBdr>
        <w:top w:val="none" w:sz="0" w:space="0" w:color="auto"/>
        <w:left w:val="none" w:sz="0" w:space="0" w:color="auto"/>
        <w:bottom w:val="none" w:sz="0" w:space="0" w:color="auto"/>
        <w:right w:val="none" w:sz="0" w:space="0" w:color="auto"/>
      </w:divBdr>
    </w:div>
    <w:div w:id="1464809409">
      <w:bodyDiv w:val="1"/>
      <w:marLeft w:val="0"/>
      <w:marRight w:val="0"/>
      <w:marTop w:val="0"/>
      <w:marBottom w:val="0"/>
      <w:divBdr>
        <w:top w:val="none" w:sz="0" w:space="0" w:color="auto"/>
        <w:left w:val="none" w:sz="0" w:space="0" w:color="auto"/>
        <w:bottom w:val="none" w:sz="0" w:space="0" w:color="auto"/>
        <w:right w:val="none" w:sz="0" w:space="0" w:color="auto"/>
      </w:divBdr>
    </w:div>
    <w:div w:id="1471170500">
      <w:bodyDiv w:val="1"/>
      <w:marLeft w:val="0"/>
      <w:marRight w:val="0"/>
      <w:marTop w:val="0"/>
      <w:marBottom w:val="0"/>
      <w:divBdr>
        <w:top w:val="none" w:sz="0" w:space="0" w:color="auto"/>
        <w:left w:val="none" w:sz="0" w:space="0" w:color="auto"/>
        <w:bottom w:val="none" w:sz="0" w:space="0" w:color="auto"/>
        <w:right w:val="none" w:sz="0" w:space="0" w:color="auto"/>
      </w:divBdr>
      <w:divsChild>
        <w:div w:id="618731566">
          <w:marLeft w:val="0"/>
          <w:marRight w:val="0"/>
          <w:marTop w:val="0"/>
          <w:marBottom w:val="0"/>
          <w:divBdr>
            <w:top w:val="none" w:sz="0" w:space="0" w:color="auto"/>
            <w:left w:val="none" w:sz="0" w:space="0" w:color="auto"/>
            <w:bottom w:val="none" w:sz="0" w:space="0" w:color="auto"/>
            <w:right w:val="none" w:sz="0" w:space="0" w:color="auto"/>
          </w:divBdr>
        </w:div>
      </w:divsChild>
    </w:div>
    <w:div w:id="1476604503">
      <w:bodyDiv w:val="1"/>
      <w:marLeft w:val="0"/>
      <w:marRight w:val="0"/>
      <w:marTop w:val="0"/>
      <w:marBottom w:val="0"/>
      <w:divBdr>
        <w:top w:val="none" w:sz="0" w:space="0" w:color="auto"/>
        <w:left w:val="none" w:sz="0" w:space="0" w:color="auto"/>
        <w:bottom w:val="none" w:sz="0" w:space="0" w:color="auto"/>
        <w:right w:val="none" w:sz="0" w:space="0" w:color="auto"/>
      </w:divBdr>
    </w:div>
    <w:div w:id="1492789566">
      <w:bodyDiv w:val="1"/>
      <w:marLeft w:val="0"/>
      <w:marRight w:val="0"/>
      <w:marTop w:val="0"/>
      <w:marBottom w:val="0"/>
      <w:divBdr>
        <w:top w:val="none" w:sz="0" w:space="0" w:color="auto"/>
        <w:left w:val="none" w:sz="0" w:space="0" w:color="auto"/>
        <w:bottom w:val="none" w:sz="0" w:space="0" w:color="auto"/>
        <w:right w:val="none" w:sz="0" w:space="0" w:color="auto"/>
      </w:divBdr>
    </w:div>
    <w:div w:id="1495142239">
      <w:bodyDiv w:val="1"/>
      <w:marLeft w:val="0"/>
      <w:marRight w:val="0"/>
      <w:marTop w:val="0"/>
      <w:marBottom w:val="0"/>
      <w:divBdr>
        <w:top w:val="none" w:sz="0" w:space="0" w:color="auto"/>
        <w:left w:val="none" w:sz="0" w:space="0" w:color="auto"/>
        <w:bottom w:val="none" w:sz="0" w:space="0" w:color="auto"/>
        <w:right w:val="none" w:sz="0" w:space="0" w:color="auto"/>
      </w:divBdr>
    </w:div>
    <w:div w:id="1500267739">
      <w:bodyDiv w:val="1"/>
      <w:marLeft w:val="0"/>
      <w:marRight w:val="0"/>
      <w:marTop w:val="0"/>
      <w:marBottom w:val="0"/>
      <w:divBdr>
        <w:top w:val="none" w:sz="0" w:space="0" w:color="auto"/>
        <w:left w:val="none" w:sz="0" w:space="0" w:color="auto"/>
        <w:bottom w:val="none" w:sz="0" w:space="0" w:color="auto"/>
        <w:right w:val="none" w:sz="0" w:space="0" w:color="auto"/>
      </w:divBdr>
    </w:div>
    <w:div w:id="1507086820">
      <w:bodyDiv w:val="1"/>
      <w:marLeft w:val="0"/>
      <w:marRight w:val="0"/>
      <w:marTop w:val="0"/>
      <w:marBottom w:val="0"/>
      <w:divBdr>
        <w:top w:val="none" w:sz="0" w:space="0" w:color="auto"/>
        <w:left w:val="none" w:sz="0" w:space="0" w:color="auto"/>
        <w:bottom w:val="none" w:sz="0" w:space="0" w:color="auto"/>
        <w:right w:val="none" w:sz="0" w:space="0" w:color="auto"/>
      </w:divBdr>
    </w:div>
    <w:div w:id="1535651232">
      <w:bodyDiv w:val="1"/>
      <w:marLeft w:val="0"/>
      <w:marRight w:val="0"/>
      <w:marTop w:val="0"/>
      <w:marBottom w:val="0"/>
      <w:divBdr>
        <w:top w:val="none" w:sz="0" w:space="0" w:color="auto"/>
        <w:left w:val="none" w:sz="0" w:space="0" w:color="auto"/>
        <w:bottom w:val="none" w:sz="0" w:space="0" w:color="auto"/>
        <w:right w:val="none" w:sz="0" w:space="0" w:color="auto"/>
      </w:divBdr>
    </w:div>
    <w:div w:id="1550874330">
      <w:bodyDiv w:val="1"/>
      <w:marLeft w:val="0"/>
      <w:marRight w:val="0"/>
      <w:marTop w:val="0"/>
      <w:marBottom w:val="0"/>
      <w:divBdr>
        <w:top w:val="none" w:sz="0" w:space="0" w:color="auto"/>
        <w:left w:val="none" w:sz="0" w:space="0" w:color="auto"/>
        <w:bottom w:val="none" w:sz="0" w:space="0" w:color="auto"/>
        <w:right w:val="none" w:sz="0" w:space="0" w:color="auto"/>
      </w:divBdr>
    </w:div>
    <w:div w:id="1551650933">
      <w:bodyDiv w:val="1"/>
      <w:marLeft w:val="0"/>
      <w:marRight w:val="0"/>
      <w:marTop w:val="0"/>
      <w:marBottom w:val="0"/>
      <w:divBdr>
        <w:top w:val="none" w:sz="0" w:space="0" w:color="auto"/>
        <w:left w:val="none" w:sz="0" w:space="0" w:color="auto"/>
        <w:bottom w:val="none" w:sz="0" w:space="0" w:color="auto"/>
        <w:right w:val="none" w:sz="0" w:space="0" w:color="auto"/>
      </w:divBdr>
    </w:div>
    <w:div w:id="1559169990">
      <w:bodyDiv w:val="1"/>
      <w:marLeft w:val="0"/>
      <w:marRight w:val="0"/>
      <w:marTop w:val="0"/>
      <w:marBottom w:val="0"/>
      <w:divBdr>
        <w:top w:val="none" w:sz="0" w:space="0" w:color="auto"/>
        <w:left w:val="none" w:sz="0" w:space="0" w:color="auto"/>
        <w:bottom w:val="none" w:sz="0" w:space="0" w:color="auto"/>
        <w:right w:val="none" w:sz="0" w:space="0" w:color="auto"/>
      </w:divBdr>
    </w:div>
    <w:div w:id="1591625433">
      <w:bodyDiv w:val="1"/>
      <w:marLeft w:val="0"/>
      <w:marRight w:val="0"/>
      <w:marTop w:val="0"/>
      <w:marBottom w:val="0"/>
      <w:divBdr>
        <w:top w:val="none" w:sz="0" w:space="0" w:color="auto"/>
        <w:left w:val="none" w:sz="0" w:space="0" w:color="auto"/>
        <w:bottom w:val="none" w:sz="0" w:space="0" w:color="auto"/>
        <w:right w:val="none" w:sz="0" w:space="0" w:color="auto"/>
      </w:divBdr>
    </w:div>
    <w:div w:id="1597980479">
      <w:bodyDiv w:val="1"/>
      <w:marLeft w:val="0"/>
      <w:marRight w:val="0"/>
      <w:marTop w:val="0"/>
      <w:marBottom w:val="0"/>
      <w:divBdr>
        <w:top w:val="none" w:sz="0" w:space="0" w:color="auto"/>
        <w:left w:val="none" w:sz="0" w:space="0" w:color="auto"/>
        <w:bottom w:val="none" w:sz="0" w:space="0" w:color="auto"/>
        <w:right w:val="none" w:sz="0" w:space="0" w:color="auto"/>
      </w:divBdr>
    </w:div>
    <w:div w:id="1608779760">
      <w:bodyDiv w:val="1"/>
      <w:marLeft w:val="0"/>
      <w:marRight w:val="0"/>
      <w:marTop w:val="0"/>
      <w:marBottom w:val="0"/>
      <w:divBdr>
        <w:top w:val="none" w:sz="0" w:space="0" w:color="auto"/>
        <w:left w:val="none" w:sz="0" w:space="0" w:color="auto"/>
        <w:bottom w:val="none" w:sz="0" w:space="0" w:color="auto"/>
        <w:right w:val="none" w:sz="0" w:space="0" w:color="auto"/>
      </w:divBdr>
    </w:div>
    <w:div w:id="1627085049">
      <w:bodyDiv w:val="1"/>
      <w:marLeft w:val="0"/>
      <w:marRight w:val="0"/>
      <w:marTop w:val="0"/>
      <w:marBottom w:val="0"/>
      <w:divBdr>
        <w:top w:val="none" w:sz="0" w:space="0" w:color="auto"/>
        <w:left w:val="none" w:sz="0" w:space="0" w:color="auto"/>
        <w:bottom w:val="none" w:sz="0" w:space="0" w:color="auto"/>
        <w:right w:val="none" w:sz="0" w:space="0" w:color="auto"/>
      </w:divBdr>
    </w:div>
    <w:div w:id="1635596606">
      <w:bodyDiv w:val="1"/>
      <w:marLeft w:val="0"/>
      <w:marRight w:val="0"/>
      <w:marTop w:val="0"/>
      <w:marBottom w:val="0"/>
      <w:divBdr>
        <w:top w:val="none" w:sz="0" w:space="0" w:color="auto"/>
        <w:left w:val="none" w:sz="0" w:space="0" w:color="auto"/>
        <w:bottom w:val="none" w:sz="0" w:space="0" w:color="auto"/>
        <w:right w:val="none" w:sz="0" w:space="0" w:color="auto"/>
      </w:divBdr>
    </w:div>
    <w:div w:id="1643654344">
      <w:bodyDiv w:val="1"/>
      <w:marLeft w:val="0"/>
      <w:marRight w:val="0"/>
      <w:marTop w:val="0"/>
      <w:marBottom w:val="0"/>
      <w:divBdr>
        <w:top w:val="none" w:sz="0" w:space="0" w:color="auto"/>
        <w:left w:val="none" w:sz="0" w:space="0" w:color="auto"/>
        <w:bottom w:val="none" w:sz="0" w:space="0" w:color="auto"/>
        <w:right w:val="none" w:sz="0" w:space="0" w:color="auto"/>
      </w:divBdr>
    </w:div>
    <w:div w:id="1655446754">
      <w:bodyDiv w:val="1"/>
      <w:marLeft w:val="0"/>
      <w:marRight w:val="0"/>
      <w:marTop w:val="0"/>
      <w:marBottom w:val="0"/>
      <w:divBdr>
        <w:top w:val="none" w:sz="0" w:space="0" w:color="auto"/>
        <w:left w:val="none" w:sz="0" w:space="0" w:color="auto"/>
        <w:bottom w:val="none" w:sz="0" w:space="0" w:color="auto"/>
        <w:right w:val="none" w:sz="0" w:space="0" w:color="auto"/>
      </w:divBdr>
    </w:div>
    <w:div w:id="1682509213">
      <w:bodyDiv w:val="1"/>
      <w:marLeft w:val="0"/>
      <w:marRight w:val="0"/>
      <w:marTop w:val="0"/>
      <w:marBottom w:val="0"/>
      <w:divBdr>
        <w:top w:val="none" w:sz="0" w:space="0" w:color="auto"/>
        <w:left w:val="none" w:sz="0" w:space="0" w:color="auto"/>
        <w:bottom w:val="none" w:sz="0" w:space="0" w:color="auto"/>
        <w:right w:val="none" w:sz="0" w:space="0" w:color="auto"/>
      </w:divBdr>
      <w:divsChild>
        <w:div w:id="682122956">
          <w:marLeft w:val="0"/>
          <w:marRight w:val="0"/>
          <w:marTop w:val="0"/>
          <w:marBottom w:val="0"/>
          <w:divBdr>
            <w:top w:val="none" w:sz="0" w:space="0" w:color="auto"/>
            <w:left w:val="none" w:sz="0" w:space="0" w:color="auto"/>
            <w:bottom w:val="none" w:sz="0" w:space="0" w:color="auto"/>
            <w:right w:val="none" w:sz="0" w:space="0" w:color="auto"/>
          </w:divBdr>
        </w:div>
        <w:div w:id="1550220077">
          <w:marLeft w:val="0"/>
          <w:marRight w:val="0"/>
          <w:marTop w:val="0"/>
          <w:marBottom w:val="0"/>
          <w:divBdr>
            <w:top w:val="none" w:sz="0" w:space="0" w:color="auto"/>
            <w:left w:val="none" w:sz="0" w:space="0" w:color="auto"/>
            <w:bottom w:val="none" w:sz="0" w:space="0" w:color="auto"/>
            <w:right w:val="none" w:sz="0" w:space="0" w:color="auto"/>
          </w:divBdr>
        </w:div>
        <w:div w:id="186716773">
          <w:marLeft w:val="0"/>
          <w:marRight w:val="0"/>
          <w:marTop w:val="0"/>
          <w:marBottom w:val="0"/>
          <w:divBdr>
            <w:top w:val="none" w:sz="0" w:space="0" w:color="auto"/>
            <w:left w:val="none" w:sz="0" w:space="0" w:color="auto"/>
            <w:bottom w:val="none" w:sz="0" w:space="0" w:color="auto"/>
            <w:right w:val="none" w:sz="0" w:space="0" w:color="auto"/>
          </w:divBdr>
        </w:div>
        <w:div w:id="1191845199">
          <w:marLeft w:val="0"/>
          <w:marRight w:val="0"/>
          <w:marTop w:val="0"/>
          <w:marBottom w:val="0"/>
          <w:divBdr>
            <w:top w:val="none" w:sz="0" w:space="0" w:color="auto"/>
            <w:left w:val="none" w:sz="0" w:space="0" w:color="auto"/>
            <w:bottom w:val="none" w:sz="0" w:space="0" w:color="auto"/>
            <w:right w:val="none" w:sz="0" w:space="0" w:color="auto"/>
          </w:divBdr>
        </w:div>
      </w:divsChild>
    </w:div>
    <w:div w:id="1686790230">
      <w:bodyDiv w:val="1"/>
      <w:marLeft w:val="0"/>
      <w:marRight w:val="0"/>
      <w:marTop w:val="0"/>
      <w:marBottom w:val="0"/>
      <w:divBdr>
        <w:top w:val="none" w:sz="0" w:space="0" w:color="auto"/>
        <w:left w:val="none" w:sz="0" w:space="0" w:color="auto"/>
        <w:bottom w:val="none" w:sz="0" w:space="0" w:color="auto"/>
        <w:right w:val="none" w:sz="0" w:space="0" w:color="auto"/>
      </w:divBdr>
    </w:div>
    <w:div w:id="1687905518">
      <w:bodyDiv w:val="1"/>
      <w:marLeft w:val="0"/>
      <w:marRight w:val="0"/>
      <w:marTop w:val="0"/>
      <w:marBottom w:val="0"/>
      <w:divBdr>
        <w:top w:val="none" w:sz="0" w:space="0" w:color="auto"/>
        <w:left w:val="none" w:sz="0" w:space="0" w:color="auto"/>
        <w:bottom w:val="none" w:sz="0" w:space="0" w:color="auto"/>
        <w:right w:val="none" w:sz="0" w:space="0" w:color="auto"/>
      </w:divBdr>
    </w:div>
    <w:div w:id="1700547084">
      <w:bodyDiv w:val="1"/>
      <w:marLeft w:val="0"/>
      <w:marRight w:val="0"/>
      <w:marTop w:val="0"/>
      <w:marBottom w:val="0"/>
      <w:divBdr>
        <w:top w:val="none" w:sz="0" w:space="0" w:color="auto"/>
        <w:left w:val="none" w:sz="0" w:space="0" w:color="auto"/>
        <w:bottom w:val="none" w:sz="0" w:space="0" w:color="auto"/>
        <w:right w:val="none" w:sz="0" w:space="0" w:color="auto"/>
      </w:divBdr>
    </w:div>
    <w:div w:id="1718508768">
      <w:bodyDiv w:val="1"/>
      <w:marLeft w:val="0"/>
      <w:marRight w:val="0"/>
      <w:marTop w:val="0"/>
      <w:marBottom w:val="0"/>
      <w:divBdr>
        <w:top w:val="none" w:sz="0" w:space="0" w:color="auto"/>
        <w:left w:val="none" w:sz="0" w:space="0" w:color="auto"/>
        <w:bottom w:val="none" w:sz="0" w:space="0" w:color="auto"/>
        <w:right w:val="none" w:sz="0" w:space="0" w:color="auto"/>
      </w:divBdr>
    </w:div>
    <w:div w:id="1725979085">
      <w:bodyDiv w:val="1"/>
      <w:marLeft w:val="0"/>
      <w:marRight w:val="0"/>
      <w:marTop w:val="0"/>
      <w:marBottom w:val="0"/>
      <w:divBdr>
        <w:top w:val="none" w:sz="0" w:space="0" w:color="auto"/>
        <w:left w:val="none" w:sz="0" w:space="0" w:color="auto"/>
        <w:bottom w:val="none" w:sz="0" w:space="0" w:color="auto"/>
        <w:right w:val="none" w:sz="0" w:space="0" w:color="auto"/>
      </w:divBdr>
    </w:div>
    <w:div w:id="1755012791">
      <w:bodyDiv w:val="1"/>
      <w:marLeft w:val="0"/>
      <w:marRight w:val="0"/>
      <w:marTop w:val="0"/>
      <w:marBottom w:val="0"/>
      <w:divBdr>
        <w:top w:val="none" w:sz="0" w:space="0" w:color="auto"/>
        <w:left w:val="none" w:sz="0" w:space="0" w:color="auto"/>
        <w:bottom w:val="none" w:sz="0" w:space="0" w:color="auto"/>
        <w:right w:val="none" w:sz="0" w:space="0" w:color="auto"/>
      </w:divBdr>
    </w:div>
    <w:div w:id="1775397013">
      <w:bodyDiv w:val="1"/>
      <w:marLeft w:val="0"/>
      <w:marRight w:val="0"/>
      <w:marTop w:val="0"/>
      <w:marBottom w:val="0"/>
      <w:divBdr>
        <w:top w:val="none" w:sz="0" w:space="0" w:color="auto"/>
        <w:left w:val="none" w:sz="0" w:space="0" w:color="auto"/>
        <w:bottom w:val="none" w:sz="0" w:space="0" w:color="auto"/>
        <w:right w:val="none" w:sz="0" w:space="0" w:color="auto"/>
      </w:divBdr>
    </w:div>
    <w:div w:id="1789351464">
      <w:bodyDiv w:val="1"/>
      <w:marLeft w:val="0"/>
      <w:marRight w:val="0"/>
      <w:marTop w:val="0"/>
      <w:marBottom w:val="0"/>
      <w:divBdr>
        <w:top w:val="none" w:sz="0" w:space="0" w:color="auto"/>
        <w:left w:val="none" w:sz="0" w:space="0" w:color="auto"/>
        <w:bottom w:val="none" w:sz="0" w:space="0" w:color="auto"/>
        <w:right w:val="none" w:sz="0" w:space="0" w:color="auto"/>
      </w:divBdr>
    </w:div>
    <w:div w:id="1792213480">
      <w:bodyDiv w:val="1"/>
      <w:marLeft w:val="0"/>
      <w:marRight w:val="0"/>
      <w:marTop w:val="0"/>
      <w:marBottom w:val="0"/>
      <w:divBdr>
        <w:top w:val="none" w:sz="0" w:space="0" w:color="auto"/>
        <w:left w:val="none" w:sz="0" w:space="0" w:color="auto"/>
        <w:bottom w:val="none" w:sz="0" w:space="0" w:color="auto"/>
        <w:right w:val="none" w:sz="0" w:space="0" w:color="auto"/>
      </w:divBdr>
    </w:div>
    <w:div w:id="1845970503">
      <w:bodyDiv w:val="1"/>
      <w:marLeft w:val="0"/>
      <w:marRight w:val="0"/>
      <w:marTop w:val="0"/>
      <w:marBottom w:val="0"/>
      <w:divBdr>
        <w:top w:val="none" w:sz="0" w:space="0" w:color="auto"/>
        <w:left w:val="none" w:sz="0" w:space="0" w:color="auto"/>
        <w:bottom w:val="none" w:sz="0" w:space="0" w:color="auto"/>
        <w:right w:val="none" w:sz="0" w:space="0" w:color="auto"/>
      </w:divBdr>
    </w:div>
    <w:div w:id="1854107922">
      <w:bodyDiv w:val="1"/>
      <w:marLeft w:val="0"/>
      <w:marRight w:val="0"/>
      <w:marTop w:val="0"/>
      <w:marBottom w:val="0"/>
      <w:divBdr>
        <w:top w:val="none" w:sz="0" w:space="0" w:color="auto"/>
        <w:left w:val="none" w:sz="0" w:space="0" w:color="auto"/>
        <w:bottom w:val="none" w:sz="0" w:space="0" w:color="auto"/>
        <w:right w:val="none" w:sz="0" w:space="0" w:color="auto"/>
      </w:divBdr>
    </w:div>
    <w:div w:id="1876306026">
      <w:bodyDiv w:val="1"/>
      <w:marLeft w:val="0"/>
      <w:marRight w:val="0"/>
      <w:marTop w:val="0"/>
      <w:marBottom w:val="0"/>
      <w:divBdr>
        <w:top w:val="none" w:sz="0" w:space="0" w:color="auto"/>
        <w:left w:val="none" w:sz="0" w:space="0" w:color="auto"/>
        <w:bottom w:val="none" w:sz="0" w:space="0" w:color="auto"/>
        <w:right w:val="none" w:sz="0" w:space="0" w:color="auto"/>
      </w:divBdr>
    </w:div>
    <w:div w:id="1890070441">
      <w:bodyDiv w:val="1"/>
      <w:marLeft w:val="0"/>
      <w:marRight w:val="0"/>
      <w:marTop w:val="0"/>
      <w:marBottom w:val="0"/>
      <w:divBdr>
        <w:top w:val="none" w:sz="0" w:space="0" w:color="auto"/>
        <w:left w:val="none" w:sz="0" w:space="0" w:color="auto"/>
        <w:bottom w:val="none" w:sz="0" w:space="0" w:color="auto"/>
        <w:right w:val="none" w:sz="0" w:space="0" w:color="auto"/>
      </w:divBdr>
    </w:div>
    <w:div w:id="1894342954">
      <w:bodyDiv w:val="1"/>
      <w:marLeft w:val="0"/>
      <w:marRight w:val="0"/>
      <w:marTop w:val="0"/>
      <w:marBottom w:val="0"/>
      <w:divBdr>
        <w:top w:val="none" w:sz="0" w:space="0" w:color="auto"/>
        <w:left w:val="none" w:sz="0" w:space="0" w:color="auto"/>
        <w:bottom w:val="none" w:sz="0" w:space="0" w:color="auto"/>
        <w:right w:val="none" w:sz="0" w:space="0" w:color="auto"/>
      </w:divBdr>
    </w:div>
    <w:div w:id="1942180301">
      <w:bodyDiv w:val="1"/>
      <w:marLeft w:val="0"/>
      <w:marRight w:val="0"/>
      <w:marTop w:val="0"/>
      <w:marBottom w:val="0"/>
      <w:divBdr>
        <w:top w:val="none" w:sz="0" w:space="0" w:color="auto"/>
        <w:left w:val="none" w:sz="0" w:space="0" w:color="auto"/>
        <w:bottom w:val="none" w:sz="0" w:space="0" w:color="auto"/>
        <w:right w:val="none" w:sz="0" w:space="0" w:color="auto"/>
      </w:divBdr>
    </w:div>
    <w:div w:id="1967855271">
      <w:bodyDiv w:val="1"/>
      <w:marLeft w:val="0"/>
      <w:marRight w:val="0"/>
      <w:marTop w:val="0"/>
      <w:marBottom w:val="0"/>
      <w:divBdr>
        <w:top w:val="none" w:sz="0" w:space="0" w:color="auto"/>
        <w:left w:val="none" w:sz="0" w:space="0" w:color="auto"/>
        <w:bottom w:val="none" w:sz="0" w:space="0" w:color="auto"/>
        <w:right w:val="none" w:sz="0" w:space="0" w:color="auto"/>
      </w:divBdr>
    </w:div>
    <w:div w:id="1973051331">
      <w:bodyDiv w:val="1"/>
      <w:marLeft w:val="0"/>
      <w:marRight w:val="0"/>
      <w:marTop w:val="0"/>
      <w:marBottom w:val="0"/>
      <w:divBdr>
        <w:top w:val="none" w:sz="0" w:space="0" w:color="auto"/>
        <w:left w:val="none" w:sz="0" w:space="0" w:color="auto"/>
        <w:bottom w:val="none" w:sz="0" w:space="0" w:color="auto"/>
        <w:right w:val="none" w:sz="0" w:space="0" w:color="auto"/>
      </w:divBdr>
      <w:divsChild>
        <w:div w:id="250899446">
          <w:marLeft w:val="0"/>
          <w:marRight w:val="0"/>
          <w:marTop w:val="0"/>
          <w:marBottom w:val="0"/>
          <w:divBdr>
            <w:top w:val="none" w:sz="0" w:space="0" w:color="auto"/>
            <w:left w:val="none" w:sz="0" w:space="0" w:color="auto"/>
            <w:bottom w:val="none" w:sz="0" w:space="0" w:color="auto"/>
            <w:right w:val="none" w:sz="0" w:space="0" w:color="auto"/>
          </w:divBdr>
        </w:div>
      </w:divsChild>
    </w:div>
    <w:div w:id="1975521590">
      <w:bodyDiv w:val="1"/>
      <w:marLeft w:val="0"/>
      <w:marRight w:val="0"/>
      <w:marTop w:val="0"/>
      <w:marBottom w:val="0"/>
      <w:divBdr>
        <w:top w:val="none" w:sz="0" w:space="0" w:color="auto"/>
        <w:left w:val="none" w:sz="0" w:space="0" w:color="auto"/>
        <w:bottom w:val="none" w:sz="0" w:space="0" w:color="auto"/>
        <w:right w:val="none" w:sz="0" w:space="0" w:color="auto"/>
      </w:divBdr>
    </w:div>
    <w:div w:id="2025209927">
      <w:bodyDiv w:val="1"/>
      <w:marLeft w:val="0"/>
      <w:marRight w:val="0"/>
      <w:marTop w:val="0"/>
      <w:marBottom w:val="0"/>
      <w:divBdr>
        <w:top w:val="none" w:sz="0" w:space="0" w:color="auto"/>
        <w:left w:val="none" w:sz="0" w:space="0" w:color="auto"/>
        <w:bottom w:val="none" w:sz="0" w:space="0" w:color="auto"/>
        <w:right w:val="none" w:sz="0" w:space="0" w:color="auto"/>
      </w:divBdr>
    </w:div>
    <w:div w:id="2027126596">
      <w:bodyDiv w:val="1"/>
      <w:marLeft w:val="0"/>
      <w:marRight w:val="0"/>
      <w:marTop w:val="0"/>
      <w:marBottom w:val="0"/>
      <w:divBdr>
        <w:top w:val="none" w:sz="0" w:space="0" w:color="auto"/>
        <w:left w:val="none" w:sz="0" w:space="0" w:color="auto"/>
        <w:bottom w:val="none" w:sz="0" w:space="0" w:color="auto"/>
        <w:right w:val="none" w:sz="0" w:space="0" w:color="auto"/>
      </w:divBdr>
    </w:div>
    <w:div w:id="2044862491">
      <w:bodyDiv w:val="1"/>
      <w:marLeft w:val="0"/>
      <w:marRight w:val="0"/>
      <w:marTop w:val="0"/>
      <w:marBottom w:val="0"/>
      <w:divBdr>
        <w:top w:val="none" w:sz="0" w:space="0" w:color="auto"/>
        <w:left w:val="none" w:sz="0" w:space="0" w:color="auto"/>
        <w:bottom w:val="none" w:sz="0" w:space="0" w:color="auto"/>
        <w:right w:val="none" w:sz="0" w:space="0" w:color="auto"/>
      </w:divBdr>
    </w:div>
    <w:div w:id="2046325245">
      <w:bodyDiv w:val="1"/>
      <w:marLeft w:val="0"/>
      <w:marRight w:val="0"/>
      <w:marTop w:val="0"/>
      <w:marBottom w:val="0"/>
      <w:divBdr>
        <w:top w:val="none" w:sz="0" w:space="0" w:color="auto"/>
        <w:left w:val="none" w:sz="0" w:space="0" w:color="auto"/>
        <w:bottom w:val="none" w:sz="0" w:space="0" w:color="auto"/>
        <w:right w:val="none" w:sz="0" w:space="0" w:color="auto"/>
      </w:divBdr>
    </w:div>
    <w:div w:id="2050834494">
      <w:bodyDiv w:val="1"/>
      <w:marLeft w:val="0"/>
      <w:marRight w:val="0"/>
      <w:marTop w:val="0"/>
      <w:marBottom w:val="0"/>
      <w:divBdr>
        <w:top w:val="none" w:sz="0" w:space="0" w:color="auto"/>
        <w:left w:val="none" w:sz="0" w:space="0" w:color="auto"/>
        <w:bottom w:val="none" w:sz="0" w:space="0" w:color="auto"/>
        <w:right w:val="none" w:sz="0" w:space="0" w:color="auto"/>
      </w:divBdr>
    </w:div>
    <w:div w:id="2055427520">
      <w:bodyDiv w:val="1"/>
      <w:marLeft w:val="0"/>
      <w:marRight w:val="0"/>
      <w:marTop w:val="0"/>
      <w:marBottom w:val="0"/>
      <w:divBdr>
        <w:top w:val="none" w:sz="0" w:space="0" w:color="auto"/>
        <w:left w:val="none" w:sz="0" w:space="0" w:color="auto"/>
        <w:bottom w:val="none" w:sz="0" w:space="0" w:color="auto"/>
        <w:right w:val="none" w:sz="0" w:space="0" w:color="auto"/>
      </w:divBdr>
    </w:div>
    <w:div w:id="2060785110">
      <w:bodyDiv w:val="1"/>
      <w:marLeft w:val="0"/>
      <w:marRight w:val="0"/>
      <w:marTop w:val="0"/>
      <w:marBottom w:val="0"/>
      <w:divBdr>
        <w:top w:val="none" w:sz="0" w:space="0" w:color="auto"/>
        <w:left w:val="none" w:sz="0" w:space="0" w:color="auto"/>
        <w:bottom w:val="none" w:sz="0" w:space="0" w:color="auto"/>
        <w:right w:val="none" w:sz="0" w:space="0" w:color="auto"/>
      </w:divBdr>
    </w:div>
    <w:div w:id="2066100371">
      <w:bodyDiv w:val="1"/>
      <w:marLeft w:val="0"/>
      <w:marRight w:val="0"/>
      <w:marTop w:val="0"/>
      <w:marBottom w:val="0"/>
      <w:divBdr>
        <w:top w:val="none" w:sz="0" w:space="0" w:color="auto"/>
        <w:left w:val="none" w:sz="0" w:space="0" w:color="auto"/>
        <w:bottom w:val="none" w:sz="0" w:space="0" w:color="auto"/>
        <w:right w:val="none" w:sz="0" w:space="0" w:color="auto"/>
      </w:divBdr>
    </w:div>
    <w:div w:id="2069104769">
      <w:bodyDiv w:val="1"/>
      <w:marLeft w:val="0"/>
      <w:marRight w:val="0"/>
      <w:marTop w:val="0"/>
      <w:marBottom w:val="0"/>
      <w:divBdr>
        <w:top w:val="none" w:sz="0" w:space="0" w:color="auto"/>
        <w:left w:val="none" w:sz="0" w:space="0" w:color="auto"/>
        <w:bottom w:val="none" w:sz="0" w:space="0" w:color="auto"/>
        <w:right w:val="none" w:sz="0" w:space="0" w:color="auto"/>
      </w:divBdr>
    </w:div>
    <w:div w:id="2072076472">
      <w:bodyDiv w:val="1"/>
      <w:marLeft w:val="0"/>
      <w:marRight w:val="0"/>
      <w:marTop w:val="0"/>
      <w:marBottom w:val="0"/>
      <w:divBdr>
        <w:top w:val="none" w:sz="0" w:space="0" w:color="auto"/>
        <w:left w:val="none" w:sz="0" w:space="0" w:color="auto"/>
        <w:bottom w:val="none" w:sz="0" w:space="0" w:color="auto"/>
        <w:right w:val="none" w:sz="0" w:space="0" w:color="auto"/>
      </w:divBdr>
    </w:div>
    <w:div w:id="2078890646">
      <w:bodyDiv w:val="1"/>
      <w:marLeft w:val="0"/>
      <w:marRight w:val="0"/>
      <w:marTop w:val="0"/>
      <w:marBottom w:val="0"/>
      <w:divBdr>
        <w:top w:val="none" w:sz="0" w:space="0" w:color="auto"/>
        <w:left w:val="none" w:sz="0" w:space="0" w:color="auto"/>
        <w:bottom w:val="none" w:sz="0" w:space="0" w:color="auto"/>
        <w:right w:val="none" w:sz="0" w:space="0" w:color="auto"/>
      </w:divBdr>
    </w:div>
    <w:div w:id="2102483461">
      <w:bodyDiv w:val="1"/>
      <w:marLeft w:val="0"/>
      <w:marRight w:val="0"/>
      <w:marTop w:val="0"/>
      <w:marBottom w:val="0"/>
      <w:divBdr>
        <w:top w:val="none" w:sz="0" w:space="0" w:color="auto"/>
        <w:left w:val="none" w:sz="0" w:space="0" w:color="auto"/>
        <w:bottom w:val="none" w:sz="0" w:space="0" w:color="auto"/>
        <w:right w:val="none" w:sz="0" w:space="0" w:color="auto"/>
      </w:divBdr>
    </w:div>
    <w:div w:id="2119793409">
      <w:bodyDiv w:val="1"/>
      <w:marLeft w:val="0"/>
      <w:marRight w:val="0"/>
      <w:marTop w:val="0"/>
      <w:marBottom w:val="0"/>
      <w:divBdr>
        <w:top w:val="none" w:sz="0" w:space="0" w:color="auto"/>
        <w:left w:val="none" w:sz="0" w:space="0" w:color="auto"/>
        <w:bottom w:val="none" w:sz="0" w:space="0" w:color="auto"/>
        <w:right w:val="none" w:sz="0" w:space="0" w:color="auto"/>
      </w:divBdr>
    </w:div>
    <w:div w:id="2145585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053EC4-1D0D-4AAE-86BD-47528D5DF6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24</Pages>
  <Words>5976</Words>
  <Characters>32868</Characters>
  <Application>Microsoft Office Word</Application>
  <DocSecurity>0</DocSecurity>
  <Lines>273</Lines>
  <Paragraphs>77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38767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Eduardo Lima Estrada</dc:creator>
  <cp:lastModifiedBy>DANIEL ORDONEZ</cp:lastModifiedBy>
  <cp:revision>4</cp:revision>
  <cp:lastPrinted>2025-02-21T15:15:00Z</cp:lastPrinted>
  <dcterms:created xsi:type="dcterms:W3CDTF">2025-02-21T15:15:00Z</dcterms:created>
  <dcterms:modified xsi:type="dcterms:W3CDTF">2025-02-25T18:08:00Z</dcterms:modified>
</cp:coreProperties>
</file>