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532AA445"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2CC9">
        <w:rPr>
          <w:rFonts w:ascii="Palatino Linotype" w:eastAsia="Times New Roman" w:hAnsi="Palatino Linotype" w:cs="Arial"/>
          <w:color w:val="000000"/>
          <w:sz w:val="24"/>
          <w:szCs w:val="24"/>
          <w:lang w:eastAsia="es-MX"/>
        </w:rPr>
        <w:t xml:space="preserve">cuatro de junio de dos mil veinticinco. </w:t>
      </w:r>
      <w:r w:rsidR="006048E9">
        <w:rPr>
          <w:rFonts w:ascii="Palatino Linotype" w:eastAsia="Times New Roman" w:hAnsi="Palatino Linotype" w:cs="Arial"/>
          <w:color w:val="000000"/>
          <w:sz w:val="24"/>
          <w:szCs w:val="24"/>
          <w:lang w:eastAsia="es-MX"/>
        </w:rPr>
        <w:t xml:space="preserve"> </w:t>
      </w:r>
      <w:r w:rsidR="005C30C6">
        <w:rPr>
          <w:rFonts w:ascii="Palatino Linotype" w:eastAsia="Times New Roman" w:hAnsi="Palatino Linotype" w:cs="Arial"/>
          <w:color w:val="000000"/>
          <w:sz w:val="24"/>
          <w:szCs w:val="24"/>
          <w:lang w:eastAsia="es-MX"/>
        </w:rPr>
        <w:t xml:space="preserve"> </w:t>
      </w:r>
    </w:p>
    <w:p w14:paraId="05E37A1F" w14:textId="5F71E307" w:rsidR="00C62CC9" w:rsidRPr="00C62CC9"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7C60F6">
        <w:rPr>
          <w:rFonts w:ascii="Palatino Linotype" w:hAnsi="Palatino Linotype" w:cs="Arial"/>
          <w:b/>
          <w:bCs/>
          <w:sz w:val="24"/>
        </w:rPr>
        <w:t>0</w:t>
      </w:r>
      <w:r w:rsidR="00C62CC9">
        <w:rPr>
          <w:rFonts w:ascii="Palatino Linotype" w:hAnsi="Palatino Linotype" w:cs="Arial"/>
          <w:b/>
          <w:bCs/>
          <w:sz w:val="24"/>
        </w:rPr>
        <w:t>4885/INFOEM/IP/RR/2025</w:t>
      </w:r>
      <w:bookmarkEnd w:id="0"/>
      <w:r w:rsidR="00C62CC9">
        <w:rPr>
          <w:rFonts w:ascii="Palatino Linotype" w:hAnsi="Palatino Linotype" w:cs="Arial"/>
          <w:b/>
          <w:bCs/>
          <w:sz w:val="24"/>
        </w:rPr>
        <w:t xml:space="preserve">, </w:t>
      </w:r>
      <w:r w:rsidR="00C62CC9">
        <w:rPr>
          <w:rFonts w:ascii="Palatino Linotype" w:hAnsi="Palatino Linotype" w:cs="Arial"/>
          <w:sz w:val="24"/>
        </w:rPr>
        <w:t xml:space="preserve">interpuesto por un particular, en lo sucesivo </w:t>
      </w:r>
      <w:r w:rsidR="00C62CC9">
        <w:rPr>
          <w:rFonts w:ascii="Palatino Linotype" w:hAnsi="Palatino Linotype" w:cs="Arial"/>
          <w:b/>
          <w:bCs/>
          <w:sz w:val="24"/>
        </w:rPr>
        <w:t xml:space="preserve">El Recurrente, </w:t>
      </w:r>
      <w:r w:rsidR="00C62CC9">
        <w:rPr>
          <w:rFonts w:ascii="Palatino Linotype" w:hAnsi="Palatino Linotype" w:cs="Arial"/>
          <w:sz w:val="24"/>
        </w:rPr>
        <w:t xml:space="preserve">en contra de la respuesta del </w:t>
      </w:r>
      <w:r w:rsidR="00C62CC9">
        <w:rPr>
          <w:rFonts w:ascii="Palatino Linotype" w:hAnsi="Palatino Linotype" w:cs="Arial"/>
          <w:b/>
          <w:bCs/>
          <w:sz w:val="24"/>
        </w:rPr>
        <w:t xml:space="preserve">Ayuntamiento de Toluca, </w:t>
      </w:r>
      <w:r w:rsidR="00C62CC9">
        <w:rPr>
          <w:rFonts w:ascii="Palatino Linotype" w:hAnsi="Palatino Linotype" w:cs="Arial"/>
          <w:sz w:val="24"/>
        </w:rPr>
        <w:t xml:space="preserve">en lo subsecuente </w:t>
      </w:r>
      <w:r w:rsidR="00C62CC9">
        <w:rPr>
          <w:rFonts w:ascii="Palatino Linotype" w:hAnsi="Palatino Linotype" w:cs="Arial"/>
          <w:b/>
          <w:bCs/>
          <w:sz w:val="24"/>
        </w:rPr>
        <w:t xml:space="preserve">El Sujeto Obligado, </w:t>
      </w:r>
      <w:r w:rsidR="00C62CC9">
        <w:rPr>
          <w:rFonts w:ascii="Palatino Linotype" w:hAnsi="Palatino Linotype" w:cs="Arial"/>
          <w:sz w:val="24"/>
        </w:rPr>
        <w:t xml:space="preserve">se procede a dictar la presente resolución. </w:t>
      </w:r>
    </w:p>
    <w:p w14:paraId="1C972ACA" w14:textId="77777777" w:rsidR="00C62CC9" w:rsidRDefault="00C62CC9" w:rsidP="00B433C9">
      <w:pPr>
        <w:tabs>
          <w:tab w:val="left" w:pos="1701"/>
        </w:tabs>
        <w:spacing w:before="240" w:line="360" w:lineRule="auto"/>
        <w:jc w:val="both"/>
        <w:rPr>
          <w:rFonts w:ascii="Palatino Linotype" w:hAnsi="Palatino Linotype" w:cs="Arial"/>
          <w:b/>
          <w:bCs/>
          <w:sz w:val="24"/>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2178138" w14:textId="32E78CBD" w:rsidR="00C62CC9"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C62CC9">
        <w:rPr>
          <w:rFonts w:ascii="Palatino Linotype" w:hAnsi="Palatino Linotype" w:cs="Arial"/>
          <w:sz w:val="24"/>
        </w:rPr>
        <w:t xml:space="preserve"> </w:t>
      </w:r>
      <w:r w:rsidR="00C62CC9">
        <w:rPr>
          <w:rFonts w:ascii="Palatino Linotype" w:hAnsi="Palatino Linotype" w:cs="Arial"/>
          <w:b/>
          <w:bCs/>
          <w:sz w:val="24"/>
        </w:rPr>
        <w:t xml:space="preserve">siete de marzo de dos mil veinticinco, El Recurrente, </w:t>
      </w:r>
      <w:r w:rsidR="00C62CC9">
        <w:rPr>
          <w:rFonts w:ascii="Palatino Linotype" w:hAnsi="Palatino Linotype" w:cs="Arial"/>
          <w:sz w:val="24"/>
        </w:rPr>
        <w:t xml:space="preserve">presentó a través del Sistema de Acceso a la Información Mexiquense </w:t>
      </w:r>
      <w:r w:rsidR="00C62CC9">
        <w:rPr>
          <w:rFonts w:ascii="Palatino Linotype" w:hAnsi="Palatino Linotype" w:cs="Arial"/>
          <w:b/>
          <w:bCs/>
          <w:sz w:val="24"/>
        </w:rPr>
        <w:t xml:space="preserve">(SAIMEX) </w:t>
      </w:r>
      <w:r w:rsidR="00C62CC9">
        <w:rPr>
          <w:rFonts w:ascii="Palatino Linotype" w:hAnsi="Palatino Linotype" w:cs="Arial"/>
          <w:sz w:val="24"/>
        </w:rPr>
        <w:t xml:space="preserve">ante </w:t>
      </w:r>
      <w:r w:rsidR="00C62CC9">
        <w:rPr>
          <w:rFonts w:ascii="Palatino Linotype" w:hAnsi="Palatino Linotype" w:cs="Arial"/>
          <w:b/>
          <w:bCs/>
          <w:sz w:val="24"/>
        </w:rPr>
        <w:t xml:space="preserve">El Sujeto Obligado, </w:t>
      </w:r>
      <w:r w:rsidR="00C62CC9">
        <w:rPr>
          <w:rFonts w:ascii="Palatino Linotype" w:hAnsi="Palatino Linotype" w:cs="Arial"/>
          <w:sz w:val="24"/>
        </w:rPr>
        <w:t xml:space="preserve">solicitud de acceso a la información pública, registrada bajo el número de expediente </w:t>
      </w:r>
      <w:r w:rsidR="00C62CC9">
        <w:rPr>
          <w:rFonts w:ascii="Palatino Linotype" w:hAnsi="Palatino Linotype" w:cs="Arial"/>
          <w:b/>
          <w:bCs/>
          <w:sz w:val="24"/>
        </w:rPr>
        <w:t xml:space="preserve">01411/TOLUCA/IP/2025, </w:t>
      </w:r>
      <w:r w:rsidR="00C62CC9">
        <w:rPr>
          <w:rFonts w:ascii="Palatino Linotype" w:hAnsi="Palatino Linotype" w:cs="Arial"/>
          <w:sz w:val="24"/>
        </w:rPr>
        <w:t>mediante la cual solicitó información en el tenor siguiente:</w:t>
      </w:r>
    </w:p>
    <w:p w14:paraId="7419446B" w14:textId="57853C02" w:rsidR="00C62CC9" w:rsidRPr="00C62CC9" w:rsidRDefault="00C62CC9" w:rsidP="00C62CC9">
      <w:pPr>
        <w:pStyle w:val="Citas"/>
        <w:rPr>
          <w:b/>
          <w:bCs/>
        </w:rPr>
      </w:pPr>
      <w:r w:rsidRPr="00005FEA">
        <w:t xml:space="preserve">“Cuantos permisos se otorgaron para de Anuncios para locales comerciales en el municipio z y requiero saber </w:t>
      </w:r>
      <w:proofErr w:type="spellStart"/>
      <w:r w:rsidRPr="00005FEA">
        <w:t>cual</w:t>
      </w:r>
      <w:proofErr w:type="spellEnd"/>
      <w:r w:rsidRPr="00005FEA">
        <w:t xml:space="preserve"> es el costo por metro cuadrado, por anuncios Luminosos y cuanto se </w:t>
      </w:r>
      <w:proofErr w:type="spellStart"/>
      <w:r w:rsidRPr="00005FEA">
        <w:t>recuaod</w:t>
      </w:r>
      <w:proofErr w:type="spellEnd"/>
      <w:r w:rsidRPr="00005FEA">
        <w:t xml:space="preserve"> por este concepto de anuncios de 2022 a marzo 2025” </w:t>
      </w:r>
      <w:r w:rsidRPr="00005FEA">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43FE4C4" w14:textId="4D7B2219" w:rsidR="00B433C9" w:rsidRDefault="008B7168"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DD6DAEE" w14:textId="4E0A9F3A" w:rsidR="00C62CC9"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131D9B">
        <w:rPr>
          <w:rFonts w:ascii="Palatino Linotype" w:hAnsi="Palatino Linotype" w:cs="Arial"/>
          <w:sz w:val="24"/>
          <w:szCs w:val="24"/>
        </w:rPr>
        <w:t xml:space="preserve"> </w:t>
      </w:r>
      <w:r w:rsidR="00C62CC9">
        <w:rPr>
          <w:rFonts w:ascii="Palatino Linotype" w:hAnsi="Palatino Linotype" w:cs="Arial"/>
          <w:b/>
          <w:bCs/>
          <w:sz w:val="24"/>
          <w:szCs w:val="24"/>
        </w:rPr>
        <w:t xml:space="preserve">treinta y uno de marzo de dos mil veinticinco, El Sujeto Obligado </w:t>
      </w:r>
      <w:r w:rsidR="00C62CC9">
        <w:rPr>
          <w:rFonts w:ascii="Palatino Linotype" w:hAnsi="Palatino Linotype" w:cs="Arial"/>
          <w:sz w:val="24"/>
          <w:szCs w:val="24"/>
        </w:rPr>
        <w:t>dio respuesta a la solicitud de información en los siguientes términos:</w:t>
      </w:r>
    </w:p>
    <w:p w14:paraId="613BEC35" w14:textId="52375924" w:rsidR="00C62CC9" w:rsidRDefault="00C62CC9" w:rsidP="00C62CC9">
      <w:pPr>
        <w:pStyle w:val="Citas"/>
      </w:pPr>
      <w:r>
        <w:t>“</w:t>
      </w:r>
      <w:r w:rsidRPr="00C62CC9">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7D36572" w14:textId="1F3273E4" w:rsidR="00C62CC9" w:rsidRPr="00C62CC9" w:rsidRDefault="00C62CC9" w:rsidP="00C62CC9">
      <w:pPr>
        <w:pStyle w:val="Citas"/>
        <w:rPr>
          <w:b/>
          <w:bCs/>
        </w:rPr>
      </w:pPr>
      <w:r w:rsidRPr="00C62CC9">
        <w:t>En atención a la solicitud con folio 01411/TOLUCA/IP/2025, me permito adjuntar al presente la respuesta correspondiente de la Dirección General de Desarrollo Económico, Sin más por el momento, reciba un saludo</w:t>
      </w:r>
      <w:r>
        <w:t xml:space="preserve">” </w:t>
      </w:r>
      <w:r>
        <w:rPr>
          <w:b/>
          <w:bCs/>
        </w:rPr>
        <w:t>(Sic)</w:t>
      </w:r>
    </w:p>
    <w:p w14:paraId="7DD24DC2" w14:textId="66E2FA26" w:rsidR="00C62CC9" w:rsidRPr="00C62CC9" w:rsidRDefault="00A354C4" w:rsidP="00A354C4">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adjuntó</w:t>
      </w:r>
      <w:r w:rsidR="007C60F6">
        <w:rPr>
          <w:i w:val="0"/>
          <w:iCs/>
          <w:sz w:val="24"/>
          <w:szCs w:val="24"/>
        </w:rPr>
        <w:t xml:space="preserve"> </w:t>
      </w:r>
      <w:r w:rsidR="00C62CC9">
        <w:rPr>
          <w:i w:val="0"/>
          <w:iCs/>
          <w:sz w:val="24"/>
          <w:szCs w:val="24"/>
        </w:rPr>
        <w:t xml:space="preserve">el documento electrónico </w:t>
      </w:r>
      <w:r w:rsidR="00C62CC9">
        <w:rPr>
          <w:b/>
          <w:bCs/>
          <w:i w:val="0"/>
          <w:iCs/>
          <w:sz w:val="24"/>
          <w:szCs w:val="24"/>
        </w:rPr>
        <w:t xml:space="preserve">“RESP. SAIMEX 1411.pdf”, </w:t>
      </w:r>
      <w:r w:rsidR="00C62CC9">
        <w:rPr>
          <w:i w:val="0"/>
          <w:iCs/>
          <w:sz w:val="24"/>
          <w:szCs w:val="24"/>
        </w:rPr>
        <w:t xml:space="preserve">cuyo contenido será materia de análisis en el considerando respectivo. </w:t>
      </w:r>
    </w:p>
    <w:p w14:paraId="168803DC" w14:textId="77777777" w:rsidR="00C62CC9" w:rsidRDefault="00C62CC9" w:rsidP="00B433C9">
      <w:pPr>
        <w:spacing w:before="240" w:line="360" w:lineRule="auto"/>
        <w:jc w:val="both"/>
        <w:rPr>
          <w:rFonts w:ascii="Palatino Linotype" w:hAnsi="Palatino Linotype" w:cs="Arial"/>
          <w:b/>
          <w:sz w:val="28"/>
        </w:rPr>
      </w:pPr>
    </w:p>
    <w:p w14:paraId="087D134D" w14:textId="2CA379E5"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093EEA8" w14:textId="1773DBCF" w:rsidR="007C60F6" w:rsidRPr="007C60F6" w:rsidRDefault="00B433C9" w:rsidP="00131D9B">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6048E9">
        <w:rPr>
          <w:rFonts w:ascii="Palatino Linotype" w:hAnsi="Palatino Linotype" w:cs="Arial"/>
          <w:sz w:val="24"/>
          <w:szCs w:val="24"/>
        </w:rPr>
        <w:t xml:space="preserve"> </w:t>
      </w:r>
      <w:r w:rsidR="00C62CC9">
        <w:rPr>
          <w:rFonts w:ascii="Palatino Linotype" w:hAnsi="Palatino Linotype" w:cs="Arial"/>
          <w:b/>
          <w:bCs/>
          <w:sz w:val="24"/>
          <w:szCs w:val="24"/>
        </w:rPr>
        <w:t xml:space="preserve">veintiocho de abril de dos mil veinticinco, </w:t>
      </w:r>
      <w:r w:rsidR="007C60F6">
        <w:rPr>
          <w:rFonts w:ascii="Palatino Linotype" w:hAnsi="Palatino Linotype" w:cs="Arial"/>
          <w:sz w:val="24"/>
          <w:szCs w:val="24"/>
        </w:rPr>
        <w:t xml:space="preserve">el cual fue registrado en el sistema electrónico con el número de expediente </w:t>
      </w:r>
      <w:r w:rsidR="00C62CC9">
        <w:rPr>
          <w:rFonts w:ascii="Palatino Linotype" w:hAnsi="Palatino Linotype" w:cs="Arial"/>
          <w:b/>
          <w:bCs/>
          <w:sz w:val="24"/>
          <w:szCs w:val="24"/>
        </w:rPr>
        <w:t>04885</w:t>
      </w:r>
      <w:r w:rsidR="007C60F6">
        <w:rPr>
          <w:rFonts w:ascii="Palatino Linotype" w:hAnsi="Palatino Linotype" w:cs="Arial"/>
          <w:b/>
          <w:bCs/>
          <w:sz w:val="24"/>
          <w:szCs w:val="24"/>
        </w:rPr>
        <w:t xml:space="preserve">/INFOEM/IP/RR/2025, </w:t>
      </w:r>
      <w:r w:rsidR="007C60F6">
        <w:rPr>
          <w:rFonts w:ascii="Palatino Linotype" w:hAnsi="Palatino Linotype" w:cs="Arial"/>
          <w:sz w:val="24"/>
          <w:szCs w:val="24"/>
        </w:rPr>
        <w:t xml:space="preserve">en el cual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ED0C8FA" w14:textId="74BF05B4" w:rsidR="00B433C9" w:rsidRPr="00712E3A" w:rsidRDefault="00B433C9" w:rsidP="008B7168">
      <w:pPr>
        <w:pStyle w:val="Citas"/>
        <w:rPr>
          <w:b/>
        </w:rPr>
      </w:pPr>
      <w:r w:rsidRPr="00B32223">
        <w:t>“</w:t>
      </w:r>
      <w:proofErr w:type="spellStart"/>
      <w:r w:rsidR="00C62CC9" w:rsidRPr="00C62CC9">
        <w:t>lA</w:t>
      </w:r>
      <w:proofErr w:type="spellEnd"/>
      <w:r w:rsidR="00C62CC9" w:rsidRPr="00C62CC9">
        <w:t xml:space="preserve"> RESPEUSTA NEGATIVA</w:t>
      </w:r>
      <w:r w:rsidR="00B76471" w:rsidRPr="00B32223">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1C3F6F4C" w:rsidR="00B433C9" w:rsidRPr="00712E3A" w:rsidRDefault="00B433C9" w:rsidP="00B76471">
      <w:pPr>
        <w:pStyle w:val="Citas"/>
      </w:pPr>
      <w:r w:rsidRPr="00B32223">
        <w:t>“</w:t>
      </w:r>
      <w:r w:rsidR="00C62CC9" w:rsidRPr="00C62CC9">
        <w:t>SE SOLICITA LA EXPRESIÓN DOCEUMNTAL Y SOLO ME DAN UN NUMERO NO SATISFACE LA ENTREGA DE LA INFORMACIÓN</w:t>
      </w:r>
      <w:r w:rsidR="00B76471" w:rsidRPr="00B32223">
        <w:t>"</w:t>
      </w:r>
      <w:r w:rsidRPr="00A354C4">
        <w:t xml:space="preserve"> </w:t>
      </w:r>
      <w:r w:rsidR="00B76471">
        <w:rPr>
          <w:b/>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54E300EB"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C62CC9">
        <w:rPr>
          <w:rFonts w:ascii="Palatino Linotype" w:hAnsi="Palatino Linotype" w:cs="Arial"/>
          <w:sz w:val="24"/>
          <w:szCs w:val="24"/>
        </w:rPr>
        <w:t xml:space="preserve"> </w:t>
      </w:r>
      <w:r w:rsidR="00C62CC9">
        <w:rPr>
          <w:rFonts w:ascii="Palatino Linotype" w:hAnsi="Palatino Linotype" w:cs="Arial"/>
          <w:b/>
          <w:bCs/>
          <w:sz w:val="24"/>
          <w:szCs w:val="24"/>
        </w:rPr>
        <w:t xml:space="preserve">seis de mayo de dos mil veinticinco, </w:t>
      </w:r>
      <w:r w:rsidR="005D48DC" w:rsidRPr="005D48DC">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5D0C821D" w14:textId="14FC3705" w:rsidR="00C62CC9" w:rsidRPr="00960AC9" w:rsidRDefault="00712E3A" w:rsidP="00712E3A">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960AC9">
        <w:rPr>
          <w:rFonts w:ascii="Palatino Linotype" w:hAnsi="Palatino Linotype" w:cs="Arial"/>
          <w:b/>
          <w:bCs/>
          <w:sz w:val="24"/>
          <w:szCs w:val="24"/>
        </w:rPr>
        <w:t xml:space="preserve">quince de mayo, </w:t>
      </w:r>
      <w:r w:rsidR="00960AC9">
        <w:rPr>
          <w:rFonts w:ascii="Palatino Linotype" w:hAnsi="Palatino Linotype" w:cs="Arial"/>
          <w:sz w:val="24"/>
          <w:szCs w:val="24"/>
        </w:rPr>
        <w:t xml:space="preserve">mismo que fue puesto a la vista el </w:t>
      </w:r>
      <w:r w:rsidR="00960AC9">
        <w:rPr>
          <w:rFonts w:ascii="Palatino Linotype" w:hAnsi="Palatino Linotype" w:cs="Arial"/>
          <w:b/>
          <w:bCs/>
          <w:sz w:val="24"/>
          <w:szCs w:val="24"/>
        </w:rPr>
        <w:t xml:space="preserve">veinte de mayo, ambos de dos mil veinticinco. </w:t>
      </w:r>
    </w:p>
    <w:p w14:paraId="47E5A149" w14:textId="77777777" w:rsidR="00C62CC9" w:rsidRDefault="00C62CC9" w:rsidP="00712E3A">
      <w:pPr>
        <w:spacing w:before="240" w:line="360" w:lineRule="auto"/>
        <w:jc w:val="both"/>
        <w:rPr>
          <w:rFonts w:ascii="Palatino Linotype" w:hAnsi="Palatino Linotype" w:cs="Arial"/>
          <w:sz w:val="24"/>
          <w:szCs w:val="24"/>
        </w:rPr>
      </w:pPr>
    </w:p>
    <w:p w14:paraId="755ECF62" w14:textId="4A58A62B" w:rsidR="00FC16E9" w:rsidRDefault="002929E8"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Por lo cual se decretó el cierre de instrucción con fecha</w:t>
      </w:r>
      <w:r w:rsidR="008B7168">
        <w:rPr>
          <w:rFonts w:ascii="Palatino Linotype" w:hAnsi="Palatino Linotype" w:cs="Arial"/>
          <w:sz w:val="24"/>
          <w:szCs w:val="24"/>
        </w:rPr>
        <w:t xml:space="preserve"> </w:t>
      </w:r>
      <w:r w:rsidR="00960AC9">
        <w:rPr>
          <w:rFonts w:ascii="Palatino Linotype" w:hAnsi="Palatino Linotype" w:cs="Arial"/>
          <w:b/>
          <w:bCs/>
          <w:sz w:val="24"/>
          <w:szCs w:val="24"/>
        </w:rPr>
        <w:t xml:space="preserve">veintisiete de mayo de los corrientes, </w:t>
      </w:r>
      <w:r w:rsidR="005D48DC" w:rsidRPr="005D48DC">
        <w:rPr>
          <w:rFonts w:ascii="Palatino Linotype" w:hAnsi="Palatino Linotype" w:cs="Arial"/>
          <w:sz w:val="24"/>
          <w:szCs w:val="24"/>
        </w:rPr>
        <w:t>e</w:t>
      </w:r>
      <w:r w:rsidR="0071487C">
        <w:rPr>
          <w:rFonts w:ascii="Palatino Linotype" w:hAnsi="Palatino Linotype" w:cs="Arial"/>
          <w:sz w:val="24"/>
          <w:szCs w:val="24"/>
        </w:rPr>
        <w:t xml:space="preserv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B3DF256" w14:textId="77777777" w:rsidR="00F02A7E" w:rsidRDefault="00F02A7E" w:rsidP="007345EA">
      <w:pPr>
        <w:spacing w:before="240" w:line="360" w:lineRule="auto"/>
        <w:jc w:val="center"/>
        <w:rPr>
          <w:rFonts w:ascii="Palatino Linotype" w:hAnsi="Palatino Linotype" w:cs="Arial"/>
          <w:b/>
          <w:sz w:val="24"/>
        </w:rPr>
      </w:pPr>
    </w:p>
    <w:p w14:paraId="154CA85F" w14:textId="778F9B18"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A7F88D9" w14:textId="77777777" w:rsidR="000D14E9" w:rsidRDefault="000D14E9" w:rsidP="000D14E9">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w:t>
      </w:r>
      <w:r w:rsidRPr="005E4999">
        <w:rPr>
          <w:rFonts w:ascii="Palatino Linotype" w:hAnsi="Palatino Linotype"/>
          <w:sz w:val="24"/>
          <w:szCs w:val="24"/>
        </w:rPr>
        <w:t>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BA18792" w14:textId="77777777" w:rsidR="00960AC9" w:rsidRDefault="00960AC9" w:rsidP="000D14E9">
      <w:pPr>
        <w:spacing w:line="360" w:lineRule="auto"/>
        <w:jc w:val="both"/>
        <w:rPr>
          <w:rFonts w:ascii="Palatino Linotype" w:hAnsi="Palatino Linotype"/>
          <w:sz w:val="24"/>
          <w:szCs w:val="24"/>
        </w:rPr>
      </w:pPr>
    </w:p>
    <w:p w14:paraId="4BFBC208"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44F7FEF"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8EBA1D4"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p>
    <w:p w14:paraId="11CCBF33" w14:textId="77777777" w:rsidR="005627C1" w:rsidRPr="00161CEB" w:rsidRDefault="00CD0993" w:rsidP="005627C1">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005627C1" w:rsidRPr="00161CEB">
        <w:rPr>
          <w:rFonts w:ascii="Palatino Linotype" w:hAnsi="Palatino Linotype" w:cs="Arial"/>
          <w:b/>
          <w:sz w:val="28"/>
        </w:rPr>
        <w:t>Cuestiones de previo y especial pronunciamiento</w:t>
      </w:r>
      <w:r w:rsidR="005627C1" w:rsidRPr="00161CEB">
        <w:rPr>
          <w:rFonts w:ascii="Palatino Linotype" w:hAnsi="Palatino Linotype" w:cs="Arial"/>
          <w:b/>
        </w:rPr>
        <w:t>.</w:t>
      </w:r>
    </w:p>
    <w:p w14:paraId="72BD8F4F" w14:textId="76CFCE55" w:rsidR="00CD0993" w:rsidRPr="00AF17B1" w:rsidRDefault="00CD0993" w:rsidP="005627C1">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6D2FC94D"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5D4A75B3"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0C922F12"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246D40"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380146F"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9C942E"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18ED88D9"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 Las razones o motivos de inconformidad;</w:t>
      </w:r>
    </w:p>
    <w:p w14:paraId="6BA7A207"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FFE566"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2C104177"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6AC29AE" w14:textId="77777777" w:rsidR="00CD0993" w:rsidRPr="00AF17B1" w:rsidRDefault="00CD0993" w:rsidP="00CD099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15C7BB93" w14:textId="77777777" w:rsidR="00CD0993" w:rsidRPr="00AF17B1" w:rsidRDefault="00CD0993" w:rsidP="00CD0993">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2A73B532" w14:textId="77777777" w:rsidR="00CD0993" w:rsidRPr="00AF17B1" w:rsidRDefault="00CD0993" w:rsidP="00CD0993">
      <w:pPr>
        <w:spacing w:after="0" w:line="360" w:lineRule="auto"/>
        <w:jc w:val="both"/>
        <w:rPr>
          <w:rFonts w:ascii="Palatino Linotype" w:eastAsia="Times New Roman" w:hAnsi="Palatino Linotype" w:cs="Arial"/>
          <w:b/>
          <w:i/>
          <w:sz w:val="24"/>
          <w:szCs w:val="24"/>
          <w:lang w:eastAsia="es-ES"/>
        </w:rPr>
      </w:pPr>
    </w:p>
    <w:p w14:paraId="33FAFAE2" w14:textId="77777777" w:rsidR="00CD0993" w:rsidRPr="00AF17B1" w:rsidRDefault="00CD0993" w:rsidP="00CD0993">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778106" w14:textId="77777777" w:rsidR="00CD0993" w:rsidRPr="00AF17B1" w:rsidRDefault="00CD0993" w:rsidP="00CD0993">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099DA39E" w14:textId="77777777" w:rsidR="00CD0993" w:rsidRPr="00AF17B1" w:rsidRDefault="00CD0993" w:rsidP="00CD0993">
      <w:pPr>
        <w:spacing w:before="240" w:line="360" w:lineRule="auto"/>
        <w:ind w:left="851" w:right="851"/>
        <w:jc w:val="both"/>
        <w:rPr>
          <w:rFonts w:ascii="Palatino Linotype" w:hAnsi="Palatino Linotype" w:cs="Arial"/>
          <w:b/>
          <w:i/>
          <w:lang w:eastAsia="es-ES"/>
        </w:rPr>
      </w:pPr>
    </w:p>
    <w:p w14:paraId="7F9A8F1B" w14:textId="77777777" w:rsidR="00CD0993" w:rsidRPr="00AF17B1" w:rsidRDefault="00CD0993" w:rsidP="00CD0993">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6770ED2D" w14:textId="77777777" w:rsidR="00CD0993" w:rsidRPr="00AF17B1"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7247C69D"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9B6B1F"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369684A"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DD2CB88"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AD6E26A"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0B8FDAF"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3E9021B" w14:textId="77777777" w:rsidR="00CD0993" w:rsidRPr="00AF17B1" w:rsidRDefault="00CD0993" w:rsidP="00CD0993">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7D02B659" w14:textId="77777777" w:rsidR="00CD0993" w:rsidRPr="00AF17B1" w:rsidRDefault="00CD0993" w:rsidP="00CD0993">
      <w:pPr>
        <w:spacing w:before="240" w:line="360" w:lineRule="auto"/>
        <w:ind w:left="851" w:right="851"/>
        <w:jc w:val="both"/>
        <w:rPr>
          <w:rFonts w:ascii="Palatino Linotype" w:eastAsia="Times New Roman" w:hAnsi="Palatino Linotype" w:cs="Times New Roman"/>
          <w:b/>
          <w:i/>
          <w:lang w:eastAsia="es-ES"/>
        </w:rPr>
      </w:pPr>
    </w:p>
    <w:p w14:paraId="6C1A6DCA" w14:textId="77777777" w:rsidR="00CD0993" w:rsidRPr="00AF17B1"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4CF2C928"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1BD73B"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C1CA1C9"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177946E"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738615D3"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A0045FF"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w:t>
      </w:r>
      <w:r w:rsidRPr="00AF17B1">
        <w:rPr>
          <w:rFonts w:ascii="Palatino Linotype" w:eastAsia="Times New Roman" w:hAnsi="Palatino Linotype" w:cs="Times New Roman"/>
          <w:i/>
          <w:lang w:eastAsia="es-ES"/>
        </w:rPr>
        <w:lastRenderedPageBreak/>
        <w:t>autónomos, transparentarán sus acciones, en términos de las disposiciones aplicables, la información será oportuna, clara, veraz y de fácil acceso. Este derecho se regirá por los principios y bases siguientes:</w:t>
      </w:r>
    </w:p>
    <w:p w14:paraId="778A3BB3"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D2129CE"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C4D8D57"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63423B6" w14:textId="77777777" w:rsidR="00CD0993" w:rsidRPr="00AF17B1" w:rsidRDefault="00CD0993" w:rsidP="00CD099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94AE68B" w14:textId="77777777" w:rsidR="00CD0993" w:rsidRPr="00AF17B1" w:rsidRDefault="00CD0993" w:rsidP="00CD0993">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52C7B0E3" w14:textId="77777777" w:rsidR="00D43677" w:rsidRDefault="00D43677" w:rsidP="00CD0993">
      <w:pPr>
        <w:spacing w:after="0" w:line="360" w:lineRule="auto"/>
        <w:jc w:val="both"/>
        <w:rPr>
          <w:rFonts w:ascii="Palatino Linotype" w:eastAsia="Times New Roman" w:hAnsi="Palatino Linotype" w:cs="Times New Roman"/>
          <w:sz w:val="24"/>
          <w:szCs w:val="24"/>
          <w:lang w:eastAsia="es-ES"/>
        </w:rPr>
      </w:pPr>
    </w:p>
    <w:p w14:paraId="454B3D7F" w14:textId="778C0C7B" w:rsidR="00CD0993" w:rsidRPr="00AF17B1" w:rsidRDefault="00CD0993" w:rsidP="00CD0993">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83008F" w14:textId="77777777" w:rsidR="00CD0993" w:rsidRPr="00AF17B1" w:rsidRDefault="00CD0993" w:rsidP="00CD0993">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xml:space="preserve">. En los Estados Unidos Mexicanos todas las personas gozarán de los derechos humanos reconocidos en esta Constitución y en los tratados internacionales </w:t>
      </w:r>
      <w:r w:rsidRPr="00AF17B1">
        <w:rPr>
          <w:rFonts w:ascii="Palatino Linotype" w:hAnsi="Palatino Linotype" w:cs="Times New Roman"/>
          <w:i/>
          <w:lang w:eastAsia="es-ES"/>
        </w:rPr>
        <w:lastRenderedPageBreak/>
        <w:t>de los que el Estado Mexicano sea parte, así como de las garantías para su protección, cuyo ejercicio no podrá restringirse ni suspenderse, salvo en los casos y bajo las condiciones que esta Constitución establece.</w:t>
      </w:r>
    </w:p>
    <w:p w14:paraId="26B95C78" w14:textId="77777777" w:rsidR="00CD0993" w:rsidRPr="00AF17B1" w:rsidRDefault="00CD0993" w:rsidP="00CD0993">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01D3E70" w14:textId="77777777" w:rsidR="00CD0993" w:rsidRPr="00AF17B1" w:rsidRDefault="00CD0993" w:rsidP="00CD0993">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2FE1FB7" w14:textId="77777777" w:rsidR="00F02A7E" w:rsidRDefault="00F02A7E" w:rsidP="00CD0993">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6CF1162B" w14:textId="7286A894" w:rsidR="00CD0993" w:rsidRDefault="00CD0993" w:rsidP="00CD0993">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77EC5466" w14:textId="77777777" w:rsidR="00CD0993" w:rsidRDefault="00CD0993" w:rsidP="00CD0993">
      <w:pPr>
        <w:tabs>
          <w:tab w:val="left" w:pos="709"/>
        </w:tabs>
        <w:spacing w:before="240" w:line="360" w:lineRule="auto"/>
        <w:ind w:right="51"/>
        <w:jc w:val="both"/>
        <w:rPr>
          <w:rFonts w:ascii="Palatino Linotype" w:hAnsi="Palatino Linotype"/>
          <w:b/>
          <w:sz w:val="28"/>
          <w:szCs w:val="28"/>
        </w:rPr>
      </w:pPr>
    </w:p>
    <w:p w14:paraId="2892B462" w14:textId="060A68DF" w:rsidR="006C3A6A" w:rsidRPr="006C3A6A" w:rsidRDefault="006C3A6A" w:rsidP="006C3A6A">
      <w:pPr>
        <w:tabs>
          <w:tab w:val="left" w:pos="709"/>
        </w:tabs>
        <w:spacing w:before="240" w:line="360" w:lineRule="auto"/>
        <w:ind w:right="51"/>
        <w:jc w:val="both"/>
        <w:rPr>
          <w:rFonts w:ascii="Palatino Linotype" w:hAnsi="Palatino Linotype"/>
          <w:b/>
          <w:sz w:val="28"/>
          <w:szCs w:val="28"/>
        </w:rPr>
      </w:pPr>
      <w:r w:rsidRPr="006C3A6A">
        <w:rPr>
          <w:rFonts w:ascii="Palatino Linotype" w:hAnsi="Palatino Linotype"/>
          <w:b/>
          <w:sz w:val="28"/>
          <w:szCs w:val="28"/>
        </w:rPr>
        <w:lastRenderedPageBreak/>
        <w:t xml:space="preserve">CUARTO. </w:t>
      </w:r>
      <w:r w:rsidRPr="006C3A6A">
        <w:rPr>
          <w:rFonts w:ascii="Palatino Linotype" w:hAnsi="Palatino Linotype" w:cs="Arial"/>
          <w:b/>
          <w:sz w:val="28"/>
          <w:szCs w:val="28"/>
        </w:rPr>
        <w:t>Del estudio de las causas de improcedencia y sobreseimiento</w:t>
      </w:r>
    </w:p>
    <w:p w14:paraId="1F1EDAF0" w14:textId="77777777" w:rsidR="006C3A6A" w:rsidRPr="006C3A6A" w:rsidRDefault="006C3A6A" w:rsidP="006C3A6A">
      <w:pPr>
        <w:pStyle w:val="Prrafodelista"/>
        <w:autoSpaceDE w:val="0"/>
        <w:autoSpaceDN w:val="0"/>
        <w:adjustRightInd w:val="0"/>
        <w:spacing w:line="360" w:lineRule="auto"/>
        <w:ind w:left="0"/>
        <w:jc w:val="both"/>
        <w:rPr>
          <w:rFonts w:ascii="Palatino Linotype" w:hAnsi="Palatino Linotype" w:cs="Arial"/>
        </w:rPr>
      </w:pPr>
      <w:r w:rsidRPr="006C3A6A">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6C3A6A">
        <w:rPr>
          <w:rFonts w:ascii="Palatino Linotype" w:hAnsi="Palatino Linotype" w:cs="Arial"/>
        </w:rPr>
        <w:t>procedibilidad</w:t>
      </w:r>
      <w:proofErr w:type="spellEnd"/>
      <w:r w:rsidRPr="006C3A6A">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DC1D9AA" w14:textId="77777777" w:rsidR="006C3A6A" w:rsidRPr="006C3A6A" w:rsidRDefault="006C3A6A" w:rsidP="006C3A6A">
      <w:pPr>
        <w:pStyle w:val="Prrafodelista"/>
        <w:autoSpaceDE w:val="0"/>
        <w:autoSpaceDN w:val="0"/>
        <w:adjustRightInd w:val="0"/>
        <w:spacing w:line="360" w:lineRule="auto"/>
        <w:ind w:left="0"/>
        <w:jc w:val="both"/>
        <w:rPr>
          <w:rFonts w:ascii="Palatino Linotype" w:hAnsi="Palatino Linotype" w:cs="Arial"/>
        </w:rPr>
      </w:pPr>
    </w:p>
    <w:p w14:paraId="10C83C9B" w14:textId="77777777" w:rsidR="006C3A6A" w:rsidRPr="006C3A6A" w:rsidRDefault="006C3A6A" w:rsidP="006C3A6A">
      <w:pPr>
        <w:pStyle w:val="Prrafodelista"/>
        <w:autoSpaceDE w:val="0"/>
        <w:autoSpaceDN w:val="0"/>
        <w:adjustRightInd w:val="0"/>
        <w:spacing w:line="360" w:lineRule="auto"/>
        <w:ind w:left="0"/>
        <w:jc w:val="both"/>
        <w:rPr>
          <w:rFonts w:ascii="Palatino Linotype" w:hAnsi="Palatino Linotype" w:cs="Arial"/>
        </w:rPr>
      </w:pPr>
      <w:r w:rsidRPr="006C3A6A">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6C3A6A">
        <w:rPr>
          <w:rFonts w:ascii="Palatino Linotype" w:hAnsi="Palatino Linotype" w:cs="Arial"/>
        </w:rPr>
        <w:t>Resolutor</w:t>
      </w:r>
      <w:proofErr w:type="spellEnd"/>
      <w:r w:rsidRPr="006C3A6A">
        <w:rPr>
          <w:rFonts w:ascii="Palatino Linotype" w:hAnsi="Palatino Linotype" w:cs="Arial"/>
        </w:rPr>
        <w:t>;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C3A6A">
        <w:rPr>
          <w:rStyle w:val="Refdenotaalpie"/>
          <w:rFonts w:ascii="Palatino Linotype" w:hAnsi="Palatino Linotype" w:cs="Arial"/>
        </w:rPr>
        <w:footnoteReference w:id="1"/>
      </w:r>
      <w:r w:rsidRPr="006C3A6A">
        <w:rPr>
          <w:rFonts w:ascii="Palatino Linotype" w:hAnsi="Palatino Linotype" w:cs="Arial"/>
        </w:rPr>
        <w:t>.</w:t>
      </w:r>
    </w:p>
    <w:p w14:paraId="6CC9C4DF"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cs="Arial"/>
          <w:sz w:val="24"/>
          <w:szCs w:val="24"/>
        </w:rPr>
        <w:lastRenderedPageBreak/>
        <w:t xml:space="preserve">En primer término es necesario hacer alusión a la solicitud de información ya que de ella deriva por un lado el procedimiento de acceso a la información ante </w:t>
      </w:r>
      <w:r w:rsidRPr="006C3A6A">
        <w:rPr>
          <w:rFonts w:ascii="Palatino Linotype" w:hAnsi="Palatino Linotype" w:cs="Arial"/>
          <w:b/>
          <w:sz w:val="24"/>
          <w:szCs w:val="24"/>
        </w:rPr>
        <w:t>El Sujeto Obligado</w:t>
      </w:r>
      <w:r w:rsidRPr="006C3A6A">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392928E" w14:textId="77777777" w:rsid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cs="Arial"/>
          <w:sz w:val="24"/>
          <w:szCs w:val="24"/>
        </w:rPr>
        <w:t>Ya que el planteamiento del problema es de toral importancia, a efecto de determinar la intención o voluntad del</w:t>
      </w:r>
      <w:r w:rsidRPr="006C3A6A">
        <w:rPr>
          <w:rFonts w:ascii="Palatino Linotype" w:hAnsi="Palatino Linotype" w:cs="Arial"/>
          <w:b/>
          <w:sz w:val="24"/>
          <w:szCs w:val="24"/>
        </w:rPr>
        <w:t xml:space="preserve"> Recurrente</w:t>
      </w:r>
      <w:r w:rsidRPr="006C3A6A">
        <w:rPr>
          <w:rFonts w:ascii="Palatino Linotype" w:hAnsi="Palatino Linotype" w:cs="Arial"/>
          <w:sz w:val="24"/>
          <w:szCs w:val="24"/>
        </w:rPr>
        <w:t xml:space="preserve"> a la luz de la interpretación de la solicitud de información, y que puede generar de forma objetiva y material </w:t>
      </w:r>
      <w:r w:rsidRPr="006C3A6A">
        <w:rPr>
          <w:rFonts w:ascii="Palatino Linotype" w:hAnsi="Palatino Linotype" w:cs="Arial"/>
          <w:b/>
          <w:sz w:val="24"/>
          <w:szCs w:val="24"/>
        </w:rPr>
        <w:t>El Sujeto Obligado</w:t>
      </w:r>
      <w:r w:rsidRPr="006C3A6A">
        <w:rPr>
          <w:rFonts w:ascii="Palatino Linotype" w:hAnsi="Palatino Linotype" w:cs="Arial"/>
          <w:sz w:val="24"/>
          <w:szCs w:val="24"/>
        </w:rPr>
        <w:t xml:space="preserve"> que se relacione con esa intención, respecto del presente asunto se realiza a continuación.</w:t>
      </w:r>
    </w:p>
    <w:p w14:paraId="11E8B8D4" w14:textId="26464465" w:rsidR="007345EA" w:rsidRDefault="00CD0993" w:rsidP="00CD0993">
      <w:pPr>
        <w:spacing w:before="240" w:line="360" w:lineRule="auto"/>
        <w:jc w:val="both"/>
        <w:rPr>
          <w:rFonts w:ascii="Palatino Linotype" w:hAnsi="Palatino Linotype" w:cs="Arial"/>
          <w:sz w:val="24"/>
          <w:szCs w:val="24"/>
        </w:rPr>
      </w:pPr>
      <w:r w:rsidRPr="002A0B69">
        <w:rPr>
          <w:rFonts w:ascii="Palatino Linotype" w:hAnsi="Palatino Linotype" w:cs="Arial"/>
          <w:sz w:val="24"/>
          <w:szCs w:val="24"/>
        </w:rPr>
        <w:t xml:space="preserve">En una aproximación inicial, con relación a la solicitud de información </w:t>
      </w:r>
      <w:r w:rsidR="00960AC9">
        <w:rPr>
          <w:rFonts w:ascii="Palatino Linotype" w:hAnsi="Palatino Linotype" w:cs="Arial"/>
          <w:b/>
          <w:bCs/>
          <w:sz w:val="24"/>
          <w:szCs w:val="24"/>
        </w:rPr>
        <w:t>01411</w:t>
      </w:r>
      <w:r w:rsidR="00D43677" w:rsidRPr="002A0B69">
        <w:rPr>
          <w:rFonts w:ascii="Palatino Linotype" w:hAnsi="Palatino Linotype" w:cs="Arial"/>
          <w:b/>
          <w:bCs/>
          <w:sz w:val="24"/>
          <w:szCs w:val="24"/>
        </w:rPr>
        <w:t>/TOLUCA/IP/2025</w:t>
      </w:r>
      <w:r w:rsidRPr="002A0B69">
        <w:rPr>
          <w:rFonts w:ascii="Palatino Linotype" w:hAnsi="Palatino Linotype" w:cs="Arial"/>
          <w:b/>
          <w:bCs/>
          <w:sz w:val="24"/>
          <w:szCs w:val="24"/>
        </w:rPr>
        <w:t xml:space="preserve"> </w:t>
      </w:r>
      <w:r w:rsidRPr="002A0B69">
        <w:rPr>
          <w:rFonts w:ascii="Palatino Linotype" w:hAnsi="Palatino Linotype" w:cs="Arial"/>
          <w:sz w:val="24"/>
          <w:szCs w:val="24"/>
        </w:rPr>
        <w:t xml:space="preserve">se </w:t>
      </w:r>
      <w:r w:rsidR="002A0B69">
        <w:rPr>
          <w:rFonts w:ascii="Palatino Linotype" w:hAnsi="Palatino Linotype" w:cs="Arial"/>
          <w:sz w:val="24"/>
          <w:szCs w:val="24"/>
        </w:rPr>
        <w:t>desprenden las siguientes consideraciones:</w:t>
      </w:r>
    </w:p>
    <w:p w14:paraId="368565D4" w14:textId="76906F10" w:rsidR="002A0B69" w:rsidRPr="00527374" w:rsidRDefault="002A0B69">
      <w:pPr>
        <w:pStyle w:val="Prrafodelista"/>
        <w:numPr>
          <w:ilvl w:val="0"/>
          <w:numId w:val="5"/>
        </w:numPr>
        <w:spacing w:before="240" w:line="360" w:lineRule="auto"/>
        <w:jc w:val="both"/>
        <w:rPr>
          <w:rFonts w:ascii="Palatino Linotype" w:hAnsi="Palatino Linotype" w:cs="Arial"/>
        </w:rPr>
      </w:pPr>
      <w:r w:rsidRPr="004C0F85">
        <w:rPr>
          <w:rFonts w:ascii="Palatino Linotype" w:hAnsi="Palatino Linotype" w:cs="Arial"/>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15B9DDEB" w14:textId="77777777" w:rsidR="00527374" w:rsidRPr="002A0B69" w:rsidRDefault="00527374" w:rsidP="00527374">
      <w:pPr>
        <w:pStyle w:val="Prrafodelista"/>
        <w:spacing w:before="240" w:line="360" w:lineRule="auto"/>
        <w:ind w:left="720"/>
        <w:jc w:val="both"/>
        <w:rPr>
          <w:rFonts w:ascii="Palatino Linotype" w:hAnsi="Palatino Linotype" w:cs="Arial"/>
        </w:rPr>
      </w:pPr>
    </w:p>
    <w:p w14:paraId="363DB380" w14:textId="2A708346" w:rsidR="00960AC9" w:rsidRDefault="00960AC9">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particular fijo como elemento temporal </w:t>
      </w:r>
      <w:r>
        <w:rPr>
          <w:rFonts w:ascii="Palatino Linotype" w:hAnsi="Palatino Linotype" w:cs="Arial"/>
          <w:i/>
          <w:iCs/>
        </w:rPr>
        <w:t>“de 2022 a marzo 2025”</w:t>
      </w:r>
      <w:r>
        <w:rPr>
          <w:rFonts w:ascii="Palatino Linotype" w:hAnsi="Palatino Linotype" w:cs="Arial"/>
        </w:rPr>
        <w:t xml:space="preserve">, es decir, resulta de su interés la información relativa al periodo comprendido del uno de enero de dos mil veintidós al treinta y uno de marzo de dos mil veinticinco. </w:t>
      </w:r>
    </w:p>
    <w:p w14:paraId="58F304AB" w14:textId="77777777" w:rsidR="00960AC9" w:rsidRPr="00AF17B1" w:rsidRDefault="00960AC9" w:rsidP="00960AC9">
      <w:pPr>
        <w:pStyle w:val="Prrafodelista"/>
        <w:spacing w:before="240" w:line="360" w:lineRule="auto"/>
        <w:ind w:left="720"/>
        <w:jc w:val="both"/>
        <w:rPr>
          <w:rFonts w:ascii="Palatino Linotype" w:hAnsi="Palatino Linotype"/>
          <w:lang w:val="es-MX"/>
        </w:rPr>
      </w:pPr>
      <w:r>
        <w:rPr>
          <w:rFonts w:ascii="Palatino Linotype" w:hAnsi="Palatino Linotype" w:cs="Arial"/>
        </w:rPr>
        <w:t xml:space="preserve">Bajo este contexto, se destaca que el </w:t>
      </w:r>
      <w:r w:rsidRPr="00AF17B1">
        <w:rPr>
          <w:rFonts w:ascii="Palatino Linotype" w:hAnsi="Palatino Linotype"/>
          <w:lang w:val="es-MX"/>
        </w:rPr>
        <w:t xml:space="preserve">derecho de acceso a la información estriba respecto de aquellos soportes documentales generados, poseídos o administrados por </w:t>
      </w:r>
      <w:r w:rsidRPr="00AF17B1">
        <w:rPr>
          <w:rFonts w:ascii="Palatino Linotype" w:hAnsi="Palatino Linotype"/>
          <w:b/>
          <w:bCs/>
          <w:lang w:val="es-MX"/>
        </w:rPr>
        <w:t xml:space="preserve">El Sujeto Obligado </w:t>
      </w:r>
      <w:r w:rsidRPr="00AF17B1">
        <w:rPr>
          <w:rFonts w:ascii="Palatino Linotype" w:hAnsi="Palatino Linotype"/>
          <w:lang w:val="es-MX"/>
        </w:rPr>
        <w:t>que se encuentren disponibles al momento de ejercer dicha prerrogativa, es decir, excluye los siguientes actos:</w:t>
      </w:r>
    </w:p>
    <w:p w14:paraId="7E070722" w14:textId="77777777" w:rsidR="00960AC9" w:rsidRPr="00AF17B1" w:rsidRDefault="00960AC9" w:rsidP="00960AC9">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inminentes: </w:t>
      </w:r>
      <w:r w:rsidRPr="00AF17B1">
        <w:rPr>
          <w:rFonts w:ascii="Palatino Linotype" w:hAnsi="Palatino Linotype"/>
          <w:lang w:val="es-MX"/>
        </w:rPr>
        <w:t xml:space="preserve">Son aquellos cuyo mandamiento ya se ha dictado y su ejecución puede realizarse de un momento a otro. </w:t>
      </w:r>
    </w:p>
    <w:p w14:paraId="6EA99C95" w14:textId="77777777" w:rsidR="00960AC9" w:rsidRPr="00AF17B1" w:rsidRDefault="00960AC9" w:rsidP="00960AC9">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probables: </w:t>
      </w:r>
      <w:r w:rsidRPr="00AF17B1">
        <w:rPr>
          <w:rFonts w:ascii="Palatino Linotype" w:hAnsi="Palatino Linotype"/>
          <w:lang w:val="es-MX"/>
        </w:rPr>
        <w:t xml:space="preserve">Son aquellos que pueden o no suceder, es decir, son de remota realización. </w:t>
      </w:r>
    </w:p>
    <w:p w14:paraId="7BE8FC6E" w14:textId="77777777" w:rsidR="00960AC9" w:rsidRDefault="00960AC9" w:rsidP="00960AC9">
      <w:pPr>
        <w:pStyle w:val="Prrafodelista"/>
        <w:autoSpaceDE w:val="0"/>
        <w:autoSpaceDN w:val="0"/>
        <w:adjustRightInd w:val="0"/>
        <w:spacing w:line="360" w:lineRule="auto"/>
        <w:ind w:left="720"/>
        <w:jc w:val="both"/>
        <w:rPr>
          <w:rFonts w:ascii="Palatino Linotype" w:hAnsi="Palatino Linotype" w:cs="Arial"/>
          <w:lang w:val="es-MX"/>
        </w:rPr>
      </w:pPr>
    </w:p>
    <w:p w14:paraId="6EAA6A48" w14:textId="575985D1" w:rsidR="00960AC9" w:rsidRDefault="00960AC9" w:rsidP="00960AC9">
      <w:pPr>
        <w:pStyle w:val="Prrafodelista"/>
        <w:autoSpaceDE w:val="0"/>
        <w:autoSpaceDN w:val="0"/>
        <w:adjustRightInd w:val="0"/>
        <w:spacing w:line="360" w:lineRule="auto"/>
        <w:ind w:left="720"/>
        <w:jc w:val="both"/>
        <w:rPr>
          <w:rFonts w:ascii="Palatino Linotype" w:hAnsi="Palatino Linotype" w:cs="Arial"/>
          <w:lang w:val="es-MX"/>
        </w:rPr>
      </w:pPr>
      <w:r>
        <w:rPr>
          <w:rFonts w:ascii="Palatino Linotype" w:hAnsi="Palatino Linotype" w:cs="Arial"/>
          <w:lang w:val="es-MX"/>
        </w:rPr>
        <w:t xml:space="preserve">En este sentido, con relación a la solicitud de información </w:t>
      </w:r>
      <w:r>
        <w:rPr>
          <w:rFonts w:ascii="Palatino Linotype" w:hAnsi="Palatino Linotype" w:cs="Arial"/>
          <w:b/>
          <w:bCs/>
          <w:lang w:val="es-MX"/>
        </w:rPr>
        <w:t xml:space="preserve">01411/TOLUCA/IP/2025, </w:t>
      </w:r>
      <w:r>
        <w:rPr>
          <w:rFonts w:ascii="Palatino Linotype" w:hAnsi="Palatino Linotype" w:cs="Arial"/>
          <w:lang w:val="es-MX"/>
        </w:rPr>
        <w:t xml:space="preserve">al tomar en consideración que el derecho de acceso a la información fue ejercicio el siete de marzo de dos mil veinticinco, resulta inconcuso que fue requerido un hecho futuro. Luego entonces, la temporalidad </w:t>
      </w:r>
      <w:r w:rsidR="00BC7797">
        <w:rPr>
          <w:rFonts w:ascii="Palatino Linotype" w:hAnsi="Palatino Linotype" w:cs="Arial"/>
          <w:lang w:val="es-MX"/>
        </w:rPr>
        <w:t xml:space="preserve">para los puntos </w:t>
      </w:r>
      <w:r w:rsidR="00BC7797">
        <w:rPr>
          <w:rFonts w:ascii="Palatino Linotype" w:hAnsi="Palatino Linotype" w:cs="Arial"/>
          <w:b/>
          <w:bCs/>
          <w:lang w:val="es-MX"/>
        </w:rPr>
        <w:t xml:space="preserve">1 y 3 </w:t>
      </w:r>
      <w:r>
        <w:rPr>
          <w:rFonts w:ascii="Palatino Linotype" w:hAnsi="Palatino Linotype" w:cs="Arial"/>
          <w:lang w:val="es-MX"/>
        </w:rPr>
        <w:t xml:space="preserve">debe de cubrir del uno de enero de dos mil veintidós al </w:t>
      </w:r>
      <w:r>
        <w:rPr>
          <w:rFonts w:ascii="Palatino Linotype" w:hAnsi="Palatino Linotype" w:cs="Arial"/>
          <w:lang w:val="es-MX"/>
        </w:rPr>
        <w:lastRenderedPageBreak/>
        <w:t xml:space="preserve">siete de marzo de dos mil veinticinco. </w:t>
      </w:r>
      <w:r w:rsidR="00BC7797">
        <w:rPr>
          <w:rFonts w:ascii="Palatino Linotype" w:hAnsi="Palatino Linotype" w:cs="Arial"/>
          <w:lang w:val="es-MX"/>
        </w:rPr>
        <w:t xml:space="preserve">Por cuanto hace al punto </w:t>
      </w:r>
      <w:r w:rsidR="00BC7797">
        <w:rPr>
          <w:rFonts w:ascii="Palatino Linotype" w:hAnsi="Palatino Linotype" w:cs="Arial"/>
          <w:b/>
          <w:bCs/>
          <w:lang w:val="es-MX"/>
        </w:rPr>
        <w:t xml:space="preserve">2, </w:t>
      </w:r>
      <w:r w:rsidR="00BC7797">
        <w:rPr>
          <w:rFonts w:ascii="Palatino Linotype" w:hAnsi="Palatino Linotype" w:cs="Arial"/>
          <w:lang w:val="es-MX"/>
        </w:rPr>
        <w:t xml:space="preserve">su temporalidad se debe de fijar a la fecha en que se ejerció el derecho de acceso a la información pública. </w:t>
      </w:r>
    </w:p>
    <w:p w14:paraId="42ADCF7B" w14:textId="77777777" w:rsidR="00960AC9" w:rsidRDefault="00960AC9" w:rsidP="00960AC9">
      <w:pPr>
        <w:pStyle w:val="Prrafodelista"/>
        <w:autoSpaceDE w:val="0"/>
        <w:autoSpaceDN w:val="0"/>
        <w:adjustRightInd w:val="0"/>
        <w:spacing w:line="360" w:lineRule="auto"/>
        <w:ind w:left="720"/>
        <w:jc w:val="both"/>
        <w:rPr>
          <w:rFonts w:ascii="Palatino Linotype" w:hAnsi="Palatino Linotype" w:cs="Arial"/>
          <w:lang w:val="es-MX"/>
        </w:rPr>
      </w:pPr>
    </w:p>
    <w:p w14:paraId="1E00F822" w14:textId="6B3BF21F" w:rsidR="002A0B69" w:rsidRPr="002A0B69" w:rsidRDefault="006C3A6A">
      <w:pPr>
        <w:pStyle w:val="Prrafodelista"/>
        <w:numPr>
          <w:ilvl w:val="0"/>
          <w:numId w:val="1"/>
        </w:numPr>
        <w:autoSpaceDE w:val="0"/>
        <w:autoSpaceDN w:val="0"/>
        <w:adjustRightInd w:val="0"/>
        <w:spacing w:before="240" w:line="360" w:lineRule="auto"/>
        <w:jc w:val="both"/>
        <w:rPr>
          <w:rFonts w:ascii="Palatino Linotype" w:hAnsi="Palatino Linotype"/>
        </w:rPr>
      </w:pPr>
      <w:r w:rsidRPr="002A0B69">
        <w:rPr>
          <w:rFonts w:ascii="Palatino Linotype" w:hAnsi="Palatino Linotype" w:cs="Arial"/>
        </w:rPr>
        <w:t>Que,</w:t>
      </w:r>
      <w:r w:rsidR="002A0B69" w:rsidRPr="002A0B69">
        <w:rPr>
          <w:rFonts w:ascii="Palatino Linotype" w:hAnsi="Palatino Linotype" w:cs="Arial"/>
        </w:rPr>
        <w:t xml:space="preserve"> con relación </w:t>
      </w:r>
      <w:r w:rsidR="00960AC9">
        <w:rPr>
          <w:rFonts w:ascii="Palatino Linotype" w:hAnsi="Palatino Linotype" w:cs="Arial"/>
        </w:rPr>
        <w:t>a los requerimientos formulados,</w:t>
      </w:r>
      <w:r w:rsidR="002A0B69" w:rsidRPr="002A0B69">
        <w:rPr>
          <w:rFonts w:ascii="Palatino Linotype" w:hAnsi="Palatino Linotype" w:cs="Arial"/>
          <w:b/>
          <w:bCs/>
        </w:rPr>
        <w:t xml:space="preserve"> </w:t>
      </w:r>
      <w:r w:rsidR="002A0B69" w:rsidRPr="002A0B69">
        <w:rPr>
          <w:rFonts w:ascii="Palatino Linotype" w:hAnsi="Palatino Linotype" w:cs="Arial"/>
        </w:rPr>
        <w:t xml:space="preserve">resulta óbice señalar que </w:t>
      </w:r>
      <w:bookmarkStart w:id="1" w:name="_Hlk197949795"/>
      <w:r w:rsidR="002A0B69" w:rsidRPr="002A0B69">
        <w:rPr>
          <w:rFonts w:ascii="Palatino Linotype" w:hAnsi="Palatino Linotype" w:cs="Arial"/>
        </w:rPr>
        <w:t xml:space="preserve">cuando los particulares no identifican de forma precisa el documento requerido, bastará con que </w:t>
      </w:r>
      <w:r w:rsidR="002A0B69" w:rsidRPr="002A0B69">
        <w:rPr>
          <w:rFonts w:ascii="Palatino Linotype" w:hAnsi="Palatino Linotype"/>
        </w:rPr>
        <w:t xml:space="preserve">se remita cualquiera que refleje la información requerida. Al respecto, cobra relevancia el criterio orientador emitido por el entonces Órgano Garante Nacional con número </w:t>
      </w:r>
      <w:r w:rsidR="002A0B69" w:rsidRPr="002A0B69">
        <w:rPr>
          <w:rFonts w:ascii="Palatino Linotype" w:hAnsi="Palatino Linotype"/>
          <w:b/>
          <w:bCs/>
        </w:rPr>
        <w:t xml:space="preserve">16/17 </w:t>
      </w:r>
      <w:r w:rsidR="002A0B69" w:rsidRPr="002A0B69">
        <w:rPr>
          <w:rFonts w:ascii="Palatino Linotype" w:hAnsi="Palatino Linotype"/>
        </w:rPr>
        <w:t>cuyo rubro y texto disponen a la literalidad lo siguiente:</w:t>
      </w:r>
    </w:p>
    <w:p w14:paraId="4C9519DD" w14:textId="77777777" w:rsidR="002A0B69" w:rsidRPr="00AB5B4A" w:rsidRDefault="002A0B69" w:rsidP="002A0B69">
      <w:pPr>
        <w:pStyle w:val="Citas"/>
        <w:jc w:val="center"/>
        <w:rPr>
          <w:b/>
          <w:bCs/>
          <w:sz w:val="24"/>
          <w:szCs w:val="24"/>
        </w:rPr>
      </w:pPr>
      <w:bookmarkStart w:id="2" w:name="_Hlk199241899"/>
      <w:bookmarkEnd w:id="1"/>
      <w:r w:rsidRPr="00AB5B4A">
        <w:rPr>
          <w:b/>
          <w:bCs/>
          <w:sz w:val="24"/>
          <w:szCs w:val="24"/>
        </w:rPr>
        <w:t>“EXPRESIÓN DOCUMENTAL.</w:t>
      </w:r>
    </w:p>
    <w:p w14:paraId="0F0E05DC" w14:textId="77777777" w:rsidR="002A0B69" w:rsidRPr="00AB5B4A" w:rsidRDefault="002A0B69" w:rsidP="002A0B6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bookmarkEnd w:id="2"/>
    <w:p w14:paraId="280382D8" w14:textId="77777777" w:rsidR="002A0B69" w:rsidRPr="00AB5B4A" w:rsidRDefault="002A0B69" w:rsidP="002A0B69">
      <w:pPr>
        <w:pStyle w:val="Citas"/>
        <w:rPr>
          <w:b/>
        </w:rPr>
      </w:pPr>
      <w:r w:rsidRPr="00AB5B4A">
        <w:rPr>
          <w:b/>
        </w:rPr>
        <w:t>Precedentes:</w:t>
      </w:r>
    </w:p>
    <w:p w14:paraId="29BF5B9B" w14:textId="77777777" w:rsidR="002A0B69" w:rsidRPr="00AB5B4A" w:rsidRDefault="002A0B69">
      <w:pPr>
        <w:pStyle w:val="Citas"/>
        <w:numPr>
          <w:ilvl w:val="0"/>
          <w:numId w:val="2"/>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2D2A198F" w14:textId="77777777" w:rsidR="002A0B69" w:rsidRPr="00AB5B4A" w:rsidRDefault="002A0B69">
      <w:pPr>
        <w:pStyle w:val="Citas"/>
        <w:numPr>
          <w:ilvl w:val="0"/>
          <w:numId w:val="2"/>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3234B08" w14:textId="77777777" w:rsidR="002A0B69" w:rsidRPr="00AB5B4A" w:rsidRDefault="002A0B69">
      <w:pPr>
        <w:pStyle w:val="Citas"/>
        <w:numPr>
          <w:ilvl w:val="0"/>
          <w:numId w:val="2"/>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2F72B50" w14:textId="77777777" w:rsidR="00D127F6" w:rsidRDefault="00D127F6" w:rsidP="002A0B69">
      <w:pPr>
        <w:spacing w:before="240" w:line="360" w:lineRule="auto"/>
        <w:jc w:val="both"/>
        <w:rPr>
          <w:rFonts w:ascii="Palatino Linotype" w:hAnsi="Palatino Linotype"/>
          <w:sz w:val="24"/>
          <w:szCs w:val="24"/>
        </w:rPr>
      </w:pPr>
    </w:p>
    <w:p w14:paraId="016F51B9" w14:textId="524B6F3C" w:rsidR="002A0B69" w:rsidRPr="0051062B" w:rsidRDefault="002A0B69" w:rsidP="002A0B69">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69EC634" w14:textId="77777777" w:rsidR="002A0B69" w:rsidRPr="0051062B" w:rsidRDefault="002A0B69" w:rsidP="002A0B6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42681DF" w14:textId="77777777" w:rsidR="002A0B69" w:rsidRPr="0051062B" w:rsidRDefault="002A0B69" w:rsidP="002A0B69">
      <w:pPr>
        <w:pStyle w:val="Citas"/>
        <w:rPr>
          <w:b/>
        </w:rPr>
      </w:pPr>
      <w:r w:rsidRPr="0051062B">
        <w:rPr>
          <w:b/>
        </w:rPr>
        <w:t xml:space="preserve">Artículo 181. … </w:t>
      </w:r>
    </w:p>
    <w:p w14:paraId="44512A35" w14:textId="77777777" w:rsidR="002A0B69" w:rsidRDefault="002A0B69" w:rsidP="002A0B6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C42CDB6" w14:textId="77777777" w:rsidR="006C3A6A" w:rsidRDefault="006C3A6A" w:rsidP="002A0B69">
      <w:pPr>
        <w:spacing w:before="240" w:line="360" w:lineRule="auto"/>
        <w:jc w:val="both"/>
        <w:rPr>
          <w:rFonts w:ascii="Palatino Linotype" w:hAnsi="Palatino Linotype"/>
          <w:sz w:val="24"/>
          <w:szCs w:val="24"/>
        </w:rPr>
      </w:pPr>
    </w:p>
    <w:p w14:paraId="6AD731CF" w14:textId="75C4717D" w:rsidR="002A0B69" w:rsidRDefault="002A0B69" w:rsidP="002A0B6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5E1E04D" w14:textId="5222D3CD" w:rsidR="002A0B69" w:rsidRDefault="00960AC9">
      <w:pPr>
        <w:pStyle w:val="Prrafodelista"/>
        <w:numPr>
          <w:ilvl w:val="0"/>
          <w:numId w:val="6"/>
        </w:numPr>
        <w:spacing w:before="240" w:line="360" w:lineRule="auto"/>
        <w:jc w:val="both"/>
        <w:rPr>
          <w:rFonts w:ascii="Palatino Linotype" w:hAnsi="Palatino Linotype" w:cs="Arial"/>
        </w:rPr>
      </w:pPr>
      <w:r>
        <w:rPr>
          <w:rFonts w:ascii="Palatino Linotype" w:hAnsi="Palatino Linotype" w:cs="Arial"/>
        </w:rPr>
        <w:t xml:space="preserve">El o los documentos donde </w:t>
      </w:r>
      <w:r w:rsidR="00BC7797">
        <w:rPr>
          <w:rFonts w:ascii="Palatino Linotype" w:hAnsi="Palatino Linotype" w:cs="Arial"/>
        </w:rPr>
        <w:t xml:space="preserve">cuantos permisos se otorgaron para anuncios de locales comerciales en el municipio, del periodo comprendido del uno de enero de dos mil veintidós al siete de marzo de dos mil veinticinco. </w:t>
      </w:r>
    </w:p>
    <w:p w14:paraId="1574B8AC" w14:textId="0E6E8E18" w:rsidR="00BC7797" w:rsidRDefault="00BC7797">
      <w:pPr>
        <w:pStyle w:val="Prrafodelista"/>
        <w:numPr>
          <w:ilvl w:val="0"/>
          <w:numId w:val="6"/>
        </w:numPr>
        <w:spacing w:before="240" w:line="360" w:lineRule="auto"/>
        <w:jc w:val="both"/>
        <w:rPr>
          <w:rFonts w:ascii="Palatino Linotype" w:hAnsi="Palatino Linotype" w:cs="Arial"/>
        </w:rPr>
      </w:pPr>
      <w:r>
        <w:rPr>
          <w:rFonts w:ascii="Palatino Linotype" w:hAnsi="Palatino Linotype" w:cs="Arial"/>
        </w:rPr>
        <w:t xml:space="preserve">El o los documentos donde conste el costo por metro cuadrado para anuncios luminosos, al siete de marzo de dos mil veinticinco. </w:t>
      </w:r>
    </w:p>
    <w:p w14:paraId="780E557F" w14:textId="7901C659" w:rsidR="00BC7797" w:rsidRPr="002A0B69" w:rsidRDefault="00BC7797">
      <w:pPr>
        <w:pStyle w:val="Prrafodelista"/>
        <w:numPr>
          <w:ilvl w:val="0"/>
          <w:numId w:val="6"/>
        </w:numPr>
        <w:spacing w:before="240" w:line="360" w:lineRule="auto"/>
        <w:jc w:val="both"/>
        <w:rPr>
          <w:rFonts w:ascii="Palatino Linotype" w:hAnsi="Palatino Linotype" w:cs="Arial"/>
        </w:rPr>
      </w:pPr>
      <w:r>
        <w:rPr>
          <w:rFonts w:ascii="Palatino Linotype" w:hAnsi="Palatino Linotype" w:cs="Arial"/>
        </w:rPr>
        <w:t xml:space="preserve">El o los documentos donde conste el monto recaudado por concepto de anuncios, del periodo comprendido del uno de enero de dos mil veintidós al siete de marzo de dos mil veinticinco. </w:t>
      </w:r>
    </w:p>
    <w:p w14:paraId="630B3FD4" w14:textId="77777777" w:rsidR="00960AC9" w:rsidRDefault="00960AC9" w:rsidP="00D43677">
      <w:pPr>
        <w:spacing w:before="240" w:line="360" w:lineRule="auto"/>
        <w:jc w:val="both"/>
        <w:rPr>
          <w:rFonts w:ascii="Palatino Linotype" w:hAnsi="Palatino Linotype" w:cs="Arial"/>
          <w:sz w:val="24"/>
          <w:szCs w:val="24"/>
        </w:rPr>
      </w:pPr>
    </w:p>
    <w:p w14:paraId="430F5AC4" w14:textId="4D39F994" w:rsidR="00505A47" w:rsidRDefault="006C3A6A" w:rsidP="00D43677">
      <w:pPr>
        <w:spacing w:before="240" w:line="360" w:lineRule="auto"/>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4428867F" wp14:editId="635372F2">
                <wp:simplePos x="0" y="0"/>
                <wp:positionH relativeFrom="column">
                  <wp:posOffset>-165735</wp:posOffset>
                </wp:positionH>
                <wp:positionV relativeFrom="paragraph">
                  <wp:posOffset>1313815</wp:posOffset>
                </wp:positionV>
                <wp:extent cx="6362700" cy="1965960"/>
                <wp:effectExtent l="0" t="0" r="19050" b="34290"/>
                <wp:wrapNone/>
                <wp:docPr id="1407911810" name="Conector recto 3"/>
                <wp:cNvGraphicFramePr/>
                <a:graphic xmlns:a="http://schemas.openxmlformats.org/drawingml/2006/main">
                  <a:graphicData uri="http://schemas.microsoft.com/office/word/2010/wordprocessingShape">
                    <wps:wsp>
                      <wps:cNvCnPr/>
                      <wps:spPr>
                        <a:xfrm>
                          <a:off x="0" y="0"/>
                          <a:ext cx="6362700" cy="1965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13AC32" id="Conector recto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05pt,103.45pt" to="487.95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" strokecolor="#5b9bd5 [3204]" strokeweight=".5pt">
                <v:stroke joinstyle="miter"/>
              </v:line>
            </w:pict>
          </mc:Fallback>
        </mc:AlternateContent>
      </w:r>
      <w:r w:rsidR="00505A47">
        <w:rPr>
          <w:rFonts w:ascii="Palatino Linotype" w:hAnsi="Palatino Linotype" w:cs="Arial"/>
          <w:sz w:val="24"/>
          <w:szCs w:val="24"/>
        </w:rPr>
        <w:t xml:space="preserve">Bajo este contexto, a efecto de identificar las unidades administrativas competentes e ilustrar sus atribuciones, resulta oportuno traer a colación las siguientes imágenes ilustrativas correspondientes al organigrama del </w:t>
      </w:r>
      <w:r w:rsidR="00505A47">
        <w:rPr>
          <w:rFonts w:ascii="Palatino Linotype" w:hAnsi="Palatino Linotype" w:cs="Arial"/>
          <w:b/>
          <w:bCs/>
          <w:sz w:val="24"/>
          <w:szCs w:val="24"/>
        </w:rPr>
        <w:t>Sujeto Obligado</w:t>
      </w:r>
      <w:r w:rsidR="00BC7797">
        <w:rPr>
          <w:rFonts w:ascii="Palatino Linotype" w:hAnsi="Palatino Linotype" w:cs="Arial"/>
          <w:b/>
          <w:bCs/>
          <w:sz w:val="24"/>
          <w:szCs w:val="24"/>
        </w:rPr>
        <w:t xml:space="preserve">: </w:t>
      </w:r>
    </w:p>
    <w:p w14:paraId="5F2464A2" w14:textId="4A1937D9" w:rsidR="00505A47" w:rsidRDefault="006C3A6A" w:rsidP="00D43677">
      <w:pPr>
        <w:spacing w:before="240" w:line="360" w:lineRule="auto"/>
        <w:jc w:val="both"/>
        <w:rPr>
          <w:rFonts w:ascii="Palatino Linotype" w:hAnsi="Palatino Linotype"/>
          <w:noProof/>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2816" behindDoc="0" locked="0" layoutInCell="1" allowOverlap="1" wp14:anchorId="017CB833" wp14:editId="5474B988">
                <wp:simplePos x="0" y="0"/>
                <wp:positionH relativeFrom="column">
                  <wp:posOffset>956945</wp:posOffset>
                </wp:positionH>
                <wp:positionV relativeFrom="paragraph">
                  <wp:posOffset>6724650</wp:posOffset>
                </wp:positionV>
                <wp:extent cx="2095500" cy="304800"/>
                <wp:effectExtent l="0" t="0" r="19050" b="19050"/>
                <wp:wrapNone/>
                <wp:docPr id="1491998573" name="Rectángulo 4"/>
                <wp:cNvGraphicFramePr/>
                <a:graphic xmlns:a="http://schemas.openxmlformats.org/drawingml/2006/main">
                  <a:graphicData uri="http://schemas.microsoft.com/office/word/2010/wordprocessingShape">
                    <wps:wsp>
                      <wps:cNvSpPr/>
                      <wps:spPr>
                        <a:xfrm>
                          <a:off x="0" y="0"/>
                          <a:ext cx="2095500" cy="3048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22E67AA" id="Rectángulo 4" o:spid="_x0000_s1026" style="position:absolute;margin-left:75.35pt;margin-top:529.5pt;width:16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" filled="f" strokecolor="#e00" strokeweight="1pt"/>
            </w:pict>
          </mc:Fallback>
        </mc:AlternateContent>
      </w:r>
      <w:r w:rsidRPr="00A60020">
        <w:rPr>
          <w:rFonts w:ascii="Palatino Linotype" w:hAnsi="Palatino Linotype"/>
          <w:noProof/>
          <w:lang w:eastAsia="es-MX"/>
        </w:rPr>
        <w:drawing>
          <wp:anchor distT="0" distB="0" distL="114300" distR="114300" simplePos="0" relativeHeight="251679744" behindDoc="0" locked="0" layoutInCell="1" allowOverlap="1" wp14:anchorId="0C73656F" wp14:editId="0F84B594">
            <wp:simplePos x="0" y="0"/>
            <wp:positionH relativeFrom="page">
              <wp:align>center</wp:align>
            </wp:positionH>
            <wp:positionV relativeFrom="paragraph">
              <wp:posOffset>19050</wp:posOffset>
            </wp:positionV>
            <wp:extent cx="5760720" cy="3479165"/>
            <wp:effectExtent l="19050" t="19050" r="11430" b="26035"/>
            <wp:wrapThrough wrapText="bothSides">
              <wp:wrapPolygon edited="0">
                <wp:start x="-71" y="-118"/>
                <wp:lineTo x="-71" y="21643"/>
                <wp:lineTo x="21571" y="21643"/>
                <wp:lineTo x="21571" y="-118"/>
                <wp:lineTo x="-71" y="-118"/>
              </wp:wrapPolygon>
            </wp:wrapThrough>
            <wp:docPr id="616814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1445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9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81792" behindDoc="0" locked="0" layoutInCell="1" allowOverlap="1" wp14:anchorId="66C6DA58" wp14:editId="4D513D1C">
            <wp:simplePos x="0" y="0"/>
            <wp:positionH relativeFrom="page">
              <wp:posOffset>1009650</wp:posOffset>
            </wp:positionH>
            <wp:positionV relativeFrom="paragraph">
              <wp:posOffset>3999865</wp:posOffset>
            </wp:positionV>
            <wp:extent cx="5756275" cy="3479165"/>
            <wp:effectExtent l="19050" t="19050" r="15875" b="26035"/>
            <wp:wrapThrough wrapText="bothSides">
              <wp:wrapPolygon edited="0">
                <wp:start x="-71" y="-118"/>
                <wp:lineTo x="-71" y="21643"/>
                <wp:lineTo x="21588" y="21643"/>
                <wp:lineTo x="21588" y="-118"/>
                <wp:lineTo x="-71" y="-118"/>
              </wp:wrapPolygon>
            </wp:wrapThrough>
            <wp:docPr id="16128441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275" cy="3479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D5D902" w14:textId="5FEA5766" w:rsidR="00527374" w:rsidRDefault="00527374" w:rsidP="00527374">
      <w:pPr>
        <w:spacing w:before="240" w:line="360" w:lineRule="auto"/>
        <w:jc w:val="both"/>
        <w:rPr>
          <w:rFonts w:ascii="Palatino Linotype" w:hAnsi="Palatino Linotype"/>
          <w:sz w:val="24"/>
          <w:szCs w:val="24"/>
        </w:rPr>
      </w:pPr>
      <w:r w:rsidRPr="00B86B44">
        <w:rPr>
          <w:rFonts w:ascii="Palatino Linotype" w:hAnsi="Palatino Linotype"/>
          <w:sz w:val="24"/>
          <w:szCs w:val="24"/>
        </w:rPr>
        <w:lastRenderedPageBreak/>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Tesorería municipal, así como la </w:t>
      </w:r>
      <w:r w:rsidR="00BC7797">
        <w:rPr>
          <w:rFonts w:ascii="Palatino Linotype" w:hAnsi="Palatino Linotype"/>
          <w:sz w:val="24"/>
          <w:szCs w:val="24"/>
        </w:rPr>
        <w:t xml:space="preserve">Dirección general de desarrollo económico. </w:t>
      </w:r>
    </w:p>
    <w:p w14:paraId="4288140F" w14:textId="3B17C661" w:rsidR="00BC7797" w:rsidRDefault="00527374" w:rsidP="00FF6701">
      <w:pPr>
        <w:spacing w:before="240" w:line="360" w:lineRule="auto"/>
        <w:jc w:val="both"/>
        <w:rPr>
          <w:rFonts w:ascii="Palatino Linotype" w:hAnsi="Palatino Linotype"/>
          <w:sz w:val="24"/>
          <w:szCs w:val="24"/>
        </w:rPr>
      </w:pPr>
      <w:r>
        <w:rPr>
          <w:rFonts w:ascii="Palatino Linotype" w:hAnsi="Palatino Linotype"/>
          <w:sz w:val="24"/>
          <w:szCs w:val="24"/>
        </w:rPr>
        <w:t xml:space="preserve">De manera complementaria, a efecto de ilustrar la esfera competencial de las unidades administrativas en cita, resulta oportuno traer </w:t>
      </w:r>
      <w:r w:rsidRPr="00E13469">
        <w:rPr>
          <w:rFonts w:ascii="Palatino Linotype" w:hAnsi="Palatino Linotype"/>
          <w:sz w:val="24"/>
          <w:szCs w:val="24"/>
        </w:rPr>
        <w:t xml:space="preserve">a colación </w:t>
      </w:r>
      <w:r>
        <w:rPr>
          <w:rFonts w:ascii="Palatino Linotype" w:hAnsi="Palatino Linotype"/>
          <w:sz w:val="24"/>
          <w:szCs w:val="24"/>
        </w:rPr>
        <w:t>los artículos</w:t>
      </w:r>
      <w:r w:rsidR="00BC7797">
        <w:rPr>
          <w:rFonts w:ascii="Palatino Linotype" w:hAnsi="Palatino Linotype"/>
          <w:sz w:val="24"/>
          <w:szCs w:val="24"/>
        </w:rPr>
        <w:t xml:space="preserve"> </w:t>
      </w:r>
      <w:r w:rsidR="00D03011">
        <w:rPr>
          <w:rFonts w:ascii="Palatino Linotype" w:hAnsi="Palatino Linotype"/>
          <w:sz w:val="24"/>
          <w:szCs w:val="24"/>
        </w:rPr>
        <w:t xml:space="preserve">95 y 96 </w:t>
      </w:r>
      <w:proofErr w:type="spellStart"/>
      <w:r w:rsidR="00D03011">
        <w:rPr>
          <w:rFonts w:ascii="Palatino Linotype" w:hAnsi="Palatino Linotype"/>
          <w:sz w:val="24"/>
          <w:szCs w:val="24"/>
        </w:rPr>
        <w:t>Quáter</w:t>
      </w:r>
      <w:proofErr w:type="spellEnd"/>
      <w:r w:rsidR="00D03011">
        <w:rPr>
          <w:rFonts w:ascii="Palatino Linotype" w:hAnsi="Palatino Linotype"/>
          <w:sz w:val="24"/>
          <w:szCs w:val="24"/>
        </w:rPr>
        <w:t xml:space="preserve"> de la Ley orgánica municipal del Estado de México; así como el artículo 92 del Bando municipal de Toluca, porciones normativas que disponen a la literalidad lo siguiente:</w:t>
      </w:r>
    </w:p>
    <w:p w14:paraId="258DD45E" w14:textId="4C80E6D3" w:rsidR="00505A47" w:rsidRPr="00505A47" w:rsidRDefault="00505A47" w:rsidP="00FF6701">
      <w:pPr>
        <w:pStyle w:val="Citas"/>
        <w:jc w:val="center"/>
        <w:rPr>
          <w:b/>
          <w:bCs/>
          <w:i w:val="0"/>
          <w:iCs/>
          <w:sz w:val="24"/>
          <w:szCs w:val="24"/>
        </w:rPr>
      </w:pPr>
      <w:r w:rsidRPr="00505A47">
        <w:rPr>
          <w:b/>
          <w:bCs/>
          <w:i w:val="0"/>
          <w:iCs/>
          <w:sz w:val="24"/>
          <w:szCs w:val="24"/>
        </w:rPr>
        <w:t>LEY ORGÁNICA MUNICIPAL DEL ESTADO DE MÉXICO</w:t>
      </w:r>
    </w:p>
    <w:p w14:paraId="4FC6E1E0" w14:textId="022C7DB4" w:rsidR="00FE41D4" w:rsidRPr="00FE41D4" w:rsidRDefault="00FF6701" w:rsidP="00FE41D4">
      <w:pPr>
        <w:pStyle w:val="Citas"/>
        <w:rPr>
          <w:b/>
          <w:bCs/>
          <w:u w:val="single"/>
        </w:rPr>
      </w:pPr>
      <w:r>
        <w:t>“</w:t>
      </w:r>
      <w:r w:rsidR="00FE41D4" w:rsidRPr="00FE41D4">
        <w:rPr>
          <w:b/>
          <w:bCs/>
          <w:u w:val="single"/>
        </w:rPr>
        <w:t>Artículo 95.- Son atribuciones del tesorero municipal:</w:t>
      </w:r>
    </w:p>
    <w:p w14:paraId="1BD4322F" w14:textId="77777777" w:rsidR="00FE41D4" w:rsidRDefault="00FE41D4" w:rsidP="00FE41D4">
      <w:pPr>
        <w:pStyle w:val="Citas"/>
      </w:pPr>
      <w:r>
        <w:t>I. Administrar la hacienda pública municipal, de conformidad con las disposiciones legales aplicables;</w:t>
      </w:r>
    </w:p>
    <w:p w14:paraId="3695E674" w14:textId="77777777" w:rsidR="00FE41D4" w:rsidRDefault="00FE41D4" w:rsidP="00FE41D4">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FB6BE84" w14:textId="77777777" w:rsidR="00FE41D4" w:rsidRDefault="00FE41D4" w:rsidP="00FE41D4">
      <w:pPr>
        <w:pStyle w:val="Citas"/>
      </w:pPr>
      <w:r>
        <w:t>(…)</w:t>
      </w:r>
    </w:p>
    <w:p w14:paraId="10B7A7A5" w14:textId="77777777" w:rsidR="00FE41D4" w:rsidRDefault="00FE41D4" w:rsidP="00FE41D4">
      <w:pPr>
        <w:pStyle w:val="Citas"/>
      </w:pPr>
      <w:r>
        <w:t>IV. Llevar los registros contables, financieros y administrativos de los ingresos, egresos, e inventarios;</w:t>
      </w:r>
    </w:p>
    <w:p w14:paraId="160DFFC7" w14:textId="3ADF4556" w:rsidR="00FE41D4" w:rsidRDefault="00FE41D4" w:rsidP="00527374">
      <w:pPr>
        <w:pStyle w:val="Citas"/>
      </w:pPr>
      <w:r>
        <w:t>(…)</w:t>
      </w:r>
    </w:p>
    <w:p w14:paraId="5F17C320" w14:textId="38DC5ED8" w:rsidR="00D03011" w:rsidRPr="007D27D5" w:rsidRDefault="00D03011" w:rsidP="00817C25">
      <w:pPr>
        <w:pStyle w:val="Citas"/>
        <w:rPr>
          <w:b/>
          <w:bCs/>
          <w:u w:val="single"/>
        </w:rPr>
      </w:pPr>
      <w:r w:rsidRPr="007D27D5">
        <w:rPr>
          <w:b/>
          <w:bCs/>
          <w:u w:val="single"/>
        </w:rPr>
        <w:lastRenderedPageBreak/>
        <w:t xml:space="preserve">Artículo 96 </w:t>
      </w:r>
      <w:proofErr w:type="spellStart"/>
      <w:r w:rsidRPr="007D27D5">
        <w:rPr>
          <w:b/>
          <w:bCs/>
          <w:u w:val="single"/>
        </w:rPr>
        <w:t>Quáter</w:t>
      </w:r>
      <w:proofErr w:type="spellEnd"/>
      <w:r w:rsidRPr="007D27D5">
        <w:rPr>
          <w:b/>
          <w:bCs/>
          <w:u w:val="single"/>
        </w:rPr>
        <w:t>.- El Titular de la Dirección de Desarrollo Económico Municipal o el Titular</w:t>
      </w:r>
      <w:r w:rsidR="007D27D5" w:rsidRPr="007D27D5">
        <w:rPr>
          <w:b/>
          <w:bCs/>
          <w:u w:val="single"/>
        </w:rPr>
        <w:t xml:space="preserve"> </w:t>
      </w:r>
      <w:r w:rsidRPr="007D27D5">
        <w:rPr>
          <w:b/>
          <w:bCs/>
          <w:u w:val="single"/>
        </w:rPr>
        <w:t>de la Unidad Administrativa equivalente, tiene las siguientes atribuciones:</w:t>
      </w:r>
    </w:p>
    <w:p w14:paraId="7EA778C6" w14:textId="5F067CAC" w:rsidR="00D03011" w:rsidRDefault="00D03011" w:rsidP="00817C25">
      <w:pPr>
        <w:pStyle w:val="Citas"/>
      </w:pPr>
      <w:r>
        <w:t>(…)</w:t>
      </w:r>
    </w:p>
    <w:p w14:paraId="5894CFE3" w14:textId="0E8CD3B8" w:rsidR="00817C25" w:rsidRPr="00817C25" w:rsidRDefault="00817C25" w:rsidP="00817C25">
      <w:pPr>
        <w:pStyle w:val="Citas"/>
      </w:pPr>
      <w:r w:rsidRPr="00817C25">
        <w:t>XVIII. Conducir la coordinación interinstitucional de las dependencias municipales a las que corresponda conocer sobre el otorgamiento de permisos y licencias para la apertura y funcionamiento de unidades económicas;</w:t>
      </w:r>
    </w:p>
    <w:p w14:paraId="181DB39F" w14:textId="2AADA718" w:rsidR="00817C25" w:rsidRDefault="00817C25" w:rsidP="00817C25">
      <w:pPr>
        <w:pStyle w:val="Citas"/>
      </w:pPr>
      <w:r w:rsidRPr="00817C25">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4AFB672D" w14:textId="3740F26D" w:rsidR="00817C25" w:rsidRDefault="00817C25" w:rsidP="00817C25">
      <w:pPr>
        <w:pStyle w:val="Citas"/>
      </w:pPr>
      <w: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2FE8BAD0" w14:textId="2990CF6F" w:rsidR="00817C25" w:rsidRDefault="00817C25" w:rsidP="00817C25">
      <w:pPr>
        <w:pStyle w:val="Citas"/>
      </w:pPr>
      <w:r>
        <w:t>XX. Crear y actualizar el Registro de las Unidades Económicas que cuenten con el Dictamen de Giro, para la solicitud o refrendo de las licencias de funcionamiento;</w:t>
      </w:r>
    </w:p>
    <w:p w14:paraId="0E53971B" w14:textId="77777777" w:rsidR="00817C25" w:rsidRDefault="00817C25" w:rsidP="00817C25">
      <w:pPr>
        <w:pStyle w:val="Citas"/>
      </w:pPr>
      <w:r>
        <w:t>(…)</w:t>
      </w:r>
    </w:p>
    <w:p w14:paraId="37D89C9C" w14:textId="1B63EA0F" w:rsidR="00817C25" w:rsidRPr="00817C25" w:rsidRDefault="00817C25" w:rsidP="00817C25">
      <w:pPr>
        <w:pStyle w:val="Citas"/>
        <w:rPr>
          <w:b/>
          <w:bCs/>
        </w:rPr>
      </w:pPr>
      <w:r>
        <w:t xml:space="preserve">XXII. Las demás que señalen las disposiciones legales aplicables” </w:t>
      </w:r>
      <w:r>
        <w:rPr>
          <w:b/>
          <w:bCs/>
        </w:rPr>
        <w:t>(Sic)</w:t>
      </w:r>
    </w:p>
    <w:p w14:paraId="32ED23B8" w14:textId="2F7D978C" w:rsidR="00505A47" w:rsidRPr="00D127F6" w:rsidRDefault="00FE41D4" w:rsidP="00FE41D4">
      <w:pPr>
        <w:pStyle w:val="Citas"/>
        <w:jc w:val="center"/>
        <w:rPr>
          <w:b/>
          <w:bCs/>
          <w:i w:val="0"/>
          <w:iCs/>
          <w:sz w:val="24"/>
          <w:szCs w:val="24"/>
        </w:rPr>
      </w:pPr>
      <w:r w:rsidRPr="00D127F6">
        <w:rPr>
          <w:b/>
          <w:bCs/>
          <w:i w:val="0"/>
          <w:iCs/>
          <w:sz w:val="24"/>
          <w:szCs w:val="24"/>
        </w:rPr>
        <w:lastRenderedPageBreak/>
        <w:t>BANDO MUNICIPAL DE TOLUCA</w:t>
      </w:r>
    </w:p>
    <w:p w14:paraId="733E1188" w14:textId="46B87457" w:rsidR="00FF6701" w:rsidRDefault="00FE41D4" w:rsidP="00817C25">
      <w:pPr>
        <w:pStyle w:val="Citas"/>
      </w:pPr>
      <w:r>
        <w:t>“</w:t>
      </w:r>
      <w:bookmarkStart w:id="3" w:name="_Hlk198031405"/>
      <w:r w:rsidR="00817C25">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38CC6CF8" w14:textId="5A50A5B5" w:rsidR="00817C25" w:rsidRDefault="00817C25" w:rsidP="00817C25">
      <w:pPr>
        <w:pStyle w:val="Citas"/>
      </w:pPr>
      <w:r>
        <w:t>(…)</w:t>
      </w:r>
    </w:p>
    <w:p w14:paraId="758AFD58" w14:textId="36C64230" w:rsidR="00817C25" w:rsidRPr="00817C25" w:rsidRDefault="00817C25" w:rsidP="00817C25">
      <w:pPr>
        <w:pStyle w:val="Citas"/>
      </w:pPr>
      <w:r w:rsidRPr="00817C25">
        <w:t>II.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14:paraId="4E706F64" w14:textId="03B7A406" w:rsidR="00817C25" w:rsidRPr="00817C25" w:rsidRDefault="00817C25" w:rsidP="00817C25">
      <w:pPr>
        <w:pStyle w:val="Citas"/>
      </w:pPr>
      <w:r w:rsidRPr="00817C25">
        <w:t>(…)</w:t>
      </w:r>
    </w:p>
    <w:p w14:paraId="502CEAE6" w14:textId="0218332A" w:rsidR="00817C25" w:rsidRPr="00817C25" w:rsidRDefault="00817C25" w:rsidP="00817C25">
      <w:pPr>
        <w:pStyle w:val="Citas"/>
        <w:rPr>
          <w:b/>
          <w:bCs/>
        </w:rPr>
      </w:pPr>
      <w:r w:rsidRPr="00817C25">
        <w:t>XI. La persona titular de la Dirección General de Desarrollo Económico tiene como</w:t>
      </w:r>
      <w:r>
        <w:t xml:space="preserve"> </w:t>
      </w:r>
      <w:r w:rsidRPr="00817C25">
        <w:t>atribuciones fundamentales la planeación y ejecución de políticas para fomentar</w:t>
      </w:r>
      <w:r>
        <w:t xml:space="preserve"> </w:t>
      </w:r>
      <w:r w:rsidRPr="00817C25">
        <w:t>el desarrollo industrial, comercial, empresarial y rural sustentable. Para ello,</w:t>
      </w:r>
      <w:r>
        <w:t xml:space="preserve"> </w:t>
      </w:r>
      <w:r w:rsidRPr="00817C25">
        <w:t>coordinará programas de promoción económica; fortalecerá micro, pequeñas y</w:t>
      </w:r>
      <w:r>
        <w:t xml:space="preserve"> </w:t>
      </w:r>
      <w:r w:rsidRPr="00817C25">
        <w:t>medianas empresas, y organizará el servicio municipal de empleo. Impulsará la</w:t>
      </w:r>
      <w:r>
        <w:t xml:space="preserve"> </w:t>
      </w:r>
      <w:r w:rsidRPr="00817C25">
        <w:t>creación de agroindustrias, ferias comerciales e industriales. Expedirá las licencias</w:t>
      </w:r>
      <w:r>
        <w:t xml:space="preserve"> </w:t>
      </w:r>
      <w:r w:rsidRPr="00817C25">
        <w:t>y permisos de funcionamiento, así como de celebrar convenios con autoridades</w:t>
      </w:r>
      <w:r>
        <w:t xml:space="preserve"> </w:t>
      </w:r>
      <w:r w:rsidRPr="00817C25">
        <w:t xml:space="preserve">y el </w:t>
      </w:r>
      <w:r w:rsidRPr="00817C25">
        <w:lastRenderedPageBreak/>
        <w:t>sector privado para atraer inversiones. Regulará actividades comerciales</w:t>
      </w:r>
      <w:r>
        <w:t xml:space="preserve"> </w:t>
      </w:r>
      <w:r w:rsidRPr="00817C25">
        <w:t>verificando el cumplimiento de normas sanitarias, así como la supervisión de</w:t>
      </w:r>
      <w:r>
        <w:t xml:space="preserve"> </w:t>
      </w:r>
      <w:r w:rsidRPr="00817C25">
        <w:t>mercados y tianguis públicos</w:t>
      </w:r>
      <w:r>
        <w:t xml:space="preserve">” </w:t>
      </w:r>
      <w:r>
        <w:rPr>
          <w:b/>
          <w:bCs/>
        </w:rPr>
        <w:t>(Sic)</w:t>
      </w:r>
    </w:p>
    <w:bookmarkEnd w:id="3"/>
    <w:p w14:paraId="52F448C3" w14:textId="77777777" w:rsidR="00817C25" w:rsidRDefault="00817C25" w:rsidP="00D43677">
      <w:pPr>
        <w:spacing w:before="240" w:line="360" w:lineRule="auto"/>
        <w:jc w:val="both"/>
        <w:rPr>
          <w:rFonts w:ascii="Palatino Linotype" w:hAnsi="Palatino Linotype"/>
          <w:sz w:val="24"/>
          <w:szCs w:val="24"/>
        </w:rPr>
      </w:pPr>
    </w:p>
    <w:p w14:paraId="6230105A" w14:textId="756F8954" w:rsidR="00DB50F0" w:rsidRDefault="00DB50F0" w:rsidP="00D43677">
      <w:pPr>
        <w:spacing w:before="240" w:line="360" w:lineRule="auto"/>
        <w:jc w:val="both"/>
        <w:rPr>
          <w:rFonts w:ascii="Palatino Linotype" w:hAnsi="Palatino Linotype"/>
          <w:sz w:val="24"/>
          <w:szCs w:val="24"/>
        </w:rPr>
      </w:pPr>
      <w:r>
        <w:rPr>
          <w:rFonts w:ascii="Palatino Linotype" w:hAnsi="Palatino Linotype"/>
          <w:sz w:val="24"/>
          <w:szCs w:val="24"/>
        </w:rPr>
        <w:t xml:space="preserve">De ahí que deba arribarse a las siguientes consideraciones: </w:t>
      </w:r>
    </w:p>
    <w:p w14:paraId="246726AF" w14:textId="3AEA6673" w:rsidR="00DB50F0" w:rsidRPr="00FF6701" w:rsidRDefault="00FF6701">
      <w:pPr>
        <w:pStyle w:val="Prrafodelista"/>
        <w:numPr>
          <w:ilvl w:val="0"/>
          <w:numId w:val="7"/>
        </w:numPr>
        <w:autoSpaceDE w:val="0"/>
        <w:autoSpaceDN w:val="0"/>
        <w:adjustRightInd w:val="0"/>
        <w:spacing w:before="240" w:line="360" w:lineRule="auto"/>
        <w:jc w:val="both"/>
        <w:rPr>
          <w:rFonts w:ascii="Palatino Linotype" w:hAnsi="Palatino Linotype"/>
        </w:rPr>
      </w:pPr>
      <w:r>
        <w:rPr>
          <w:rFonts w:ascii="Palatino Linotype" w:hAnsi="Palatino Linotype"/>
        </w:rPr>
        <w:t>L</w:t>
      </w:r>
      <w:r w:rsidR="00FE41D4" w:rsidRPr="00FF6701">
        <w:rPr>
          <w:rFonts w:ascii="Palatino Linotype" w:hAnsi="Palatino Linotype"/>
        </w:rPr>
        <w:t xml:space="preserve">a tesorería municipal tiene competencia para regular diversas aristas tales como </w:t>
      </w:r>
      <w:r w:rsidR="00E8228B" w:rsidRPr="00FF6701">
        <w:rPr>
          <w:rFonts w:ascii="Palatino Linotype" w:hAnsi="Palatino Linotype"/>
        </w:rPr>
        <w:t xml:space="preserve">administrar la hacienda pública, </w:t>
      </w:r>
      <w:r w:rsidR="00DB50F0" w:rsidRPr="00FF6701">
        <w:rPr>
          <w:rFonts w:ascii="Palatino Linotype" w:hAnsi="Palatino Linotype"/>
        </w:rPr>
        <w:t xml:space="preserve">llevar registros contables, o incluso generar el presupuesto de egresos, precisando con relación a este último que la ley orgánica de la administración pública municipal prevé como fecha </w:t>
      </w:r>
      <w:proofErr w:type="spellStart"/>
      <w:r w:rsidR="00DB50F0" w:rsidRPr="00FF6701">
        <w:rPr>
          <w:rFonts w:ascii="Palatino Linotype" w:hAnsi="Palatino Linotype"/>
        </w:rPr>
        <w:t>limite</w:t>
      </w:r>
      <w:proofErr w:type="spellEnd"/>
      <w:r w:rsidR="00DB50F0" w:rsidRPr="00FF6701">
        <w:rPr>
          <w:rFonts w:ascii="Palatino Linotype" w:hAnsi="Palatino Linotype"/>
        </w:rPr>
        <w:t xml:space="preserve"> para su publicación el veinte de diciembre</w:t>
      </w:r>
      <w:r w:rsidR="00B02128">
        <w:rPr>
          <w:rFonts w:ascii="Palatino Linotype" w:hAnsi="Palatino Linotype"/>
        </w:rPr>
        <w:t xml:space="preserve"> del año anterior, a aquel en que resulte aplicable. </w:t>
      </w:r>
    </w:p>
    <w:p w14:paraId="01F4BE48" w14:textId="03EC1B45" w:rsidR="00817C25" w:rsidRPr="00817C25" w:rsidRDefault="00817C25" w:rsidP="00F33DB7">
      <w:pPr>
        <w:pStyle w:val="Prrafodelista"/>
        <w:numPr>
          <w:ilvl w:val="0"/>
          <w:numId w:val="7"/>
        </w:numPr>
        <w:autoSpaceDE w:val="0"/>
        <w:autoSpaceDN w:val="0"/>
        <w:adjustRightInd w:val="0"/>
        <w:spacing w:before="240" w:line="360" w:lineRule="auto"/>
        <w:jc w:val="both"/>
        <w:rPr>
          <w:rFonts w:ascii="Palatino Linotype" w:hAnsi="Palatino Linotype"/>
          <w:b/>
          <w:bCs/>
          <w:u w:val="single"/>
        </w:rPr>
      </w:pPr>
      <w:r w:rsidRPr="00817C25">
        <w:rPr>
          <w:rFonts w:ascii="Palatino Linotype" w:hAnsi="Palatino Linotype"/>
        </w:rPr>
        <w:t xml:space="preserve">La dirección de desarrollo económico tiene como atribuciones fundamentales la planeación y ejecución de políticas para fomentar el desarrollo industrial, comercial, empresarial y rural sustentable por lo que entre sus facultades esta </w:t>
      </w:r>
      <w:r w:rsidRPr="00817C25">
        <w:rPr>
          <w:rFonts w:ascii="Palatino Linotype" w:hAnsi="Palatino Linotype"/>
          <w:u w:val="single"/>
        </w:rPr>
        <w:t>la expedición de las licencias y permisos de funcionamiento</w:t>
      </w:r>
      <w:r w:rsidRPr="00817C25">
        <w:rPr>
          <w:rFonts w:ascii="Palatino Linotype" w:hAnsi="Palatino Linotype"/>
        </w:rPr>
        <w:t>, así como de celebrar convenios con autoridades y el sector privado para atraer inversiones</w:t>
      </w:r>
      <w:r>
        <w:rPr>
          <w:rFonts w:ascii="Palatino Linotype" w:hAnsi="Palatino Linotype"/>
        </w:rPr>
        <w:t>.</w:t>
      </w:r>
    </w:p>
    <w:p w14:paraId="65A30E4E" w14:textId="77777777" w:rsidR="00817C25" w:rsidRDefault="00817C25" w:rsidP="00817C25">
      <w:pPr>
        <w:autoSpaceDE w:val="0"/>
        <w:autoSpaceDN w:val="0"/>
        <w:adjustRightInd w:val="0"/>
        <w:spacing w:before="240" w:line="360" w:lineRule="auto"/>
        <w:jc w:val="both"/>
        <w:rPr>
          <w:rFonts w:ascii="Palatino Linotype" w:hAnsi="Palatino Linotype"/>
          <w:b/>
          <w:bCs/>
          <w:u w:val="single"/>
        </w:rPr>
      </w:pPr>
    </w:p>
    <w:p w14:paraId="046C40F0" w14:textId="63EFEE06" w:rsidR="00817C25" w:rsidRPr="003D7682" w:rsidRDefault="007D27D5" w:rsidP="00817C25">
      <w:pPr>
        <w:spacing w:line="360" w:lineRule="auto"/>
        <w:ind w:right="39"/>
        <w:jc w:val="both"/>
        <w:rPr>
          <w:rFonts w:ascii="Palatino Linotype" w:hAnsi="Palatino Linotype" w:cs="Arial"/>
          <w:sz w:val="24"/>
          <w:szCs w:val="24"/>
        </w:rPr>
      </w:pPr>
      <w:r>
        <w:rPr>
          <w:rFonts w:ascii="Palatino Linotype" w:hAnsi="Palatino Linotype" w:cs="Arial"/>
          <w:sz w:val="24"/>
          <w:szCs w:val="24"/>
        </w:rPr>
        <w:t>De manera complementaria</w:t>
      </w:r>
      <w:r w:rsidR="00817C25" w:rsidRPr="006C3A6A">
        <w:rPr>
          <w:rFonts w:ascii="Palatino Linotype" w:hAnsi="Palatino Linotype" w:cs="Arial"/>
          <w:sz w:val="24"/>
          <w:szCs w:val="24"/>
        </w:rPr>
        <w:t xml:space="preserve">, el Código Reglamentario Municipal de Toluca en sus artículos </w:t>
      </w:r>
      <w:r w:rsidR="00817C25" w:rsidRPr="006C3A6A">
        <w:rPr>
          <w:rFonts w:ascii="Palatino Linotype" w:hAnsi="Palatino Linotype" w:cs="Arial"/>
          <w:b/>
          <w:bCs/>
          <w:sz w:val="24"/>
          <w:szCs w:val="24"/>
        </w:rPr>
        <w:t>9.123,9.124,  9.139, 9.141 y  9.143</w:t>
      </w:r>
      <w:r w:rsidR="00817C25" w:rsidRPr="006C3A6A">
        <w:rPr>
          <w:rFonts w:ascii="Palatino Linotype" w:hAnsi="Palatino Linotype" w:cs="Arial"/>
          <w:sz w:val="24"/>
          <w:szCs w:val="24"/>
        </w:rPr>
        <w:t xml:space="preserve"> a fin de establecer que</w:t>
      </w:r>
      <w:r w:rsidR="00817C25" w:rsidRPr="006C3A6A">
        <w:rPr>
          <w:rFonts w:ascii="Palatino Linotype" w:hAnsi="Palatino Linotype"/>
          <w:sz w:val="24"/>
          <w:szCs w:val="24"/>
        </w:rPr>
        <w:t xml:space="preserve"> los anuncios comerciales que se instalen, pueden ser de naturales fijos,</w:t>
      </w:r>
      <w:r w:rsidR="00817C25">
        <w:rPr>
          <w:rFonts w:ascii="Palatino Linotype" w:hAnsi="Palatino Linotype"/>
          <w:sz w:val="24"/>
          <w:szCs w:val="24"/>
        </w:rPr>
        <w:t xml:space="preserve"> móviles o </w:t>
      </w:r>
      <w:proofErr w:type="spellStart"/>
      <w:r w:rsidR="00817C25">
        <w:rPr>
          <w:rFonts w:ascii="Palatino Linotype" w:hAnsi="Palatino Linotype"/>
          <w:sz w:val="24"/>
          <w:szCs w:val="24"/>
        </w:rPr>
        <w:t>semi</w:t>
      </w:r>
      <w:proofErr w:type="spellEnd"/>
      <w:r w:rsidR="00817C25">
        <w:rPr>
          <w:rFonts w:ascii="Palatino Linotype" w:hAnsi="Palatino Linotype"/>
          <w:sz w:val="24"/>
          <w:szCs w:val="24"/>
        </w:rPr>
        <w:t xml:space="preserve"> </w:t>
      </w:r>
      <w:r w:rsidR="00817C25" w:rsidRPr="00EB0526">
        <w:rPr>
          <w:rFonts w:ascii="Palatino Linotype" w:hAnsi="Palatino Linotype"/>
          <w:sz w:val="24"/>
          <w:szCs w:val="24"/>
        </w:rPr>
        <w:t>móviles, se clasificarán en permanentes, temporales y eventuales</w:t>
      </w:r>
      <w:r w:rsidR="00817C25">
        <w:rPr>
          <w:rFonts w:ascii="Palatino Linotype" w:hAnsi="Palatino Linotype" w:cs="Arial"/>
          <w:sz w:val="24"/>
          <w:szCs w:val="24"/>
        </w:rPr>
        <w:t xml:space="preserve"> y que l</w:t>
      </w:r>
      <w:r w:rsidR="00817C25" w:rsidRPr="00EB0526">
        <w:rPr>
          <w:rFonts w:ascii="Palatino Linotype" w:hAnsi="Palatino Linotype"/>
          <w:sz w:val="24"/>
          <w:szCs w:val="24"/>
        </w:rPr>
        <w:t>as licencias o permisos para anuncios comerciales permanentes serán anuale</w:t>
      </w:r>
      <w:r w:rsidR="00817C25">
        <w:rPr>
          <w:rFonts w:ascii="Palatino Linotype" w:hAnsi="Palatino Linotype"/>
          <w:sz w:val="24"/>
          <w:szCs w:val="24"/>
        </w:rPr>
        <w:t>s por lo que</w:t>
      </w:r>
      <w:r w:rsidR="00817C25" w:rsidRPr="00EB0526">
        <w:rPr>
          <w:rFonts w:ascii="Palatino Linotype" w:hAnsi="Palatino Linotype"/>
          <w:sz w:val="24"/>
          <w:szCs w:val="24"/>
        </w:rPr>
        <w:t xml:space="preserve"> </w:t>
      </w:r>
      <w:r w:rsidR="00817C25">
        <w:rPr>
          <w:rFonts w:ascii="Palatino Linotype" w:hAnsi="Palatino Linotype"/>
          <w:sz w:val="24"/>
          <w:szCs w:val="24"/>
        </w:rPr>
        <w:t xml:space="preserve">para obtener una </w:t>
      </w:r>
      <w:r w:rsidR="00817C25">
        <w:rPr>
          <w:rFonts w:ascii="Palatino Linotype" w:hAnsi="Palatino Linotype"/>
          <w:sz w:val="24"/>
          <w:szCs w:val="24"/>
        </w:rPr>
        <w:lastRenderedPageBreak/>
        <w:t xml:space="preserve">licencia o permiso se tiene que presentar una solicitud la cual debe cumplir con requisitos como por ejemplo el Nombre o Razón Social, el periodo de autorización así como </w:t>
      </w:r>
      <w:r w:rsidR="00817C25" w:rsidRPr="003D7682">
        <w:rPr>
          <w:rFonts w:ascii="Palatino Linotype" w:hAnsi="Palatino Linotype"/>
          <w:sz w:val="24"/>
          <w:szCs w:val="24"/>
        </w:rPr>
        <w:t>el contrato de arrendamiento o autorización escrita por el propietario del inmueble en que se vaya a colocar el anuncio</w:t>
      </w:r>
      <w:r w:rsidR="00817C25">
        <w:rPr>
          <w:rFonts w:ascii="Palatino Linotype" w:hAnsi="Palatino Linotype"/>
          <w:sz w:val="24"/>
          <w:szCs w:val="24"/>
        </w:rPr>
        <w:t xml:space="preserve"> conforme lo siguiente; </w:t>
      </w:r>
    </w:p>
    <w:p w14:paraId="571AE6C7" w14:textId="5DB9F2DA" w:rsidR="00817C25" w:rsidRPr="00D127F6" w:rsidRDefault="00D127F6" w:rsidP="00D127F6">
      <w:pPr>
        <w:pStyle w:val="Citas"/>
        <w:rPr>
          <w:bCs/>
        </w:rPr>
      </w:pPr>
      <w:r>
        <w:rPr>
          <w:bCs/>
        </w:rPr>
        <w:t>“</w:t>
      </w:r>
      <w:r w:rsidR="00817C25" w:rsidRPr="00D127F6">
        <w:rPr>
          <w:bCs/>
        </w:rPr>
        <w:t>Artículo 9.123. Se requiere de licencia o permiso de parte de la autoridad municipal, para difundir la actividad comercial, industrial, de espectáculo o de servicio que se desarrollen dentro del Municipio.</w:t>
      </w:r>
    </w:p>
    <w:p w14:paraId="3E143BC8" w14:textId="77777777" w:rsidR="00817C25" w:rsidRPr="00D127F6" w:rsidRDefault="00817C25" w:rsidP="00D127F6">
      <w:pPr>
        <w:pStyle w:val="Citas"/>
        <w:rPr>
          <w:bCs/>
        </w:rPr>
      </w:pPr>
      <w:r w:rsidRPr="00D127F6">
        <w:rPr>
          <w:bCs/>
        </w:rPr>
        <w:t xml:space="preserve">Artículo 9.124. Todos los anuncios comerciales que se instalen, sean fijos, móviles o </w:t>
      </w:r>
      <w:proofErr w:type="spellStart"/>
      <w:r w:rsidRPr="00D127F6">
        <w:rPr>
          <w:bCs/>
        </w:rPr>
        <w:t>semi</w:t>
      </w:r>
      <w:proofErr w:type="spellEnd"/>
      <w:r w:rsidRPr="00D127F6">
        <w:rPr>
          <w:bCs/>
        </w:rPr>
        <w:t xml:space="preserve"> móviles, se clasificarán en permanentes, temporales y eventuales, conforme al Manual de Normas Técnicas de Imagen Urbana de Toluca. </w:t>
      </w:r>
    </w:p>
    <w:p w14:paraId="2946392E" w14:textId="383CC6EA" w:rsidR="00817C25" w:rsidRPr="00D127F6" w:rsidRDefault="00D127F6" w:rsidP="00D127F6">
      <w:pPr>
        <w:pStyle w:val="Citas"/>
        <w:rPr>
          <w:bCs/>
        </w:rPr>
      </w:pPr>
      <w:r w:rsidRPr="00D127F6">
        <w:rPr>
          <w:bCs/>
        </w:rPr>
        <w:t>(…)</w:t>
      </w:r>
    </w:p>
    <w:p w14:paraId="2491D2BA" w14:textId="77777777" w:rsidR="00817C25" w:rsidRPr="00D127F6" w:rsidRDefault="00817C25" w:rsidP="00D127F6">
      <w:pPr>
        <w:pStyle w:val="Citas"/>
        <w:rPr>
          <w:bCs/>
        </w:rPr>
      </w:pPr>
      <w:r w:rsidRPr="00D127F6">
        <w:rPr>
          <w:bCs/>
        </w:rPr>
        <w:t>Artículo 9.139 bis. Se entiende por anuncios espectaculares a aquellos que están construidos por los siguientes elementos: una base o estructura, una cartelera y un cartel; que originan un alto impacto positivo o negativo a la percepción visual y a la imagen urbana y que tenga una o más caras de exhibición, que su explotación visual es apreciable a varios kilómetros de su ubicación y cuyas características son de mayores alcances, como lo es una altura.</w:t>
      </w:r>
    </w:p>
    <w:p w14:paraId="0EAC7E6D" w14:textId="77777777" w:rsidR="00817C25" w:rsidRPr="00D127F6" w:rsidRDefault="00817C25" w:rsidP="00D127F6">
      <w:pPr>
        <w:pStyle w:val="Citas"/>
        <w:rPr>
          <w:bCs/>
        </w:rPr>
      </w:pPr>
      <w:r w:rsidRPr="00D127F6">
        <w:rPr>
          <w:bCs/>
        </w:rPr>
        <w:t>Artículo 9.141. Las licencias o permisos para anuncios comerciales permanentes serán anuales, de acuerdo con el ejercicio fiscal correspondiente.</w:t>
      </w:r>
    </w:p>
    <w:p w14:paraId="25E24C81" w14:textId="77777777" w:rsidR="00817C25" w:rsidRPr="00D127F6" w:rsidRDefault="00817C25" w:rsidP="00D127F6">
      <w:pPr>
        <w:pStyle w:val="Citas"/>
        <w:rPr>
          <w:bCs/>
          <w:sz w:val="24"/>
          <w:szCs w:val="24"/>
        </w:rPr>
      </w:pPr>
      <w:r w:rsidRPr="00D127F6">
        <w:rPr>
          <w:bCs/>
        </w:rPr>
        <w:t>Artículo 9.143. Las personas físicas o jurídicas colectivas que deseen obtener licencia o permiso de la autoridad municipal para la instalación de anuncios deberán presentar la solicitud correspondiente con los siguientes documentos:</w:t>
      </w:r>
    </w:p>
    <w:p w14:paraId="759DC35B" w14:textId="77777777" w:rsidR="00817C25" w:rsidRPr="00D127F6" w:rsidRDefault="00817C25" w:rsidP="00D127F6">
      <w:pPr>
        <w:pStyle w:val="Citas"/>
        <w:numPr>
          <w:ilvl w:val="0"/>
          <w:numId w:val="11"/>
        </w:numPr>
        <w:rPr>
          <w:bCs/>
        </w:rPr>
      </w:pPr>
      <w:r w:rsidRPr="00D127F6">
        <w:rPr>
          <w:bCs/>
        </w:rPr>
        <w:lastRenderedPageBreak/>
        <w:t xml:space="preserve">Nombre o razón social, domicilio del solicitante, giro del negocio; </w:t>
      </w:r>
    </w:p>
    <w:p w14:paraId="405C79BD" w14:textId="77777777" w:rsidR="00817C25" w:rsidRPr="00E03301" w:rsidRDefault="00817C25" w:rsidP="00D127F6">
      <w:pPr>
        <w:pStyle w:val="Citas"/>
        <w:numPr>
          <w:ilvl w:val="0"/>
          <w:numId w:val="11"/>
        </w:numPr>
        <w:rPr>
          <w:sz w:val="24"/>
          <w:szCs w:val="24"/>
        </w:rPr>
      </w:pPr>
      <w:r w:rsidRPr="00E03301">
        <w:t xml:space="preserve">Fotografía, dibujo, croquis o descripción que muestre la forma, dimensiones, colores, texto y demás elementos que constituyan el anuncio; </w:t>
      </w:r>
    </w:p>
    <w:p w14:paraId="36B70EEB" w14:textId="4972567E" w:rsidR="00817C25" w:rsidRPr="00E03301" w:rsidRDefault="00817C25" w:rsidP="00D127F6">
      <w:pPr>
        <w:pStyle w:val="Citas"/>
        <w:numPr>
          <w:ilvl w:val="0"/>
          <w:numId w:val="11"/>
        </w:numPr>
        <w:rPr>
          <w:sz w:val="24"/>
          <w:szCs w:val="24"/>
        </w:rPr>
      </w:pPr>
      <w:r w:rsidRPr="00E03301">
        <w:t xml:space="preserve">Materiales con los que será construido el anuncio;  </w:t>
      </w:r>
    </w:p>
    <w:p w14:paraId="27C41D3F" w14:textId="77777777" w:rsidR="00817C25" w:rsidRPr="00E03301" w:rsidRDefault="00817C25" w:rsidP="00D127F6">
      <w:pPr>
        <w:pStyle w:val="Citas"/>
        <w:numPr>
          <w:ilvl w:val="0"/>
          <w:numId w:val="11"/>
        </w:numPr>
        <w:rPr>
          <w:sz w:val="24"/>
          <w:szCs w:val="24"/>
        </w:rPr>
      </w:pPr>
      <w:r w:rsidRPr="00E03301">
        <w:t xml:space="preserve">Ubicación del anuncio, en el inmueble; </w:t>
      </w:r>
    </w:p>
    <w:p w14:paraId="29A2C57E" w14:textId="77777777" w:rsidR="00817C25" w:rsidRPr="00D127F6" w:rsidRDefault="00817C25" w:rsidP="00D127F6">
      <w:pPr>
        <w:pStyle w:val="Citas"/>
        <w:numPr>
          <w:ilvl w:val="0"/>
          <w:numId w:val="11"/>
        </w:numPr>
        <w:rPr>
          <w:bCs/>
          <w:sz w:val="24"/>
          <w:szCs w:val="24"/>
        </w:rPr>
      </w:pPr>
      <w:r w:rsidRPr="00D127F6">
        <w:rPr>
          <w:bCs/>
        </w:rPr>
        <w:t xml:space="preserve">Período de autorización del anuncio; </w:t>
      </w:r>
    </w:p>
    <w:p w14:paraId="647F30D0" w14:textId="77777777" w:rsidR="00817C25" w:rsidRPr="00D127F6" w:rsidRDefault="00817C25" w:rsidP="00D127F6">
      <w:pPr>
        <w:pStyle w:val="Citas"/>
        <w:numPr>
          <w:ilvl w:val="0"/>
          <w:numId w:val="11"/>
        </w:numPr>
        <w:rPr>
          <w:bCs/>
          <w:sz w:val="24"/>
          <w:szCs w:val="24"/>
        </w:rPr>
      </w:pPr>
      <w:r w:rsidRPr="00D127F6">
        <w:rPr>
          <w:bCs/>
        </w:rPr>
        <w:t xml:space="preserve">Fotografías a color de la perspectiva completa de la calle del inmueble en el que se pretenda instalar el anuncio, marcando sobre ellas el contorno que muestre el aspecto del anuncio ya instalado; </w:t>
      </w:r>
    </w:p>
    <w:p w14:paraId="7E8084AF" w14:textId="77777777" w:rsidR="00817C25" w:rsidRPr="00D127F6" w:rsidRDefault="00817C25" w:rsidP="00D127F6">
      <w:pPr>
        <w:pStyle w:val="Citas"/>
        <w:numPr>
          <w:ilvl w:val="0"/>
          <w:numId w:val="11"/>
        </w:numPr>
        <w:rPr>
          <w:bCs/>
          <w:sz w:val="24"/>
          <w:szCs w:val="24"/>
        </w:rPr>
      </w:pPr>
      <w:r w:rsidRPr="00D127F6">
        <w:rPr>
          <w:bCs/>
        </w:rPr>
        <w:t xml:space="preserve">La altura sobre el nivel de la calle y saliente máximo respecto del alineamiento del predio; y </w:t>
      </w:r>
    </w:p>
    <w:p w14:paraId="236F27B6" w14:textId="606EDD76" w:rsidR="00817C25" w:rsidRPr="00D127F6" w:rsidRDefault="00817C25" w:rsidP="00D127F6">
      <w:pPr>
        <w:pStyle w:val="Citas"/>
        <w:numPr>
          <w:ilvl w:val="0"/>
          <w:numId w:val="11"/>
        </w:numPr>
        <w:rPr>
          <w:bCs/>
          <w:sz w:val="24"/>
          <w:szCs w:val="24"/>
        </w:rPr>
      </w:pPr>
      <w:r w:rsidRPr="00D127F6">
        <w:rPr>
          <w:bCs/>
        </w:rPr>
        <w:t>En su caso el contrato de arrendamiento o autorización escrita por el propietario del inmueble en que se vaya a colocar el anuncio.</w:t>
      </w:r>
      <w:r w:rsidR="00D127F6">
        <w:rPr>
          <w:bCs/>
        </w:rPr>
        <w:t xml:space="preserve">” </w:t>
      </w:r>
      <w:r w:rsidR="00D127F6">
        <w:rPr>
          <w:b/>
        </w:rPr>
        <w:t>(Sic)</w:t>
      </w:r>
    </w:p>
    <w:p w14:paraId="7A532796" w14:textId="77777777" w:rsidR="00817C25" w:rsidRDefault="00817C25" w:rsidP="00817C25">
      <w:pPr>
        <w:spacing w:line="360" w:lineRule="auto"/>
        <w:ind w:right="39"/>
        <w:jc w:val="both"/>
        <w:rPr>
          <w:rFonts w:ascii="Palatino Linotype" w:hAnsi="Palatino Linotype" w:cs="Arial"/>
          <w:sz w:val="24"/>
          <w:szCs w:val="24"/>
        </w:rPr>
      </w:pPr>
    </w:p>
    <w:p w14:paraId="6322A7B7" w14:textId="77777777" w:rsidR="00817C25" w:rsidRPr="00D127F6" w:rsidRDefault="00817C25" w:rsidP="00817C25">
      <w:pPr>
        <w:spacing w:line="360" w:lineRule="auto"/>
        <w:ind w:right="-93"/>
        <w:jc w:val="both"/>
        <w:rPr>
          <w:rFonts w:ascii="Palatino Linotype" w:hAnsi="Palatino Linotype" w:cs="Tahoma"/>
          <w:bCs/>
          <w:sz w:val="24"/>
          <w:szCs w:val="24"/>
        </w:rPr>
      </w:pPr>
      <w:r w:rsidRPr="00D127F6">
        <w:rPr>
          <w:rFonts w:ascii="Palatino Linotype" w:hAnsi="Palatino Linotype" w:cs="Tahoma"/>
          <w:bCs/>
          <w:sz w:val="24"/>
          <w:szCs w:val="24"/>
        </w:rPr>
        <w:t>Ahora bien, se puede establecer que el "Diario de Ingresos" tiene como propósito primordial documentar las operaciones diarias relacionadas con los ingresos de la entidad. Este registro sistemático permite un control detallado de las entradas monetarias, facilitando así la supervisión y auditoría de las mismas, utilizar este documento, se garantiza no solo la integridad y exactitud de la información presentada, sino también la confianza en los procesos administrativos de la entidad.</w:t>
      </w:r>
    </w:p>
    <w:p w14:paraId="7B9DFA6B" w14:textId="77777777" w:rsidR="00817C25" w:rsidRPr="00D127F6" w:rsidRDefault="00817C25" w:rsidP="00817C25">
      <w:pPr>
        <w:spacing w:line="360" w:lineRule="auto"/>
        <w:ind w:right="-93"/>
        <w:jc w:val="both"/>
        <w:rPr>
          <w:rFonts w:ascii="Palatino Linotype" w:hAnsi="Palatino Linotype" w:cs="Tahoma"/>
          <w:bCs/>
          <w:sz w:val="24"/>
          <w:szCs w:val="24"/>
          <w:lang w:val="es-ES"/>
        </w:rPr>
      </w:pPr>
      <w:r w:rsidRPr="00D127F6">
        <w:rPr>
          <w:rFonts w:ascii="Palatino Linotype" w:hAnsi="Palatino Linotype" w:cs="Tahoma"/>
          <w:bCs/>
          <w:sz w:val="24"/>
          <w:szCs w:val="24"/>
          <w:lang w:val="es-ES"/>
        </w:rPr>
        <w:lastRenderedPageBreak/>
        <w:t>Entonces el Diario de Ingresos no solo cumple con la función de registro, sino que también facilita la elaboración de los informes trimestrales requeridos por las normativas municipales. Al detallar cada entrada de recursos, permite una revisión exhaustiva de los movimientos financieros, lo que contribuye a la claridad y transparencia en la gestión de los fondos públicos. Además, es importante resaltar que este documento está alineado con los criterios establecidos en el "Informe Trimestral Municipal", los cuales han sido diseñados para garantizar una adecuada rendición de cuentas. La adopción de este formato estandarizado permite que los datos financieros sean comparables y consistentes a lo largo del tiempo, facilitando así la evaluación de la situación económica de la entidad por parte de los órganos de control y la ciudadanía en general.</w:t>
      </w:r>
    </w:p>
    <w:p w14:paraId="79178A75" w14:textId="77777777" w:rsidR="00817C25" w:rsidRDefault="00817C25" w:rsidP="00817C25">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t xml:space="preserve">En este sentido, la implementación del "Diario de Ingresos" responde a la necesidad de una administración financiera responsable, en la que cada operación sea debidamente registrada y clasificada. </w:t>
      </w:r>
    </w:p>
    <w:p w14:paraId="1727AFF4" w14:textId="77777777" w:rsidR="00817C25" w:rsidRPr="00304D5C" w:rsidRDefault="00817C25" w:rsidP="00817C25">
      <w:pPr>
        <w:spacing w:line="360" w:lineRule="auto"/>
        <w:ind w:right="-93"/>
        <w:jc w:val="center"/>
        <w:rPr>
          <w:rFonts w:ascii="Palatino Linotype" w:hAnsi="Palatino Linotype" w:cs="Tahoma"/>
          <w:bCs/>
          <w:sz w:val="24"/>
          <w:szCs w:val="24"/>
          <w:lang w:val="es-ES"/>
        </w:rPr>
      </w:pPr>
      <w:r w:rsidRPr="00440CE0">
        <w:rPr>
          <w:rFonts w:cs="Tahoma"/>
          <w:bCs/>
          <w:noProof/>
          <w:lang w:eastAsia="es-MX"/>
        </w:rPr>
        <w:drawing>
          <wp:anchor distT="0" distB="0" distL="114300" distR="114300" simplePos="0" relativeHeight="251683840" behindDoc="0" locked="0" layoutInCell="1" allowOverlap="1" wp14:anchorId="1E224656" wp14:editId="6FDE0F95">
            <wp:simplePos x="0" y="0"/>
            <wp:positionH relativeFrom="page">
              <wp:align>center</wp:align>
            </wp:positionH>
            <wp:positionV relativeFrom="paragraph">
              <wp:posOffset>110490</wp:posOffset>
            </wp:positionV>
            <wp:extent cx="3735705" cy="2823210"/>
            <wp:effectExtent l="19050" t="19050" r="17145" b="15240"/>
            <wp:wrapThrough wrapText="bothSides">
              <wp:wrapPolygon edited="0">
                <wp:start x="-110" y="-146"/>
                <wp:lineTo x="-110" y="21571"/>
                <wp:lineTo x="21589" y="21571"/>
                <wp:lineTo x="21589" y="-146"/>
                <wp:lineTo x="-110" y="-146"/>
              </wp:wrapPolygon>
            </wp:wrapThrough>
            <wp:docPr id="7563670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5705" cy="2823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895EA72" w14:textId="77777777" w:rsidR="00817C25" w:rsidRDefault="00817C25" w:rsidP="00817C25">
      <w:pPr>
        <w:spacing w:line="360" w:lineRule="auto"/>
        <w:ind w:right="-93"/>
        <w:jc w:val="both"/>
        <w:rPr>
          <w:rFonts w:ascii="Palatino Linotype" w:hAnsi="Palatino Linotype" w:cs="Tahoma"/>
          <w:bCs/>
          <w:sz w:val="24"/>
          <w:szCs w:val="24"/>
          <w:lang w:val="es-ES"/>
        </w:rPr>
      </w:pPr>
    </w:p>
    <w:p w14:paraId="2CB71AEC" w14:textId="77777777" w:rsidR="00D127F6" w:rsidRDefault="00D127F6" w:rsidP="00817C25">
      <w:pPr>
        <w:spacing w:line="360" w:lineRule="auto"/>
        <w:ind w:right="-93"/>
        <w:jc w:val="both"/>
        <w:rPr>
          <w:rFonts w:ascii="Palatino Linotype" w:hAnsi="Palatino Linotype" w:cs="Tahoma"/>
          <w:bCs/>
          <w:sz w:val="24"/>
          <w:szCs w:val="24"/>
          <w:lang w:val="es-ES"/>
        </w:rPr>
      </w:pPr>
    </w:p>
    <w:p w14:paraId="4F6DD01F" w14:textId="77777777" w:rsidR="00D127F6" w:rsidRDefault="00D127F6" w:rsidP="00817C25">
      <w:pPr>
        <w:spacing w:line="360" w:lineRule="auto"/>
        <w:ind w:right="-93"/>
        <w:jc w:val="both"/>
        <w:rPr>
          <w:rFonts w:ascii="Palatino Linotype" w:hAnsi="Palatino Linotype" w:cs="Tahoma"/>
          <w:bCs/>
          <w:sz w:val="24"/>
          <w:szCs w:val="24"/>
          <w:lang w:val="es-ES"/>
        </w:rPr>
      </w:pPr>
    </w:p>
    <w:p w14:paraId="2C472501" w14:textId="77777777" w:rsidR="00D127F6" w:rsidRDefault="00D127F6" w:rsidP="00817C25">
      <w:pPr>
        <w:spacing w:line="360" w:lineRule="auto"/>
        <w:ind w:right="-93"/>
        <w:jc w:val="both"/>
        <w:rPr>
          <w:rFonts w:ascii="Palatino Linotype" w:hAnsi="Palatino Linotype" w:cs="Tahoma"/>
          <w:bCs/>
          <w:sz w:val="24"/>
          <w:szCs w:val="24"/>
          <w:lang w:val="es-ES"/>
        </w:rPr>
      </w:pPr>
    </w:p>
    <w:p w14:paraId="3D23C14D" w14:textId="77777777" w:rsidR="00D127F6" w:rsidRDefault="00D127F6" w:rsidP="00817C25">
      <w:pPr>
        <w:spacing w:line="360" w:lineRule="auto"/>
        <w:ind w:right="-93"/>
        <w:jc w:val="both"/>
        <w:rPr>
          <w:rFonts w:ascii="Palatino Linotype" w:hAnsi="Palatino Linotype" w:cs="Tahoma"/>
          <w:bCs/>
          <w:sz w:val="24"/>
          <w:szCs w:val="24"/>
          <w:lang w:val="es-ES"/>
        </w:rPr>
      </w:pPr>
    </w:p>
    <w:p w14:paraId="78F00A38" w14:textId="77777777" w:rsidR="00D127F6" w:rsidRDefault="00D127F6" w:rsidP="00817C25">
      <w:pPr>
        <w:spacing w:line="360" w:lineRule="auto"/>
        <w:ind w:right="-93"/>
        <w:jc w:val="both"/>
        <w:rPr>
          <w:rFonts w:ascii="Palatino Linotype" w:hAnsi="Palatino Linotype" w:cs="Tahoma"/>
          <w:bCs/>
          <w:sz w:val="24"/>
          <w:szCs w:val="24"/>
          <w:lang w:val="es-ES"/>
        </w:rPr>
      </w:pPr>
    </w:p>
    <w:p w14:paraId="5A500A34" w14:textId="77777777" w:rsidR="00817C25" w:rsidRPr="00304D5C" w:rsidRDefault="00817C25" w:rsidP="00817C25">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lastRenderedPageBreak/>
        <w:t>Los informes trimestrales, junto con el "Diario de Ingresos", permiten una evaluación precisa y continua del manejo de los ingresos. Estos documentos son esenciales para que el Órgano Superior de Fiscalización del Estado de México pueda realizar una supervisión efectiva, asegurando que los fondos se utilicen de manera adecuada y conforme a los principios de eficiencia y legalidad.</w:t>
      </w:r>
    </w:p>
    <w:p w14:paraId="4BA45138" w14:textId="533254CF" w:rsidR="00817C25" w:rsidRPr="007873A3" w:rsidRDefault="00817C25" w:rsidP="00817C25">
      <w:pPr>
        <w:spacing w:line="360" w:lineRule="auto"/>
        <w:ind w:right="-93"/>
        <w:jc w:val="both"/>
        <w:rPr>
          <w:rFonts w:ascii="Palatino Linotype" w:hAnsi="Palatino Linotype" w:cs="Tahoma"/>
          <w:bCs/>
          <w:sz w:val="24"/>
          <w:szCs w:val="24"/>
          <w:lang w:val="es-ES"/>
        </w:rPr>
      </w:pPr>
      <w:r w:rsidRPr="00304D5C">
        <w:rPr>
          <w:rFonts w:ascii="Palatino Linotype" w:hAnsi="Palatino Linotype" w:cs="Tahoma"/>
          <w:bCs/>
          <w:sz w:val="24"/>
          <w:szCs w:val="24"/>
          <w:lang w:val="es-ES"/>
        </w:rPr>
        <w:t>Además, la elaboración y presentación oportuna de</w:t>
      </w:r>
      <w:r>
        <w:rPr>
          <w:rFonts w:ascii="Palatino Linotype" w:hAnsi="Palatino Linotype" w:cs="Tahoma"/>
          <w:bCs/>
          <w:sz w:val="24"/>
          <w:szCs w:val="24"/>
          <w:lang w:val="es-ES"/>
        </w:rPr>
        <w:t xml:space="preserve"> estos informes garantiza que </w:t>
      </w:r>
      <w:r w:rsidR="00D127F6">
        <w:rPr>
          <w:rFonts w:ascii="Palatino Linotype" w:hAnsi="Palatino Linotype" w:cs="Tahoma"/>
          <w:b/>
          <w:sz w:val="24"/>
          <w:szCs w:val="24"/>
          <w:lang w:val="es-ES"/>
        </w:rPr>
        <w:t>El Sujeto Obligado</w:t>
      </w:r>
      <w:r w:rsidRPr="00304D5C">
        <w:rPr>
          <w:rFonts w:ascii="Palatino Linotype" w:hAnsi="Palatino Linotype" w:cs="Tahoma"/>
          <w:bCs/>
          <w:sz w:val="24"/>
          <w:szCs w:val="24"/>
          <w:lang w:val="es-ES"/>
        </w:rPr>
        <w:t xml:space="preserve"> mantenga un registro ordenado y verificable de todas las transacciones financieras, lo que es crucial para prevenir irregularidades y para facilitar cualquier auditoría que las autoridades competentes decidan realizar.</w:t>
      </w:r>
    </w:p>
    <w:p w14:paraId="3D0F0D64" w14:textId="61BF336D" w:rsidR="00817C25" w:rsidRPr="00304D5C" w:rsidRDefault="00817C25" w:rsidP="00817C25">
      <w:pPr>
        <w:spacing w:line="360" w:lineRule="auto"/>
        <w:ind w:right="-93"/>
        <w:jc w:val="both"/>
        <w:rPr>
          <w:rFonts w:ascii="Palatino Linotype" w:hAnsi="Palatino Linotype" w:cs="Tahoma"/>
          <w:bCs/>
          <w:sz w:val="24"/>
          <w:szCs w:val="24"/>
          <w:lang w:val="es-ES_tradnl"/>
        </w:rPr>
      </w:pPr>
      <w:r w:rsidRPr="00304D5C">
        <w:rPr>
          <w:rFonts w:ascii="Palatino Linotype" w:hAnsi="Palatino Linotype" w:cs="Tahoma"/>
          <w:bCs/>
          <w:sz w:val="24"/>
          <w:szCs w:val="24"/>
          <w:lang w:val="es-ES_tradnl"/>
        </w:rPr>
        <w:t>Aunado a lo anterior, se tiene que precisar que la misma se encuentra contemplada dentro de las obligaciones de transparencia común, la cual encuentra sustento en el artículo 92 fracción VII de la Ley de Transparencia y Acceso a la Información Pública del Estado de México y Municipios, que a letra señala:</w:t>
      </w:r>
    </w:p>
    <w:p w14:paraId="058191B8" w14:textId="61EA7FBE" w:rsidR="00817C25" w:rsidRPr="00304D5C" w:rsidRDefault="00D127F6" w:rsidP="00D127F6">
      <w:pPr>
        <w:pStyle w:val="Citas"/>
        <w:rPr>
          <w:lang w:val="es-ES_tradnl"/>
        </w:rPr>
      </w:pPr>
      <w:r>
        <w:rPr>
          <w:b/>
          <w:lang w:val="es-ES_tradnl"/>
        </w:rPr>
        <w:t>“</w:t>
      </w:r>
      <w:r w:rsidR="00817C25" w:rsidRPr="00304D5C">
        <w:rPr>
          <w:b/>
          <w:lang w:val="es-ES_tradnl"/>
        </w:rPr>
        <w:t>Artículo 92.</w:t>
      </w:r>
      <w:r w:rsidR="00817C25" w:rsidRPr="00304D5C">
        <w:rPr>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6BFF1E5" w14:textId="02D9B513" w:rsidR="00817C25" w:rsidRPr="00304D5C" w:rsidRDefault="00D127F6" w:rsidP="00D127F6">
      <w:pPr>
        <w:pStyle w:val="Citas"/>
        <w:rPr>
          <w:lang w:val="es-ES_tradnl"/>
        </w:rPr>
      </w:pPr>
      <w:r>
        <w:rPr>
          <w:lang w:val="es-ES_tradnl"/>
        </w:rPr>
        <w:t>(…)</w:t>
      </w:r>
    </w:p>
    <w:p w14:paraId="1CAFC4EC" w14:textId="7A624540" w:rsidR="00817C25" w:rsidRPr="00D127F6" w:rsidRDefault="00817C25" w:rsidP="00D127F6">
      <w:pPr>
        <w:pStyle w:val="Citas"/>
        <w:rPr>
          <w:b/>
          <w:lang w:val="es-ES_tradnl"/>
        </w:rPr>
      </w:pPr>
      <w:r w:rsidRPr="00304D5C">
        <w:rPr>
          <w:lang w:val="es-ES_tradnl"/>
        </w:rPr>
        <w:t xml:space="preserve">XLVII. </w:t>
      </w:r>
      <w:r w:rsidRPr="00304D5C">
        <w:rPr>
          <w:b/>
          <w:lang w:val="es-ES_tradnl"/>
        </w:rPr>
        <w:t xml:space="preserve">Los ingresos recibidos por cualquier concepto </w:t>
      </w:r>
      <w:r w:rsidRPr="00304D5C">
        <w:rPr>
          <w:lang w:val="es-ES_tradnl"/>
        </w:rPr>
        <w:t>señalando el nombre de los responsables de recibirlos, administrarlos y ejercerlos, indicando el destino de cada uno de ellos;</w:t>
      </w:r>
      <w:r w:rsidR="00D127F6">
        <w:rPr>
          <w:lang w:val="es-ES_tradnl"/>
        </w:rPr>
        <w:t xml:space="preserve">” </w:t>
      </w:r>
      <w:r w:rsidR="00D127F6">
        <w:rPr>
          <w:b/>
          <w:lang w:val="es-ES_tradnl"/>
        </w:rPr>
        <w:t>(Sic)</w:t>
      </w:r>
    </w:p>
    <w:p w14:paraId="593AF937" w14:textId="4C08B15F" w:rsidR="00C56940" w:rsidRDefault="00C56940" w:rsidP="00C56940">
      <w:pPr>
        <w:spacing w:line="360" w:lineRule="auto"/>
        <w:jc w:val="both"/>
        <w:rPr>
          <w:rFonts w:ascii="Palatino Linotype" w:hAnsi="Palatino Linotype" w:cs="Arial"/>
          <w:sz w:val="24"/>
          <w:szCs w:val="24"/>
        </w:rPr>
      </w:pPr>
      <w:r>
        <w:rPr>
          <w:rFonts w:ascii="Palatino Linotype" w:hAnsi="Palatino Linotype"/>
          <w:sz w:val="24"/>
          <w:szCs w:val="24"/>
          <w:lang w:val="es-ES"/>
        </w:rPr>
        <w:lastRenderedPageBreak/>
        <w:t>Hasta aquí lo expuesto</w:t>
      </w:r>
      <w:r>
        <w:rPr>
          <w:rFonts w:ascii="Palatino Linotype" w:hAnsi="Palatino Linotype"/>
          <w:sz w:val="24"/>
          <w:szCs w:val="24"/>
        </w:rPr>
        <w:t xml:space="preserve">,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677A612" w14:textId="77777777" w:rsidR="00C56940" w:rsidRDefault="00C56940" w:rsidP="00C5694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72ADA60" w14:textId="77777777" w:rsidR="00C56940" w:rsidRDefault="00C56940" w:rsidP="00C56940">
      <w:pPr>
        <w:pStyle w:val="Citas"/>
      </w:pPr>
      <w:r>
        <w:t xml:space="preserve">Artículo 19. Se presume que la información debe existir si se refiere a las facultades, competencias y funciones que los ordenamientos jurídicos aplicables otorgan a los sujetos obligados. </w:t>
      </w:r>
    </w:p>
    <w:p w14:paraId="42088CE9" w14:textId="77777777" w:rsidR="00C56940" w:rsidRDefault="00C56940" w:rsidP="00C56940">
      <w:pPr>
        <w:pStyle w:val="Citas"/>
      </w:pPr>
      <w:r>
        <w:t xml:space="preserve">En los casos en que ciertas facultades, competencias o funciones no se hayan ejercido, se debe motivar la respuesta en función de las causas que motiven tal circunstancia. </w:t>
      </w:r>
    </w:p>
    <w:p w14:paraId="5D12A02F" w14:textId="77777777" w:rsidR="00C56940" w:rsidRPr="00407C65" w:rsidRDefault="00C56940" w:rsidP="00C5694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39954FE" w14:textId="77777777" w:rsidR="00C56940" w:rsidRDefault="00C56940" w:rsidP="00C56940">
      <w:pPr>
        <w:pStyle w:val="Prrafodelista"/>
        <w:autoSpaceDE w:val="0"/>
        <w:autoSpaceDN w:val="0"/>
        <w:adjustRightInd w:val="0"/>
        <w:spacing w:before="240" w:after="160" w:line="360" w:lineRule="auto"/>
        <w:ind w:left="0"/>
        <w:jc w:val="both"/>
        <w:rPr>
          <w:rFonts w:ascii="Palatino Linotype" w:hAnsi="Palatino Linotype" w:cs="Arial"/>
          <w:bCs/>
        </w:rPr>
      </w:pPr>
    </w:p>
    <w:p w14:paraId="3633008A" w14:textId="069208E4" w:rsidR="00D127F6" w:rsidRDefault="00483F25" w:rsidP="00483F25">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w:t>
      </w:r>
      <w:r w:rsidRPr="001A5E70">
        <w:rPr>
          <w:rFonts w:ascii="Palatino Linotype" w:hAnsi="Palatino Linotype" w:cs="Arial"/>
          <w:color w:val="000000"/>
          <w:sz w:val="24"/>
          <w:lang w:val="es-ES_tradnl"/>
        </w:rPr>
        <w:t xml:space="preserve">sentado lo anterior, como se mencionó en el antecedente segundo, </w:t>
      </w:r>
      <w:r w:rsidRPr="001A5E70">
        <w:rPr>
          <w:rFonts w:ascii="Palatino Linotype" w:hAnsi="Palatino Linotype" w:cs="Arial"/>
          <w:b/>
          <w:color w:val="000000"/>
          <w:sz w:val="24"/>
          <w:lang w:val="es-ES_tradnl"/>
        </w:rPr>
        <w:t xml:space="preserve">El Sujeto Obligado </w:t>
      </w:r>
      <w:r w:rsidRPr="001A5E70">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D127F6">
        <w:rPr>
          <w:rFonts w:ascii="Palatino Linotype" w:hAnsi="Palatino Linotype" w:cs="Arial"/>
          <w:b/>
          <w:bCs/>
          <w:color w:val="000000"/>
          <w:sz w:val="24"/>
          <w:lang w:val="es-ES_tradnl"/>
        </w:rPr>
        <w:t xml:space="preserve">treinta y uno de marzo de dos mil veinticinco, </w:t>
      </w:r>
      <w:r w:rsidR="00D127F6">
        <w:rPr>
          <w:rFonts w:ascii="Palatino Linotype" w:hAnsi="Palatino Linotype" w:cs="Arial"/>
          <w:color w:val="000000"/>
          <w:sz w:val="24"/>
          <w:lang w:val="es-ES_tradnl"/>
        </w:rPr>
        <w:t xml:space="preserve">rindió su respuesta </w:t>
      </w:r>
      <w:r w:rsidR="00D127F6">
        <w:rPr>
          <w:rFonts w:ascii="Palatino Linotype" w:hAnsi="Palatino Linotype" w:cs="Arial"/>
          <w:color w:val="000000"/>
          <w:sz w:val="24"/>
          <w:lang w:val="es-ES_tradnl"/>
        </w:rPr>
        <w:lastRenderedPageBreak/>
        <w:t>a la solicitud de información formulada por el particular, adjuntado para tal efecto lo siguiente:</w:t>
      </w:r>
    </w:p>
    <w:p w14:paraId="7713D456" w14:textId="7183A6F0" w:rsidR="00D127F6" w:rsidRDefault="00D127F6" w:rsidP="004F4D72">
      <w:pPr>
        <w:pStyle w:val="Prrafodelista"/>
        <w:numPr>
          <w:ilvl w:val="0"/>
          <w:numId w:val="12"/>
        </w:numPr>
        <w:spacing w:after="240" w:line="360" w:lineRule="auto"/>
        <w:jc w:val="both"/>
        <w:rPr>
          <w:rFonts w:ascii="Palatino Linotype" w:hAnsi="Palatino Linotype" w:cs="Arial"/>
          <w:color w:val="000000"/>
          <w:lang w:val="es-ES_tradnl"/>
        </w:rPr>
      </w:pPr>
      <w:r>
        <w:rPr>
          <w:rFonts w:ascii="Palatino Linotype" w:hAnsi="Palatino Linotype" w:cs="Arial"/>
          <w:b/>
          <w:bCs/>
          <w:color w:val="000000"/>
          <w:lang w:val="es-ES_tradnl"/>
        </w:rPr>
        <w:t xml:space="preserve">“RESP. SAIMEX 1411.pdf”: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210010000/541/2025 </w:t>
      </w:r>
      <w:r>
        <w:rPr>
          <w:rFonts w:ascii="Palatino Linotype" w:hAnsi="Palatino Linotype" w:cs="Arial"/>
          <w:color w:val="000000"/>
          <w:lang w:val="es-ES_tradnl"/>
        </w:rPr>
        <w:t xml:space="preserve">signado por la directora general de desarrollo económico, dirigido a quien corresponda, de fecha treinta y uno de marzo de dos mil veinticinco, en términos generales </w:t>
      </w:r>
      <w:r w:rsidR="004F4D72">
        <w:rPr>
          <w:rFonts w:ascii="Palatino Linotype" w:hAnsi="Palatino Linotype" w:cs="Arial"/>
          <w:color w:val="000000"/>
          <w:lang w:val="es-ES_tradnl"/>
        </w:rPr>
        <w:t>resultan de nuestro interés los siguientes extractos:</w:t>
      </w:r>
    </w:p>
    <w:p w14:paraId="6C2A62B2" w14:textId="01D64687"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w:t>
      </w:r>
    </w:p>
    <w:p w14:paraId="345962E2" w14:textId="430C38AD"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Primero…</w:t>
      </w:r>
    </w:p>
    <w:p w14:paraId="2DC47E43" w14:textId="16A2A3FF"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R. Una vez realizada la búsqueda exhaustiva en los archivos físicos y electrónicos en el Sistema de Registro Municipal de Unidades Económicas (RMUE) del Departamento de Licencias y Permisos, se localizaron 836 Licencias de Funcionamiento. </w:t>
      </w:r>
    </w:p>
    <w:p w14:paraId="7FFEEB15" w14:textId="7724D39C"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Segundo…</w:t>
      </w:r>
    </w:p>
    <w:p w14:paraId="1A080AB4" w14:textId="68F1FA7A"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R. Este se encuentra determinado en el artículo 121 del Código Financiero del Estado de México. </w:t>
      </w:r>
    </w:p>
    <w:p w14:paraId="2B477DA8" w14:textId="3E7C1DF4" w:rsidR="004F4D72" w:rsidRDefault="004F4D72" w:rsidP="004F4D72">
      <w:pPr>
        <w:pStyle w:val="Prrafodelista"/>
        <w:spacing w:after="240"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Tercero…</w:t>
      </w:r>
    </w:p>
    <w:p w14:paraId="26F2389D" w14:textId="6FD20CB5" w:rsidR="004F4D72" w:rsidRPr="004F4D72" w:rsidRDefault="004F4D72" w:rsidP="004F4D72">
      <w:pPr>
        <w:pStyle w:val="Prrafodelista"/>
        <w:spacing w:after="240"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Esta Dependencia no genera, no administra ni posee dicha información” </w:t>
      </w:r>
      <w:r>
        <w:rPr>
          <w:rFonts w:ascii="Palatino Linotype" w:hAnsi="Palatino Linotype" w:cs="Arial"/>
          <w:b/>
          <w:bCs/>
          <w:i/>
          <w:iCs/>
          <w:color w:val="000000"/>
          <w:lang w:val="es-ES_tradnl"/>
        </w:rPr>
        <w:t>(Sic)</w:t>
      </w:r>
    </w:p>
    <w:p w14:paraId="0E4F1DB0" w14:textId="77777777" w:rsidR="00D127F6" w:rsidRDefault="00D127F6" w:rsidP="00483F25">
      <w:pPr>
        <w:spacing w:after="240" w:line="360" w:lineRule="auto"/>
        <w:jc w:val="both"/>
        <w:rPr>
          <w:rFonts w:ascii="Palatino Linotype" w:hAnsi="Palatino Linotype" w:cs="Arial"/>
          <w:color w:val="000000"/>
          <w:sz w:val="24"/>
          <w:lang w:val="es-ES_tradnl"/>
        </w:rPr>
      </w:pPr>
    </w:p>
    <w:p w14:paraId="057DC5B6" w14:textId="6FE43F9D" w:rsidR="00CC5F1F" w:rsidRDefault="00CC5F1F" w:rsidP="00CC5F1F">
      <w:pPr>
        <w:spacing w:after="240" w:line="360" w:lineRule="auto"/>
        <w:jc w:val="both"/>
        <w:rPr>
          <w:rFonts w:ascii="Palatino Linotype" w:hAnsi="Palatino Linotype" w:cs="Arial"/>
          <w:color w:val="000000"/>
          <w:sz w:val="24"/>
          <w:lang w:val="es-ES_tradnl"/>
        </w:rPr>
      </w:pPr>
      <w:r w:rsidRPr="00CC5F1F">
        <w:rPr>
          <w:rFonts w:ascii="Palatino Linotype" w:hAnsi="Palatino Linotype" w:cs="Arial"/>
          <w:color w:val="000000"/>
          <w:sz w:val="24"/>
          <w:lang w:val="es-ES_tradnl"/>
        </w:rPr>
        <w:t xml:space="preserve">Inconforme con la respuesta rendida por </w:t>
      </w:r>
      <w:r w:rsidRPr="00CC5F1F">
        <w:rPr>
          <w:rFonts w:ascii="Palatino Linotype" w:hAnsi="Palatino Linotype" w:cs="Arial"/>
          <w:b/>
          <w:bCs/>
          <w:color w:val="000000"/>
          <w:sz w:val="24"/>
          <w:lang w:val="es-ES_tradnl"/>
        </w:rPr>
        <w:t xml:space="preserve">El Sujeto Obligado, El Recurrente </w:t>
      </w:r>
      <w:r w:rsidRPr="00CC5F1F">
        <w:rPr>
          <w:rFonts w:ascii="Palatino Linotype" w:hAnsi="Palatino Linotype" w:cs="Arial"/>
          <w:color w:val="000000"/>
          <w:sz w:val="24"/>
          <w:lang w:val="es-ES_tradnl"/>
        </w:rPr>
        <w:t xml:space="preserve">interpuso recurso de revisión en fecha </w:t>
      </w:r>
      <w:r w:rsidR="004F4D72">
        <w:rPr>
          <w:rFonts w:ascii="Palatino Linotype" w:hAnsi="Palatino Linotype" w:cs="Arial"/>
          <w:b/>
          <w:bCs/>
          <w:color w:val="000000"/>
          <w:sz w:val="24"/>
          <w:lang w:val="es-ES_tradnl"/>
        </w:rPr>
        <w:t xml:space="preserve">veintiocho de abril, </w:t>
      </w:r>
      <w:r w:rsidR="004F4D72">
        <w:rPr>
          <w:rFonts w:ascii="Palatino Linotype" w:hAnsi="Palatino Linotype" w:cs="Arial"/>
          <w:color w:val="000000"/>
          <w:sz w:val="24"/>
          <w:lang w:val="es-ES_tradnl"/>
        </w:rPr>
        <w:t xml:space="preserve">admitiéndose el </w:t>
      </w:r>
      <w:r w:rsidR="004F4D72">
        <w:rPr>
          <w:rFonts w:ascii="Palatino Linotype" w:hAnsi="Palatino Linotype" w:cs="Arial"/>
          <w:b/>
          <w:bCs/>
          <w:color w:val="000000"/>
          <w:sz w:val="24"/>
          <w:lang w:val="es-ES_tradnl"/>
        </w:rPr>
        <w:t xml:space="preserve">seis de mayo, ambos </w:t>
      </w:r>
      <w:r w:rsidR="004F4D72">
        <w:rPr>
          <w:rFonts w:ascii="Palatino Linotype" w:hAnsi="Palatino Linotype" w:cs="Arial"/>
          <w:b/>
          <w:bCs/>
          <w:color w:val="000000"/>
          <w:sz w:val="24"/>
          <w:lang w:val="es-ES_tradnl"/>
        </w:rPr>
        <w:lastRenderedPageBreak/>
        <w:t xml:space="preserve">de dos mil veinticinco. </w:t>
      </w:r>
      <w:r w:rsidR="004F4D72">
        <w:rPr>
          <w:rFonts w:ascii="Palatino Linotype" w:hAnsi="Palatino Linotype" w:cs="Arial"/>
          <w:color w:val="000000"/>
          <w:sz w:val="24"/>
          <w:lang w:val="es-ES_tradnl"/>
        </w:rPr>
        <w:t xml:space="preserve">Para su mejor entendimiento, la información solicitada, el acto impugnado y los motivos de inconformidad, se muestran a continuación: </w:t>
      </w:r>
    </w:p>
    <w:p w14:paraId="3EF9128A" w14:textId="77777777" w:rsidR="007D27D5" w:rsidRPr="004F4D72" w:rsidRDefault="007D27D5" w:rsidP="00CC5F1F">
      <w:pPr>
        <w:spacing w:after="240" w:line="360" w:lineRule="auto"/>
        <w:jc w:val="both"/>
        <w:rPr>
          <w:rFonts w:ascii="Palatino Linotype" w:hAnsi="Palatino Linotype" w:cs="Arial"/>
          <w:color w:val="000000"/>
          <w:sz w:val="24"/>
          <w:lang w:val="es-ES_tradnl"/>
        </w:rPr>
      </w:pPr>
    </w:p>
    <w:tbl>
      <w:tblPr>
        <w:tblStyle w:val="Tablaconcuadrcula"/>
        <w:tblW w:w="8969" w:type="dxa"/>
        <w:tblLook w:val="04A0" w:firstRow="1" w:lastRow="0" w:firstColumn="1" w:lastColumn="0" w:noHBand="0" w:noVBand="1"/>
      </w:tblPr>
      <w:tblGrid>
        <w:gridCol w:w="3681"/>
        <w:gridCol w:w="2693"/>
        <w:gridCol w:w="2595"/>
      </w:tblGrid>
      <w:tr w:rsidR="004F4D72" w:rsidRPr="0025390F" w14:paraId="7995F89D" w14:textId="77777777" w:rsidTr="007D27D5">
        <w:tc>
          <w:tcPr>
            <w:tcW w:w="3681" w:type="dxa"/>
            <w:tcBorders>
              <w:right w:val="single" w:sz="12" w:space="0" w:color="FFFFFF" w:themeColor="background1"/>
            </w:tcBorders>
            <w:shd w:val="clear" w:color="auto" w:fill="000000" w:themeFill="text1"/>
            <w:vAlign w:val="center"/>
          </w:tcPr>
          <w:p w14:paraId="7A6206AC" w14:textId="77777777" w:rsidR="004F4D72" w:rsidRPr="005670A7" w:rsidRDefault="004F4D72" w:rsidP="008A282E">
            <w:pPr>
              <w:pStyle w:val="Prrafodelista"/>
              <w:autoSpaceDE w:val="0"/>
              <w:autoSpaceDN w:val="0"/>
              <w:adjustRightInd w:val="0"/>
              <w:spacing w:before="240" w:after="160" w:line="360" w:lineRule="auto"/>
              <w:ind w:left="0"/>
              <w:jc w:val="center"/>
              <w:rPr>
                <w:rFonts w:ascii="Palatino Linotype" w:hAnsi="Palatino Linotype" w:cs="Arial"/>
                <w:b/>
                <w:bCs/>
                <w:sz w:val="22"/>
                <w:szCs w:val="22"/>
                <w:lang w:val="es-MX"/>
              </w:rPr>
            </w:pPr>
            <w:r w:rsidRPr="005670A7">
              <w:rPr>
                <w:rFonts w:ascii="Palatino Linotype" w:hAnsi="Palatino Linotype" w:cs="Arial"/>
                <w:b/>
                <w:bCs/>
                <w:sz w:val="22"/>
                <w:szCs w:val="22"/>
                <w:lang w:val="es-MX"/>
              </w:rPr>
              <w:t>INFORMACIÓN SOLICITADA</w:t>
            </w:r>
          </w:p>
        </w:tc>
        <w:tc>
          <w:tcPr>
            <w:tcW w:w="2693" w:type="dxa"/>
            <w:tcBorders>
              <w:left w:val="single" w:sz="12" w:space="0" w:color="FFFFFF" w:themeColor="background1"/>
              <w:right w:val="single" w:sz="12" w:space="0" w:color="FFFFFF" w:themeColor="background1"/>
            </w:tcBorders>
            <w:shd w:val="clear" w:color="auto" w:fill="000000" w:themeFill="text1"/>
            <w:vAlign w:val="center"/>
          </w:tcPr>
          <w:p w14:paraId="1DA6F0CB" w14:textId="77777777" w:rsidR="004F4D72" w:rsidRPr="005670A7" w:rsidRDefault="004F4D72" w:rsidP="008A282E">
            <w:pPr>
              <w:pStyle w:val="Prrafodelista"/>
              <w:autoSpaceDE w:val="0"/>
              <w:autoSpaceDN w:val="0"/>
              <w:adjustRightInd w:val="0"/>
              <w:spacing w:before="240" w:after="160" w:line="360" w:lineRule="auto"/>
              <w:ind w:left="0"/>
              <w:jc w:val="center"/>
              <w:rPr>
                <w:rFonts w:ascii="Palatino Linotype" w:hAnsi="Palatino Linotype" w:cs="Arial"/>
                <w:b/>
                <w:bCs/>
                <w:sz w:val="22"/>
                <w:szCs w:val="22"/>
                <w:lang w:val="es-MX"/>
              </w:rPr>
            </w:pPr>
            <w:r w:rsidRPr="005670A7">
              <w:rPr>
                <w:rFonts w:ascii="Palatino Linotype" w:hAnsi="Palatino Linotype" w:cs="Arial"/>
                <w:b/>
                <w:bCs/>
                <w:sz w:val="22"/>
                <w:szCs w:val="22"/>
                <w:lang w:val="es-MX"/>
              </w:rPr>
              <w:t>ACTO IMPUGNADO</w:t>
            </w:r>
          </w:p>
        </w:tc>
        <w:tc>
          <w:tcPr>
            <w:tcW w:w="2595" w:type="dxa"/>
            <w:tcBorders>
              <w:left w:val="single" w:sz="12" w:space="0" w:color="FFFFFF" w:themeColor="background1"/>
            </w:tcBorders>
            <w:shd w:val="clear" w:color="auto" w:fill="000000" w:themeFill="text1"/>
            <w:vAlign w:val="center"/>
          </w:tcPr>
          <w:p w14:paraId="28705C69" w14:textId="77777777" w:rsidR="004F4D72" w:rsidRPr="005670A7" w:rsidRDefault="004F4D72" w:rsidP="008A282E">
            <w:pPr>
              <w:pStyle w:val="Prrafodelista"/>
              <w:autoSpaceDE w:val="0"/>
              <w:autoSpaceDN w:val="0"/>
              <w:adjustRightInd w:val="0"/>
              <w:spacing w:before="240" w:after="160" w:line="360" w:lineRule="auto"/>
              <w:ind w:left="0"/>
              <w:jc w:val="center"/>
              <w:rPr>
                <w:rFonts w:ascii="Palatino Linotype" w:hAnsi="Palatino Linotype" w:cs="Arial"/>
                <w:b/>
                <w:bCs/>
                <w:sz w:val="22"/>
                <w:szCs w:val="22"/>
                <w:lang w:val="es-MX"/>
              </w:rPr>
            </w:pPr>
            <w:r w:rsidRPr="005670A7">
              <w:rPr>
                <w:rFonts w:ascii="Palatino Linotype" w:hAnsi="Palatino Linotype" w:cs="Arial"/>
                <w:b/>
                <w:bCs/>
                <w:sz w:val="22"/>
                <w:szCs w:val="22"/>
                <w:lang w:val="es-MX"/>
              </w:rPr>
              <w:t>RAZONES O MOTIVOS DE INCONFORMIDAD</w:t>
            </w:r>
          </w:p>
        </w:tc>
      </w:tr>
      <w:tr w:rsidR="004F4D72" w:rsidRPr="0025390F" w14:paraId="4DD59233" w14:textId="77777777" w:rsidTr="007D27D5">
        <w:tc>
          <w:tcPr>
            <w:tcW w:w="3681" w:type="dxa"/>
          </w:tcPr>
          <w:p w14:paraId="096FA263" w14:textId="14FF488D" w:rsidR="004F4D72" w:rsidRPr="009274FB" w:rsidRDefault="004F4D72" w:rsidP="004F4D72">
            <w:pPr>
              <w:pStyle w:val="Citas"/>
              <w:ind w:left="0" w:right="174"/>
              <w:rPr>
                <w:b/>
                <w:bCs/>
                <w:highlight w:val="cyan"/>
              </w:rPr>
            </w:pPr>
            <w:r w:rsidRPr="00005FEA">
              <w:t xml:space="preserve">“Cuantos permisos se otorgaron para de Anuncios para locales comerciales en el municipio z y requiero saber </w:t>
            </w:r>
            <w:proofErr w:type="spellStart"/>
            <w:r w:rsidRPr="00005FEA">
              <w:t>cual</w:t>
            </w:r>
            <w:proofErr w:type="spellEnd"/>
            <w:r w:rsidRPr="00005FEA">
              <w:t xml:space="preserve"> es el costo por metro cuadrado, por anuncios Luminosos y cuanto se </w:t>
            </w:r>
            <w:proofErr w:type="spellStart"/>
            <w:r w:rsidRPr="00005FEA">
              <w:t>recuaod</w:t>
            </w:r>
            <w:proofErr w:type="spellEnd"/>
            <w:r w:rsidRPr="00005FEA">
              <w:t xml:space="preserve"> por este concepto de anuncios de 2022 a marzo 2025” </w:t>
            </w:r>
            <w:r w:rsidRPr="00005FEA">
              <w:rPr>
                <w:b/>
                <w:bCs/>
              </w:rPr>
              <w:t>(Sic)</w:t>
            </w:r>
          </w:p>
        </w:tc>
        <w:tc>
          <w:tcPr>
            <w:tcW w:w="2693" w:type="dxa"/>
          </w:tcPr>
          <w:p w14:paraId="1AB5737A" w14:textId="4BB486F1" w:rsidR="004F4D72" w:rsidRPr="004F4D72" w:rsidRDefault="004F4D72" w:rsidP="008A282E">
            <w:pPr>
              <w:pStyle w:val="Citas"/>
              <w:ind w:left="0" w:right="142"/>
              <w:rPr>
                <w:b/>
                <w:bCs/>
                <w:highlight w:val="cyan"/>
              </w:rPr>
            </w:pPr>
            <w:r w:rsidRPr="004F4D72">
              <w:t>“LA RESPEUSTA NEGATIVA”</w:t>
            </w:r>
            <w:r>
              <w:t xml:space="preserve"> </w:t>
            </w:r>
            <w:r>
              <w:rPr>
                <w:b/>
                <w:bCs/>
              </w:rPr>
              <w:t>(Sic)</w:t>
            </w:r>
          </w:p>
        </w:tc>
        <w:tc>
          <w:tcPr>
            <w:tcW w:w="2595" w:type="dxa"/>
          </w:tcPr>
          <w:p w14:paraId="3E1BDC0C" w14:textId="59872B2D" w:rsidR="004F4D72" w:rsidRPr="004F4D72" w:rsidRDefault="004F4D72" w:rsidP="008A282E">
            <w:pPr>
              <w:pStyle w:val="Prrafodelista"/>
              <w:autoSpaceDE w:val="0"/>
              <w:autoSpaceDN w:val="0"/>
              <w:adjustRightInd w:val="0"/>
              <w:spacing w:before="240" w:after="160" w:line="360" w:lineRule="auto"/>
              <w:ind w:left="0"/>
              <w:jc w:val="both"/>
              <w:rPr>
                <w:rFonts w:ascii="Palatino Linotype" w:hAnsi="Palatino Linotype" w:cs="Arial"/>
                <w:b/>
                <w:bCs/>
                <w:i/>
                <w:sz w:val="22"/>
                <w:szCs w:val="22"/>
                <w:highlight w:val="cyan"/>
                <w:lang w:val="es-MX"/>
              </w:rPr>
            </w:pPr>
            <w:r w:rsidRPr="004F4D72">
              <w:rPr>
                <w:rFonts w:ascii="Palatino Linotype" w:hAnsi="Palatino Linotype" w:cs="Arial"/>
                <w:i/>
                <w:sz w:val="22"/>
                <w:szCs w:val="22"/>
                <w:lang w:val="es-MX"/>
              </w:rPr>
              <w:t xml:space="preserve">“SE SOLICITA LA EXPRESIÓN DOCEUMNTAL Y SOLO ME DAN UN NUMERO NO SATISFACE LA ENTREGA DE LA INFORMACIÓN” </w:t>
            </w:r>
            <w:r w:rsidRPr="004F4D72">
              <w:rPr>
                <w:rFonts w:ascii="Palatino Linotype" w:hAnsi="Palatino Linotype" w:cs="Arial"/>
                <w:b/>
                <w:bCs/>
                <w:i/>
                <w:sz w:val="22"/>
                <w:szCs w:val="22"/>
                <w:lang w:val="es-MX"/>
              </w:rPr>
              <w:t>(Sic)</w:t>
            </w:r>
          </w:p>
        </w:tc>
      </w:tr>
    </w:tbl>
    <w:p w14:paraId="4073D456" w14:textId="77777777" w:rsidR="004F4D72" w:rsidRPr="004F4D72" w:rsidRDefault="004F4D72" w:rsidP="00CC5F1F">
      <w:pPr>
        <w:spacing w:after="240" w:line="360" w:lineRule="auto"/>
        <w:jc w:val="both"/>
        <w:rPr>
          <w:rFonts w:ascii="Palatino Linotype" w:hAnsi="Palatino Linotype" w:cs="Arial"/>
          <w:color w:val="000000"/>
          <w:sz w:val="24"/>
        </w:rPr>
      </w:pPr>
    </w:p>
    <w:p w14:paraId="42A6F8C7" w14:textId="77D404CB" w:rsidR="0055040A" w:rsidRPr="007D27D5" w:rsidRDefault="0055040A" w:rsidP="0055040A">
      <w:pPr>
        <w:pStyle w:val="Prrafodelista"/>
        <w:spacing w:line="360" w:lineRule="auto"/>
        <w:ind w:left="0"/>
        <w:contextualSpacing/>
        <w:jc w:val="both"/>
        <w:rPr>
          <w:rFonts w:ascii="Palatino Linotype" w:hAnsi="Palatino Linotype"/>
          <w:color w:val="000000"/>
          <w:lang w:val="es-ES_tradnl"/>
        </w:rPr>
      </w:pPr>
      <w:r w:rsidRPr="0055040A">
        <w:rPr>
          <w:rFonts w:ascii="Palatino Linotype" w:hAnsi="Palatino Linotype"/>
        </w:rPr>
        <w:t xml:space="preserve">Por ello, con relación a </w:t>
      </w:r>
      <w:r w:rsidRPr="0055040A">
        <w:rPr>
          <w:rFonts w:ascii="Palatino Linotype" w:hAnsi="Palatino Linotype" w:cs="Arial"/>
          <w:i/>
          <w:lang w:val="es-MX"/>
        </w:rPr>
        <w:t>“</w:t>
      </w:r>
      <w:r w:rsidRPr="004F4D72">
        <w:rPr>
          <w:rFonts w:ascii="Palatino Linotype" w:hAnsi="Palatino Linotype" w:cs="Arial"/>
          <w:i/>
          <w:sz w:val="22"/>
          <w:szCs w:val="22"/>
          <w:lang w:val="es-MX"/>
        </w:rPr>
        <w:t>SE SOLICITA LA EXPRESIÓN DOCEUMNTAL Y SOLO ME DAN UN NUMERO</w:t>
      </w:r>
      <w:r>
        <w:rPr>
          <w:rFonts w:ascii="Palatino Linotype" w:hAnsi="Palatino Linotype" w:cs="Arial"/>
          <w:i/>
          <w:sz w:val="22"/>
          <w:szCs w:val="22"/>
          <w:lang w:val="es-MX"/>
        </w:rPr>
        <w:t xml:space="preserve">”, </w:t>
      </w:r>
      <w:r w:rsidRPr="0055040A">
        <w:rPr>
          <w:rFonts w:ascii="Palatino Linotype" w:hAnsi="Palatino Linotype"/>
          <w:color w:val="000000"/>
          <w:lang w:val="es-ES_tradnl"/>
        </w:rPr>
        <w:t xml:space="preserve">resulta claro que se añade un nuevo punto a su solicitud de información y se aleja de la materia que dio origen a la respuesta del </w:t>
      </w:r>
      <w:r w:rsidRPr="0055040A">
        <w:rPr>
          <w:rFonts w:ascii="Palatino Linotype" w:hAnsi="Palatino Linotype"/>
          <w:b/>
          <w:bCs/>
          <w:color w:val="000000"/>
          <w:lang w:val="es-ES_tradnl"/>
        </w:rPr>
        <w:t xml:space="preserve">Sujeto Obligado. </w:t>
      </w:r>
      <w:r w:rsidRPr="0055040A">
        <w:rPr>
          <w:rFonts w:ascii="Palatino Linotype" w:hAnsi="Palatino Linotype"/>
          <w:color w:val="000000"/>
          <w:lang w:val="es-ES_tradnl"/>
        </w:rPr>
        <w:t xml:space="preserve">Lo anterior bajo la consideración de que con base en una interpretación literal y gramatical a la solicitud de información </w:t>
      </w:r>
      <w:r>
        <w:rPr>
          <w:rFonts w:ascii="Palatino Linotype" w:hAnsi="Palatino Linotype"/>
          <w:b/>
          <w:bCs/>
          <w:color w:val="000000"/>
          <w:lang w:val="es-ES_tradnl"/>
        </w:rPr>
        <w:t xml:space="preserve">01411/TOLUCA/IP/2025 </w:t>
      </w:r>
      <w:r>
        <w:rPr>
          <w:rFonts w:ascii="Palatino Linotype" w:hAnsi="Palatino Linotype"/>
          <w:color w:val="000000"/>
          <w:lang w:val="es-ES_tradnl"/>
        </w:rPr>
        <w:t xml:space="preserve">no fueron requeridos los permisos de anuncios para locales comerciales, sino conocer </w:t>
      </w:r>
      <w:r w:rsidR="007D27D5" w:rsidRPr="007D27D5">
        <w:rPr>
          <w:rFonts w:ascii="Palatino Linotype" w:hAnsi="Palatino Linotype"/>
          <w:b/>
          <w:bCs/>
          <w:color w:val="000000"/>
          <w:u w:val="single"/>
          <w:lang w:val="es-ES_tradnl"/>
        </w:rPr>
        <w:t>CU</w:t>
      </w:r>
      <w:r w:rsidR="007D27D5">
        <w:rPr>
          <w:rFonts w:ascii="Palatino Linotype" w:hAnsi="Palatino Linotype"/>
          <w:b/>
          <w:bCs/>
          <w:color w:val="000000"/>
          <w:u w:val="single"/>
          <w:lang w:val="es-ES_tradnl"/>
        </w:rPr>
        <w:t>Á</w:t>
      </w:r>
      <w:r w:rsidR="007D27D5" w:rsidRPr="007D27D5">
        <w:rPr>
          <w:rFonts w:ascii="Palatino Linotype" w:hAnsi="Palatino Linotype"/>
          <w:b/>
          <w:bCs/>
          <w:color w:val="000000"/>
          <w:u w:val="single"/>
          <w:lang w:val="es-ES_tradnl"/>
        </w:rPr>
        <w:t>NTOS</w:t>
      </w:r>
      <w:r>
        <w:rPr>
          <w:rFonts w:ascii="Palatino Linotype" w:hAnsi="Palatino Linotype"/>
          <w:color w:val="000000"/>
          <w:lang w:val="es-ES_tradnl"/>
        </w:rPr>
        <w:t xml:space="preserve"> permisos habían sido otorgados</w:t>
      </w:r>
      <w:r w:rsidR="007D27D5">
        <w:rPr>
          <w:rFonts w:ascii="Palatino Linotype" w:hAnsi="Palatino Linotype"/>
          <w:color w:val="000000"/>
          <w:lang w:val="es-ES_tradnl"/>
        </w:rPr>
        <w:t xml:space="preserve"> durante un periodo de tiempo determinado</w:t>
      </w:r>
      <w:r>
        <w:rPr>
          <w:rFonts w:ascii="Palatino Linotype" w:hAnsi="Palatino Linotype"/>
          <w:color w:val="000000"/>
          <w:lang w:val="es-ES_tradnl"/>
        </w:rPr>
        <w:t xml:space="preserve">, requerimiento </w:t>
      </w:r>
      <w:r w:rsidR="007D27D5">
        <w:rPr>
          <w:rFonts w:ascii="Palatino Linotype" w:hAnsi="Palatino Linotype"/>
          <w:color w:val="000000"/>
          <w:lang w:val="es-ES_tradnl"/>
        </w:rPr>
        <w:t xml:space="preserve">que </w:t>
      </w:r>
      <w:r>
        <w:rPr>
          <w:rFonts w:ascii="Palatino Linotype" w:hAnsi="Palatino Linotype"/>
          <w:color w:val="000000"/>
          <w:lang w:val="es-ES_tradnl"/>
        </w:rPr>
        <w:t xml:space="preserve">fue </w:t>
      </w:r>
      <w:r>
        <w:rPr>
          <w:rFonts w:ascii="Palatino Linotype" w:hAnsi="Palatino Linotype"/>
          <w:color w:val="000000"/>
          <w:lang w:val="es-ES_tradnl"/>
        </w:rPr>
        <w:lastRenderedPageBreak/>
        <w:t xml:space="preserve">atendido a la luz del criterio orientador </w:t>
      </w:r>
      <w:r>
        <w:rPr>
          <w:rFonts w:ascii="Palatino Linotype" w:hAnsi="Palatino Linotype"/>
          <w:b/>
          <w:bCs/>
          <w:color w:val="000000"/>
          <w:lang w:val="es-ES_tradnl"/>
        </w:rPr>
        <w:t xml:space="preserve">16/17 </w:t>
      </w:r>
      <w:r>
        <w:rPr>
          <w:rFonts w:ascii="Palatino Linotype" w:hAnsi="Palatino Linotype"/>
          <w:color w:val="000000"/>
          <w:lang w:val="es-ES_tradnl"/>
        </w:rPr>
        <w:t xml:space="preserve">emitido por el órgano garante nacional, relativo a la </w:t>
      </w:r>
      <w:r w:rsidRPr="0055040A">
        <w:rPr>
          <w:rFonts w:ascii="Palatino Linotype" w:hAnsi="Palatino Linotype"/>
          <w:i/>
          <w:iCs/>
          <w:color w:val="000000"/>
          <w:lang w:val="es-ES_tradnl"/>
        </w:rPr>
        <w:t>“EXPRESIÓN DOCUMENTAL”</w:t>
      </w:r>
      <w:r w:rsidR="007D27D5">
        <w:rPr>
          <w:rFonts w:ascii="Palatino Linotype" w:hAnsi="Palatino Linotype"/>
          <w:i/>
          <w:iCs/>
          <w:color w:val="000000"/>
          <w:lang w:val="es-ES_tradnl"/>
        </w:rPr>
        <w:t xml:space="preserve">, </w:t>
      </w:r>
    </w:p>
    <w:p w14:paraId="723C9328" w14:textId="77777777" w:rsidR="0055040A" w:rsidRDefault="0055040A" w:rsidP="0055040A">
      <w:pPr>
        <w:pStyle w:val="Prrafodelista"/>
        <w:spacing w:line="360" w:lineRule="auto"/>
        <w:ind w:left="0"/>
        <w:contextualSpacing/>
        <w:jc w:val="both"/>
        <w:rPr>
          <w:rFonts w:ascii="Palatino Linotype" w:hAnsi="Palatino Linotype"/>
          <w:color w:val="000000"/>
          <w:lang w:val="es-ES_tradnl"/>
        </w:rPr>
      </w:pPr>
    </w:p>
    <w:p w14:paraId="2B72DFF9" w14:textId="77777777" w:rsidR="0055040A" w:rsidRPr="0055040A" w:rsidRDefault="0055040A" w:rsidP="0055040A">
      <w:pPr>
        <w:spacing w:after="240" w:line="360" w:lineRule="auto"/>
        <w:jc w:val="both"/>
        <w:rPr>
          <w:rFonts w:ascii="Palatino Linotype" w:hAnsi="Palatino Linotype" w:cs="Arial"/>
          <w:iCs/>
          <w:color w:val="000000"/>
          <w:sz w:val="24"/>
          <w:szCs w:val="24"/>
          <w:lang w:val="es-ES_tradnl"/>
        </w:rPr>
      </w:pPr>
      <w:r w:rsidRPr="0055040A">
        <w:rPr>
          <w:rFonts w:ascii="Palatino Linotype" w:hAnsi="Palatino Linotype" w:cs="Arial"/>
          <w:iCs/>
          <w:color w:val="000000"/>
          <w:sz w:val="24"/>
          <w:szCs w:val="24"/>
          <w:lang w:val="es-ES_tradnl"/>
        </w:rPr>
        <w:t xml:space="preserve">Dicho en otras palabras, el nuevo punto de la solicitud es considerado como </w:t>
      </w:r>
      <w:r w:rsidRPr="0055040A">
        <w:rPr>
          <w:rFonts w:ascii="Palatino Linotype" w:hAnsi="Palatino Linotype" w:cs="Arial"/>
          <w:b/>
          <w:bCs/>
          <w:i/>
          <w:color w:val="000000"/>
          <w:sz w:val="24"/>
          <w:szCs w:val="24"/>
          <w:lang w:val="es-ES_tradnl"/>
        </w:rPr>
        <w:t xml:space="preserve">plus </w:t>
      </w:r>
      <w:proofErr w:type="spellStart"/>
      <w:r w:rsidRPr="0055040A">
        <w:rPr>
          <w:rFonts w:ascii="Palatino Linotype" w:hAnsi="Palatino Linotype" w:cs="Arial"/>
          <w:b/>
          <w:bCs/>
          <w:i/>
          <w:color w:val="000000"/>
          <w:sz w:val="24"/>
          <w:szCs w:val="24"/>
          <w:lang w:val="es-ES_tradnl"/>
        </w:rPr>
        <w:t>petitio</w:t>
      </w:r>
      <w:proofErr w:type="spellEnd"/>
      <w:r w:rsidRPr="0055040A">
        <w:rPr>
          <w:rFonts w:ascii="Palatino Linotype" w:hAnsi="Palatino Linotype" w:cs="Arial"/>
          <w:b/>
          <w:bCs/>
          <w:i/>
          <w:color w:val="000000"/>
          <w:sz w:val="24"/>
          <w:szCs w:val="24"/>
          <w:lang w:val="es-ES_tradnl"/>
        </w:rPr>
        <w:t xml:space="preserve"> </w:t>
      </w:r>
      <w:r w:rsidRPr="0055040A">
        <w:rPr>
          <w:rFonts w:ascii="Palatino Linotype" w:hAnsi="Palatino Linotype" w:cs="Arial"/>
          <w:iCs/>
          <w:color w:val="000000"/>
          <w:sz w:val="24"/>
          <w:szCs w:val="24"/>
          <w:lang w:val="es-ES_tradnl"/>
        </w:rPr>
        <w:t xml:space="preserve">y no es susceptible de ser valorado. </w:t>
      </w:r>
    </w:p>
    <w:p w14:paraId="71071E02" w14:textId="77777777" w:rsidR="0055040A" w:rsidRPr="0055040A" w:rsidRDefault="0055040A" w:rsidP="0055040A">
      <w:pPr>
        <w:pStyle w:val="Prrafodelista"/>
        <w:tabs>
          <w:tab w:val="left" w:pos="7088"/>
        </w:tabs>
        <w:autoSpaceDE w:val="0"/>
        <w:autoSpaceDN w:val="0"/>
        <w:adjustRightInd w:val="0"/>
        <w:spacing w:line="360" w:lineRule="auto"/>
        <w:ind w:left="0"/>
        <w:jc w:val="both"/>
        <w:rPr>
          <w:rFonts w:ascii="Palatino Linotype" w:hAnsi="Palatino Linotype" w:cs="Arial"/>
        </w:rPr>
      </w:pPr>
      <w:r w:rsidRPr="0055040A">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391728AA" w14:textId="77777777" w:rsidR="0055040A" w:rsidRPr="0055040A" w:rsidRDefault="0055040A" w:rsidP="0055040A">
      <w:pPr>
        <w:tabs>
          <w:tab w:val="left" w:pos="7088"/>
        </w:tabs>
        <w:spacing w:before="240" w:line="360" w:lineRule="auto"/>
        <w:jc w:val="both"/>
        <w:rPr>
          <w:rFonts w:ascii="Palatino Linotype" w:hAnsi="Palatino Linotype" w:cs="Arial"/>
          <w:bCs/>
          <w:sz w:val="24"/>
          <w:szCs w:val="24"/>
          <w:lang w:eastAsia="es-MX"/>
        </w:rPr>
      </w:pPr>
      <w:r w:rsidRPr="0055040A">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487FD800" w14:textId="77777777" w:rsidR="0055040A" w:rsidRPr="0055040A" w:rsidRDefault="0055040A" w:rsidP="0055040A">
      <w:pPr>
        <w:spacing w:before="240" w:line="360" w:lineRule="auto"/>
        <w:ind w:left="851" w:right="851"/>
        <w:jc w:val="both"/>
        <w:rPr>
          <w:rFonts w:ascii="Palatino Linotype" w:hAnsi="Palatino Linotype" w:cs="Arial"/>
          <w:b/>
          <w:bCs/>
          <w:i/>
          <w:lang w:eastAsia="es-MX"/>
        </w:rPr>
      </w:pPr>
      <w:r w:rsidRPr="0055040A">
        <w:rPr>
          <w:rFonts w:ascii="Palatino Linotype" w:hAnsi="Palatino Linotype" w:cs="Arial"/>
          <w:b/>
          <w:bCs/>
          <w:i/>
          <w:lang w:eastAsia="es-MX"/>
        </w:rPr>
        <w:t>“AGRAVIOS EN LA REVISIÓN. DEBEN ESTAR EN RELACIÓN DIRECTA CON LOS FUNDAMENTOS Y CONSIDERACIONES DE LA SENTENCIA</w:t>
      </w:r>
    </w:p>
    <w:p w14:paraId="6B8E5476" w14:textId="77777777" w:rsidR="0055040A" w:rsidRPr="0055040A" w:rsidRDefault="0055040A" w:rsidP="0055040A">
      <w:pPr>
        <w:tabs>
          <w:tab w:val="left" w:pos="7797"/>
        </w:tabs>
        <w:spacing w:before="240" w:line="360" w:lineRule="auto"/>
        <w:ind w:left="851" w:right="851"/>
        <w:jc w:val="both"/>
        <w:rPr>
          <w:rFonts w:ascii="Palatino Linotype" w:hAnsi="Palatino Linotype" w:cs="Arial"/>
          <w:bCs/>
          <w:i/>
          <w:lang w:eastAsia="es-MX"/>
        </w:rPr>
      </w:pPr>
      <w:r w:rsidRPr="0055040A">
        <w:rPr>
          <w:rFonts w:ascii="Palatino Linotype" w:hAnsi="Palatino Linotype" w:cs="Arial"/>
          <w:b/>
          <w:bCs/>
          <w:i/>
          <w:u w:val="single"/>
          <w:lang w:eastAsia="es-MX"/>
        </w:rPr>
        <w:t>Los agravios deben estar en relación directa e inmediata con los fundamentos contenidos en la sentencia que se recurre</w:t>
      </w:r>
      <w:r w:rsidRPr="0055040A">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w:t>
      </w:r>
      <w:r w:rsidRPr="0055040A">
        <w:rPr>
          <w:rFonts w:ascii="Palatino Linotype" w:hAnsi="Palatino Linotype" w:cs="Arial"/>
          <w:bCs/>
          <w:i/>
          <w:lang w:eastAsia="es-MX"/>
        </w:rPr>
        <w:lastRenderedPageBreak/>
        <w:t xml:space="preserve">toda vez que esta se limita al estudio integral del fallo que se combate, con vista de los motivos de inconformidad que plantean los recurrentes.” </w:t>
      </w:r>
      <w:r w:rsidRPr="0055040A">
        <w:rPr>
          <w:rFonts w:ascii="Palatino Linotype" w:eastAsia="Times New Roman" w:hAnsi="Palatino Linotype" w:cs="Times New Roman"/>
          <w:b/>
          <w:i/>
          <w:sz w:val="24"/>
          <w:szCs w:val="24"/>
          <w:lang w:val="es-ES_tradnl" w:eastAsia="es-ES"/>
        </w:rPr>
        <w:t>[Sic]</w:t>
      </w:r>
    </w:p>
    <w:p w14:paraId="4E4B1240" w14:textId="77777777" w:rsidR="0055040A" w:rsidRPr="0055040A" w:rsidRDefault="0055040A" w:rsidP="0055040A">
      <w:pPr>
        <w:tabs>
          <w:tab w:val="left" w:pos="1301"/>
        </w:tabs>
        <w:spacing w:before="240" w:line="360" w:lineRule="auto"/>
        <w:ind w:right="51"/>
        <w:jc w:val="both"/>
        <w:rPr>
          <w:rFonts w:ascii="Palatino Linotype" w:hAnsi="Palatino Linotype" w:cs="Arial"/>
          <w:bCs/>
          <w:sz w:val="24"/>
          <w:szCs w:val="24"/>
          <w:lang w:eastAsia="es-MX"/>
        </w:rPr>
      </w:pPr>
    </w:p>
    <w:p w14:paraId="310803EF" w14:textId="77777777" w:rsidR="0055040A" w:rsidRPr="0055040A" w:rsidRDefault="0055040A" w:rsidP="0055040A">
      <w:pPr>
        <w:tabs>
          <w:tab w:val="left" w:pos="1301"/>
        </w:tabs>
        <w:spacing w:before="240" w:line="360" w:lineRule="auto"/>
        <w:ind w:right="51"/>
        <w:jc w:val="both"/>
        <w:rPr>
          <w:rFonts w:ascii="Palatino Linotype" w:hAnsi="Palatino Linotype" w:cs="Arial"/>
          <w:bCs/>
          <w:sz w:val="24"/>
          <w:szCs w:val="24"/>
          <w:lang w:eastAsia="es-MX"/>
        </w:rPr>
      </w:pPr>
      <w:r w:rsidRPr="0055040A">
        <w:rPr>
          <w:rFonts w:ascii="Palatino Linotype" w:hAnsi="Palatino Linotype" w:cs="Arial"/>
          <w:bCs/>
          <w:sz w:val="24"/>
          <w:szCs w:val="24"/>
          <w:lang w:eastAsia="es-MX"/>
        </w:rPr>
        <w:t xml:space="preserve">Por lo anterior, se establece que dentro del recurso de revisión presentado por </w:t>
      </w:r>
      <w:r w:rsidRPr="0055040A">
        <w:rPr>
          <w:rFonts w:ascii="Palatino Linotype" w:hAnsi="Palatino Linotype" w:cs="Arial"/>
          <w:b/>
          <w:bCs/>
          <w:sz w:val="24"/>
          <w:szCs w:val="24"/>
          <w:lang w:eastAsia="es-MX"/>
        </w:rPr>
        <w:t xml:space="preserve">El Recurrente </w:t>
      </w:r>
      <w:r w:rsidRPr="0055040A">
        <w:rPr>
          <w:rFonts w:ascii="Palatino Linotype" w:hAnsi="Palatino Linotype" w:cs="Arial"/>
          <w:bCs/>
          <w:sz w:val="24"/>
          <w:szCs w:val="24"/>
          <w:lang w:eastAsia="es-MX"/>
        </w:rPr>
        <w:t xml:space="preserve">no debe variar el fondo de </w:t>
      </w:r>
      <w:r w:rsidRPr="0055040A">
        <w:rPr>
          <w:rFonts w:ascii="Palatino Linotype" w:hAnsi="Palatino Linotype" w:cs="Arial"/>
          <w:bCs/>
          <w:i/>
          <w:sz w:val="24"/>
          <w:szCs w:val="24"/>
          <w:lang w:eastAsia="es-MX"/>
        </w:rPr>
        <w:t xml:space="preserve">la </w:t>
      </w:r>
      <w:proofErr w:type="spellStart"/>
      <w:r w:rsidRPr="0055040A">
        <w:rPr>
          <w:rFonts w:ascii="Palatino Linotype" w:hAnsi="Palatino Linotype" w:cs="Arial"/>
          <w:bCs/>
          <w:i/>
          <w:sz w:val="24"/>
          <w:szCs w:val="24"/>
          <w:lang w:eastAsia="es-MX"/>
        </w:rPr>
        <w:t>litis</w:t>
      </w:r>
      <w:proofErr w:type="spellEnd"/>
      <w:r w:rsidRPr="0055040A">
        <w:rPr>
          <w:rFonts w:ascii="Palatino Linotype" w:hAnsi="Palatino Linotype" w:cs="Arial"/>
          <w:bCs/>
          <w:i/>
          <w:sz w:val="24"/>
          <w:szCs w:val="24"/>
          <w:lang w:eastAsia="es-MX"/>
        </w:rPr>
        <w:t>,</w:t>
      </w:r>
      <w:r w:rsidRPr="0055040A">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1B8BA3C5" w14:textId="77777777" w:rsidR="0055040A" w:rsidRPr="0055040A" w:rsidRDefault="0055040A" w:rsidP="0055040A">
      <w:pPr>
        <w:tabs>
          <w:tab w:val="left" w:pos="7088"/>
          <w:tab w:val="left" w:pos="7230"/>
        </w:tabs>
        <w:spacing w:before="240" w:line="360" w:lineRule="auto"/>
        <w:jc w:val="both"/>
        <w:rPr>
          <w:rFonts w:ascii="Palatino Linotype" w:hAnsi="Palatino Linotype" w:cs="Arial"/>
          <w:bCs/>
          <w:sz w:val="24"/>
          <w:szCs w:val="24"/>
          <w:lang w:eastAsia="es-MX"/>
        </w:rPr>
      </w:pPr>
      <w:r w:rsidRPr="0055040A">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7167C08" w14:textId="77777777" w:rsidR="0055040A" w:rsidRPr="0055040A" w:rsidRDefault="0055040A" w:rsidP="0055040A">
      <w:pPr>
        <w:tabs>
          <w:tab w:val="left" w:pos="6237"/>
        </w:tabs>
        <w:spacing w:before="240" w:line="360" w:lineRule="auto"/>
        <w:ind w:left="851" w:right="851"/>
        <w:jc w:val="both"/>
        <w:rPr>
          <w:rFonts w:ascii="Palatino Linotype" w:hAnsi="Palatino Linotype" w:cs="Arial"/>
          <w:b/>
          <w:bCs/>
          <w:i/>
          <w:u w:val="single"/>
          <w:lang w:eastAsia="es-MX"/>
        </w:rPr>
      </w:pPr>
      <w:r w:rsidRPr="0055040A">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55040A">
        <w:rPr>
          <w:rFonts w:ascii="Palatino Linotype" w:hAnsi="Palatino Linotype" w:cs="Arial"/>
          <w:b/>
          <w:bCs/>
          <w:i/>
          <w:u w:val="single"/>
          <w:lang w:eastAsia="es-MX"/>
        </w:rPr>
        <w:t xml:space="preserve">O SEAN DISTINTOS A LOS DE SU PETICIÓN INICIAL. </w:t>
      </w:r>
    </w:p>
    <w:p w14:paraId="14A112FB" w14:textId="77777777" w:rsidR="0055040A" w:rsidRPr="0055040A" w:rsidRDefault="0055040A" w:rsidP="0055040A">
      <w:pPr>
        <w:tabs>
          <w:tab w:val="left" w:pos="6237"/>
        </w:tabs>
        <w:spacing w:before="240" w:line="360" w:lineRule="auto"/>
        <w:ind w:left="851" w:right="851"/>
        <w:jc w:val="both"/>
        <w:rPr>
          <w:rFonts w:ascii="Palatino Linotype" w:hAnsi="Palatino Linotype" w:cs="Arial"/>
          <w:b/>
          <w:bCs/>
          <w:i/>
          <w:lang w:eastAsia="es-MX"/>
        </w:rPr>
      </w:pPr>
      <w:r w:rsidRPr="0055040A">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w:t>
      </w:r>
      <w:r w:rsidRPr="0055040A">
        <w:rPr>
          <w:rFonts w:ascii="Palatino Linotype" w:hAnsi="Palatino Linotype" w:cs="Arial"/>
          <w:bCs/>
          <w:i/>
          <w:lang w:eastAsia="es-MX"/>
        </w:rPr>
        <w:lastRenderedPageBreak/>
        <w:t xml:space="preserve">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5040A">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55040A">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55040A">
        <w:rPr>
          <w:rFonts w:ascii="Palatino Linotype" w:hAnsi="Palatino Linotype" w:cs="Arial"/>
          <w:b/>
          <w:bCs/>
          <w:i/>
          <w:lang w:eastAsia="es-MX"/>
        </w:rPr>
        <w:t xml:space="preserve">, </w:t>
      </w:r>
      <w:r w:rsidRPr="0055040A">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261D305" w14:textId="77777777" w:rsidR="0055040A" w:rsidRPr="0055040A" w:rsidRDefault="0055040A" w:rsidP="0055040A">
      <w:pPr>
        <w:tabs>
          <w:tab w:val="left" w:pos="6237"/>
        </w:tabs>
        <w:spacing w:before="240" w:line="360" w:lineRule="auto"/>
        <w:ind w:left="851" w:right="851"/>
        <w:jc w:val="both"/>
        <w:rPr>
          <w:rFonts w:ascii="Palatino Linotype" w:hAnsi="Palatino Linotype" w:cs="Arial"/>
          <w:bCs/>
          <w:i/>
          <w:lang w:eastAsia="es-MX"/>
        </w:rPr>
      </w:pPr>
      <w:r w:rsidRPr="0055040A">
        <w:rPr>
          <w:rFonts w:ascii="Palatino Linotype" w:hAnsi="Palatino Linotype" w:cs="Arial"/>
          <w:bCs/>
          <w:i/>
          <w:lang w:eastAsia="es-MX"/>
        </w:rPr>
        <w:t xml:space="preserve">OCTAVO TRIBUNAL COLEGIADO EN MATERIA ADMINISTRATIVA DEL PRIMER CIRCUITO.” </w:t>
      </w:r>
      <w:r w:rsidRPr="0055040A">
        <w:rPr>
          <w:rFonts w:ascii="Palatino Linotype" w:eastAsia="Times New Roman" w:hAnsi="Palatino Linotype" w:cs="Times New Roman"/>
          <w:b/>
          <w:i/>
          <w:sz w:val="24"/>
          <w:szCs w:val="24"/>
          <w:lang w:val="es-ES_tradnl" w:eastAsia="es-ES"/>
        </w:rPr>
        <w:t>[Sic]</w:t>
      </w:r>
    </w:p>
    <w:p w14:paraId="7DE92441" w14:textId="77777777" w:rsidR="0055040A" w:rsidRPr="0055040A" w:rsidRDefault="0055040A" w:rsidP="0055040A">
      <w:pPr>
        <w:spacing w:before="240" w:line="360" w:lineRule="auto"/>
        <w:jc w:val="both"/>
        <w:rPr>
          <w:rFonts w:ascii="Palatino Linotype" w:hAnsi="Palatino Linotype" w:cs="Arial"/>
          <w:bCs/>
          <w:sz w:val="24"/>
          <w:szCs w:val="24"/>
          <w:lang w:eastAsia="es-MX"/>
        </w:rPr>
      </w:pPr>
    </w:p>
    <w:p w14:paraId="7420CFB8" w14:textId="77777777" w:rsidR="0055040A" w:rsidRPr="0055040A" w:rsidRDefault="0055040A" w:rsidP="0055040A">
      <w:pPr>
        <w:spacing w:before="240" w:line="360" w:lineRule="auto"/>
        <w:jc w:val="both"/>
        <w:rPr>
          <w:rFonts w:ascii="Palatino Linotype" w:hAnsi="Palatino Linotype" w:cs="Arial"/>
          <w:bCs/>
          <w:sz w:val="24"/>
          <w:szCs w:val="24"/>
          <w:lang w:eastAsia="es-MX"/>
        </w:rPr>
      </w:pPr>
      <w:r w:rsidRPr="0055040A">
        <w:rPr>
          <w:rFonts w:ascii="Palatino Linotype" w:hAnsi="Palatino Linotype" w:cs="Arial"/>
          <w:bCs/>
          <w:sz w:val="24"/>
          <w:szCs w:val="24"/>
          <w:lang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orientador </w:t>
      </w:r>
      <w:r w:rsidRPr="0055040A">
        <w:rPr>
          <w:rFonts w:ascii="Palatino Linotype" w:hAnsi="Palatino Linotype" w:cs="Arial"/>
          <w:b/>
          <w:sz w:val="24"/>
          <w:szCs w:val="24"/>
          <w:lang w:eastAsia="es-MX"/>
        </w:rPr>
        <w:t>27/10;</w:t>
      </w:r>
      <w:r w:rsidRPr="0055040A">
        <w:rPr>
          <w:rFonts w:ascii="Palatino Linotype" w:hAnsi="Palatino Linotype" w:cs="Arial"/>
          <w:bCs/>
          <w:sz w:val="24"/>
          <w:szCs w:val="24"/>
          <w:lang w:eastAsia="es-MX"/>
        </w:rPr>
        <w:t xml:space="preserve"> por lo que este Órgano Garante insiste en la imposibilidad de entrar al estudio de información novedosa. Criterio que es de la literalidad siguiente: </w:t>
      </w:r>
    </w:p>
    <w:p w14:paraId="29CDAB39" w14:textId="77777777" w:rsidR="0055040A" w:rsidRPr="0055040A" w:rsidRDefault="0055040A" w:rsidP="0055040A">
      <w:pPr>
        <w:tabs>
          <w:tab w:val="left" w:pos="7513"/>
        </w:tabs>
        <w:spacing w:before="240" w:line="360" w:lineRule="auto"/>
        <w:ind w:left="851" w:right="851"/>
        <w:jc w:val="both"/>
        <w:rPr>
          <w:rFonts w:ascii="Palatino Linotype" w:hAnsi="Palatino Linotype" w:cs="Arial"/>
          <w:b/>
          <w:bCs/>
          <w:i/>
          <w:lang w:eastAsia="es-MX"/>
        </w:rPr>
      </w:pPr>
      <w:r w:rsidRPr="0055040A">
        <w:rPr>
          <w:rFonts w:ascii="Palatino Linotype" w:hAnsi="Palatino Linotype" w:cs="Arial"/>
          <w:b/>
          <w:bCs/>
          <w:i/>
          <w:lang w:eastAsia="es-MX"/>
        </w:rPr>
        <w:lastRenderedPageBreak/>
        <w:t>“ES IMPROCEDENTE AMPLIAR LAS SOLICITUDES DE ACCESO A INFORMACIÓN PÚBLICA O DATOS PERSONALES, A TRAVÉS DE LA INTERPOSICIÓN DEL RECURSO DE REVISIÓN</w:t>
      </w:r>
    </w:p>
    <w:p w14:paraId="522E7A67" w14:textId="77777777" w:rsidR="0055040A" w:rsidRPr="0055040A" w:rsidRDefault="0055040A" w:rsidP="0055040A">
      <w:pPr>
        <w:tabs>
          <w:tab w:val="left" w:pos="7513"/>
        </w:tabs>
        <w:spacing w:before="240" w:line="360" w:lineRule="auto"/>
        <w:ind w:left="851" w:right="851"/>
        <w:jc w:val="both"/>
        <w:rPr>
          <w:rFonts w:ascii="Palatino Linotype" w:hAnsi="Palatino Linotype" w:cs="Arial"/>
          <w:bCs/>
          <w:i/>
          <w:lang w:eastAsia="es-MX"/>
        </w:rPr>
      </w:pPr>
      <w:r w:rsidRPr="0055040A">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55040A">
        <w:rPr>
          <w:rFonts w:ascii="Palatino Linotype" w:hAnsi="Palatino Linotype" w:cs="Arial"/>
          <w:bCs/>
          <w:i/>
          <w:u w:val="single"/>
          <w:lang w:eastAsia="es-MX"/>
        </w:rPr>
        <w:t xml:space="preserve"> </w:t>
      </w:r>
      <w:r w:rsidRPr="0055040A">
        <w:rPr>
          <w:rFonts w:ascii="Palatino Linotype" w:hAnsi="Palatino Linotype" w:cs="Arial"/>
          <w:b/>
          <w:bCs/>
          <w:i/>
          <w:u w:val="single"/>
          <w:lang w:eastAsia="es-MX"/>
        </w:rPr>
        <w:t>ampliación no podrá constituir materia del procedimiento a sustanciarse</w:t>
      </w:r>
      <w:r w:rsidRPr="0055040A">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5C1AB34F" w14:textId="77777777" w:rsidR="0055040A" w:rsidRPr="0055040A" w:rsidRDefault="0055040A" w:rsidP="0055040A">
      <w:pPr>
        <w:tabs>
          <w:tab w:val="left" w:pos="7513"/>
        </w:tabs>
        <w:spacing w:before="240" w:line="360" w:lineRule="auto"/>
        <w:ind w:left="851" w:right="851"/>
        <w:jc w:val="both"/>
        <w:rPr>
          <w:rFonts w:ascii="Palatino Linotype" w:hAnsi="Palatino Linotype" w:cs="Arial"/>
          <w:bCs/>
          <w:i/>
          <w:lang w:eastAsia="es-MX"/>
        </w:rPr>
      </w:pPr>
      <w:r w:rsidRPr="0055040A">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55040A">
        <w:rPr>
          <w:rFonts w:ascii="Palatino Linotype" w:hAnsi="Palatino Linotype" w:cs="Arial"/>
          <w:bCs/>
          <w:i/>
          <w:lang w:eastAsia="es-MX"/>
        </w:rPr>
        <w:t>República  -</w:t>
      </w:r>
      <w:proofErr w:type="gramEnd"/>
      <w:r w:rsidRPr="0055040A">
        <w:rPr>
          <w:rFonts w:ascii="Palatino Linotype" w:hAnsi="Palatino Linotype" w:cs="Arial"/>
          <w:bCs/>
          <w:i/>
          <w:lang w:eastAsia="es-MX"/>
        </w:rPr>
        <w:t xml:space="preserve"> María </w:t>
      </w:r>
      <w:proofErr w:type="spellStart"/>
      <w:r w:rsidRPr="0055040A">
        <w:rPr>
          <w:rFonts w:ascii="Palatino Linotype" w:hAnsi="Palatino Linotype" w:cs="Arial"/>
          <w:bCs/>
          <w:i/>
          <w:lang w:eastAsia="es-MX"/>
        </w:rPr>
        <w:t>Marván</w:t>
      </w:r>
      <w:proofErr w:type="spellEnd"/>
      <w:r w:rsidRPr="0055040A">
        <w:rPr>
          <w:rFonts w:ascii="Palatino Linotype" w:hAnsi="Palatino Linotype" w:cs="Arial"/>
          <w:bCs/>
          <w:i/>
          <w:lang w:eastAsia="es-MX"/>
        </w:rPr>
        <w:t xml:space="preserve"> Laborde1523 1006/10 Instituto Mexicano del Seguro Social – Sigrid </w:t>
      </w:r>
      <w:proofErr w:type="spellStart"/>
      <w:r w:rsidRPr="0055040A">
        <w:rPr>
          <w:rFonts w:ascii="Palatino Linotype" w:hAnsi="Palatino Linotype" w:cs="Arial"/>
          <w:bCs/>
          <w:i/>
          <w:lang w:eastAsia="es-MX"/>
        </w:rPr>
        <w:t>Arzt</w:t>
      </w:r>
      <w:proofErr w:type="spellEnd"/>
      <w:r w:rsidRPr="0055040A">
        <w:rPr>
          <w:rFonts w:ascii="Palatino Linotype" w:hAnsi="Palatino Linotype" w:cs="Arial"/>
          <w:bCs/>
          <w:i/>
          <w:lang w:eastAsia="es-MX"/>
        </w:rPr>
        <w:t xml:space="preserve"> Colunga 1378/10 Instituto de Seguridad y Servicios Sociales de los Trabajadores del Estado – María Elena Pérez-Jaén Zermeño.” </w:t>
      </w:r>
      <w:r w:rsidRPr="0055040A">
        <w:rPr>
          <w:rFonts w:ascii="Palatino Linotype" w:eastAsia="Times New Roman" w:hAnsi="Palatino Linotype" w:cs="Times New Roman"/>
          <w:b/>
          <w:i/>
          <w:sz w:val="24"/>
          <w:szCs w:val="24"/>
          <w:lang w:val="es-ES_tradnl" w:eastAsia="es-ES"/>
        </w:rPr>
        <w:t>[Sic]</w:t>
      </w:r>
    </w:p>
    <w:p w14:paraId="075DBB23" w14:textId="77777777" w:rsidR="0055040A" w:rsidRPr="0055040A" w:rsidRDefault="0055040A" w:rsidP="0055040A">
      <w:pPr>
        <w:spacing w:before="240" w:line="360" w:lineRule="auto"/>
        <w:jc w:val="both"/>
        <w:rPr>
          <w:rFonts w:ascii="Palatino Linotype" w:hAnsi="Palatino Linotype"/>
          <w:sz w:val="24"/>
          <w:szCs w:val="24"/>
        </w:rPr>
      </w:pPr>
    </w:p>
    <w:p w14:paraId="31E0F499" w14:textId="041920F6" w:rsidR="0055040A" w:rsidRDefault="0055040A" w:rsidP="0055040A">
      <w:pPr>
        <w:pStyle w:val="Sinespaciado"/>
        <w:spacing w:line="360" w:lineRule="auto"/>
        <w:ind w:right="141"/>
        <w:jc w:val="both"/>
        <w:rPr>
          <w:rFonts w:ascii="Palatino Linotype" w:hAnsi="Palatino Linotype"/>
          <w:bCs/>
        </w:rPr>
      </w:pPr>
      <w:r w:rsidRPr="0055040A">
        <w:rPr>
          <w:rFonts w:ascii="Palatino Linotype" w:hAnsi="Palatino Linotype"/>
          <w:bCs/>
        </w:rPr>
        <w:t xml:space="preserve">En consecuencia, </w:t>
      </w:r>
      <w:r w:rsidRPr="0055040A">
        <w:rPr>
          <w:rFonts w:ascii="Palatino Linotype" w:hAnsi="Palatino Linotype"/>
          <w:b/>
          <w:bCs/>
        </w:rPr>
        <w:t>El Sujeto Obligado</w:t>
      </w:r>
      <w:r w:rsidRPr="0055040A">
        <w:rPr>
          <w:rFonts w:ascii="Palatino Linotype" w:hAnsi="Palatino Linotype"/>
          <w:bCs/>
        </w:rPr>
        <w:t xml:space="preserve"> no se encontraba en condiciones de proporcionar la información antes señalada consistente en</w:t>
      </w:r>
      <w:r>
        <w:rPr>
          <w:rFonts w:ascii="Palatino Linotype" w:hAnsi="Palatino Linotype"/>
          <w:bCs/>
        </w:rPr>
        <w:t xml:space="preserve"> “</w:t>
      </w:r>
      <w:r w:rsidRPr="004F4D72">
        <w:rPr>
          <w:rFonts w:ascii="Palatino Linotype" w:hAnsi="Palatino Linotype" w:cs="Arial"/>
          <w:i/>
          <w:sz w:val="22"/>
          <w:szCs w:val="22"/>
        </w:rPr>
        <w:t>SE SOLICITA LA EXPRESIÓN DOCEUMNTAL Y SOLO ME DAN UN NUMERO</w:t>
      </w:r>
      <w:r>
        <w:rPr>
          <w:rFonts w:ascii="Palatino Linotype" w:hAnsi="Palatino Linotype" w:cs="Arial"/>
          <w:i/>
          <w:sz w:val="22"/>
          <w:szCs w:val="22"/>
        </w:rPr>
        <w:t xml:space="preserve">”; </w:t>
      </w:r>
      <w:r w:rsidRPr="0055040A">
        <w:rPr>
          <w:rFonts w:ascii="Palatino Linotype" w:hAnsi="Palatino Linotype"/>
          <w:color w:val="000000"/>
          <w:lang w:val="es-ES_tradnl"/>
        </w:rPr>
        <w:t xml:space="preserve">en razón de que dicha información solicitada en los motivos de inconformidad, no fue requerida en la solicitud de información primigenia, resultando injustificado examinar tales argumentos pues </w:t>
      </w:r>
      <w:r w:rsidRPr="0055040A">
        <w:rPr>
          <w:rFonts w:ascii="Palatino Linotype" w:hAnsi="Palatino Linotype"/>
          <w:bCs/>
        </w:rPr>
        <w:t xml:space="preserve">éstos no fueron del conocimiento del </w:t>
      </w:r>
      <w:r w:rsidRPr="0055040A">
        <w:rPr>
          <w:rFonts w:ascii="Palatino Linotype" w:hAnsi="Palatino Linotype"/>
          <w:b/>
          <w:bCs/>
        </w:rPr>
        <w:t>Sujeto Obligado</w:t>
      </w:r>
      <w:r w:rsidRPr="0055040A">
        <w:rPr>
          <w:rFonts w:ascii="Palatino Linotype" w:hAnsi="Palatino Linotype"/>
          <w:bCs/>
        </w:rPr>
        <w:t xml:space="preserve"> inicialmente, por lo que este no tuvo la oportunidad legal de analizarla ni de pronunciarse sobre la misma. </w:t>
      </w:r>
    </w:p>
    <w:p w14:paraId="1AEDBF15" w14:textId="77777777" w:rsidR="0055040A" w:rsidRPr="007D27D5" w:rsidRDefault="0055040A" w:rsidP="0055040A">
      <w:pPr>
        <w:tabs>
          <w:tab w:val="left" w:pos="709"/>
        </w:tabs>
        <w:spacing w:before="240" w:line="360" w:lineRule="auto"/>
        <w:ind w:right="51"/>
        <w:jc w:val="both"/>
        <w:rPr>
          <w:rFonts w:ascii="Palatino Linotype" w:hAnsi="Palatino Linotype" w:cs="Arial"/>
          <w:sz w:val="24"/>
          <w:szCs w:val="24"/>
        </w:rPr>
      </w:pPr>
      <w:r w:rsidRPr="007D27D5">
        <w:rPr>
          <w:rFonts w:ascii="Palatino Linotype" w:hAnsi="Palatino Linotype"/>
          <w:bCs/>
          <w:sz w:val="24"/>
          <w:szCs w:val="24"/>
        </w:rPr>
        <w:lastRenderedPageBreak/>
        <w:t xml:space="preserve">Por otra parte, se comprende que los requerimientos identificados con los numerales </w:t>
      </w:r>
      <w:r w:rsidRPr="007D27D5">
        <w:rPr>
          <w:rFonts w:ascii="Palatino Linotype" w:hAnsi="Palatino Linotype"/>
          <w:b/>
          <w:sz w:val="24"/>
          <w:szCs w:val="24"/>
        </w:rPr>
        <w:t xml:space="preserve">2 y 3 </w:t>
      </w:r>
      <w:r w:rsidRPr="007D27D5">
        <w:rPr>
          <w:rFonts w:ascii="Palatino Linotype" w:hAnsi="Palatino Linotype"/>
          <w:bCs/>
          <w:sz w:val="24"/>
          <w:szCs w:val="24"/>
        </w:rPr>
        <w:t xml:space="preserve">no fueron materia de inconformidad por parte del </w:t>
      </w:r>
      <w:r w:rsidRPr="007D27D5">
        <w:rPr>
          <w:rFonts w:ascii="Palatino Linotype" w:hAnsi="Palatino Linotype"/>
          <w:b/>
          <w:sz w:val="24"/>
          <w:szCs w:val="24"/>
        </w:rPr>
        <w:t xml:space="preserve">Recurrente. </w:t>
      </w:r>
      <w:r w:rsidRPr="007D27D5">
        <w:rPr>
          <w:rFonts w:ascii="Palatino Linotype" w:hAnsi="Palatino Linotype"/>
          <w:sz w:val="24"/>
          <w:szCs w:val="24"/>
        </w:rPr>
        <w:t xml:space="preserve">Luego entonces, la parte de la solicitud sobre la que no se expresó inconformidad </w:t>
      </w:r>
      <w:r w:rsidRPr="007D27D5">
        <w:rPr>
          <w:rFonts w:ascii="Palatino Linotype" w:hAnsi="Palatino Linotype"/>
          <w:sz w:val="24"/>
          <w:szCs w:val="24"/>
          <w:lang w:eastAsia="es-MX"/>
        </w:rPr>
        <w:t xml:space="preserve">debe declararse consentida por el hoy </w:t>
      </w:r>
      <w:r w:rsidRPr="007D27D5">
        <w:rPr>
          <w:rFonts w:ascii="Palatino Linotype" w:hAnsi="Palatino Linotype"/>
          <w:b/>
          <w:sz w:val="24"/>
          <w:szCs w:val="24"/>
          <w:lang w:eastAsia="es-MX"/>
        </w:rPr>
        <w:t xml:space="preserve">Recurrente, </w:t>
      </w:r>
      <w:r w:rsidRPr="007D27D5">
        <w:rPr>
          <w:rFonts w:ascii="Palatino Linotype" w:hAnsi="Palatino Linotype"/>
          <w:sz w:val="24"/>
          <w:szCs w:val="24"/>
          <w:lang w:eastAsia="es-MX"/>
        </w:rPr>
        <w:t xml:space="preserve">ya que </w:t>
      </w:r>
      <w:r w:rsidRPr="007D27D5">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7D27D5">
        <w:rPr>
          <w:rFonts w:ascii="Palatino Linotype" w:hAnsi="Palatino Linotype" w:cs="Arial"/>
          <w:b/>
          <w:sz w:val="24"/>
          <w:szCs w:val="24"/>
          <w:lang w:eastAsia="es-MX"/>
        </w:rPr>
        <w:t>Recurrente</w:t>
      </w:r>
      <w:r w:rsidRPr="007D27D5">
        <w:rPr>
          <w:rFonts w:ascii="Palatino Linotype" w:hAnsi="Palatino Linotype" w:cs="Arial"/>
          <w:sz w:val="24"/>
          <w:szCs w:val="24"/>
          <w:lang w:eastAsia="es-MX"/>
        </w:rPr>
        <w:t xml:space="preserve"> ante la falta de impugnación eficaz. </w:t>
      </w:r>
      <w:r w:rsidRPr="007D27D5">
        <w:rPr>
          <w:rFonts w:ascii="Palatino Linotype" w:hAnsi="Palatino Linotype" w:cs="Arial"/>
          <w:sz w:val="24"/>
          <w:szCs w:val="24"/>
        </w:rPr>
        <w:t xml:space="preserve">Sirve de sustento a lo anterior, por analogía, la tesis jurisprudencial, que a la letra dice: </w:t>
      </w:r>
    </w:p>
    <w:p w14:paraId="2DC849D1"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77C4B1D0"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4FE65F10"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53D9D53C"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66D63244"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425341E1"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0F133327"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6E9E0D8C" w14:textId="77777777" w:rsidR="0055040A" w:rsidRPr="002D4E78" w:rsidRDefault="0055040A" w:rsidP="0055040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407A9E68" w14:textId="77777777" w:rsidR="0055040A" w:rsidRPr="002D4E78" w:rsidRDefault="0055040A" w:rsidP="0055040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3B1BE103" w14:textId="77777777" w:rsidR="0055040A" w:rsidRPr="002D4E78" w:rsidRDefault="0055040A" w:rsidP="0055040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w:t>
      </w:r>
      <w:r w:rsidRPr="002D4E78">
        <w:rPr>
          <w:rFonts w:ascii="Palatino Linotype" w:hAnsi="Palatino Linotype" w:cs="Arial"/>
          <w:i/>
          <w:lang w:eastAsia="es-MX"/>
        </w:rPr>
        <w:lastRenderedPageBreak/>
        <w:t>manifestación de inconformidad, tales actuaciones no producen efectos jurídicos tendientes a revocar, confirmar o modificar el acto reclamado en amparo, lo que significa consentimiento del mismo por falta de impugnación eficaz.</w:t>
      </w:r>
    </w:p>
    <w:p w14:paraId="3793F2C7" w14:textId="77777777" w:rsidR="0055040A" w:rsidRPr="002D4E78" w:rsidRDefault="0055040A" w:rsidP="0055040A">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41D58918" w14:textId="77777777" w:rsidR="0055040A" w:rsidRPr="002D4E78" w:rsidRDefault="0055040A" w:rsidP="0055040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7F93E87" w14:textId="77777777" w:rsidR="0055040A" w:rsidRPr="002D4E78" w:rsidRDefault="0055040A" w:rsidP="0055040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FE08E97" w14:textId="77777777" w:rsidR="0055040A" w:rsidRPr="002D4E78" w:rsidRDefault="0055040A" w:rsidP="0055040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14CB36FC" w14:textId="77777777" w:rsidR="0055040A" w:rsidRPr="002D4E78" w:rsidRDefault="0055040A" w:rsidP="0055040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53092C66" w14:textId="77777777" w:rsidR="0055040A" w:rsidRPr="002D4E78" w:rsidRDefault="0055040A" w:rsidP="0055040A">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21F93081" w14:textId="77777777" w:rsidR="0055040A" w:rsidRPr="002D4E78" w:rsidRDefault="0055040A" w:rsidP="0055040A">
      <w:pPr>
        <w:spacing w:after="0" w:line="360" w:lineRule="auto"/>
        <w:jc w:val="both"/>
        <w:rPr>
          <w:rFonts w:ascii="Palatino Linotype" w:hAnsi="Palatino Linotype" w:cs="Arial"/>
          <w:noProof/>
          <w:color w:val="000000"/>
          <w:sz w:val="24"/>
          <w:lang w:eastAsia="es-MX"/>
        </w:rPr>
      </w:pPr>
    </w:p>
    <w:p w14:paraId="6FC68A78" w14:textId="77777777" w:rsidR="0055040A" w:rsidRPr="002D4E78" w:rsidRDefault="0055040A" w:rsidP="0055040A">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noProof/>
          <w:color w:val="000000"/>
          <w:sz w:val="24"/>
          <w:lang w:eastAsia="es-MX"/>
        </w:rPr>
        <w:t xml:space="preserve">orientador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w:t>
      </w:r>
      <w:r>
        <w:rPr>
          <w:rFonts w:ascii="Palatino Linotype" w:hAnsi="Palatino Linotype" w:cs="Arial"/>
          <w:noProof/>
          <w:color w:val="000000"/>
          <w:sz w:val="24"/>
          <w:lang w:eastAsia="es-MX"/>
        </w:rPr>
        <w:t xml:space="preserve">entonces </w:t>
      </w:r>
      <w:r w:rsidRPr="002D4E78">
        <w:rPr>
          <w:rFonts w:ascii="Palatino Linotype" w:hAnsi="Palatino Linotype" w:cs="Arial"/>
          <w:noProof/>
          <w:color w:val="000000"/>
          <w:sz w:val="24"/>
          <w:lang w:eastAsia="es-MX"/>
        </w:rPr>
        <w:t xml:space="preserve">Instituto Nacional de Transparencia, Acceso a la Información y Protección de Datos Personales, cuyo rubro y texto señalan a la literalidad lo siguiente: </w:t>
      </w:r>
    </w:p>
    <w:p w14:paraId="2EBB13FB" w14:textId="77777777" w:rsidR="0055040A" w:rsidRPr="002D4E78" w:rsidRDefault="0055040A" w:rsidP="0055040A">
      <w:pPr>
        <w:pStyle w:val="Citas"/>
        <w:rPr>
          <w:b/>
        </w:rPr>
      </w:pPr>
      <w:r w:rsidRPr="002D4E78">
        <w:rPr>
          <w:b/>
        </w:rPr>
        <w:t xml:space="preserve">“ACTOS CONSENTIDOS TÁCITAMENTE. IMPROCEDENCIA DE SU ANÁLISIS. </w:t>
      </w:r>
    </w:p>
    <w:p w14:paraId="59FA5DB9" w14:textId="77777777" w:rsidR="0055040A" w:rsidRPr="002D4E78" w:rsidRDefault="0055040A" w:rsidP="0055040A">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4EA5E5E" w14:textId="77777777" w:rsidR="0055040A" w:rsidRPr="002D4E78" w:rsidRDefault="0055040A" w:rsidP="0055040A">
      <w:pPr>
        <w:pStyle w:val="Citas"/>
        <w:rPr>
          <w:b/>
          <w:bCs/>
        </w:rPr>
      </w:pPr>
      <w:r w:rsidRPr="002D4E78">
        <w:rPr>
          <w:b/>
          <w:bCs/>
        </w:rPr>
        <w:t>Resoluciones:</w:t>
      </w:r>
    </w:p>
    <w:p w14:paraId="5E332605" w14:textId="77777777" w:rsidR="0055040A" w:rsidRPr="002D4E78" w:rsidRDefault="0055040A" w:rsidP="0055040A">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6B4680FB" w14:textId="77777777" w:rsidR="0055040A" w:rsidRPr="002D4E78" w:rsidRDefault="004D1546" w:rsidP="0055040A">
      <w:pPr>
        <w:pStyle w:val="Citas"/>
        <w:rPr>
          <w:sz w:val="20"/>
        </w:rPr>
      </w:pPr>
      <w:hyperlink r:id="rId11" w:history="1">
        <w:r w:rsidR="0055040A" w:rsidRPr="002D4E78">
          <w:rPr>
            <w:rStyle w:val="Hipervnculo"/>
          </w:rPr>
          <w:t>http://consultas.ifai.org.mx/descargar.php?r=./pdf/resoluciones/2018/&amp;a=RRA%204548.pdf</w:t>
        </w:r>
      </w:hyperlink>
    </w:p>
    <w:p w14:paraId="0ACEFDFF" w14:textId="77777777" w:rsidR="0055040A" w:rsidRPr="002D4E78" w:rsidRDefault="0055040A" w:rsidP="0055040A">
      <w:pPr>
        <w:pStyle w:val="Citas"/>
        <w:rPr>
          <w:b/>
        </w:rPr>
      </w:pPr>
      <w:r w:rsidRPr="002D4E78">
        <w:rPr>
          <w:b/>
        </w:rPr>
        <w:t xml:space="preserve">RRA 5097/18. </w:t>
      </w:r>
      <w:r w:rsidRPr="002D4E78">
        <w:t>Secretaría de Hacienda y Crédito Público. 05 de septiembre de 2018. Por unanimidad. Comisionado Ponente Joel Salas Suárez.</w:t>
      </w:r>
    </w:p>
    <w:p w14:paraId="41F2C6D3" w14:textId="77777777" w:rsidR="0055040A" w:rsidRPr="002D4E78" w:rsidRDefault="004D1546" w:rsidP="0055040A">
      <w:pPr>
        <w:pStyle w:val="Citas"/>
        <w:rPr>
          <w:sz w:val="20"/>
        </w:rPr>
      </w:pPr>
      <w:hyperlink r:id="rId12" w:history="1">
        <w:r w:rsidR="0055040A" w:rsidRPr="002D4E78">
          <w:rPr>
            <w:rStyle w:val="Hipervnculo"/>
          </w:rPr>
          <w:t>http://consultas.ifai.org.mx/descargar.php?r=./pdf/resoluciones/2018/&amp;a=RRA%205097.pdf</w:t>
        </w:r>
      </w:hyperlink>
    </w:p>
    <w:p w14:paraId="19C2666B" w14:textId="77777777" w:rsidR="0055040A" w:rsidRPr="002D4E78" w:rsidRDefault="0055040A" w:rsidP="0055040A">
      <w:pPr>
        <w:pStyle w:val="Citas"/>
        <w:rPr>
          <w:b/>
        </w:rPr>
      </w:pPr>
      <w:r w:rsidRPr="002D4E78">
        <w:rPr>
          <w:b/>
        </w:rPr>
        <w:t xml:space="preserve">RRA 14270/19. </w:t>
      </w:r>
      <w:r w:rsidRPr="002D4E78">
        <w:t>Registro Agrario Nacional. 22 de enero de 2020. Por unanimidad. Comisionado Ponente Francisco Javier Acuña Llamas.</w:t>
      </w:r>
    </w:p>
    <w:p w14:paraId="51DFE193" w14:textId="77777777" w:rsidR="0055040A" w:rsidRPr="009754D6" w:rsidRDefault="004D1546" w:rsidP="0055040A">
      <w:pPr>
        <w:pStyle w:val="Citas"/>
        <w:rPr>
          <w:rStyle w:val="Hipervnculo"/>
          <w:b/>
          <w:bCs/>
          <w:color w:val="auto"/>
          <w:sz w:val="24"/>
          <w:szCs w:val="24"/>
          <w:u w:val="none"/>
          <w:lang w:val="en-US"/>
        </w:rPr>
      </w:pPr>
      <w:hyperlink r:id="rId13" w:history="1">
        <w:r w:rsidR="0055040A" w:rsidRPr="002D4E78">
          <w:rPr>
            <w:rStyle w:val="Hipervnculo"/>
            <w:lang w:val="en-US"/>
          </w:rPr>
          <w:t>http://consultas.ifai.org.mx/descargar.php?r=./pdf/resoluciones/2019/&amp;a=RRA%2014270.pdf</w:t>
        </w:r>
      </w:hyperlink>
      <w:proofErr w:type="gramStart"/>
      <w:r w:rsidR="0055040A" w:rsidRPr="002D4E78">
        <w:rPr>
          <w:rStyle w:val="Hipervnculo"/>
          <w:sz w:val="20"/>
          <w:lang w:val="en-US"/>
        </w:rPr>
        <w:t xml:space="preserve">” </w:t>
      </w:r>
      <w:r w:rsidR="0055040A" w:rsidRPr="002D4E78">
        <w:rPr>
          <w:rStyle w:val="Hipervnculo"/>
          <w:i w:val="0"/>
          <w:iCs/>
          <w:sz w:val="24"/>
          <w:szCs w:val="24"/>
          <w:u w:val="none"/>
          <w:lang w:val="en-US"/>
        </w:rPr>
        <w:t xml:space="preserve"> </w:t>
      </w:r>
      <w:r w:rsidR="0055040A" w:rsidRPr="002D4E78">
        <w:rPr>
          <w:rStyle w:val="Hipervnculo"/>
          <w:b/>
          <w:bCs/>
          <w:color w:val="auto"/>
          <w:sz w:val="24"/>
          <w:szCs w:val="24"/>
          <w:u w:val="none"/>
          <w:lang w:val="en-US"/>
        </w:rPr>
        <w:t>[</w:t>
      </w:r>
      <w:proofErr w:type="gramEnd"/>
      <w:r w:rsidR="0055040A" w:rsidRPr="002D4E78">
        <w:rPr>
          <w:rStyle w:val="Hipervnculo"/>
          <w:b/>
          <w:bCs/>
          <w:color w:val="auto"/>
          <w:sz w:val="24"/>
          <w:szCs w:val="24"/>
          <w:u w:val="none"/>
          <w:lang w:val="en-US"/>
        </w:rPr>
        <w:t>Sic]</w:t>
      </w:r>
      <w:r w:rsidR="0055040A" w:rsidRPr="009754D6">
        <w:rPr>
          <w:rStyle w:val="Hipervnculo"/>
          <w:b/>
          <w:bCs/>
          <w:color w:val="auto"/>
          <w:sz w:val="24"/>
          <w:szCs w:val="24"/>
          <w:u w:val="none"/>
          <w:lang w:val="en-US"/>
        </w:rPr>
        <w:t xml:space="preserve"> </w:t>
      </w:r>
    </w:p>
    <w:p w14:paraId="14DDA1EA" w14:textId="77777777" w:rsidR="0055040A" w:rsidRPr="0028616A" w:rsidRDefault="0055040A" w:rsidP="0055040A">
      <w:pPr>
        <w:spacing w:before="240" w:line="360" w:lineRule="auto"/>
        <w:jc w:val="both"/>
        <w:rPr>
          <w:rFonts w:ascii="Palatino Linotype" w:hAnsi="Palatino Linotype"/>
          <w:sz w:val="24"/>
          <w:szCs w:val="24"/>
          <w:lang w:val="en-US"/>
        </w:rPr>
      </w:pPr>
    </w:p>
    <w:p w14:paraId="15995BDC" w14:textId="101AE14F" w:rsidR="0055040A" w:rsidRDefault="0055040A" w:rsidP="0055040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el acto impugnado y las razones o motivos de inconformidad expuestos por </w:t>
      </w:r>
      <w:r>
        <w:rPr>
          <w:b/>
          <w:bCs/>
          <w:i w:val="0"/>
          <w:sz w:val="24"/>
          <w:szCs w:val="24"/>
        </w:rPr>
        <w:t xml:space="preserve">El Recurrente, </w:t>
      </w:r>
      <w:r>
        <w:rPr>
          <w:i w:val="0"/>
          <w:sz w:val="24"/>
          <w:szCs w:val="24"/>
        </w:rPr>
        <w:t xml:space="preserve">son susceptibles de actualizar </w:t>
      </w:r>
      <w:r>
        <w:rPr>
          <w:rFonts w:cs="Arial"/>
          <w:i w:val="0"/>
          <w:noProof/>
          <w:color w:val="000000"/>
          <w:sz w:val="24"/>
          <w:lang w:eastAsia="es-MX"/>
        </w:rPr>
        <w:t>el artículo 179, fracciones I y V de la Ley de Transparencia y Acceso a la Información Pública del Estado de México y Municipios, cuyo contenido literal es el siguiente:</w:t>
      </w:r>
    </w:p>
    <w:p w14:paraId="3765D632" w14:textId="77777777" w:rsidR="0055040A" w:rsidRDefault="0055040A" w:rsidP="0055040A">
      <w:pPr>
        <w:pStyle w:val="Citas"/>
      </w:pPr>
      <w:r>
        <w:t>“Artículo 179. El recurso de revisión es un medio de protección que la Ley otorga a los particulares, para hacer valer su derecho de acceso a la información pública, y procederá en contra de las siguientes causas:</w:t>
      </w:r>
    </w:p>
    <w:p w14:paraId="58D71CBF" w14:textId="77777777" w:rsidR="0055040A" w:rsidRDefault="0055040A" w:rsidP="0055040A">
      <w:pPr>
        <w:pStyle w:val="Citas"/>
      </w:pPr>
      <w:r>
        <w:t>I. La negativa a la información solicitada;</w:t>
      </w:r>
    </w:p>
    <w:p w14:paraId="1673CAD2" w14:textId="77777777" w:rsidR="0055040A" w:rsidRDefault="0055040A" w:rsidP="0055040A">
      <w:pPr>
        <w:pStyle w:val="Citas"/>
        <w:rPr>
          <w:noProof/>
          <w:color w:val="000000"/>
          <w:sz w:val="24"/>
          <w:lang w:eastAsia="es-MX"/>
        </w:rPr>
      </w:pPr>
      <w:r>
        <w:t>V. La entrega de información incompleta;</w:t>
      </w:r>
      <w:r>
        <w:rPr>
          <w:noProof/>
          <w:color w:val="000000"/>
          <w:sz w:val="24"/>
          <w:lang w:eastAsia="es-MX"/>
        </w:rPr>
        <w:t xml:space="preserve"> </w:t>
      </w:r>
    </w:p>
    <w:p w14:paraId="7338A3DE" w14:textId="77777777" w:rsidR="0055040A" w:rsidRPr="005A12AE" w:rsidRDefault="0055040A" w:rsidP="0055040A">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714A8DF5" w14:textId="5EF363B9" w:rsidR="0055040A" w:rsidRDefault="0055040A" w:rsidP="0055040A">
      <w:pPr>
        <w:pStyle w:val="Sinespaciado"/>
        <w:spacing w:line="360" w:lineRule="auto"/>
        <w:ind w:right="141"/>
        <w:jc w:val="both"/>
        <w:rPr>
          <w:rFonts w:ascii="Palatino Linotype" w:hAnsi="Palatino Linotype"/>
          <w:b/>
        </w:rPr>
      </w:pPr>
    </w:p>
    <w:p w14:paraId="220B147F" w14:textId="77777777" w:rsidR="0055040A" w:rsidRDefault="0055040A" w:rsidP="0055040A">
      <w:pPr>
        <w:spacing w:after="24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Pr>
          <w:rFonts w:ascii="Palatino Linotype" w:hAnsi="Palatino Linotype"/>
          <w:sz w:val="24"/>
          <w:szCs w:val="24"/>
        </w:rPr>
        <w:t xml:space="preserve">quinto, </w:t>
      </w:r>
      <w:r>
        <w:rPr>
          <w:rFonts w:ascii="Palatino Linotype" w:hAnsi="Palatino Linotype"/>
          <w:b/>
          <w:bCs/>
          <w:sz w:val="24"/>
          <w:szCs w:val="24"/>
        </w:rPr>
        <w:t xml:space="preserve">El Sujeto Obligado </w:t>
      </w:r>
      <w:r>
        <w:rPr>
          <w:rFonts w:ascii="Palatino Linotype" w:hAnsi="Palatino Linotype"/>
          <w:sz w:val="24"/>
          <w:szCs w:val="24"/>
        </w:rPr>
        <w:t>rindió su informe justificado en los siguientes términos:</w:t>
      </w:r>
    </w:p>
    <w:p w14:paraId="3ED83D5B" w14:textId="2DC32D89" w:rsidR="0055040A" w:rsidRPr="006C3A6A" w:rsidRDefault="0055040A" w:rsidP="007F6251">
      <w:pPr>
        <w:pStyle w:val="Prrafodelista"/>
        <w:numPr>
          <w:ilvl w:val="0"/>
          <w:numId w:val="15"/>
        </w:numPr>
        <w:spacing w:after="240" w:line="360" w:lineRule="auto"/>
        <w:ind w:right="141"/>
        <w:jc w:val="both"/>
        <w:rPr>
          <w:rFonts w:ascii="Palatino Linotype" w:hAnsi="Palatino Linotype"/>
          <w:bCs/>
        </w:rPr>
      </w:pPr>
      <w:r w:rsidRPr="0055040A">
        <w:rPr>
          <w:rFonts w:ascii="Palatino Linotype" w:hAnsi="Palatino Linotype"/>
          <w:b/>
          <w:bCs/>
        </w:rPr>
        <w:t>“</w:t>
      </w:r>
      <w:r w:rsidR="006C3A6A">
        <w:rPr>
          <w:rFonts w:ascii="Palatino Linotype" w:hAnsi="Palatino Linotype"/>
          <w:b/>
          <w:bCs/>
        </w:rPr>
        <w:t xml:space="preserve">Ratificación 4885.pdf”: </w:t>
      </w:r>
      <w:r w:rsidR="006C3A6A">
        <w:rPr>
          <w:rFonts w:ascii="Palatino Linotype" w:hAnsi="Palatino Linotype"/>
        </w:rPr>
        <w:t xml:space="preserve">Oficio sin número emitido por el titular de la unidad de transparencia, dirigido al comisionado ponente, de fecha quince de mayo de dos mil veinticinco, en lo medular se confirma la respuesta primigenia. </w:t>
      </w:r>
    </w:p>
    <w:p w14:paraId="72AB7685"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sz w:val="24"/>
          <w:szCs w:val="24"/>
        </w:rPr>
        <w:lastRenderedPageBreak/>
        <w:t xml:space="preserve">En función de lo planteado, se arriba a la premisa de que </w:t>
      </w:r>
      <w:r w:rsidRPr="006C3A6A">
        <w:rPr>
          <w:rFonts w:ascii="Palatino Linotype" w:hAnsi="Palatino Linotype" w:cs="Arial"/>
          <w:b/>
          <w:sz w:val="24"/>
          <w:szCs w:val="24"/>
        </w:rPr>
        <w:t>El Sujeto Obligado</w:t>
      </w:r>
      <w:r w:rsidRPr="006C3A6A">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6C3A6A">
        <w:rPr>
          <w:rFonts w:ascii="Palatino Linotype" w:hAnsi="Palatino Linotype"/>
          <w:sz w:val="24"/>
          <w:szCs w:val="24"/>
        </w:rPr>
        <w:t xml:space="preserve">, por darse por satisfechos los elementos que integran dicha hipótesis, </w:t>
      </w:r>
      <w:r w:rsidRPr="006C3A6A">
        <w:rPr>
          <w:rFonts w:ascii="Palatino Linotype" w:hAnsi="Palatino Linotype" w:cs="Arial"/>
          <w:sz w:val="24"/>
          <w:szCs w:val="24"/>
        </w:rPr>
        <w:t xml:space="preserve">a saber: </w:t>
      </w:r>
    </w:p>
    <w:p w14:paraId="36EECC25" w14:textId="03820BB9" w:rsidR="006C3A6A" w:rsidRPr="006C3A6A" w:rsidRDefault="006C3A6A" w:rsidP="006C3A6A">
      <w:pPr>
        <w:numPr>
          <w:ilvl w:val="0"/>
          <w:numId w:val="16"/>
        </w:numPr>
        <w:tabs>
          <w:tab w:val="left" w:pos="709"/>
        </w:tabs>
        <w:spacing w:line="360" w:lineRule="auto"/>
        <w:ind w:right="51"/>
        <w:jc w:val="both"/>
        <w:rPr>
          <w:rFonts w:ascii="Palatino Linotype" w:hAnsi="Palatino Linotype" w:cs="Arial"/>
          <w:sz w:val="24"/>
          <w:szCs w:val="24"/>
        </w:rPr>
      </w:pPr>
      <w:r w:rsidRPr="006C3A6A">
        <w:rPr>
          <w:rFonts w:ascii="Palatino Linotype" w:hAnsi="Palatino Linotype" w:cs="Arial"/>
          <w:sz w:val="24"/>
          <w:szCs w:val="24"/>
        </w:rPr>
        <w:t xml:space="preserve">El primero de ellos es que </w:t>
      </w:r>
      <w:r w:rsidRPr="006C3A6A">
        <w:rPr>
          <w:rFonts w:ascii="Palatino Linotype" w:hAnsi="Palatino Linotype" w:cs="Arial"/>
          <w:b/>
          <w:sz w:val="24"/>
          <w:szCs w:val="24"/>
        </w:rPr>
        <w:t>El</w:t>
      </w:r>
      <w:r w:rsidRPr="006C3A6A">
        <w:rPr>
          <w:rFonts w:ascii="Palatino Linotype" w:hAnsi="Palatino Linotype" w:cs="Arial"/>
          <w:sz w:val="24"/>
          <w:szCs w:val="24"/>
        </w:rPr>
        <w:t xml:space="preserve"> </w:t>
      </w:r>
      <w:r w:rsidRPr="006C3A6A">
        <w:rPr>
          <w:rFonts w:ascii="Palatino Linotype" w:hAnsi="Palatino Linotype" w:cs="Arial"/>
          <w:b/>
          <w:sz w:val="24"/>
          <w:szCs w:val="24"/>
        </w:rPr>
        <w:t>Recurrente</w:t>
      </w:r>
      <w:r w:rsidRPr="006C3A6A">
        <w:rPr>
          <w:rFonts w:ascii="Palatino Linotype" w:hAnsi="Palatino Linotype" w:cs="Arial"/>
          <w:sz w:val="24"/>
          <w:szCs w:val="24"/>
        </w:rPr>
        <w:t xml:space="preserve"> amplíe su solicitud en el recurso de revisión, únicamente respecto de los nuevos contenidos, lo que se demuestra con las documentales en la interposición del presente recurso de revisión de fecha </w:t>
      </w:r>
      <w:r w:rsidRPr="006C3A6A">
        <w:rPr>
          <w:rFonts w:ascii="Palatino Linotype" w:hAnsi="Palatino Linotype" w:cs="Arial"/>
          <w:b/>
          <w:bCs/>
          <w:sz w:val="24"/>
          <w:szCs w:val="24"/>
        </w:rPr>
        <w:t xml:space="preserve">veintiocho de abril de dos mil veinticinco, </w:t>
      </w:r>
      <w:r w:rsidRPr="006C3A6A">
        <w:rPr>
          <w:rFonts w:ascii="Palatino Linotype" w:hAnsi="Palatino Linotype" w:cs="Arial"/>
          <w:sz w:val="24"/>
          <w:szCs w:val="24"/>
        </w:rPr>
        <w:t xml:space="preserve">el cual deviene de la parte quien emitió el acto impugnado. </w:t>
      </w:r>
    </w:p>
    <w:p w14:paraId="021A7CCA" w14:textId="77777777" w:rsidR="006C3A6A" w:rsidRPr="006C3A6A" w:rsidRDefault="006C3A6A" w:rsidP="006C3A6A">
      <w:pPr>
        <w:numPr>
          <w:ilvl w:val="0"/>
          <w:numId w:val="16"/>
        </w:numPr>
        <w:spacing w:after="0" w:line="360" w:lineRule="auto"/>
        <w:ind w:right="51"/>
        <w:jc w:val="both"/>
        <w:rPr>
          <w:rFonts w:ascii="Palatino Linotype" w:hAnsi="Palatino Linotype"/>
          <w:sz w:val="24"/>
          <w:szCs w:val="24"/>
        </w:rPr>
      </w:pPr>
      <w:r w:rsidRPr="006C3A6A">
        <w:rPr>
          <w:rFonts w:ascii="Palatino Linotype" w:hAnsi="Palatino Linotype" w:cs="Arial"/>
          <w:sz w:val="24"/>
          <w:szCs w:val="24"/>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6C3A6A">
        <w:rPr>
          <w:rFonts w:ascii="Palatino Linotype" w:hAnsi="Palatino Linotype" w:cs="Arial"/>
          <w:b/>
          <w:sz w:val="24"/>
          <w:szCs w:val="24"/>
          <w:u w:val="single"/>
        </w:rPr>
        <w:t>ampliar su solicitud de información</w:t>
      </w:r>
      <w:r w:rsidRPr="006C3A6A">
        <w:rPr>
          <w:rFonts w:ascii="Palatino Linotype" w:hAnsi="Palatino Linotype" w:cs="Arial"/>
          <w:sz w:val="24"/>
          <w:szCs w:val="24"/>
        </w:rPr>
        <w:t>, proporcionando nuevos elementos en el recurso de revisión</w:t>
      </w:r>
      <w:r w:rsidRPr="006C3A6A">
        <w:rPr>
          <w:rFonts w:ascii="Palatino Linotype" w:hAnsi="Palatino Linotype"/>
          <w:bCs/>
          <w:sz w:val="24"/>
          <w:szCs w:val="24"/>
        </w:rPr>
        <w:t>.</w:t>
      </w:r>
    </w:p>
    <w:p w14:paraId="4D320096" w14:textId="77777777" w:rsidR="006C3A6A" w:rsidRPr="006C3A6A" w:rsidRDefault="006C3A6A" w:rsidP="006C3A6A">
      <w:pPr>
        <w:autoSpaceDE w:val="0"/>
        <w:autoSpaceDN w:val="0"/>
        <w:adjustRightInd w:val="0"/>
        <w:spacing w:line="360" w:lineRule="auto"/>
        <w:jc w:val="both"/>
        <w:rPr>
          <w:rFonts w:ascii="Palatino Linotype" w:hAnsi="Palatino Linotype" w:cs="Arial"/>
        </w:rPr>
      </w:pPr>
    </w:p>
    <w:p w14:paraId="124D64F9"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14:paraId="3E274CD8" w14:textId="77777777" w:rsidR="006C3A6A" w:rsidRPr="006C3A6A" w:rsidRDefault="006C3A6A" w:rsidP="006C3A6A">
      <w:pPr>
        <w:pStyle w:val="Citas"/>
      </w:pPr>
      <w:r w:rsidRPr="006C3A6A">
        <w:rPr>
          <w:b/>
        </w:rPr>
        <w:t>“Artículo 191.</w:t>
      </w:r>
      <w:r w:rsidRPr="006C3A6A">
        <w:t xml:space="preserve"> El recurso será desechado por improcedente cuando:</w:t>
      </w:r>
    </w:p>
    <w:p w14:paraId="04BBD0A4" w14:textId="77777777" w:rsidR="006C3A6A" w:rsidRPr="006C3A6A" w:rsidRDefault="006C3A6A" w:rsidP="006C3A6A">
      <w:pPr>
        <w:pStyle w:val="Citas"/>
        <w:numPr>
          <w:ilvl w:val="0"/>
          <w:numId w:val="18"/>
        </w:numPr>
        <w:ind w:left="1418"/>
      </w:pPr>
      <w:r w:rsidRPr="006C3A6A">
        <w:t>Sea extemporáneo por haber transcurrido el plazo establecido en la presente Ley, a partir de la respuesta;</w:t>
      </w:r>
    </w:p>
    <w:p w14:paraId="343FD2B6" w14:textId="77777777" w:rsidR="006C3A6A" w:rsidRPr="006C3A6A" w:rsidRDefault="006C3A6A" w:rsidP="006C3A6A">
      <w:pPr>
        <w:pStyle w:val="Citas"/>
        <w:numPr>
          <w:ilvl w:val="0"/>
          <w:numId w:val="18"/>
        </w:numPr>
        <w:ind w:left="1418"/>
      </w:pPr>
      <w:r w:rsidRPr="006C3A6A">
        <w:lastRenderedPageBreak/>
        <w:t>Se esté tramitando ante el Poder Judicial de la Federación algún recurso o medio de defensa interpuesto por el recurrente;</w:t>
      </w:r>
    </w:p>
    <w:p w14:paraId="0F834D43" w14:textId="77777777" w:rsidR="006C3A6A" w:rsidRPr="006C3A6A" w:rsidRDefault="006C3A6A" w:rsidP="006C3A6A">
      <w:pPr>
        <w:pStyle w:val="Citas"/>
        <w:numPr>
          <w:ilvl w:val="0"/>
          <w:numId w:val="18"/>
        </w:numPr>
        <w:ind w:left="1418"/>
      </w:pPr>
      <w:r w:rsidRPr="006C3A6A">
        <w:t>No actualice alguno de los supuestos previstos en la presente Ley;</w:t>
      </w:r>
    </w:p>
    <w:p w14:paraId="3B37BF35" w14:textId="77777777" w:rsidR="006C3A6A" w:rsidRPr="006C3A6A" w:rsidRDefault="006C3A6A" w:rsidP="006C3A6A">
      <w:pPr>
        <w:pStyle w:val="Citas"/>
        <w:numPr>
          <w:ilvl w:val="0"/>
          <w:numId w:val="18"/>
        </w:numPr>
        <w:ind w:left="1418"/>
      </w:pPr>
      <w:r w:rsidRPr="006C3A6A">
        <w:t>No se haya desahogado la prevención en los términos establecidos en la presente Ley;</w:t>
      </w:r>
    </w:p>
    <w:p w14:paraId="64AF331C" w14:textId="77777777" w:rsidR="006C3A6A" w:rsidRPr="006C3A6A" w:rsidRDefault="006C3A6A" w:rsidP="006C3A6A">
      <w:pPr>
        <w:pStyle w:val="Citas"/>
        <w:numPr>
          <w:ilvl w:val="0"/>
          <w:numId w:val="18"/>
        </w:numPr>
        <w:ind w:left="1418"/>
      </w:pPr>
      <w:r w:rsidRPr="006C3A6A">
        <w:t>Se impugne la veracidad de la información proporcionada;</w:t>
      </w:r>
    </w:p>
    <w:p w14:paraId="3048B7BA" w14:textId="77777777" w:rsidR="006C3A6A" w:rsidRPr="006C3A6A" w:rsidRDefault="006C3A6A" w:rsidP="006C3A6A">
      <w:pPr>
        <w:pStyle w:val="Citas"/>
        <w:numPr>
          <w:ilvl w:val="0"/>
          <w:numId w:val="18"/>
        </w:numPr>
        <w:ind w:left="1418"/>
      </w:pPr>
      <w:r w:rsidRPr="006C3A6A">
        <w:t>Se trate de una consulta, o trámite en específico; y</w:t>
      </w:r>
    </w:p>
    <w:p w14:paraId="70BD2C64" w14:textId="77777777" w:rsidR="006C3A6A" w:rsidRPr="006C3A6A" w:rsidRDefault="006C3A6A" w:rsidP="006C3A6A">
      <w:pPr>
        <w:pStyle w:val="Citas"/>
        <w:numPr>
          <w:ilvl w:val="0"/>
          <w:numId w:val="18"/>
        </w:numPr>
        <w:ind w:left="1418"/>
      </w:pPr>
      <w:r w:rsidRPr="006C3A6A">
        <w:rPr>
          <w:b/>
          <w:u w:val="single"/>
        </w:rPr>
        <w:t>El recurrente amplíe su solicitud en el recurso de revisión, únicamente respecto de los nuevos contenidos</w:t>
      </w:r>
      <w:r w:rsidRPr="006C3A6A">
        <w:rPr>
          <w:u w:val="single"/>
        </w:rPr>
        <w:t>.”</w:t>
      </w:r>
      <w:r w:rsidRPr="006C3A6A">
        <w:t xml:space="preserve"> </w:t>
      </w:r>
      <w:r w:rsidRPr="006C3A6A">
        <w:rPr>
          <w:b/>
        </w:rPr>
        <w:t>(Sic)</w:t>
      </w:r>
    </w:p>
    <w:p w14:paraId="245CDFA8"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p>
    <w:p w14:paraId="19FCF618"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1879A3D4" w14:textId="77777777" w:rsidR="006C3A6A" w:rsidRPr="006C3A6A" w:rsidRDefault="006C3A6A" w:rsidP="006C3A6A">
      <w:pPr>
        <w:pStyle w:val="Citas"/>
      </w:pPr>
      <w:r w:rsidRPr="006C3A6A">
        <w:t>“Artículo 192. El recurso será sobreseído, en todo o en parte, cuando una vez admitido, se actualicen alguno de los siguientes supuestos:</w:t>
      </w:r>
    </w:p>
    <w:p w14:paraId="0D8EBCD5" w14:textId="77777777" w:rsidR="006C3A6A" w:rsidRPr="006C3A6A" w:rsidRDefault="006C3A6A" w:rsidP="006C3A6A">
      <w:pPr>
        <w:pStyle w:val="Citas"/>
        <w:numPr>
          <w:ilvl w:val="0"/>
          <w:numId w:val="19"/>
        </w:numPr>
      </w:pPr>
      <w:r w:rsidRPr="006C3A6A">
        <w:t xml:space="preserve">El recurrente se desista expresamente del recurso; </w:t>
      </w:r>
    </w:p>
    <w:p w14:paraId="37EEEF6D" w14:textId="77777777" w:rsidR="006C3A6A" w:rsidRPr="006C3A6A" w:rsidRDefault="006C3A6A" w:rsidP="006C3A6A">
      <w:pPr>
        <w:pStyle w:val="Citas"/>
        <w:numPr>
          <w:ilvl w:val="0"/>
          <w:numId w:val="19"/>
        </w:numPr>
      </w:pPr>
      <w:r w:rsidRPr="006C3A6A">
        <w:t xml:space="preserve">El recurrente fallezca o, tratándose de personas jurídicas colectivas, se disuelva; </w:t>
      </w:r>
    </w:p>
    <w:p w14:paraId="6463FD57" w14:textId="77777777" w:rsidR="006C3A6A" w:rsidRPr="006C3A6A" w:rsidRDefault="006C3A6A" w:rsidP="006C3A6A">
      <w:pPr>
        <w:pStyle w:val="Citas"/>
        <w:numPr>
          <w:ilvl w:val="0"/>
          <w:numId w:val="19"/>
        </w:numPr>
      </w:pPr>
      <w:r w:rsidRPr="006C3A6A">
        <w:t xml:space="preserve">El sujeto obligado responsable del acto lo modifique o revoque de tal manera que el recurso de revisión quede sin materia; </w:t>
      </w:r>
    </w:p>
    <w:p w14:paraId="6AFADD27" w14:textId="77777777" w:rsidR="006C3A6A" w:rsidRPr="006C3A6A" w:rsidRDefault="006C3A6A" w:rsidP="006C3A6A">
      <w:pPr>
        <w:pStyle w:val="Citas"/>
        <w:numPr>
          <w:ilvl w:val="0"/>
          <w:numId w:val="19"/>
        </w:numPr>
        <w:rPr>
          <w:b/>
          <w:u w:val="single"/>
        </w:rPr>
      </w:pPr>
      <w:r w:rsidRPr="006C3A6A">
        <w:rPr>
          <w:b/>
          <w:u w:val="single"/>
        </w:rPr>
        <w:lastRenderedPageBreak/>
        <w:t xml:space="preserve">Admitido el recurso de revisión, aparezca alguna causal de improcedencia en los términos de la presente Ley; y </w:t>
      </w:r>
    </w:p>
    <w:p w14:paraId="3503063F" w14:textId="77777777" w:rsidR="006C3A6A" w:rsidRPr="006C3A6A" w:rsidRDefault="006C3A6A" w:rsidP="006C3A6A">
      <w:pPr>
        <w:pStyle w:val="Citas"/>
        <w:numPr>
          <w:ilvl w:val="0"/>
          <w:numId w:val="19"/>
        </w:numPr>
        <w:rPr>
          <w:b/>
        </w:rPr>
      </w:pPr>
      <w:r w:rsidRPr="006C3A6A">
        <w:t>Cuando por cualquier motivo quede sin materia el recurso.”</w:t>
      </w:r>
      <w:r w:rsidRPr="006C3A6A">
        <w:rPr>
          <w:b/>
        </w:rPr>
        <w:t xml:space="preserve"> (Sic)</w:t>
      </w:r>
    </w:p>
    <w:p w14:paraId="50137A13" w14:textId="77777777" w:rsidR="006C3A6A" w:rsidRPr="006C3A6A" w:rsidRDefault="006C3A6A" w:rsidP="006C3A6A">
      <w:pPr>
        <w:rPr>
          <w:rFonts w:ascii="Palatino Linotype" w:hAnsi="Palatino Linotype"/>
        </w:rPr>
      </w:pPr>
    </w:p>
    <w:p w14:paraId="163F06EB" w14:textId="77777777" w:rsidR="006C3A6A" w:rsidRPr="006C3A6A" w:rsidRDefault="006C3A6A" w:rsidP="006C3A6A">
      <w:pPr>
        <w:autoSpaceDE w:val="0"/>
        <w:autoSpaceDN w:val="0"/>
        <w:adjustRightInd w:val="0"/>
        <w:spacing w:line="360" w:lineRule="auto"/>
        <w:jc w:val="both"/>
        <w:rPr>
          <w:rFonts w:ascii="Palatino Linotype" w:hAnsi="Palatino Linotype" w:cs="Arial"/>
          <w:sz w:val="24"/>
          <w:szCs w:val="24"/>
        </w:rPr>
      </w:pPr>
      <w:r w:rsidRPr="006C3A6A">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0AF91AF3" w14:textId="4BBEBE54" w:rsidR="006C3A6A" w:rsidRPr="006C3A6A" w:rsidRDefault="006C3A6A" w:rsidP="006C3A6A">
      <w:pPr>
        <w:numPr>
          <w:ilvl w:val="0"/>
          <w:numId w:val="17"/>
        </w:numPr>
        <w:autoSpaceDE w:val="0"/>
        <w:autoSpaceDN w:val="0"/>
        <w:adjustRightInd w:val="0"/>
        <w:spacing w:line="360" w:lineRule="auto"/>
        <w:ind w:left="851" w:right="850" w:firstLine="10"/>
        <w:jc w:val="both"/>
        <w:rPr>
          <w:rFonts w:ascii="Palatino Linotype" w:hAnsi="Palatino Linotype" w:cs="Arial"/>
          <w:sz w:val="24"/>
          <w:szCs w:val="24"/>
        </w:rPr>
      </w:pPr>
      <w:r w:rsidRPr="006C3A6A">
        <w:rPr>
          <w:rFonts w:ascii="Palatino Linotype" w:hAnsi="Palatino Linotype" w:cs="Arial"/>
          <w:sz w:val="24"/>
          <w:szCs w:val="24"/>
        </w:rPr>
        <w:t xml:space="preserve">Mediante acuerdo de fecha </w:t>
      </w:r>
      <w:r w:rsidRPr="006C3A6A">
        <w:rPr>
          <w:rFonts w:ascii="Palatino Linotype" w:hAnsi="Palatino Linotype" w:cs="Arial"/>
          <w:b/>
          <w:bCs/>
          <w:sz w:val="24"/>
          <w:szCs w:val="24"/>
        </w:rPr>
        <w:t xml:space="preserve">seis de mayo de dos mil veinticinco, </w:t>
      </w:r>
      <w:r w:rsidRPr="006C3A6A">
        <w:rPr>
          <w:rFonts w:ascii="Palatino Linotype" w:hAnsi="Palatino Linotype" w:cs="Arial"/>
          <w:sz w:val="24"/>
          <w:szCs w:val="24"/>
        </w:rPr>
        <w:t xml:space="preserve">el Comisionado presidente </w:t>
      </w:r>
      <w:r w:rsidRPr="006C3A6A">
        <w:rPr>
          <w:rFonts w:ascii="Palatino Linotype" w:hAnsi="Palatino Linotype" w:cs="Arial"/>
          <w:b/>
          <w:sz w:val="24"/>
          <w:szCs w:val="24"/>
        </w:rPr>
        <w:t>José Martínez Vilchis</w:t>
      </w:r>
      <w:r w:rsidRPr="006C3A6A">
        <w:rPr>
          <w:rFonts w:ascii="Palatino Linotype" w:hAnsi="Palatino Linotype" w:cs="Arial"/>
          <w:sz w:val="24"/>
          <w:szCs w:val="24"/>
        </w:rPr>
        <w:t>, admitió a trámite el recurso de revisión que nos ocupa.</w:t>
      </w:r>
    </w:p>
    <w:p w14:paraId="118B8AE3" w14:textId="77777777" w:rsidR="006C3A6A" w:rsidRPr="006C3A6A" w:rsidRDefault="006C3A6A" w:rsidP="006C3A6A">
      <w:pPr>
        <w:numPr>
          <w:ilvl w:val="0"/>
          <w:numId w:val="17"/>
        </w:numPr>
        <w:autoSpaceDE w:val="0"/>
        <w:autoSpaceDN w:val="0"/>
        <w:adjustRightInd w:val="0"/>
        <w:spacing w:line="360" w:lineRule="auto"/>
        <w:ind w:left="851" w:right="850" w:firstLine="10"/>
        <w:jc w:val="both"/>
        <w:rPr>
          <w:sz w:val="24"/>
          <w:szCs w:val="24"/>
        </w:rPr>
      </w:pPr>
      <w:r w:rsidRPr="006C3A6A">
        <w:rPr>
          <w:rFonts w:ascii="Palatino Linotype" w:hAnsi="Palatino Linotype" w:cs="Arial"/>
          <w:sz w:val="24"/>
          <w:szCs w:val="24"/>
        </w:rPr>
        <w:t xml:space="preserve">Lo esgrimido por el particular dentro del recurso de revisión impugnado queda sin materia, toda vez que la parte </w:t>
      </w:r>
      <w:r w:rsidRPr="006C3A6A">
        <w:rPr>
          <w:rFonts w:ascii="Palatino Linotype" w:hAnsi="Palatino Linotype" w:cs="Arial"/>
          <w:b/>
          <w:sz w:val="24"/>
          <w:szCs w:val="24"/>
        </w:rPr>
        <w:t>Recurrente amplió</w:t>
      </w:r>
      <w:r w:rsidRPr="006C3A6A">
        <w:rPr>
          <w:rFonts w:ascii="Palatino Linotype" w:hAnsi="Palatino Linotype" w:cs="Arial"/>
          <w:sz w:val="24"/>
          <w:szCs w:val="24"/>
        </w:rPr>
        <w:t xml:space="preserve"> su solicitud en el recurso de revisión.</w:t>
      </w:r>
    </w:p>
    <w:p w14:paraId="315BD931" w14:textId="6D586169" w:rsidR="006C3A6A" w:rsidRPr="006C3A6A" w:rsidRDefault="006C3A6A" w:rsidP="006C3A6A">
      <w:pPr>
        <w:numPr>
          <w:ilvl w:val="0"/>
          <w:numId w:val="17"/>
        </w:numPr>
        <w:autoSpaceDE w:val="0"/>
        <w:autoSpaceDN w:val="0"/>
        <w:adjustRightInd w:val="0"/>
        <w:spacing w:line="360" w:lineRule="auto"/>
        <w:ind w:left="851" w:right="850" w:firstLine="10"/>
        <w:jc w:val="both"/>
        <w:rPr>
          <w:rFonts w:ascii="Palatino Linotype" w:hAnsi="Palatino Linotype" w:cs="Arial"/>
          <w:sz w:val="24"/>
          <w:szCs w:val="24"/>
        </w:rPr>
      </w:pPr>
      <w:r w:rsidRPr="006C3A6A">
        <w:rPr>
          <w:rFonts w:ascii="Palatino Linotype" w:hAnsi="Palatino Linotype" w:cs="Arial"/>
          <w:sz w:val="24"/>
          <w:szCs w:val="24"/>
        </w:rPr>
        <w:t xml:space="preserve">El recurso </w:t>
      </w:r>
      <w:r w:rsidRPr="006C3A6A">
        <w:rPr>
          <w:rFonts w:ascii="Palatino Linotype" w:hAnsi="Palatino Linotype" w:cs="Arial"/>
          <w:b/>
          <w:bCs/>
          <w:sz w:val="24"/>
          <w:szCs w:val="24"/>
          <w:lang w:eastAsia="es-MX"/>
        </w:rPr>
        <w:t>04885/INFOEM/IP/RR/2025</w:t>
      </w:r>
      <w:r w:rsidRPr="006C3A6A">
        <w:rPr>
          <w:rFonts w:ascii="Palatino Linotype" w:hAnsi="Palatino Linotype" w:cs="Arial"/>
          <w:bCs/>
          <w:sz w:val="24"/>
          <w:szCs w:val="24"/>
          <w:lang w:eastAsia="es-MX"/>
        </w:rPr>
        <w:t>,</w:t>
      </w:r>
      <w:r w:rsidRPr="006C3A6A">
        <w:rPr>
          <w:rFonts w:ascii="Palatino Linotype" w:hAnsi="Palatino Linotype" w:cs="Arial"/>
          <w:sz w:val="24"/>
          <w:szCs w:val="24"/>
        </w:rPr>
        <w:t xml:space="preserve"> no actualiza ninguna hipótesis de las inmersas en el numeral 179, de la Ley en materia vigente en la entidad.</w:t>
      </w:r>
    </w:p>
    <w:p w14:paraId="2BA80584" w14:textId="77777777" w:rsidR="006C3A6A" w:rsidRPr="00D91628" w:rsidRDefault="006C3A6A" w:rsidP="006C3A6A">
      <w:pPr>
        <w:autoSpaceDE w:val="0"/>
        <w:autoSpaceDN w:val="0"/>
        <w:adjustRightInd w:val="0"/>
        <w:spacing w:line="360" w:lineRule="auto"/>
        <w:jc w:val="both"/>
        <w:rPr>
          <w:rFonts w:ascii="Palatino Linotype" w:hAnsi="Palatino Linotype"/>
          <w:sz w:val="16"/>
          <w:highlight w:val="cyan"/>
        </w:rPr>
      </w:pPr>
    </w:p>
    <w:p w14:paraId="67E87530" w14:textId="77777777" w:rsidR="006C3A6A" w:rsidRPr="006C3A6A" w:rsidRDefault="006C3A6A" w:rsidP="006C3A6A">
      <w:pPr>
        <w:autoSpaceDE w:val="0"/>
        <w:autoSpaceDN w:val="0"/>
        <w:adjustRightInd w:val="0"/>
        <w:spacing w:line="360" w:lineRule="auto"/>
        <w:jc w:val="both"/>
        <w:rPr>
          <w:rFonts w:ascii="Palatino Linotype" w:hAnsi="Palatino Linotype"/>
          <w:b/>
          <w:sz w:val="24"/>
          <w:szCs w:val="24"/>
          <w:u w:val="single"/>
        </w:rPr>
      </w:pPr>
      <w:r w:rsidRPr="006C3A6A">
        <w:rPr>
          <w:rFonts w:ascii="Palatino Linotype" w:hAnsi="Palatino Linotype"/>
          <w:sz w:val="24"/>
          <w:szCs w:val="24"/>
        </w:rPr>
        <w:t xml:space="preserve">Es importante resaltar a manera de analogía que la Suprema Corte de Justicia de la Nación mediante el número 2 de la Serie </w:t>
      </w:r>
      <w:r w:rsidRPr="006C3A6A">
        <w:rPr>
          <w:rFonts w:ascii="Palatino Linotype" w:hAnsi="Palatino Linotype"/>
          <w:i/>
          <w:sz w:val="24"/>
          <w:szCs w:val="24"/>
        </w:rPr>
        <w:t xml:space="preserve">Estudios Introductorios sobre el Juicio de Amparo </w:t>
      </w:r>
      <w:r w:rsidRPr="006C3A6A">
        <w:rPr>
          <w:rFonts w:ascii="Palatino Linotype" w:hAnsi="Palatino Linotype"/>
          <w:sz w:val="24"/>
          <w:szCs w:val="24"/>
        </w:rPr>
        <w:t xml:space="preserve">relativo a </w:t>
      </w:r>
      <w:r w:rsidRPr="006C3A6A">
        <w:rPr>
          <w:rFonts w:ascii="Palatino Linotype" w:hAnsi="Palatino Linotype"/>
          <w:i/>
          <w:sz w:val="24"/>
          <w:szCs w:val="24"/>
        </w:rPr>
        <w:t xml:space="preserve">LA IMPROCEDENCIA DE LA ACCIÓN DE AMPARO </w:t>
      </w:r>
      <w:r w:rsidRPr="006C3A6A">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sidRPr="006C3A6A">
        <w:rPr>
          <w:rFonts w:ascii="Palatino Linotype" w:hAnsi="Palatino Linotype"/>
          <w:sz w:val="24"/>
          <w:szCs w:val="24"/>
        </w:rPr>
        <w:lastRenderedPageBreak/>
        <w:t xml:space="preserve">y resolver el fondo del asunto y que la causa de improcedencia puede tenerse por acreditada desde el momento en que se presenta la demanda de amparo, </w:t>
      </w:r>
      <w:r w:rsidRPr="006C3A6A">
        <w:rPr>
          <w:rFonts w:ascii="Palatino Linotype" w:hAnsi="Palatino Linotype"/>
          <w:b/>
          <w:sz w:val="24"/>
          <w:szCs w:val="24"/>
          <w:u w:val="single"/>
        </w:rPr>
        <w:t>lo que generará que la demanda sea desechada; o bien, después de admitida la demanda, lo que tendrá como consecuencia que se sobresea en el juicio.</w:t>
      </w:r>
    </w:p>
    <w:p w14:paraId="5BE4A347" w14:textId="10AE5E3B" w:rsidR="006C3A6A" w:rsidRPr="006C3A6A" w:rsidRDefault="006C3A6A" w:rsidP="006C3A6A">
      <w:pPr>
        <w:spacing w:line="360" w:lineRule="auto"/>
        <w:ind w:right="51"/>
        <w:jc w:val="both"/>
        <w:rPr>
          <w:rFonts w:ascii="Palatino Linotype" w:hAnsi="Palatino Linotype" w:cs="Arial"/>
          <w:bCs/>
          <w:sz w:val="24"/>
          <w:szCs w:val="24"/>
          <w:lang w:eastAsia="es-MX"/>
        </w:rPr>
      </w:pPr>
      <w:r w:rsidRPr="006C3A6A">
        <w:rPr>
          <w:rFonts w:ascii="Palatino Linotype" w:hAnsi="Palatino Linotype" w:cs="Arial"/>
          <w:sz w:val="24"/>
          <w:szCs w:val="24"/>
        </w:rPr>
        <w:t>En mérito de lo expuesto en líneas anteriores</w:t>
      </w:r>
      <w:r w:rsidRPr="006C3A6A">
        <w:rPr>
          <w:rFonts w:ascii="Palatino Linotype" w:hAnsi="Palatino Linotype"/>
          <w:noProof/>
          <w:sz w:val="24"/>
          <w:szCs w:val="24"/>
          <w:lang w:eastAsia="es-MX"/>
        </w:rPr>
        <w:t xml:space="preserve">, resultan parcialmente procedentes los motivos de inconformidad que arguye el </w:t>
      </w:r>
      <w:r w:rsidRPr="006C3A6A">
        <w:rPr>
          <w:rFonts w:ascii="Palatino Linotype" w:hAnsi="Palatino Linotype"/>
          <w:b/>
          <w:noProof/>
          <w:sz w:val="24"/>
          <w:szCs w:val="24"/>
          <w:lang w:eastAsia="es-MX"/>
        </w:rPr>
        <w:t>Recurrente</w:t>
      </w:r>
      <w:r w:rsidRPr="006C3A6A">
        <w:rPr>
          <w:rFonts w:ascii="Palatino Linotype" w:hAnsi="Palatino Linotype"/>
          <w:noProof/>
          <w:sz w:val="24"/>
          <w:szCs w:val="24"/>
          <w:lang w:eastAsia="es-MX"/>
        </w:rPr>
        <w:t xml:space="preserve"> en su medio de impugnación que fue materia de estudio, </w:t>
      </w:r>
      <w:r w:rsidRPr="006C3A6A">
        <w:rPr>
          <w:rFonts w:ascii="Palatino Linotype" w:hAnsi="Palatino Linotype" w:cs="Arial"/>
          <w:sz w:val="24"/>
          <w:szCs w:val="24"/>
        </w:rPr>
        <w:t xml:space="preserve">por ello con fundamento en el artículo 186, fracción I, en concordancia con el artículo 192, fracción IV, de la Ley de Transparencia y Acceso a la Información Pública del Estado de México y Municipios, se </w:t>
      </w:r>
      <w:r w:rsidRPr="006C3A6A">
        <w:rPr>
          <w:rFonts w:ascii="Palatino Linotype" w:hAnsi="Palatino Linotype" w:cs="Arial"/>
          <w:b/>
          <w:sz w:val="24"/>
          <w:szCs w:val="24"/>
        </w:rPr>
        <w:t>SOBRESEE</w:t>
      </w:r>
      <w:r w:rsidRPr="006C3A6A">
        <w:rPr>
          <w:rFonts w:ascii="Palatino Linotype" w:hAnsi="Palatino Linotype" w:cs="Arial"/>
          <w:sz w:val="24"/>
          <w:szCs w:val="24"/>
        </w:rPr>
        <w:t xml:space="preserve"> el recurso de revisión </w:t>
      </w:r>
      <w:r>
        <w:rPr>
          <w:rFonts w:ascii="Palatino Linotype" w:hAnsi="Palatino Linotype" w:cs="Arial"/>
          <w:b/>
          <w:bCs/>
          <w:sz w:val="24"/>
          <w:szCs w:val="24"/>
        </w:rPr>
        <w:t>04885</w:t>
      </w:r>
      <w:r w:rsidRPr="006C3A6A">
        <w:rPr>
          <w:rFonts w:ascii="Palatino Linotype" w:hAnsi="Palatino Linotype" w:cs="Arial"/>
          <w:b/>
          <w:bCs/>
          <w:sz w:val="24"/>
          <w:szCs w:val="24"/>
        </w:rPr>
        <w:t>/INFOEM/IP/RR/2025</w:t>
      </w:r>
      <w:r w:rsidRPr="006C3A6A">
        <w:rPr>
          <w:rFonts w:ascii="Palatino Linotype" w:eastAsiaTheme="minorEastAsia" w:hAnsi="Palatino Linotype"/>
          <w:sz w:val="24"/>
          <w:szCs w:val="24"/>
          <w:lang w:val="es-ES_tradnl"/>
        </w:rPr>
        <w:t>,</w:t>
      </w:r>
      <w:r w:rsidRPr="006C3A6A">
        <w:rPr>
          <w:rFonts w:ascii="Palatino Linotype" w:eastAsiaTheme="minorEastAsia" w:hAnsi="Palatino Linotype"/>
          <w:b/>
          <w:sz w:val="24"/>
          <w:szCs w:val="24"/>
          <w:lang w:val="es-ES_tradnl"/>
        </w:rPr>
        <w:t xml:space="preserve"> </w:t>
      </w:r>
      <w:r w:rsidRPr="006C3A6A">
        <w:rPr>
          <w:rFonts w:ascii="Palatino Linotype" w:hAnsi="Palatino Linotype" w:cs="Arial"/>
          <w:bCs/>
          <w:sz w:val="24"/>
          <w:szCs w:val="24"/>
          <w:lang w:eastAsia="es-MX"/>
        </w:rPr>
        <w:t>que ha sido materia del presente fallo.</w:t>
      </w:r>
    </w:p>
    <w:p w14:paraId="6D58C9C2" w14:textId="77777777" w:rsidR="006C3A6A" w:rsidRDefault="006C3A6A" w:rsidP="006C3A6A">
      <w:pPr>
        <w:tabs>
          <w:tab w:val="left" w:pos="8931"/>
        </w:tabs>
        <w:spacing w:line="360" w:lineRule="auto"/>
        <w:ind w:right="51"/>
        <w:jc w:val="both"/>
        <w:rPr>
          <w:i/>
          <w:sz w:val="24"/>
          <w:szCs w:val="24"/>
        </w:rPr>
      </w:pPr>
      <w:r w:rsidRPr="006C3A6A">
        <w:rPr>
          <w:rFonts w:ascii="Palatino Linotype" w:hAnsi="Palatino Linotype"/>
        </w:rPr>
        <w:t>Por lo antes expuesto y fundado es de resolverse y,</w:t>
      </w:r>
      <w:r>
        <w:rPr>
          <w:sz w:val="24"/>
          <w:szCs w:val="24"/>
        </w:rPr>
        <w:t xml:space="preserve"> </w:t>
      </w:r>
    </w:p>
    <w:p w14:paraId="3939B621" w14:textId="77777777" w:rsidR="006C3A6A" w:rsidRDefault="006C3A6A" w:rsidP="006C3A6A">
      <w:pPr>
        <w:spacing w:before="240" w:line="360" w:lineRule="auto"/>
        <w:jc w:val="center"/>
        <w:rPr>
          <w:rFonts w:ascii="Palatino Linotype" w:eastAsia="Times New Roman" w:hAnsi="Palatino Linotype"/>
          <w:b/>
          <w:bCs/>
          <w:spacing w:val="60"/>
          <w:sz w:val="24"/>
          <w:szCs w:val="24"/>
          <w:lang w:val="es-ES_tradnl"/>
        </w:rPr>
      </w:pPr>
    </w:p>
    <w:p w14:paraId="16449F3D" w14:textId="753CD163" w:rsidR="006C3A6A" w:rsidRPr="006C3A6A" w:rsidRDefault="006C3A6A" w:rsidP="006C3A6A">
      <w:pPr>
        <w:spacing w:before="240" w:line="360" w:lineRule="auto"/>
        <w:jc w:val="center"/>
        <w:rPr>
          <w:rFonts w:ascii="Palatino Linotype" w:eastAsia="Times New Roman" w:hAnsi="Palatino Linotype"/>
          <w:b/>
          <w:bCs/>
          <w:spacing w:val="60"/>
          <w:sz w:val="24"/>
          <w:szCs w:val="24"/>
          <w:lang w:val="es-ES_tradnl"/>
        </w:rPr>
      </w:pPr>
      <w:r w:rsidRPr="006C3A6A">
        <w:rPr>
          <w:rFonts w:ascii="Palatino Linotype" w:eastAsia="Times New Roman" w:hAnsi="Palatino Linotype"/>
          <w:b/>
          <w:bCs/>
          <w:spacing w:val="60"/>
          <w:sz w:val="24"/>
          <w:szCs w:val="24"/>
          <w:lang w:val="es-ES_tradnl"/>
        </w:rPr>
        <w:t>SE    RESUELVE</w:t>
      </w:r>
    </w:p>
    <w:p w14:paraId="619DABF2" w14:textId="6E896EB6" w:rsidR="006C3A6A" w:rsidRPr="006C3A6A" w:rsidRDefault="006C3A6A" w:rsidP="006C3A6A">
      <w:pPr>
        <w:tabs>
          <w:tab w:val="left" w:pos="8647"/>
        </w:tabs>
        <w:spacing w:line="360" w:lineRule="auto"/>
        <w:ind w:right="51"/>
        <w:jc w:val="both"/>
        <w:rPr>
          <w:rFonts w:ascii="Palatino Linotype" w:eastAsiaTheme="minorEastAsia" w:hAnsi="Palatino Linotype" w:cs="Arial"/>
          <w:sz w:val="24"/>
          <w:szCs w:val="24"/>
          <w:lang w:val="es-ES_tradnl"/>
        </w:rPr>
      </w:pPr>
      <w:r w:rsidRPr="006C3A6A">
        <w:rPr>
          <w:rFonts w:ascii="Palatino Linotype" w:eastAsiaTheme="minorEastAsia" w:hAnsi="Palatino Linotype" w:cs="Arial"/>
          <w:b/>
          <w:sz w:val="24"/>
          <w:szCs w:val="24"/>
          <w:lang w:val="es-ES_tradnl"/>
        </w:rPr>
        <w:t>PRIMERO.</w:t>
      </w:r>
      <w:r w:rsidRPr="006C3A6A">
        <w:rPr>
          <w:rFonts w:ascii="Palatino Linotype" w:eastAsiaTheme="minorEastAsia" w:hAnsi="Palatino Linotype" w:cs="Arial"/>
          <w:sz w:val="24"/>
          <w:szCs w:val="24"/>
          <w:lang w:val="es-ES_tradnl"/>
        </w:rPr>
        <w:t xml:space="preserve"> Se </w:t>
      </w:r>
      <w:r w:rsidRPr="006C3A6A">
        <w:rPr>
          <w:rFonts w:ascii="Palatino Linotype" w:eastAsiaTheme="minorEastAsia" w:hAnsi="Palatino Linotype" w:cs="Arial"/>
          <w:b/>
          <w:sz w:val="24"/>
          <w:szCs w:val="24"/>
          <w:lang w:val="es-ES_tradnl"/>
        </w:rPr>
        <w:t>SOBRESEE</w:t>
      </w:r>
      <w:r w:rsidRPr="006C3A6A">
        <w:rPr>
          <w:rFonts w:ascii="Palatino Linotype" w:eastAsiaTheme="minorEastAsia" w:hAnsi="Palatino Linotype" w:cs="Arial"/>
          <w:sz w:val="24"/>
          <w:szCs w:val="24"/>
          <w:lang w:val="es-ES_tradnl"/>
        </w:rPr>
        <w:t xml:space="preserve"> el recurso de revisión </w:t>
      </w:r>
      <w:r w:rsidRPr="006C3A6A">
        <w:rPr>
          <w:rFonts w:ascii="Palatino Linotype" w:hAnsi="Palatino Linotype" w:cs="Arial"/>
          <w:b/>
          <w:bCs/>
          <w:sz w:val="24"/>
          <w:szCs w:val="24"/>
        </w:rPr>
        <w:t>04885/INFOEM/IP/RR/2025</w:t>
      </w:r>
      <w:r w:rsidRPr="006C3A6A">
        <w:rPr>
          <w:rFonts w:ascii="Palatino Linotype" w:eastAsiaTheme="minorEastAsia" w:hAnsi="Palatino Linotype" w:cs="Arial"/>
          <w:sz w:val="24"/>
          <w:szCs w:val="24"/>
          <w:lang w:val="es-ES_tradnl"/>
        </w:rPr>
        <w:t xml:space="preserve">, por </w:t>
      </w:r>
      <w:r w:rsidRPr="006C3A6A">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VII del artículo 191 de la Ley de Transparencia y Acceso a la Información Pública del Estado de México y Municipios, </w:t>
      </w:r>
      <w:r w:rsidRPr="006C3A6A">
        <w:rPr>
          <w:rFonts w:ascii="Palatino Linotype" w:hAnsi="Palatino Linotype" w:cs="Arial"/>
          <w:sz w:val="24"/>
          <w:szCs w:val="24"/>
          <w:lang w:val="es-ES_tradnl"/>
        </w:rPr>
        <w:t xml:space="preserve">en términos del Considerando </w:t>
      </w:r>
      <w:r w:rsidR="007D27D5">
        <w:rPr>
          <w:rFonts w:ascii="Palatino Linotype" w:hAnsi="Palatino Linotype" w:cs="Arial"/>
          <w:b/>
          <w:sz w:val="24"/>
          <w:szCs w:val="24"/>
          <w:lang w:val="es-ES_tradnl"/>
        </w:rPr>
        <w:t>CUARTO</w:t>
      </w:r>
      <w:r w:rsidRPr="006C3A6A">
        <w:rPr>
          <w:rFonts w:ascii="Palatino Linotype" w:hAnsi="Palatino Linotype" w:cs="Arial"/>
          <w:b/>
          <w:sz w:val="24"/>
          <w:szCs w:val="24"/>
          <w:lang w:val="es-ES_tradnl"/>
        </w:rPr>
        <w:t xml:space="preserve"> </w:t>
      </w:r>
      <w:r w:rsidRPr="006C3A6A">
        <w:rPr>
          <w:rFonts w:ascii="Palatino Linotype" w:hAnsi="Palatino Linotype" w:cs="Arial"/>
          <w:sz w:val="24"/>
          <w:szCs w:val="24"/>
          <w:lang w:val="es-ES_tradnl"/>
        </w:rPr>
        <w:t>de la presente resolución.</w:t>
      </w:r>
    </w:p>
    <w:p w14:paraId="78DA4A03" w14:textId="77777777" w:rsidR="006C3A6A" w:rsidRPr="006C3A6A" w:rsidRDefault="006C3A6A" w:rsidP="006C3A6A">
      <w:pPr>
        <w:tabs>
          <w:tab w:val="left" w:pos="8647"/>
        </w:tabs>
        <w:spacing w:line="360" w:lineRule="auto"/>
        <w:ind w:right="51"/>
        <w:jc w:val="both"/>
        <w:rPr>
          <w:rFonts w:ascii="Palatino Linotype" w:eastAsiaTheme="minorEastAsia" w:hAnsi="Palatino Linotype" w:cs="Arial"/>
          <w:sz w:val="24"/>
          <w:szCs w:val="24"/>
          <w:lang w:val="es-ES_tradnl"/>
        </w:rPr>
      </w:pPr>
    </w:p>
    <w:p w14:paraId="695652E4" w14:textId="77777777" w:rsidR="006C3A6A" w:rsidRPr="006C3A6A" w:rsidRDefault="006C3A6A" w:rsidP="006C3A6A">
      <w:pPr>
        <w:tabs>
          <w:tab w:val="left" w:pos="8647"/>
        </w:tabs>
        <w:spacing w:line="360" w:lineRule="auto"/>
        <w:ind w:right="51"/>
        <w:jc w:val="both"/>
        <w:rPr>
          <w:rFonts w:ascii="Palatino Linotype" w:eastAsiaTheme="minorEastAsia" w:hAnsi="Palatino Linotype" w:cs="Arial"/>
          <w:sz w:val="24"/>
          <w:szCs w:val="24"/>
          <w:lang w:val="es-ES_tradnl"/>
        </w:rPr>
      </w:pPr>
      <w:r w:rsidRPr="006C3A6A">
        <w:rPr>
          <w:rFonts w:ascii="Palatino Linotype" w:eastAsiaTheme="minorEastAsia" w:hAnsi="Palatino Linotype" w:cs="Arial"/>
          <w:b/>
          <w:sz w:val="24"/>
          <w:szCs w:val="24"/>
          <w:lang w:val="es-ES_tradnl"/>
        </w:rPr>
        <w:t>SEGUNDO.</w:t>
      </w:r>
      <w:r w:rsidRPr="006C3A6A">
        <w:rPr>
          <w:rFonts w:ascii="Palatino Linotype" w:eastAsiaTheme="minorEastAsia" w:hAnsi="Palatino Linotype" w:cs="Arial"/>
          <w:sz w:val="24"/>
          <w:szCs w:val="24"/>
          <w:lang w:val="es-ES_tradnl"/>
        </w:rPr>
        <w:t xml:space="preserve"> </w:t>
      </w:r>
      <w:r w:rsidRPr="006C3A6A">
        <w:rPr>
          <w:rFonts w:ascii="Palatino Linotype" w:eastAsiaTheme="minorEastAsia" w:hAnsi="Palatino Linotype" w:cs="Arial"/>
          <w:b/>
          <w:sz w:val="24"/>
          <w:szCs w:val="24"/>
          <w:lang w:val="es-ES_tradnl"/>
        </w:rPr>
        <w:t>Notifíquese</w:t>
      </w:r>
      <w:r w:rsidRPr="006C3A6A">
        <w:rPr>
          <w:rFonts w:ascii="Palatino Linotype" w:eastAsiaTheme="minorEastAsia" w:hAnsi="Palatino Linotype" w:cs="Arial"/>
          <w:sz w:val="24"/>
          <w:szCs w:val="24"/>
          <w:lang w:val="es-ES_tradnl"/>
        </w:rPr>
        <w:t xml:space="preserve"> vía Sistema de Acceso a la información Mexiquense (</w:t>
      </w:r>
      <w:r w:rsidRPr="006C3A6A">
        <w:rPr>
          <w:rFonts w:ascii="Palatino Linotype" w:eastAsiaTheme="minorEastAsia" w:hAnsi="Palatino Linotype" w:cs="Arial"/>
          <w:b/>
          <w:bCs/>
          <w:sz w:val="24"/>
          <w:szCs w:val="24"/>
          <w:lang w:val="es-ES_tradnl"/>
        </w:rPr>
        <w:t>SAIMEX</w:t>
      </w:r>
      <w:r w:rsidRPr="006C3A6A">
        <w:rPr>
          <w:rFonts w:ascii="Palatino Linotype" w:eastAsiaTheme="minorEastAsia" w:hAnsi="Palatino Linotype" w:cs="Arial"/>
          <w:sz w:val="24"/>
          <w:szCs w:val="24"/>
          <w:lang w:val="es-ES_tradnl"/>
        </w:rPr>
        <w:t xml:space="preserve">) la presente resolución al Titular de la Unidad de Transparencia del </w:t>
      </w:r>
      <w:r w:rsidRPr="006C3A6A">
        <w:rPr>
          <w:rFonts w:ascii="Palatino Linotype" w:eastAsiaTheme="minorEastAsia" w:hAnsi="Palatino Linotype" w:cs="Arial"/>
          <w:b/>
          <w:sz w:val="24"/>
          <w:szCs w:val="24"/>
          <w:lang w:val="es-ES_tradnl"/>
        </w:rPr>
        <w:t>Sujeto Obligado</w:t>
      </w:r>
      <w:r w:rsidRPr="006C3A6A">
        <w:rPr>
          <w:rFonts w:ascii="Palatino Linotype" w:eastAsiaTheme="minorEastAsia" w:hAnsi="Palatino Linotype" w:cs="Arial"/>
          <w:sz w:val="24"/>
          <w:szCs w:val="24"/>
          <w:lang w:val="es-ES_tradnl"/>
        </w:rPr>
        <w:t>.</w:t>
      </w:r>
    </w:p>
    <w:p w14:paraId="18C08722" w14:textId="77777777" w:rsidR="006C3A6A" w:rsidRPr="006E3ED8" w:rsidRDefault="006C3A6A" w:rsidP="006C3A6A">
      <w:pPr>
        <w:spacing w:line="360" w:lineRule="auto"/>
        <w:jc w:val="both"/>
        <w:rPr>
          <w:rFonts w:ascii="Palatino Linotype" w:hAnsi="Palatino Linotype" w:cs="Arial"/>
          <w:sz w:val="24"/>
          <w:szCs w:val="24"/>
        </w:rPr>
      </w:pPr>
      <w:r w:rsidRPr="006C3A6A">
        <w:rPr>
          <w:rFonts w:ascii="Palatino Linotype" w:hAnsi="Palatino Linotype" w:cs="Arial"/>
          <w:b/>
          <w:sz w:val="24"/>
          <w:szCs w:val="24"/>
        </w:rPr>
        <w:lastRenderedPageBreak/>
        <w:t>TERCERO.</w:t>
      </w:r>
      <w:r w:rsidRPr="006C3A6A">
        <w:rPr>
          <w:rFonts w:ascii="Palatino Linotype" w:hAnsi="Palatino Linotype" w:cs="Arial"/>
          <w:sz w:val="24"/>
          <w:szCs w:val="24"/>
        </w:rPr>
        <w:t xml:space="preserve"> </w:t>
      </w:r>
      <w:r w:rsidRPr="006C3A6A">
        <w:rPr>
          <w:rFonts w:ascii="Palatino Linotype" w:hAnsi="Palatino Linotype" w:cs="Arial"/>
          <w:b/>
          <w:sz w:val="24"/>
          <w:szCs w:val="24"/>
        </w:rPr>
        <w:t>NOTIFÍQUESE</w:t>
      </w:r>
      <w:r w:rsidRPr="006C3A6A">
        <w:rPr>
          <w:rFonts w:ascii="Palatino Linotype" w:hAnsi="Palatino Linotype" w:cs="Arial"/>
          <w:sz w:val="24"/>
          <w:szCs w:val="24"/>
        </w:rPr>
        <w:t xml:space="preserve"> al </w:t>
      </w:r>
      <w:r w:rsidRPr="006C3A6A">
        <w:rPr>
          <w:rFonts w:ascii="Palatino Linotype" w:hAnsi="Palatino Linotype" w:cs="Arial"/>
          <w:b/>
          <w:sz w:val="24"/>
          <w:szCs w:val="24"/>
        </w:rPr>
        <w:t xml:space="preserve">Recurrente </w:t>
      </w:r>
      <w:r w:rsidRPr="006C3A6A">
        <w:rPr>
          <w:rFonts w:ascii="Palatino Linotype" w:hAnsi="Palatino Linotype" w:cs="Arial"/>
          <w:sz w:val="24"/>
          <w:szCs w:val="24"/>
        </w:rPr>
        <w:t xml:space="preserve">la presente resolución </w:t>
      </w:r>
      <w:r w:rsidRPr="006C3A6A">
        <w:rPr>
          <w:rFonts w:ascii="Palatino Linotype" w:eastAsiaTheme="minorEastAsia" w:hAnsi="Palatino Linotype" w:cs="Arial"/>
          <w:sz w:val="24"/>
          <w:szCs w:val="24"/>
          <w:lang w:val="es-ES_tradnl"/>
        </w:rPr>
        <w:t>vía Sistema de Acceso a la información Mexiquense (</w:t>
      </w:r>
      <w:r w:rsidRPr="006C3A6A">
        <w:rPr>
          <w:rFonts w:ascii="Palatino Linotype" w:eastAsiaTheme="minorEastAsia" w:hAnsi="Palatino Linotype" w:cs="Arial"/>
          <w:b/>
          <w:bCs/>
          <w:sz w:val="24"/>
          <w:szCs w:val="24"/>
          <w:lang w:val="es-ES_tradnl"/>
        </w:rPr>
        <w:t>SAIMEX</w:t>
      </w:r>
      <w:r w:rsidRPr="006C3A6A">
        <w:rPr>
          <w:rFonts w:ascii="Palatino Linotype" w:eastAsiaTheme="minorEastAsia" w:hAnsi="Palatino Linotype" w:cs="Arial"/>
          <w:sz w:val="24"/>
          <w:szCs w:val="24"/>
          <w:lang w:val="es-ES_tradnl"/>
        </w:rPr>
        <w:t xml:space="preserve">) </w:t>
      </w:r>
      <w:r w:rsidRPr="006C3A6A">
        <w:rPr>
          <w:rFonts w:ascii="Palatino Linotype" w:hAnsi="Palatino Linotype" w:cs="Arial"/>
          <w:sz w:val="24"/>
          <w:szCs w:val="24"/>
        </w:rPr>
        <w:t>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B8741A1" w14:textId="77777777" w:rsidR="006C3A6A" w:rsidRPr="006C3A6A" w:rsidRDefault="006C3A6A" w:rsidP="006C3A6A">
      <w:pPr>
        <w:spacing w:after="240" w:line="360" w:lineRule="auto"/>
        <w:ind w:right="141"/>
        <w:jc w:val="both"/>
        <w:rPr>
          <w:rFonts w:ascii="Palatino Linotype" w:hAnsi="Palatino Linotype"/>
          <w:bCs/>
        </w:rPr>
      </w:pPr>
    </w:p>
    <w:p w14:paraId="257F1C41" w14:textId="77777777" w:rsidR="006C3A6A" w:rsidRPr="006C3A6A" w:rsidRDefault="00D5415A" w:rsidP="006C3A6A">
      <w:pPr>
        <w:pStyle w:val="Prrafodelista"/>
        <w:autoSpaceDE w:val="0"/>
        <w:autoSpaceDN w:val="0"/>
        <w:adjustRightInd w:val="0"/>
        <w:spacing w:before="240" w:after="160" w:line="360" w:lineRule="auto"/>
        <w:ind w:left="0"/>
        <w:jc w:val="both"/>
        <w:rPr>
          <w:rFonts w:ascii="Palatino Linotype" w:hAnsi="Palatino Linotype" w:cs="Arial"/>
        </w:rPr>
      </w:pPr>
      <w:r w:rsidRPr="006C3A6A">
        <w:rPr>
          <w:rFonts w:ascii="Palatino Linotype" w:hAnsi="Palatino Linotype" w:cs="Arial"/>
        </w:rPr>
        <w:t>ASÍ LO ACORDÓ, POR UNANIMIDAD DE VOTOS, EL PLENO DEL</w:t>
      </w:r>
      <w:r w:rsidRPr="006C3A6A">
        <w:rPr>
          <w:rFonts w:ascii="Palatino Linotype" w:eastAsia="Arial Unicode MS" w:hAnsi="Palatino Linotype" w:cs="Arial"/>
        </w:rPr>
        <w:t xml:space="preserve"> INSTITUTO DE TRANSPARENCIA, ACCESO A LA INFORMACIÓN PÚBLICA Y PROTECCIÓN DE DATOS PERSONALES DEL ESTADO DE MÉXICO </w:t>
      </w:r>
      <w:r w:rsidR="006C3A6A" w:rsidRPr="006C3A6A">
        <w:rPr>
          <w:rFonts w:ascii="Palatino Linotype" w:eastAsia="Arial Unicode MS" w:hAnsi="Palatino Linotype" w:cs="Arial"/>
        </w:rPr>
        <w:t>Y MUNICIPIOS</w:t>
      </w:r>
      <w:r w:rsidR="006C3A6A" w:rsidRPr="006C3A6A">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 </w:t>
      </w:r>
    </w:p>
    <w:p w14:paraId="0C81F253" w14:textId="19E29BC9" w:rsidR="00573B54" w:rsidRPr="00D5415A" w:rsidRDefault="00D5415A" w:rsidP="006C3A6A">
      <w:pPr>
        <w:pStyle w:val="Prrafodelista"/>
        <w:autoSpaceDE w:val="0"/>
        <w:autoSpaceDN w:val="0"/>
        <w:adjustRightInd w:val="0"/>
        <w:spacing w:before="240" w:after="160" w:line="360" w:lineRule="auto"/>
        <w:ind w:left="0"/>
        <w:jc w:val="both"/>
        <w:rPr>
          <w:rFonts w:ascii="Palatino Linotype" w:hAnsi="Palatino Linotype"/>
        </w:rPr>
      </w:pPr>
      <w:r w:rsidRPr="006C3A6A">
        <w:rPr>
          <w:rFonts w:ascii="Palatino Linotype" w:hAnsi="Palatino Linotype"/>
          <w:iCs/>
          <w:sz w:val="18"/>
          <w:szCs w:val="18"/>
        </w:rPr>
        <w:t>CCR/JCMA</w:t>
      </w:r>
    </w:p>
    <w:p w14:paraId="6C7EEAE3" w14:textId="760CF0DE" w:rsidR="00573B54" w:rsidRPr="002629AA" w:rsidRDefault="00573B54" w:rsidP="000567FC">
      <w:pPr>
        <w:pStyle w:val="Prrafodelista"/>
        <w:autoSpaceDE w:val="0"/>
        <w:autoSpaceDN w:val="0"/>
        <w:adjustRightInd w:val="0"/>
        <w:spacing w:before="240" w:after="160" w:line="360" w:lineRule="auto"/>
        <w:ind w:left="0"/>
        <w:jc w:val="both"/>
        <w:rPr>
          <w:rFonts w:ascii="Palatino Linotype" w:hAnsi="Palatino Linotype"/>
          <w:lang w:val="es-MX"/>
        </w:rPr>
      </w:pPr>
    </w:p>
    <w:p w14:paraId="628801CE" w14:textId="77777777" w:rsidR="00863633" w:rsidRDefault="00863633" w:rsidP="000567FC">
      <w:pPr>
        <w:pStyle w:val="Prrafodelista"/>
        <w:autoSpaceDE w:val="0"/>
        <w:autoSpaceDN w:val="0"/>
        <w:adjustRightInd w:val="0"/>
        <w:spacing w:before="240" w:after="160" w:line="360" w:lineRule="auto"/>
        <w:ind w:left="0"/>
        <w:jc w:val="both"/>
        <w:rPr>
          <w:rFonts w:ascii="Palatino Linotype" w:hAnsi="Palatino Linotype"/>
        </w:rPr>
      </w:pPr>
    </w:p>
    <w:p w14:paraId="41EAF83F" w14:textId="77777777" w:rsidR="002629AA" w:rsidRPr="00573B54" w:rsidRDefault="002629AA" w:rsidP="00B971CA">
      <w:pPr>
        <w:pStyle w:val="Citas"/>
        <w:tabs>
          <w:tab w:val="left" w:pos="7470"/>
        </w:tabs>
        <w:ind w:left="0" w:right="72"/>
        <w:rPr>
          <w:i w:val="0"/>
          <w:sz w:val="24"/>
          <w:szCs w:val="24"/>
        </w:rPr>
      </w:pPr>
    </w:p>
    <w:p w14:paraId="39DD5618" w14:textId="77777777" w:rsidR="00663DF5" w:rsidRPr="000F7BB3" w:rsidRDefault="00663DF5" w:rsidP="00663DF5">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663DF5">
      <w:pPr>
        <w:pStyle w:val="Citas"/>
        <w:tabs>
          <w:tab w:val="left" w:pos="7470"/>
        </w:tabs>
        <w:ind w:left="0" w:right="72"/>
        <w:rPr>
          <w:bCs/>
          <w:sz w:val="18"/>
          <w:szCs w:val="18"/>
        </w:rPr>
      </w:pPr>
    </w:p>
    <w:p w14:paraId="09D3EB74" w14:textId="21FC7777" w:rsidR="00663DF5" w:rsidRDefault="00663DF5" w:rsidP="00663DF5">
      <w:pPr>
        <w:pStyle w:val="Citas"/>
        <w:tabs>
          <w:tab w:val="left" w:pos="7470"/>
        </w:tabs>
        <w:ind w:left="0" w:right="72"/>
        <w:rPr>
          <w:bCs/>
          <w:sz w:val="18"/>
          <w:szCs w:val="18"/>
        </w:rPr>
      </w:pPr>
    </w:p>
    <w:p w14:paraId="6D7FDE27" w14:textId="5D7A7AC6" w:rsidR="00663DF5" w:rsidRDefault="00663DF5" w:rsidP="00663DF5">
      <w:pPr>
        <w:pStyle w:val="Citas"/>
        <w:tabs>
          <w:tab w:val="left" w:pos="7470"/>
        </w:tabs>
        <w:ind w:left="0" w:right="72"/>
        <w:rPr>
          <w:bCs/>
          <w:sz w:val="18"/>
          <w:szCs w:val="18"/>
        </w:rPr>
      </w:pPr>
    </w:p>
    <w:p w14:paraId="3EC4DA77" w14:textId="4C875BD6" w:rsidR="00663DF5" w:rsidRDefault="00663DF5" w:rsidP="00663DF5">
      <w:pPr>
        <w:pStyle w:val="Citas"/>
        <w:tabs>
          <w:tab w:val="left" w:pos="7470"/>
        </w:tabs>
        <w:ind w:left="0" w:right="72"/>
        <w:rPr>
          <w:bCs/>
          <w:sz w:val="18"/>
          <w:szCs w:val="18"/>
        </w:rPr>
      </w:pPr>
    </w:p>
    <w:p w14:paraId="7FDB0524" w14:textId="10614592" w:rsidR="00A35685" w:rsidRDefault="00A35685" w:rsidP="00663DF5">
      <w:pPr>
        <w:pStyle w:val="Citas"/>
        <w:tabs>
          <w:tab w:val="left" w:pos="7470"/>
        </w:tabs>
        <w:ind w:left="0" w:right="72"/>
        <w:rPr>
          <w:bCs/>
          <w:sz w:val="18"/>
          <w:szCs w:val="18"/>
        </w:rPr>
      </w:pPr>
    </w:p>
    <w:p w14:paraId="7EB69F84" w14:textId="3F1294F9" w:rsidR="00A35685" w:rsidRDefault="00A35685" w:rsidP="00663DF5">
      <w:pPr>
        <w:pStyle w:val="Citas"/>
        <w:tabs>
          <w:tab w:val="left" w:pos="7470"/>
        </w:tabs>
        <w:ind w:left="0" w:right="72"/>
        <w:rPr>
          <w:bCs/>
          <w:sz w:val="18"/>
          <w:szCs w:val="18"/>
        </w:rPr>
      </w:pPr>
    </w:p>
    <w:p w14:paraId="46E9DE69" w14:textId="150646B4" w:rsidR="00A35685" w:rsidRDefault="00A35685" w:rsidP="00663DF5">
      <w:pPr>
        <w:pStyle w:val="Citas"/>
        <w:tabs>
          <w:tab w:val="left" w:pos="7470"/>
        </w:tabs>
        <w:ind w:left="0" w:right="72"/>
        <w:rPr>
          <w:bCs/>
          <w:sz w:val="18"/>
          <w:szCs w:val="18"/>
        </w:rPr>
      </w:pPr>
    </w:p>
    <w:p w14:paraId="2CD311BA" w14:textId="385BD819" w:rsidR="00A35685" w:rsidRDefault="00A35685" w:rsidP="00663DF5">
      <w:pPr>
        <w:pStyle w:val="Citas"/>
        <w:tabs>
          <w:tab w:val="left" w:pos="7470"/>
        </w:tabs>
        <w:ind w:left="0" w:right="72"/>
        <w:rPr>
          <w:bCs/>
          <w:sz w:val="18"/>
          <w:szCs w:val="18"/>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p w14:paraId="47B77515" w14:textId="64137AFF" w:rsidR="00A35685" w:rsidRDefault="00A35685" w:rsidP="00663DF5">
      <w:pPr>
        <w:pStyle w:val="Citas"/>
        <w:tabs>
          <w:tab w:val="left" w:pos="7470"/>
        </w:tabs>
        <w:ind w:left="0" w:right="72"/>
        <w:rPr>
          <w:bCs/>
          <w:sz w:val="18"/>
          <w:szCs w:val="18"/>
        </w:rPr>
      </w:pPr>
    </w:p>
    <w:p w14:paraId="5A6276B5" w14:textId="0E70D114" w:rsidR="00A35685" w:rsidRDefault="00A35685" w:rsidP="00663DF5">
      <w:pPr>
        <w:pStyle w:val="Citas"/>
        <w:tabs>
          <w:tab w:val="left" w:pos="7470"/>
        </w:tabs>
        <w:ind w:left="0" w:right="72"/>
        <w:rPr>
          <w:bCs/>
          <w:sz w:val="18"/>
          <w:szCs w:val="18"/>
        </w:rPr>
      </w:pPr>
    </w:p>
    <w:p w14:paraId="19119F25" w14:textId="54130EBB" w:rsidR="00A35685" w:rsidRDefault="00A35685" w:rsidP="00663DF5">
      <w:pPr>
        <w:pStyle w:val="Citas"/>
        <w:tabs>
          <w:tab w:val="left" w:pos="7470"/>
        </w:tabs>
        <w:ind w:left="0" w:right="72"/>
        <w:rPr>
          <w:bCs/>
          <w:sz w:val="18"/>
          <w:szCs w:val="18"/>
        </w:rPr>
      </w:pPr>
    </w:p>
    <w:p w14:paraId="7A28EFED" w14:textId="0F8948B1" w:rsidR="00A35685" w:rsidRDefault="00A35685" w:rsidP="00663DF5">
      <w:pPr>
        <w:pStyle w:val="Citas"/>
        <w:tabs>
          <w:tab w:val="left" w:pos="7470"/>
        </w:tabs>
        <w:ind w:left="0" w:right="72"/>
        <w:rPr>
          <w:bCs/>
          <w:sz w:val="18"/>
          <w:szCs w:val="18"/>
        </w:rPr>
      </w:pPr>
    </w:p>
    <w:p w14:paraId="20B66FDE" w14:textId="11EE48A8" w:rsidR="00A35685" w:rsidRDefault="00A35685" w:rsidP="00663DF5">
      <w:pPr>
        <w:pStyle w:val="Citas"/>
        <w:tabs>
          <w:tab w:val="left" w:pos="7470"/>
        </w:tabs>
        <w:ind w:left="0" w:right="72"/>
        <w:rPr>
          <w:bCs/>
          <w:sz w:val="18"/>
          <w:szCs w:val="18"/>
        </w:rPr>
      </w:pPr>
    </w:p>
    <w:p w14:paraId="7D660090" w14:textId="4D30829B" w:rsidR="00A35685" w:rsidRDefault="00A35685" w:rsidP="00663DF5">
      <w:pPr>
        <w:pStyle w:val="Citas"/>
        <w:tabs>
          <w:tab w:val="left" w:pos="7470"/>
        </w:tabs>
        <w:ind w:left="0" w:right="72"/>
        <w:rPr>
          <w:bCs/>
          <w:sz w:val="18"/>
          <w:szCs w:val="18"/>
        </w:rPr>
      </w:pPr>
    </w:p>
    <w:sectPr w:rsidR="00A35685"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777A" w14:textId="77777777" w:rsidR="00916FDD" w:rsidRDefault="00916FDD" w:rsidP="006168E4">
      <w:pPr>
        <w:spacing w:after="0" w:line="240" w:lineRule="auto"/>
      </w:pPr>
      <w:r>
        <w:separator/>
      </w:r>
    </w:p>
  </w:endnote>
  <w:endnote w:type="continuationSeparator" w:id="0">
    <w:p w14:paraId="3FE912A3" w14:textId="77777777" w:rsidR="00916FDD" w:rsidRDefault="00916FD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154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1546">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15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1546">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7B91D" w14:textId="77777777" w:rsidR="00916FDD" w:rsidRDefault="00916FDD" w:rsidP="006168E4">
      <w:pPr>
        <w:spacing w:after="0" w:line="240" w:lineRule="auto"/>
      </w:pPr>
      <w:r>
        <w:separator/>
      </w:r>
    </w:p>
  </w:footnote>
  <w:footnote w:type="continuationSeparator" w:id="0">
    <w:p w14:paraId="1180CE1B" w14:textId="77777777" w:rsidR="00916FDD" w:rsidRDefault="00916FDD" w:rsidP="006168E4">
      <w:pPr>
        <w:spacing w:after="0" w:line="240" w:lineRule="auto"/>
      </w:pPr>
      <w:r>
        <w:continuationSeparator/>
      </w:r>
    </w:p>
  </w:footnote>
  <w:footnote w:id="1">
    <w:p w14:paraId="790D08A8" w14:textId="77777777" w:rsidR="006C3A6A" w:rsidRPr="00911081" w:rsidRDefault="006C3A6A" w:rsidP="006C3A6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4120248" w14:textId="77777777" w:rsidR="006C3A6A" w:rsidRPr="00911081" w:rsidRDefault="006C3A6A" w:rsidP="006C3A6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6EC2B233"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62CC9">
            <w:rPr>
              <w:rFonts w:ascii="Palatino Linotype" w:hAnsi="Palatino Linotype" w:cs="Arial"/>
              <w:bCs/>
              <w:sz w:val="24"/>
              <w:lang w:eastAsia="es-MX"/>
            </w:rPr>
            <w:t>4885</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4655361D" w:rsidR="00F00446" w:rsidRPr="00F06FED" w:rsidRDefault="00EC1D0D" w:rsidP="00C25084">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293DB45"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62CC9">
            <w:rPr>
              <w:rFonts w:ascii="Palatino Linotype" w:hAnsi="Palatino Linotype" w:cs="Arial"/>
              <w:bCs/>
              <w:sz w:val="24"/>
              <w:lang w:eastAsia="es-MX"/>
            </w:rPr>
            <w:t>4885</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5EC836C2"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D1546">
            <w:rPr>
              <w:rFonts w:ascii="Palatino Linotype" w:hAnsi="Palatino Linotype" w:cs="Arial"/>
            </w:rPr>
            <w:t>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3F0830A4" w:rsidR="00F00446" w:rsidRDefault="00EC1D0D"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F00446">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A8D"/>
    <w:multiLevelType w:val="hybridMultilevel"/>
    <w:tmpl w:val="77D82D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D573CD"/>
    <w:multiLevelType w:val="hybridMultilevel"/>
    <w:tmpl w:val="12B62B6C"/>
    <w:lvl w:ilvl="0" w:tplc="226CD23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D3B6A"/>
    <w:multiLevelType w:val="hybridMultilevel"/>
    <w:tmpl w:val="820A1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9530FD2"/>
    <w:multiLevelType w:val="hybridMultilevel"/>
    <w:tmpl w:val="2050006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2E203082"/>
    <w:multiLevelType w:val="hybridMultilevel"/>
    <w:tmpl w:val="59FEF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EA34312"/>
    <w:multiLevelType w:val="hybridMultilevel"/>
    <w:tmpl w:val="E3C24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94E81"/>
    <w:multiLevelType w:val="hybridMultilevel"/>
    <w:tmpl w:val="E3C24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5BC431D1"/>
    <w:multiLevelType w:val="hybridMultilevel"/>
    <w:tmpl w:val="AC7C926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6C3F88"/>
    <w:multiLevelType w:val="hybridMultilevel"/>
    <w:tmpl w:val="01BE2446"/>
    <w:lvl w:ilvl="0" w:tplc="AC9EDF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E0C0547"/>
    <w:multiLevelType w:val="hybridMultilevel"/>
    <w:tmpl w:val="65CEF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F0633A"/>
    <w:multiLevelType w:val="hybridMultilevel"/>
    <w:tmpl w:val="E3781C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544BA6"/>
    <w:multiLevelType w:val="hybridMultilevel"/>
    <w:tmpl w:val="1F403674"/>
    <w:lvl w:ilvl="0" w:tplc="4E70A29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248B8"/>
    <w:multiLevelType w:val="hybridMultilevel"/>
    <w:tmpl w:val="F6CA2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10"/>
  </w:num>
  <w:num w:numId="4">
    <w:abstractNumId w:val="15"/>
  </w:num>
  <w:num w:numId="5">
    <w:abstractNumId w:val="5"/>
  </w:num>
  <w:num w:numId="6">
    <w:abstractNumId w:val="8"/>
  </w:num>
  <w:num w:numId="7">
    <w:abstractNumId w:val="13"/>
  </w:num>
  <w:num w:numId="8">
    <w:abstractNumId w:val="2"/>
  </w:num>
  <w:num w:numId="9">
    <w:abstractNumId w:val="17"/>
  </w:num>
  <w:num w:numId="10">
    <w:abstractNumId w:val="11"/>
  </w:num>
  <w:num w:numId="11">
    <w:abstractNumId w:val="4"/>
  </w:num>
  <w:num w:numId="12">
    <w:abstractNumId w:val="14"/>
  </w:num>
  <w:num w:numId="13">
    <w:abstractNumId w:val="0"/>
  </w:num>
  <w:num w:numId="14">
    <w:abstractNumId w:val="7"/>
  </w:num>
  <w:num w:numId="15">
    <w:abstractNumId w:val="1"/>
  </w:num>
  <w:num w:numId="16">
    <w:abstractNumId w:val="18"/>
  </w:num>
  <w:num w:numId="17">
    <w:abstractNumId w:val="6"/>
  </w:num>
  <w:num w:numId="18">
    <w:abstractNumId w:val="12"/>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5FEA"/>
    <w:rsid w:val="000073B2"/>
    <w:rsid w:val="00010F2B"/>
    <w:rsid w:val="000132D1"/>
    <w:rsid w:val="00020A70"/>
    <w:rsid w:val="00022604"/>
    <w:rsid w:val="0002766F"/>
    <w:rsid w:val="0003044B"/>
    <w:rsid w:val="000306A7"/>
    <w:rsid w:val="00031C92"/>
    <w:rsid w:val="00032A15"/>
    <w:rsid w:val="00036A9D"/>
    <w:rsid w:val="000414CE"/>
    <w:rsid w:val="0004199A"/>
    <w:rsid w:val="00045379"/>
    <w:rsid w:val="000461DF"/>
    <w:rsid w:val="00052ED3"/>
    <w:rsid w:val="00055224"/>
    <w:rsid w:val="0005543E"/>
    <w:rsid w:val="0005622A"/>
    <w:rsid w:val="000567FC"/>
    <w:rsid w:val="00061821"/>
    <w:rsid w:val="000623F9"/>
    <w:rsid w:val="00062482"/>
    <w:rsid w:val="00063A10"/>
    <w:rsid w:val="00063EFB"/>
    <w:rsid w:val="000662F8"/>
    <w:rsid w:val="00073E78"/>
    <w:rsid w:val="00077986"/>
    <w:rsid w:val="00082DC4"/>
    <w:rsid w:val="00084B56"/>
    <w:rsid w:val="00090AFC"/>
    <w:rsid w:val="00091552"/>
    <w:rsid w:val="00091C3A"/>
    <w:rsid w:val="000923F5"/>
    <w:rsid w:val="000A025F"/>
    <w:rsid w:val="000A038C"/>
    <w:rsid w:val="000A128E"/>
    <w:rsid w:val="000A2D37"/>
    <w:rsid w:val="000A3486"/>
    <w:rsid w:val="000A4DD1"/>
    <w:rsid w:val="000A5544"/>
    <w:rsid w:val="000A70F8"/>
    <w:rsid w:val="000A79DA"/>
    <w:rsid w:val="000B2C1B"/>
    <w:rsid w:val="000B4B51"/>
    <w:rsid w:val="000B6D12"/>
    <w:rsid w:val="000B7158"/>
    <w:rsid w:val="000C5B8B"/>
    <w:rsid w:val="000C666C"/>
    <w:rsid w:val="000D14E9"/>
    <w:rsid w:val="000D1B55"/>
    <w:rsid w:val="000D3C75"/>
    <w:rsid w:val="000D6239"/>
    <w:rsid w:val="000E09FC"/>
    <w:rsid w:val="000E4A67"/>
    <w:rsid w:val="000E686B"/>
    <w:rsid w:val="000F3EE7"/>
    <w:rsid w:val="000F68B1"/>
    <w:rsid w:val="000F6F19"/>
    <w:rsid w:val="000F7AC2"/>
    <w:rsid w:val="00102D69"/>
    <w:rsid w:val="00105BEB"/>
    <w:rsid w:val="00110EDB"/>
    <w:rsid w:val="00111DCD"/>
    <w:rsid w:val="00114CF9"/>
    <w:rsid w:val="001167AA"/>
    <w:rsid w:val="00117157"/>
    <w:rsid w:val="00117461"/>
    <w:rsid w:val="00124855"/>
    <w:rsid w:val="001254F5"/>
    <w:rsid w:val="00131D9B"/>
    <w:rsid w:val="001336D3"/>
    <w:rsid w:val="00136FAD"/>
    <w:rsid w:val="001434B9"/>
    <w:rsid w:val="00143E27"/>
    <w:rsid w:val="00144B4A"/>
    <w:rsid w:val="00146F0A"/>
    <w:rsid w:val="00147B36"/>
    <w:rsid w:val="00150AFD"/>
    <w:rsid w:val="00151A2D"/>
    <w:rsid w:val="00152124"/>
    <w:rsid w:val="00152C2B"/>
    <w:rsid w:val="00156D1E"/>
    <w:rsid w:val="00165532"/>
    <w:rsid w:val="0017095B"/>
    <w:rsid w:val="00172661"/>
    <w:rsid w:val="001742A5"/>
    <w:rsid w:val="00174EE4"/>
    <w:rsid w:val="00175897"/>
    <w:rsid w:val="00175C56"/>
    <w:rsid w:val="00176091"/>
    <w:rsid w:val="00177D2C"/>
    <w:rsid w:val="001804C3"/>
    <w:rsid w:val="00180B9F"/>
    <w:rsid w:val="00181CC5"/>
    <w:rsid w:val="00186E2F"/>
    <w:rsid w:val="00190A45"/>
    <w:rsid w:val="00191926"/>
    <w:rsid w:val="00192010"/>
    <w:rsid w:val="00193784"/>
    <w:rsid w:val="00193FB6"/>
    <w:rsid w:val="0019400D"/>
    <w:rsid w:val="001942EE"/>
    <w:rsid w:val="00197B00"/>
    <w:rsid w:val="001A02EC"/>
    <w:rsid w:val="001A1A28"/>
    <w:rsid w:val="001A22D7"/>
    <w:rsid w:val="001A577E"/>
    <w:rsid w:val="001A58DE"/>
    <w:rsid w:val="001A5E70"/>
    <w:rsid w:val="001A7C9B"/>
    <w:rsid w:val="001B05B9"/>
    <w:rsid w:val="001B1519"/>
    <w:rsid w:val="001B3B53"/>
    <w:rsid w:val="001B6D1F"/>
    <w:rsid w:val="001B7B88"/>
    <w:rsid w:val="001C5B08"/>
    <w:rsid w:val="001C7319"/>
    <w:rsid w:val="001C7D87"/>
    <w:rsid w:val="001D3E87"/>
    <w:rsid w:val="001D49B3"/>
    <w:rsid w:val="001D5F16"/>
    <w:rsid w:val="001D6FAB"/>
    <w:rsid w:val="001D7250"/>
    <w:rsid w:val="001E1D18"/>
    <w:rsid w:val="001F0A4F"/>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27574"/>
    <w:rsid w:val="0023373D"/>
    <w:rsid w:val="0023423C"/>
    <w:rsid w:val="002368B2"/>
    <w:rsid w:val="0024112D"/>
    <w:rsid w:val="00244177"/>
    <w:rsid w:val="00254477"/>
    <w:rsid w:val="002577FE"/>
    <w:rsid w:val="0025780C"/>
    <w:rsid w:val="002629AA"/>
    <w:rsid w:val="00264232"/>
    <w:rsid w:val="00264F52"/>
    <w:rsid w:val="00266AE6"/>
    <w:rsid w:val="002701F9"/>
    <w:rsid w:val="002714F3"/>
    <w:rsid w:val="00273D0E"/>
    <w:rsid w:val="00280B8B"/>
    <w:rsid w:val="0028106D"/>
    <w:rsid w:val="002820F1"/>
    <w:rsid w:val="00283E99"/>
    <w:rsid w:val="00287376"/>
    <w:rsid w:val="00292350"/>
    <w:rsid w:val="002929E8"/>
    <w:rsid w:val="00297EF9"/>
    <w:rsid w:val="002A0B69"/>
    <w:rsid w:val="002A12CB"/>
    <w:rsid w:val="002A2034"/>
    <w:rsid w:val="002A24F4"/>
    <w:rsid w:val="002A38BF"/>
    <w:rsid w:val="002A597E"/>
    <w:rsid w:val="002B0FB9"/>
    <w:rsid w:val="002B4382"/>
    <w:rsid w:val="002B4FB6"/>
    <w:rsid w:val="002B5DBD"/>
    <w:rsid w:val="002B72F9"/>
    <w:rsid w:val="002C498D"/>
    <w:rsid w:val="002C4FE1"/>
    <w:rsid w:val="002C72D2"/>
    <w:rsid w:val="002D00C3"/>
    <w:rsid w:val="002D0CD9"/>
    <w:rsid w:val="002D1B75"/>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6CAD"/>
    <w:rsid w:val="003272FB"/>
    <w:rsid w:val="00331499"/>
    <w:rsid w:val="0033580E"/>
    <w:rsid w:val="00343D1E"/>
    <w:rsid w:val="00354258"/>
    <w:rsid w:val="00355593"/>
    <w:rsid w:val="00357E0E"/>
    <w:rsid w:val="00357F3D"/>
    <w:rsid w:val="00361B9C"/>
    <w:rsid w:val="0036329D"/>
    <w:rsid w:val="003672FB"/>
    <w:rsid w:val="00370797"/>
    <w:rsid w:val="003746C6"/>
    <w:rsid w:val="00375BEA"/>
    <w:rsid w:val="00376C04"/>
    <w:rsid w:val="00376CEC"/>
    <w:rsid w:val="00380758"/>
    <w:rsid w:val="003815E5"/>
    <w:rsid w:val="00381E2B"/>
    <w:rsid w:val="0038224B"/>
    <w:rsid w:val="00384F3A"/>
    <w:rsid w:val="0038790C"/>
    <w:rsid w:val="00387929"/>
    <w:rsid w:val="003903F0"/>
    <w:rsid w:val="00393D5B"/>
    <w:rsid w:val="0039460D"/>
    <w:rsid w:val="00394A1E"/>
    <w:rsid w:val="003968C7"/>
    <w:rsid w:val="003A2246"/>
    <w:rsid w:val="003A61F9"/>
    <w:rsid w:val="003A6975"/>
    <w:rsid w:val="003B1E88"/>
    <w:rsid w:val="003C5243"/>
    <w:rsid w:val="003C53ED"/>
    <w:rsid w:val="003D07EB"/>
    <w:rsid w:val="003D0B7E"/>
    <w:rsid w:val="003D4E0F"/>
    <w:rsid w:val="003E16E1"/>
    <w:rsid w:val="003E183A"/>
    <w:rsid w:val="003E1871"/>
    <w:rsid w:val="003E504D"/>
    <w:rsid w:val="003E656A"/>
    <w:rsid w:val="003E78B7"/>
    <w:rsid w:val="003F22C5"/>
    <w:rsid w:val="003F3016"/>
    <w:rsid w:val="003F5630"/>
    <w:rsid w:val="003F76E5"/>
    <w:rsid w:val="004012CF"/>
    <w:rsid w:val="00402805"/>
    <w:rsid w:val="00402FF3"/>
    <w:rsid w:val="0040673A"/>
    <w:rsid w:val="004069EB"/>
    <w:rsid w:val="00410ACB"/>
    <w:rsid w:val="00412600"/>
    <w:rsid w:val="00415EE8"/>
    <w:rsid w:val="00422E0C"/>
    <w:rsid w:val="00422ED2"/>
    <w:rsid w:val="00423213"/>
    <w:rsid w:val="0042416D"/>
    <w:rsid w:val="00436802"/>
    <w:rsid w:val="00442E45"/>
    <w:rsid w:val="00443AD4"/>
    <w:rsid w:val="0044438E"/>
    <w:rsid w:val="00445C0F"/>
    <w:rsid w:val="00446A0B"/>
    <w:rsid w:val="00451448"/>
    <w:rsid w:val="004516EB"/>
    <w:rsid w:val="004529B6"/>
    <w:rsid w:val="00453DBD"/>
    <w:rsid w:val="00454CE6"/>
    <w:rsid w:val="00457305"/>
    <w:rsid w:val="00457955"/>
    <w:rsid w:val="00462881"/>
    <w:rsid w:val="004640F2"/>
    <w:rsid w:val="00467337"/>
    <w:rsid w:val="004747C9"/>
    <w:rsid w:val="00474B7D"/>
    <w:rsid w:val="00475F48"/>
    <w:rsid w:val="00477CC2"/>
    <w:rsid w:val="00477D47"/>
    <w:rsid w:val="0048180A"/>
    <w:rsid w:val="00481C7A"/>
    <w:rsid w:val="00483F25"/>
    <w:rsid w:val="00487DB5"/>
    <w:rsid w:val="004906C8"/>
    <w:rsid w:val="00492BC7"/>
    <w:rsid w:val="004936A6"/>
    <w:rsid w:val="00494B62"/>
    <w:rsid w:val="004967E2"/>
    <w:rsid w:val="004A2817"/>
    <w:rsid w:val="004A290F"/>
    <w:rsid w:val="004A55D8"/>
    <w:rsid w:val="004A5FFD"/>
    <w:rsid w:val="004A7CE2"/>
    <w:rsid w:val="004B031A"/>
    <w:rsid w:val="004B234F"/>
    <w:rsid w:val="004B59BB"/>
    <w:rsid w:val="004B5CCC"/>
    <w:rsid w:val="004B7F24"/>
    <w:rsid w:val="004C2845"/>
    <w:rsid w:val="004C7961"/>
    <w:rsid w:val="004D08EB"/>
    <w:rsid w:val="004D1546"/>
    <w:rsid w:val="004D3791"/>
    <w:rsid w:val="004D54E3"/>
    <w:rsid w:val="004D7545"/>
    <w:rsid w:val="004E1477"/>
    <w:rsid w:val="004E1A3D"/>
    <w:rsid w:val="004E2371"/>
    <w:rsid w:val="004E6BE9"/>
    <w:rsid w:val="004E754F"/>
    <w:rsid w:val="004F38C6"/>
    <w:rsid w:val="004F4D72"/>
    <w:rsid w:val="004F4F45"/>
    <w:rsid w:val="004F5282"/>
    <w:rsid w:val="005001FE"/>
    <w:rsid w:val="005020E9"/>
    <w:rsid w:val="00503655"/>
    <w:rsid w:val="00504BE3"/>
    <w:rsid w:val="00505A47"/>
    <w:rsid w:val="00506EC7"/>
    <w:rsid w:val="00514207"/>
    <w:rsid w:val="005149BE"/>
    <w:rsid w:val="00515090"/>
    <w:rsid w:val="005179E4"/>
    <w:rsid w:val="00521309"/>
    <w:rsid w:val="00521E57"/>
    <w:rsid w:val="00527374"/>
    <w:rsid w:val="005305EA"/>
    <w:rsid w:val="0053652A"/>
    <w:rsid w:val="00536DFF"/>
    <w:rsid w:val="005371E7"/>
    <w:rsid w:val="00537E4B"/>
    <w:rsid w:val="00540538"/>
    <w:rsid w:val="00542664"/>
    <w:rsid w:val="00544CF2"/>
    <w:rsid w:val="0055040A"/>
    <w:rsid w:val="00551E8B"/>
    <w:rsid w:val="005520FE"/>
    <w:rsid w:val="0055263C"/>
    <w:rsid w:val="0055472B"/>
    <w:rsid w:val="00555D9A"/>
    <w:rsid w:val="00556513"/>
    <w:rsid w:val="00557F13"/>
    <w:rsid w:val="00562653"/>
    <w:rsid w:val="005627C1"/>
    <w:rsid w:val="00564957"/>
    <w:rsid w:val="005662E2"/>
    <w:rsid w:val="005713AC"/>
    <w:rsid w:val="005733EB"/>
    <w:rsid w:val="005734C5"/>
    <w:rsid w:val="00573B54"/>
    <w:rsid w:val="00576D51"/>
    <w:rsid w:val="00580802"/>
    <w:rsid w:val="00581A22"/>
    <w:rsid w:val="00582FEB"/>
    <w:rsid w:val="005860CB"/>
    <w:rsid w:val="00592542"/>
    <w:rsid w:val="00593E91"/>
    <w:rsid w:val="0059442D"/>
    <w:rsid w:val="00594D38"/>
    <w:rsid w:val="00595600"/>
    <w:rsid w:val="00595F2F"/>
    <w:rsid w:val="005A0B49"/>
    <w:rsid w:val="005A2174"/>
    <w:rsid w:val="005A353A"/>
    <w:rsid w:val="005A6D57"/>
    <w:rsid w:val="005A71FD"/>
    <w:rsid w:val="005B56A9"/>
    <w:rsid w:val="005B5B70"/>
    <w:rsid w:val="005B5F05"/>
    <w:rsid w:val="005B6FB9"/>
    <w:rsid w:val="005C17BF"/>
    <w:rsid w:val="005C30C6"/>
    <w:rsid w:val="005C5E43"/>
    <w:rsid w:val="005C6982"/>
    <w:rsid w:val="005C6B74"/>
    <w:rsid w:val="005C7AEA"/>
    <w:rsid w:val="005D125D"/>
    <w:rsid w:val="005D2B59"/>
    <w:rsid w:val="005D362F"/>
    <w:rsid w:val="005D370F"/>
    <w:rsid w:val="005D44D1"/>
    <w:rsid w:val="005D48DC"/>
    <w:rsid w:val="005D5EFB"/>
    <w:rsid w:val="005D6EC6"/>
    <w:rsid w:val="005D7204"/>
    <w:rsid w:val="005E243A"/>
    <w:rsid w:val="005E265D"/>
    <w:rsid w:val="005E3D7D"/>
    <w:rsid w:val="005E4D7C"/>
    <w:rsid w:val="005E6FB9"/>
    <w:rsid w:val="005F048E"/>
    <w:rsid w:val="005F0631"/>
    <w:rsid w:val="005F11D3"/>
    <w:rsid w:val="005F57F0"/>
    <w:rsid w:val="00601010"/>
    <w:rsid w:val="00601C2E"/>
    <w:rsid w:val="006028C9"/>
    <w:rsid w:val="006048E9"/>
    <w:rsid w:val="00605B10"/>
    <w:rsid w:val="0060721D"/>
    <w:rsid w:val="0061042F"/>
    <w:rsid w:val="00614950"/>
    <w:rsid w:val="00616623"/>
    <w:rsid w:val="006168E4"/>
    <w:rsid w:val="00621F47"/>
    <w:rsid w:val="0062497C"/>
    <w:rsid w:val="00625200"/>
    <w:rsid w:val="006255AA"/>
    <w:rsid w:val="00631806"/>
    <w:rsid w:val="00637512"/>
    <w:rsid w:val="00640EE4"/>
    <w:rsid w:val="006466F5"/>
    <w:rsid w:val="0064671F"/>
    <w:rsid w:val="006476E2"/>
    <w:rsid w:val="00652BC5"/>
    <w:rsid w:val="00653995"/>
    <w:rsid w:val="00661422"/>
    <w:rsid w:val="00661753"/>
    <w:rsid w:val="0066216F"/>
    <w:rsid w:val="00663DF5"/>
    <w:rsid w:val="00664459"/>
    <w:rsid w:val="006654F6"/>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6BA0"/>
    <w:rsid w:val="006B7444"/>
    <w:rsid w:val="006B7897"/>
    <w:rsid w:val="006C1DF4"/>
    <w:rsid w:val="006C28CA"/>
    <w:rsid w:val="006C2E67"/>
    <w:rsid w:val="006C350D"/>
    <w:rsid w:val="006C3A6A"/>
    <w:rsid w:val="006C5355"/>
    <w:rsid w:val="006C5E56"/>
    <w:rsid w:val="006C66E4"/>
    <w:rsid w:val="006C7512"/>
    <w:rsid w:val="006D23FC"/>
    <w:rsid w:val="006D643D"/>
    <w:rsid w:val="006E063C"/>
    <w:rsid w:val="006E1AEA"/>
    <w:rsid w:val="006E3851"/>
    <w:rsid w:val="006F1167"/>
    <w:rsid w:val="006F4044"/>
    <w:rsid w:val="006F46DC"/>
    <w:rsid w:val="00701033"/>
    <w:rsid w:val="00701A3F"/>
    <w:rsid w:val="00712E3A"/>
    <w:rsid w:val="0071487C"/>
    <w:rsid w:val="00721506"/>
    <w:rsid w:val="007216DB"/>
    <w:rsid w:val="00723386"/>
    <w:rsid w:val="007246D3"/>
    <w:rsid w:val="00725F5A"/>
    <w:rsid w:val="007345EA"/>
    <w:rsid w:val="007404D5"/>
    <w:rsid w:val="00744287"/>
    <w:rsid w:val="00744EEF"/>
    <w:rsid w:val="00745D76"/>
    <w:rsid w:val="00747487"/>
    <w:rsid w:val="007505EB"/>
    <w:rsid w:val="00754CAE"/>
    <w:rsid w:val="007554C8"/>
    <w:rsid w:val="0075629C"/>
    <w:rsid w:val="00763EE7"/>
    <w:rsid w:val="0076623B"/>
    <w:rsid w:val="00767E4B"/>
    <w:rsid w:val="007718AD"/>
    <w:rsid w:val="007720D6"/>
    <w:rsid w:val="007742A7"/>
    <w:rsid w:val="00775AA7"/>
    <w:rsid w:val="00780E30"/>
    <w:rsid w:val="00783D84"/>
    <w:rsid w:val="007851D5"/>
    <w:rsid w:val="007872AA"/>
    <w:rsid w:val="0079486A"/>
    <w:rsid w:val="00794F80"/>
    <w:rsid w:val="007A00E9"/>
    <w:rsid w:val="007A0153"/>
    <w:rsid w:val="007A0454"/>
    <w:rsid w:val="007A0E44"/>
    <w:rsid w:val="007A1C9E"/>
    <w:rsid w:val="007A2404"/>
    <w:rsid w:val="007A2D20"/>
    <w:rsid w:val="007A4CA1"/>
    <w:rsid w:val="007A5DFD"/>
    <w:rsid w:val="007B0398"/>
    <w:rsid w:val="007B0F8E"/>
    <w:rsid w:val="007B2C77"/>
    <w:rsid w:val="007B2E78"/>
    <w:rsid w:val="007B4EE4"/>
    <w:rsid w:val="007B6549"/>
    <w:rsid w:val="007C18FC"/>
    <w:rsid w:val="007C2D72"/>
    <w:rsid w:val="007C3F2F"/>
    <w:rsid w:val="007C4AB0"/>
    <w:rsid w:val="007C60F6"/>
    <w:rsid w:val="007D1A27"/>
    <w:rsid w:val="007D1B24"/>
    <w:rsid w:val="007D1F15"/>
    <w:rsid w:val="007D25B1"/>
    <w:rsid w:val="007D27D5"/>
    <w:rsid w:val="007D2878"/>
    <w:rsid w:val="007D30F1"/>
    <w:rsid w:val="007D55E5"/>
    <w:rsid w:val="007D57B2"/>
    <w:rsid w:val="007D5B87"/>
    <w:rsid w:val="007E0515"/>
    <w:rsid w:val="007E319E"/>
    <w:rsid w:val="007E4FA1"/>
    <w:rsid w:val="007E7B07"/>
    <w:rsid w:val="007E7BAB"/>
    <w:rsid w:val="007E7DCE"/>
    <w:rsid w:val="007E7FA9"/>
    <w:rsid w:val="007F20AC"/>
    <w:rsid w:val="00802C56"/>
    <w:rsid w:val="00807750"/>
    <w:rsid w:val="00807E35"/>
    <w:rsid w:val="00811205"/>
    <w:rsid w:val="00812C48"/>
    <w:rsid w:val="008133CF"/>
    <w:rsid w:val="0081369E"/>
    <w:rsid w:val="008146F9"/>
    <w:rsid w:val="00817C25"/>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762A4"/>
    <w:rsid w:val="00880FBC"/>
    <w:rsid w:val="00884054"/>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6DC5"/>
    <w:rsid w:val="008A75BE"/>
    <w:rsid w:val="008B0D6E"/>
    <w:rsid w:val="008B1AD9"/>
    <w:rsid w:val="008B1D2E"/>
    <w:rsid w:val="008B343F"/>
    <w:rsid w:val="008B4DF4"/>
    <w:rsid w:val="008B7168"/>
    <w:rsid w:val="008B7420"/>
    <w:rsid w:val="008C005B"/>
    <w:rsid w:val="008C08BE"/>
    <w:rsid w:val="008C229F"/>
    <w:rsid w:val="008C32A8"/>
    <w:rsid w:val="008C3445"/>
    <w:rsid w:val="008C4E94"/>
    <w:rsid w:val="008C55A3"/>
    <w:rsid w:val="008C7368"/>
    <w:rsid w:val="008D3E05"/>
    <w:rsid w:val="008D617D"/>
    <w:rsid w:val="008E5A1D"/>
    <w:rsid w:val="008E6375"/>
    <w:rsid w:val="008F0EA8"/>
    <w:rsid w:val="008F17A1"/>
    <w:rsid w:val="008F4C65"/>
    <w:rsid w:val="008F7579"/>
    <w:rsid w:val="008F75D2"/>
    <w:rsid w:val="00902944"/>
    <w:rsid w:val="0090406C"/>
    <w:rsid w:val="00904175"/>
    <w:rsid w:val="00905422"/>
    <w:rsid w:val="00906BD5"/>
    <w:rsid w:val="009104D1"/>
    <w:rsid w:val="00912397"/>
    <w:rsid w:val="00913133"/>
    <w:rsid w:val="0091475B"/>
    <w:rsid w:val="00916FDD"/>
    <w:rsid w:val="00920563"/>
    <w:rsid w:val="00921DB9"/>
    <w:rsid w:val="0092403D"/>
    <w:rsid w:val="0093185A"/>
    <w:rsid w:val="0093199C"/>
    <w:rsid w:val="009402DB"/>
    <w:rsid w:val="00942857"/>
    <w:rsid w:val="00942E41"/>
    <w:rsid w:val="009440D8"/>
    <w:rsid w:val="009449B8"/>
    <w:rsid w:val="00944DC9"/>
    <w:rsid w:val="009454E7"/>
    <w:rsid w:val="0094603F"/>
    <w:rsid w:val="00952028"/>
    <w:rsid w:val="00960AC9"/>
    <w:rsid w:val="009611E0"/>
    <w:rsid w:val="00962383"/>
    <w:rsid w:val="00962E7D"/>
    <w:rsid w:val="00963120"/>
    <w:rsid w:val="00965FEE"/>
    <w:rsid w:val="0096643B"/>
    <w:rsid w:val="009664AF"/>
    <w:rsid w:val="009706B5"/>
    <w:rsid w:val="0097286A"/>
    <w:rsid w:val="00972BDF"/>
    <w:rsid w:val="00973F49"/>
    <w:rsid w:val="00974C5C"/>
    <w:rsid w:val="009776F1"/>
    <w:rsid w:val="0098182D"/>
    <w:rsid w:val="00981BD8"/>
    <w:rsid w:val="00982A98"/>
    <w:rsid w:val="009855E2"/>
    <w:rsid w:val="00987C03"/>
    <w:rsid w:val="00992977"/>
    <w:rsid w:val="0099557F"/>
    <w:rsid w:val="00996EB4"/>
    <w:rsid w:val="00997D10"/>
    <w:rsid w:val="009A3511"/>
    <w:rsid w:val="009A686F"/>
    <w:rsid w:val="009A7912"/>
    <w:rsid w:val="009B33A8"/>
    <w:rsid w:val="009B3487"/>
    <w:rsid w:val="009B50B3"/>
    <w:rsid w:val="009B7C61"/>
    <w:rsid w:val="009C3793"/>
    <w:rsid w:val="009C62BD"/>
    <w:rsid w:val="009D2190"/>
    <w:rsid w:val="009D26AD"/>
    <w:rsid w:val="009D2B79"/>
    <w:rsid w:val="009D341C"/>
    <w:rsid w:val="009E1411"/>
    <w:rsid w:val="009E19FC"/>
    <w:rsid w:val="009E52F2"/>
    <w:rsid w:val="009E681F"/>
    <w:rsid w:val="009F12CD"/>
    <w:rsid w:val="009F3C1F"/>
    <w:rsid w:val="009F614E"/>
    <w:rsid w:val="009F762B"/>
    <w:rsid w:val="009F76BA"/>
    <w:rsid w:val="009F7E09"/>
    <w:rsid w:val="00A018FF"/>
    <w:rsid w:val="00A02047"/>
    <w:rsid w:val="00A035C0"/>
    <w:rsid w:val="00A036BE"/>
    <w:rsid w:val="00A03F2A"/>
    <w:rsid w:val="00A0575E"/>
    <w:rsid w:val="00A12205"/>
    <w:rsid w:val="00A139AF"/>
    <w:rsid w:val="00A20113"/>
    <w:rsid w:val="00A20BCF"/>
    <w:rsid w:val="00A3248C"/>
    <w:rsid w:val="00A34361"/>
    <w:rsid w:val="00A354C4"/>
    <w:rsid w:val="00A35685"/>
    <w:rsid w:val="00A358E6"/>
    <w:rsid w:val="00A37095"/>
    <w:rsid w:val="00A37C0F"/>
    <w:rsid w:val="00A40CE4"/>
    <w:rsid w:val="00A422B7"/>
    <w:rsid w:val="00A42F81"/>
    <w:rsid w:val="00A44291"/>
    <w:rsid w:val="00A453DC"/>
    <w:rsid w:val="00A47E33"/>
    <w:rsid w:val="00A50182"/>
    <w:rsid w:val="00A51024"/>
    <w:rsid w:val="00A51109"/>
    <w:rsid w:val="00A544DC"/>
    <w:rsid w:val="00A55818"/>
    <w:rsid w:val="00A56556"/>
    <w:rsid w:val="00A60020"/>
    <w:rsid w:val="00A60F08"/>
    <w:rsid w:val="00A625E2"/>
    <w:rsid w:val="00A63DC7"/>
    <w:rsid w:val="00A70289"/>
    <w:rsid w:val="00A72105"/>
    <w:rsid w:val="00A72443"/>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445E"/>
    <w:rsid w:val="00AA56F6"/>
    <w:rsid w:val="00AA5D62"/>
    <w:rsid w:val="00AB049E"/>
    <w:rsid w:val="00AB240E"/>
    <w:rsid w:val="00AB2BF2"/>
    <w:rsid w:val="00AB3710"/>
    <w:rsid w:val="00AB4B0F"/>
    <w:rsid w:val="00AB6C3B"/>
    <w:rsid w:val="00AB7F4A"/>
    <w:rsid w:val="00AC226E"/>
    <w:rsid w:val="00AC3D45"/>
    <w:rsid w:val="00AC722C"/>
    <w:rsid w:val="00AC7906"/>
    <w:rsid w:val="00AD1291"/>
    <w:rsid w:val="00AD134F"/>
    <w:rsid w:val="00AD2A32"/>
    <w:rsid w:val="00AD3428"/>
    <w:rsid w:val="00AD3AA2"/>
    <w:rsid w:val="00AD4B1A"/>
    <w:rsid w:val="00AD4FDD"/>
    <w:rsid w:val="00AE008F"/>
    <w:rsid w:val="00AE77F9"/>
    <w:rsid w:val="00AF0161"/>
    <w:rsid w:val="00AF029D"/>
    <w:rsid w:val="00AF0BB8"/>
    <w:rsid w:val="00AF2A1F"/>
    <w:rsid w:val="00AF2D9B"/>
    <w:rsid w:val="00B01AFC"/>
    <w:rsid w:val="00B02128"/>
    <w:rsid w:val="00B0749B"/>
    <w:rsid w:val="00B10050"/>
    <w:rsid w:val="00B10A1E"/>
    <w:rsid w:val="00B11E08"/>
    <w:rsid w:val="00B14039"/>
    <w:rsid w:val="00B149FA"/>
    <w:rsid w:val="00B22242"/>
    <w:rsid w:val="00B2330D"/>
    <w:rsid w:val="00B32223"/>
    <w:rsid w:val="00B32CD3"/>
    <w:rsid w:val="00B34CED"/>
    <w:rsid w:val="00B35A93"/>
    <w:rsid w:val="00B3672D"/>
    <w:rsid w:val="00B42ECE"/>
    <w:rsid w:val="00B433C9"/>
    <w:rsid w:val="00B4745C"/>
    <w:rsid w:val="00B474E8"/>
    <w:rsid w:val="00B50E3A"/>
    <w:rsid w:val="00B52A82"/>
    <w:rsid w:val="00B52D3E"/>
    <w:rsid w:val="00B555AD"/>
    <w:rsid w:val="00B57980"/>
    <w:rsid w:val="00B601D4"/>
    <w:rsid w:val="00B63BC9"/>
    <w:rsid w:val="00B653BB"/>
    <w:rsid w:val="00B66E86"/>
    <w:rsid w:val="00B67A20"/>
    <w:rsid w:val="00B724E8"/>
    <w:rsid w:val="00B76471"/>
    <w:rsid w:val="00B82B6B"/>
    <w:rsid w:val="00B858F2"/>
    <w:rsid w:val="00B87D50"/>
    <w:rsid w:val="00B9223B"/>
    <w:rsid w:val="00B971CA"/>
    <w:rsid w:val="00B97C95"/>
    <w:rsid w:val="00BA1796"/>
    <w:rsid w:val="00BA4D1F"/>
    <w:rsid w:val="00BA7AD1"/>
    <w:rsid w:val="00BB2250"/>
    <w:rsid w:val="00BB4A1A"/>
    <w:rsid w:val="00BB721B"/>
    <w:rsid w:val="00BC0FDD"/>
    <w:rsid w:val="00BC22E0"/>
    <w:rsid w:val="00BC2A46"/>
    <w:rsid w:val="00BC3FA4"/>
    <w:rsid w:val="00BC7797"/>
    <w:rsid w:val="00BD004A"/>
    <w:rsid w:val="00BD352C"/>
    <w:rsid w:val="00BD5023"/>
    <w:rsid w:val="00BD58AB"/>
    <w:rsid w:val="00BE28ED"/>
    <w:rsid w:val="00BF0A87"/>
    <w:rsid w:val="00BF1F1F"/>
    <w:rsid w:val="00C008B2"/>
    <w:rsid w:val="00C01F6B"/>
    <w:rsid w:val="00C07C1E"/>
    <w:rsid w:val="00C1184D"/>
    <w:rsid w:val="00C12209"/>
    <w:rsid w:val="00C16DFC"/>
    <w:rsid w:val="00C20CC7"/>
    <w:rsid w:val="00C24A09"/>
    <w:rsid w:val="00C25084"/>
    <w:rsid w:val="00C3096A"/>
    <w:rsid w:val="00C3292A"/>
    <w:rsid w:val="00C357BE"/>
    <w:rsid w:val="00C36ED4"/>
    <w:rsid w:val="00C56940"/>
    <w:rsid w:val="00C56C44"/>
    <w:rsid w:val="00C62CC9"/>
    <w:rsid w:val="00C6332C"/>
    <w:rsid w:val="00C71884"/>
    <w:rsid w:val="00C71CD1"/>
    <w:rsid w:val="00C73143"/>
    <w:rsid w:val="00C77685"/>
    <w:rsid w:val="00C77815"/>
    <w:rsid w:val="00C77977"/>
    <w:rsid w:val="00C77ABA"/>
    <w:rsid w:val="00C85378"/>
    <w:rsid w:val="00C87062"/>
    <w:rsid w:val="00C870F5"/>
    <w:rsid w:val="00C909F7"/>
    <w:rsid w:val="00C91B10"/>
    <w:rsid w:val="00C9297C"/>
    <w:rsid w:val="00C9347E"/>
    <w:rsid w:val="00CA5334"/>
    <w:rsid w:val="00CA6FDA"/>
    <w:rsid w:val="00CB36B3"/>
    <w:rsid w:val="00CB3B6F"/>
    <w:rsid w:val="00CB5283"/>
    <w:rsid w:val="00CC0C5F"/>
    <w:rsid w:val="00CC2F3D"/>
    <w:rsid w:val="00CC5F1F"/>
    <w:rsid w:val="00CC5FF3"/>
    <w:rsid w:val="00CC6072"/>
    <w:rsid w:val="00CC6CAD"/>
    <w:rsid w:val="00CD0993"/>
    <w:rsid w:val="00CD1FC3"/>
    <w:rsid w:val="00CD365B"/>
    <w:rsid w:val="00CD4BFA"/>
    <w:rsid w:val="00CE0E72"/>
    <w:rsid w:val="00CE2ADF"/>
    <w:rsid w:val="00CE75D3"/>
    <w:rsid w:val="00CF1C84"/>
    <w:rsid w:val="00CF1D7D"/>
    <w:rsid w:val="00CF45D3"/>
    <w:rsid w:val="00CF51F9"/>
    <w:rsid w:val="00CF624E"/>
    <w:rsid w:val="00CF6B6C"/>
    <w:rsid w:val="00CF7EA2"/>
    <w:rsid w:val="00D02E45"/>
    <w:rsid w:val="00D03011"/>
    <w:rsid w:val="00D03E71"/>
    <w:rsid w:val="00D042BB"/>
    <w:rsid w:val="00D068FC"/>
    <w:rsid w:val="00D06CA0"/>
    <w:rsid w:val="00D105BA"/>
    <w:rsid w:val="00D115BB"/>
    <w:rsid w:val="00D11797"/>
    <w:rsid w:val="00D127F6"/>
    <w:rsid w:val="00D12C68"/>
    <w:rsid w:val="00D134FB"/>
    <w:rsid w:val="00D1648B"/>
    <w:rsid w:val="00D17789"/>
    <w:rsid w:val="00D20AE1"/>
    <w:rsid w:val="00D21565"/>
    <w:rsid w:val="00D22F7D"/>
    <w:rsid w:val="00D24574"/>
    <w:rsid w:val="00D25BEE"/>
    <w:rsid w:val="00D2737E"/>
    <w:rsid w:val="00D274A9"/>
    <w:rsid w:val="00D32644"/>
    <w:rsid w:val="00D33619"/>
    <w:rsid w:val="00D358E7"/>
    <w:rsid w:val="00D37957"/>
    <w:rsid w:val="00D37E18"/>
    <w:rsid w:val="00D43422"/>
    <w:rsid w:val="00D43677"/>
    <w:rsid w:val="00D44265"/>
    <w:rsid w:val="00D449AE"/>
    <w:rsid w:val="00D453B5"/>
    <w:rsid w:val="00D477C3"/>
    <w:rsid w:val="00D51B89"/>
    <w:rsid w:val="00D52AC7"/>
    <w:rsid w:val="00D5415A"/>
    <w:rsid w:val="00D54CA9"/>
    <w:rsid w:val="00D54D64"/>
    <w:rsid w:val="00D6340F"/>
    <w:rsid w:val="00D6535E"/>
    <w:rsid w:val="00D654EC"/>
    <w:rsid w:val="00D702C2"/>
    <w:rsid w:val="00D70514"/>
    <w:rsid w:val="00D71146"/>
    <w:rsid w:val="00D72D16"/>
    <w:rsid w:val="00D742B9"/>
    <w:rsid w:val="00D7492C"/>
    <w:rsid w:val="00D8195B"/>
    <w:rsid w:val="00D821F8"/>
    <w:rsid w:val="00D848F9"/>
    <w:rsid w:val="00D84DDC"/>
    <w:rsid w:val="00D85695"/>
    <w:rsid w:val="00D8619F"/>
    <w:rsid w:val="00D86764"/>
    <w:rsid w:val="00DA0DF2"/>
    <w:rsid w:val="00DA41D7"/>
    <w:rsid w:val="00DA494B"/>
    <w:rsid w:val="00DB456D"/>
    <w:rsid w:val="00DB50F0"/>
    <w:rsid w:val="00DB5C0A"/>
    <w:rsid w:val="00DC0449"/>
    <w:rsid w:val="00DC2AC2"/>
    <w:rsid w:val="00DD13E2"/>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27915"/>
    <w:rsid w:val="00E35B0E"/>
    <w:rsid w:val="00E371EC"/>
    <w:rsid w:val="00E43116"/>
    <w:rsid w:val="00E444DA"/>
    <w:rsid w:val="00E54E8C"/>
    <w:rsid w:val="00E571F8"/>
    <w:rsid w:val="00E572AD"/>
    <w:rsid w:val="00E6421B"/>
    <w:rsid w:val="00E64F0A"/>
    <w:rsid w:val="00E65FEA"/>
    <w:rsid w:val="00E67668"/>
    <w:rsid w:val="00E70AEE"/>
    <w:rsid w:val="00E70E13"/>
    <w:rsid w:val="00E7107E"/>
    <w:rsid w:val="00E718B5"/>
    <w:rsid w:val="00E71C93"/>
    <w:rsid w:val="00E72AE3"/>
    <w:rsid w:val="00E73B51"/>
    <w:rsid w:val="00E8151C"/>
    <w:rsid w:val="00E81E9C"/>
    <w:rsid w:val="00E8228B"/>
    <w:rsid w:val="00E82E15"/>
    <w:rsid w:val="00E861B9"/>
    <w:rsid w:val="00E91151"/>
    <w:rsid w:val="00E936FF"/>
    <w:rsid w:val="00E939C8"/>
    <w:rsid w:val="00E93A33"/>
    <w:rsid w:val="00E93B6B"/>
    <w:rsid w:val="00EA1F89"/>
    <w:rsid w:val="00EB025F"/>
    <w:rsid w:val="00EB117B"/>
    <w:rsid w:val="00EB212A"/>
    <w:rsid w:val="00EB2BEB"/>
    <w:rsid w:val="00EB40D6"/>
    <w:rsid w:val="00EB4222"/>
    <w:rsid w:val="00EB5EE3"/>
    <w:rsid w:val="00EB5F75"/>
    <w:rsid w:val="00EB65FF"/>
    <w:rsid w:val="00EB6785"/>
    <w:rsid w:val="00EB79CD"/>
    <w:rsid w:val="00EC1D0D"/>
    <w:rsid w:val="00ED254C"/>
    <w:rsid w:val="00ED2784"/>
    <w:rsid w:val="00ED3E9B"/>
    <w:rsid w:val="00EE0F2E"/>
    <w:rsid w:val="00EE2610"/>
    <w:rsid w:val="00EE2A41"/>
    <w:rsid w:val="00EE354B"/>
    <w:rsid w:val="00EE3C1D"/>
    <w:rsid w:val="00EE52DF"/>
    <w:rsid w:val="00EE6EC2"/>
    <w:rsid w:val="00EF09FB"/>
    <w:rsid w:val="00EF102E"/>
    <w:rsid w:val="00EF3496"/>
    <w:rsid w:val="00EF697A"/>
    <w:rsid w:val="00F00446"/>
    <w:rsid w:val="00F02923"/>
    <w:rsid w:val="00F02A7E"/>
    <w:rsid w:val="00F0351B"/>
    <w:rsid w:val="00F06472"/>
    <w:rsid w:val="00F13254"/>
    <w:rsid w:val="00F1465C"/>
    <w:rsid w:val="00F14ADB"/>
    <w:rsid w:val="00F177B1"/>
    <w:rsid w:val="00F22566"/>
    <w:rsid w:val="00F226DB"/>
    <w:rsid w:val="00F22963"/>
    <w:rsid w:val="00F232C2"/>
    <w:rsid w:val="00F24599"/>
    <w:rsid w:val="00F278FA"/>
    <w:rsid w:val="00F30F82"/>
    <w:rsid w:val="00F367F2"/>
    <w:rsid w:val="00F370A2"/>
    <w:rsid w:val="00F40002"/>
    <w:rsid w:val="00F403EA"/>
    <w:rsid w:val="00F42753"/>
    <w:rsid w:val="00F42E10"/>
    <w:rsid w:val="00F44A7B"/>
    <w:rsid w:val="00F44FFA"/>
    <w:rsid w:val="00F45B6F"/>
    <w:rsid w:val="00F45CB9"/>
    <w:rsid w:val="00F510DB"/>
    <w:rsid w:val="00F5724D"/>
    <w:rsid w:val="00F60AB3"/>
    <w:rsid w:val="00F60EDC"/>
    <w:rsid w:val="00F62329"/>
    <w:rsid w:val="00F64E5A"/>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FB3"/>
    <w:rsid w:val="00FC45DE"/>
    <w:rsid w:val="00FC48CB"/>
    <w:rsid w:val="00FC4F9B"/>
    <w:rsid w:val="00FC59F0"/>
    <w:rsid w:val="00FD192E"/>
    <w:rsid w:val="00FD4599"/>
    <w:rsid w:val="00FD4784"/>
    <w:rsid w:val="00FD5270"/>
    <w:rsid w:val="00FD65FE"/>
    <w:rsid w:val="00FD7131"/>
    <w:rsid w:val="00FD74EB"/>
    <w:rsid w:val="00FE214F"/>
    <w:rsid w:val="00FE41D4"/>
    <w:rsid w:val="00FE77E7"/>
    <w:rsid w:val="00FF1082"/>
    <w:rsid w:val="00FF465F"/>
    <w:rsid w:val="00FF6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6296432">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55700180">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118202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93ED-0DB2-485D-BDF6-0DAF9B73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42</Pages>
  <Words>8152</Words>
  <Characters>44836</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2025-06-06T17:09:00Z</cp:lastPrinted>
  <dcterms:created xsi:type="dcterms:W3CDTF">2025-05-26T23:53:00Z</dcterms:created>
  <dcterms:modified xsi:type="dcterms:W3CDTF">2025-06-25T16:56:00Z</dcterms:modified>
</cp:coreProperties>
</file>