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A5C0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veinticinco de noviembre de dos mil veinticinco. </w:t>
      </w:r>
    </w:p>
    <w:p w14:paraId="0DA994C6" w14:textId="77777777" w:rsidR="00B066F5" w:rsidRPr="007C282D" w:rsidRDefault="00B066F5">
      <w:pPr>
        <w:spacing w:after="0" w:line="360" w:lineRule="auto"/>
        <w:ind w:right="49"/>
        <w:jc w:val="center"/>
        <w:rPr>
          <w:rFonts w:ascii="Palatino Linotype" w:eastAsia="Palatino Linotype" w:hAnsi="Palatino Linotype" w:cs="Palatino Linotype"/>
        </w:rPr>
      </w:pPr>
      <w:bookmarkStart w:id="0" w:name="_heading=h.sn9x60xze0r0" w:colFirst="0" w:colLast="0"/>
      <w:bookmarkEnd w:id="0"/>
    </w:p>
    <w:p w14:paraId="3DBD18B1"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Visto el expediente relativo al recurso de revisión </w:t>
      </w:r>
      <w:r w:rsidRPr="007C282D">
        <w:rPr>
          <w:rFonts w:ascii="Palatino Linotype" w:eastAsia="Palatino Linotype" w:hAnsi="Palatino Linotype" w:cs="Palatino Linotype"/>
          <w:b/>
          <w:bCs/>
        </w:rPr>
        <w:t>09949/INFOEM/IP/RR/2025</w:t>
      </w:r>
      <w:r w:rsidRPr="007C282D">
        <w:rPr>
          <w:rFonts w:ascii="Palatino Linotype" w:eastAsia="Palatino Linotype" w:hAnsi="Palatino Linotype" w:cs="Palatino Linotype"/>
        </w:rPr>
        <w:t xml:space="preserve">, interpuesto por </w:t>
      </w:r>
      <w:r w:rsidRPr="007C282D">
        <w:rPr>
          <w:rFonts w:ascii="Palatino Linotype" w:eastAsia="Palatino Linotype" w:hAnsi="Palatino Linotype" w:cs="Palatino Linotype"/>
          <w:b/>
          <w:bCs/>
        </w:rPr>
        <w:t>una persona que no proporcionó nombre o seudónimo</w:t>
      </w:r>
      <w:r w:rsidRPr="007C282D">
        <w:rPr>
          <w:rFonts w:ascii="Palatino Linotype" w:eastAsia="Palatino Linotype" w:hAnsi="Palatino Linotype" w:cs="Palatino Linotype"/>
        </w:rPr>
        <w:t xml:space="preserve">, al cual en lo sucesivo se le denominará la parte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en contra de la respuesta a su solicitud de información identificada con número de folio </w:t>
      </w:r>
      <w:r w:rsidRPr="007C282D">
        <w:rPr>
          <w:rFonts w:ascii="Palatino Linotype" w:eastAsia="Palatino Linotype" w:hAnsi="Palatino Linotype" w:cs="Palatino Linotype"/>
          <w:b/>
          <w:bCs/>
        </w:rPr>
        <w:t xml:space="preserve">00485/ZINACANT/IP/2025 </w:t>
      </w:r>
      <w:r w:rsidRPr="007C282D">
        <w:rPr>
          <w:rFonts w:ascii="Palatino Linotype" w:eastAsia="Palatino Linotype" w:hAnsi="Palatino Linotype" w:cs="Palatino Linotype"/>
        </w:rPr>
        <w:t xml:space="preserve">proporcionada por parte del </w:t>
      </w:r>
      <w:r w:rsidRPr="007C282D">
        <w:rPr>
          <w:rFonts w:ascii="Palatino Linotype" w:eastAsia="Palatino Linotype" w:hAnsi="Palatino Linotype" w:cs="Palatino Linotype"/>
          <w:b/>
          <w:bCs/>
        </w:rPr>
        <w:t>Ayuntamiento de Zinacantepec</w:t>
      </w:r>
      <w:r w:rsidRPr="007C282D">
        <w:rPr>
          <w:rFonts w:ascii="Palatino Linotype" w:eastAsia="Palatino Linotype" w:hAnsi="Palatino Linotype" w:cs="Palatino Linotype"/>
        </w:rPr>
        <w:t xml:space="preserve">, en lo sucesivo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se procede a dictar la presente resolución, con base en los siguientes:</w:t>
      </w:r>
    </w:p>
    <w:p w14:paraId="1A6910F3" w14:textId="77777777" w:rsidR="00B066F5" w:rsidRPr="007C282D" w:rsidRDefault="00B066F5">
      <w:pPr>
        <w:spacing w:after="0" w:line="360" w:lineRule="auto"/>
        <w:ind w:right="49"/>
        <w:jc w:val="both"/>
        <w:rPr>
          <w:rFonts w:ascii="Palatino Linotype" w:eastAsia="Palatino Linotype" w:hAnsi="Palatino Linotype" w:cs="Palatino Linotype"/>
        </w:rPr>
      </w:pPr>
    </w:p>
    <w:p w14:paraId="4BBBFB2A" w14:textId="77777777" w:rsidR="00B066F5" w:rsidRPr="007C282D" w:rsidRDefault="00736573">
      <w:pPr>
        <w:spacing w:after="0" w:line="360" w:lineRule="auto"/>
        <w:ind w:right="49"/>
        <w:jc w:val="center"/>
        <w:rPr>
          <w:rFonts w:ascii="Palatino Linotype" w:eastAsia="Palatino Linotype" w:hAnsi="Palatino Linotype" w:cs="Palatino Linotype"/>
          <w:b/>
          <w:bCs/>
        </w:rPr>
      </w:pPr>
      <w:r w:rsidRPr="007C282D">
        <w:rPr>
          <w:rFonts w:ascii="Palatino Linotype" w:eastAsia="Palatino Linotype" w:hAnsi="Palatino Linotype" w:cs="Palatino Linotype"/>
          <w:b/>
          <w:bCs/>
        </w:rPr>
        <w:t>I.</w:t>
      </w:r>
      <w:r w:rsidRPr="007C282D">
        <w:rPr>
          <w:rFonts w:ascii="Palatino Linotype" w:eastAsia="Palatino Linotype" w:hAnsi="Palatino Linotype" w:cs="Palatino Linotype"/>
          <w:b/>
          <w:bCs/>
        </w:rPr>
        <w:tab/>
        <w:t>A N T E C E D E N T E S</w:t>
      </w:r>
    </w:p>
    <w:p w14:paraId="059F5FA4" w14:textId="77777777" w:rsidR="00B066F5" w:rsidRPr="007C282D" w:rsidRDefault="00B066F5">
      <w:pPr>
        <w:spacing w:after="0" w:line="360" w:lineRule="auto"/>
        <w:ind w:right="49"/>
        <w:jc w:val="both"/>
        <w:rPr>
          <w:rFonts w:ascii="Palatino Linotype" w:eastAsia="Palatino Linotype" w:hAnsi="Palatino Linotype" w:cs="Palatino Linotype"/>
        </w:rPr>
      </w:pPr>
    </w:p>
    <w:p w14:paraId="4E24C0D6" w14:textId="77777777" w:rsidR="00B066F5" w:rsidRPr="007C282D" w:rsidRDefault="00736573">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Solicitud de acceso a la información.</w:t>
      </w:r>
      <w:r w:rsidRPr="007C282D">
        <w:rPr>
          <w:rFonts w:ascii="Palatino Linotype" w:eastAsia="Palatino Linotype" w:hAnsi="Palatino Linotype" w:cs="Palatino Linotype"/>
        </w:rPr>
        <w:t xml:space="preserve"> Con fecha </w:t>
      </w:r>
      <w:r w:rsidRPr="007C282D">
        <w:rPr>
          <w:rFonts w:ascii="Palatino Linotype" w:eastAsia="Palatino Linotype" w:hAnsi="Palatino Linotype" w:cs="Palatino Linotype"/>
          <w:b/>
          <w:bCs/>
        </w:rPr>
        <w:t>diecisiete de junio de dos mil veinticinco</w:t>
      </w:r>
      <w:r w:rsidRPr="007C282D">
        <w:rPr>
          <w:rFonts w:ascii="Palatino Linotype" w:eastAsia="Palatino Linotype" w:hAnsi="Palatino Linotype" w:cs="Palatino Linotype"/>
        </w:rPr>
        <w:t xml:space="preserve">, la parte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formuló solicitud de acceso a información pública al</w:t>
      </w:r>
      <w:r w:rsidRPr="007C282D">
        <w:rPr>
          <w:rFonts w:ascii="Palatino Linotype" w:eastAsia="Palatino Linotype" w:hAnsi="Palatino Linotype" w:cs="Palatino Linotype"/>
          <w:b/>
          <w:bCs/>
        </w:rPr>
        <w:t xml:space="preserve"> Sujeto Obligado</w:t>
      </w:r>
      <w:r w:rsidRPr="007C282D">
        <w:rPr>
          <w:rFonts w:ascii="Palatino Linotype" w:eastAsia="Palatino Linotype" w:hAnsi="Palatino Linotype" w:cs="Palatino Linotype"/>
        </w:rPr>
        <w:t xml:space="preserve"> a través del Sistema de Acceso a la Información Mexiquense, en adelante SAIMEX, en la que requirió lo siguiente: </w:t>
      </w:r>
    </w:p>
    <w:p w14:paraId="7306BCA9" w14:textId="77777777" w:rsidR="00B066F5" w:rsidRPr="007C282D" w:rsidRDefault="00B066F5">
      <w:pPr>
        <w:tabs>
          <w:tab w:val="left" w:pos="1530"/>
        </w:tabs>
        <w:spacing w:after="0" w:line="360" w:lineRule="auto"/>
        <w:ind w:right="49"/>
        <w:jc w:val="both"/>
        <w:rPr>
          <w:rFonts w:ascii="Palatino Linotype" w:eastAsia="Palatino Linotype" w:hAnsi="Palatino Linotype" w:cs="Palatino Linotype"/>
        </w:rPr>
      </w:pPr>
      <w:bookmarkStart w:id="1" w:name="_GoBack"/>
      <w:bookmarkEnd w:id="1"/>
    </w:p>
    <w:p w14:paraId="6480A750" w14:textId="77777777" w:rsidR="00B066F5" w:rsidRPr="007C282D" w:rsidRDefault="00736573">
      <w:pPr>
        <w:spacing w:after="0"/>
        <w:ind w:left="851" w:right="843"/>
        <w:jc w:val="both"/>
        <w:rPr>
          <w:rFonts w:ascii="Palatino Linotype" w:eastAsia="Palatino Linotype" w:hAnsi="Palatino Linotype" w:cs="Palatino Linotype"/>
          <w:i/>
          <w:iCs/>
        </w:rPr>
      </w:pPr>
      <w:bookmarkStart w:id="2" w:name="_heading=h.30j0zll" w:colFirst="0" w:colLast="0"/>
      <w:bookmarkEnd w:id="2"/>
      <w:r w:rsidRPr="007C282D">
        <w:rPr>
          <w:rFonts w:ascii="Palatino Linotype" w:eastAsia="Palatino Linotype" w:hAnsi="Palatino Linotype" w:cs="Palatino Linotype"/>
          <w:i/>
          <w:iCs/>
        </w:rPr>
        <w:t>“SOLICITO LAS TRANSFERENCIAS BANCARIAS REALIZADAS EN EL AÑO 2025”.</w:t>
      </w:r>
    </w:p>
    <w:p w14:paraId="369F9516" w14:textId="77777777" w:rsidR="00B066F5" w:rsidRPr="007C282D" w:rsidRDefault="00B066F5">
      <w:pPr>
        <w:spacing w:after="0"/>
        <w:ind w:left="567" w:right="560"/>
        <w:jc w:val="both"/>
        <w:rPr>
          <w:rFonts w:ascii="Palatino Linotype" w:eastAsia="Palatino Linotype" w:hAnsi="Palatino Linotype" w:cs="Palatino Linotype"/>
          <w:i/>
          <w:iCs/>
        </w:rPr>
      </w:pPr>
    </w:p>
    <w:p w14:paraId="23272B7C"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Modalidad elegida para la entrega de la información:</w:t>
      </w:r>
      <w:r w:rsidRPr="007C282D">
        <w:rPr>
          <w:rFonts w:ascii="Palatino Linotype" w:eastAsia="Palatino Linotype" w:hAnsi="Palatino Linotype" w:cs="Palatino Linotype"/>
        </w:rPr>
        <w:t xml:space="preserve"> a través del Sistema de Acceso a la Información Mexiquense (SAIMEX). </w:t>
      </w:r>
    </w:p>
    <w:p w14:paraId="30BBFA42"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67C7105" w14:textId="77777777" w:rsidR="00B066F5" w:rsidRPr="007C282D" w:rsidRDefault="00736573">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lastRenderedPageBreak/>
        <w:t>Solicitud de Aclaración</w:t>
      </w:r>
      <w:r w:rsidRPr="007C282D">
        <w:rPr>
          <w:rFonts w:ascii="Palatino Linotype" w:eastAsia="Palatino Linotype" w:hAnsi="Palatino Linotype" w:cs="Palatino Linotype"/>
        </w:rPr>
        <w:t xml:space="preserve">. El </w:t>
      </w:r>
      <w:r w:rsidRPr="007C282D">
        <w:rPr>
          <w:rFonts w:ascii="Palatino Linotype" w:eastAsia="Palatino Linotype" w:hAnsi="Palatino Linotype" w:cs="Palatino Linotype"/>
          <w:b/>
          <w:bCs/>
        </w:rPr>
        <w:t>veinticuatro de junio de dos mil veinticinco</w:t>
      </w:r>
      <w:r w:rsidRPr="007C282D">
        <w:rPr>
          <w:rFonts w:ascii="Palatino Linotype" w:eastAsia="Palatino Linotype" w:hAnsi="Palatino Linotype" w:cs="Palatino Linotype"/>
        </w:rPr>
        <w:t xml:space="preserv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solicito una aclaración de la siguiente manera, por lo que respecta al recurso de revisión </w:t>
      </w:r>
      <w:r w:rsidRPr="007C282D">
        <w:rPr>
          <w:rFonts w:ascii="Palatino Linotype" w:eastAsia="Palatino Linotype" w:hAnsi="Palatino Linotype" w:cs="Palatino Linotype"/>
          <w:b/>
          <w:bCs/>
        </w:rPr>
        <w:t>09949/INFOEM/IP/RR/2025</w:t>
      </w:r>
      <w:r w:rsidRPr="007C282D">
        <w:rPr>
          <w:rFonts w:ascii="Palatino Linotype" w:eastAsia="Palatino Linotype" w:hAnsi="Palatino Linotype" w:cs="Palatino Linotype"/>
        </w:rPr>
        <w:t xml:space="preserve">:     </w:t>
      </w:r>
    </w:p>
    <w:p w14:paraId="5F08ABC0" w14:textId="77777777" w:rsidR="00B066F5" w:rsidRPr="007C282D" w:rsidRDefault="00B066F5">
      <w:pPr>
        <w:spacing w:after="0" w:line="240" w:lineRule="auto"/>
        <w:ind w:left="851" w:right="902"/>
        <w:jc w:val="both"/>
        <w:rPr>
          <w:rFonts w:ascii="Palatino Linotype" w:eastAsia="Palatino Linotype" w:hAnsi="Palatino Linotype" w:cs="Palatino Linotype"/>
          <w:i/>
          <w:iCs/>
        </w:rPr>
      </w:pPr>
    </w:p>
    <w:p w14:paraId="6AB1C3E8" w14:textId="77777777" w:rsidR="00B066F5" w:rsidRPr="007C282D" w:rsidRDefault="00736573">
      <w:pPr>
        <w:spacing w:after="0" w:line="240" w:lineRule="auto"/>
        <w:ind w:left="851" w:right="902"/>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“Con fundamento en el artículo 159 de la Ley de Transparencia y Acceso a la Información Pública del Estado de México y Municipios, se le requiere para que dentro del plazo de diez días hábiles realice lo siguiente:</w:t>
      </w:r>
    </w:p>
    <w:p w14:paraId="40B58F58" w14:textId="77777777" w:rsidR="00B066F5" w:rsidRPr="007C282D" w:rsidRDefault="00736573">
      <w:pPr>
        <w:spacing w:after="0" w:line="240" w:lineRule="auto"/>
        <w:ind w:left="851" w:right="902"/>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Con fundamento en el artículo 159 de la Ley de Transparencia y Acceso a la Información Pública del Estado de México y Municipios y con la finalidad de dar puntual atención a su requerimiento, </w:t>
      </w:r>
      <w:r w:rsidRPr="007C282D">
        <w:rPr>
          <w:rFonts w:ascii="Palatino Linotype" w:eastAsia="Palatino Linotype" w:hAnsi="Palatino Linotype" w:cs="Palatino Linotype"/>
          <w:b/>
          <w:bCs/>
          <w:i/>
          <w:iCs/>
        </w:rPr>
        <w:t>solicito precise cual es la información, de las transferencias bancarias realizadas en el año 2025 que requiere, es decir a quienes</w:t>
      </w:r>
      <w:r w:rsidRPr="007C282D">
        <w:rPr>
          <w:rFonts w:ascii="Palatino Linotype" w:eastAsia="Palatino Linotype" w:hAnsi="Palatino Linotype" w:cs="Palatino Linotype"/>
          <w:i/>
          <w:iCs/>
        </w:rPr>
        <w:t>. Lo anterior, con el propósito de estar en condiciones de turnar adecuadamente su requerimiento a las áreas competentes. Sin otro particular, me reitero a sus apreciables órdenes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0490AAC" w14:textId="77777777" w:rsidR="00B066F5" w:rsidRPr="007C282D" w:rsidRDefault="00736573">
      <w:pPr>
        <w:spacing w:after="0" w:line="240" w:lineRule="auto"/>
        <w:ind w:left="851" w:right="902"/>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D2B2AF2" w14:textId="77777777" w:rsidR="00B066F5" w:rsidRPr="007C282D" w:rsidRDefault="00736573">
      <w:pPr>
        <w:spacing w:after="0" w:line="240" w:lineRule="auto"/>
        <w:ind w:left="851" w:right="902"/>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ATENTAMENTE</w:t>
      </w:r>
    </w:p>
    <w:p w14:paraId="5C1B642C" w14:textId="77777777" w:rsidR="00B066F5" w:rsidRPr="007C282D" w:rsidRDefault="00736573">
      <w:pPr>
        <w:spacing w:after="0" w:line="240" w:lineRule="auto"/>
        <w:ind w:left="851" w:right="902"/>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BRENDA SELENE HERNANDEZ LOPEZ.” (sic)        </w:t>
      </w:r>
    </w:p>
    <w:p w14:paraId="21DED928" w14:textId="77777777" w:rsidR="00B066F5" w:rsidRPr="007C282D" w:rsidRDefault="00B066F5">
      <w:pPr>
        <w:widowControl w:val="0"/>
        <w:spacing w:after="0" w:line="360" w:lineRule="auto"/>
        <w:jc w:val="both"/>
        <w:rPr>
          <w:rFonts w:ascii="Palatino Linotype" w:eastAsia="Palatino Linotype" w:hAnsi="Palatino Linotype" w:cs="Palatino Linotype"/>
          <w:b/>
          <w:bCs/>
        </w:rPr>
      </w:pPr>
    </w:p>
    <w:p w14:paraId="7D3D9FF4" w14:textId="77777777" w:rsidR="00B066F5" w:rsidRPr="007C282D" w:rsidRDefault="00736573">
      <w:pPr>
        <w:widowControl w:val="0"/>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b/>
          <w:bCs/>
        </w:rPr>
        <w:t xml:space="preserve">3. Contestación a la solicitud de aclaración. </w:t>
      </w:r>
      <w:r w:rsidRPr="007C282D">
        <w:rPr>
          <w:rFonts w:ascii="Palatino Linotype" w:eastAsia="Palatino Linotype" w:hAnsi="Palatino Linotype" w:cs="Palatino Linotype"/>
        </w:rPr>
        <w:t xml:space="preserve"> El </w:t>
      </w:r>
      <w:r w:rsidRPr="007C282D">
        <w:rPr>
          <w:rFonts w:ascii="Palatino Linotype" w:eastAsia="Palatino Linotype" w:hAnsi="Palatino Linotype" w:cs="Palatino Linotype"/>
          <w:b/>
          <w:bCs/>
        </w:rPr>
        <w:t>veinticinco de junio de dos mil veinticinco</w:t>
      </w:r>
      <w:r w:rsidRPr="007C282D">
        <w:rPr>
          <w:rFonts w:ascii="Palatino Linotype" w:eastAsia="Palatino Linotype" w:hAnsi="Palatino Linotype" w:cs="Palatino Linotype"/>
        </w:rPr>
        <w:t>, la persona solicitante dio contestación a la aclaración de la siguiente manera:</w:t>
      </w:r>
    </w:p>
    <w:p w14:paraId="402E5E55" w14:textId="77777777" w:rsidR="00B066F5" w:rsidRPr="007C282D" w:rsidRDefault="00B066F5">
      <w:pPr>
        <w:pBdr>
          <w:top w:val="nil"/>
          <w:left w:val="nil"/>
          <w:bottom w:val="nil"/>
          <w:right w:val="nil"/>
          <w:between w:val="nil"/>
        </w:pBdr>
        <w:spacing w:after="0"/>
        <w:ind w:left="851" w:right="843"/>
        <w:jc w:val="both"/>
        <w:rPr>
          <w:rFonts w:ascii="Palatino Linotype" w:eastAsia="Palatino Linotype" w:hAnsi="Palatino Linotype" w:cs="Palatino Linotype"/>
          <w:i/>
          <w:iCs/>
        </w:rPr>
      </w:pPr>
    </w:p>
    <w:p w14:paraId="4DE5C51C" w14:textId="77777777" w:rsidR="00B066F5" w:rsidRPr="007C282D" w:rsidRDefault="0073657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“Como que que tipo de transferias bancarias, pues todas: por pago de facturas de compra de bienes y servicios, nomina, pago de demas obligaciones” (sic)</w:t>
      </w:r>
    </w:p>
    <w:p w14:paraId="02C7A209"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F9FE519"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bCs/>
        </w:rPr>
      </w:pPr>
      <w:r w:rsidRPr="007C282D">
        <w:rPr>
          <w:rFonts w:ascii="Palatino Linotype" w:eastAsia="Palatino Linotype" w:hAnsi="Palatino Linotype" w:cs="Palatino Linotype"/>
          <w:b/>
          <w:bCs/>
        </w:rPr>
        <w:t xml:space="preserve">Prórroga. </w:t>
      </w:r>
      <w:r w:rsidRPr="007C282D">
        <w:rPr>
          <w:rFonts w:ascii="Palatino Linotype" w:eastAsia="Palatino Linotype" w:hAnsi="Palatino Linotype" w:cs="Palatino Linotype"/>
        </w:rPr>
        <w:t xml:space="preserve">El </w:t>
      </w:r>
      <w:r w:rsidRPr="007C282D">
        <w:rPr>
          <w:rFonts w:ascii="Palatino Linotype" w:eastAsia="Palatino Linotype" w:hAnsi="Palatino Linotype" w:cs="Palatino Linotype"/>
          <w:b/>
          <w:bCs/>
        </w:rPr>
        <w:t xml:space="preserve">dieciséis de julio de dos mil veinticinco, </w:t>
      </w:r>
      <w:r w:rsidRPr="007C282D">
        <w:rPr>
          <w:rFonts w:ascii="Palatino Linotype" w:eastAsia="Palatino Linotype" w:hAnsi="Palatino Linotype" w:cs="Palatino Linotype"/>
        </w:rPr>
        <w:t xml:space="preserve">el </w:t>
      </w:r>
      <w:r w:rsidRPr="007C282D">
        <w:rPr>
          <w:rFonts w:ascii="Palatino Linotype" w:eastAsia="Palatino Linotype" w:hAnsi="Palatino Linotype" w:cs="Palatino Linotype"/>
          <w:b/>
          <w:bCs/>
        </w:rPr>
        <w:t xml:space="preserve">Sujeto Obligado </w:t>
      </w:r>
      <w:r w:rsidRPr="007C282D">
        <w:rPr>
          <w:rFonts w:ascii="Palatino Linotype" w:eastAsia="Palatino Linotype" w:hAnsi="Palatino Linotype" w:cs="Palatino Linotype"/>
        </w:rPr>
        <w:t>notificó a la persona solicitante la prórroga para dar respuesta a la solicitud</w:t>
      </w:r>
      <w:r w:rsidRPr="007C282D">
        <w:rPr>
          <w:rFonts w:ascii="Palatino Linotype" w:eastAsia="Palatino Linotype" w:hAnsi="Palatino Linotype" w:cs="Palatino Linotype"/>
          <w:b/>
          <w:bCs/>
        </w:rPr>
        <w:t>,</w:t>
      </w:r>
      <w:r w:rsidRPr="007C282D">
        <w:rPr>
          <w:rFonts w:ascii="Palatino Linotype" w:eastAsia="Palatino Linotype" w:hAnsi="Palatino Linotype" w:cs="Palatino Linotype"/>
        </w:rPr>
        <w:t xml:space="preserve"> medularmente en los siguientes términos:</w:t>
      </w:r>
    </w:p>
    <w:p w14:paraId="7424C1E7"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12FB93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Con fundamento en el artículo 163 de la Ley de Transparencia y Acceso a la Información Pública del Estado de México y Municipios se aprueba prórroga solicitada con la finalidad de dar cabal cumplimiento a su requerimiento.” (sic)</w:t>
      </w:r>
    </w:p>
    <w:p w14:paraId="5EE28951" w14:textId="77777777" w:rsidR="00B066F5" w:rsidRPr="007C282D" w:rsidRDefault="00B066F5">
      <w:pPr>
        <w:spacing w:after="0"/>
        <w:ind w:left="851" w:right="900"/>
        <w:jc w:val="both"/>
        <w:rPr>
          <w:rFonts w:ascii="Palatino Linotype" w:eastAsia="Palatino Linotype" w:hAnsi="Palatino Linotype" w:cs="Palatino Linotype"/>
          <w:i/>
          <w:iCs/>
        </w:rPr>
      </w:pPr>
    </w:p>
    <w:p w14:paraId="33BAC3B1"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Como refiere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1EF219EC" w14:textId="77777777" w:rsidR="00B066F5" w:rsidRPr="007C282D" w:rsidRDefault="00B066F5">
      <w:pPr>
        <w:spacing w:after="0" w:line="360" w:lineRule="auto"/>
        <w:jc w:val="both"/>
        <w:rPr>
          <w:rFonts w:ascii="Palatino Linotype" w:eastAsia="Palatino Linotype" w:hAnsi="Palatino Linotype" w:cs="Palatino Linotype"/>
        </w:rPr>
      </w:pPr>
    </w:p>
    <w:p w14:paraId="48D92430"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 xml:space="preserve">Respuesta. </w:t>
      </w:r>
      <w:r w:rsidRPr="007C282D">
        <w:rPr>
          <w:rFonts w:ascii="Palatino Linotype" w:eastAsia="Palatino Linotype" w:hAnsi="Palatino Linotype" w:cs="Palatino Linotype"/>
        </w:rPr>
        <w:t xml:space="preserve">En fecha </w:t>
      </w:r>
      <w:r w:rsidRPr="007C282D">
        <w:rPr>
          <w:rFonts w:ascii="Palatino Linotype" w:eastAsia="Palatino Linotype" w:hAnsi="Palatino Linotype" w:cs="Palatino Linotype"/>
          <w:b/>
          <w:bCs/>
        </w:rPr>
        <w:t>diez de agosto de dos mil veinticinco</w:t>
      </w:r>
      <w:r w:rsidRPr="007C282D">
        <w:rPr>
          <w:rFonts w:ascii="Palatino Linotype" w:eastAsia="Palatino Linotype" w:hAnsi="Palatino Linotype" w:cs="Palatino Linotype"/>
        </w:rPr>
        <w:t xml:space="preserve">, el </w:t>
      </w:r>
      <w:r w:rsidRPr="007C282D">
        <w:rPr>
          <w:rFonts w:ascii="Palatino Linotype" w:eastAsia="Palatino Linotype" w:hAnsi="Palatino Linotype" w:cs="Palatino Linotype"/>
          <w:b/>
          <w:bCs/>
        </w:rPr>
        <w:t xml:space="preserve">Sujeto Obligado </w:t>
      </w:r>
      <w:r w:rsidRPr="007C282D">
        <w:rPr>
          <w:rFonts w:ascii="Palatino Linotype" w:eastAsia="Palatino Linotype" w:hAnsi="Palatino Linotype" w:cs="Palatino Linotype"/>
        </w:rPr>
        <w:t xml:space="preserve">proporcionó respuesta a la solicitud de información, al tenor de lo siguiente: </w:t>
      </w:r>
    </w:p>
    <w:p w14:paraId="4D4E1AC8"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8664039" w14:textId="77777777" w:rsidR="00B066F5" w:rsidRPr="007C282D" w:rsidRDefault="0073657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BAB52F" w14:textId="77777777" w:rsidR="00B066F5" w:rsidRPr="007C282D" w:rsidRDefault="0073657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En apego a lo establecido su solicitud fue analizada y turnada a el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36C583D2" w14:textId="77777777" w:rsidR="00B066F5" w:rsidRPr="007C282D" w:rsidRDefault="0073657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ATENTAMENTE</w:t>
      </w:r>
    </w:p>
    <w:p w14:paraId="525EEE86" w14:textId="77777777" w:rsidR="00B066F5" w:rsidRPr="007C282D" w:rsidRDefault="0073657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BRENDA SELENE HERNANDEZ LOPEZ.”</w:t>
      </w:r>
    </w:p>
    <w:p w14:paraId="1EF15F5A"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CE3BCEA" w14:textId="77777777" w:rsidR="00B066F5" w:rsidRPr="007C282D" w:rsidRDefault="0073657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Adjuntando a su respuesta el archivo electrónico denominado </w:t>
      </w:r>
      <w:r w:rsidRPr="007C282D">
        <w:rPr>
          <w:rFonts w:ascii="Palatino Linotype" w:eastAsia="Palatino Linotype" w:hAnsi="Palatino Linotype" w:cs="Palatino Linotype"/>
          <w:b/>
          <w:bCs/>
          <w:i/>
          <w:iCs/>
        </w:rPr>
        <w:t>“Oficio 0933 Solicitud 0485.pdf”</w:t>
      </w:r>
      <w:r w:rsidRPr="007C282D">
        <w:rPr>
          <w:rFonts w:ascii="Palatino Linotype" w:eastAsia="Palatino Linotype" w:hAnsi="Palatino Linotype" w:cs="Palatino Linotype"/>
        </w:rPr>
        <w:t>, el cual contiene el oficio número ZIN/TM/0933/2025 de fecha ocho de julio de dos mil veinticinco, signado por el Tesorero Municipal, en el que informó que la información solicitada no le puede ser entregada toda vez que esta no es pública, de acuerdo a lo señalado en el artículo 12 segundo párrafo y 24 ultimo párrafo de la Ley de Transparencia y Acceso a la Información Pública del Estado de México y Municipios; donde constriñe que este sujeto obligado solo proporcionara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7D31FD8"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797C35"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 xml:space="preserve">Recurso de Revisión. </w:t>
      </w:r>
      <w:r w:rsidRPr="007C282D">
        <w:rPr>
          <w:rFonts w:ascii="Palatino Linotype" w:eastAsia="Palatino Linotype" w:hAnsi="Palatino Linotype" w:cs="Palatino Linotype"/>
        </w:rPr>
        <w:t xml:space="preserve">En fecha </w:t>
      </w:r>
      <w:r w:rsidRPr="007C282D">
        <w:rPr>
          <w:rFonts w:ascii="Palatino Linotype" w:eastAsia="Palatino Linotype" w:hAnsi="Palatino Linotype" w:cs="Palatino Linotype"/>
          <w:b/>
          <w:bCs/>
        </w:rPr>
        <w:t>veintidós de agosto de dos mil veinticinco</w:t>
      </w:r>
      <w:r w:rsidRPr="007C282D">
        <w:rPr>
          <w:rFonts w:ascii="Palatino Linotype" w:eastAsia="Palatino Linotype" w:hAnsi="Palatino Linotype" w:cs="Palatino Linotype"/>
        </w:rPr>
        <w:t xml:space="preserve"> la persona Solicitante interpuso Recurso de Revisión a través del </w:t>
      </w:r>
      <w:r w:rsidRPr="007C282D">
        <w:rPr>
          <w:rFonts w:ascii="Palatino Linotype" w:eastAsia="Palatino Linotype" w:hAnsi="Palatino Linotype" w:cs="Palatino Linotype"/>
          <w:b/>
          <w:bCs/>
        </w:rPr>
        <w:t>SAIMEX</w:t>
      </w:r>
      <w:r w:rsidRPr="007C282D">
        <w:rPr>
          <w:rFonts w:ascii="Palatino Linotype" w:eastAsia="Palatino Linotype" w:hAnsi="Palatino Linotype" w:cs="Palatino Linotype"/>
        </w:rPr>
        <w:t>, en el que expresó lo siguiente:</w:t>
      </w:r>
    </w:p>
    <w:p w14:paraId="049ED5D3" w14:textId="77777777" w:rsidR="00B066F5" w:rsidRPr="007C282D" w:rsidRDefault="00B066F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p>
    <w:p w14:paraId="5C7DA796" w14:textId="77777777" w:rsidR="00B066F5" w:rsidRPr="007C282D" w:rsidRDefault="0073657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r w:rsidRPr="007C282D">
        <w:rPr>
          <w:rFonts w:ascii="Palatino Linotype" w:eastAsia="Palatino Linotype" w:hAnsi="Palatino Linotype" w:cs="Palatino Linotype"/>
          <w:b/>
          <w:bCs/>
        </w:rPr>
        <w:t>Acto impugnado</w:t>
      </w:r>
      <w:r w:rsidRPr="007C282D">
        <w:rPr>
          <w:rFonts w:ascii="Palatino Linotype" w:eastAsia="Palatino Linotype" w:hAnsi="Palatino Linotype" w:cs="Palatino Linotype"/>
          <w:b/>
          <w:bCs/>
          <w:i/>
          <w:iCs/>
        </w:rPr>
        <w:t xml:space="preserve">. </w:t>
      </w:r>
      <w:r w:rsidRPr="007C282D">
        <w:rPr>
          <w:rFonts w:ascii="Palatino Linotype" w:eastAsia="Palatino Linotype" w:hAnsi="Palatino Linotype" w:cs="Palatino Linotype"/>
          <w:i/>
          <w:iCs/>
        </w:rPr>
        <w:t>“NO ENTREGA INFORMACION”.</w:t>
      </w:r>
    </w:p>
    <w:p w14:paraId="5B931E93" w14:textId="77777777" w:rsidR="00B066F5" w:rsidRPr="007C282D" w:rsidRDefault="00B066F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p>
    <w:p w14:paraId="3608DB9F" w14:textId="77777777" w:rsidR="00B066F5" w:rsidRPr="007C282D" w:rsidRDefault="0073657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rPr>
        <w:t xml:space="preserve">Razones o motivos de la inconformidad: </w:t>
      </w:r>
      <w:r w:rsidRPr="007C282D">
        <w:rPr>
          <w:rFonts w:ascii="Palatino Linotype" w:eastAsia="Palatino Linotype" w:hAnsi="Palatino Linotype" w:cs="Palatino Linotype"/>
          <w:i/>
          <w:iCs/>
        </w:rPr>
        <w:t>“NO ENTREGA INFORMACION”</w:t>
      </w:r>
    </w:p>
    <w:p w14:paraId="0CDE4406" w14:textId="77777777" w:rsidR="00B066F5" w:rsidRPr="007C282D" w:rsidRDefault="00B066F5">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45E444D0"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Turno.</w:t>
      </w:r>
      <w:r w:rsidRPr="007C282D">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7C282D">
        <w:rPr>
          <w:rFonts w:ascii="Palatino Linotype" w:eastAsia="Palatino Linotype" w:hAnsi="Palatino Linotype" w:cs="Palatino Linotype"/>
          <w:b/>
          <w:bCs/>
        </w:rPr>
        <w:t>09949/INFOEM/IP/RR/2025</w:t>
      </w:r>
      <w:r w:rsidRPr="007C282D">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6130C6F6"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74DBEAF"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Admisión del recurso de revisión</w:t>
      </w:r>
      <w:r w:rsidRPr="007C282D">
        <w:rPr>
          <w:rFonts w:ascii="Palatino Linotype" w:eastAsia="Palatino Linotype" w:hAnsi="Palatino Linotype" w:cs="Palatino Linotype"/>
        </w:rPr>
        <w:t xml:space="preserve">: En fecha </w:t>
      </w:r>
      <w:r w:rsidRPr="007C282D">
        <w:rPr>
          <w:rFonts w:ascii="Palatino Linotype" w:eastAsia="Palatino Linotype" w:hAnsi="Palatino Linotype" w:cs="Palatino Linotype"/>
          <w:b/>
          <w:bCs/>
        </w:rPr>
        <w:t>veintisiete de agosto de dos mil veinticinco</w:t>
      </w:r>
      <w:r w:rsidRPr="007C282D">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C9907F4" w14:textId="77777777" w:rsidR="00B066F5" w:rsidRPr="007C282D" w:rsidRDefault="00B066F5">
      <w:pPr>
        <w:pBdr>
          <w:top w:val="nil"/>
          <w:left w:val="nil"/>
          <w:bottom w:val="nil"/>
          <w:right w:val="nil"/>
          <w:between w:val="nil"/>
        </w:pBdr>
        <w:spacing w:after="0"/>
        <w:ind w:left="720"/>
        <w:rPr>
          <w:rFonts w:ascii="Palatino Linotype" w:eastAsia="Palatino Linotype" w:hAnsi="Palatino Linotype" w:cs="Palatino Linotype"/>
        </w:rPr>
      </w:pPr>
    </w:p>
    <w:p w14:paraId="45D30750"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 xml:space="preserve">Manifestaciones. </w:t>
      </w:r>
      <w:r w:rsidRPr="007C282D">
        <w:rPr>
          <w:rFonts w:ascii="Palatino Linotype" w:eastAsia="Palatino Linotype" w:hAnsi="Palatino Linotype" w:cs="Palatino Linotype"/>
        </w:rPr>
        <w:t xml:space="preserve">De las constancias que obran en el expediente electrónico del </w:t>
      </w:r>
      <w:r w:rsidRPr="007C282D">
        <w:rPr>
          <w:rFonts w:ascii="Palatino Linotype" w:eastAsia="Palatino Linotype" w:hAnsi="Palatino Linotype" w:cs="Palatino Linotype"/>
          <w:b/>
          <w:bCs/>
        </w:rPr>
        <w:t>SAIMEX</w:t>
      </w:r>
      <w:r w:rsidRPr="007C282D">
        <w:rPr>
          <w:rFonts w:ascii="Palatino Linotype" w:eastAsia="Palatino Linotype" w:hAnsi="Palatino Linotype" w:cs="Palatino Linotype"/>
        </w:rPr>
        <w:t xml:space="preserve"> se desprende que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en fecha </w:t>
      </w:r>
      <w:r w:rsidRPr="007C282D">
        <w:rPr>
          <w:rFonts w:ascii="Palatino Linotype" w:eastAsia="Palatino Linotype" w:hAnsi="Palatino Linotype" w:cs="Palatino Linotype"/>
          <w:b/>
          <w:bCs/>
        </w:rPr>
        <w:t>diez de septiembre de dos mil veinticinco,</w:t>
      </w:r>
      <w:r w:rsidRPr="007C282D">
        <w:rPr>
          <w:rFonts w:ascii="Palatino Linotype" w:eastAsia="Palatino Linotype" w:hAnsi="Palatino Linotype" w:cs="Palatino Linotype"/>
        </w:rPr>
        <w:t xml:space="preserve"> rindió su informe justificado, a través de los archivos electrónicos denominados “</w:t>
      </w:r>
      <w:r w:rsidRPr="007C282D">
        <w:rPr>
          <w:rFonts w:ascii="Palatino Linotype" w:eastAsia="Palatino Linotype" w:hAnsi="Palatino Linotype" w:cs="Palatino Linotype"/>
          <w:b/>
          <w:bCs/>
          <w:i/>
          <w:iCs/>
        </w:rPr>
        <w:t xml:space="preserve">Oficio 1117 Solicitud 00485 Informe Detallado Of Sol 01475 Soporte.pdf, IJ 9949 2025.pdf </w:t>
      </w:r>
      <w:r w:rsidRPr="007C282D">
        <w:rPr>
          <w:rFonts w:ascii="Palatino Linotype" w:eastAsia="Palatino Linotype" w:hAnsi="Palatino Linotype" w:cs="Palatino Linotype"/>
        </w:rPr>
        <w:t xml:space="preserve">y </w:t>
      </w:r>
      <w:r w:rsidRPr="007C282D">
        <w:rPr>
          <w:rFonts w:ascii="Palatino Linotype" w:eastAsia="Palatino Linotype" w:hAnsi="Palatino Linotype" w:cs="Palatino Linotype"/>
          <w:b/>
          <w:bCs/>
          <w:i/>
          <w:iCs/>
        </w:rPr>
        <w:t>485 TESORERIA.pdf</w:t>
      </w:r>
      <w:r w:rsidRPr="007C282D">
        <w:rPr>
          <w:rFonts w:ascii="Palatino Linotype" w:eastAsia="Palatino Linotype" w:hAnsi="Palatino Linotype" w:cs="Palatino Linotype"/>
        </w:rPr>
        <w:t xml:space="preserve">”, los cuales contienen: </w:t>
      </w:r>
    </w:p>
    <w:p w14:paraId="4BCC62A7"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AF16B4B" w14:textId="77777777" w:rsidR="00B066F5" w:rsidRPr="007C282D" w:rsidRDefault="00736573">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i/>
          <w:iCs/>
        </w:rPr>
        <w:t xml:space="preserve">Oficio 1117 Solicitud 00485 Informe Detallado Of Sol 01475 Soporte.pdf: </w:t>
      </w:r>
      <w:r w:rsidRPr="007C282D">
        <w:rPr>
          <w:rFonts w:ascii="Palatino Linotype" w:eastAsia="Palatino Linotype" w:hAnsi="Palatino Linotype" w:cs="Palatino Linotype"/>
        </w:rPr>
        <w:t>Documento que contiene 71 comprobantes de las transferencias bancarias realizadas en el año dos mil veinticinco.</w:t>
      </w:r>
    </w:p>
    <w:p w14:paraId="1AAE1927" w14:textId="77777777" w:rsidR="00B066F5" w:rsidRPr="007C282D" w:rsidRDefault="00736573">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i/>
          <w:iCs/>
        </w:rPr>
        <w:t xml:space="preserve">IJ 9949 2025.pdf: </w:t>
      </w:r>
      <w:r w:rsidRPr="007C282D">
        <w:rPr>
          <w:rFonts w:ascii="Palatino Linotype" w:eastAsia="Palatino Linotype" w:hAnsi="Palatino Linotype" w:cs="Palatino Linotype"/>
        </w:rPr>
        <w:t xml:space="preserve">Oficio suscrito por el Titular de la Unidad de Transparencia, en el que informó que el Tesorero Municipal manifestó que si bien en la respuesta primigenia no se otorgaron las transferencias bancarias realizadas en el año 2025, por no ser información pública de acuerdo a lo señalado en el artículo 56 del Título V de la Ley General de Contabilidad Gubernamental; sin embargo, con el objetivo de garantizar el derecho humano a la información en posesión de los sujetos obligados adjuntó copia simple y en formato PDF, las transferencias bancarias realizadas en el año 2025. </w:t>
      </w:r>
    </w:p>
    <w:p w14:paraId="2407BF37" w14:textId="77777777" w:rsidR="00B066F5" w:rsidRPr="007C282D" w:rsidRDefault="00736573">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7C282D">
        <w:rPr>
          <w:rFonts w:ascii="Palatino Linotype" w:eastAsia="Palatino Linotype" w:hAnsi="Palatino Linotype" w:cs="Palatino Linotype"/>
        </w:rPr>
        <w:t>Asimismo informó que la versión pública fue aprobada mediante acuerdo CT/S14/EXT/AC02/2025, de la Décima Cuarta Sesión Extraordinaria del Comité de Transparencia, sin embargo fue omiso en adjuntar la misma.</w:t>
      </w:r>
    </w:p>
    <w:p w14:paraId="583F76D9" w14:textId="77777777" w:rsidR="00B066F5" w:rsidRPr="007C282D" w:rsidRDefault="00736573">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i/>
          <w:iCs/>
        </w:rPr>
        <w:t xml:space="preserve">485 TESORERIA.pdf: </w:t>
      </w:r>
      <w:r w:rsidRPr="007C282D">
        <w:rPr>
          <w:rFonts w:ascii="Palatino Linotype" w:eastAsia="Palatino Linotype" w:hAnsi="Palatino Linotype" w:cs="Palatino Linotype"/>
        </w:rPr>
        <w:t xml:space="preserve">Oficio número ZIN/TM/1117/2025 de fecha veintisiete de agosto de dos mil veinticinco, suscrito por el Tesorero Municipal, en el que informó que si bien en la respuesta primigenia no se otorgaron las transferencias bancarias realizadas en el año 2025, por no ser información pública de acuerdo a lo señalado en el artículo 56 del Título V de la Ley General de Contabilidad Gubernamental; sin embargo, con el objetivo de garantizar el derecho humano a la información en posesión de los sujetos obligados hace entrega de copia simple y en formato PDF, las transferencias bancarias realizadas en el año 2025. </w:t>
      </w:r>
    </w:p>
    <w:p w14:paraId="15BF42D1" w14:textId="77777777" w:rsidR="00B066F5" w:rsidRPr="007C282D" w:rsidRDefault="00B066F5">
      <w:pPr>
        <w:spacing w:after="0" w:line="360" w:lineRule="auto"/>
        <w:jc w:val="both"/>
        <w:rPr>
          <w:rFonts w:ascii="Palatino Linotype" w:eastAsia="Palatino Linotype" w:hAnsi="Palatino Linotype" w:cs="Palatino Linotype"/>
        </w:rPr>
      </w:pPr>
    </w:p>
    <w:p w14:paraId="6573198D"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Documentos que fueron hechos del conocimiento de la parte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en fecha </w:t>
      </w:r>
      <w:r w:rsidRPr="007C282D">
        <w:rPr>
          <w:rFonts w:ascii="Palatino Linotype" w:eastAsia="Palatino Linotype" w:hAnsi="Palatino Linotype" w:cs="Palatino Linotype"/>
          <w:b/>
          <w:bCs/>
        </w:rPr>
        <w:t>diecinueve de noviembre de dos mil veinticinco</w:t>
      </w:r>
      <w:r w:rsidRPr="007C282D">
        <w:rPr>
          <w:rFonts w:ascii="Palatino Linotype" w:eastAsia="Palatino Linotype" w:hAnsi="Palatino Linotype" w:cs="Palatino Linotype"/>
        </w:rPr>
        <w:t xml:space="preserve">, para que manifestara lo que a su derecho resultara conveniente; sin embargo, fue omisa en realizar alguna manifestación. </w:t>
      </w:r>
    </w:p>
    <w:p w14:paraId="0BA816F5" w14:textId="77777777" w:rsidR="00B066F5" w:rsidRPr="007C282D" w:rsidRDefault="00B066F5">
      <w:pPr>
        <w:spacing w:after="0" w:line="360" w:lineRule="auto"/>
        <w:jc w:val="both"/>
        <w:rPr>
          <w:rFonts w:ascii="Palatino Linotype" w:eastAsia="Palatino Linotype" w:hAnsi="Palatino Linotype" w:cs="Palatino Linotype"/>
        </w:rPr>
      </w:pPr>
    </w:p>
    <w:p w14:paraId="4A857B96"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Ampliación de plazo:</w:t>
      </w:r>
      <w:r w:rsidRPr="007C282D">
        <w:rPr>
          <w:rFonts w:ascii="Palatino Linotype" w:eastAsia="Palatino Linotype" w:hAnsi="Palatino Linotype" w:cs="Palatino Linotype"/>
        </w:rPr>
        <w:t xml:space="preserve"> El</w:t>
      </w:r>
      <w:r w:rsidRPr="007C282D">
        <w:rPr>
          <w:rFonts w:ascii="Palatino Linotype" w:eastAsia="Palatino Linotype" w:hAnsi="Palatino Linotype" w:cs="Palatino Linotype"/>
          <w:b/>
          <w:bCs/>
        </w:rPr>
        <w:t xml:space="preserve"> diecinueve de noviembre de dos mil veinticinco</w:t>
      </w:r>
      <w:r w:rsidRPr="007C282D">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DE30760"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99EDE92"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ECD41B6"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 </w:t>
      </w:r>
    </w:p>
    <w:p w14:paraId="135E9F36"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00EA805"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 </w:t>
      </w:r>
    </w:p>
    <w:p w14:paraId="3D5093A5"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3CF3E3" w14:textId="77777777" w:rsidR="00B066F5" w:rsidRPr="007C282D" w:rsidRDefault="00B066F5">
      <w:pPr>
        <w:spacing w:after="0" w:line="360" w:lineRule="auto"/>
        <w:ind w:right="49"/>
        <w:jc w:val="both"/>
        <w:rPr>
          <w:rFonts w:ascii="Palatino Linotype" w:eastAsia="Palatino Linotype" w:hAnsi="Palatino Linotype" w:cs="Palatino Linotype"/>
        </w:rPr>
      </w:pPr>
    </w:p>
    <w:p w14:paraId="5865283A"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BC50DF7"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1B58EDB"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D361E07" w14:textId="77777777" w:rsidR="00B066F5" w:rsidRPr="007C282D" w:rsidRDefault="00B066F5">
      <w:pPr>
        <w:spacing w:after="0" w:line="360" w:lineRule="auto"/>
        <w:ind w:right="49"/>
        <w:jc w:val="both"/>
        <w:rPr>
          <w:rFonts w:ascii="Palatino Linotype" w:eastAsia="Palatino Linotype" w:hAnsi="Palatino Linotype" w:cs="Palatino Linotype"/>
        </w:rPr>
      </w:pPr>
    </w:p>
    <w:p w14:paraId="202AF4C5" w14:textId="77777777" w:rsidR="00B066F5" w:rsidRPr="007C282D" w:rsidRDefault="00736573">
      <w:pPr>
        <w:tabs>
          <w:tab w:val="left" w:pos="709"/>
        </w:tabs>
        <w:spacing w:after="0" w:line="360" w:lineRule="auto"/>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b/>
          <w:bCs/>
        </w:rPr>
        <w:t>a)    Complejidad del asunto:</w:t>
      </w:r>
      <w:r w:rsidRPr="007C282D">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2AFCF7B8" w14:textId="77777777" w:rsidR="00B066F5" w:rsidRPr="007C282D" w:rsidRDefault="00736573">
      <w:pPr>
        <w:tabs>
          <w:tab w:val="left" w:pos="709"/>
        </w:tabs>
        <w:spacing w:after="0" w:line="360" w:lineRule="auto"/>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b/>
          <w:bCs/>
        </w:rPr>
        <w:t>b)   Actividad Procesal del interesado</w:t>
      </w:r>
      <w:r w:rsidRPr="007C282D">
        <w:rPr>
          <w:rFonts w:ascii="Palatino Linotype" w:eastAsia="Palatino Linotype" w:hAnsi="Palatino Linotype" w:cs="Palatino Linotype"/>
        </w:rPr>
        <w:t>: Acciones u omisiones del interesado.</w:t>
      </w:r>
    </w:p>
    <w:p w14:paraId="45B812A1" w14:textId="77777777" w:rsidR="00B066F5" w:rsidRPr="007C282D" w:rsidRDefault="00736573">
      <w:pPr>
        <w:tabs>
          <w:tab w:val="left" w:pos="851"/>
        </w:tabs>
        <w:spacing w:after="0" w:line="360" w:lineRule="auto"/>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b/>
          <w:bCs/>
        </w:rPr>
        <w:t>c)  Conducta de la Autoridad:</w:t>
      </w:r>
      <w:r w:rsidRPr="007C282D">
        <w:rPr>
          <w:rFonts w:ascii="Palatino Linotype" w:eastAsia="Palatino Linotype" w:hAnsi="Palatino Linotype" w:cs="Palatino Linotype"/>
        </w:rPr>
        <w:t xml:space="preserve"> Las Acciones u omisiones realizadas en el procedimiento. Así como si la autoridad actuó con la debida diligencia.</w:t>
      </w:r>
    </w:p>
    <w:p w14:paraId="41AF7A96" w14:textId="77777777" w:rsidR="00B066F5" w:rsidRPr="007C282D" w:rsidRDefault="00736573">
      <w:pPr>
        <w:tabs>
          <w:tab w:val="left" w:pos="851"/>
        </w:tabs>
        <w:spacing w:after="0" w:line="360" w:lineRule="auto"/>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b/>
          <w:bCs/>
        </w:rPr>
        <w:t>d) La afectación generada en la situación jurídica de la persona involucrada en el proceso:</w:t>
      </w:r>
      <w:r w:rsidRPr="007C282D">
        <w:rPr>
          <w:rFonts w:ascii="Palatino Linotype" w:eastAsia="Palatino Linotype" w:hAnsi="Palatino Linotype" w:cs="Palatino Linotype"/>
        </w:rPr>
        <w:t xml:space="preserve"> Violación a sus derechos humanos.</w:t>
      </w:r>
    </w:p>
    <w:p w14:paraId="03FEAD01" w14:textId="77777777" w:rsidR="00B066F5" w:rsidRPr="007C282D" w:rsidRDefault="00B066F5">
      <w:pPr>
        <w:tabs>
          <w:tab w:val="left" w:pos="851"/>
        </w:tabs>
        <w:spacing w:after="0" w:line="360" w:lineRule="auto"/>
        <w:ind w:left="567" w:right="560"/>
        <w:jc w:val="both"/>
        <w:rPr>
          <w:rFonts w:ascii="Palatino Linotype" w:eastAsia="Palatino Linotype" w:hAnsi="Palatino Linotype" w:cs="Palatino Linotype"/>
        </w:rPr>
      </w:pPr>
    </w:p>
    <w:p w14:paraId="5C3FB10A"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77B6E2"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 </w:t>
      </w:r>
    </w:p>
    <w:p w14:paraId="15AFC54F"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Argumento que encuentra sustento en la jurisprudencia P./J. 32/92 emitida por el Pleno de la Suprema Corte de Justicia de la Nación de rubro “</w:t>
      </w:r>
      <w:r w:rsidRPr="007C282D">
        <w:rPr>
          <w:rFonts w:ascii="Palatino Linotype" w:eastAsia="Palatino Linotype" w:hAnsi="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7C282D">
        <w:rPr>
          <w:rFonts w:ascii="Palatino Linotype" w:eastAsia="Palatino Linotype" w:hAnsi="Palatino Linotype" w:cs="Palatino Linotype"/>
        </w:rPr>
        <w:t>, visible en la Gaceta del Seminario Judicial de la Federación con el registro digital 205635.</w:t>
      </w:r>
    </w:p>
    <w:p w14:paraId="13312CF0"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 </w:t>
      </w:r>
    </w:p>
    <w:p w14:paraId="6095A05E"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36244A" w14:textId="77777777" w:rsidR="00B066F5" w:rsidRPr="007C282D" w:rsidRDefault="00B066F5">
      <w:pPr>
        <w:spacing w:after="0" w:line="360" w:lineRule="auto"/>
        <w:ind w:right="49"/>
        <w:jc w:val="both"/>
        <w:rPr>
          <w:rFonts w:ascii="Palatino Linotype" w:eastAsia="Palatino Linotype" w:hAnsi="Palatino Linotype" w:cs="Palatino Linotype"/>
        </w:rPr>
      </w:pPr>
    </w:p>
    <w:p w14:paraId="231B2B8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461FBE3"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 </w:t>
      </w:r>
    </w:p>
    <w:p w14:paraId="1E091A7E" w14:textId="77777777" w:rsidR="00B066F5" w:rsidRPr="007C282D" w:rsidRDefault="00736573">
      <w:pPr>
        <w:spacing w:after="0"/>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b/>
          <w:bCs/>
        </w:rPr>
        <w:t xml:space="preserve"> “PLAZO RAZONABLE PARA RESOLVER. DIMENSIÓN Y EFECTOS DE ESTE CONCEPTO CUANDO SE ADUCE EXCESIVA CARGA DE TRABAJO.”</w:t>
      </w:r>
      <w:r w:rsidRPr="007C282D">
        <w:rPr>
          <w:rFonts w:ascii="Palatino Linotype" w:eastAsia="Palatino Linotype" w:hAnsi="Palatino Linotype" w:cs="Palatino Linotype"/>
        </w:rPr>
        <w:t xml:space="preserve"> consultable en el Seminario Judicial de la Federación y su gaceta, con el registro digital 2002351.</w:t>
      </w:r>
    </w:p>
    <w:p w14:paraId="5E4A243F" w14:textId="77777777" w:rsidR="00B066F5" w:rsidRPr="007C282D" w:rsidRDefault="00736573">
      <w:pPr>
        <w:spacing w:after="0"/>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 </w:t>
      </w:r>
    </w:p>
    <w:p w14:paraId="5D5D61DF" w14:textId="77777777" w:rsidR="00B066F5" w:rsidRPr="007C282D" w:rsidRDefault="00736573">
      <w:pPr>
        <w:spacing w:after="0"/>
        <w:ind w:left="567" w:right="560"/>
        <w:jc w:val="both"/>
        <w:rPr>
          <w:rFonts w:ascii="Palatino Linotype" w:eastAsia="Palatino Linotype" w:hAnsi="Palatino Linotype" w:cs="Palatino Linotype"/>
        </w:rPr>
      </w:pPr>
      <w:r w:rsidRPr="007C282D">
        <w:rPr>
          <w:rFonts w:ascii="Palatino Linotype" w:eastAsia="Palatino Linotype" w:hAnsi="Palatino Linotype" w:cs="Palatino Linotype"/>
          <w:b/>
          <w:bCs/>
        </w:rPr>
        <w:t>“PLAZO RAZONABLE PARA RESOLVER. CONCEPTO Y ELEMENTOS QUE LO INTEGRAN A LA LUZ DEL DERECHO INTERNACIONAL DE LOS DERECHOS HUMANOS.”,</w:t>
      </w:r>
      <w:r w:rsidRPr="007C282D">
        <w:rPr>
          <w:rFonts w:ascii="Palatino Linotype" w:eastAsia="Palatino Linotype" w:hAnsi="Palatino Linotype" w:cs="Palatino Linotype"/>
        </w:rPr>
        <w:t xml:space="preserve"> visible en el Seminario Judicial de la Federación y su gaceta, con el registro digital 2002350.</w:t>
      </w:r>
    </w:p>
    <w:p w14:paraId="628091CF"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9669E51" w14:textId="77777777" w:rsidR="00B066F5" w:rsidRPr="007C282D" w:rsidRDefault="0073657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0D48DBF"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4ED033" w14:textId="77777777" w:rsidR="00B066F5" w:rsidRPr="007C282D" w:rsidRDefault="0073657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7C282D">
        <w:rPr>
          <w:rFonts w:ascii="Palatino Linotype" w:eastAsia="Palatino Linotype" w:hAnsi="Palatino Linotype" w:cs="Palatino Linotype"/>
          <w:b/>
          <w:bCs/>
        </w:rPr>
        <w:t>Cierre de instrucción</w:t>
      </w:r>
      <w:r w:rsidRPr="007C282D">
        <w:rPr>
          <w:rFonts w:ascii="Palatino Linotype" w:eastAsia="Palatino Linotype" w:hAnsi="Palatino Linotype" w:cs="Palatino Linotype"/>
        </w:rPr>
        <w:t xml:space="preserve">. En fecha </w:t>
      </w:r>
      <w:r w:rsidRPr="007C282D">
        <w:rPr>
          <w:rFonts w:ascii="Palatino Linotype" w:eastAsia="Palatino Linotype" w:hAnsi="Palatino Linotype" w:cs="Palatino Linotype"/>
          <w:b/>
          <w:bCs/>
        </w:rPr>
        <w:t>veinticinco de noviembre de dos mil veinticinco</w:t>
      </w:r>
      <w:r w:rsidRPr="007C282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95F916" w14:textId="77777777" w:rsidR="00B066F5" w:rsidRPr="007C282D" w:rsidRDefault="00B066F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381A28D"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F45C1BB" w14:textId="77777777" w:rsidR="00B066F5" w:rsidRPr="007C282D" w:rsidRDefault="00B066F5">
      <w:pPr>
        <w:spacing w:after="0" w:line="360" w:lineRule="auto"/>
        <w:ind w:right="49"/>
        <w:jc w:val="both"/>
        <w:rPr>
          <w:rFonts w:ascii="Palatino Linotype" w:eastAsia="Palatino Linotype" w:hAnsi="Palatino Linotype" w:cs="Palatino Linotype"/>
        </w:rPr>
      </w:pPr>
    </w:p>
    <w:p w14:paraId="7225F9D9" w14:textId="77777777" w:rsidR="00B066F5" w:rsidRPr="007C282D" w:rsidRDefault="00736573">
      <w:pPr>
        <w:spacing w:after="0" w:line="360" w:lineRule="auto"/>
        <w:ind w:right="49"/>
        <w:jc w:val="center"/>
        <w:rPr>
          <w:rFonts w:ascii="Palatino Linotype" w:eastAsia="Palatino Linotype" w:hAnsi="Palatino Linotype" w:cs="Palatino Linotype"/>
          <w:b/>
          <w:bCs/>
        </w:rPr>
      </w:pPr>
      <w:r w:rsidRPr="007C282D">
        <w:rPr>
          <w:rFonts w:ascii="Palatino Linotype" w:eastAsia="Palatino Linotype" w:hAnsi="Palatino Linotype" w:cs="Palatino Linotype"/>
          <w:b/>
          <w:bCs/>
        </w:rPr>
        <w:t>II.</w:t>
      </w:r>
      <w:r w:rsidRPr="007C282D">
        <w:rPr>
          <w:rFonts w:ascii="Palatino Linotype" w:eastAsia="Palatino Linotype" w:hAnsi="Palatino Linotype" w:cs="Palatino Linotype"/>
          <w:b/>
          <w:bCs/>
        </w:rPr>
        <w:tab/>
        <w:t>C O N S I D E R A N D O:</w:t>
      </w:r>
    </w:p>
    <w:p w14:paraId="35EEEEA5" w14:textId="77777777" w:rsidR="00B066F5" w:rsidRPr="007C282D" w:rsidRDefault="00B066F5">
      <w:pPr>
        <w:spacing w:after="0" w:line="360" w:lineRule="auto"/>
        <w:ind w:right="49"/>
        <w:jc w:val="both"/>
        <w:rPr>
          <w:rFonts w:ascii="Palatino Linotype" w:eastAsia="Palatino Linotype" w:hAnsi="Palatino Linotype" w:cs="Palatino Linotype"/>
        </w:rPr>
      </w:pPr>
    </w:p>
    <w:p w14:paraId="2A4610AD"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b/>
          <w:bCs/>
        </w:rPr>
        <w:t xml:space="preserve">Primero. Competencia. </w:t>
      </w:r>
      <w:r w:rsidRPr="007C282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CFA836E"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190F0D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Segundo. Oportunidad y Procedibilidad del Recurso de Revisión.</w:t>
      </w:r>
      <w:r w:rsidRPr="007C282D">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00747F2A"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03F28EE"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remitió la respuesta a la solicitud de información el </w:t>
      </w:r>
      <w:r w:rsidRPr="007C282D">
        <w:rPr>
          <w:rFonts w:ascii="Palatino Linotype" w:eastAsia="Palatino Linotype" w:hAnsi="Palatino Linotype" w:cs="Palatino Linotype"/>
          <w:b/>
          <w:bCs/>
        </w:rPr>
        <w:t>diez de agosto de dos mil veinticinco</w:t>
      </w:r>
      <w:r w:rsidRPr="007C282D">
        <w:rPr>
          <w:rFonts w:ascii="Palatino Linotype" w:eastAsia="Palatino Linotype" w:hAnsi="Palatino Linotype" w:cs="Palatino Linotype"/>
        </w:rPr>
        <w:t xml:space="preserve">, mientras que el recurso de revisión interpuesto por la parte </w:t>
      </w:r>
      <w:r w:rsidRPr="007C282D">
        <w:rPr>
          <w:rFonts w:ascii="Palatino Linotype" w:eastAsia="Palatino Linotype" w:hAnsi="Palatino Linotype" w:cs="Palatino Linotype"/>
          <w:b/>
          <w:bCs/>
        </w:rPr>
        <w:t xml:space="preserve">Recurrente </w:t>
      </w:r>
      <w:r w:rsidRPr="007C282D">
        <w:rPr>
          <w:rFonts w:ascii="Palatino Linotype" w:eastAsia="Palatino Linotype" w:hAnsi="Palatino Linotype" w:cs="Palatino Linotype"/>
        </w:rPr>
        <w:t xml:space="preserve">se tuvo por presentado el </w:t>
      </w:r>
      <w:r w:rsidRPr="007C282D">
        <w:rPr>
          <w:rFonts w:ascii="Palatino Linotype" w:eastAsia="Palatino Linotype" w:hAnsi="Palatino Linotype" w:cs="Palatino Linotype"/>
          <w:b/>
          <w:bCs/>
        </w:rPr>
        <w:t>veintidós de agosto de dos mil veinticinco</w:t>
      </w:r>
      <w:r w:rsidRPr="007C282D">
        <w:rPr>
          <w:rFonts w:ascii="Palatino Linotype" w:eastAsia="Palatino Linotype" w:hAnsi="Palatino Linotype" w:cs="Palatino Linotype"/>
        </w:rPr>
        <w:t>, esto es al décimo día hábil en que se tuvo conocimiento de la respuesta.</w:t>
      </w:r>
    </w:p>
    <w:p w14:paraId="6211EE8E" w14:textId="77777777" w:rsidR="00B066F5" w:rsidRPr="007C282D" w:rsidRDefault="00B066F5">
      <w:pPr>
        <w:spacing w:after="0" w:line="360" w:lineRule="auto"/>
        <w:ind w:right="49"/>
        <w:jc w:val="both"/>
        <w:rPr>
          <w:rFonts w:ascii="Palatino Linotype" w:eastAsia="Palatino Linotype" w:hAnsi="Palatino Linotype" w:cs="Palatino Linotype"/>
        </w:rPr>
      </w:pPr>
    </w:p>
    <w:p w14:paraId="64F9967D"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7C282D">
        <w:rPr>
          <w:rFonts w:ascii="Palatino Linotype" w:eastAsia="Palatino Linotype" w:hAnsi="Palatino Linotype" w:cs="Palatino Linotype"/>
          <w:b/>
          <w:bCs/>
        </w:rPr>
        <w:t>SAIMEX</w:t>
      </w:r>
      <w:r w:rsidRPr="007C282D">
        <w:rPr>
          <w:rFonts w:ascii="Palatino Linotype" w:eastAsia="Palatino Linotype" w:hAnsi="Palatino Linotype" w:cs="Palatino Linotype"/>
        </w:rPr>
        <w:t xml:space="preserve">.  </w:t>
      </w:r>
    </w:p>
    <w:p w14:paraId="560F13EC"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B7C2EC3"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A efecto de sustentar lo anterior, es de suma importancia mencionar que si bien la persona solicitante </w:t>
      </w:r>
      <w:r w:rsidRPr="007C282D">
        <w:rPr>
          <w:rFonts w:ascii="Palatino Linotype" w:eastAsia="Palatino Linotype" w:hAnsi="Palatino Linotype" w:cs="Palatino Linotype"/>
          <w:b/>
          <w:bCs/>
        </w:rPr>
        <w:t xml:space="preserve">no proporcionó nombre o seudónimo, </w:t>
      </w:r>
      <w:r w:rsidRPr="007C282D">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61AA325" w14:textId="77777777" w:rsidR="00B066F5" w:rsidRPr="007C282D" w:rsidRDefault="00B066F5">
      <w:pPr>
        <w:spacing w:after="0"/>
        <w:ind w:left="851" w:right="902"/>
        <w:jc w:val="both"/>
        <w:rPr>
          <w:rFonts w:ascii="Palatino Linotype" w:eastAsia="Palatino Linotype" w:hAnsi="Palatino Linotype" w:cs="Palatino Linotype"/>
          <w:i/>
          <w:iCs/>
        </w:rPr>
      </w:pPr>
    </w:p>
    <w:p w14:paraId="46F16DAD" w14:textId="77777777" w:rsidR="00B066F5" w:rsidRPr="007C282D" w:rsidRDefault="00736573">
      <w:pPr>
        <w:tabs>
          <w:tab w:val="left" w:pos="7655"/>
        </w:tabs>
        <w:spacing w:after="0"/>
        <w:ind w:left="851" w:right="616"/>
        <w:jc w:val="both"/>
        <w:rPr>
          <w:rFonts w:ascii="Palatino Linotype" w:eastAsia="Palatino Linotype" w:hAnsi="Palatino Linotype" w:cs="Palatino Linotype"/>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Las solicitudes anónimas</w:t>
      </w:r>
      <w:r w:rsidRPr="007C282D">
        <w:rPr>
          <w:rFonts w:ascii="Palatino Linotype" w:eastAsia="Palatino Linotype" w:hAnsi="Palatino Linotype" w:cs="Palatino Linotype"/>
          <w:i/>
          <w:iCs/>
        </w:rPr>
        <w:t xml:space="preserve">, con nombre incompleto o seudónimo </w:t>
      </w:r>
      <w:r w:rsidRPr="007C282D">
        <w:rPr>
          <w:rFonts w:ascii="Palatino Linotype" w:eastAsia="Palatino Linotype" w:hAnsi="Palatino Linotype" w:cs="Palatino Linotype"/>
          <w:b/>
          <w:bCs/>
          <w:i/>
          <w:iCs/>
        </w:rPr>
        <w:t>serán procedentes para su trámite por parte del sujeto obligado ante quien se presente</w:t>
      </w:r>
      <w:r w:rsidRPr="007C282D">
        <w:rPr>
          <w:rFonts w:ascii="Palatino Linotype" w:eastAsia="Palatino Linotype" w:hAnsi="Palatino Linotype" w:cs="Palatino Linotype"/>
          <w:i/>
          <w:iCs/>
        </w:rPr>
        <w:t>. No podrá requerirse información adicional con motivo del nombre proporcionado por el solicitante."</w:t>
      </w:r>
    </w:p>
    <w:p w14:paraId="37095845" w14:textId="77777777" w:rsidR="00B066F5" w:rsidRPr="007C282D" w:rsidRDefault="00B066F5">
      <w:pPr>
        <w:spacing w:after="0" w:line="360" w:lineRule="auto"/>
        <w:ind w:right="49"/>
        <w:jc w:val="both"/>
        <w:rPr>
          <w:rFonts w:ascii="Palatino Linotype" w:eastAsia="Palatino Linotype" w:hAnsi="Palatino Linotype" w:cs="Palatino Linotype"/>
        </w:rPr>
      </w:pPr>
    </w:p>
    <w:p w14:paraId="7C8C216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I de la Ley de la materia, que a la letra dice:</w:t>
      </w:r>
    </w:p>
    <w:p w14:paraId="26EAAAE3"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3AA961E"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179.</w:t>
      </w:r>
      <w:r w:rsidRPr="007C282D">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124DB399" w14:textId="77777777" w:rsidR="00B066F5" w:rsidRPr="007C282D" w:rsidRDefault="00B066F5">
      <w:pPr>
        <w:spacing w:after="0"/>
        <w:ind w:left="851" w:right="843"/>
        <w:jc w:val="both"/>
        <w:rPr>
          <w:rFonts w:ascii="Palatino Linotype" w:eastAsia="Palatino Linotype" w:hAnsi="Palatino Linotype" w:cs="Palatino Linotype"/>
          <w:i/>
          <w:iCs/>
        </w:rPr>
      </w:pPr>
    </w:p>
    <w:p w14:paraId="49EFBEFC"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I. La negativa a la información solicitada;</w:t>
      </w:r>
      <w:r w:rsidRPr="007C282D">
        <w:rPr>
          <w:rFonts w:ascii="Palatino Linotype" w:eastAsia="Palatino Linotype" w:hAnsi="Palatino Linotype" w:cs="Palatino Linotype"/>
          <w:i/>
          <w:iCs/>
        </w:rPr>
        <w:br/>
        <w:t>;…”</w:t>
      </w:r>
    </w:p>
    <w:p w14:paraId="0D7EB18D" w14:textId="77777777" w:rsidR="00B066F5" w:rsidRPr="007C282D" w:rsidRDefault="00B066F5">
      <w:pPr>
        <w:spacing w:after="0" w:line="360" w:lineRule="auto"/>
        <w:ind w:left="567" w:right="560"/>
        <w:jc w:val="both"/>
        <w:rPr>
          <w:rFonts w:ascii="Palatino Linotype" w:eastAsia="Palatino Linotype" w:hAnsi="Palatino Linotype" w:cs="Palatino Linotype"/>
          <w:i/>
          <w:iCs/>
        </w:rPr>
      </w:pPr>
    </w:p>
    <w:p w14:paraId="506E2632"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Tercero. Materia de la revisión</w:t>
      </w:r>
      <w:r w:rsidRPr="007C282D">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14:paraId="2CBC19F1" w14:textId="77777777" w:rsidR="00B066F5" w:rsidRPr="007C282D" w:rsidRDefault="00B066F5">
      <w:pPr>
        <w:spacing w:after="0" w:line="360" w:lineRule="auto"/>
        <w:ind w:right="49"/>
        <w:jc w:val="both"/>
        <w:rPr>
          <w:rFonts w:ascii="Palatino Linotype" w:eastAsia="Palatino Linotype" w:hAnsi="Palatino Linotype" w:cs="Palatino Linotype"/>
        </w:rPr>
      </w:pPr>
    </w:p>
    <w:p w14:paraId="473BFADB"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Cuarto.</w:t>
      </w:r>
      <w:r w:rsidRPr="007C282D">
        <w:rPr>
          <w:rFonts w:ascii="Palatino Linotype" w:eastAsia="Palatino Linotype" w:hAnsi="Palatino Linotype" w:cs="Palatino Linotype"/>
        </w:rPr>
        <w:t xml:space="preserve"> </w:t>
      </w:r>
      <w:r w:rsidRPr="007C282D">
        <w:rPr>
          <w:rFonts w:ascii="Palatino Linotype" w:eastAsia="Palatino Linotype" w:hAnsi="Palatino Linotype" w:cs="Palatino Linotype"/>
          <w:b/>
          <w:bCs/>
        </w:rPr>
        <w:t>Estudio de fondo del asunto.</w:t>
      </w:r>
      <w:r w:rsidRPr="007C282D">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3138843" w14:textId="77777777" w:rsidR="00B066F5" w:rsidRPr="007C282D" w:rsidRDefault="00B066F5">
      <w:pPr>
        <w:spacing w:after="0"/>
        <w:ind w:left="567" w:right="560"/>
        <w:jc w:val="both"/>
        <w:rPr>
          <w:rFonts w:ascii="Palatino Linotype" w:eastAsia="Palatino Linotype" w:hAnsi="Palatino Linotype" w:cs="Palatino Linotype"/>
          <w:i/>
          <w:iCs/>
        </w:rPr>
      </w:pPr>
    </w:p>
    <w:p w14:paraId="7F5F50F9"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Artículo 1o.</w:t>
      </w:r>
      <w:r w:rsidRPr="007C282D">
        <w:rPr>
          <w:rFonts w:ascii="Palatino Linotype" w:eastAsia="Palatino Linotype" w:hAnsi="Palatino Linotype" w:cs="Palatino Linotype"/>
          <w:i/>
          <w:iC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6B24A1C"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00D1CC26"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917538"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p>
    <w:p w14:paraId="664AADA6"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b/>
          <w:bCs/>
          <w:i/>
          <w:iCs/>
        </w:rPr>
        <w:t>“Artículo 6o.</w:t>
      </w:r>
    </w:p>
    <w:p w14:paraId="59F4A98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p>
    <w:p w14:paraId="1A17CD7A"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A. Para el ejercicio del derecho de acceso a la información, la Federación y las entidades federativas, en el ámbito de sus respectivas competencias, se regirán por los siguientes principios y bases:</w:t>
      </w:r>
    </w:p>
    <w:p w14:paraId="1E326E5B"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C052E8"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 II. La información que se refiere a la vida privada y los datos personales será protegida en los términos y con las excepciones que fijen las leyes. Para tal efecto, los sujetos obligados contarán con las facultades suficientes para su atención.</w:t>
      </w:r>
    </w:p>
    <w:p w14:paraId="60394A7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Por lo que hace a la información relacionada con los datos personales en posesión de</w:t>
      </w:r>
    </w:p>
    <w:p w14:paraId="10E9F226"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particulares, la ley a la que se refiere el artículo 90 de esta Constitución determinará la competencia para conocer de los procedimientos relativos a su protección, verificación e imposición de sanciones.</w:t>
      </w:r>
    </w:p>
    <w:p w14:paraId="79FB638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 III. Toda persona, sin necesidad de acreditar interés alguno o justificar su utilización, tendrá acceso gratuito a la información pública, a sus datos personales o a la rectificación de éstos.</w:t>
      </w:r>
    </w:p>
    <w:p w14:paraId="3C256BE9"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 IV. Se establecerán mecanismos de acceso a la información y procedimientos de revisión expeditos que se sustanciarán ante las instancias competentes en los términos que fija esta Constitución y las leyes.</w:t>
      </w:r>
    </w:p>
    <w:p w14:paraId="02A9A2E3"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0DA9EC1"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 VI. Las leyes determinarán la manera en que los sujetos obligados deberán hacer pública la información relativa a los recursos públicos que entreguen a personas físicas o morales.</w:t>
      </w:r>
    </w:p>
    <w:p w14:paraId="1E09261D"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 VII. La inobservancia a las disposiciones en materia de acceso a la información pública será sancionada en los términos que dispongan las leyes. [...]</w:t>
      </w:r>
    </w:p>
    <w:p w14:paraId="6007E267" w14:textId="77777777" w:rsidR="00B066F5" w:rsidRPr="007C282D" w:rsidRDefault="00B066F5">
      <w:pPr>
        <w:spacing w:after="0"/>
        <w:ind w:left="851" w:right="843"/>
        <w:jc w:val="both"/>
        <w:rPr>
          <w:rFonts w:ascii="Palatino Linotype" w:eastAsia="Palatino Linotype" w:hAnsi="Palatino Linotype" w:cs="Palatino Linotype"/>
          <w:i/>
          <w:iCs/>
        </w:rPr>
      </w:pPr>
    </w:p>
    <w:p w14:paraId="29856847"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DFE43FB" w14:textId="77777777" w:rsidR="00B066F5" w:rsidRPr="007C282D" w:rsidRDefault="00B066F5">
      <w:pPr>
        <w:spacing w:after="0"/>
        <w:ind w:left="851" w:right="843"/>
        <w:jc w:val="both"/>
        <w:rPr>
          <w:rFonts w:ascii="Palatino Linotype" w:eastAsia="Palatino Linotype" w:hAnsi="Palatino Linotype" w:cs="Palatino Linotype"/>
          <w:i/>
          <w:iCs/>
        </w:rPr>
      </w:pPr>
    </w:p>
    <w:p w14:paraId="1E82EC5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4.</w:t>
      </w:r>
      <w:r w:rsidRPr="007C282D">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B2B97A"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682434E"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14:paraId="6E5CD3D6" w14:textId="77777777" w:rsidR="00B066F5" w:rsidRPr="007C282D" w:rsidRDefault="00B066F5">
      <w:pPr>
        <w:spacing w:after="0" w:line="360" w:lineRule="auto"/>
        <w:ind w:left="567" w:right="560"/>
        <w:jc w:val="both"/>
        <w:rPr>
          <w:rFonts w:ascii="Palatino Linotype" w:eastAsia="Palatino Linotype" w:hAnsi="Palatino Linotype" w:cs="Palatino Linotype"/>
          <w:i/>
          <w:iCs/>
        </w:rPr>
      </w:pPr>
    </w:p>
    <w:p w14:paraId="7A37A40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39CF1AB" w14:textId="77777777" w:rsidR="00B066F5" w:rsidRPr="007C282D" w:rsidRDefault="00B066F5">
      <w:pPr>
        <w:spacing w:after="0" w:line="360" w:lineRule="auto"/>
        <w:ind w:right="49"/>
        <w:jc w:val="both"/>
        <w:rPr>
          <w:rFonts w:ascii="Palatino Linotype" w:eastAsia="Palatino Linotype" w:hAnsi="Palatino Linotype" w:cs="Palatino Linotype"/>
        </w:rPr>
      </w:pPr>
    </w:p>
    <w:p w14:paraId="76F00575"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12.</w:t>
      </w:r>
      <w:r w:rsidRPr="007C282D">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710E5F9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F775C5C"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11F0A2B"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0ED5D7CF"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CC4DEEA"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b/>
          <w:bCs/>
          <w:i/>
          <w:iCs/>
        </w:rPr>
        <w:t>Criterio 03/17</w:t>
      </w:r>
    </w:p>
    <w:p w14:paraId="67A8921E"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 xml:space="preserve">“NO EXISTE OBLIGACIÓN DE ELABORAR DOCUMENTOS AD HOC PARA ATENDER LAS SOLICITUDES DE ACCESO A LA INFORMACIÓN. </w:t>
      </w:r>
      <w:r w:rsidRPr="007C282D">
        <w:rPr>
          <w:rFonts w:ascii="Palatino Linotype" w:eastAsia="Palatino Linotype" w:hAnsi="Palatino Linotype" w:cs="Palatino Linotype"/>
          <w:i/>
          <w:iC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8FA844E" w14:textId="77777777" w:rsidR="00B066F5" w:rsidRPr="007C282D" w:rsidRDefault="00B066F5">
      <w:pPr>
        <w:spacing w:after="0" w:line="360" w:lineRule="auto"/>
        <w:ind w:left="567" w:right="560"/>
        <w:jc w:val="both"/>
        <w:rPr>
          <w:rFonts w:ascii="Palatino Linotype" w:eastAsia="Palatino Linotype" w:hAnsi="Palatino Linotype" w:cs="Palatino Linotype"/>
          <w:b/>
          <w:bCs/>
          <w:i/>
          <w:iCs/>
        </w:rPr>
      </w:pPr>
    </w:p>
    <w:p w14:paraId="4DB28465"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8DEB49" w14:textId="77777777" w:rsidR="00B066F5" w:rsidRPr="007C282D" w:rsidRDefault="00B066F5">
      <w:pPr>
        <w:spacing w:after="0" w:line="360" w:lineRule="auto"/>
        <w:ind w:right="49"/>
        <w:jc w:val="both"/>
        <w:rPr>
          <w:rFonts w:ascii="Palatino Linotype" w:eastAsia="Palatino Linotype" w:hAnsi="Palatino Linotype" w:cs="Palatino Linotype"/>
        </w:rPr>
      </w:pPr>
    </w:p>
    <w:p w14:paraId="63882C21"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A11DB4E"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A174011"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01820E" w14:textId="77777777" w:rsidR="00B066F5" w:rsidRPr="007C282D" w:rsidRDefault="00B066F5">
      <w:pPr>
        <w:spacing w:after="0"/>
        <w:ind w:left="851" w:right="843"/>
        <w:jc w:val="both"/>
        <w:rPr>
          <w:rFonts w:ascii="Palatino Linotype" w:eastAsia="Palatino Linotype" w:hAnsi="Palatino Linotype" w:cs="Palatino Linotype"/>
          <w:i/>
          <w:iCs/>
        </w:rPr>
      </w:pPr>
    </w:p>
    <w:p w14:paraId="19E6F734"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3.</w:t>
      </w:r>
      <w:r w:rsidRPr="007C282D">
        <w:rPr>
          <w:rFonts w:ascii="Palatino Linotype" w:eastAsia="Palatino Linotype" w:hAnsi="Palatino Linotype" w:cs="Palatino Linotype"/>
          <w:i/>
          <w:iCs/>
        </w:rPr>
        <w:t xml:space="preserve"> Para los efectos de la presente Ley se entenderá por:</w:t>
      </w:r>
    </w:p>
    <w:p w14:paraId="4CA64E7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p>
    <w:p w14:paraId="231E385A"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XI. Documento:</w:t>
      </w:r>
      <w:r w:rsidRPr="007C282D">
        <w:rPr>
          <w:rFonts w:ascii="Palatino Linotype" w:eastAsia="Palatino Linotype" w:hAnsi="Palatino Linotype" w:cs="Palatino Linotype"/>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964A2D8"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4C8239F"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D0B3480"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1E9CCA6"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CRITERIO 0002-11</w:t>
      </w:r>
    </w:p>
    <w:p w14:paraId="015CADFC"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7C282D">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8B606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En consecuencia el acceso a la información se refiere a que se cumplan cualquiera de los siguientes tres supuestos:</w:t>
      </w:r>
    </w:p>
    <w:p w14:paraId="0CFF6288"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1)</w:t>
      </w:r>
      <w:r w:rsidRPr="007C282D">
        <w:rPr>
          <w:rFonts w:ascii="Palatino Linotype" w:eastAsia="Palatino Linotype" w:hAnsi="Palatino Linotype" w:cs="Palatino Linotype"/>
          <w:i/>
          <w:iCs/>
        </w:rPr>
        <w:tab/>
        <w:t>Que se trate de información registrada en cualquier soporte documental, que en ejercicio de las atribuciones conferidas, sea generada por los Sujetos Obligados;</w:t>
      </w:r>
    </w:p>
    <w:p w14:paraId="3C73A478"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2)</w:t>
      </w:r>
      <w:r w:rsidRPr="007C282D">
        <w:rPr>
          <w:rFonts w:ascii="Palatino Linotype" w:eastAsia="Palatino Linotype" w:hAnsi="Palatino Linotype" w:cs="Palatino Linotype"/>
          <w:i/>
          <w:iCs/>
        </w:rPr>
        <w:tab/>
        <w:t>Que se trate de información registrada en cualquier soporte documental, que en ejercicio de las atribuciones conferidas, sea administrada por los Sujetos Obligados, y</w:t>
      </w:r>
    </w:p>
    <w:p w14:paraId="3B7957C0"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3) Que se trate de información registrada en cualquier soporte documental, que en ejercicio de las atribuciones conferidas, se encuentre en posesión de los Sujetos Obligados.” </w:t>
      </w:r>
    </w:p>
    <w:p w14:paraId="39283785" w14:textId="77777777" w:rsidR="00B066F5" w:rsidRPr="007C282D" w:rsidRDefault="00B066F5">
      <w:pPr>
        <w:spacing w:after="0" w:line="360" w:lineRule="auto"/>
        <w:ind w:right="49"/>
        <w:jc w:val="both"/>
        <w:rPr>
          <w:rFonts w:ascii="Palatino Linotype" w:eastAsia="Palatino Linotype" w:hAnsi="Palatino Linotype" w:cs="Palatino Linotype"/>
        </w:rPr>
      </w:pPr>
    </w:p>
    <w:p w14:paraId="56E6A9D4"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6A0E12EA"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8F8803D"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De las actuaciones que integran el expediente electrónico, se procede al análisis de los agravios hechos valer por el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relativos a la negativa de entrega de la información, lo que actualiza la causal de procedencia prevista en la fracción I del artículo 179 de la Ley de Transparencia y Acceso a la Información Pública del Estado de México y Municipios.</w:t>
      </w:r>
    </w:p>
    <w:p w14:paraId="305C66D9" w14:textId="77777777" w:rsidR="00B066F5" w:rsidRPr="007C282D" w:rsidRDefault="00B066F5">
      <w:pPr>
        <w:spacing w:after="0" w:line="360" w:lineRule="auto"/>
        <w:ind w:right="49"/>
        <w:jc w:val="both"/>
        <w:rPr>
          <w:rFonts w:ascii="Palatino Linotype" w:eastAsia="Palatino Linotype" w:hAnsi="Palatino Linotype" w:cs="Palatino Linotype"/>
        </w:rPr>
      </w:pPr>
    </w:p>
    <w:p w14:paraId="63E25FA2"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Para ello, en principio resulta recordar que la pretensión de la ahora </w:t>
      </w:r>
      <w:r w:rsidRPr="007C282D">
        <w:rPr>
          <w:rFonts w:ascii="Palatino Linotype" w:eastAsia="Palatino Linotype" w:hAnsi="Palatino Linotype" w:cs="Palatino Linotype"/>
          <w:b/>
          <w:bCs/>
        </w:rPr>
        <w:t xml:space="preserve">Recurrente </w:t>
      </w:r>
      <w:r w:rsidRPr="007C282D">
        <w:rPr>
          <w:rFonts w:ascii="Palatino Linotype" w:eastAsia="Palatino Linotype" w:hAnsi="Palatino Linotype" w:cs="Palatino Linotype"/>
        </w:rPr>
        <w:t xml:space="preserve">es obtener la siguiente información: </w:t>
      </w:r>
    </w:p>
    <w:p w14:paraId="7E7BAAA8" w14:textId="77777777" w:rsidR="00B066F5" w:rsidRPr="007C282D" w:rsidRDefault="00B066F5">
      <w:pPr>
        <w:spacing w:after="0" w:line="360" w:lineRule="auto"/>
        <w:ind w:right="49"/>
        <w:jc w:val="both"/>
        <w:rPr>
          <w:rFonts w:ascii="Palatino Linotype" w:eastAsia="Palatino Linotype" w:hAnsi="Palatino Linotype" w:cs="Palatino Linotype"/>
        </w:rPr>
      </w:pPr>
    </w:p>
    <w:p w14:paraId="694EE2F1" w14:textId="77777777" w:rsidR="00B066F5" w:rsidRPr="007C282D" w:rsidRDefault="00736573">
      <w:pPr>
        <w:numPr>
          <w:ilvl w:val="0"/>
          <w:numId w:val="2"/>
        </w:numPr>
        <w:pBdr>
          <w:top w:val="nil"/>
          <w:left w:val="nil"/>
          <w:bottom w:val="nil"/>
          <w:right w:val="nil"/>
          <w:between w:val="nil"/>
        </w:pBdr>
        <w:tabs>
          <w:tab w:val="left" w:pos="993"/>
        </w:tabs>
        <w:spacing w:after="0" w:line="360" w:lineRule="auto"/>
        <w:ind w:left="1134" w:right="49"/>
        <w:jc w:val="both"/>
        <w:rPr>
          <w:rFonts w:ascii="Palatino Linotype" w:eastAsia="Palatino Linotype" w:hAnsi="Palatino Linotype" w:cs="Palatino Linotype"/>
          <w:b/>
          <w:bCs/>
        </w:rPr>
      </w:pPr>
      <w:r w:rsidRPr="007C282D">
        <w:rPr>
          <w:rFonts w:ascii="Palatino Linotype" w:eastAsia="Palatino Linotype" w:hAnsi="Palatino Linotype" w:cs="Palatino Linotype"/>
          <w:b/>
          <w:bCs/>
        </w:rPr>
        <w:t xml:space="preserve">Las transferencias bancarias realizadas en el año 2025. </w:t>
      </w:r>
    </w:p>
    <w:p w14:paraId="126537C2" w14:textId="77777777" w:rsidR="00B066F5" w:rsidRPr="007C282D" w:rsidRDefault="00B066F5">
      <w:pPr>
        <w:pBdr>
          <w:top w:val="nil"/>
          <w:left w:val="nil"/>
          <w:bottom w:val="nil"/>
          <w:right w:val="nil"/>
          <w:between w:val="nil"/>
        </w:pBdr>
        <w:tabs>
          <w:tab w:val="left" w:pos="993"/>
        </w:tabs>
        <w:spacing w:after="0" w:line="360" w:lineRule="auto"/>
        <w:ind w:left="567" w:right="49"/>
        <w:jc w:val="both"/>
        <w:rPr>
          <w:rFonts w:ascii="Palatino Linotype" w:eastAsia="Palatino Linotype" w:hAnsi="Palatino Linotype" w:cs="Palatino Linotype"/>
        </w:rPr>
      </w:pPr>
    </w:p>
    <w:p w14:paraId="5018B8C9" w14:textId="77777777" w:rsidR="00B066F5" w:rsidRPr="007C282D" w:rsidRDefault="0073657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En respuesta,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a través de la Tesorería Municipal informó que la información solicitada no le puede ser entregada toda vez que esta no es pública, de acuerdo a lo señalado en el artículo 12 segundo párrafo y 24 último párrafo de la Ley de Transparencia y Acceso a la Información Pública del Estado de México y Municipios. </w:t>
      </w:r>
    </w:p>
    <w:p w14:paraId="5F75D068" w14:textId="77777777" w:rsidR="00B066F5" w:rsidRPr="007C282D" w:rsidRDefault="00B066F5">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5C91A5F" w14:textId="77777777" w:rsidR="00B066F5" w:rsidRPr="007C282D" w:rsidRDefault="0073657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Derivado de ello, la parte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se inconformó medularmente por la negativa a la información solicitada. </w:t>
      </w:r>
    </w:p>
    <w:p w14:paraId="4F057A43" w14:textId="77777777" w:rsidR="00B066F5" w:rsidRPr="007C282D" w:rsidRDefault="00B066F5">
      <w:pPr>
        <w:spacing w:after="0" w:line="360" w:lineRule="auto"/>
        <w:ind w:right="49"/>
        <w:jc w:val="both"/>
        <w:rPr>
          <w:rFonts w:ascii="Palatino Linotype" w:eastAsia="Palatino Linotype" w:hAnsi="Palatino Linotype" w:cs="Palatino Linotype"/>
        </w:rPr>
      </w:pPr>
    </w:p>
    <w:p w14:paraId="20304EAF"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Es así que, la parte</w:t>
      </w:r>
      <w:r w:rsidRPr="007C282D">
        <w:rPr>
          <w:rFonts w:ascii="Palatino Linotype" w:eastAsia="Palatino Linotype" w:hAnsi="Palatino Linotype" w:cs="Palatino Linotype"/>
          <w:b/>
          <w:bCs/>
        </w:rPr>
        <w:t xml:space="preserve"> Recurrente</w:t>
      </w:r>
      <w:r w:rsidRPr="007C282D">
        <w:rPr>
          <w:rFonts w:ascii="Palatino Linotype" w:eastAsia="Palatino Linotype" w:hAnsi="Palatino Linotype" w:cs="Palatino Linotype"/>
        </w:rPr>
        <w:t xml:space="preserve"> no realizó manifestaciones, alegatos o pruebas que a su derecho convinieran y por su parte el </w:t>
      </w:r>
      <w:r w:rsidRPr="007C282D">
        <w:rPr>
          <w:rFonts w:ascii="Palatino Linotype" w:eastAsia="Palatino Linotype" w:hAnsi="Palatino Linotype" w:cs="Palatino Linotype"/>
          <w:b/>
          <w:bCs/>
        </w:rPr>
        <w:t xml:space="preserve">Sujeto Obligado </w:t>
      </w:r>
      <w:r w:rsidRPr="007C282D">
        <w:rPr>
          <w:rFonts w:ascii="Palatino Linotype" w:eastAsia="Palatino Linotype" w:hAnsi="Palatino Linotype" w:cs="Palatino Linotype"/>
        </w:rPr>
        <w:t>rindió su informe justificado a través del Tesorero Municipal, manifestando que si bien en la respuesta primigenia no se otorgaron las transferencias bancarias realizadas en el año dos mil veinticinco, por no ser información pública, con el objetivo de garantizar el derecho humano a la información en posesión de los sujetos obligados, hace entrega de 71 comprobantes de las transferencias bancarias realizadas en el año dos mil veinticinco, en versión pública, aprobada mediante acuerdo CT/S14/EXT/AC02/2025, de la Décima Cuarta Sesión Extraordinaria del Comité de Transparencia, sin que se anexara el acta referida.</w:t>
      </w:r>
    </w:p>
    <w:p w14:paraId="78474A17" w14:textId="77777777" w:rsidR="00B066F5" w:rsidRPr="007C282D" w:rsidRDefault="00B066F5">
      <w:pPr>
        <w:spacing w:after="0" w:line="360" w:lineRule="auto"/>
        <w:ind w:right="49"/>
        <w:jc w:val="both"/>
        <w:rPr>
          <w:rFonts w:ascii="Palatino Linotype" w:eastAsia="Palatino Linotype" w:hAnsi="Palatino Linotype" w:cs="Palatino Linotype"/>
        </w:rPr>
      </w:pPr>
    </w:p>
    <w:p w14:paraId="61F24F3C"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Expuesto lo anterior, y respecto a la naturaleza de la información solicitada, resulta importante iniciar este análisis mencionando que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w:t>
      </w:r>
    </w:p>
    <w:p w14:paraId="27D6ACCE" w14:textId="77777777" w:rsidR="00B066F5" w:rsidRPr="007C282D" w:rsidRDefault="00B066F5">
      <w:pPr>
        <w:spacing w:after="0" w:line="360" w:lineRule="auto"/>
        <w:ind w:right="49"/>
        <w:jc w:val="both"/>
        <w:rPr>
          <w:rFonts w:ascii="Palatino Linotype" w:eastAsia="Palatino Linotype" w:hAnsi="Palatino Linotype" w:cs="Palatino Linotype"/>
        </w:rPr>
      </w:pPr>
    </w:p>
    <w:p w14:paraId="71B025E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Además, el artículo 1º, de la Ley de Fiscalización Superior del Estado de México,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0DAB5C00"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1F52553"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34A592E8" w14:textId="77777777" w:rsidR="00B066F5" w:rsidRPr="007C282D" w:rsidRDefault="00B066F5">
      <w:pPr>
        <w:spacing w:after="0" w:line="360" w:lineRule="auto"/>
        <w:ind w:right="49"/>
        <w:jc w:val="both"/>
        <w:rPr>
          <w:rFonts w:ascii="Palatino Linotype" w:eastAsia="Palatino Linotype" w:hAnsi="Palatino Linotype" w:cs="Palatino Linotype"/>
        </w:rPr>
      </w:pPr>
    </w:p>
    <w:p w14:paraId="4F019923"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0B5CAFCE" w14:textId="77777777" w:rsidR="00B066F5" w:rsidRPr="007C282D" w:rsidRDefault="00736573">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Póliza de Egresos:</w:t>
      </w:r>
      <w:r w:rsidRPr="007C282D">
        <w:rPr>
          <w:rFonts w:ascii="Palatino Linotype" w:eastAsia="Palatino Linotype" w:hAnsi="Palatino Linotype" w:cs="Palatino Linotype"/>
        </w:rPr>
        <w:t xml:space="preserve"> Corresponde a aquella donde se anotan las operaciones que implique egresos, es decir, la salida de dinero, en efectivo </w:t>
      </w:r>
      <w:r w:rsidRPr="007C282D">
        <w:rPr>
          <w:rFonts w:ascii="Palatino Linotype" w:eastAsia="Palatino Linotype" w:hAnsi="Palatino Linotype" w:cs="Palatino Linotype"/>
          <w:b/>
          <w:bCs/>
          <w:u w:val="single"/>
        </w:rPr>
        <w:t>o transferencia</w:t>
      </w:r>
      <w:r w:rsidRPr="007C282D">
        <w:rPr>
          <w:rFonts w:ascii="Palatino Linotype" w:eastAsia="Palatino Linotype" w:hAnsi="Palatino Linotype" w:cs="Palatino Linotype"/>
        </w:rPr>
        <w:t>, para el municipio.</w:t>
      </w:r>
    </w:p>
    <w:p w14:paraId="7DD12E60" w14:textId="77777777" w:rsidR="00B066F5" w:rsidRPr="007C282D" w:rsidRDefault="00736573">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Póliza Cheque:</w:t>
      </w:r>
      <w:r w:rsidRPr="007C282D">
        <w:rPr>
          <w:rFonts w:ascii="Palatino Linotype" w:eastAsia="Palatino Linotype" w:hAnsi="Palatino Linotype" w:cs="Palatino Linotype"/>
        </w:rPr>
        <w:t xml:space="preserve"> Es la que se elabora cuando la operación implique una salida de dinero del municipio, a través de un cheque.</w:t>
      </w:r>
    </w:p>
    <w:p w14:paraId="5CED1016"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D8EF58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Ahora bien, de los Lineamientos para la integración y presentación de los Informes Trimestrales Estatales y Municipales del Ejercicio Fiscal 2025, entre los formatos que maneja en el Módulo 1, se advierte que se encuentran Póliza de Egresos y Póliza Cheques, con los documentos comprobatorios (comprobantes de pago), mismos que serán entregados al Órgano Superior de Fiscalización del Estado de México.</w:t>
      </w:r>
    </w:p>
    <w:p w14:paraId="406E3E91" w14:textId="77777777" w:rsidR="00B066F5" w:rsidRPr="007C282D" w:rsidRDefault="00B066F5">
      <w:pPr>
        <w:spacing w:after="0" w:line="360" w:lineRule="auto"/>
        <w:ind w:right="49"/>
        <w:jc w:val="both"/>
        <w:rPr>
          <w:rFonts w:ascii="Palatino Linotype" w:eastAsia="Palatino Linotype" w:hAnsi="Palatino Linotype" w:cs="Palatino Linotype"/>
        </w:rPr>
      </w:pPr>
    </w:p>
    <w:p w14:paraId="60632A8C"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Conforme a lo anterior, se logra vislumbrar que la pretensión de la persona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es obtener, los comprobantes de pago por transferencias bancarias realizados en el ejercicio fiscal dos mil veinticinco. </w:t>
      </w:r>
    </w:p>
    <w:p w14:paraId="57642FF3"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990571E"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Ahora bien, de las constancias que obran en el expediente electrónico, se advierte que la unidad administrativa que se pronunció es la Tesorería Municipal, la cual de conformidad con el Manual General de Organización de la Tesorería Municipal del Municipio De Zinacantepec, tiene como objetivo recaudar, administrar, operar, registrar y glosar los recursos que componen la hacienda pública municipal con la finalidad de mantener finanzas sanas y contar con la suficiencia económica para cumplir con las obligaciones, funciones y atribuciones de la administración pública municipal. Aunado a ello contara con las siguientes funciones: </w:t>
      </w:r>
    </w:p>
    <w:p w14:paraId="716AEB91" w14:textId="77777777" w:rsidR="00B066F5" w:rsidRPr="007C282D" w:rsidRDefault="00B066F5">
      <w:pPr>
        <w:spacing w:after="0" w:line="240" w:lineRule="auto"/>
        <w:ind w:left="851" w:right="843"/>
        <w:jc w:val="both"/>
        <w:rPr>
          <w:rFonts w:ascii="Palatino Linotype" w:eastAsia="Palatino Linotype" w:hAnsi="Palatino Linotype" w:cs="Palatino Linotype"/>
          <w:i/>
          <w:iCs/>
        </w:rPr>
      </w:pPr>
    </w:p>
    <w:p w14:paraId="2DDC196E"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1.1.- TESORERÍA MUNICIPAL</w:t>
      </w:r>
    </w:p>
    <w:p w14:paraId="6FC85F4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Funciones:</w:t>
      </w:r>
    </w:p>
    <w:p w14:paraId="74FB600F"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b/>
          <w:bCs/>
          <w:i/>
          <w:iCs/>
        </w:rPr>
        <w:t>I. Administrar la hacienda pública municipal, de conformidad con las disposiciones legales aplicables;</w:t>
      </w:r>
    </w:p>
    <w:p w14:paraId="6AA10DAB"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II. Determinar, liquidar, recaudar, fiscalizar y administrar las contribuciones en los términos de los ordenamientos jurídicos aplicables;</w:t>
      </w:r>
    </w:p>
    <w:p w14:paraId="3F963A74"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III. Imponer las sanciones administrativas que procedan por infracciones a las disposiciones fiscales.</w:t>
      </w:r>
    </w:p>
    <w:p w14:paraId="014D4C1C"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b/>
          <w:bCs/>
          <w:i/>
          <w:iCs/>
        </w:rPr>
        <w:t>IV. Llevar los registros contables, financieros y administrativos de los ingresos, egresos, e inventarios.</w:t>
      </w:r>
    </w:p>
    <w:p w14:paraId="0D6D8B18"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V. Proporcionar oportunamente al Ayuntamiento todos los datos o informes que sean necesarios para la formulación del Presupuesto de Egresos Municipales, vigilando que se ajusten a las disposiciones de Ley y otros ordenamientos aplicables. Pudiendo delegar esa función al área de presupuesto en términos de las disposiciones aplicables.</w:t>
      </w:r>
    </w:p>
    <w:p w14:paraId="3E7DBEA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VI. Presentar anualmente al Ayuntamiento un informe de la situación contable financiera de la Tesorería Municipal.</w:t>
      </w:r>
    </w:p>
    <w:p w14:paraId="79090FE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VII. Proporcionar para la formulación del proyecto de Presupuesto de Egresos Municipales la información financiera relativa a la solución o en su caso, el pago de los litigios laborales;…”</w:t>
      </w:r>
    </w:p>
    <w:p w14:paraId="6BB52993"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(Énfasis Añadido)</w:t>
      </w:r>
    </w:p>
    <w:p w14:paraId="2008E005" w14:textId="77777777" w:rsidR="00B066F5" w:rsidRPr="007C282D" w:rsidRDefault="00B066F5">
      <w:pPr>
        <w:spacing w:after="0" w:line="360" w:lineRule="auto"/>
        <w:ind w:right="50"/>
        <w:jc w:val="both"/>
        <w:rPr>
          <w:rFonts w:ascii="Palatino Linotype" w:eastAsia="Palatino Linotype" w:hAnsi="Palatino Linotype" w:cs="Palatino Linotype"/>
        </w:rPr>
      </w:pPr>
    </w:p>
    <w:p w14:paraId="0F86DDC9" w14:textId="77777777" w:rsidR="00B066F5" w:rsidRPr="007C282D" w:rsidRDefault="00736573">
      <w:pPr>
        <w:spacing w:after="0" w:line="360" w:lineRule="auto"/>
        <w:ind w:right="50"/>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De manera que al advertirse que se pronunció el servidor público habilitado competente, encargado de administrar la hacienda pública municipal, así como, llevar los registros contables, financieros y administrativos de los egresos e inventarios, se tiene que con esta circunstancia,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da cumplimiento a lo previsto en el artículo 162 de la Ley de Transparencia y Acceso a la Información Pública del Estado de México y Municipios. </w:t>
      </w:r>
    </w:p>
    <w:p w14:paraId="43F723D0" w14:textId="77777777" w:rsidR="00B066F5" w:rsidRPr="007C282D" w:rsidRDefault="00B066F5">
      <w:pPr>
        <w:spacing w:after="0" w:line="360" w:lineRule="auto"/>
        <w:ind w:right="50"/>
        <w:jc w:val="both"/>
        <w:rPr>
          <w:rFonts w:ascii="Palatino Linotype" w:eastAsia="Palatino Linotype" w:hAnsi="Palatino Linotype" w:cs="Palatino Linotype"/>
        </w:rPr>
      </w:pPr>
    </w:p>
    <w:p w14:paraId="7B25BA73" w14:textId="77777777" w:rsidR="00B066F5" w:rsidRPr="007C282D" w:rsidRDefault="00736573">
      <w:pPr>
        <w:spacing w:after="0" w:line="360" w:lineRule="auto"/>
        <w:ind w:right="50"/>
        <w:jc w:val="both"/>
        <w:rPr>
          <w:rFonts w:ascii="Palatino Linotype" w:eastAsia="Palatino Linotype" w:hAnsi="Palatino Linotype" w:cs="Palatino Linotype"/>
          <w:b/>
          <w:bCs/>
          <w:u w:val="single"/>
        </w:rPr>
      </w:pPr>
      <w:r w:rsidRPr="007C282D">
        <w:rPr>
          <w:rFonts w:ascii="Palatino Linotype" w:eastAsia="Palatino Linotype" w:hAnsi="Palatino Linotype" w:cs="Palatino Linotype"/>
        </w:rPr>
        <w:t xml:space="preserve">Ahora bien, del análisis realizado a las documentales que integran el expediente electrónico, se advierte que si bien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hizo entrega a través de su informe justificado de diversos comprobantes de transferencias bancarias; dicha información colma de manera parcial el requerimiento de información, ello en virtud de que en algunos comprobantes se testó el número de cuenta bancaria del proveedor, dato que es susceptible de ser clasificado como confidencial en términos del artículo 143, fracciones I y II de la Ley de la Materia de la Entidad; </w:t>
      </w:r>
      <w:r w:rsidRPr="007C282D">
        <w:rPr>
          <w:rFonts w:ascii="Palatino Linotype" w:eastAsia="Palatino Linotype" w:hAnsi="Palatino Linotype" w:cs="Palatino Linotype"/>
          <w:b/>
          <w:bCs/>
          <w:u w:val="single"/>
        </w:rPr>
        <w:t>únicamente en aquellos casos en los cuales dicha información corresponda a personas físicas o jurídico colectivas particulares, no así respecto de instituciones o entidades públicas, como lo es, en el caso concreto, la Comisión Federal de Electricidad, o CFE.</w:t>
      </w:r>
    </w:p>
    <w:p w14:paraId="716ED073" w14:textId="77777777" w:rsidR="00B066F5" w:rsidRPr="007C282D" w:rsidRDefault="00B066F5">
      <w:pPr>
        <w:spacing w:after="0" w:line="360" w:lineRule="auto"/>
        <w:ind w:right="50"/>
        <w:jc w:val="both"/>
        <w:rPr>
          <w:rFonts w:ascii="Palatino Linotype" w:eastAsia="Palatino Linotype" w:hAnsi="Palatino Linotype" w:cs="Palatino Linotype"/>
          <w:b/>
          <w:bCs/>
          <w:u w:val="single"/>
        </w:rPr>
      </w:pPr>
    </w:p>
    <w:p w14:paraId="433FC396" w14:textId="77777777" w:rsidR="00B066F5" w:rsidRPr="007C282D" w:rsidRDefault="00736573">
      <w:pPr>
        <w:spacing w:before="240" w:after="24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Lo argumentado encuentra sustento en los Criterios orientadores con  Clave de control SO/010/2017 y SO/011/2017, emitidos por el entonces Instituto Nacional de Transparencia, Acceso a la Información y Protección de Datos Personales, INAI, que llevan por rubro y texto los siguientes:</w:t>
      </w:r>
    </w:p>
    <w:p w14:paraId="003F3C6B" w14:textId="77777777" w:rsidR="00B066F5" w:rsidRPr="007C282D" w:rsidRDefault="00736573">
      <w:pPr>
        <w:spacing w:before="240" w:after="240" w:line="240" w:lineRule="auto"/>
        <w:ind w:left="860" w:right="900"/>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Cuentas bancarias y/o CLABE interbancaria de personas físicas y morales privadas.</w:t>
      </w:r>
      <w:r w:rsidRPr="007C282D">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4FD9011" w14:textId="77777777" w:rsidR="00B066F5" w:rsidRPr="007C282D" w:rsidRDefault="00736573">
      <w:pPr>
        <w:spacing w:before="240" w:after="240" w:line="240" w:lineRule="auto"/>
        <w:ind w:left="860" w:right="900"/>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“Cuentas bancarias y/o CLABE interbancaria de sujetos obligados que reciben y/o transfieren recursos públicos, son información pública.</w:t>
      </w:r>
      <w:r w:rsidRPr="007C282D">
        <w:rPr>
          <w:rFonts w:ascii="Palatino Linotype" w:eastAsia="Palatino Linotype" w:hAnsi="Palatino Linotype" w:cs="Palatino Linotype"/>
          <w:i/>
          <w:iC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E8CA2AF" w14:textId="77777777" w:rsidR="00B066F5" w:rsidRPr="007C282D" w:rsidRDefault="00736573">
      <w:pPr>
        <w:spacing w:after="0" w:line="360" w:lineRule="auto"/>
        <w:ind w:right="50"/>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Además, por lo que se refiere a los comprobantes de transferencias bancarias entregados en respuesta en los que fue testado correctamente el número de cuenta del proveedor, es decir, que dicho dato no corresponde con una institución o entidad pública, de señalar que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omitió hacer entrega del acuerdo de clasificación del Comité de Transparencia mediante el cual de manera fundada y motivada se expusieron las razones por las cuales dicho dato es susceptible de clasificación.</w:t>
      </w:r>
    </w:p>
    <w:p w14:paraId="5449F8DC" w14:textId="77777777" w:rsidR="00B066F5" w:rsidRPr="007C282D" w:rsidRDefault="00B066F5">
      <w:pPr>
        <w:spacing w:after="0" w:line="360" w:lineRule="auto"/>
        <w:ind w:right="50"/>
        <w:jc w:val="both"/>
        <w:rPr>
          <w:rFonts w:ascii="Palatino Linotype" w:eastAsia="Palatino Linotype" w:hAnsi="Palatino Linotype" w:cs="Palatino Linotype"/>
        </w:rPr>
      </w:pPr>
    </w:p>
    <w:p w14:paraId="34DCE172" w14:textId="77777777" w:rsidR="00B066F5" w:rsidRPr="007C282D" w:rsidRDefault="00736573">
      <w:pPr>
        <w:spacing w:after="0" w:line="360" w:lineRule="auto"/>
        <w:ind w:right="50"/>
        <w:jc w:val="both"/>
        <w:rPr>
          <w:rFonts w:ascii="Palatino Linotype" w:eastAsia="Palatino Linotype" w:hAnsi="Palatino Linotype" w:cs="Palatino Linotype"/>
        </w:rPr>
      </w:pPr>
      <w:r w:rsidRPr="007C282D">
        <w:rPr>
          <w:rFonts w:ascii="Palatino Linotype" w:eastAsia="Palatino Linotype" w:hAnsi="Palatino Linotype" w:cs="Palatino Linotype"/>
        </w:rPr>
        <w:t>Lo anterior, en virtud de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de Transparencia y Acceso a la Información Pública del Estado de México y Municipios.</w:t>
      </w:r>
    </w:p>
    <w:p w14:paraId="18C19DDF" w14:textId="77777777" w:rsidR="00B066F5" w:rsidRPr="007C282D" w:rsidRDefault="00736573">
      <w:pPr>
        <w:spacing w:before="240" w:after="24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de dichos elementos normativos se desprende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6D2241D" w14:textId="77777777" w:rsidR="00B066F5" w:rsidRPr="007C282D" w:rsidRDefault="00736573">
      <w:pPr>
        <w:spacing w:before="240" w:after="24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6C05DE7" w14:textId="77777777" w:rsidR="00B066F5" w:rsidRPr="007C282D" w:rsidRDefault="00736573">
      <w:pPr>
        <w:spacing w:before="120" w:after="120" w:line="240" w:lineRule="auto"/>
        <w:ind w:left="860" w:right="900"/>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149.</w:t>
      </w:r>
      <w:r w:rsidRPr="007C282D">
        <w:rPr>
          <w:rFonts w:ascii="Palatino Linotype" w:eastAsia="Palatino Linotype" w:hAnsi="Palatino Linotype" w:cs="Palatino Linotype"/>
          <w:i/>
          <w:iCs/>
        </w:rPr>
        <w:t xml:space="preserve"> El </w:t>
      </w:r>
      <w:r w:rsidRPr="007C282D">
        <w:rPr>
          <w:rFonts w:ascii="Palatino Linotype" w:eastAsia="Palatino Linotype" w:hAnsi="Palatino Linotype" w:cs="Palatino Linotype"/>
          <w:b/>
          <w:bCs/>
          <w:i/>
          <w:iCs/>
        </w:rPr>
        <w:t>acuerdo que clasifique la información como confidencial</w:t>
      </w:r>
      <w:r w:rsidRPr="007C282D">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14:paraId="2CDF39F1" w14:textId="77777777" w:rsidR="00B066F5" w:rsidRPr="007C282D" w:rsidRDefault="00736573">
      <w:pPr>
        <w:spacing w:before="240" w:after="240" w:line="360" w:lineRule="auto"/>
        <w:ind w:right="60"/>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Es decir,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a través de su Comité de Transparencia, debe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 como acontece en el presente asunto, reiterando que se omitió hacer entrega del Acuerdo de Clasificación del Comité de Transparencia que sustentara las versiones públicas de los comprobantes de transferencias bancarias en los cuales se testó el nombre de proveedores cuya naturaleza no corresponde a una institución o entidad pública.</w:t>
      </w:r>
    </w:p>
    <w:p w14:paraId="0ABE8FEC" w14:textId="77777777" w:rsidR="00B066F5" w:rsidRPr="007C282D" w:rsidRDefault="00736573">
      <w:pPr>
        <w:spacing w:after="0" w:line="360" w:lineRule="auto"/>
        <w:ind w:right="50"/>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Con base en lo previo, se estima que para tener por satisfecho el derecho de acceso de la parte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es necesario que el Sujeto Obligado haga entrega de los comprobantes de transferencias bancarias a la Comisión Federal de Electricidad (CFE) entregados en informe, de manera íntegra, así como del acuerdo de clasificación que sustente la versión pública de los comprobantes de transferencias bancarias entregados en informe justificado, correspondientes a proveedores particulares, el cual debe cumplir con las formalidades previstas en los artículos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BA3FB25" w14:textId="77777777" w:rsidR="00B066F5" w:rsidRPr="007C282D" w:rsidRDefault="00B066F5">
      <w:pPr>
        <w:spacing w:after="0" w:line="360" w:lineRule="auto"/>
        <w:ind w:right="50"/>
        <w:jc w:val="both"/>
        <w:rPr>
          <w:rFonts w:ascii="Palatino Linotype" w:eastAsia="Palatino Linotype" w:hAnsi="Palatino Linotype" w:cs="Palatino Linotype"/>
        </w:rPr>
      </w:pPr>
    </w:p>
    <w:p w14:paraId="6CE68CEF"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 xml:space="preserve">Artículo 49. </w:t>
      </w:r>
      <w:r w:rsidRPr="007C282D">
        <w:rPr>
          <w:rFonts w:ascii="Palatino Linotype" w:eastAsia="Palatino Linotype" w:hAnsi="Palatino Linotype" w:cs="Palatino Linotype"/>
          <w:i/>
          <w:iCs/>
        </w:rPr>
        <w:t>Los Comités de Transparencia tendrán las siguientes atribuciones:</w:t>
      </w:r>
    </w:p>
    <w:p w14:paraId="63B9AC80"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VIII.</w:t>
      </w:r>
      <w:r w:rsidRPr="007C282D">
        <w:rPr>
          <w:rFonts w:ascii="Palatino Linotype" w:eastAsia="Palatino Linotype" w:hAnsi="Palatino Linotype" w:cs="Palatino Linotype"/>
          <w:i/>
          <w:iCs/>
        </w:rPr>
        <w:t xml:space="preserve"> Aprobar, modificar o revocar la clasificación de la información;</w:t>
      </w:r>
    </w:p>
    <w:p w14:paraId="651B981E"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Artículo 132.</w:t>
      </w:r>
      <w:r w:rsidRPr="007C282D">
        <w:rPr>
          <w:rFonts w:ascii="Palatino Linotype" w:eastAsia="Palatino Linotype" w:hAnsi="Palatino Linotype" w:cs="Palatino Linotype"/>
          <w:i/>
          <w:iCs/>
        </w:rPr>
        <w:t xml:space="preserve"> La clasificación de la información se llevará a cabo en el momento en que:</w:t>
      </w:r>
    </w:p>
    <w:p w14:paraId="6EA7AD2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I.</w:t>
      </w:r>
      <w:r w:rsidRPr="007C282D">
        <w:rPr>
          <w:rFonts w:ascii="Palatino Linotype" w:eastAsia="Palatino Linotype" w:hAnsi="Palatino Linotype" w:cs="Palatino Linotype"/>
          <w:i/>
          <w:iCs/>
        </w:rPr>
        <w:t xml:space="preserve"> Se reciba una solicitud de acceso a la información;</w:t>
      </w:r>
    </w:p>
    <w:p w14:paraId="31A9E35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II.</w:t>
      </w:r>
      <w:r w:rsidRPr="007C282D">
        <w:rPr>
          <w:rFonts w:ascii="Palatino Linotype" w:eastAsia="Palatino Linotype" w:hAnsi="Palatino Linotype" w:cs="Palatino Linotype"/>
          <w:i/>
          <w:iCs/>
        </w:rPr>
        <w:t xml:space="preserve"> Se determine mediante resolución de autoridad competente; o</w:t>
      </w:r>
    </w:p>
    <w:p w14:paraId="5D827EE7"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i/>
          <w:iCs/>
        </w:rPr>
        <w:t>III. Se generen versiones públicas para dar cumplimiento a las obligaciones de transparencia previstas en esta Ley.</w:t>
      </w:r>
      <w:r w:rsidRPr="007C282D">
        <w:rPr>
          <w:rFonts w:ascii="Palatino Linotype" w:eastAsia="Palatino Linotype" w:hAnsi="Palatino Linotype" w:cs="Palatino Linotype"/>
          <w:b/>
          <w:bCs/>
          <w:i/>
          <w:iCs/>
        </w:rPr>
        <w:t>”</w:t>
      </w:r>
    </w:p>
    <w:p w14:paraId="724B540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“Segundo.-</w:t>
      </w:r>
      <w:r w:rsidRPr="007C282D">
        <w:rPr>
          <w:rFonts w:ascii="Palatino Linotype" w:eastAsia="Palatino Linotype" w:hAnsi="Palatino Linotype" w:cs="Palatino Linotype"/>
          <w:i/>
          <w:iCs/>
        </w:rPr>
        <w:t xml:space="preserve"> Para efectos de los presentes Lineamientos Generales, se entenderá por:</w:t>
      </w:r>
    </w:p>
    <w:p w14:paraId="4EE2C6BD"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XVIII.</w:t>
      </w:r>
      <w:r w:rsidRPr="007C282D">
        <w:rPr>
          <w:rFonts w:ascii="Palatino Linotype" w:eastAsia="Palatino Linotype" w:hAnsi="Palatino Linotype" w:cs="Palatino Linotype"/>
          <w:i/>
          <w:iCs/>
        </w:rPr>
        <w:t xml:space="preserve"> </w:t>
      </w:r>
      <w:r w:rsidRPr="007C282D">
        <w:rPr>
          <w:rFonts w:ascii="Palatino Linotype" w:eastAsia="Palatino Linotype" w:hAnsi="Palatino Linotype" w:cs="Palatino Linotype"/>
          <w:b/>
          <w:bCs/>
          <w:i/>
          <w:iCs/>
        </w:rPr>
        <w:t>Versión pública:</w:t>
      </w:r>
      <w:r w:rsidRPr="007C282D">
        <w:rPr>
          <w:rFonts w:ascii="Palatino Linotype" w:eastAsia="Palatino Linotype" w:hAnsi="Palatino Linotype" w:cs="Palatino Linotype"/>
          <w:i/>
          <w:iC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EF1DCB"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Cuarto.</w:t>
      </w:r>
      <w:r w:rsidRPr="007C282D">
        <w:rPr>
          <w:rFonts w:ascii="Palatino Linotype" w:eastAsia="Palatino Linotype" w:hAnsi="Palatino Linotype" w:cs="Palatino Linotype"/>
          <w:i/>
          <w:iC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56EC7C"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Los sujetos obligados deberán aplicar, de manera estricta, las excepciones al derecho de acceso a la información y sólo podrán invocarlas cuando acrediten su procedencia.</w:t>
      </w:r>
    </w:p>
    <w:p w14:paraId="1DBB0EB7"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Quinto.</w:t>
      </w:r>
      <w:r w:rsidRPr="007C282D">
        <w:rPr>
          <w:rFonts w:ascii="Palatino Linotype" w:eastAsia="Palatino Linotype" w:hAnsi="Palatino Linotype" w:cs="Palatino Linotype"/>
          <w:i/>
          <w:iC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3048C4"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Sexto.</w:t>
      </w:r>
      <w:r w:rsidRPr="007C282D">
        <w:rPr>
          <w:rFonts w:ascii="Palatino Linotype" w:eastAsia="Palatino Linotype" w:hAnsi="Palatino Linotype" w:cs="Palatino Linotype"/>
          <w:i/>
          <w:iC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3644937"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La clasificación de información se realizará conforme a un análisis caso por caso, mediante la aplicación de la prueba de daño y de interés público.</w:t>
      </w:r>
    </w:p>
    <w:p w14:paraId="49599DCB"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Séptimo.</w:t>
      </w:r>
      <w:r w:rsidRPr="007C282D">
        <w:rPr>
          <w:rFonts w:ascii="Palatino Linotype" w:eastAsia="Palatino Linotype" w:hAnsi="Palatino Linotype" w:cs="Palatino Linotype"/>
          <w:i/>
          <w:iCs/>
        </w:rPr>
        <w:t xml:space="preserve"> La clasificación de la información se llevará a cabo en el momento en que:</w:t>
      </w:r>
    </w:p>
    <w:p w14:paraId="0E075448"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I.</w:t>
      </w:r>
      <w:r w:rsidRPr="007C282D">
        <w:rPr>
          <w:rFonts w:ascii="Palatino Linotype" w:eastAsia="Palatino Linotype" w:hAnsi="Palatino Linotype" w:cs="Palatino Linotype"/>
          <w:i/>
          <w:iCs/>
        </w:rPr>
        <w:t xml:space="preserve"> Se reciba una solicitud de acceso a la información;</w:t>
      </w:r>
    </w:p>
    <w:p w14:paraId="4A391856"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II.</w:t>
      </w:r>
      <w:r w:rsidRPr="007C282D">
        <w:rPr>
          <w:rFonts w:ascii="Palatino Linotype" w:eastAsia="Palatino Linotype" w:hAnsi="Palatino Linotype" w:cs="Palatino Linotype"/>
          <w:i/>
          <w:iCs/>
        </w:rPr>
        <w:t xml:space="preserve"> Se determine mediante resolución de autoridad competente, o</w:t>
      </w:r>
    </w:p>
    <w:p w14:paraId="0B676E57"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III.</w:t>
      </w:r>
      <w:r w:rsidRPr="007C282D">
        <w:rPr>
          <w:rFonts w:ascii="Palatino Linotype" w:eastAsia="Palatino Linotype" w:hAnsi="Palatino Linotype" w:cs="Palatino Linotype"/>
          <w:i/>
          <w:iCs/>
        </w:rPr>
        <w:t xml:space="preserve"> Se generen versiones públicas para dar cumplimiento a las obligaciones de transparencia previstas en la Ley General, la Ley Federal y las correspondientes de las entidades federativas.</w:t>
      </w:r>
    </w:p>
    <w:p w14:paraId="1A00C3F1"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Los titulares de las áreas deberán revisar la clasificación al momento de la recepción de una solicitud de acceso a la información, para verificar si encuadra en una causal de reserva o de confidencialidad.</w:t>
      </w:r>
    </w:p>
    <w:p w14:paraId="2A69C134"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Octavo.</w:t>
      </w:r>
      <w:r w:rsidRPr="007C282D">
        <w:rPr>
          <w:rFonts w:ascii="Palatino Linotype" w:eastAsia="Palatino Linotype" w:hAnsi="Palatino Linotype" w:cs="Palatino Linotype"/>
          <w:i/>
          <w:iC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625BAC3"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Para motivar la clasificación se deberán señalar las razones o circunstancias especiales que lo llevaron a concluir que el caso particular se ajusta al supuesto previsto por la norma legal invocada como fundamento.</w:t>
      </w:r>
    </w:p>
    <w:p w14:paraId="607AA0A2"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En caso de referirse a información reservada, la motivación de la clasificación también deberá comprender las circunstancias que justifican el establecimiento de determinado plazo de reserva.</w:t>
      </w:r>
    </w:p>
    <w:p w14:paraId="5B713FDD"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Tratándose de información clasificada como confidencial respecto de la cual se haya determinado su conservación permanente por tener valor histórico, ésta conservará tal carácter de conformidad con la normativa aplicable en materia de archivos.</w:t>
      </w:r>
    </w:p>
    <w:p w14:paraId="22ABF966"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Los documentos contenidos en los archivos históricos y los identificados como históricos confidenciales no serán susceptibles de clasificación como reservados.</w:t>
      </w:r>
    </w:p>
    <w:p w14:paraId="3A8B780D"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Noveno.</w:t>
      </w:r>
      <w:r w:rsidRPr="007C282D">
        <w:rPr>
          <w:rFonts w:ascii="Palatino Linotype" w:eastAsia="Palatino Linotype" w:hAnsi="Palatino Linotype" w:cs="Palatino Linotype"/>
          <w:i/>
          <w:iC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8954D4"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Décimo.</w:t>
      </w:r>
      <w:r w:rsidRPr="007C282D">
        <w:rPr>
          <w:rFonts w:ascii="Palatino Linotype" w:eastAsia="Palatino Linotype" w:hAnsi="Palatino Linotype" w:cs="Palatino Linotype"/>
          <w:i/>
          <w:iC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6881525"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En ausencia de los titulares de las áreas, la información será clasificada o desclasificada por la persona que lo supla, en términos de la normativa que rija la actuación del sujeto obligado.</w:t>
      </w:r>
    </w:p>
    <w:p w14:paraId="7D9FF4E5"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Décimo primero.</w:t>
      </w:r>
      <w:r w:rsidRPr="007C282D">
        <w:rPr>
          <w:rFonts w:ascii="Palatino Linotype" w:eastAsia="Palatino Linotype" w:hAnsi="Palatino Linotype" w:cs="Palatino Linotype"/>
          <w:i/>
          <w:iC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282D">
        <w:rPr>
          <w:rFonts w:ascii="Palatino Linotype" w:eastAsia="Palatino Linotype" w:hAnsi="Palatino Linotype" w:cs="Palatino Linotype"/>
          <w:b/>
          <w:bCs/>
          <w:i/>
          <w:iCs/>
        </w:rPr>
        <w:t xml:space="preserve"> </w:t>
      </w:r>
      <w:r w:rsidRPr="007C282D">
        <w:rPr>
          <w:rFonts w:ascii="Palatino Linotype" w:eastAsia="Palatino Linotype" w:hAnsi="Palatino Linotype" w:cs="Palatino Linotype"/>
          <w:i/>
          <w:iCs/>
        </w:rPr>
        <w:t>(Sic)</w:t>
      </w:r>
    </w:p>
    <w:p w14:paraId="7C82E7D4" w14:textId="77777777" w:rsidR="00B066F5" w:rsidRPr="007C282D" w:rsidRDefault="00B066F5">
      <w:pPr>
        <w:spacing w:after="0"/>
        <w:ind w:left="851" w:right="902"/>
        <w:jc w:val="both"/>
        <w:rPr>
          <w:rFonts w:ascii="Palatino Linotype" w:eastAsia="Palatino Linotype" w:hAnsi="Palatino Linotype" w:cs="Palatino Linotype"/>
          <w:i/>
          <w:iCs/>
        </w:rPr>
      </w:pPr>
    </w:p>
    <w:p w14:paraId="4504ACEC" w14:textId="77777777" w:rsidR="00B066F5" w:rsidRPr="007C282D" w:rsidRDefault="00736573">
      <w:pPr>
        <w:widowControl w:val="0"/>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En este contexto, el hecho de que la información pública solicitada contenga datos personales susceptibles de ser protegidos mediante su </w:t>
      </w:r>
      <w:r w:rsidRPr="007C282D">
        <w:rPr>
          <w:rFonts w:ascii="Palatino Linotype" w:eastAsia="Palatino Linotype" w:hAnsi="Palatino Linotype" w:cs="Palatino Linotype"/>
          <w:b/>
          <w:bCs/>
        </w:rPr>
        <w:t>versión pública</w:t>
      </w:r>
      <w:r w:rsidRPr="007C282D">
        <w:rPr>
          <w:rFonts w:ascii="Palatino Linotype" w:eastAsia="Palatino Linotype" w:hAnsi="Palatino Linotype" w:cs="Palatino Linotype"/>
        </w:rPr>
        <w:t>, ello no implica que esta circunstancia opere en automático, sino que es necesario que el Comité de Transparencia del</w:t>
      </w:r>
      <w:r w:rsidRPr="007C282D">
        <w:rPr>
          <w:rFonts w:ascii="Palatino Linotype" w:eastAsia="Palatino Linotype" w:hAnsi="Palatino Linotype" w:cs="Palatino Linotype"/>
          <w:b/>
          <w:bCs/>
        </w:rPr>
        <w:t xml:space="preserve"> Sujeto Obligado </w:t>
      </w:r>
      <w:r w:rsidRPr="007C282D">
        <w:rPr>
          <w:rFonts w:ascii="Palatino Linotype" w:eastAsia="Palatino Linotype" w:hAnsi="Palatino Linotype" w:cs="Palatino Linotype"/>
        </w:rPr>
        <w:t>emita el Acuerdo de Clasificación.</w:t>
      </w:r>
    </w:p>
    <w:p w14:paraId="5F6AABC7" w14:textId="77777777" w:rsidR="00B066F5" w:rsidRPr="007C282D" w:rsidRDefault="00B066F5">
      <w:pPr>
        <w:widowControl w:val="0"/>
        <w:spacing w:after="0" w:line="360" w:lineRule="auto"/>
        <w:jc w:val="both"/>
        <w:rPr>
          <w:rFonts w:ascii="Palatino Linotype" w:eastAsia="Palatino Linotype" w:hAnsi="Palatino Linotype" w:cs="Palatino Linotype"/>
        </w:rPr>
      </w:pPr>
    </w:p>
    <w:p w14:paraId="1A4CED87"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Por tanto, dicho Acuerdo debe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14410DAA" w14:textId="77777777" w:rsidR="00B066F5" w:rsidRPr="007C282D" w:rsidRDefault="00B066F5">
      <w:pPr>
        <w:spacing w:after="0" w:line="360" w:lineRule="auto"/>
        <w:jc w:val="both"/>
        <w:rPr>
          <w:rFonts w:ascii="Palatino Linotype" w:eastAsia="Palatino Linotype" w:hAnsi="Palatino Linotype" w:cs="Palatino Linotype"/>
        </w:rPr>
      </w:pPr>
    </w:p>
    <w:p w14:paraId="1EB60063"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135.</w:t>
      </w:r>
      <w:r w:rsidRPr="007C282D">
        <w:rPr>
          <w:rFonts w:ascii="Palatino Linotype" w:eastAsia="Palatino Linotype" w:hAnsi="Palatino Linotype" w:cs="Palatino Linotype"/>
          <w:i/>
          <w:iCs/>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7399055"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p>
    <w:p w14:paraId="0662F9D4" w14:textId="77777777" w:rsidR="00B066F5" w:rsidRPr="007C282D" w:rsidRDefault="00B066F5">
      <w:pPr>
        <w:spacing w:after="0"/>
        <w:ind w:left="851" w:right="843"/>
        <w:jc w:val="both"/>
        <w:rPr>
          <w:rFonts w:ascii="Palatino Linotype" w:eastAsia="Palatino Linotype" w:hAnsi="Palatino Linotype" w:cs="Palatino Linotype"/>
        </w:rPr>
      </w:pPr>
    </w:p>
    <w:p w14:paraId="1E16F18A" w14:textId="77777777" w:rsidR="00B066F5" w:rsidRPr="007C282D" w:rsidRDefault="00736573">
      <w:pPr>
        <w:spacing w:after="0"/>
        <w:ind w:left="851" w:right="843"/>
        <w:jc w:val="both"/>
        <w:rPr>
          <w:rFonts w:ascii="Palatino Linotype" w:eastAsia="Palatino Linotype" w:hAnsi="Palatino Linotype" w:cs="Palatino Linotype"/>
          <w:b/>
          <w:bCs/>
          <w:i/>
          <w:iCs/>
        </w:rPr>
      </w:pPr>
      <w:r w:rsidRPr="007C282D">
        <w:rPr>
          <w:rFonts w:ascii="Palatino Linotype" w:eastAsia="Palatino Linotype" w:hAnsi="Palatino Linotype" w:cs="Palatino Linotype"/>
          <w:b/>
          <w:bCs/>
          <w:i/>
          <w:iCs/>
        </w:rPr>
        <w:t>Lineamientos Generales en Materia de Clasificación y Desclasificación de la información, así como para la elaboración de Versiones Públicas.</w:t>
      </w:r>
    </w:p>
    <w:p w14:paraId="713D0576" w14:textId="77777777" w:rsidR="00B066F5" w:rsidRPr="007C282D" w:rsidRDefault="00B066F5">
      <w:pPr>
        <w:widowControl w:val="0"/>
        <w:spacing w:after="0"/>
        <w:ind w:left="851" w:right="843"/>
        <w:jc w:val="both"/>
        <w:rPr>
          <w:rFonts w:ascii="Palatino Linotype" w:eastAsia="Palatino Linotype" w:hAnsi="Palatino Linotype" w:cs="Palatino Linotype"/>
        </w:rPr>
      </w:pPr>
    </w:p>
    <w:p w14:paraId="4D0760E6"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Octavo. Para fundar la clasificación de la información se debe señalar el artículo, fracción, inciso, párrafo</w:t>
      </w:r>
      <w:r w:rsidRPr="007C282D">
        <w:rPr>
          <w:rFonts w:ascii="Palatino Linotype" w:eastAsia="Palatino Linotype" w:hAnsi="Palatino Linotype" w:cs="Palatino Linotype"/>
          <w:i/>
          <w:iCs/>
        </w:rPr>
        <w:t xml:space="preserve"> o numeral de la ley o tratado internacional suscrito por el Estado mexicano que </w:t>
      </w:r>
      <w:r w:rsidRPr="007C282D">
        <w:rPr>
          <w:rFonts w:ascii="Palatino Linotype" w:eastAsia="Palatino Linotype" w:hAnsi="Palatino Linotype" w:cs="Palatino Linotype"/>
          <w:b/>
          <w:bCs/>
          <w:i/>
          <w:iCs/>
        </w:rPr>
        <w:t>expresamente</w:t>
      </w:r>
      <w:r w:rsidRPr="007C282D">
        <w:rPr>
          <w:rFonts w:ascii="Palatino Linotype" w:eastAsia="Palatino Linotype" w:hAnsi="Palatino Linotype" w:cs="Palatino Linotype"/>
          <w:i/>
          <w:iCs/>
        </w:rPr>
        <w:t xml:space="preserve"> le otorga el carácter de reservada o confidencial.</w:t>
      </w:r>
    </w:p>
    <w:p w14:paraId="2F1D3A16" w14:textId="77777777" w:rsidR="00B066F5" w:rsidRPr="007C282D" w:rsidRDefault="00B066F5">
      <w:pPr>
        <w:widowControl w:val="0"/>
        <w:spacing w:after="0"/>
        <w:ind w:left="851" w:right="843"/>
        <w:jc w:val="both"/>
        <w:rPr>
          <w:rFonts w:ascii="Palatino Linotype" w:eastAsia="Palatino Linotype" w:hAnsi="Palatino Linotype" w:cs="Palatino Linotype"/>
          <w:i/>
          <w:iCs/>
        </w:rPr>
      </w:pPr>
    </w:p>
    <w:p w14:paraId="0F4A325D"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Para motivar la clasificación se </w:t>
      </w:r>
      <w:r w:rsidRPr="007C282D">
        <w:rPr>
          <w:rFonts w:ascii="Palatino Linotype" w:eastAsia="Palatino Linotype" w:hAnsi="Palatino Linotype" w:cs="Palatino Linotype"/>
          <w:b/>
          <w:bCs/>
          <w:i/>
          <w:iCs/>
        </w:rPr>
        <w:t>deberán señalar las razones o circunstancias especiales que lo llevaron a concluir que el caso particular se ajusta al supuesto previsto por la norma legal invocada</w:t>
      </w:r>
      <w:r w:rsidRPr="007C282D">
        <w:rPr>
          <w:rFonts w:ascii="Palatino Linotype" w:eastAsia="Palatino Linotype" w:hAnsi="Palatino Linotype" w:cs="Palatino Linotype"/>
          <w:i/>
          <w:iCs/>
        </w:rPr>
        <w:t xml:space="preserve"> como fundamento…”</w:t>
      </w:r>
    </w:p>
    <w:p w14:paraId="2C7AE17E"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 xml:space="preserve">(Énfasis añadido)  </w:t>
      </w:r>
    </w:p>
    <w:p w14:paraId="01297219" w14:textId="77777777" w:rsidR="00B066F5" w:rsidRPr="007C282D" w:rsidRDefault="00B066F5">
      <w:pPr>
        <w:widowControl w:val="0"/>
        <w:spacing w:after="0"/>
        <w:ind w:left="709" w:right="757"/>
        <w:jc w:val="both"/>
        <w:rPr>
          <w:rFonts w:ascii="Palatino Linotype" w:eastAsia="Palatino Linotype" w:hAnsi="Palatino Linotype" w:cs="Palatino Linotype"/>
          <w:i/>
          <w:iCs/>
        </w:rPr>
      </w:pPr>
    </w:p>
    <w:p w14:paraId="2E0ADBF6"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w:t>
      </w:r>
      <w:r w:rsidRPr="007C282D">
        <w:rPr>
          <w:rFonts w:ascii="Palatino Linotype" w:eastAsia="Palatino Linotype" w:hAnsi="Palatino Linotype" w:cs="Palatino Linotype"/>
          <w:b/>
          <w:bCs/>
        </w:rPr>
        <w:t xml:space="preserve"> Sujeto Obligado</w:t>
      </w:r>
      <w:r w:rsidRPr="007C282D">
        <w:rPr>
          <w:rFonts w:ascii="Palatino Linotype" w:eastAsia="Palatino Linotype" w:hAnsi="Palatino Linotype" w:cs="Palatino Linotype"/>
        </w:rPr>
        <w:t xml:space="preserve">, en ese contexto, todo dato personal susceptible de clasificación debe ser protegido. </w:t>
      </w:r>
    </w:p>
    <w:p w14:paraId="71A52CA7" w14:textId="77777777" w:rsidR="00B066F5" w:rsidRPr="007C282D" w:rsidRDefault="00B066F5">
      <w:pPr>
        <w:spacing w:after="0" w:line="360" w:lineRule="auto"/>
        <w:jc w:val="both"/>
        <w:rPr>
          <w:rFonts w:ascii="Palatino Linotype" w:eastAsia="Palatino Linotype" w:hAnsi="Palatino Linotype" w:cs="Palatino Linotype"/>
        </w:rPr>
      </w:pPr>
    </w:p>
    <w:p w14:paraId="68AF0886"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DE6FD09" w14:textId="77777777" w:rsidR="00B066F5" w:rsidRPr="007C282D" w:rsidRDefault="00B066F5">
      <w:pPr>
        <w:spacing w:after="0"/>
        <w:ind w:left="851" w:right="901"/>
        <w:jc w:val="both"/>
        <w:rPr>
          <w:rFonts w:ascii="Palatino Linotype" w:eastAsia="Palatino Linotype" w:hAnsi="Palatino Linotype" w:cs="Palatino Linotype"/>
          <w:b/>
          <w:bCs/>
          <w:i/>
          <w:iCs/>
        </w:rPr>
      </w:pPr>
    </w:p>
    <w:p w14:paraId="4185FB84" w14:textId="77777777" w:rsidR="00B066F5" w:rsidRPr="007C282D" w:rsidRDefault="00736573">
      <w:pPr>
        <w:spacing w:after="0"/>
        <w:ind w:left="851" w:right="901"/>
        <w:jc w:val="both"/>
        <w:rPr>
          <w:rFonts w:ascii="Palatino Linotype" w:eastAsia="Palatino Linotype" w:hAnsi="Palatino Linotype" w:cs="Palatino Linotype"/>
          <w:b/>
          <w:bCs/>
          <w:i/>
          <w:iCs/>
        </w:rPr>
      </w:pPr>
      <w:r w:rsidRPr="007C282D">
        <w:rPr>
          <w:rFonts w:ascii="Palatino Linotype" w:eastAsia="Palatino Linotype" w:hAnsi="Palatino Linotype" w:cs="Palatino Linotype"/>
          <w:b/>
          <w:bCs/>
          <w:i/>
          <w:iCs/>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C282D">
        <w:rPr>
          <w:rFonts w:ascii="Palatino Linotype" w:eastAsia="Palatino Linotype" w:hAnsi="Palatino Linotype" w:cs="Palatino Linotype"/>
          <w:i/>
          <w:iCs/>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7C282D">
        <w:rPr>
          <w:rFonts w:ascii="Palatino Linotype" w:eastAsia="Palatino Linotype" w:hAnsi="Palatino Linotype" w:cs="Palatino Linotype"/>
          <w:b/>
          <w:bCs/>
          <w:i/>
          <w:iCs/>
        </w:rPr>
        <w:t>"</w:t>
      </w:r>
    </w:p>
    <w:p w14:paraId="4C0EC81A" w14:textId="77777777" w:rsidR="00B066F5" w:rsidRPr="007C282D" w:rsidRDefault="00B066F5">
      <w:pPr>
        <w:spacing w:after="0"/>
        <w:jc w:val="both"/>
        <w:rPr>
          <w:rFonts w:ascii="Palatino Linotype" w:eastAsia="Palatino Linotype" w:hAnsi="Palatino Linotype" w:cs="Palatino Linotype"/>
          <w:i/>
          <w:iCs/>
        </w:rPr>
      </w:pPr>
    </w:p>
    <w:p w14:paraId="6E1F5C6B"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Por ende, en el presente caso, el</w:t>
      </w:r>
      <w:r w:rsidRPr="007C282D">
        <w:rPr>
          <w:rFonts w:ascii="Palatino Linotype" w:eastAsia="Palatino Linotype" w:hAnsi="Palatino Linotype" w:cs="Palatino Linotype"/>
          <w:b/>
          <w:bCs/>
        </w:rPr>
        <w:t xml:space="preserve"> Sujeto Obligado</w:t>
      </w:r>
      <w:r w:rsidRPr="007C282D">
        <w:rPr>
          <w:rFonts w:ascii="Palatino Linotype" w:eastAsia="Palatino Linotype" w:hAnsi="Palatino Linotype" w:cs="Palatino Linotype"/>
        </w:rPr>
        <w:t xml:space="preserve"> debe atender las disposiciones en materia de protección de datos, a fin de salvaguardar los datos de particulares y emitir el debido Acuerdo que sustente la clasificación que se genere, ya que ésta no se da por el simple mandato de la Ley, sino que es necesario que el</w:t>
      </w:r>
      <w:r w:rsidRPr="007C282D">
        <w:rPr>
          <w:rFonts w:ascii="Palatino Linotype" w:eastAsia="Palatino Linotype" w:hAnsi="Palatino Linotype" w:cs="Palatino Linotype"/>
          <w:b/>
          <w:bCs/>
        </w:rPr>
        <w:t xml:space="preserve"> Sujeto Obligado</w:t>
      </w:r>
      <w:r w:rsidRPr="007C282D">
        <w:rPr>
          <w:rFonts w:ascii="Palatino Linotype" w:eastAsia="Palatino Linotype" w:hAnsi="Palatino Linotype" w:cs="Palatino Linotype"/>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4295FF2" w14:textId="77777777" w:rsidR="00B066F5" w:rsidRPr="007C282D" w:rsidRDefault="00B066F5">
      <w:pPr>
        <w:spacing w:after="0" w:line="360" w:lineRule="auto"/>
        <w:jc w:val="both"/>
        <w:rPr>
          <w:rFonts w:ascii="Palatino Linotype" w:eastAsia="Palatino Linotype" w:hAnsi="Palatino Linotype" w:cs="Palatino Linotype"/>
        </w:rPr>
      </w:pPr>
    </w:p>
    <w:p w14:paraId="02529020"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Así, es que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46FBA7F" w14:textId="77777777" w:rsidR="00B066F5" w:rsidRPr="007C282D" w:rsidRDefault="00B066F5">
      <w:pPr>
        <w:spacing w:after="0" w:line="360" w:lineRule="auto"/>
        <w:jc w:val="both"/>
        <w:rPr>
          <w:rFonts w:ascii="Palatino Linotype" w:eastAsia="Palatino Linotype" w:hAnsi="Palatino Linotype" w:cs="Palatino Linotype"/>
        </w:rPr>
      </w:pPr>
    </w:p>
    <w:p w14:paraId="3D526DAF"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Lo anterior, atiende lo señalado en el artículo 149 de la Ley de Transparencia Local, cuyo contenido es de la literalidad siguiente:</w:t>
      </w:r>
    </w:p>
    <w:p w14:paraId="1E46B15C" w14:textId="77777777" w:rsidR="00B066F5" w:rsidRPr="007C282D" w:rsidRDefault="00B066F5">
      <w:pPr>
        <w:spacing w:after="0"/>
        <w:ind w:left="993" w:right="1041"/>
        <w:jc w:val="both"/>
        <w:rPr>
          <w:rFonts w:ascii="Palatino Linotype" w:eastAsia="Palatino Linotype" w:hAnsi="Palatino Linotype" w:cs="Palatino Linotype"/>
          <w:i/>
          <w:iCs/>
        </w:rPr>
      </w:pPr>
    </w:p>
    <w:p w14:paraId="190EE7A6" w14:textId="77777777" w:rsidR="00B066F5" w:rsidRPr="007C282D" w:rsidRDefault="00736573">
      <w:pPr>
        <w:spacing w:after="0"/>
        <w:ind w:left="851" w:right="843"/>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Artículo 149.</w:t>
      </w:r>
      <w:r w:rsidRPr="007C282D">
        <w:rPr>
          <w:rFonts w:ascii="Palatino Linotype" w:eastAsia="Palatino Linotype" w:hAnsi="Palatino Linotype" w:cs="Palatino Linotype"/>
          <w:i/>
          <w:iCs/>
        </w:rPr>
        <w:t xml:space="preserve"> El </w:t>
      </w:r>
      <w:r w:rsidRPr="007C282D">
        <w:rPr>
          <w:rFonts w:ascii="Palatino Linotype" w:eastAsia="Palatino Linotype" w:hAnsi="Palatino Linotype" w:cs="Palatino Linotype"/>
          <w:b/>
          <w:bCs/>
          <w:i/>
          <w:iCs/>
        </w:rPr>
        <w:t>acuerdo que clasifique la información como confidencial</w:t>
      </w:r>
      <w:r w:rsidRPr="007C282D">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14:paraId="6BD97AE2" w14:textId="77777777" w:rsidR="00B066F5" w:rsidRPr="007C282D" w:rsidRDefault="00B066F5">
      <w:pPr>
        <w:spacing w:after="0"/>
        <w:jc w:val="both"/>
        <w:rPr>
          <w:rFonts w:ascii="Palatino Linotype" w:eastAsia="Palatino Linotype" w:hAnsi="Palatino Linotype" w:cs="Palatino Linotype"/>
        </w:rPr>
      </w:pPr>
    </w:p>
    <w:p w14:paraId="114C170E"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Atento a ello, es importante referir que la fundamentación y motivación consiste en la obligación que tiene todo ente público de expresar los preceptos jurídicos aplicables al asunto motivo del acto y las razones o argumentos de su actuar.</w:t>
      </w:r>
    </w:p>
    <w:p w14:paraId="2F1D3DBE" w14:textId="77777777" w:rsidR="00B066F5" w:rsidRPr="007C282D" w:rsidRDefault="00B066F5">
      <w:pPr>
        <w:spacing w:after="0" w:line="360" w:lineRule="auto"/>
        <w:jc w:val="both"/>
        <w:rPr>
          <w:rFonts w:ascii="Palatino Linotype" w:eastAsia="Palatino Linotype" w:hAnsi="Palatino Linotype" w:cs="Palatino Linotype"/>
        </w:rPr>
      </w:pPr>
    </w:p>
    <w:p w14:paraId="0FD66AB5"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2FC85C93" w14:textId="77777777" w:rsidR="00B066F5" w:rsidRPr="007C282D" w:rsidRDefault="00B066F5">
      <w:pPr>
        <w:spacing w:after="0"/>
        <w:jc w:val="both"/>
        <w:rPr>
          <w:rFonts w:ascii="Palatino Linotype" w:eastAsia="Palatino Linotype" w:hAnsi="Palatino Linotype" w:cs="Palatino Linotype"/>
        </w:rPr>
      </w:pPr>
    </w:p>
    <w:p w14:paraId="34943D6F" w14:textId="77777777" w:rsidR="00B066F5" w:rsidRPr="007C282D" w:rsidRDefault="00736573">
      <w:pPr>
        <w:spacing w:after="0"/>
        <w:ind w:left="851" w:right="901"/>
        <w:jc w:val="both"/>
        <w:rPr>
          <w:rFonts w:ascii="Palatino Linotype" w:eastAsia="Palatino Linotype" w:hAnsi="Palatino Linotype" w:cs="Palatino Linotype"/>
          <w:i/>
          <w:iCs/>
        </w:rPr>
      </w:pPr>
      <w:r w:rsidRPr="007C282D">
        <w:rPr>
          <w:rFonts w:ascii="Palatino Linotype" w:eastAsia="Palatino Linotype" w:hAnsi="Palatino Linotype" w:cs="Palatino Linotype"/>
          <w:i/>
          <w:iCs/>
        </w:rPr>
        <w:t>“</w:t>
      </w:r>
      <w:r w:rsidRPr="007C282D">
        <w:rPr>
          <w:rFonts w:ascii="Palatino Linotype" w:eastAsia="Palatino Linotype" w:hAnsi="Palatino Linotype" w:cs="Palatino Linotype"/>
          <w:b/>
          <w:bCs/>
          <w:i/>
          <w:iCs/>
        </w:rPr>
        <w:t xml:space="preserve">FUNDAMENTACIÓN Y MOTIVACIÓN. </w:t>
      </w:r>
      <w:r w:rsidRPr="007C282D">
        <w:rPr>
          <w:rFonts w:ascii="Palatino Linotype" w:eastAsia="Palatino Linotype" w:hAnsi="Palatino Linotype" w:cs="Palatino Linotype"/>
          <w:i/>
          <w:iC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605907C" w14:textId="77777777" w:rsidR="00B066F5" w:rsidRPr="007C282D" w:rsidRDefault="00B066F5">
      <w:pPr>
        <w:spacing w:after="0"/>
        <w:ind w:left="851" w:right="899"/>
        <w:jc w:val="both"/>
        <w:rPr>
          <w:rFonts w:ascii="Palatino Linotype" w:eastAsia="Palatino Linotype" w:hAnsi="Palatino Linotype" w:cs="Palatino Linotype"/>
          <w:i/>
          <w:iCs/>
        </w:rPr>
      </w:pPr>
    </w:p>
    <w:p w14:paraId="0E84B1A0"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9F1308" w14:textId="77777777" w:rsidR="00B066F5" w:rsidRPr="007C282D" w:rsidRDefault="00B066F5">
      <w:pPr>
        <w:spacing w:after="0" w:line="360" w:lineRule="auto"/>
        <w:jc w:val="both"/>
        <w:rPr>
          <w:rFonts w:ascii="Palatino Linotype" w:eastAsia="Palatino Linotype" w:hAnsi="Palatino Linotype" w:cs="Palatino Linotype"/>
        </w:rPr>
      </w:pPr>
    </w:p>
    <w:p w14:paraId="58A9CD75"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53BDA26" w14:textId="77777777" w:rsidR="00B066F5" w:rsidRPr="007C282D" w:rsidRDefault="00B066F5">
      <w:pPr>
        <w:spacing w:after="0"/>
        <w:ind w:left="851" w:right="901"/>
        <w:jc w:val="both"/>
        <w:rPr>
          <w:rFonts w:ascii="Palatino Linotype" w:eastAsia="Palatino Linotype" w:hAnsi="Palatino Linotype" w:cs="Palatino Linotype"/>
          <w:b/>
          <w:bCs/>
          <w:i/>
          <w:iCs/>
        </w:rPr>
      </w:pPr>
    </w:p>
    <w:p w14:paraId="642C92B5" w14:textId="77777777" w:rsidR="00B066F5" w:rsidRPr="007C282D" w:rsidRDefault="00736573">
      <w:pPr>
        <w:spacing w:after="0"/>
        <w:ind w:left="851" w:right="901"/>
        <w:jc w:val="both"/>
        <w:rPr>
          <w:rFonts w:ascii="Palatino Linotype" w:eastAsia="Palatino Linotype" w:hAnsi="Palatino Linotype" w:cs="Palatino Linotype"/>
          <w:i/>
          <w:iCs/>
        </w:rPr>
      </w:pPr>
      <w:r w:rsidRPr="007C282D">
        <w:rPr>
          <w:rFonts w:ascii="Palatino Linotype" w:eastAsia="Palatino Linotype" w:hAnsi="Palatino Linotype" w:cs="Palatino Linotype"/>
          <w:b/>
          <w:bCs/>
          <w:i/>
          <w:iCs/>
        </w:rPr>
        <w:t>“FUNDAMENTACIÓN Y MOTIVACIÓN. EL ASPECTO FORMAL DE LA GARANTÍA Y SU FINALIDAD SE TRADUCEN EN EXPLICAR, JUSTIFICAR, POSIBILITAR LA DEFENSA Y COMUNICAR LA DECISIÓN</w:t>
      </w:r>
      <w:r w:rsidRPr="007C282D">
        <w:rPr>
          <w:rFonts w:ascii="Palatino Linotype" w:eastAsia="Palatino Linotype" w:hAnsi="Palatino Linotype" w:cs="Palatino Linotype"/>
          <w:i/>
          <w:iCs/>
        </w:rPr>
        <w:t xml:space="preserve">. El contenido formal de la garantía de legalidad prevista en el artículo 16 constitucional relativa a la </w:t>
      </w:r>
      <w:r w:rsidRPr="007C282D">
        <w:rPr>
          <w:rFonts w:ascii="Palatino Linotype" w:eastAsia="Palatino Linotype" w:hAnsi="Palatino Linotype" w:cs="Palatino Linotype"/>
          <w:b/>
          <w:bCs/>
          <w:i/>
          <w:iC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C282D">
        <w:rPr>
          <w:rFonts w:ascii="Palatino Linotype" w:eastAsia="Palatino Linotype" w:hAnsi="Palatino Linotype" w:cs="Palatino Linotype"/>
          <w:i/>
          <w:iCs/>
        </w:rPr>
        <w:t xml:space="preserve">. Por tanto, </w:t>
      </w:r>
      <w:r w:rsidRPr="007C282D">
        <w:rPr>
          <w:rFonts w:ascii="Palatino Linotype" w:eastAsia="Palatino Linotype" w:hAnsi="Palatino Linotype" w:cs="Palatino Linotype"/>
          <w:b/>
          <w:bCs/>
          <w:i/>
          <w:iCs/>
        </w:rPr>
        <w:t>no basta que el acto de autoridad apenas observe una motivación pro forma pero de una manera incongruente, insuficiente o imprecisa</w:t>
      </w:r>
      <w:r w:rsidRPr="007C282D">
        <w:rPr>
          <w:rFonts w:ascii="Palatino Linotype" w:eastAsia="Palatino Linotype" w:hAnsi="Palatino Linotype" w:cs="Palatino Linotype"/>
          <w:i/>
          <w:iCs/>
        </w:rPr>
        <w:t>, que impida la finalidad del conocimiento, comprobación y defensa pertinente</w:t>
      </w:r>
      <w:r w:rsidRPr="007C282D">
        <w:rPr>
          <w:rFonts w:ascii="Palatino Linotype" w:eastAsia="Palatino Linotype" w:hAnsi="Palatino Linotype" w:cs="Palatino Linotype"/>
          <w:b/>
          <w:bCs/>
          <w:i/>
          <w:iC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C282D">
        <w:rPr>
          <w:rFonts w:ascii="Palatino Linotype" w:eastAsia="Palatino Linotype" w:hAnsi="Palatino Linotype" w:cs="Palatino Linotype"/>
          <w:i/>
          <w:iCs/>
        </w:rPr>
        <w:t>.”(Sic)</w:t>
      </w:r>
    </w:p>
    <w:p w14:paraId="1D051EB8" w14:textId="77777777" w:rsidR="00B066F5" w:rsidRPr="007C282D" w:rsidRDefault="00B066F5">
      <w:pPr>
        <w:spacing w:after="0"/>
        <w:ind w:left="851" w:right="899"/>
        <w:jc w:val="both"/>
        <w:rPr>
          <w:rFonts w:ascii="Palatino Linotype" w:eastAsia="Palatino Linotype" w:hAnsi="Palatino Linotype" w:cs="Palatino Linotype"/>
          <w:i/>
          <w:iCs/>
        </w:rPr>
      </w:pPr>
    </w:p>
    <w:p w14:paraId="68784113" w14:textId="77777777" w:rsidR="00B066F5" w:rsidRPr="007C282D" w:rsidRDefault="00736573">
      <w:pPr>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86553A3" w14:textId="77777777" w:rsidR="00B066F5" w:rsidRPr="007C282D" w:rsidRDefault="00B066F5">
      <w:pPr>
        <w:spacing w:after="0" w:line="360" w:lineRule="auto"/>
        <w:ind w:right="49"/>
        <w:jc w:val="both"/>
        <w:rPr>
          <w:rFonts w:ascii="Palatino Linotype" w:eastAsia="Palatino Linotype" w:hAnsi="Palatino Linotype" w:cs="Palatino Linotype"/>
        </w:rPr>
      </w:pPr>
    </w:p>
    <w:p w14:paraId="124676F9" w14:textId="77777777" w:rsidR="00B066F5" w:rsidRPr="007C282D" w:rsidRDefault="00736573">
      <w:pPr>
        <w:widowControl w:val="0"/>
        <w:tabs>
          <w:tab w:val="left" w:pos="1701"/>
          <w:tab w:val="left" w:pos="1843"/>
        </w:tabs>
        <w:spacing w:after="0" w:line="360" w:lineRule="auto"/>
        <w:jc w:val="both"/>
        <w:rPr>
          <w:rFonts w:ascii="Palatino Linotype" w:eastAsia="Palatino Linotype" w:hAnsi="Palatino Linotype" w:cs="Palatino Linotype"/>
        </w:rPr>
      </w:pPr>
      <w:r w:rsidRPr="007C282D">
        <w:rPr>
          <w:rFonts w:ascii="Palatino Linotype" w:eastAsia="Palatino Linotype" w:hAnsi="Palatino Linotype" w:cs="Palatino Linotype"/>
        </w:rPr>
        <w:t xml:space="preserve">En razón de lo anteriormente expuesto, este Instituto estima que las razones o motivos de inconformidad hechos valer por la parte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devienen </w:t>
      </w:r>
      <w:r w:rsidRPr="007C282D">
        <w:rPr>
          <w:rFonts w:ascii="Palatino Linotype" w:eastAsia="Palatino Linotype" w:hAnsi="Palatino Linotype" w:cs="Palatino Linotype"/>
          <w:b/>
          <w:bCs/>
        </w:rPr>
        <w:t>fundadas</w:t>
      </w:r>
      <w:r w:rsidRPr="007C282D">
        <w:rPr>
          <w:rFonts w:ascii="Palatino Linotype" w:eastAsia="Palatino Linotype" w:hAnsi="Palatino Linotype" w:cs="Palatino Linotype"/>
        </w:rPr>
        <w:t xml:space="preserve"> y suficientes para </w:t>
      </w:r>
      <w:r w:rsidRPr="007C282D">
        <w:rPr>
          <w:rFonts w:ascii="Palatino Linotype" w:eastAsia="Palatino Linotype" w:hAnsi="Palatino Linotype" w:cs="Palatino Linotype"/>
          <w:b/>
          <w:bCs/>
        </w:rPr>
        <w:t xml:space="preserve">Revocar </w:t>
      </w:r>
      <w:r w:rsidRPr="007C282D">
        <w:rPr>
          <w:rFonts w:ascii="Palatino Linotype" w:eastAsia="Palatino Linotype" w:hAnsi="Palatino Linotype" w:cs="Palatino Linotype"/>
        </w:rPr>
        <w:t xml:space="preserve">la respuesta del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y ordenarle haga entrega de la información descrita en el presente Considerando.</w:t>
      </w:r>
    </w:p>
    <w:p w14:paraId="344EF15E" w14:textId="77777777" w:rsidR="00B066F5" w:rsidRPr="007C282D" w:rsidRDefault="00B066F5">
      <w:pPr>
        <w:spacing w:after="0" w:line="360" w:lineRule="auto"/>
        <w:ind w:right="49"/>
        <w:jc w:val="both"/>
        <w:rPr>
          <w:rFonts w:ascii="Palatino Linotype" w:eastAsia="Palatino Linotype" w:hAnsi="Palatino Linotype" w:cs="Palatino Linotype"/>
          <w:b/>
          <w:bCs/>
        </w:rPr>
      </w:pPr>
    </w:p>
    <w:p w14:paraId="538E84DB"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1D8B9A01"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F9FE70B"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46F39D6"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A0A79FE"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EF6E867" w14:textId="77777777" w:rsidR="00B066F5" w:rsidRPr="007C282D" w:rsidRDefault="00736573">
      <w:pPr>
        <w:spacing w:after="0" w:line="360" w:lineRule="auto"/>
        <w:ind w:right="49"/>
        <w:jc w:val="center"/>
        <w:rPr>
          <w:rFonts w:ascii="Palatino Linotype" w:eastAsia="Palatino Linotype" w:hAnsi="Palatino Linotype" w:cs="Palatino Linotype"/>
          <w:b/>
          <w:bCs/>
        </w:rPr>
      </w:pPr>
      <w:r w:rsidRPr="007C282D">
        <w:rPr>
          <w:rFonts w:ascii="Palatino Linotype" w:eastAsia="Palatino Linotype" w:hAnsi="Palatino Linotype" w:cs="Palatino Linotype"/>
          <w:b/>
          <w:bCs/>
        </w:rPr>
        <w:t>III.</w:t>
      </w:r>
      <w:r w:rsidRPr="007C282D">
        <w:rPr>
          <w:rFonts w:ascii="Palatino Linotype" w:eastAsia="Palatino Linotype" w:hAnsi="Palatino Linotype" w:cs="Palatino Linotype"/>
          <w:b/>
          <w:bCs/>
        </w:rPr>
        <w:tab/>
        <w:t>R E S U E L V E:</w:t>
      </w:r>
    </w:p>
    <w:p w14:paraId="213E9D2C" w14:textId="77777777" w:rsidR="00B066F5" w:rsidRPr="007C282D" w:rsidRDefault="00B066F5">
      <w:pPr>
        <w:spacing w:after="0" w:line="360" w:lineRule="auto"/>
        <w:ind w:right="49"/>
        <w:jc w:val="both"/>
        <w:rPr>
          <w:rFonts w:ascii="Palatino Linotype" w:eastAsia="Palatino Linotype" w:hAnsi="Palatino Linotype" w:cs="Palatino Linotype"/>
        </w:rPr>
      </w:pPr>
    </w:p>
    <w:p w14:paraId="7A206E15"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Primero.</w:t>
      </w:r>
      <w:r w:rsidRPr="007C282D">
        <w:rPr>
          <w:rFonts w:ascii="Palatino Linotype" w:eastAsia="Palatino Linotype" w:hAnsi="Palatino Linotype" w:cs="Palatino Linotype"/>
        </w:rPr>
        <w:t xml:space="preserve"> Resultan</w:t>
      </w:r>
      <w:r w:rsidRPr="007C282D">
        <w:rPr>
          <w:rFonts w:ascii="Palatino Linotype" w:eastAsia="Palatino Linotype" w:hAnsi="Palatino Linotype" w:cs="Palatino Linotype"/>
          <w:b/>
          <w:bCs/>
        </w:rPr>
        <w:t xml:space="preserve"> fundados</w:t>
      </w:r>
      <w:r w:rsidRPr="007C282D">
        <w:rPr>
          <w:rFonts w:ascii="Palatino Linotype" w:eastAsia="Palatino Linotype" w:hAnsi="Palatino Linotype" w:cs="Palatino Linotype"/>
        </w:rPr>
        <w:t xml:space="preserve"> los motivos de inconformidad hechos valer por el </w:t>
      </w:r>
      <w:r w:rsidRPr="007C282D">
        <w:rPr>
          <w:rFonts w:ascii="Palatino Linotype" w:eastAsia="Palatino Linotype" w:hAnsi="Palatino Linotype" w:cs="Palatino Linotype"/>
          <w:b/>
          <w:bCs/>
        </w:rPr>
        <w:t>Recurrente</w:t>
      </w:r>
      <w:r w:rsidRPr="007C282D">
        <w:rPr>
          <w:rFonts w:ascii="Palatino Linotype" w:eastAsia="Palatino Linotype" w:hAnsi="Palatino Linotype" w:cs="Palatino Linotype"/>
        </w:rPr>
        <w:t xml:space="preserve"> en el Recurso de Revisión </w:t>
      </w:r>
      <w:r w:rsidRPr="007C282D">
        <w:rPr>
          <w:rFonts w:ascii="Palatino Linotype" w:eastAsia="Palatino Linotype" w:hAnsi="Palatino Linotype" w:cs="Palatino Linotype"/>
          <w:b/>
          <w:bCs/>
        </w:rPr>
        <w:t>09949/INFOEM/IP/RR/2025</w:t>
      </w:r>
      <w:r w:rsidRPr="007C282D">
        <w:rPr>
          <w:rFonts w:ascii="Palatino Linotype" w:eastAsia="Palatino Linotype" w:hAnsi="Palatino Linotype" w:cs="Palatino Linotype"/>
        </w:rPr>
        <w:t xml:space="preserve">, por lo que, en términos del </w:t>
      </w:r>
      <w:r w:rsidRPr="007C282D">
        <w:rPr>
          <w:rFonts w:ascii="Palatino Linotype" w:eastAsia="Palatino Linotype" w:hAnsi="Palatino Linotype" w:cs="Palatino Linotype"/>
          <w:b/>
          <w:bCs/>
        </w:rPr>
        <w:t>Considerando Cuarto</w:t>
      </w:r>
      <w:r w:rsidRPr="007C282D">
        <w:rPr>
          <w:rFonts w:ascii="Palatino Linotype" w:eastAsia="Palatino Linotype" w:hAnsi="Palatino Linotype" w:cs="Palatino Linotype"/>
        </w:rPr>
        <w:t xml:space="preserve"> de esta resolución, se </w:t>
      </w:r>
      <w:r w:rsidRPr="007C282D">
        <w:rPr>
          <w:rFonts w:ascii="Palatino Linotype" w:eastAsia="Palatino Linotype" w:hAnsi="Palatino Linotype" w:cs="Palatino Linotype"/>
          <w:b/>
          <w:bCs/>
        </w:rPr>
        <w:t>Revoca</w:t>
      </w:r>
      <w:r w:rsidRPr="007C282D">
        <w:rPr>
          <w:rFonts w:ascii="Palatino Linotype" w:eastAsia="Palatino Linotype" w:hAnsi="Palatino Linotype" w:cs="Palatino Linotype"/>
        </w:rPr>
        <w:t xml:space="preserve"> la respuesta emitida por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w:t>
      </w:r>
    </w:p>
    <w:p w14:paraId="492C184F" w14:textId="77777777" w:rsidR="00B066F5" w:rsidRPr="007C282D" w:rsidRDefault="00B066F5">
      <w:pPr>
        <w:spacing w:after="0" w:line="360" w:lineRule="auto"/>
        <w:ind w:right="49"/>
        <w:jc w:val="both"/>
        <w:rPr>
          <w:rFonts w:ascii="Palatino Linotype" w:eastAsia="Palatino Linotype" w:hAnsi="Palatino Linotype" w:cs="Palatino Linotype"/>
        </w:rPr>
      </w:pPr>
    </w:p>
    <w:p w14:paraId="3BAD7221" w14:textId="77777777" w:rsidR="00B066F5" w:rsidRPr="007C282D" w:rsidRDefault="00736573">
      <w:pPr>
        <w:spacing w:after="0" w:line="360" w:lineRule="auto"/>
        <w:ind w:right="49"/>
        <w:jc w:val="both"/>
        <w:rPr>
          <w:rFonts w:ascii="Palatino Linotype" w:eastAsia="Palatino Linotype" w:hAnsi="Palatino Linotype" w:cs="Palatino Linotype"/>
        </w:rPr>
      </w:pPr>
      <w:bookmarkStart w:id="3" w:name="_heading=h.1fob9te" w:colFirst="0" w:colLast="0"/>
      <w:bookmarkEnd w:id="3"/>
      <w:r w:rsidRPr="007C282D">
        <w:rPr>
          <w:rFonts w:ascii="Palatino Linotype" w:eastAsia="Palatino Linotype" w:hAnsi="Palatino Linotype" w:cs="Palatino Linotype"/>
          <w:b/>
          <w:bCs/>
        </w:rPr>
        <w:t>Segundo</w:t>
      </w:r>
      <w:r w:rsidRPr="007C282D">
        <w:rPr>
          <w:rFonts w:ascii="Palatino Linotype" w:eastAsia="Palatino Linotype" w:hAnsi="Palatino Linotype" w:cs="Palatino Linotype"/>
        </w:rPr>
        <w:t xml:space="preserve">. Se </w:t>
      </w:r>
      <w:r w:rsidRPr="007C282D">
        <w:rPr>
          <w:rFonts w:ascii="Palatino Linotype" w:eastAsia="Palatino Linotype" w:hAnsi="Palatino Linotype" w:cs="Palatino Linotype"/>
          <w:b/>
          <w:bCs/>
        </w:rPr>
        <w:t>ordena</w:t>
      </w:r>
      <w:r w:rsidRPr="007C282D">
        <w:rPr>
          <w:rFonts w:ascii="Palatino Linotype" w:eastAsia="Palatino Linotype" w:hAnsi="Palatino Linotype" w:cs="Palatino Linotype"/>
        </w:rPr>
        <w:t xml:space="preserve"> al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a que, en términos del Considerando Cuarto, haga entrega vía Sistema de Acceso a la Información Mexiquense, de lo siguiente:</w:t>
      </w:r>
    </w:p>
    <w:p w14:paraId="08003741" w14:textId="77777777" w:rsidR="00B066F5" w:rsidRPr="007C282D" w:rsidRDefault="00B066F5">
      <w:pPr>
        <w:spacing w:after="0" w:line="360" w:lineRule="auto"/>
        <w:ind w:right="49"/>
        <w:jc w:val="both"/>
        <w:rPr>
          <w:rFonts w:ascii="Palatino Linotype" w:eastAsia="Palatino Linotype" w:hAnsi="Palatino Linotype" w:cs="Palatino Linotype"/>
        </w:rPr>
      </w:pPr>
    </w:p>
    <w:p w14:paraId="0B54753C" w14:textId="77777777" w:rsidR="00B066F5" w:rsidRPr="007C282D" w:rsidRDefault="00736573" w:rsidP="00CE3E12">
      <w:pPr>
        <w:numPr>
          <w:ilvl w:val="0"/>
          <w:numId w:val="1"/>
        </w:numPr>
        <w:pBdr>
          <w:top w:val="nil"/>
          <w:left w:val="nil"/>
          <w:bottom w:val="nil"/>
          <w:right w:val="nil"/>
          <w:between w:val="nil"/>
        </w:pBdr>
        <w:spacing w:after="0"/>
        <w:ind w:left="284" w:right="276" w:firstLine="0"/>
        <w:jc w:val="both"/>
        <w:rPr>
          <w:rFonts w:ascii="Palatino Linotype" w:eastAsia="Palatino Linotype" w:hAnsi="Palatino Linotype" w:cs="Palatino Linotype"/>
          <w:b/>
          <w:bCs/>
        </w:rPr>
      </w:pPr>
      <w:r w:rsidRPr="007C282D">
        <w:rPr>
          <w:rFonts w:ascii="Palatino Linotype" w:eastAsia="Palatino Linotype" w:hAnsi="Palatino Linotype" w:cs="Palatino Linotype"/>
          <w:b/>
          <w:bCs/>
        </w:rPr>
        <w:t>Acuerdo emitido por el Comité de Transparencia donde confirme la clasificación, de manera fundada y motivada de los datos contenidos en los comprobantes de las transferencias bancarias a proveedores particulares remitidos en informe justificado, en términos del artículo 143, fracción I, de la Ley de Transparencia y Acceso a la Información Pública del Estado de México y Municipios.</w:t>
      </w:r>
    </w:p>
    <w:p w14:paraId="42223040" w14:textId="77777777" w:rsidR="00B066F5" w:rsidRPr="007C282D" w:rsidRDefault="00736573" w:rsidP="00CE3E12">
      <w:pPr>
        <w:numPr>
          <w:ilvl w:val="0"/>
          <w:numId w:val="1"/>
        </w:numPr>
        <w:pBdr>
          <w:top w:val="nil"/>
          <w:left w:val="nil"/>
          <w:bottom w:val="nil"/>
          <w:right w:val="nil"/>
          <w:between w:val="nil"/>
        </w:pBdr>
        <w:spacing w:after="0"/>
        <w:ind w:left="284" w:right="276" w:firstLine="0"/>
        <w:jc w:val="both"/>
        <w:rPr>
          <w:rFonts w:ascii="Palatino Linotype" w:eastAsia="Palatino Linotype" w:hAnsi="Palatino Linotype" w:cs="Palatino Linotype"/>
          <w:b/>
          <w:bCs/>
        </w:rPr>
      </w:pPr>
      <w:r w:rsidRPr="007C282D">
        <w:rPr>
          <w:rFonts w:ascii="Palatino Linotype" w:eastAsia="Palatino Linotype" w:hAnsi="Palatino Linotype" w:cs="Palatino Linotype"/>
          <w:b/>
          <w:bCs/>
        </w:rPr>
        <w:t>Los comprobantes de las transferencias bancarias realizadas a la Comisión Federal de Electricidad, remitidos en informe justificado, en su versión íntegra.</w:t>
      </w:r>
    </w:p>
    <w:p w14:paraId="34A1DC98" w14:textId="77777777" w:rsidR="00B066F5" w:rsidRPr="007C282D" w:rsidRDefault="00B066F5">
      <w:pPr>
        <w:pBdr>
          <w:top w:val="nil"/>
          <w:left w:val="nil"/>
          <w:bottom w:val="nil"/>
          <w:right w:val="nil"/>
          <w:between w:val="nil"/>
        </w:pBdr>
        <w:tabs>
          <w:tab w:val="left" w:pos="567"/>
          <w:tab w:val="left" w:pos="993"/>
        </w:tabs>
        <w:spacing w:after="0"/>
        <w:ind w:right="616"/>
        <w:jc w:val="both"/>
        <w:rPr>
          <w:rFonts w:ascii="Palatino Linotype" w:eastAsia="Palatino Linotype" w:hAnsi="Palatino Linotype" w:cs="Palatino Linotype"/>
          <w:b/>
          <w:bCs/>
          <w:i/>
          <w:iCs/>
        </w:rPr>
      </w:pPr>
    </w:p>
    <w:p w14:paraId="409888CA"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Tercero.</w:t>
      </w:r>
      <w:r w:rsidRPr="007C282D">
        <w:rPr>
          <w:rFonts w:ascii="Palatino Linotype" w:eastAsia="Palatino Linotype" w:hAnsi="Palatino Linotype" w:cs="Palatino Linotype"/>
        </w:rPr>
        <w:t xml:space="preserve"> </w:t>
      </w:r>
      <w:r w:rsidRPr="007C282D">
        <w:rPr>
          <w:rFonts w:ascii="Palatino Linotype" w:eastAsia="Palatino Linotype" w:hAnsi="Palatino Linotype" w:cs="Palatino Linotype"/>
          <w:b/>
          <w:bCs/>
        </w:rPr>
        <w:t xml:space="preserve">Notifíquese </w:t>
      </w:r>
      <w:r w:rsidRPr="007C282D">
        <w:rPr>
          <w:rFonts w:ascii="Palatino Linotype" w:eastAsia="Palatino Linotype" w:hAnsi="Palatino Linotype" w:cs="Palatino Linotype"/>
        </w:rPr>
        <w:t>vía</w:t>
      </w:r>
      <w:r w:rsidRPr="007C282D">
        <w:rPr>
          <w:rFonts w:ascii="Palatino Linotype" w:eastAsia="Palatino Linotype" w:hAnsi="Palatino Linotype" w:cs="Palatino Linotype"/>
          <w:b/>
          <w:bCs/>
        </w:rPr>
        <w:t xml:space="preserve"> SAIMEX </w:t>
      </w:r>
      <w:r w:rsidRPr="007C282D">
        <w:rPr>
          <w:rFonts w:ascii="Palatino Linotype" w:eastAsia="Palatino Linotype" w:hAnsi="Palatino Linotype" w:cs="Palatino Linotype"/>
        </w:rPr>
        <w:t>la presente resolución al T</w:t>
      </w:r>
      <w:r w:rsidRPr="007C282D">
        <w:rPr>
          <w:rFonts w:ascii="Palatino Linotype" w:eastAsia="Palatino Linotype" w:hAnsi="Palatino Linotype" w:cs="Palatino Linotype"/>
          <w:b/>
          <w:bCs/>
        </w:rPr>
        <w:t xml:space="preserve">itular de la Unidad de Transparencia </w:t>
      </w:r>
      <w:r w:rsidRPr="007C282D">
        <w:rPr>
          <w:rFonts w:ascii="Palatino Linotype" w:eastAsia="Palatino Linotype" w:hAnsi="Palatino Linotype" w:cs="Palatino Linotype"/>
        </w:rPr>
        <w:t xml:space="preserve">del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36C4717E" w14:textId="77777777" w:rsidR="00B066F5" w:rsidRPr="007C282D" w:rsidRDefault="00B066F5">
      <w:pPr>
        <w:spacing w:after="0" w:line="360" w:lineRule="auto"/>
        <w:ind w:right="49"/>
        <w:jc w:val="both"/>
        <w:rPr>
          <w:rFonts w:ascii="Palatino Linotype" w:eastAsia="Palatino Linotype" w:hAnsi="Palatino Linotype" w:cs="Palatino Linotype"/>
        </w:rPr>
      </w:pPr>
    </w:p>
    <w:p w14:paraId="2942CCE3"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Cuarto.</w:t>
      </w:r>
      <w:r w:rsidRPr="007C282D">
        <w:rPr>
          <w:rFonts w:ascii="Palatino Linotype" w:eastAsia="Palatino Linotype" w:hAnsi="Palatino Linotype" w:cs="Palatino Linotype"/>
        </w:rPr>
        <w:t xml:space="preserve"> </w:t>
      </w:r>
      <w:r w:rsidRPr="007C282D">
        <w:rPr>
          <w:rFonts w:ascii="Palatino Linotype" w:eastAsia="Palatino Linotype" w:hAnsi="Palatino Linotype" w:cs="Palatino Linotype"/>
          <w:b/>
          <w:bCs/>
        </w:rPr>
        <w:t xml:space="preserve">Notifíquese </w:t>
      </w:r>
      <w:r w:rsidRPr="007C282D">
        <w:rPr>
          <w:rFonts w:ascii="Palatino Linotype" w:eastAsia="Palatino Linotype" w:hAnsi="Palatino Linotype" w:cs="Palatino Linotype"/>
        </w:rPr>
        <w:t>vía</w:t>
      </w:r>
      <w:r w:rsidRPr="007C282D">
        <w:rPr>
          <w:rFonts w:ascii="Palatino Linotype" w:eastAsia="Palatino Linotype" w:hAnsi="Palatino Linotype" w:cs="Palatino Linotype"/>
          <w:b/>
          <w:bCs/>
        </w:rPr>
        <w:t xml:space="preserve"> SAIMEX</w:t>
      </w:r>
      <w:r w:rsidRPr="007C282D">
        <w:rPr>
          <w:rFonts w:ascii="Palatino Linotype" w:eastAsia="Palatino Linotype" w:hAnsi="Palatino Linotype" w:cs="Palatino Linotype"/>
        </w:rPr>
        <w:t xml:space="preserve"> a la parte </w:t>
      </w:r>
      <w:r w:rsidRPr="007C282D">
        <w:rPr>
          <w:rFonts w:ascii="Palatino Linotype" w:eastAsia="Palatino Linotype" w:hAnsi="Palatino Linotype" w:cs="Palatino Linotype"/>
          <w:b/>
          <w:bCs/>
        </w:rPr>
        <w:t xml:space="preserve">Recurrente </w:t>
      </w:r>
      <w:r w:rsidRPr="007C282D">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2BAD957" w14:textId="77777777" w:rsidR="00B066F5" w:rsidRPr="007C282D" w:rsidRDefault="00B066F5">
      <w:pPr>
        <w:spacing w:after="0" w:line="360" w:lineRule="auto"/>
        <w:ind w:right="49"/>
        <w:jc w:val="both"/>
        <w:rPr>
          <w:rFonts w:ascii="Palatino Linotype" w:eastAsia="Palatino Linotype" w:hAnsi="Palatino Linotype" w:cs="Palatino Linotype"/>
        </w:rPr>
      </w:pPr>
    </w:p>
    <w:p w14:paraId="55308CE9" w14:textId="77777777" w:rsidR="00B066F5" w:rsidRPr="007C282D" w:rsidRDefault="00736573">
      <w:pPr>
        <w:spacing w:after="0" w:line="360" w:lineRule="auto"/>
        <w:ind w:right="49"/>
        <w:jc w:val="both"/>
        <w:rPr>
          <w:rFonts w:ascii="Palatino Linotype" w:eastAsia="Palatino Linotype" w:hAnsi="Palatino Linotype" w:cs="Palatino Linotype"/>
        </w:rPr>
      </w:pPr>
      <w:r w:rsidRPr="007C282D">
        <w:rPr>
          <w:rFonts w:ascii="Palatino Linotype" w:eastAsia="Palatino Linotype" w:hAnsi="Palatino Linotype" w:cs="Palatino Linotype"/>
          <w:b/>
          <w:bCs/>
        </w:rPr>
        <w:t>Quinto.</w:t>
      </w:r>
      <w:r w:rsidRPr="007C282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7C282D">
        <w:rPr>
          <w:rFonts w:ascii="Palatino Linotype" w:eastAsia="Palatino Linotype" w:hAnsi="Palatino Linotype" w:cs="Palatino Linotype"/>
          <w:b/>
          <w:bCs/>
        </w:rPr>
        <w:t>Sujeto Obligado</w:t>
      </w:r>
      <w:r w:rsidRPr="007C282D">
        <w:rPr>
          <w:rFonts w:ascii="Palatino Linotype" w:eastAsia="Palatino Linotype" w:hAnsi="Palatino Linotype" w:cs="Palatino Linotype"/>
        </w:rPr>
        <w:t xml:space="preserve"> de manera fundada y motivada, podrá solicitar una ampliación de plazo para el cumplimiento de la presente resolución.</w:t>
      </w:r>
    </w:p>
    <w:p w14:paraId="429AAA3A" w14:textId="77777777" w:rsidR="00B066F5" w:rsidRPr="007C282D" w:rsidRDefault="00B066F5">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2814CE9" w14:textId="77777777" w:rsidR="00B066F5" w:rsidRPr="00E76FF8" w:rsidRDefault="00736573">
      <w:pPr>
        <w:spacing w:after="0" w:line="360" w:lineRule="auto"/>
        <w:ind w:right="49"/>
        <w:jc w:val="both"/>
        <w:rPr>
          <w:rFonts w:ascii="Palatino Linotype" w:eastAsia="Palatino Linotype" w:hAnsi="Palatino Linotype" w:cs="Palatino Linotype"/>
        </w:rPr>
      </w:pPr>
      <w:bookmarkStart w:id="4" w:name="_heading=h.gjdgxs" w:colFirst="0" w:colLast="0"/>
      <w:bookmarkEnd w:id="4"/>
      <w:r w:rsidRPr="007C282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VEINTICINCO DE NOVIEMBRE DE DOS MIL VEINTICINCO, ANTE EL SECRETARIO TÉCNICO DEL PLENO ALEXIS TAPIA RAMÍREZ.</w:t>
      </w:r>
      <w:r w:rsidRPr="00E76FF8">
        <w:rPr>
          <w:rFonts w:ascii="Palatino Linotype" w:eastAsia="Palatino Linotype" w:hAnsi="Palatino Linotype" w:cs="Palatino Linotype"/>
        </w:rPr>
        <w:t xml:space="preserve"> </w:t>
      </w:r>
    </w:p>
    <w:p w14:paraId="75705850" w14:textId="77777777" w:rsidR="00B066F5" w:rsidRPr="00E76FF8" w:rsidRDefault="00B066F5">
      <w:pPr>
        <w:spacing w:after="0" w:line="360" w:lineRule="auto"/>
        <w:ind w:right="49"/>
        <w:jc w:val="both"/>
        <w:rPr>
          <w:rFonts w:ascii="Palatino Linotype" w:eastAsia="Palatino Linotype" w:hAnsi="Palatino Linotype" w:cs="Palatino Linotype"/>
        </w:rPr>
      </w:pPr>
    </w:p>
    <w:p w14:paraId="71F8F4D0" w14:textId="77777777" w:rsidR="00B066F5" w:rsidRPr="00E76FF8" w:rsidRDefault="00B066F5">
      <w:pPr>
        <w:spacing w:after="0" w:line="360" w:lineRule="auto"/>
        <w:ind w:right="49"/>
        <w:jc w:val="both"/>
        <w:rPr>
          <w:rFonts w:ascii="Palatino Linotype" w:eastAsia="Palatino Linotype" w:hAnsi="Palatino Linotype" w:cs="Palatino Linotype"/>
        </w:rPr>
      </w:pPr>
    </w:p>
    <w:p w14:paraId="76D4C439" w14:textId="77777777" w:rsidR="00B066F5" w:rsidRPr="00E76FF8" w:rsidRDefault="00B066F5">
      <w:pPr>
        <w:spacing w:after="0" w:line="360" w:lineRule="auto"/>
        <w:ind w:right="49"/>
        <w:jc w:val="both"/>
        <w:rPr>
          <w:rFonts w:ascii="Palatino Linotype" w:eastAsia="Palatino Linotype" w:hAnsi="Palatino Linotype" w:cs="Palatino Linotype"/>
        </w:rPr>
      </w:pPr>
    </w:p>
    <w:p w14:paraId="5B78B7DD" w14:textId="77777777" w:rsidR="00B066F5" w:rsidRPr="00E76FF8" w:rsidRDefault="00B066F5">
      <w:pPr>
        <w:spacing w:after="0" w:line="360" w:lineRule="auto"/>
        <w:ind w:right="49"/>
        <w:jc w:val="both"/>
        <w:rPr>
          <w:rFonts w:ascii="Palatino Linotype" w:eastAsia="Palatino Linotype" w:hAnsi="Palatino Linotype" w:cs="Palatino Linotype"/>
        </w:rPr>
      </w:pPr>
    </w:p>
    <w:p w14:paraId="41328E8C" w14:textId="77777777" w:rsidR="00B066F5" w:rsidRPr="00E76FF8" w:rsidRDefault="00B066F5">
      <w:pPr>
        <w:spacing w:after="0" w:line="360" w:lineRule="auto"/>
        <w:ind w:right="49"/>
        <w:jc w:val="both"/>
        <w:rPr>
          <w:rFonts w:ascii="Palatino Linotype" w:eastAsia="Palatino Linotype" w:hAnsi="Palatino Linotype" w:cs="Palatino Linotype"/>
        </w:rPr>
      </w:pPr>
    </w:p>
    <w:p w14:paraId="4B9374F7" w14:textId="77777777" w:rsidR="00B066F5" w:rsidRPr="00E76FF8" w:rsidRDefault="00B066F5">
      <w:pPr>
        <w:spacing w:after="0" w:line="360" w:lineRule="auto"/>
        <w:ind w:right="49"/>
        <w:jc w:val="both"/>
        <w:rPr>
          <w:rFonts w:ascii="Palatino Linotype" w:eastAsia="Palatino Linotype" w:hAnsi="Palatino Linotype" w:cs="Palatino Linotype"/>
        </w:rPr>
      </w:pPr>
    </w:p>
    <w:p w14:paraId="72FAF4FB" w14:textId="77777777" w:rsidR="00B066F5" w:rsidRPr="00E76FF8" w:rsidRDefault="00B066F5">
      <w:pPr>
        <w:spacing w:after="0" w:line="360" w:lineRule="auto"/>
        <w:ind w:right="49"/>
        <w:jc w:val="both"/>
        <w:rPr>
          <w:rFonts w:ascii="Palatino Linotype" w:eastAsia="Palatino Linotype" w:hAnsi="Palatino Linotype" w:cs="Palatino Linotype"/>
        </w:rPr>
      </w:pPr>
    </w:p>
    <w:p w14:paraId="20952571" w14:textId="77777777" w:rsidR="00B066F5" w:rsidRPr="00E76FF8" w:rsidRDefault="00B066F5">
      <w:pPr>
        <w:spacing w:after="0" w:line="360" w:lineRule="auto"/>
        <w:ind w:right="49"/>
        <w:jc w:val="both"/>
        <w:rPr>
          <w:rFonts w:ascii="Palatino Linotype" w:eastAsia="Palatino Linotype" w:hAnsi="Palatino Linotype" w:cs="Palatino Linotype"/>
        </w:rPr>
      </w:pPr>
    </w:p>
    <w:p w14:paraId="14CA1507" w14:textId="77777777" w:rsidR="00B066F5" w:rsidRPr="00E76FF8" w:rsidRDefault="00B066F5">
      <w:pPr>
        <w:spacing w:after="0" w:line="360" w:lineRule="auto"/>
        <w:ind w:right="49"/>
        <w:jc w:val="both"/>
        <w:rPr>
          <w:rFonts w:ascii="Palatino Linotype" w:eastAsia="Palatino Linotype" w:hAnsi="Palatino Linotype" w:cs="Palatino Linotype"/>
        </w:rPr>
      </w:pPr>
    </w:p>
    <w:p w14:paraId="27957121" w14:textId="77777777" w:rsidR="00B066F5" w:rsidRPr="00E76FF8" w:rsidRDefault="00B066F5">
      <w:pPr>
        <w:spacing w:after="0" w:line="360" w:lineRule="auto"/>
        <w:ind w:right="49"/>
        <w:jc w:val="both"/>
        <w:rPr>
          <w:rFonts w:ascii="Palatino Linotype" w:eastAsia="Palatino Linotype" w:hAnsi="Palatino Linotype" w:cs="Palatino Linotype"/>
        </w:rPr>
      </w:pPr>
    </w:p>
    <w:p w14:paraId="2B21D2AF" w14:textId="77777777" w:rsidR="00B066F5" w:rsidRPr="00E76FF8" w:rsidRDefault="00B066F5">
      <w:pPr>
        <w:spacing w:after="0" w:line="360" w:lineRule="auto"/>
        <w:ind w:right="49"/>
        <w:jc w:val="both"/>
        <w:rPr>
          <w:rFonts w:ascii="Palatino Linotype" w:eastAsia="Palatino Linotype" w:hAnsi="Palatino Linotype" w:cs="Palatino Linotype"/>
        </w:rPr>
      </w:pPr>
    </w:p>
    <w:p w14:paraId="4B9C594B" w14:textId="77777777" w:rsidR="00B066F5" w:rsidRPr="00E76FF8" w:rsidRDefault="00B066F5">
      <w:pPr>
        <w:spacing w:after="0" w:line="360" w:lineRule="auto"/>
        <w:ind w:right="49"/>
        <w:jc w:val="both"/>
        <w:rPr>
          <w:rFonts w:ascii="Palatino Linotype" w:eastAsia="Palatino Linotype" w:hAnsi="Palatino Linotype" w:cs="Palatino Linotype"/>
        </w:rPr>
      </w:pPr>
    </w:p>
    <w:p w14:paraId="481A644B" w14:textId="77777777" w:rsidR="00B066F5" w:rsidRPr="00E76FF8" w:rsidRDefault="00B066F5">
      <w:pPr>
        <w:spacing w:after="0" w:line="360" w:lineRule="auto"/>
        <w:ind w:right="49"/>
        <w:jc w:val="both"/>
        <w:rPr>
          <w:rFonts w:ascii="Palatino Linotype" w:eastAsia="Palatino Linotype" w:hAnsi="Palatino Linotype" w:cs="Palatino Linotype"/>
        </w:rPr>
      </w:pPr>
    </w:p>
    <w:p w14:paraId="3786671D" w14:textId="77777777" w:rsidR="00B066F5" w:rsidRPr="00E76FF8" w:rsidRDefault="00B066F5">
      <w:pPr>
        <w:spacing w:after="0" w:line="360" w:lineRule="auto"/>
        <w:ind w:right="49"/>
        <w:jc w:val="both"/>
        <w:rPr>
          <w:rFonts w:ascii="Palatino Linotype" w:eastAsia="Palatino Linotype" w:hAnsi="Palatino Linotype" w:cs="Palatino Linotype"/>
        </w:rPr>
      </w:pPr>
    </w:p>
    <w:p w14:paraId="3A2EA385" w14:textId="77777777" w:rsidR="00B066F5" w:rsidRPr="00E76FF8" w:rsidRDefault="00B066F5">
      <w:pPr>
        <w:spacing w:after="0" w:line="360" w:lineRule="auto"/>
        <w:ind w:right="49"/>
        <w:jc w:val="both"/>
        <w:rPr>
          <w:rFonts w:ascii="Palatino Linotype" w:eastAsia="Palatino Linotype" w:hAnsi="Palatino Linotype" w:cs="Palatino Linotype"/>
        </w:rPr>
      </w:pPr>
    </w:p>
    <w:p w14:paraId="2A43F2F2" w14:textId="77777777" w:rsidR="00B066F5" w:rsidRPr="00E76FF8" w:rsidRDefault="00B066F5">
      <w:pPr>
        <w:spacing w:after="0" w:line="360" w:lineRule="auto"/>
        <w:ind w:right="49"/>
        <w:jc w:val="both"/>
        <w:rPr>
          <w:rFonts w:ascii="Palatino Linotype" w:eastAsia="Palatino Linotype" w:hAnsi="Palatino Linotype" w:cs="Palatino Linotype"/>
        </w:rPr>
      </w:pPr>
    </w:p>
    <w:p w14:paraId="0BCBE849" w14:textId="77777777" w:rsidR="00B066F5" w:rsidRPr="00E76FF8" w:rsidRDefault="00B066F5">
      <w:pPr>
        <w:spacing w:after="0" w:line="360" w:lineRule="auto"/>
        <w:ind w:right="49"/>
        <w:jc w:val="both"/>
        <w:rPr>
          <w:rFonts w:ascii="Palatino Linotype" w:eastAsia="Palatino Linotype" w:hAnsi="Palatino Linotype" w:cs="Palatino Linotype"/>
        </w:rPr>
      </w:pPr>
    </w:p>
    <w:p w14:paraId="289AFF1B" w14:textId="77777777" w:rsidR="00B066F5" w:rsidRPr="00E76FF8" w:rsidRDefault="00B066F5">
      <w:pPr>
        <w:spacing w:after="0" w:line="360" w:lineRule="auto"/>
        <w:ind w:right="49"/>
        <w:jc w:val="both"/>
        <w:rPr>
          <w:rFonts w:ascii="Palatino Linotype" w:eastAsia="Palatino Linotype" w:hAnsi="Palatino Linotype" w:cs="Palatino Linotype"/>
        </w:rPr>
      </w:pPr>
    </w:p>
    <w:p w14:paraId="5D396654" w14:textId="77777777" w:rsidR="00B066F5" w:rsidRPr="00E76FF8" w:rsidRDefault="00B066F5">
      <w:pPr>
        <w:spacing w:after="0" w:line="360" w:lineRule="auto"/>
        <w:ind w:right="49"/>
        <w:jc w:val="both"/>
        <w:rPr>
          <w:rFonts w:ascii="Palatino Linotype" w:eastAsia="Palatino Linotype" w:hAnsi="Palatino Linotype" w:cs="Palatino Linotype"/>
        </w:rPr>
      </w:pPr>
    </w:p>
    <w:p w14:paraId="7E179534" w14:textId="77777777" w:rsidR="00B066F5" w:rsidRPr="00E76FF8" w:rsidRDefault="00B066F5">
      <w:pPr>
        <w:spacing w:after="0" w:line="360" w:lineRule="auto"/>
        <w:ind w:right="49"/>
        <w:jc w:val="both"/>
        <w:rPr>
          <w:rFonts w:ascii="Palatino Linotype" w:eastAsia="Palatino Linotype" w:hAnsi="Palatino Linotype" w:cs="Palatino Linotype"/>
        </w:rPr>
      </w:pPr>
    </w:p>
    <w:p w14:paraId="69C3F349" w14:textId="77777777" w:rsidR="00B066F5" w:rsidRPr="00E76FF8" w:rsidRDefault="00B066F5">
      <w:pPr>
        <w:spacing w:after="0" w:line="360" w:lineRule="auto"/>
        <w:ind w:right="49"/>
        <w:jc w:val="both"/>
        <w:rPr>
          <w:rFonts w:ascii="Palatino Linotype" w:eastAsia="Palatino Linotype" w:hAnsi="Palatino Linotype" w:cs="Palatino Linotype"/>
        </w:rPr>
      </w:pPr>
    </w:p>
    <w:p w14:paraId="1D591A0D" w14:textId="77777777" w:rsidR="00B066F5" w:rsidRPr="00E76FF8" w:rsidRDefault="00B066F5">
      <w:pPr>
        <w:spacing w:after="0" w:line="360" w:lineRule="auto"/>
        <w:ind w:right="49"/>
        <w:jc w:val="both"/>
        <w:rPr>
          <w:rFonts w:ascii="Palatino Linotype" w:eastAsia="Palatino Linotype" w:hAnsi="Palatino Linotype" w:cs="Palatino Linotype"/>
        </w:rPr>
      </w:pPr>
    </w:p>
    <w:p w14:paraId="7E493917" w14:textId="77777777" w:rsidR="00B066F5" w:rsidRPr="00E76FF8" w:rsidRDefault="00B066F5">
      <w:pPr>
        <w:spacing w:after="0" w:line="360" w:lineRule="auto"/>
        <w:ind w:right="49"/>
        <w:jc w:val="both"/>
        <w:rPr>
          <w:rFonts w:ascii="Palatino Linotype" w:eastAsia="Palatino Linotype" w:hAnsi="Palatino Linotype" w:cs="Palatino Linotype"/>
        </w:rPr>
      </w:pPr>
    </w:p>
    <w:p w14:paraId="5A20156D" w14:textId="77777777" w:rsidR="00B066F5" w:rsidRPr="00E76FF8" w:rsidRDefault="00B066F5">
      <w:pPr>
        <w:spacing w:after="0" w:line="360" w:lineRule="auto"/>
        <w:ind w:right="49"/>
        <w:jc w:val="both"/>
        <w:rPr>
          <w:rFonts w:ascii="Palatino Linotype" w:eastAsia="Palatino Linotype" w:hAnsi="Palatino Linotype" w:cs="Palatino Linotype"/>
        </w:rPr>
      </w:pPr>
    </w:p>
    <w:sectPr w:rsidR="00B066F5" w:rsidRPr="00E76FF8">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D5159" w14:textId="77777777" w:rsidR="00710CF9" w:rsidRDefault="00710CF9">
      <w:pPr>
        <w:spacing w:after="0" w:line="240" w:lineRule="auto"/>
      </w:pPr>
      <w:r>
        <w:separator/>
      </w:r>
    </w:p>
  </w:endnote>
  <w:endnote w:type="continuationSeparator" w:id="0">
    <w:p w14:paraId="7B7A4936" w14:textId="77777777" w:rsidR="00710CF9" w:rsidRDefault="00710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69DB4A0-17C3-4C1D-852F-51373D8A23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84F54F-80F4-4279-990C-399B01BB90A1}"/>
    <w:embedBold r:id="rId3" w:fontKey="{BF0DAEE2-DA04-4AC1-AD53-16C41892DC81}"/>
  </w:font>
  <w:font w:name="Cambria">
    <w:panose1 w:val="02040503050406030204"/>
    <w:charset w:val="00"/>
    <w:family w:val="roman"/>
    <w:pitch w:val="variable"/>
    <w:sig w:usb0="E00006FF" w:usb1="420024FF" w:usb2="02000000" w:usb3="00000000" w:csb0="0000019F" w:csb1="00000000"/>
    <w:embedRegular r:id="rId4" w:fontKey="{28005D6E-CC65-48FD-991E-6501067C2856}"/>
    <w:embedItalic r:id="rId5" w:fontKey="{4E0F2C4A-9F07-4256-9DB3-6841D32A091E}"/>
  </w:font>
  <w:font w:name="Palatino Linotype">
    <w:panose1 w:val="02040502050505030304"/>
    <w:charset w:val="00"/>
    <w:family w:val="roman"/>
    <w:pitch w:val="variable"/>
    <w:sig w:usb0="E0000287" w:usb1="40000013" w:usb2="00000000" w:usb3="00000000" w:csb0="0000019F" w:csb1="00000000"/>
    <w:embedRegular r:id="rId6" w:fontKey="{939EE53F-1A87-4312-A288-76D8E65BE20F}"/>
    <w:embedBold r:id="rId7" w:fontKey="{DDE02B4E-1D96-4828-9A21-5CA228448D1B}"/>
    <w:embedItalic r:id="rId8" w:fontKey="{B9CD2A00-39D0-4D0F-98EA-50B9BD5CF890}"/>
    <w:embedBoldItalic r:id="rId9" w:fontKey="{1B72A22C-8A1B-4DCF-AB1E-691A69B9D84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5B76C227-DFF9-4A84-AC0E-3720BBAE06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E3FED" w14:textId="4E1080D8" w:rsidR="00B066F5" w:rsidRDefault="0073657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41A59">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41A59">
      <w:rPr>
        <w:b/>
        <w:bCs/>
        <w:noProof/>
        <w:color w:val="000000"/>
        <w:sz w:val="24"/>
        <w:szCs w:val="24"/>
      </w:rPr>
      <w:t>36</w:t>
    </w:r>
    <w:r>
      <w:rPr>
        <w:b/>
        <w:bCs/>
        <w:color w:val="000000"/>
        <w:sz w:val="24"/>
        <w:szCs w:val="24"/>
      </w:rPr>
      <w:fldChar w:fldCharType="end"/>
    </w:r>
  </w:p>
  <w:p w14:paraId="59073BC4" w14:textId="77777777" w:rsidR="00B066F5" w:rsidRDefault="00B066F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FF1A" w14:textId="19C6D87B" w:rsidR="00B066F5" w:rsidRDefault="0073657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41A5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41A59">
      <w:rPr>
        <w:b/>
        <w:bCs/>
        <w:noProof/>
        <w:color w:val="000000"/>
        <w:sz w:val="24"/>
        <w:szCs w:val="24"/>
      </w:rPr>
      <w:t>36</w:t>
    </w:r>
    <w:r>
      <w:rPr>
        <w:b/>
        <w:bCs/>
        <w:color w:val="000000"/>
        <w:sz w:val="24"/>
        <w:szCs w:val="24"/>
      </w:rPr>
      <w:fldChar w:fldCharType="end"/>
    </w:r>
  </w:p>
  <w:p w14:paraId="5682583E" w14:textId="77777777" w:rsidR="00B066F5" w:rsidRDefault="00B066F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692CD" w14:textId="77777777" w:rsidR="00710CF9" w:rsidRDefault="00710CF9">
      <w:pPr>
        <w:spacing w:after="0" w:line="240" w:lineRule="auto"/>
      </w:pPr>
      <w:r>
        <w:separator/>
      </w:r>
    </w:p>
  </w:footnote>
  <w:footnote w:type="continuationSeparator" w:id="0">
    <w:p w14:paraId="796E758F" w14:textId="77777777" w:rsidR="00710CF9" w:rsidRDefault="00710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2840" w14:textId="77777777" w:rsidR="00B066F5" w:rsidRDefault="00736573">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17BB33DC" wp14:editId="03C12FDB">
          <wp:simplePos x="0" y="0"/>
          <wp:positionH relativeFrom="column">
            <wp:posOffset>-717547</wp:posOffset>
          </wp:positionH>
          <wp:positionV relativeFrom="paragraph">
            <wp:posOffset>-250187</wp:posOffset>
          </wp:positionV>
          <wp:extent cx="7809876" cy="101658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B066F5" w14:paraId="0B257242" w14:textId="77777777">
      <w:tc>
        <w:tcPr>
          <w:tcW w:w="2551" w:type="dxa"/>
          <w:vAlign w:val="center"/>
        </w:tcPr>
        <w:p w14:paraId="2499EA7B"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3FC5323F"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09949/INFOEM/IP/RR/2025</w:t>
          </w:r>
        </w:p>
      </w:tc>
    </w:tr>
    <w:tr w:rsidR="00B066F5" w14:paraId="5563AD5F" w14:textId="77777777">
      <w:trPr>
        <w:trHeight w:val="217"/>
      </w:trPr>
      <w:tc>
        <w:tcPr>
          <w:tcW w:w="2551" w:type="dxa"/>
          <w:vAlign w:val="center"/>
        </w:tcPr>
        <w:p w14:paraId="369CF983"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3F1CDE85" w14:textId="77777777" w:rsidR="00B066F5" w:rsidRDefault="00B066F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51917C8A" w14:textId="77777777" w:rsidR="00B066F5" w:rsidRDefault="00736573">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Zinacantepec</w:t>
          </w:r>
        </w:p>
      </w:tc>
    </w:tr>
    <w:tr w:rsidR="00B066F5" w14:paraId="4D02DC33" w14:textId="77777777">
      <w:tc>
        <w:tcPr>
          <w:tcW w:w="2551" w:type="dxa"/>
          <w:vAlign w:val="center"/>
        </w:tcPr>
        <w:p w14:paraId="6BFEFD49"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3047C950"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01C67E14" w14:textId="77777777" w:rsidR="00B066F5" w:rsidRDefault="00B066F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2EDC" w14:textId="77777777" w:rsidR="00B066F5" w:rsidRDefault="00736573">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5558920" wp14:editId="5D7A5CAD">
          <wp:simplePos x="0" y="0"/>
          <wp:positionH relativeFrom="column">
            <wp:posOffset>-725802</wp:posOffset>
          </wp:positionH>
          <wp:positionV relativeFrom="paragraph">
            <wp:posOffset>-29839</wp:posOffset>
          </wp:positionV>
          <wp:extent cx="7809865" cy="1016571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B066F5" w14:paraId="2C535627" w14:textId="77777777">
      <w:tc>
        <w:tcPr>
          <w:tcW w:w="2551" w:type="dxa"/>
          <w:vAlign w:val="center"/>
        </w:tcPr>
        <w:p w14:paraId="204B624D"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706D62E"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09949/INFOEM/IP/RR/2025</w:t>
          </w:r>
        </w:p>
      </w:tc>
    </w:tr>
    <w:tr w:rsidR="00B066F5" w14:paraId="570D426F" w14:textId="77777777">
      <w:tc>
        <w:tcPr>
          <w:tcW w:w="2551" w:type="dxa"/>
          <w:vAlign w:val="center"/>
        </w:tcPr>
        <w:p w14:paraId="141CD12D"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Recurrente:</w:t>
          </w:r>
        </w:p>
      </w:tc>
      <w:tc>
        <w:tcPr>
          <w:tcW w:w="3052" w:type="dxa"/>
          <w:vAlign w:val="center"/>
        </w:tcPr>
        <w:p w14:paraId="3091739E" w14:textId="77777777" w:rsidR="00B066F5" w:rsidRDefault="00B066F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r>
    <w:tr w:rsidR="00B066F5" w14:paraId="4DFA6DD4" w14:textId="77777777">
      <w:trPr>
        <w:trHeight w:val="152"/>
      </w:trPr>
      <w:tc>
        <w:tcPr>
          <w:tcW w:w="2551" w:type="dxa"/>
          <w:vAlign w:val="center"/>
        </w:tcPr>
        <w:p w14:paraId="32BA9034" w14:textId="77777777" w:rsidR="00B066F5" w:rsidRDefault="00736573">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3A3ADE07" w14:textId="77777777" w:rsidR="00B066F5" w:rsidRDefault="00B066F5">
          <w:pP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7F6482CA" w14:textId="77777777" w:rsidR="00B066F5" w:rsidRDefault="00736573">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Zinacantepec</w:t>
          </w:r>
        </w:p>
      </w:tc>
    </w:tr>
    <w:tr w:rsidR="00B066F5" w14:paraId="0F477D42" w14:textId="77777777">
      <w:tc>
        <w:tcPr>
          <w:tcW w:w="2551" w:type="dxa"/>
          <w:vAlign w:val="center"/>
        </w:tcPr>
        <w:p w14:paraId="1B542DF7"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07742F4E" w14:textId="77777777" w:rsidR="00B066F5" w:rsidRDefault="007365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449D101D" w14:textId="77777777" w:rsidR="00B066F5" w:rsidRDefault="0073657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42F6E"/>
    <w:multiLevelType w:val="multilevel"/>
    <w:tmpl w:val="7B805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CD0CF3"/>
    <w:multiLevelType w:val="multilevel"/>
    <w:tmpl w:val="E878E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D9679C"/>
    <w:multiLevelType w:val="multilevel"/>
    <w:tmpl w:val="281064E8"/>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EC08A2"/>
    <w:multiLevelType w:val="multilevel"/>
    <w:tmpl w:val="9A1E16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76F3EC2"/>
    <w:multiLevelType w:val="multilevel"/>
    <w:tmpl w:val="BA9A2322"/>
    <w:lvl w:ilvl="0">
      <w:start w:val="4"/>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7E3B4A"/>
    <w:multiLevelType w:val="multilevel"/>
    <w:tmpl w:val="958E1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6F5"/>
    <w:rsid w:val="00144E1E"/>
    <w:rsid w:val="00710CF9"/>
    <w:rsid w:val="00736573"/>
    <w:rsid w:val="007C282D"/>
    <w:rsid w:val="00941A59"/>
    <w:rsid w:val="00B066F5"/>
    <w:rsid w:val="00CE3E12"/>
    <w:rsid w:val="00E76F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E36E"/>
  <w15:docId w15:val="{C08CF8D0-B8BD-4A5A-9680-80D73935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paragraph" w:styleId="Sinespaciado">
    <w:name w:val="No Spacing"/>
    <w:aliases w:val="Francesa,INAI"/>
    <w:link w:val="SinespaciadoCar"/>
    <w:uiPriority w:val="1"/>
    <w:qFormat/>
    <w:rsid w:val="005414DC"/>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5414D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00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0D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6D8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6D86"/>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A6D86"/>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A6D86"/>
    <w:rPr>
      <w:vertAlign w:val="superscript"/>
    </w:rPr>
  </w:style>
  <w:style w:type="paragraph" w:customStyle="1" w:styleId="Citas">
    <w:name w:val="Citas"/>
    <w:basedOn w:val="Normal"/>
    <w:qFormat/>
    <w:rsid w:val="008A6D86"/>
    <w:pPr>
      <w:spacing w:before="240" w:after="160" w:line="360" w:lineRule="auto"/>
      <w:ind w:left="851" w:right="851"/>
      <w:jc w:val="both"/>
    </w:pPr>
    <w:rPr>
      <w:rFonts w:ascii="Palatino Linotype" w:eastAsiaTheme="minorHAnsi" w:hAnsi="Palatino Linotype" w:cs="Arial"/>
      <w:i/>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15" w:type="dxa"/>
        <w:left w:w="115" w:type="dxa"/>
        <w:bottom w:w="15" w:type="dxa"/>
        <w:right w:w="115" w:type="dxa"/>
      </w:tblCellMar>
    </w:tblPr>
  </w:style>
  <w:style w:type="table" w:customStyle="1" w:styleId="a6">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29+nBSxc/t3j7fYAtMr53uALg==">CgMxLjAyDmguc245eDYweHplMHIwMgloLjMwajB6bGwyCWguMWZvYjl0ZTIIaC5namRneHM4AHIhMTFCdWYtTzVpdFdVZWhyZDZQbnlJa2VwQUVnZHdKLWUy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10011</Words>
  <Characters>55066</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2025-11-27T18:30:00Z</cp:lastPrinted>
  <dcterms:created xsi:type="dcterms:W3CDTF">2025-12-15T02:59:00Z</dcterms:created>
  <dcterms:modified xsi:type="dcterms:W3CDTF">2025-12-15T02:59:00Z</dcterms:modified>
</cp:coreProperties>
</file>