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9AD993" w14:textId="77777777" w:rsidR="00E565A0" w:rsidRPr="006E246F" w:rsidRDefault="009458BD">
      <w:pPr>
        <w:spacing w:before="240" w:after="240" w:line="360" w:lineRule="auto"/>
        <w:jc w:val="both"/>
        <w:rPr>
          <w:rFonts w:ascii="Palatino Linotype" w:eastAsia="Palatino Linotype" w:hAnsi="Palatino Linotype" w:cs="Palatino Linotype"/>
          <w:b/>
          <w:sz w:val="22"/>
          <w:szCs w:val="22"/>
        </w:rPr>
      </w:pPr>
      <w:bookmarkStart w:id="0" w:name="_heading=h.1fob9te" w:colFirst="0" w:colLast="0"/>
      <w:bookmarkEnd w:id="0"/>
      <w:r w:rsidRPr="006E246F">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w:t>
      </w:r>
      <w:r w:rsidRPr="006E246F">
        <w:rPr>
          <w:rFonts w:ascii="Palatino Linotype" w:eastAsia="Palatino Linotype" w:hAnsi="Palatino Linotype" w:cs="Palatino Linotype"/>
          <w:b/>
          <w:sz w:val="22"/>
          <w:szCs w:val="22"/>
        </w:rPr>
        <w:t>a dieciséis de julio de dos mil veinticinco</w:t>
      </w:r>
      <w:r w:rsidRPr="006E246F">
        <w:rPr>
          <w:rFonts w:ascii="Palatino Linotype" w:eastAsia="Palatino Linotype" w:hAnsi="Palatino Linotype" w:cs="Palatino Linotype"/>
          <w:sz w:val="22"/>
          <w:szCs w:val="22"/>
        </w:rPr>
        <w:t xml:space="preserve">. </w:t>
      </w:r>
    </w:p>
    <w:p w14:paraId="5599C35A" w14:textId="77777777" w:rsidR="00E565A0" w:rsidRPr="006E246F" w:rsidRDefault="009458BD">
      <w:pPr>
        <w:spacing w:before="240" w:after="240" w:line="360" w:lineRule="auto"/>
        <w:jc w:val="both"/>
        <w:rPr>
          <w:rFonts w:ascii="Palatino Linotype" w:eastAsia="Palatino Linotype" w:hAnsi="Palatino Linotype" w:cs="Palatino Linotype"/>
          <w:sz w:val="22"/>
          <w:szCs w:val="22"/>
        </w:rPr>
      </w:pPr>
      <w:bookmarkStart w:id="1" w:name="_heading=h.4d34og8" w:colFirst="0" w:colLast="0"/>
      <w:bookmarkEnd w:id="1"/>
      <w:r w:rsidRPr="006E246F">
        <w:rPr>
          <w:rFonts w:ascii="Palatino Linotype" w:eastAsia="Palatino Linotype" w:hAnsi="Palatino Linotype" w:cs="Palatino Linotype"/>
          <w:b/>
          <w:sz w:val="22"/>
          <w:szCs w:val="22"/>
        </w:rPr>
        <w:t>Visto</w:t>
      </w:r>
      <w:r w:rsidRPr="006E246F">
        <w:rPr>
          <w:rFonts w:ascii="Palatino Linotype" w:eastAsia="Palatino Linotype" w:hAnsi="Palatino Linotype" w:cs="Palatino Linotype"/>
          <w:sz w:val="22"/>
          <w:szCs w:val="22"/>
        </w:rPr>
        <w:t xml:space="preserve"> el expediente formado con motivo del recurso de revisión </w:t>
      </w:r>
      <w:r w:rsidRPr="006E246F">
        <w:rPr>
          <w:rFonts w:ascii="Palatino Linotype" w:eastAsia="Palatino Linotype" w:hAnsi="Palatino Linotype" w:cs="Palatino Linotype"/>
          <w:b/>
          <w:sz w:val="22"/>
          <w:szCs w:val="22"/>
        </w:rPr>
        <w:t>03929/INFOEM/IP/RR/2025</w:t>
      </w:r>
      <w:r w:rsidRPr="006E246F">
        <w:rPr>
          <w:rFonts w:ascii="Palatino Linotype" w:eastAsia="Palatino Linotype" w:hAnsi="Palatino Linotype" w:cs="Palatino Linotype"/>
          <w:sz w:val="22"/>
          <w:szCs w:val="22"/>
        </w:rPr>
        <w:t>, interpuesto por</w:t>
      </w:r>
      <w:r w:rsidRPr="006E246F">
        <w:t xml:space="preserve"> </w:t>
      </w:r>
      <w:r w:rsidRPr="006E246F">
        <w:rPr>
          <w:rFonts w:ascii="Palatino Linotype" w:eastAsia="Palatino Linotype" w:hAnsi="Palatino Linotype" w:cs="Palatino Linotype"/>
          <w:b/>
          <w:sz w:val="22"/>
          <w:szCs w:val="22"/>
        </w:rPr>
        <w:t>una persona usuaria del Sistema de Acceso a la Información Mexiquense que no proporcionó nombre,</w:t>
      </w:r>
      <w:r w:rsidRPr="006E246F">
        <w:rPr>
          <w:rFonts w:ascii="Palatino Linotype" w:eastAsia="Palatino Linotype" w:hAnsi="Palatino Linotype" w:cs="Palatino Linotype"/>
          <w:sz w:val="22"/>
          <w:szCs w:val="22"/>
        </w:rPr>
        <w:t xml:space="preserve"> en lo sucesivo</w:t>
      </w:r>
      <w:r w:rsidRPr="006E246F">
        <w:rPr>
          <w:rFonts w:ascii="Palatino Linotype" w:eastAsia="Palatino Linotype" w:hAnsi="Palatino Linotype" w:cs="Palatino Linotype"/>
          <w:b/>
          <w:sz w:val="22"/>
          <w:szCs w:val="22"/>
        </w:rPr>
        <w:t xml:space="preserve"> la parte</w:t>
      </w:r>
      <w:r w:rsidRPr="006E246F">
        <w:rPr>
          <w:rFonts w:ascii="Palatino Linotype" w:eastAsia="Palatino Linotype" w:hAnsi="Palatino Linotype" w:cs="Palatino Linotype"/>
          <w:sz w:val="22"/>
          <w:szCs w:val="22"/>
        </w:rPr>
        <w:t xml:space="preserve"> </w:t>
      </w:r>
      <w:r w:rsidRPr="006E246F">
        <w:rPr>
          <w:rFonts w:ascii="Palatino Linotype" w:eastAsia="Palatino Linotype" w:hAnsi="Palatino Linotype" w:cs="Palatino Linotype"/>
          <w:b/>
          <w:sz w:val="22"/>
          <w:szCs w:val="22"/>
        </w:rPr>
        <w:t>Recurrente,</w:t>
      </w:r>
      <w:r w:rsidRPr="006E246F">
        <w:rPr>
          <w:rFonts w:ascii="Palatino Linotype" w:eastAsia="Palatino Linotype" w:hAnsi="Palatino Linotype" w:cs="Palatino Linotype"/>
          <w:sz w:val="22"/>
          <w:szCs w:val="22"/>
        </w:rPr>
        <w:t xml:space="preserve"> en contra de la respuesta a su solicitud por parte del </w:t>
      </w:r>
      <w:r w:rsidRPr="006E246F">
        <w:rPr>
          <w:rFonts w:ascii="Palatino Linotype" w:eastAsia="Palatino Linotype" w:hAnsi="Palatino Linotype" w:cs="Palatino Linotype"/>
          <w:b/>
          <w:sz w:val="22"/>
          <w:szCs w:val="22"/>
        </w:rPr>
        <w:t xml:space="preserve">Secretaría de Movilidad, </w:t>
      </w:r>
      <w:r w:rsidRPr="006E246F">
        <w:rPr>
          <w:rFonts w:ascii="Palatino Linotype" w:eastAsia="Palatino Linotype" w:hAnsi="Palatino Linotype" w:cs="Palatino Linotype"/>
          <w:sz w:val="22"/>
          <w:szCs w:val="22"/>
        </w:rPr>
        <w:t xml:space="preserve">en lo sucesivo el </w:t>
      </w:r>
      <w:r w:rsidRPr="006E246F">
        <w:rPr>
          <w:rFonts w:ascii="Palatino Linotype" w:eastAsia="Palatino Linotype" w:hAnsi="Palatino Linotype" w:cs="Palatino Linotype"/>
          <w:b/>
          <w:sz w:val="22"/>
          <w:szCs w:val="22"/>
        </w:rPr>
        <w:t xml:space="preserve">Sujeto Obligado, </w:t>
      </w:r>
      <w:r w:rsidRPr="006E246F">
        <w:rPr>
          <w:rFonts w:ascii="Palatino Linotype" w:eastAsia="Palatino Linotype" w:hAnsi="Palatino Linotype" w:cs="Palatino Linotype"/>
          <w:sz w:val="22"/>
          <w:szCs w:val="22"/>
        </w:rPr>
        <w:t xml:space="preserve">se procede a dictar la presente resolución con base en los siguientes: </w:t>
      </w:r>
    </w:p>
    <w:p w14:paraId="06E84391" w14:textId="77777777" w:rsidR="00E565A0" w:rsidRPr="006E246F" w:rsidRDefault="009458BD">
      <w:pPr>
        <w:spacing w:before="240" w:after="240" w:line="360" w:lineRule="auto"/>
        <w:jc w:val="center"/>
        <w:rPr>
          <w:rFonts w:ascii="Palatino Linotype" w:eastAsia="Palatino Linotype" w:hAnsi="Palatino Linotype" w:cs="Palatino Linotype"/>
          <w:b/>
          <w:sz w:val="22"/>
          <w:szCs w:val="22"/>
        </w:rPr>
      </w:pPr>
      <w:r w:rsidRPr="006E246F">
        <w:rPr>
          <w:rFonts w:ascii="Palatino Linotype" w:eastAsia="Palatino Linotype" w:hAnsi="Palatino Linotype" w:cs="Palatino Linotype"/>
          <w:b/>
          <w:sz w:val="22"/>
          <w:szCs w:val="22"/>
        </w:rPr>
        <w:t>I. A N T E C E D E N T E S</w:t>
      </w:r>
    </w:p>
    <w:p w14:paraId="1774CC6C" w14:textId="77777777" w:rsidR="00E565A0" w:rsidRPr="006E246F" w:rsidRDefault="009458BD">
      <w:pPr>
        <w:spacing w:before="240" w:after="240" w:line="360" w:lineRule="auto"/>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b/>
          <w:sz w:val="22"/>
          <w:szCs w:val="22"/>
        </w:rPr>
        <w:t>1. Solicitud de acceso a la información.</w:t>
      </w:r>
      <w:r w:rsidRPr="006E246F">
        <w:rPr>
          <w:rFonts w:ascii="Palatino Linotype" w:eastAsia="Palatino Linotype" w:hAnsi="Palatino Linotype" w:cs="Palatino Linotype"/>
          <w:sz w:val="22"/>
          <w:szCs w:val="22"/>
        </w:rPr>
        <w:t xml:space="preserve"> El </w:t>
      </w:r>
      <w:r w:rsidRPr="006E246F">
        <w:rPr>
          <w:rFonts w:ascii="Palatino Linotype" w:eastAsia="Palatino Linotype" w:hAnsi="Palatino Linotype" w:cs="Palatino Linotype"/>
          <w:b/>
          <w:sz w:val="22"/>
          <w:szCs w:val="22"/>
        </w:rPr>
        <w:t>diecinueve de febrero de dos mil veinticinco,</w:t>
      </w:r>
      <w:r w:rsidRPr="006E246F">
        <w:rPr>
          <w:rFonts w:ascii="Palatino Linotype" w:eastAsia="Palatino Linotype" w:hAnsi="Palatino Linotype" w:cs="Palatino Linotype"/>
          <w:sz w:val="22"/>
          <w:szCs w:val="22"/>
        </w:rPr>
        <w:t xml:space="preserve"> </w:t>
      </w:r>
      <w:r w:rsidRPr="006E246F">
        <w:rPr>
          <w:rFonts w:ascii="Palatino Linotype" w:eastAsia="Palatino Linotype" w:hAnsi="Palatino Linotype" w:cs="Palatino Linotype"/>
          <w:b/>
          <w:sz w:val="22"/>
          <w:szCs w:val="22"/>
        </w:rPr>
        <w:t>la parte</w:t>
      </w:r>
      <w:r w:rsidRPr="006E246F">
        <w:rPr>
          <w:rFonts w:ascii="Palatino Linotype" w:eastAsia="Palatino Linotype" w:hAnsi="Palatino Linotype" w:cs="Palatino Linotype"/>
          <w:sz w:val="22"/>
          <w:szCs w:val="22"/>
        </w:rPr>
        <w:t xml:space="preserve"> </w:t>
      </w:r>
      <w:r w:rsidRPr="006E246F">
        <w:rPr>
          <w:rFonts w:ascii="Palatino Linotype" w:eastAsia="Palatino Linotype" w:hAnsi="Palatino Linotype" w:cs="Palatino Linotype"/>
          <w:b/>
          <w:sz w:val="22"/>
          <w:szCs w:val="22"/>
        </w:rPr>
        <w:t xml:space="preserve">Recurrente </w:t>
      </w:r>
      <w:r w:rsidRPr="006E246F">
        <w:rPr>
          <w:rFonts w:ascii="Palatino Linotype" w:eastAsia="Palatino Linotype" w:hAnsi="Palatino Linotype" w:cs="Palatino Linotype"/>
          <w:sz w:val="22"/>
          <w:szCs w:val="22"/>
        </w:rPr>
        <w:t xml:space="preserve">a través del Sistema de Acceso a la Información Mexiquense, en lo subsecuente el SAIMEX, formuló ante el </w:t>
      </w:r>
      <w:r w:rsidRPr="006E246F">
        <w:rPr>
          <w:rFonts w:ascii="Palatino Linotype" w:eastAsia="Palatino Linotype" w:hAnsi="Palatino Linotype" w:cs="Palatino Linotype"/>
          <w:b/>
          <w:sz w:val="22"/>
          <w:szCs w:val="22"/>
        </w:rPr>
        <w:t>Sujeto Obligado</w:t>
      </w:r>
      <w:r w:rsidRPr="006E246F">
        <w:rPr>
          <w:rFonts w:ascii="Palatino Linotype" w:eastAsia="Palatino Linotype" w:hAnsi="Palatino Linotype" w:cs="Palatino Linotype"/>
          <w:sz w:val="22"/>
          <w:szCs w:val="22"/>
        </w:rPr>
        <w:t>, la solicitud de acceso a la información pública a la que se le asignó el número</w:t>
      </w:r>
      <w:r w:rsidRPr="006E246F">
        <w:t xml:space="preserve"> </w:t>
      </w:r>
      <w:r w:rsidRPr="006E246F">
        <w:rPr>
          <w:rFonts w:ascii="Palatino Linotype" w:eastAsia="Palatino Linotype" w:hAnsi="Palatino Linotype" w:cs="Palatino Linotype"/>
          <w:b/>
          <w:sz w:val="22"/>
          <w:szCs w:val="22"/>
        </w:rPr>
        <w:t xml:space="preserve">00126/SMOV/IP/2025; </w:t>
      </w:r>
      <w:r w:rsidRPr="006E246F">
        <w:rPr>
          <w:rFonts w:ascii="Palatino Linotype" w:eastAsia="Palatino Linotype" w:hAnsi="Palatino Linotype" w:cs="Palatino Linotype"/>
          <w:sz w:val="22"/>
          <w:szCs w:val="22"/>
        </w:rPr>
        <w:t xml:space="preserve">mediante la cual requirió la información siguiente: </w:t>
      </w:r>
    </w:p>
    <w:p w14:paraId="76D30E4B" w14:textId="77777777" w:rsidR="00E565A0" w:rsidRPr="006E246F" w:rsidRDefault="009458BD">
      <w:pPr>
        <w:spacing w:before="240" w:after="240"/>
        <w:ind w:left="567" w:right="474"/>
        <w:jc w:val="both"/>
        <w:rPr>
          <w:rFonts w:ascii="Palatino Linotype" w:eastAsia="Palatino Linotype" w:hAnsi="Palatino Linotype" w:cs="Palatino Linotype"/>
          <w:i/>
          <w:sz w:val="22"/>
          <w:szCs w:val="22"/>
        </w:rPr>
      </w:pPr>
      <w:bookmarkStart w:id="2" w:name="_heading=h.gjdgxs" w:colFirst="0" w:colLast="0"/>
      <w:bookmarkEnd w:id="2"/>
      <w:r w:rsidRPr="006E246F">
        <w:rPr>
          <w:rFonts w:ascii="Palatino Linotype" w:eastAsia="Palatino Linotype" w:hAnsi="Palatino Linotype" w:cs="Palatino Linotype"/>
          <w:i/>
          <w:sz w:val="22"/>
          <w:szCs w:val="22"/>
        </w:rPr>
        <w:t xml:space="preserve">“El nombre de las operadoras de transporte público, su licencia de manejo, la ruta a la que pertenece y las capacitación o certificaciones otorgada para ser operadores en los últimos 2 años” (Sic) </w:t>
      </w:r>
    </w:p>
    <w:p w14:paraId="19D842E4" w14:textId="77777777" w:rsidR="00E565A0" w:rsidRPr="006E246F" w:rsidRDefault="009458BD">
      <w:pPr>
        <w:spacing w:before="240" w:after="240" w:line="360" w:lineRule="auto"/>
        <w:ind w:right="49"/>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b/>
          <w:sz w:val="22"/>
          <w:szCs w:val="22"/>
        </w:rPr>
        <w:t>Modalidad de Entrega:</w:t>
      </w:r>
      <w:r w:rsidRPr="006E246F">
        <w:rPr>
          <w:rFonts w:ascii="Palatino Linotype" w:eastAsia="Palatino Linotype" w:hAnsi="Palatino Linotype" w:cs="Palatino Linotype"/>
          <w:sz w:val="22"/>
          <w:szCs w:val="22"/>
        </w:rPr>
        <w:t xml:space="preserve"> a través del Sistema de Acceso a la Información Mexiquense (SAIMEX).</w:t>
      </w:r>
    </w:p>
    <w:p w14:paraId="188AF12F" w14:textId="77777777" w:rsidR="00E565A0" w:rsidRPr="006E246F" w:rsidRDefault="009458BD">
      <w:pPr>
        <w:pBdr>
          <w:top w:val="nil"/>
          <w:left w:val="nil"/>
          <w:bottom w:val="nil"/>
          <w:right w:val="nil"/>
          <w:between w:val="nil"/>
        </w:pBdr>
        <w:tabs>
          <w:tab w:val="left" w:pos="142"/>
          <w:tab w:val="left" w:pos="284"/>
        </w:tabs>
        <w:spacing w:before="240" w:after="240" w:line="360" w:lineRule="auto"/>
        <w:jc w:val="both"/>
        <w:rPr>
          <w:rFonts w:ascii="Palatino Linotype" w:eastAsia="Palatino Linotype" w:hAnsi="Palatino Linotype" w:cs="Palatino Linotype"/>
          <w:b/>
          <w:sz w:val="22"/>
          <w:szCs w:val="22"/>
        </w:rPr>
      </w:pPr>
      <w:bookmarkStart w:id="3" w:name="_heading=h.3dy6vkm" w:colFirst="0" w:colLast="0"/>
      <w:bookmarkEnd w:id="3"/>
      <w:r w:rsidRPr="006E246F">
        <w:rPr>
          <w:rFonts w:ascii="Palatino Linotype" w:eastAsia="Palatino Linotype" w:hAnsi="Palatino Linotype" w:cs="Palatino Linotype"/>
          <w:b/>
          <w:sz w:val="22"/>
          <w:szCs w:val="22"/>
        </w:rPr>
        <w:t>2.</w:t>
      </w:r>
      <w:r w:rsidRPr="006E246F">
        <w:t xml:space="preserve"> </w:t>
      </w:r>
      <w:r w:rsidRPr="006E246F">
        <w:rPr>
          <w:rFonts w:ascii="Palatino Linotype" w:eastAsia="Palatino Linotype" w:hAnsi="Palatino Linotype" w:cs="Palatino Linotype"/>
          <w:b/>
          <w:sz w:val="22"/>
          <w:szCs w:val="22"/>
        </w:rPr>
        <w:t xml:space="preserve">Respuesta. </w:t>
      </w:r>
      <w:r w:rsidRPr="006E246F">
        <w:rPr>
          <w:rFonts w:ascii="Palatino Linotype" w:eastAsia="Palatino Linotype" w:hAnsi="Palatino Linotype" w:cs="Palatino Linotype"/>
          <w:sz w:val="22"/>
          <w:szCs w:val="22"/>
        </w:rPr>
        <w:t xml:space="preserve">El </w:t>
      </w:r>
      <w:r w:rsidRPr="006E246F">
        <w:rPr>
          <w:rFonts w:ascii="Palatino Linotype" w:eastAsia="Palatino Linotype" w:hAnsi="Palatino Linotype" w:cs="Palatino Linotype"/>
          <w:b/>
          <w:sz w:val="22"/>
          <w:szCs w:val="22"/>
        </w:rPr>
        <w:t>trece de marzo de dos mil veinticinco</w:t>
      </w:r>
      <w:r w:rsidRPr="006E246F">
        <w:rPr>
          <w:rFonts w:ascii="Palatino Linotype" w:eastAsia="Palatino Linotype" w:hAnsi="Palatino Linotype" w:cs="Palatino Linotype"/>
          <w:sz w:val="22"/>
          <w:szCs w:val="22"/>
        </w:rPr>
        <w:t xml:space="preserve">, el </w:t>
      </w:r>
      <w:r w:rsidRPr="006E246F">
        <w:rPr>
          <w:rFonts w:ascii="Palatino Linotype" w:eastAsia="Palatino Linotype" w:hAnsi="Palatino Linotype" w:cs="Palatino Linotype"/>
          <w:b/>
          <w:sz w:val="22"/>
          <w:szCs w:val="22"/>
        </w:rPr>
        <w:t xml:space="preserve">Sujeto Obligado </w:t>
      </w:r>
      <w:r w:rsidRPr="006E246F">
        <w:rPr>
          <w:rFonts w:ascii="Palatino Linotype" w:eastAsia="Palatino Linotype" w:hAnsi="Palatino Linotype" w:cs="Palatino Linotype"/>
          <w:sz w:val="22"/>
          <w:szCs w:val="22"/>
        </w:rPr>
        <w:t>envió su respuesta a la solicitud de acceso a la información a través de SAIMEX, sustancialmente en los términos siguientes:</w:t>
      </w:r>
    </w:p>
    <w:p w14:paraId="25534F13" w14:textId="77777777" w:rsidR="00E565A0" w:rsidRPr="006E246F" w:rsidRDefault="009458BD">
      <w:pPr>
        <w:spacing w:before="240" w:after="240"/>
        <w:ind w:left="567" w:right="902"/>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i/>
          <w:sz w:val="22"/>
          <w:szCs w:val="22"/>
        </w:rPr>
        <w:lastRenderedPageBreak/>
        <w:t>“Se anexa oficio.” (Sic)</w:t>
      </w:r>
    </w:p>
    <w:p w14:paraId="080D4BD2" w14:textId="77777777" w:rsidR="00E565A0" w:rsidRPr="006E246F" w:rsidRDefault="009458BD">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 xml:space="preserve">Adjunto a la respuesta, el </w:t>
      </w:r>
      <w:r w:rsidRPr="006E246F">
        <w:rPr>
          <w:rFonts w:ascii="Palatino Linotype" w:eastAsia="Palatino Linotype" w:hAnsi="Palatino Linotype" w:cs="Palatino Linotype"/>
          <w:b/>
          <w:sz w:val="22"/>
          <w:szCs w:val="22"/>
        </w:rPr>
        <w:t xml:space="preserve">Sujeto Obligado </w:t>
      </w:r>
      <w:r w:rsidRPr="006E246F">
        <w:rPr>
          <w:rFonts w:ascii="Palatino Linotype" w:eastAsia="Palatino Linotype" w:hAnsi="Palatino Linotype" w:cs="Palatino Linotype"/>
          <w:sz w:val="22"/>
          <w:szCs w:val="22"/>
        </w:rPr>
        <w:t>hizo entrega de dos archivos electrónicos que contienen la siguiente información:</w:t>
      </w:r>
    </w:p>
    <w:p w14:paraId="01226872" w14:textId="77777777" w:rsidR="00E565A0" w:rsidRPr="006E246F" w:rsidRDefault="00E565A0">
      <w:pPr>
        <w:pBdr>
          <w:top w:val="nil"/>
          <w:left w:val="nil"/>
          <w:bottom w:val="nil"/>
          <w:right w:val="nil"/>
          <w:between w:val="nil"/>
        </w:pBdr>
        <w:spacing w:line="360" w:lineRule="auto"/>
        <w:ind w:right="49"/>
        <w:jc w:val="both"/>
        <w:rPr>
          <w:rFonts w:ascii="Palatino Linotype" w:eastAsia="Palatino Linotype" w:hAnsi="Palatino Linotype" w:cs="Palatino Linotype"/>
          <w:sz w:val="22"/>
          <w:szCs w:val="22"/>
        </w:rPr>
      </w:pPr>
    </w:p>
    <w:p w14:paraId="200D96E3" w14:textId="78B755B2" w:rsidR="00E565A0" w:rsidRPr="006E246F" w:rsidRDefault="009458BD">
      <w:pPr>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b/>
          <w:sz w:val="22"/>
          <w:szCs w:val="22"/>
        </w:rPr>
      </w:pPr>
      <w:r w:rsidRPr="006E246F">
        <w:rPr>
          <w:rFonts w:ascii="Palatino Linotype" w:eastAsia="Palatino Linotype" w:hAnsi="Palatino Linotype" w:cs="Palatino Linotype"/>
          <w:b/>
          <w:i/>
          <w:sz w:val="22"/>
          <w:szCs w:val="22"/>
        </w:rPr>
        <w:t xml:space="preserve">Respuesta </w:t>
      </w:r>
      <w:proofErr w:type="spellStart"/>
      <w:r w:rsidRPr="006E246F">
        <w:rPr>
          <w:rFonts w:ascii="Palatino Linotype" w:eastAsia="Palatino Linotype" w:hAnsi="Palatino Linotype" w:cs="Palatino Linotype"/>
          <w:b/>
          <w:i/>
          <w:sz w:val="22"/>
          <w:szCs w:val="22"/>
        </w:rPr>
        <w:t>Info</w:t>
      </w:r>
      <w:proofErr w:type="spellEnd"/>
      <w:r w:rsidRPr="006E246F">
        <w:rPr>
          <w:rFonts w:ascii="Palatino Linotype" w:eastAsia="Palatino Linotype" w:hAnsi="Palatino Linotype" w:cs="Palatino Linotype"/>
          <w:b/>
          <w:i/>
          <w:sz w:val="22"/>
          <w:szCs w:val="22"/>
        </w:rPr>
        <w:t xml:space="preserve"> 126.pdf: </w:t>
      </w:r>
      <w:r w:rsidRPr="006E246F">
        <w:rPr>
          <w:rFonts w:ascii="Palatino Linotype" w:eastAsia="Palatino Linotype" w:hAnsi="Palatino Linotype" w:cs="Palatino Linotype"/>
          <w:sz w:val="22"/>
          <w:szCs w:val="22"/>
        </w:rPr>
        <w:t xml:space="preserve">Oficio del 12 de marzo de 2025, a través del cual el </w:t>
      </w:r>
      <w:proofErr w:type="gramStart"/>
      <w:r w:rsidRPr="006E246F">
        <w:rPr>
          <w:rFonts w:ascii="Palatino Linotype" w:eastAsia="Palatino Linotype" w:hAnsi="Palatino Linotype" w:cs="Palatino Linotype"/>
          <w:sz w:val="22"/>
          <w:szCs w:val="22"/>
        </w:rPr>
        <w:t>Subdirector</w:t>
      </w:r>
      <w:proofErr w:type="gramEnd"/>
      <w:r w:rsidRPr="006E246F">
        <w:rPr>
          <w:rFonts w:ascii="Palatino Linotype" w:eastAsia="Palatino Linotype" w:hAnsi="Palatino Linotype" w:cs="Palatino Linotype"/>
          <w:sz w:val="22"/>
          <w:szCs w:val="22"/>
        </w:rPr>
        <w:t xml:space="preserve"> de Normatividad y Capacitación del Instituto del Transporte del Estado de México,</w:t>
      </w:r>
      <w:r w:rsidR="008A1EE1" w:rsidRPr="006E246F">
        <w:rPr>
          <w:rFonts w:ascii="Palatino Linotype" w:eastAsia="Palatino Linotype" w:hAnsi="Palatino Linotype" w:cs="Palatino Linotype"/>
          <w:sz w:val="22"/>
          <w:szCs w:val="22"/>
        </w:rPr>
        <w:t xml:space="preserve"> </w:t>
      </w:r>
      <w:r w:rsidRPr="006E246F">
        <w:rPr>
          <w:rFonts w:ascii="Palatino Linotype" w:eastAsia="Palatino Linotype" w:hAnsi="Palatino Linotype" w:cs="Palatino Linotype"/>
          <w:sz w:val="22"/>
          <w:szCs w:val="22"/>
        </w:rPr>
        <w:t>proporcionó los temarios respecto de los cuales las operadoras y operadoras del transporte público del Estado de México, se pueden capacitar, a saber:</w:t>
      </w:r>
    </w:p>
    <w:p w14:paraId="44624228" w14:textId="77777777" w:rsidR="00E565A0" w:rsidRPr="006E246F" w:rsidRDefault="00E565A0">
      <w:pPr>
        <w:pBdr>
          <w:top w:val="nil"/>
          <w:left w:val="nil"/>
          <w:bottom w:val="nil"/>
          <w:right w:val="nil"/>
          <w:between w:val="nil"/>
        </w:pBdr>
        <w:spacing w:line="360" w:lineRule="auto"/>
        <w:ind w:left="360" w:right="49"/>
        <w:jc w:val="both"/>
        <w:rPr>
          <w:rFonts w:ascii="Palatino Linotype" w:eastAsia="Palatino Linotype" w:hAnsi="Palatino Linotype" w:cs="Palatino Linotype"/>
          <w:b/>
          <w:i/>
          <w:sz w:val="22"/>
          <w:szCs w:val="22"/>
        </w:rPr>
      </w:pPr>
    </w:p>
    <w:p w14:paraId="0890C6A6" w14:textId="77777777" w:rsidR="00E565A0" w:rsidRPr="006E246F" w:rsidRDefault="009458BD">
      <w:pPr>
        <w:pBdr>
          <w:top w:val="nil"/>
          <w:left w:val="nil"/>
          <w:bottom w:val="nil"/>
          <w:right w:val="nil"/>
          <w:between w:val="nil"/>
        </w:pBdr>
        <w:spacing w:line="360" w:lineRule="auto"/>
        <w:ind w:left="360" w:right="49"/>
        <w:jc w:val="center"/>
        <w:rPr>
          <w:rFonts w:ascii="Palatino Linotype" w:eastAsia="Palatino Linotype" w:hAnsi="Palatino Linotype" w:cs="Palatino Linotype"/>
          <w:b/>
          <w:sz w:val="22"/>
          <w:szCs w:val="22"/>
        </w:rPr>
      </w:pPr>
      <w:r w:rsidRPr="006E246F">
        <w:rPr>
          <w:rFonts w:ascii="Palatino Linotype" w:eastAsia="Palatino Linotype" w:hAnsi="Palatino Linotype" w:cs="Palatino Linotype"/>
          <w:b/>
          <w:noProof/>
          <w:sz w:val="22"/>
          <w:szCs w:val="22"/>
        </w:rPr>
        <w:drawing>
          <wp:inline distT="0" distB="0" distL="0" distR="0" wp14:anchorId="6848486B" wp14:editId="380F2C94">
            <wp:extent cx="3934374" cy="2486372"/>
            <wp:effectExtent l="0" t="0" r="0" b="0"/>
            <wp:docPr id="4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934374" cy="2486372"/>
                    </a:xfrm>
                    <a:prstGeom prst="rect">
                      <a:avLst/>
                    </a:prstGeom>
                    <a:ln/>
                  </pic:spPr>
                </pic:pic>
              </a:graphicData>
            </a:graphic>
          </wp:inline>
        </w:drawing>
      </w:r>
    </w:p>
    <w:p w14:paraId="35217C76" w14:textId="77777777" w:rsidR="00E565A0" w:rsidRPr="006E246F" w:rsidRDefault="009458BD">
      <w:pPr>
        <w:pBdr>
          <w:top w:val="nil"/>
          <w:left w:val="nil"/>
          <w:bottom w:val="nil"/>
          <w:right w:val="nil"/>
          <w:between w:val="nil"/>
        </w:pBdr>
        <w:spacing w:line="360" w:lineRule="auto"/>
        <w:ind w:left="360" w:right="49"/>
        <w:jc w:val="center"/>
        <w:rPr>
          <w:rFonts w:ascii="Palatino Linotype" w:eastAsia="Palatino Linotype" w:hAnsi="Palatino Linotype" w:cs="Palatino Linotype"/>
          <w:b/>
          <w:sz w:val="22"/>
          <w:szCs w:val="22"/>
        </w:rPr>
      </w:pPr>
      <w:r w:rsidRPr="006E246F">
        <w:rPr>
          <w:rFonts w:ascii="Palatino Linotype" w:eastAsia="Palatino Linotype" w:hAnsi="Palatino Linotype" w:cs="Palatino Linotype"/>
          <w:b/>
          <w:noProof/>
          <w:sz w:val="22"/>
          <w:szCs w:val="22"/>
        </w:rPr>
        <w:drawing>
          <wp:inline distT="0" distB="0" distL="0" distR="0" wp14:anchorId="392DFF56" wp14:editId="34A94A5A">
            <wp:extent cx="3867690" cy="1705213"/>
            <wp:effectExtent l="0" t="0" r="0" b="0"/>
            <wp:docPr id="4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a:stretch>
                      <a:fillRect/>
                    </a:stretch>
                  </pic:blipFill>
                  <pic:spPr>
                    <a:xfrm>
                      <a:off x="0" y="0"/>
                      <a:ext cx="3867690" cy="1705213"/>
                    </a:xfrm>
                    <a:prstGeom prst="rect">
                      <a:avLst/>
                    </a:prstGeom>
                    <a:ln/>
                  </pic:spPr>
                </pic:pic>
              </a:graphicData>
            </a:graphic>
          </wp:inline>
        </w:drawing>
      </w:r>
    </w:p>
    <w:p w14:paraId="60B09082" w14:textId="77777777" w:rsidR="00E565A0" w:rsidRPr="006E246F" w:rsidRDefault="009458BD">
      <w:pPr>
        <w:pBdr>
          <w:top w:val="nil"/>
          <w:left w:val="nil"/>
          <w:bottom w:val="nil"/>
          <w:right w:val="nil"/>
          <w:between w:val="nil"/>
        </w:pBdr>
        <w:spacing w:line="360" w:lineRule="auto"/>
        <w:ind w:left="360" w:right="49"/>
        <w:jc w:val="center"/>
        <w:rPr>
          <w:rFonts w:ascii="Palatino Linotype" w:eastAsia="Palatino Linotype" w:hAnsi="Palatino Linotype" w:cs="Palatino Linotype"/>
          <w:b/>
          <w:sz w:val="22"/>
          <w:szCs w:val="22"/>
        </w:rPr>
      </w:pPr>
      <w:r w:rsidRPr="006E246F">
        <w:rPr>
          <w:rFonts w:ascii="Palatino Linotype" w:eastAsia="Palatino Linotype" w:hAnsi="Palatino Linotype" w:cs="Palatino Linotype"/>
          <w:b/>
          <w:noProof/>
          <w:sz w:val="22"/>
          <w:szCs w:val="22"/>
        </w:rPr>
        <w:lastRenderedPageBreak/>
        <w:drawing>
          <wp:inline distT="0" distB="0" distL="0" distR="0" wp14:anchorId="5D963CCE" wp14:editId="67A78A11">
            <wp:extent cx="3953427" cy="3515216"/>
            <wp:effectExtent l="0" t="0" r="0" b="0"/>
            <wp:docPr id="41"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3953427" cy="3515216"/>
                    </a:xfrm>
                    <a:prstGeom prst="rect">
                      <a:avLst/>
                    </a:prstGeom>
                    <a:ln/>
                  </pic:spPr>
                </pic:pic>
              </a:graphicData>
            </a:graphic>
          </wp:inline>
        </w:drawing>
      </w:r>
    </w:p>
    <w:p w14:paraId="70A4BCAA" w14:textId="77777777" w:rsidR="00E565A0" w:rsidRPr="006E246F" w:rsidRDefault="00E565A0">
      <w:pPr>
        <w:pBdr>
          <w:top w:val="nil"/>
          <w:left w:val="nil"/>
          <w:bottom w:val="nil"/>
          <w:right w:val="nil"/>
          <w:between w:val="nil"/>
        </w:pBdr>
        <w:spacing w:line="360" w:lineRule="auto"/>
        <w:ind w:left="360" w:right="49"/>
        <w:jc w:val="both"/>
        <w:rPr>
          <w:rFonts w:ascii="Palatino Linotype" w:eastAsia="Palatino Linotype" w:hAnsi="Palatino Linotype" w:cs="Palatino Linotype"/>
          <w:b/>
          <w:sz w:val="22"/>
          <w:szCs w:val="22"/>
        </w:rPr>
      </w:pPr>
    </w:p>
    <w:p w14:paraId="7AE6C61B" w14:textId="77777777" w:rsidR="00E565A0" w:rsidRPr="006E246F" w:rsidRDefault="009458BD">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Asimismo, se hizo del conocimiento que sobre el requerimiento relativo al “</w:t>
      </w:r>
      <w:r w:rsidRPr="006E246F">
        <w:rPr>
          <w:rFonts w:ascii="Palatino Linotype" w:eastAsia="Palatino Linotype" w:hAnsi="Palatino Linotype" w:cs="Palatino Linotype"/>
          <w:i/>
          <w:sz w:val="22"/>
          <w:szCs w:val="22"/>
        </w:rPr>
        <w:t xml:space="preserve">nombre de las operadoras de transporte público, su licencia de manejo, la ruta a la que pertenece... o </w:t>
      </w:r>
      <w:proofErr w:type="gramStart"/>
      <w:r w:rsidRPr="006E246F">
        <w:rPr>
          <w:rFonts w:ascii="Palatino Linotype" w:eastAsia="Palatino Linotype" w:hAnsi="Palatino Linotype" w:cs="Palatino Linotype"/>
          <w:i/>
          <w:sz w:val="22"/>
          <w:szCs w:val="22"/>
        </w:rPr>
        <w:t>certificaciones otorgada</w:t>
      </w:r>
      <w:proofErr w:type="gramEnd"/>
      <w:r w:rsidRPr="006E246F">
        <w:rPr>
          <w:rFonts w:ascii="Palatino Linotype" w:eastAsia="Palatino Linotype" w:hAnsi="Palatino Linotype" w:cs="Palatino Linotype"/>
          <w:i/>
          <w:sz w:val="22"/>
          <w:szCs w:val="22"/>
        </w:rPr>
        <w:t xml:space="preserve"> para ser operadores en los últimos 2 años…</w:t>
      </w:r>
      <w:r w:rsidRPr="006E246F">
        <w:rPr>
          <w:rFonts w:ascii="Palatino Linotype" w:eastAsia="Palatino Linotype" w:hAnsi="Palatino Linotype" w:cs="Palatino Linotype"/>
          <w:sz w:val="22"/>
          <w:szCs w:val="22"/>
        </w:rPr>
        <w:t>”</w:t>
      </w:r>
      <w:r w:rsidRPr="006E246F">
        <w:t xml:space="preserve"> </w:t>
      </w:r>
      <w:r w:rsidRPr="006E246F">
        <w:rPr>
          <w:rFonts w:ascii="Palatino Linotype" w:eastAsia="Palatino Linotype" w:hAnsi="Palatino Linotype" w:cs="Palatino Linotype"/>
          <w:sz w:val="22"/>
          <w:szCs w:val="22"/>
        </w:rPr>
        <w:t>indicó que es información que no ha sido generada, obtenida, adquirida, transformada, administrada o en posesión de ese sujeto obligado.</w:t>
      </w:r>
    </w:p>
    <w:p w14:paraId="024AFFDC" w14:textId="77777777" w:rsidR="00E565A0" w:rsidRPr="006E246F" w:rsidRDefault="00E565A0">
      <w:pPr>
        <w:pBdr>
          <w:top w:val="nil"/>
          <w:left w:val="nil"/>
          <w:bottom w:val="nil"/>
          <w:right w:val="nil"/>
          <w:between w:val="nil"/>
        </w:pBdr>
        <w:spacing w:line="360" w:lineRule="auto"/>
        <w:ind w:right="49"/>
        <w:jc w:val="both"/>
        <w:rPr>
          <w:rFonts w:ascii="Palatino Linotype" w:eastAsia="Palatino Linotype" w:hAnsi="Palatino Linotype" w:cs="Palatino Linotype"/>
          <w:b/>
          <w:i/>
          <w:sz w:val="22"/>
          <w:szCs w:val="22"/>
        </w:rPr>
      </w:pPr>
    </w:p>
    <w:p w14:paraId="12464CC1" w14:textId="77777777" w:rsidR="00E565A0" w:rsidRPr="006E246F" w:rsidRDefault="009458BD">
      <w:pPr>
        <w:numPr>
          <w:ilvl w:val="0"/>
          <w:numId w:val="2"/>
        </w:numPr>
        <w:pBdr>
          <w:top w:val="nil"/>
          <w:left w:val="nil"/>
          <w:bottom w:val="nil"/>
          <w:right w:val="nil"/>
          <w:between w:val="nil"/>
        </w:pBdr>
        <w:spacing w:line="276" w:lineRule="auto"/>
        <w:ind w:right="49"/>
        <w:jc w:val="both"/>
        <w:rPr>
          <w:rFonts w:ascii="Palatino Linotype" w:eastAsia="Palatino Linotype" w:hAnsi="Palatino Linotype" w:cs="Palatino Linotype"/>
          <w:b/>
          <w:i/>
          <w:sz w:val="22"/>
          <w:szCs w:val="22"/>
        </w:rPr>
      </w:pPr>
      <w:r w:rsidRPr="006E246F">
        <w:rPr>
          <w:rFonts w:ascii="Palatino Linotype" w:eastAsia="Palatino Linotype" w:hAnsi="Palatino Linotype" w:cs="Palatino Linotype"/>
          <w:b/>
          <w:i/>
          <w:sz w:val="22"/>
          <w:szCs w:val="22"/>
        </w:rPr>
        <w:t xml:space="preserve">Respuesta a solicitud 126.pdf: </w:t>
      </w:r>
      <w:r w:rsidRPr="006E246F">
        <w:rPr>
          <w:rFonts w:ascii="Palatino Linotype" w:eastAsia="Palatino Linotype" w:hAnsi="Palatino Linotype" w:cs="Palatino Linotype"/>
          <w:sz w:val="22"/>
          <w:szCs w:val="22"/>
        </w:rPr>
        <w:t>Oficio del 13 de marzo de 2025, a través del cual la Titular de la Unidad de Transparencia proporcionó la información de los servidores públicos habilitados de la Subsecretaría de Movilidad, Dirección del Registro de Licencias y Operadores, Instituto del Transporte del Estado de México, Direcciones Generales de Movilidad Zonas I, II, III y VI, en los siguientes términos:</w:t>
      </w:r>
    </w:p>
    <w:p w14:paraId="2DFB3393" w14:textId="77777777" w:rsidR="00E565A0" w:rsidRPr="006E246F" w:rsidRDefault="00E565A0">
      <w:pPr>
        <w:pBdr>
          <w:top w:val="nil"/>
          <w:left w:val="nil"/>
          <w:bottom w:val="nil"/>
          <w:right w:val="nil"/>
          <w:between w:val="nil"/>
        </w:pBdr>
        <w:spacing w:line="276" w:lineRule="auto"/>
        <w:ind w:left="360" w:right="49"/>
        <w:jc w:val="both"/>
        <w:rPr>
          <w:rFonts w:ascii="Palatino Linotype" w:eastAsia="Palatino Linotype" w:hAnsi="Palatino Linotype" w:cs="Palatino Linotype"/>
          <w:b/>
          <w:i/>
          <w:sz w:val="22"/>
          <w:szCs w:val="22"/>
        </w:rPr>
      </w:pPr>
    </w:p>
    <w:p w14:paraId="18F6665F" w14:textId="77777777" w:rsidR="00E565A0" w:rsidRPr="006E246F" w:rsidRDefault="009458BD">
      <w:pPr>
        <w:numPr>
          <w:ilvl w:val="0"/>
          <w:numId w:val="3"/>
        </w:numPr>
        <w:pBdr>
          <w:top w:val="nil"/>
          <w:left w:val="nil"/>
          <w:bottom w:val="nil"/>
          <w:right w:val="nil"/>
          <w:between w:val="nil"/>
        </w:pBdr>
        <w:spacing w:line="276" w:lineRule="auto"/>
        <w:ind w:left="720" w:right="49"/>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b/>
          <w:sz w:val="22"/>
          <w:szCs w:val="22"/>
        </w:rPr>
        <w:t xml:space="preserve">Subsecretaría de Movilidad: </w:t>
      </w:r>
      <w:r w:rsidRPr="006E246F">
        <w:rPr>
          <w:rFonts w:ascii="Palatino Linotype" w:eastAsia="Palatino Linotype" w:hAnsi="Palatino Linotype" w:cs="Palatino Linotype"/>
          <w:sz w:val="22"/>
          <w:szCs w:val="22"/>
        </w:rPr>
        <w:t xml:space="preserve">que, se realizó una búsqueda minuciosa y exhaustiva en los archivos que obran en esa Unidad Administrativa, y no se encontró registro alguno para atender el requerimiento. </w:t>
      </w:r>
    </w:p>
    <w:p w14:paraId="3FC2076E" w14:textId="77777777" w:rsidR="00E565A0" w:rsidRPr="006E246F" w:rsidRDefault="00E565A0">
      <w:pPr>
        <w:pBdr>
          <w:top w:val="nil"/>
          <w:left w:val="nil"/>
          <w:bottom w:val="nil"/>
          <w:right w:val="nil"/>
          <w:between w:val="nil"/>
        </w:pBdr>
        <w:spacing w:line="276" w:lineRule="auto"/>
        <w:ind w:right="49"/>
        <w:jc w:val="both"/>
        <w:rPr>
          <w:rFonts w:ascii="Palatino Linotype" w:eastAsia="Palatino Linotype" w:hAnsi="Palatino Linotype" w:cs="Palatino Linotype"/>
          <w:b/>
          <w:sz w:val="22"/>
          <w:szCs w:val="22"/>
        </w:rPr>
      </w:pPr>
    </w:p>
    <w:p w14:paraId="11A3D44A" w14:textId="77777777" w:rsidR="00E565A0" w:rsidRPr="006E246F" w:rsidRDefault="009458BD">
      <w:pPr>
        <w:numPr>
          <w:ilvl w:val="0"/>
          <w:numId w:val="3"/>
        </w:numPr>
        <w:pBdr>
          <w:top w:val="nil"/>
          <w:left w:val="nil"/>
          <w:bottom w:val="nil"/>
          <w:right w:val="nil"/>
          <w:between w:val="nil"/>
        </w:pBdr>
        <w:spacing w:line="276" w:lineRule="auto"/>
        <w:ind w:left="720" w:right="49"/>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b/>
          <w:sz w:val="22"/>
          <w:szCs w:val="22"/>
        </w:rPr>
        <w:lastRenderedPageBreak/>
        <w:t xml:space="preserve">Dirección del Registro de Licencias y Operadores: </w:t>
      </w:r>
      <w:r w:rsidRPr="006E246F">
        <w:rPr>
          <w:rFonts w:ascii="Palatino Linotype" w:eastAsia="Palatino Linotype" w:hAnsi="Palatino Linotype" w:cs="Palatino Linotype"/>
          <w:sz w:val="22"/>
          <w:szCs w:val="22"/>
        </w:rPr>
        <w:t>informó que no se puede otorgar la información solicitada relativa a “</w:t>
      </w:r>
      <w:r w:rsidRPr="006E246F">
        <w:rPr>
          <w:rFonts w:ascii="Palatino Linotype" w:eastAsia="Palatino Linotype" w:hAnsi="Palatino Linotype" w:cs="Palatino Linotype"/>
          <w:b/>
          <w:i/>
          <w:sz w:val="22"/>
          <w:szCs w:val="22"/>
        </w:rPr>
        <w:t>nombre o datos de la licencia de conducir</w:t>
      </w:r>
      <w:r w:rsidRPr="006E246F">
        <w:rPr>
          <w:rFonts w:ascii="Palatino Linotype" w:eastAsia="Palatino Linotype" w:hAnsi="Palatino Linotype" w:cs="Palatino Linotype"/>
          <w:sz w:val="22"/>
          <w:szCs w:val="22"/>
        </w:rPr>
        <w:t>” por tratarse de datos personales, tomando en cuenta el artículo 106 de la Ley de Protección de Datos Personales en Posesión de Sujetos Obligados del Estado de México y Municipios, aunado a que para el ejercicio de los derechos ARCO solicitados será necesario acreditar la identidad de titular y en su caso la identidad y personalidad con la que actúe el representante.</w:t>
      </w:r>
    </w:p>
    <w:p w14:paraId="5513DFBE" w14:textId="77777777" w:rsidR="00E565A0" w:rsidRPr="006E246F" w:rsidRDefault="00E565A0">
      <w:p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p>
    <w:p w14:paraId="767B5316" w14:textId="77777777" w:rsidR="00E565A0" w:rsidRPr="006E246F" w:rsidRDefault="009458BD">
      <w:pPr>
        <w:pBdr>
          <w:top w:val="nil"/>
          <w:left w:val="nil"/>
          <w:bottom w:val="nil"/>
          <w:right w:val="nil"/>
          <w:between w:val="nil"/>
        </w:pBdr>
        <w:spacing w:line="276" w:lineRule="auto"/>
        <w:ind w:left="720" w:right="49"/>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 xml:space="preserve">Asimismo, </w:t>
      </w:r>
      <w:proofErr w:type="gramStart"/>
      <w:r w:rsidRPr="006E246F">
        <w:rPr>
          <w:rFonts w:ascii="Palatino Linotype" w:eastAsia="Palatino Linotype" w:hAnsi="Palatino Linotype" w:cs="Palatino Linotype"/>
          <w:sz w:val="22"/>
          <w:szCs w:val="22"/>
        </w:rPr>
        <w:t>que</w:t>
      </w:r>
      <w:proofErr w:type="gramEnd"/>
      <w:r w:rsidRPr="006E246F">
        <w:rPr>
          <w:rFonts w:ascii="Palatino Linotype" w:eastAsia="Palatino Linotype" w:hAnsi="Palatino Linotype" w:cs="Palatino Linotype"/>
          <w:sz w:val="22"/>
          <w:szCs w:val="22"/>
        </w:rPr>
        <w:t xml:space="preserve"> sobre el requerimiento relativo a la ruta o capacitaciones, esa Dirección no cuenta con dicha información. </w:t>
      </w:r>
    </w:p>
    <w:p w14:paraId="742F75BD" w14:textId="77777777" w:rsidR="00E565A0" w:rsidRPr="006E246F" w:rsidRDefault="00E565A0">
      <w:p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p>
    <w:p w14:paraId="5BC4D283" w14:textId="274AD6E0" w:rsidR="00E565A0" w:rsidRPr="006E246F" w:rsidRDefault="009458BD">
      <w:pPr>
        <w:numPr>
          <w:ilvl w:val="0"/>
          <w:numId w:val="3"/>
        </w:numPr>
        <w:pBdr>
          <w:top w:val="nil"/>
          <w:left w:val="nil"/>
          <w:bottom w:val="nil"/>
          <w:right w:val="nil"/>
          <w:between w:val="nil"/>
        </w:pBdr>
        <w:spacing w:line="276" w:lineRule="auto"/>
        <w:ind w:left="720" w:right="49"/>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b/>
          <w:sz w:val="22"/>
          <w:szCs w:val="22"/>
        </w:rPr>
        <w:t xml:space="preserve">Instituto del Transporte del Estado de México: </w:t>
      </w:r>
      <w:r w:rsidRPr="006E246F">
        <w:rPr>
          <w:rFonts w:ascii="Palatino Linotype" w:eastAsia="Palatino Linotype" w:hAnsi="Palatino Linotype" w:cs="Palatino Linotype"/>
          <w:sz w:val="22"/>
          <w:szCs w:val="22"/>
        </w:rPr>
        <w:t>Que se adjuntaba el oficio de respuesta en formato PDF</w:t>
      </w:r>
      <w:r w:rsidR="008A1EE1" w:rsidRPr="006E246F">
        <w:rPr>
          <w:rFonts w:ascii="Palatino Linotype" w:eastAsia="Palatino Linotype" w:hAnsi="Palatino Linotype" w:cs="Palatino Linotype"/>
          <w:sz w:val="22"/>
          <w:szCs w:val="22"/>
        </w:rPr>
        <w:t xml:space="preserve">; aportando el oficio del 12 de marzo de 2025, signado por el </w:t>
      </w:r>
      <w:proofErr w:type="gramStart"/>
      <w:r w:rsidR="008A1EE1" w:rsidRPr="006E246F">
        <w:rPr>
          <w:rFonts w:ascii="Palatino Linotype" w:eastAsia="Palatino Linotype" w:hAnsi="Palatino Linotype" w:cs="Palatino Linotype"/>
          <w:sz w:val="22"/>
          <w:szCs w:val="22"/>
        </w:rPr>
        <w:t>Subdirector</w:t>
      </w:r>
      <w:proofErr w:type="gramEnd"/>
      <w:r w:rsidR="008A1EE1" w:rsidRPr="006E246F">
        <w:rPr>
          <w:rFonts w:ascii="Palatino Linotype" w:eastAsia="Palatino Linotype" w:hAnsi="Palatino Linotype" w:cs="Palatino Linotype"/>
          <w:sz w:val="22"/>
          <w:szCs w:val="22"/>
        </w:rPr>
        <w:t xml:space="preserve"> de Normatividad y Capacitación del Instituto del Transporte del Estado de México, antes analizado.</w:t>
      </w:r>
    </w:p>
    <w:p w14:paraId="28CCD95D" w14:textId="77777777" w:rsidR="00E565A0" w:rsidRPr="006E246F" w:rsidRDefault="00E565A0">
      <w:pPr>
        <w:pBdr>
          <w:top w:val="nil"/>
          <w:left w:val="nil"/>
          <w:bottom w:val="nil"/>
          <w:right w:val="nil"/>
          <w:between w:val="nil"/>
        </w:pBdr>
        <w:spacing w:line="276" w:lineRule="auto"/>
        <w:ind w:right="49"/>
        <w:jc w:val="both"/>
        <w:rPr>
          <w:rFonts w:ascii="Palatino Linotype" w:eastAsia="Palatino Linotype" w:hAnsi="Palatino Linotype" w:cs="Palatino Linotype"/>
          <w:b/>
          <w:sz w:val="22"/>
          <w:szCs w:val="22"/>
        </w:rPr>
      </w:pPr>
    </w:p>
    <w:p w14:paraId="55BB7C3B" w14:textId="77777777" w:rsidR="00E565A0" w:rsidRPr="006E246F" w:rsidRDefault="009458BD">
      <w:pPr>
        <w:numPr>
          <w:ilvl w:val="0"/>
          <w:numId w:val="3"/>
        </w:numPr>
        <w:pBdr>
          <w:top w:val="nil"/>
          <w:left w:val="nil"/>
          <w:bottom w:val="nil"/>
          <w:right w:val="nil"/>
          <w:between w:val="nil"/>
        </w:pBdr>
        <w:spacing w:line="276" w:lineRule="auto"/>
        <w:ind w:left="720" w:right="49"/>
        <w:jc w:val="both"/>
        <w:rPr>
          <w:rFonts w:ascii="Palatino Linotype" w:eastAsia="Palatino Linotype" w:hAnsi="Palatino Linotype" w:cs="Palatino Linotype"/>
          <w:b/>
          <w:sz w:val="22"/>
          <w:szCs w:val="22"/>
        </w:rPr>
      </w:pPr>
      <w:r w:rsidRPr="006E246F">
        <w:rPr>
          <w:rFonts w:ascii="Palatino Linotype" w:eastAsia="Palatino Linotype" w:hAnsi="Palatino Linotype" w:cs="Palatino Linotype"/>
          <w:b/>
          <w:sz w:val="22"/>
          <w:szCs w:val="22"/>
        </w:rPr>
        <w:t xml:space="preserve">Dirección General de Movilidad Zona I: </w:t>
      </w:r>
      <w:r w:rsidRPr="006E246F">
        <w:rPr>
          <w:rFonts w:ascii="Palatino Linotype" w:eastAsia="Palatino Linotype" w:hAnsi="Palatino Linotype" w:cs="Palatino Linotype"/>
          <w:sz w:val="22"/>
          <w:szCs w:val="22"/>
        </w:rPr>
        <w:t>informó que después de una búsqueda exhaustiva y razonable dentro de los archivos respectivos de esa Dirección y sus diversas unidades administrativas dependientes, no se localizó antecedente alguno relacionado con su solicitud de información.</w:t>
      </w:r>
      <w:r w:rsidRPr="006E246F">
        <w:rPr>
          <w:rFonts w:ascii="Palatino Linotype" w:eastAsia="Palatino Linotype" w:hAnsi="Palatino Linotype" w:cs="Palatino Linotype"/>
          <w:b/>
          <w:sz w:val="22"/>
          <w:szCs w:val="22"/>
        </w:rPr>
        <w:t xml:space="preserve"> </w:t>
      </w:r>
    </w:p>
    <w:p w14:paraId="1499CD29" w14:textId="77777777" w:rsidR="00E565A0" w:rsidRPr="006E246F" w:rsidRDefault="00E565A0">
      <w:pPr>
        <w:pBdr>
          <w:top w:val="nil"/>
          <w:left w:val="nil"/>
          <w:bottom w:val="nil"/>
          <w:right w:val="nil"/>
          <w:between w:val="nil"/>
        </w:pBdr>
        <w:spacing w:line="276" w:lineRule="auto"/>
        <w:ind w:right="49"/>
        <w:jc w:val="both"/>
        <w:rPr>
          <w:rFonts w:ascii="Palatino Linotype" w:eastAsia="Palatino Linotype" w:hAnsi="Palatino Linotype" w:cs="Palatino Linotype"/>
          <w:b/>
          <w:sz w:val="22"/>
          <w:szCs w:val="22"/>
        </w:rPr>
      </w:pPr>
    </w:p>
    <w:p w14:paraId="6B605CAF" w14:textId="77777777" w:rsidR="00E565A0" w:rsidRPr="006E246F" w:rsidRDefault="009458BD">
      <w:pPr>
        <w:numPr>
          <w:ilvl w:val="0"/>
          <w:numId w:val="3"/>
        </w:numPr>
        <w:pBdr>
          <w:top w:val="nil"/>
          <w:left w:val="nil"/>
          <w:bottom w:val="nil"/>
          <w:right w:val="nil"/>
          <w:between w:val="nil"/>
        </w:pBdr>
        <w:spacing w:line="276" w:lineRule="auto"/>
        <w:ind w:left="720" w:right="49"/>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b/>
          <w:sz w:val="22"/>
          <w:szCs w:val="22"/>
        </w:rPr>
        <w:t xml:space="preserve">Dirección General de Movilidad Zona II: </w:t>
      </w:r>
      <w:r w:rsidRPr="006E246F">
        <w:rPr>
          <w:rFonts w:ascii="Palatino Linotype" w:eastAsia="Palatino Linotype" w:hAnsi="Palatino Linotype" w:cs="Palatino Linotype"/>
          <w:sz w:val="22"/>
          <w:szCs w:val="22"/>
        </w:rPr>
        <w:t xml:space="preserve">informó que se realizó una búsqueda exhaustiva en los archivos físicos y digitales de esa Dirección, no encontrándose registro alguno respecto a lo requerido, aunado a que no se cuenta dentro sus facultades, el registro de los operadores de transporte público, así como lo relativo a capacitación a los mismos. </w:t>
      </w:r>
    </w:p>
    <w:p w14:paraId="6AD087A7" w14:textId="77777777" w:rsidR="00E565A0" w:rsidRPr="006E246F" w:rsidRDefault="00E565A0">
      <w:p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p>
    <w:p w14:paraId="5CF10907" w14:textId="77777777" w:rsidR="00E565A0" w:rsidRPr="006E246F" w:rsidRDefault="009458BD">
      <w:pPr>
        <w:numPr>
          <w:ilvl w:val="0"/>
          <w:numId w:val="3"/>
        </w:numPr>
        <w:pBdr>
          <w:top w:val="nil"/>
          <w:left w:val="nil"/>
          <w:bottom w:val="nil"/>
          <w:right w:val="nil"/>
          <w:between w:val="nil"/>
        </w:pBdr>
        <w:spacing w:line="276" w:lineRule="auto"/>
        <w:ind w:left="720" w:right="49"/>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b/>
          <w:sz w:val="22"/>
          <w:szCs w:val="22"/>
        </w:rPr>
        <w:t>Dirección General de Movilidad Zona III:</w:t>
      </w:r>
      <w:r w:rsidRPr="006E246F">
        <w:rPr>
          <w:rFonts w:ascii="Palatino Linotype" w:eastAsia="Palatino Linotype" w:hAnsi="Palatino Linotype" w:cs="Palatino Linotype"/>
          <w:sz w:val="22"/>
          <w:szCs w:val="22"/>
        </w:rPr>
        <w:t xml:space="preserve"> informó que, después de una búsqueda exhaustiva en los archivos físicos y electrónicos de esa Dirección no se encontró, ni archivos, ni libros, ni expedientes o algún otro medio de resguardo documental donde se aprecien, se informe o se encuentre la información requerida, aunado a que no tiene atribuciones para generar padrones o registros relacionados a operadoras de transporte público, ni para vincular a unas operadoras con la emisión de licencia de manejo, ni para verificar en que ruta están prestando el servicio; </w:t>
      </w:r>
      <w:r w:rsidRPr="006E246F">
        <w:rPr>
          <w:rFonts w:ascii="Palatino Linotype" w:eastAsia="Palatino Linotype" w:hAnsi="Palatino Linotype" w:cs="Palatino Linotype"/>
          <w:sz w:val="22"/>
          <w:szCs w:val="22"/>
        </w:rPr>
        <w:lastRenderedPageBreak/>
        <w:t>además de ser incompetentes para llevar un registro o padrón certificaciones otorgadas a las operadoras en los últimos años.</w:t>
      </w:r>
    </w:p>
    <w:p w14:paraId="25F43905" w14:textId="77777777" w:rsidR="00E565A0" w:rsidRPr="006E246F" w:rsidRDefault="00E565A0">
      <w:pPr>
        <w:pBdr>
          <w:top w:val="nil"/>
          <w:left w:val="nil"/>
          <w:bottom w:val="nil"/>
          <w:right w:val="nil"/>
          <w:between w:val="nil"/>
        </w:pBdr>
        <w:spacing w:line="276" w:lineRule="auto"/>
        <w:ind w:right="49"/>
        <w:jc w:val="both"/>
        <w:rPr>
          <w:rFonts w:ascii="Palatino Linotype" w:eastAsia="Palatino Linotype" w:hAnsi="Palatino Linotype" w:cs="Palatino Linotype"/>
          <w:sz w:val="22"/>
          <w:szCs w:val="22"/>
        </w:rPr>
      </w:pPr>
    </w:p>
    <w:p w14:paraId="253C48BD" w14:textId="77777777" w:rsidR="00E565A0" w:rsidRPr="006E246F" w:rsidRDefault="009458BD">
      <w:pPr>
        <w:numPr>
          <w:ilvl w:val="0"/>
          <w:numId w:val="3"/>
        </w:numPr>
        <w:pBdr>
          <w:top w:val="nil"/>
          <w:left w:val="nil"/>
          <w:bottom w:val="nil"/>
          <w:right w:val="nil"/>
          <w:between w:val="nil"/>
        </w:pBdr>
        <w:spacing w:line="276" w:lineRule="auto"/>
        <w:ind w:left="720" w:right="49"/>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b/>
          <w:sz w:val="22"/>
          <w:szCs w:val="22"/>
        </w:rPr>
        <w:t>Dirección General de Movilidad Zona VI:</w:t>
      </w:r>
      <w:r w:rsidRPr="006E246F">
        <w:rPr>
          <w:rFonts w:ascii="Palatino Linotype" w:eastAsia="Palatino Linotype" w:hAnsi="Palatino Linotype" w:cs="Palatino Linotype"/>
          <w:sz w:val="22"/>
          <w:szCs w:val="22"/>
        </w:rPr>
        <w:t xml:space="preserve"> que después de realizar una búsqueda en los archivos que obran en esa Dirección General NO se localizó documento alguno relacionado con su solicitud de información, ya que no cuenta con la facultad de generar, recopilar, administrar, manejar, procesar, archivar o conservar lo solicitado.</w:t>
      </w:r>
    </w:p>
    <w:p w14:paraId="14BF3EEC" w14:textId="77777777" w:rsidR="00E565A0" w:rsidRPr="006E246F" w:rsidRDefault="00E565A0">
      <w:pPr>
        <w:pBdr>
          <w:top w:val="nil"/>
          <w:left w:val="nil"/>
          <w:bottom w:val="nil"/>
          <w:right w:val="nil"/>
          <w:between w:val="nil"/>
        </w:pBdr>
        <w:spacing w:line="276" w:lineRule="auto"/>
        <w:ind w:left="360" w:right="49"/>
        <w:jc w:val="both"/>
        <w:rPr>
          <w:rFonts w:ascii="Palatino Linotype" w:eastAsia="Palatino Linotype" w:hAnsi="Palatino Linotype" w:cs="Palatino Linotype"/>
          <w:sz w:val="22"/>
          <w:szCs w:val="22"/>
        </w:rPr>
      </w:pPr>
    </w:p>
    <w:p w14:paraId="07DDA96C" w14:textId="77777777" w:rsidR="00E565A0" w:rsidRPr="006E246F" w:rsidRDefault="009458BD">
      <w:pPr>
        <w:pBdr>
          <w:top w:val="nil"/>
          <w:left w:val="nil"/>
          <w:bottom w:val="nil"/>
          <w:right w:val="nil"/>
          <w:between w:val="nil"/>
        </w:pBdr>
        <w:spacing w:line="360" w:lineRule="auto"/>
        <w:ind w:right="49"/>
        <w:jc w:val="both"/>
        <w:rPr>
          <w:rFonts w:ascii="Palatino Linotype" w:eastAsia="Palatino Linotype" w:hAnsi="Palatino Linotype" w:cs="Palatino Linotype"/>
          <w:b/>
          <w:sz w:val="22"/>
          <w:szCs w:val="22"/>
        </w:rPr>
      </w:pPr>
      <w:r w:rsidRPr="006E246F">
        <w:rPr>
          <w:rFonts w:ascii="Palatino Linotype" w:eastAsia="Palatino Linotype" w:hAnsi="Palatino Linotype" w:cs="Palatino Linotype"/>
          <w:b/>
          <w:sz w:val="22"/>
          <w:szCs w:val="22"/>
        </w:rPr>
        <w:t xml:space="preserve">3. Interposición del recurso de revisión. </w:t>
      </w:r>
      <w:r w:rsidRPr="006E246F">
        <w:rPr>
          <w:rFonts w:ascii="Palatino Linotype" w:eastAsia="Palatino Linotype" w:hAnsi="Palatino Linotype" w:cs="Palatino Linotype"/>
          <w:sz w:val="22"/>
          <w:szCs w:val="22"/>
        </w:rPr>
        <w:t xml:space="preserve">Inconforme con los términos de la respuesta emitida por parte del </w:t>
      </w:r>
      <w:r w:rsidRPr="006E246F">
        <w:rPr>
          <w:rFonts w:ascii="Palatino Linotype" w:eastAsia="Palatino Linotype" w:hAnsi="Palatino Linotype" w:cs="Palatino Linotype"/>
          <w:b/>
          <w:sz w:val="22"/>
          <w:szCs w:val="22"/>
        </w:rPr>
        <w:t>Sujeto Obligado</w:t>
      </w:r>
      <w:r w:rsidRPr="006E246F">
        <w:rPr>
          <w:rFonts w:ascii="Palatino Linotype" w:eastAsia="Palatino Linotype" w:hAnsi="Palatino Linotype" w:cs="Palatino Linotype"/>
          <w:sz w:val="22"/>
          <w:szCs w:val="22"/>
        </w:rPr>
        <w:t>, el</w:t>
      </w:r>
      <w:r w:rsidRPr="006E246F">
        <w:rPr>
          <w:rFonts w:ascii="Palatino Linotype" w:eastAsia="Palatino Linotype" w:hAnsi="Palatino Linotype" w:cs="Palatino Linotype"/>
          <w:b/>
          <w:sz w:val="22"/>
          <w:szCs w:val="22"/>
        </w:rPr>
        <w:t xml:space="preserve"> dos de abril de dos mil veinticinco,</w:t>
      </w:r>
      <w:r w:rsidRPr="006E246F">
        <w:rPr>
          <w:rFonts w:ascii="Palatino Linotype" w:eastAsia="Palatino Linotype" w:hAnsi="Palatino Linotype" w:cs="Palatino Linotype"/>
          <w:sz w:val="22"/>
          <w:szCs w:val="22"/>
        </w:rPr>
        <w:t xml:space="preserve"> </w:t>
      </w:r>
      <w:r w:rsidRPr="006E246F">
        <w:rPr>
          <w:rFonts w:ascii="Palatino Linotype" w:eastAsia="Palatino Linotype" w:hAnsi="Palatino Linotype" w:cs="Palatino Linotype"/>
          <w:b/>
          <w:sz w:val="22"/>
          <w:szCs w:val="22"/>
        </w:rPr>
        <w:t>la parte</w:t>
      </w:r>
      <w:r w:rsidRPr="006E246F">
        <w:rPr>
          <w:rFonts w:ascii="Palatino Linotype" w:eastAsia="Palatino Linotype" w:hAnsi="Palatino Linotype" w:cs="Palatino Linotype"/>
          <w:sz w:val="22"/>
          <w:szCs w:val="22"/>
        </w:rPr>
        <w:t xml:space="preserve"> </w:t>
      </w:r>
      <w:r w:rsidRPr="006E246F">
        <w:rPr>
          <w:rFonts w:ascii="Palatino Linotype" w:eastAsia="Palatino Linotype" w:hAnsi="Palatino Linotype" w:cs="Palatino Linotype"/>
          <w:b/>
          <w:sz w:val="22"/>
          <w:szCs w:val="22"/>
        </w:rPr>
        <w:t>Recurrente</w:t>
      </w:r>
      <w:r w:rsidRPr="006E246F">
        <w:rPr>
          <w:rFonts w:ascii="Palatino Linotype" w:eastAsia="Palatino Linotype" w:hAnsi="Palatino Linotype" w:cs="Palatino Linotype"/>
          <w:sz w:val="22"/>
          <w:szCs w:val="22"/>
        </w:rPr>
        <w:t xml:space="preserve"> interpuso el recurso de revisión a través de </w:t>
      </w:r>
      <w:r w:rsidRPr="006E246F">
        <w:rPr>
          <w:rFonts w:ascii="Palatino Linotype" w:eastAsia="Palatino Linotype" w:hAnsi="Palatino Linotype" w:cs="Palatino Linotype"/>
          <w:b/>
          <w:sz w:val="22"/>
          <w:szCs w:val="22"/>
        </w:rPr>
        <w:t xml:space="preserve">SAIMEX, </w:t>
      </w:r>
      <w:r w:rsidRPr="006E246F">
        <w:rPr>
          <w:rFonts w:ascii="Palatino Linotype" w:eastAsia="Palatino Linotype" w:hAnsi="Palatino Linotype" w:cs="Palatino Linotype"/>
          <w:sz w:val="22"/>
          <w:szCs w:val="22"/>
        </w:rPr>
        <w:t>en donde se manifestó de la siguiente manera:</w:t>
      </w:r>
    </w:p>
    <w:p w14:paraId="5DB944DD" w14:textId="77777777" w:rsidR="00E565A0" w:rsidRPr="006E246F" w:rsidRDefault="009458BD">
      <w:pPr>
        <w:tabs>
          <w:tab w:val="left" w:pos="2745"/>
        </w:tabs>
        <w:spacing w:before="240" w:after="240" w:line="276" w:lineRule="auto"/>
        <w:ind w:left="567" w:right="900"/>
        <w:jc w:val="both"/>
        <w:rPr>
          <w:rFonts w:ascii="Palatino Linotype" w:eastAsia="Palatino Linotype" w:hAnsi="Palatino Linotype" w:cs="Palatino Linotype"/>
          <w:b/>
          <w:sz w:val="22"/>
          <w:szCs w:val="22"/>
        </w:rPr>
      </w:pPr>
      <w:r w:rsidRPr="006E246F">
        <w:rPr>
          <w:rFonts w:ascii="Palatino Linotype" w:eastAsia="Palatino Linotype" w:hAnsi="Palatino Linotype" w:cs="Palatino Linotype"/>
          <w:b/>
          <w:sz w:val="22"/>
          <w:szCs w:val="22"/>
        </w:rPr>
        <w:t xml:space="preserve">a) Acto impugnado: </w:t>
      </w:r>
      <w:r w:rsidRPr="006E246F">
        <w:rPr>
          <w:rFonts w:ascii="Palatino Linotype" w:eastAsia="Palatino Linotype" w:hAnsi="Palatino Linotype" w:cs="Palatino Linotype"/>
          <w:i/>
          <w:sz w:val="22"/>
          <w:szCs w:val="22"/>
        </w:rPr>
        <w:t>“La Secretaría de Movilidad no da respuesta a lo pedido” (Sic)</w:t>
      </w:r>
    </w:p>
    <w:p w14:paraId="2793A7B5" w14:textId="77777777" w:rsidR="00E565A0" w:rsidRPr="006E246F" w:rsidRDefault="009458BD">
      <w:pPr>
        <w:spacing w:line="276" w:lineRule="auto"/>
        <w:ind w:left="567" w:right="900"/>
        <w:jc w:val="both"/>
        <w:rPr>
          <w:rFonts w:ascii="Palatino Linotype" w:eastAsia="Palatino Linotype" w:hAnsi="Palatino Linotype" w:cs="Palatino Linotype"/>
          <w:i/>
          <w:sz w:val="22"/>
          <w:szCs w:val="22"/>
        </w:rPr>
      </w:pPr>
      <w:bookmarkStart w:id="4" w:name="_heading=h.30j0zll" w:colFirst="0" w:colLast="0"/>
      <w:bookmarkEnd w:id="4"/>
      <w:r w:rsidRPr="006E246F">
        <w:rPr>
          <w:rFonts w:ascii="Palatino Linotype" w:eastAsia="Palatino Linotype" w:hAnsi="Palatino Linotype" w:cs="Palatino Linotype"/>
          <w:b/>
          <w:sz w:val="22"/>
          <w:szCs w:val="22"/>
        </w:rPr>
        <w:t>b) Razones o motivos de inconformidad</w:t>
      </w:r>
      <w:r w:rsidRPr="006E246F">
        <w:rPr>
          <w:rFonts w:ascii="Palatino Linotype" w:eastAsia="Palatino Linotype" w:hAnsi="Palatino Linotype" w:cs="Palatino Linotype"/>
          <w:sz w:val="22"/>
          <w:szCs w:val="22"/>
        </w:rPr>
        <w:t xml:space="preserve">: </w:t>
      </w:r>
      <w:r w:rsidRPr="006E246F">
        <w:rPr>
          <w:rFonts w:ascii="Palatino Linotype" w:eastAsia="Palatino Linotype" w:hAnsi="Palatino Linotype" w:cs="Palatino Linotype"/>
          <w:i/>
          <w:sz w:val="22"/>
          <w:szCs w:val="22"/>
        </w:rPr>
        <w:t>“No dan respuesta sin entregar la información que me interesa y que ellos mismos anuncian en sus redes” (Sic)</w:t>
      </w:r>
    </w:p>
    <w:p w14:paraId="669580ED" w14:textId="77777777" w:rsidR="00E565A0" w:rsidRPr="006E246F" w:rsidRDefault="00E565A0">
      <w:pPr>
        <w:spacing w:line="276" w:lineRule="auto"/>
        <w:ind w:left="567" w:right="900"/>
        <w:jc w:val="both"/>
        <w:rPr>
          <w:rFonts w:ascii="Palatino Linotype" w:eastAsia="Palatino Linotype" w:hAnsi="Palatino Linotype" w:cs="Palatino Linotype"/>
          <w:i/>
          <w:sz w:val="22"/>
          <w:szCs w:val="22"/>
        </w:rPr>
      </w:pPr>
    </w:p>
    <w:p w14:paraId="107FEA74" w14:textId="77777777" w:rsidR="00E565A0" w:rsidRPr="006E246F" w:rsidRDefault="009458BD">
      <w:pPr>
        <w:spacing w:line="360" w:lineRule="auto"/>
        <w:ind w:right="51"/>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b/>
          <w:sz w:val="22"/>
          <w:szCs w:val="22"/>
        </w:rPr>
        <w:t xml:space="preserve">4. Turno. </w:t>
      </w:r>
      <w:r w:rsidRPr="006E246F">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6E246F">
        <w:rPr>
          <w:rFonts w:ascii="Palatino Linotype" w:eastAsia="Palatino Linotype" w:hAnsi="Palatino Linotype" w:cs="Palatino Linotype"/>
          <w:b/>
          <w:sz w:val="22"/>
          <w:szCs w:val="22"/>
        </w:rPr>
        <w:t xml:space="preserve">Guadalupe Ramírez Peña, </w:t>
      </w:r>
      <w:r w:rsidRPr="006E246F">
        <w:rPr>
          <w:rFonts w:ascii="Palatino Linotype" w:eastAsia="Palatino Linotype" w:hAnsi="Palatino Linotype" w:cs="Palatino Linotype"/>
          <w:sz w:val="22"/>
          <w:szCs w:val="22"/>
        </w:rPr>
        <w:t xml:space="preserve">a efecto de que analizara sobre su admisión o su </w:t>
      </w:r>
      <w:proofErr w:type="spellStart"/>
      <w:r w:rsidRPr="006E246F">
        <w:rPr>
          <w:rFonts w:ascii="Palatino Linotype" w:eastAsia="Palatino Linotype" w:hAnsi="Palatino Linotype" w:cs="Palatino Linotype"/>
          <w:sz w:val="22"/>
          <w:szCs w:val="22"/>
        </w:rPr>
        <w:t>desechamiento</w:t>
      </w:r>
      <w:proofErr w:type="spellEnd"/>
      <w:r w:rsidRPr="006E246F">
        <w:rPr>
          <w:rFonts w:ascii="Palatino Linotype" w:eastAsia="Palatino Linotype" w:hAnsi="Palatino Linotype" w:cs="Palatino Linotype"/>
          <w:sz w:val="22"/>
          <w:szCs w:val="22"/>
        </w:rPr>
        <w:t>.</w:t>
      </w:r>
    </w:p>
    <w:p w14:paraId="16521C44" w14:textId="77777777" w:rsidR="00E565A0" w:rsidRPr="006E246F" w:rsidRDefault="00E565A0">
      <w:pPr>
        <w:spacing w:line="360" w:lineRule="auto"/>
        <w:ind w:right="51"/>
        <w:jc w:val="both"/>
        <w:rPr>
          <w:rFonts w:ascii="Palatino Linotype" w:eastAsia="Palatino Linotype" w:hAnsi="Palatino Linotype" w:cs="Palatino Linotype"/>
          <w:sz w:val="22"/>
          <w:szCs w:val="22"/>
        </w:rPr>
      </w:pPr>
    </w:p>
    <w:p w14:paraId="6713120D" w14:textId="77777777" w:rsidR="00E565A0" w:rsidRPr="006E246F" w:rsidRDefault="009458BD">
      <w:pPr>
        <w:spacing w:line="360" w:lineRule="auto"/>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b/>
          <w:sz w:val="22"/>
          <w:szCs w:val="22"/>
        </w:rPr>
        <w:t>5. Admisión del Recurso de revisión.</w:t>
      </w:r>
      <w:r w:rsidRPr="006E246F">
        <w:rPr>
          <w:rFonts w:ascii="Palatino Linotype" w:eastAsia="Palatino Linotype" w:hAnsi="Palatino Linotype" w:cs="Palatino Linotype"/>
          <w:sz w:val="22"/>
          <w:szCs w:val="22"/>
        </w:rPr>
        <w:t xml:space="preserve"> El </w:t>
      </w:r>
      <w:r w:rsidRPr="006E246F">
        <w:rPr>
          <w:rFonts w:ascii="Palatino Linotype" w:eastAsia="Palatino Linotype" w:hAnsi="Palatino Linotype" w:cs="Palatino Linotype"/>
          <w:b/>
          <w:sz w:val="22"/>
          <w:szCs w:val="22"/>
        </w:rPr>
        <w:t xml:space="preserve">siete de abril de dos mil veinticinco, </w:t>
      </w:r>
      <w:r w:rsidRPr="006E246F">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w:t>
      </w:r>
      <w:r w:rsidRPr="006E246F">
        <w:rPr>
          <w:rFonts w:ascii="Palatino Linotype" w:eastAsia="Palatino Linotype" w:hAnsi="Palatino Linotype" w:cs="Palatino Linotype"/>
          <w:sz w:val="22"/>
          <w:szCs w:val="22"/>
        </w:rPr>
        <w:lastRenderedPageBreak/>
        <w:t xml:space="preserve">que a su derecho resultara conveniente, ofrecieran pruebas, formularan alegatos y el </w:t>
      </w:r>
      <w:r w:rsidRPr="006E246F">
        <w:rPr>
          <w:rFonts w:ascii="Palatino Linotype" w:eastAsia="Palatino Linotype" w:hAnsi="Palatino Linotype" w:cs="Palatino Linotype"/>
          <w:b/>
          <w:sz w:val="22"/>
          <w:szCs w:val="22"/>
        </w:rPr>
        <w:t xml:space="preserve">Sujeto Obligado </w:t>
      </w:r>
      <w:r w:rsidRPr="006E246F">
        <w:rPr>
          <w:rFonts w:ascii="Palatino Linotype" w:eastAsia="Palatino Linotype" w:hAnsi="Palatino Linotype" w:cs="Palatino Linotype"/>
          <w:sz w:val="22"/>
          <w:szCs w:val="22"/>
        </w:rPr>
        <w:t>presentara su informe justificado.</w:t>
      </w:r>
    </w:p>
    <w:p w14:paraId="61A86326" w14:textId="77777777" w:rsidR="00E565A0" w:rsidRPr="006E246F" w:rsidRDefault="00E565A0">
      <w:pPr>
        <w:spacing w:line="360" w:lineRule="auto"/>
        <w:jc w:val="both"/>
        <w:rPr>
          <w:rFonts w:ascii="Palatino Linotype" w:eastAsia="Palatino Linotype" w:hAnsi="Palatino Linotype" w:cs="Palatino Linotype"/>
          <w:sz w:val="22"/>
          <w:szCs w:val="22"/>
        </w:rPr>
      </w:pPr>
    </w:p>
    <w:p w14:paraId="13F08E43" w14:textId="77777777" w:rsidR="00E565A0" w:rsidRPr="006E246F" w:rsidRDefault="009458BD">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bookmarkStart w:id="5" w:name="_heading=h.2s8eyo1" w:colFirst="0" w:colLast="0"/>
      <w:bookmarkEnd w:id="5"/>
      <w:r w:rsidRPr="006E246F">
        <w:rPr>
          <w:rFonts w:ascii="Palatino Linotype" w:eastAsia="Palatino Linotype" w:hAnsi="Palatino Linotype" w:cs="Palatino Linotype"/>
          <w:b/>
          <w:sz w:val="22"/>
          <w:szCs w:val="22"/>
        </w:rPr>
        <w:t>6. Manifestaciones</w:t>
      </w:r>
      <w:r w:rsidRPr="006E246F">
        <w:rPr>
          <w:rFonts w:ascii="Palatino Linotype" w:eastAsia="Palatino Linotype" w:hAnsi="Palatino Linotype" w:cs="Palatino Linotype"/>
          <w:sz w:val="22"/>
          <w:szCs w:val="22"/>
        </w:rPr>
        <w:t xml:space="preserve">. De las constancias que integran el expediente en que se actúa se advierte </w:t>
      </w:r>
      <w:proofErr w:type="gramStart"/>
      <w:r w:rsidRPr="006E246F">
        <w:rPr>
          <w:rFonts w:ascii="Palatino Linotype" w:eastAsia="Palatino Linotype" w:hAnsi="Palatino Linotype" w:cs="Palatino Linotype"/>
          <w:sz w:val="22"/>
          <w:szCs w:val="22"/>
        </w:rPr>
        <w:t>que</w:t>
      </w:r>
      <w:proofErr w:type="gramEnd"/>
      <w:r w:rsidRPr="006E246F">
        <w:rPr>
          <w:rFonts w:ascii="Palatino Linotype" w:eastAsia="Palatino Linotype" w:hAnsi="Palatino Linotype" w:cs="Palatino Linotype"/>
          <w:sz w:val="22"/>
          <w:szCs w:val="22"/>
        </w:rPr>
        <w:t xml:space="preserve"> durante el periodo de manifestaciones, el </w:t>
      </w:r>
      <w:r w:rsidRPr="006E246F">
        <w:rPr>
          <w:rFonts w:ascii="Palatino Linotype" w:eastAsia="Palatino Linotype" w:hAnsi="Palatino Linotype" w:cs="Palatino Linotype"/>
          <w:b/>
          <w:sz w:val="22"/>
          <w:szCs w:val="22"/>
        </w:rPr>
        <w:t xml:space="preserve">Sujeto Obligado </w:t>
      </w:r>
      <w:r w:rsidRPr="006E246F">
        <w:rPr>
          <w:rFonts w:ascii="Palatino Linotype" w:eastAsia="Palatino Linotype" w:hAnsi="Palatino Linotype" w:cs="Palatino Linotype"/>
          <w:sz w:val="22"/>
          <w:szCs w:val="22"/>
        </w:rPr>
        <w:t xml:space="preserve">en fecha </w:t>
      </w:r>
      <w:r w:rsidRPr="006E246F">
        <w:rPr>
          <w:rFonts w:ascii="Palatino Linotype" w:eastAsia="Palatino Linotype" w:hAnsi="Palatino Linotype" w:cs="Palatino Linotype"/>
          <w:b/>
          <w:sz w:val="22"/>
          <w:szCs w:val="22"/>
        </w:rPr>
        <w:t xml:space="preserve">veintitrés de abril de dos mil veinticinco, </w:t>
      </w:r>
      <w:r w:rsidRPr="006E246F">
        <w:rPr>
          <w:rFonts w:ascii="Palatino Linotype" w:eastAsia="Palatino Linotype" w:hAnsi="Palatino Linotype" w:cs="Palatino Linotype"/>
          <w:sz w:val="22"/>
          <w:szCs w:val="22"/>
        </w:rPr>
        <w:t>rindió su informe justificado, a través de archivos electrónicos que contienen la información siguiente:</w:t>
      </w:r>
    </w:p>
    <w:p w14:paraId="0E8E5192" w14:textId="77777777" w:rsidR="00E565A0" w:rsidRPr="006E246F" w:rsidRDefault="00E565A0">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p>
    <w:p w14:paraId="04DC0E7B" w14:textId="77777777" w:rsidR="00E565A0" w:rsidRPr="006E246F" w:rsidRDefault="009458BD">
      <w:pPr>
        <w:numPr>
          <w:ilvl w:val="0"/>
          <w:numId w:val="2"/>
        </w:numPr>
        <w:pBdr>
          <w:top w:val="nil"/>
          <w:left w:val="nil"/>
          <w:bottom w:val="nil"/>
          <w:right w:val="nil"/>
          <w:between w:val="nil"/>
        </w:pBdr>
        <w:tabs>
          <w:tab w:val="left" w:pos="426"/>
        </w:tabs>
        <w:spacing w:line="276" w:lineRule="auto"/>
        <w:ind w:right="49"/>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Escrito del</w:t>
      </w:r>
      <w:r w:rsidRPr="006E246F">
        <w:rPr>
          <w:rFonts w:ascii="Palatino Linotype" w:eastAsia="Palatino Linotype" w:hAnsi="Palatino Linotype" w:cs="Palatino Linotype"/>
          <w:b/>
          <w:sz w:val="22"/>
          <w:szCs w:val="22"/>
        </w:rPr>
        <w:t xml:space="preserve"> </w:t>
      </w:r>
      <w:r w:rsidRPr="006E246F">
        <w:rPr>
          <w:rFonts w:ascii="Palatino Linotype" w:eastAsia="Palatino Linotype" w:hAnsi="Palatino Linotype" w:cs="Palatino Linotype"/>
          <w:sz w:val="22"/>
          <w:szCs w:val="22"/>
        </w:rPr>
        <w:t>23 de abril de 2025, a través del cual el titular de la Unidad de Transparencia solicitó se confirmara respuesta inicial, asimismo refirió que la Dirección del Registro de Licencias y Operadores, señaló que, entre las atribuciones se tiene la de expedir licencias, no así la de resguardarlas, pues dichos documentos son entregados al solicitante al momento de concluir el procedimiento correspondiente; por lo que, únicamente se tiene el número de trámites realizados por esta Dirección a través de sus unidades administrativas</w:t>
      </w:r>
    </w:p>
    <w:p w14:paraId="09244041" w14:textId="77777777" w:rsidR="00E565A0" w:rsidRPr="006E246F" w:rsidRDefault="00E565A0">
      <w:pPr>
        <w:pBdr>
          <w:top w:val="nil"/>
          <w:left w:val="nil"/>
          <w:bottom w:val="nil"/>
          <w:right w:val="nil"/>
          <w:between w:val="nil"/>
        </w:pBdr>
        <w:tabs>
          <w:tab w:val="left" w:pos="426"/>
        </w:tabs>
        <w:spacing w:line="276" w:lineRule="auto"/>
        <w:ind w:left="360" w:right="49"/>
        <w:jc w:val="both"/>
        <w:rPr>
          <w:rFonts w:ascii="Palatino Linotype" w:eastAsia="Palatino Linotype" w:hAnsi="Palatino Linotype" w:cs="Palatino Linotype"/>
          <w:sz w:val="22"/>
          <w:szCs w:val="22"/>
        </w:rPr>
      </w:pPr>
    </w:p>
    <w:p w14:paraId="4EC1C099" w14:textId="77777777" w:rsidR="00E565A0" w:rsidRPr="006E246F" w:rsidRDefault="009458BD">
      <w:pPr>
        <w:pBdr>
          <w:top w:val="nil"/>
          <w:left w:val="nil"/>
          <w:bottom w:val="nil"/>
          <w:right w:val="nil"/>
          <w:between w:val="nil"/>
        </w:pBdr>
        <w:tabs>
          <w:tab w:val="left" w:pos="426"/>
        </w:tabs>
        <w:spacing w:line="276" w:lineRule="auto"/>
        <w:ind w:left="360" w:right="49"/>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Asimismo, se indicó que por conducto de dicha dirección se emiten las licencias de conducir tanto para el servicio de transporte público, como para el servicio particular, no obstante, para el caso específico de licencias de conducir para servicio público, dichas personas no están obligadas a informar a que empresa y/o persona física prestaran sus servicios como operadores, toda vez, que es una profesión que ellos prestan en libre albedrío, puesto que no es un requisito previsto en el artículo 43 inciso C) del Reglamento de Tránsito del Estado de México.</w:t>
      </w:r>
    </w:p>
    <w:p w14:paraId="7A069641" w14:textId="77777777" w:rsidR="00E565A0" w:rsidRPr="006E246F" w:rsidRDefault="00E565A0">
      <w:pPr>
        <w:pBdr>
          <w:top w:val="nil"/>
          <w:left w:val="nil"/>
          <w:bottom w:val="nil"/>
          <w:right w:val="nil"/>
          <w:between w:val="nil"/>
        </w:pBdr>
        <w:tabs>
          <w:tab w:val="left" w:pos="426"/>
        </w:tabs>
        <w:spacing w:line="276" w:lineRule="auto"/>
        <w:ind w:right="49"/>
        <w:jc w:val="both"/>
        <w:rPr>
          <w:rFonts w:ascii="Palatino Linotype" w:eastAsia="Palatino Linotype" w:hAnsi="Palatino Linotype" w:cs="Palatino Linotype"/>
          <w:sz w:val="22"/>
          <w:szCs w:val="22"/>
        </w:rPr>
      </w:pPr>
    </w:p>
    <w:p w14:paraId="69BF324C" w14:textId="77777777" w:rsidR="00E565A0" w:rsidRPr="006E246F" w:rsidRDefault="009458BD">
      <w:pPr>
        <w:numPr>
          <w:ilvl w:val="0"/>
          <w:numId w:val="2"/>
        </w:numPr>
        <w:pBdr>
          <w:top w:val="nil"/>
          <w:left w:val="nil"/>
          <w:bottom w:val="nil"/>
          <w:right w:val="nil"/>
          <w:between w:val="nil"/>
        </w:pBdr>
        <w:tabs>
          <w:tab w:val="left" w:pos="426"/>
        </w:tabs>
        <w:spacing w:line="276" w:lineRule="auto"/>
        <w:ind w:right="49"/>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 xml:space="preserve">Oficio del 11 de abril de 2025, a través del cual el </w:t>
      </w:r>
      <w:proofErr w:type="gramStart"/>
      <w:r w:rsidRPr="006E246F">
        <w:rPr>
          <w:rFonts w:ascii="Palatino Linotype" w:eastAsia="Palatino Linotype" w:hAnsi="Palatino Linotype" w:cs="Palatino Linotype"/>
          <w:sz w:val="22"/>
          <w:szCs w:val="22"/>
        </w:rPr>
        <w:t>Director</w:t>
      </w:r>
      <w:proofErr w:type="gramEnd"/>
      <w:r w:rsidRPr="006E246F">
        <w:rPr>
          <w:rFonts w:ascii="Palatino Linotype" w:eastAsia="Palatino Linotype" w:hAnsi="Palatino Linotype" w:cs="Palatino Linotype"/>
          <w:sz w:val="22"/>
          <w:szCs w:val="22"/>
        </w:rPr>
        <w:t xml:space="preserve"> del Registro de Licencias y Operadores refiere que sobre la ruta a la que pertenecen las operadores se hace del conocimiento que, no se cuenta con dicha información; ya que, las licencias de conducir y tarjeta de identificación hoy denominado certificado médico toxicológico, son documentos que no contienen información relativa a una empresa; en virtud de que, no es un dato relacionado a dichos documentos.</w:t>
      </w:r>
    </w:p>
    <w:p w14:paraId="66F98305" w14:textId="77777777" w:rsidR="00E565A0" w:rsidRPr="006E246F" w:rsidRDefault="009458BD">
      <w:pPr>
        <w:pBdr>
          <w:top w:val="nil"/>
          <w:left w:val="nil"/>
          <w:bottom w:val="nil"/>
          <w:right w:val="nil"/>
          <w:between w:val="nil"/>
        </w:pBdr>
        <w:tabs>
          <w:tab w:val="left" w:pos="426"/>
        </w:tabs>
        <w:spacing w:line="276" w:lineRule="auto"/>
        <w:ind w:left="360" w:right="49"/>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lastRenderedPageBreak/>
        <w:t xml:space="preserve">Asimismo, </w:t>
      </w:r>
      <w:proofErr w:type="gramStart"/>
      <w:r w:rsidRPr="006E246F">
        <w:rPr>
          <w:rFonts w:ascii="Palatino Linotype" w:eastAsia="Palatino Linotype" w:hAnsi="Palatino Linotype" w:cs="Palatino Linotype"/>
          <w:sz w:val="22"/>
          <w:szCs w:val="22"/>
        </w:rPr>
        <w:t>que</w:t>
      </w:r>
      <w:proofErr w:type="gramEnd"/>
      <w:r w:rsidRPr="006E246F">
        <w:rPr>
          <w:rFonts w:ascii="Palatino Linotype" w:eastAsia="Palatino Linotype" w:hAnsi="Palatino Linotype" w:cs="Palatino Linotype"/>
          <w:sz w:val="22"/>
          <w:szCs w:val="22"/>
        </w:rPr>
        <w:t xml:space="preserve"> respecto a capacitaciones o certificaciones, para la obtención de la licencia de conducir de servicio público no está dentro de sus requisitos tener alguna capacitación o certificación.</w:t>
      </w:r>
    </w:p>
    <w:p w14:paraId="0D2448DC" w14:textId="77777777" w:rsidR="00E565A0" w:rsidRPr="006E246F" w:rsidRDefault="00E565A0">
      <w:pPr>
        <w:pBdr>
          <w:top w:val="nil"/>
          <w:left w:val="nil"/>
          <w:bottom w:val="nil"/>
          <w:right w:val="nil"/>
          <w:between w:val="nil"/>
        </w:pBdr>
        <w:tabs>
          <w:tab w:val="left" w:pos="426"/>
        </w:tabs>
        <w:spacing w:line="276" w:lineRule="auto"/>
        <w:ind w:left="360" w:right="49"/>
        <w:jc w:val="both"/>
        <w:rPr>
          <w:rFonts w:ascii="Palatino Linotype" w:eastAsia="Palatino Linotype" w:hAnsi="Palatino Linotype" w:cs="Palatino Linotype"/>
          <w:sz w:val="22"/>
          <w:szCs w:val="22"/>
        </w:rPr>
      </w:pPr>
    </w:p>
    <w:p w14:paraId="440BE4EE" w14:textId="77777777" w:rsidR="00E565A0" w:rsidRPr="006E246F" w:rsidRDefault="009458BD">
      <w:pPr>
        <w:numPr>
          <w:ilvl w:val="0"/>
          <w:numId w:val="2"/>
        </w:numPr>
        <w:pBdr>
          <w:top w:val="nil"/>
          <w:left w:val="nil"/>
          <w:bottom w:val="nil"/>
          <w:right w:val="nil"/>
          <w:between w:val="nil"/>
        </w:pBdr>
        <w:tabs>
          <w:tab w:val="left" w:pos="426"/>
        </w:tabs>
        <w:spacing w:line="276" w:lineRule="auto"/>
        <w:ind w:right="49"/>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 xml:space="preserve">Oficio del 21 de abril de 2025, a través del cual el </w:t>
      </w:r>
      <w:proofErr w:type="gramStart"/>
      <w:r w:rsidRPr="006E246F">
        <w:rPr>
          <w:rFonts w:ascii="Palatino Linotype" w:eastAsia="Palatino Linotype" w:hAnsi="Palatino Linotype" w:cs="Palatino Linotype"/>
          <w:sz w:val="22"/>
          <w:szCs w:val="22"/>
        </w:rPr>
        <w:t>Jefe</w:t>
      </w:r>
      <w:proofErr w:type="gramEnd"/>
      <w:r w:rsidRPr="006E246F">
        <w:rPr>
          <w:rFonts w:ascii="Palatino Linotype" w:eastAsia="Palatino Linotype" w:hAnsi="Palatino Linotype" w:cs="Palatino Linotype"/>
          <w:sz w:val="22"/>
          <w:szCs w:val="22"/>
        </w:rPr>
        <w:t xml:space="preserve"> de Departamento de Normatividad del Instituto del Transporte del Estado de México informó nuevamente los temarios respecto de los cuales las operadoras y operadores del transporte público en la Entidad pueden capacitarse.</w:t>
      </w:r>
    </w:p>
    <w:p w14:paraId="175A6378" w14:textId="77777777" w:rsidR="00E565A0" w:rsidRPr="006E246F" w:rsidRDefault="00E565A0">
      <w:pPr>
        <w:pBdr>
          <w:top w:val="nil"/>
          <w:left w:val="nil"/>
          <w:bottom w:val="nil"/>
          <w:right w:val="nil"/>
          <w:between w:val="nil"/>
        </w:pBdr>
        <w:tabs>
          <w:tab w:val="left" w:pos="426"/>
        </w:tabs>
        <w:spacing w:line="276" w:lineRule="auto"/>
        <w:ind w:right="49"/>
        <w:jc w:val="both"/>
        <w:rPr>
          <w:rFonts w:ascii="Palatino Linotype" w:eastAsia="Palatino Linotype" w:hAnsi="Palatino Linotype" w:cs="Palatino Linotype"/>
          <w:sz w:val="22"/>
          <w:szCs w:val="22"/>
        </w:rPr>
      </w:pPr>
    </w:p>
    <w:p w14:paraId="01A6A061" w14:textId="77777777" w:rsidR="00E565A0" w:rsidRPr="006E246F" w:rsidRDefault="009458BD">
      <w:pPr>
        <w:pBdr>
          <w:top w:val="nil"/>
          <w:left w:val="nil"/>
          <w:bottom w:val="nil"/>
          <w:right w:val="nil"/>
          <w:between w:val="nil"/>
        </w:pBdr>
        <w:tabs>
          <w:tab w:val="left" w:pos="426"/>
        </w:tabs>
        <w:spacing w:line="276" w:lineRule="auto"/>
        <w:ind w:left="360" w:right="49"/>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Asimismo, se indicó que ese Instituto del Transporte del Estado de México no posee la atribución ni la información concerniente a las rutas específicas a las cuales se incorporan las operadoras de transporte público, pues la asignación de itinerarios constituye una facultad externa a este sujeto obligado, que pudiera ser a las vacantes de las concesionarias y permisionarias que operan en el Estado de México, sin que esta información sea gestionada, registrada o deba ser conocida por esta entidad.</w:t>
      </w:r>
    </w:p>
    <w:p w14:paraId="70635C09" w14:textId="77777777" w:rsidR="00E565A0" w:rsidRPr="006E246F" w:rsidRDefault="00E565A0">
      <w:pPr>
        <w:pBdr>
          <w:top w:val="nil"/>
          <w:left w:val="nil"/>
          <w:bottom w:val="nil"/>
          <w:right w:val="nil"/>
          <w:between w:val="nil"/>
        </w:pBdr>
        <w:tabs>
          <w:tab w:val="left" w:pos="426"/>
        </w:tabs>
        <w:spacing w:line="276" w:lineRule="auto"/>
        <w:ind w:right="49"/>
        <w:jc w:val="both"/>
        <w:rPr>
          <w:rFonts w:ascii="Palatino Linotype" w:eastAsia="Palatino Linotype" w:hAnsi="Palatino Linotype" w:cs="Palatino Linotype"/>
          <w:sz w:val="22"/>
          <w:szCs w:val="22"/>
        </w:rPr>
      </w:pPr>
    </w:p>
    <w:p w14:paraId="2ECECB52" w14:textId="77777777" w:rsidR="00E565A0" w:rsidRPr="006E246F" w:rsidRDefault="009458BD">
      <w:pPr>
        <w:pBdr>
          <w:top w:val="nil"/>
          <w:left w:val="nil"/>
          <w:bottom w:val="nil"/>
          <w:right w:val="nil"/>
          <w:between w:val="nil"/>
        </w:pBdr>
        <w:tabs>
          <w:tab w:val="left" w:pos="426"/>
        </w:tabs>
        <w:spacing w:line="276" w:lineRule="auto"/>
        <w:ind w:left="360" w:right="49"/>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 xml:space="preserve">Finalmente, se indicó </w:t>
      </w:r>
      <w:r w:rsidRPr="006E246F">
        <w:rPr>
          <w:rFonts w:ascii="Palatino Linotype" w:eastAsia="Palatino Linotype" w:hAnsi="Palatino Linotype" w:cs="Palatino Linotype"/>
          <w:b/>
          <w:sz w:val="22"/>
          <w:szCs w:val="22"/>
        </w:rPr>
        <w:t>que los reconocimientos otorgados en el marco de la capacitación del Programa "Mujeres al Volante" no revisten el carácter de documentos públicos</w:t>
      </w:r>
      <w:r w:rsidRPr="006E246F">
        <w:rPr>
          <w:rFonts w:ascii="Palatino Linotype" w:eastAsia="Palatino Linotype" w:hAnsi="Palatino Linotype" w:cs="Palatino Linotype"/>
          <w:sz w:val="22"/>
          <w:szCs w:val="22"/>
        </w:rPr>
        <w:t>, ya que dichos instrumentos contienen datos personales de las participantes, quienes no ostentan la calidad de servidoras públicas, lo que confiere a la información contenida en ellos la naturaleza de confidencial.</w:t>
      </w:r>
    </w:p>
    <w:p w14:paraId="4E5AC628" w14:textId="77777777" w:rsidR="00E565A0" w:rsidRPr="006E246F" w:rsidRDefault="00E565A0">
      <w:pPr>
        <w:pBdr>
          <w:top w:val="nil"/>
          <w:left w:val="nil"/>
          <w:bottom w:val="nil"/>
          <w:right w:val="nil"/>
          <w:between w:val="nil"/>
        </w:pBdr>
        <w:tabs>
          <w:tab w:val="left" w:pos="426"/>
        </w:tabs>
        <w:spacing w:line="276" w:lineRule="auto"/>
        <w:ind w:right="49"/>
        <w:jc w:val="both"/>
        <w:rPr>
          <w:rFonts w:ascii="Palatino Linotype" w:eastAsia="Palatino Linotype" w:hAnsi="Palatino Linotype" w:cs="Palatino Linotype"/>
          <w:sz w:val="22"/>
          <w:szCs w:val="22"/>
        </w:rPr>
      </w:pPr>
    </w:p>
    <w:p w14:paraId="0B70BD4F" w14:textId="77777777" w:rsidR="00E565A0" w:rsidRPr="006E246F" w:rsidRDefault="009458BD">
      <w:pPr>
        <w:numPr>
          <w:ilvl w:val="0"/>
          <w:numId w:val="2"/>
        </w:numPr>
        <w:pBdr>
          <w:top w:val="nil"/>
          <w:left w:val="nil"/>
          <w:bottom w:val="nil"/>
          <w:right w:val="nil"/>
          <w:between w:val="nil"/>
        </w:pBdr>
        <w:tabs>
          <w:tab w:val="left" w:pos="426"/>
        </w:tabs>
        <w:spacing w:line="276" w:lineRule="auto"/>
        <w:ind w:right="49"/>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 xml:space="preserve">Oficio del 10 de abril de 2025, a través del cual el </w:t>
      </w:r>
      <w:proofErr w:type="gramStart"/>
      <w:r w:rsidRPr="006E246F">
        <w:rPr>
          <w:rFonts w:ascii="Palatino Linotype" w:eastAsia="Palatino Linotype" w:hAnsi="Palatino Linotype" w:cs="Palatino Linotype"/>
          <w:sz w:val="22"/>
          <w:szCs w:val="22"/>
        </w:rPr>
        <w:t>Director</w:t>
      </w:r>
      <w:proofErr w:type="gramEnd"/>
      <w:r w:rsidRPr="006E246F">
        <w:rPr>
          <w:rFonts w:ascii="Palatino Linotype" w:eastAsia="Palatino Linotype" w:hAnsi="Palatino Linotype" w:cs="Palatino Linotype"/>
          <w:sz w:val="22"/>
          <w:szCs w:val="22"/>
        </w:rPr>
        <w:t xml:space="preserve"> de la Unidad de Enlace y Servicios Metropolitanos ratificó su respuesta inicial.</w:t>
      </w:r>
    </w:p>
    <w:p w14:paraId="7F1B2BD4" w14:textId="77777777" w:rsidR="00E565A0" w:rsidRPr="006E246F" w:rsidRDefault="00E565A0">
      <w:pPr>
        <w:pBdr>
          <w:top w:val="nil"/>
          <w:left w:val="nil"/>
          <w:bottom w:val="nil"/>
          <w:right w:val="nil"/>
          <w:between w:val="nil"/>
        </w:pBdr>
        <w:tabs>
          <w:tab w:val="left" w:pos="426"/>
        </w:tabs>
        <w:spacing w:line="276" w:lineRule="auto"/>
        <w:ind w:right="49"/>
        <w:jc w:val="both"/>
        <w:rPr>
          <w:rFonts w:ascii="Palatino Linotype" w:eastAsia="Palatino Linotype" w:hAnsi="Palatino Linotype" w:cs="Palatino Linotype"/>
          <w:sz w:val="22"/>
          <w:szCs w:val="22"/>
        </w:rPr>
      </w:pPr>
    </w:p>
    <w:p w14:paraId="506D63B1" w14:textId="77777777" w:rsidR="00E565A0" w:rsidRPr="006E246F" w:rsidRDefault="009458BD">
      <w:pPr>
        <w:numPr>
          <w:ilvl w:val="0"/>
          <w:numId w:val="2"/>
        </w:numPr>
        <w:pBdr>
          <w:top w:val="nil"/>
          <w:left w:val="nil"/>
          <w:bottom w:val="nil"/>
          <w:right w:val="nil"/>
          <w:between w:val="nil"/>
        </w:pBdr>
        <w:tabs>
          <w:tab w:val="left" w:pos="426"/>
        </w:tabs>
        <w:spacing w:line="276" w:lineRule="auto"/>
        <w:ind w:right="49"/>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Oficio del 08 de abril de 2025, a través del cual la Dirección General de Movilidad Zona I ratificó su respuesta inicial.</w:t>
      </w:r>
    </w:p>
    <w:p w14:paraId="0F966AED" w14:textId="77777777" w:rsidR="00E565A0" w:rsidRPr="006E246F" w:rsidRDefault="00E565A0">
      <w:pPr>
        <w:pBdr>
          <w:top w:val="nil"/>
          <w:left w:val="nil"/>
          <w:bottom w:val="nil"/>
          <w:right w:val="nil"/>
          <w:between w:val="nil"/>
        </w:pBdr>
        <w:tabs>
          <w:tab w:val="left" w:pos="426"/>
        </w:tabs>
        <w:spacing w:line="276" w:lineRule="auto"/>
        <w:ind w:right="49"/>
        <w:jc w:val="both"/>
        <w:rPr>
          <w:rFonts w:ascii="Palatino Linotype" w:eastAsia="Palatino Linotype" w:hAnsi="Palatino Linotype" w:cs="Palatino Linotype"/>
          <w:sz w:val="22"/>
          <w:szCs w:val="22"/>
        </w:rPr>
      </w:pPr>
    </w:p>
    <w:p w14:paraId="1890AF9C" w14:textId="77777777" w:rsidR="00E565A0" w:rsidRPr="006E246F" w:rsidRDefault="009458BD">
      <w:pPr>
        <w:numPr>
          <w:ilvl w:val="0"/>
          <w:numId w:val="2"/>
        </w:numPr>
        <w:pBdr>
          <w:top w:val="nil"/>
          <w:left w:val="nil"/>
          <w:bottom w:val="nil"/>
          <w:right w:val="nil"/>
          <w:between w:val="nil"/>
        </w:pBdr>
        <w:tabs>
          <w:tab w:val="left" w:pos="426"/>
        </w:tabs>
        <w:spacing w:line="276" w:lineRule="auto"/>
        <w:ind w:right="49"/>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Oficio del 11 de abril de 2025, a través del cual la Dirección General de Movilidad Zona IV ratificó su respuesta inicial.</w:t>
      </w:r>
    </w:p>
    <w:p w14:paraId="01ADBF47" w14:textId="77777777" w:rsidR="00E565A0" w:rsidRPr="006E246F" w:rsidRDefault="00E565A0">
      <w:pPr>
        <w:pBdr>
          <w:top w:val="nil"/>
          <w:left w:val="nil"/>
          <w:bottom w:val="nil"/>
          <w:right w:val="nil"/>
          <w:between w:val="nil"/>
        </w:pBdr>
        <w:tabs>
          <w:tab w:val="left" w:pos="426"/>
        </w:tabs>
        <w:spacing w:line="276" w:lineRule="auto"/>
        <w:ind w:right="49"/>
        <w:jc w:val="both"/>
        <w:rPr>
          <w:rFonts w:ascii="Palatino Linotype" w:eastAsia="Palatino Linotype" w:hAnsi="Palatino Linotype" w:cs="Palatino Linotype"/>
          <w:sz w:val="22"/>
          <w:szCs w:val="22"/>
        </w:rPr>
      </w:pPr>
    </w:p>
    <w:p w14:paraId="018FC4D6" w14:textId="77777777" w:rsidR="00E565A0" w:rsidRPr="006E246F" w:rsidRDefault="009458BD">
      <w:pPr>
        <w:numPr>
          <w:ilvl w:val="0"/>
          <w:numId w:val="2"/>
        </w:numPr>
        <w:pBdr>
          <w:top w:val="nil"/>
          <w:left w:val="nil"/>
          <w:bottom w:val="nil"/>
          <w:right w:val="nil"/>
          <w:between w:val="nil"/>
        </w:pBdr>
        <w:tabs>
          <w:tab w:val="left" w:pos="426"/>
        </w:tabs>
        <w:spacing w:line="276" w:lineRule="auto"/>
        <w:ind w:right="49"/>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Oficio del 23 de abril de 2025, a través del cual la Dirección General de Movilidad Zona III ratificó su respuesta inicial.</w:t>
      </w:r>
    </w:p>
    <w:p w14:paraId="037F0882" w14:textId="77777777" w:rsidR="00E565A0" w:rsidRPr="006E246F" w:rsidRDefault="00E565A0">
      <w:pPr>
        <w:pBdr>
          <w:top w:val="nil"/>
          <w:left w:val="nil"/>
          <w:bottom w:val="nil"/>
          <w:right w:val="nil"/>
          <w:between w:val="nil"/>
        </w:pBdr>
        <w:tabs>
          <w:tab w:val="left" w:pos="426"/>
        </w:tabs>
        <w:spacing w:line="276" w:lineRule="auto"/>
        <w:ind w:left="360" w:right="49"/>
        <w:jc w:val="both"/>
        <w:rPr>
          <w:rFonts w:ascii="Palatino Linotype" w:eastAsia="Palatino Linotype" w:hAnsi="Palatino Linotype" w:cs="Palatino Linotype"/>
          <w:sz w:val="22"/>
          <w:szCs w:val="22"/>
        </w:rPr>
      </w:pPr>
    </w:p>
    <w:p w14:paraId="3B7627A1" w14:textId="77777777" w:rsidR="00E565A0" w:rsidRPr="006E246F" w:rsidRDefault="009458BD">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lastRenderedPageBreak/>
        <w:t xml:space="preserve">Documentos que se pusieron a la vista de la parte </w:t>
      </w:r>
      <w:r w:rsidRPr="006E246F">
        <w:rPr>
          <w:rFonts w:ascii="Palatino Linotype" w:eastAsia="Palatino Linotype" w:hAnsi="Palatino Linotype" w:cs="Palatino Linotype"/>
          <w:b/>
          <w:sz w:val="22"/>
          <w:szCs w:val="22"/>
        </w:rPr>
        <w:t xml:space="preserve">Recurrente </w:t>
      </w:r>
      <w:r w:rsidRPr="006E246F">
        <w:rPr>
          <w:rFonts w:ascii="Palatino Linotype" w:eastAsia="Palatino Linotype" w:hAnsi="Palatino Linotype" w:cs="Palatino Linotype"/>
          <w:sz w:val="22"/>
          <w:szCs w:val="22"/>
        </w:rPr>
        <w:t>a fin de que hiciera valer manifestaciones o alegatos que conforme a derecho resultaran procedentes; no obstante, fue omisa en ejercer dicha prerrogativa.</w:t>
      </w:r>
    </w:p>
    <w:p w14:paraId="3EDB3259" w14:textId="77777777" w:rsidR="00E565A0" w:rsidRPr="006E246F" w:rsidRDefault="00E565A0">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7A274ABC" w14:textId="77777777" w:rsidR="00E565A0" w:rsidRPr="006E246F" w:rsidRDefault="009458BD">
      <w:pPr>
        <w:tabs>
          <w:tab w:val="left" w:pos="360"/>
        </w:tabs>
        <w:spacing w:line="360" w:lineRule="auto"/>
        <w:ind w:right="49"/>
        <w:jc w:val="both"/>
        <w:rPr>
          <w:rFonts w:ascii="Palatino Linotype" w:eastAsia="Palatino Linotype" w:hAnsi="Palatino Linotype" w:cs="Palatino Linotype"/>
          <w:b/>
          <w:sz w:val="22"/>
          <w:szCs w:val="22"/>
        </w:rPr>
      </w:pPr>
      <w:r w:rsidRPr="006E246F">
        <w:rPr>
          <w:rFonts w:ascii="Palatino Linotype" w:eastAsia="Palatino Linotype" w:hAnsi="Palatino Linotype" w:cs="Palatino Linotype"/>
          <w:b/>
          <w:sz w:val="22"/>
          <w:szCs w:val="22"/>
        </w:rPr>
        <w:t xml:space="preserve">7.  Cierre de instrucción. </w:t>
      </w:r>
      <w:r w:rsidRPr="006E246F">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con fecha </w:t>
      </w:r>
      <w:r w:rsidRPr="006E246F">
        <w:rPr>
          <w:rFonts w:ascii="Palatino Linotype" w:eastAsia="Palatino Linotype" w:hAnsi="Palatino Linotype" w:cs="Palatino Linotype"/>
          <w:b/>
          <w:sz w:val="22"/>
          <w:szCs w:val="22"/>
        </w:rPr>
        <w:t>nueve de julio de dos mil veinticinco,</w:t>
      </w:r>
      <w:r w:rsidRPr="006E246F">
        <w:rPr>
          <w:rFonts w:ascii="Palatino Linotype" w:eastAsia="Palatino Linotype" w:hAnsi="Palatino Linotype" w:cs="Palatino Linotype"/>
          <w:sz w:val="22"/>
          <w:szCs w:val="22"/>
        </w:rPr>
        <w:t xml:space="preserve"> la Comisionada Ponente determinó el cierre de instrucción en términos de la fracción VI del artículo 185 de la Ley de Transparencia y Acceso a la Información Pública del Estado de México y Municipios.</w:t>
      </w:r>
    </w:p>
    <w:p w14:paraId="506AF64C" w14:textId="77777777" w:rsidR="00E565A0" w:rsidRPr="006E246F" w:rsidRDefault="00E565A0">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32779FF2" w14:textId="77777777" w:rsidR="00E565A0" w:rsidRPr="006E246F" w:rsidRDefault="009458B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b/>
          <w:sz w:val="22"/>
          <w:szCs w:val="22"/>
        </w:rPr>
        <w:t>8. Ampliación del término para resolver</w:t>
      </w:r>
      <w:r w:rsidRPr="006E246F">
        <w:rPr>
          <w:rFonts w:ascii="Palatino Linotype" w:eastAsia="Palatino Linotype" w:hAnsi="Palatino Linotype" w:cs="Palatino Linotype"/>
          <w:sz w:val="22"/>
          <w:szCs w:val="22"/>
        </w:rPr>
        <w:t xml:space="preserve">. Mediante acuerdo del </w:t>
      </w:r>
      <w:r w:rsidRPr="006E246F">
        <w:rPr>
          <w:rFonts w:ascii="Palatino Linotype" w:eastAsia="Palatino Linotype" w:hAnsi="Palatino Linotype" w:cs="Palatino Linotype"/>
          <w:b/>
          <w:sz w:val="22"/>
          <w:szCs w:val="22"/>
        </w:rPr>
        <w:t>nueve de julio de dos mil veinticinco</w:t>
      </w:r>
      <w:r w:rsidRPr="006E246F">
        <w:rPr>
          <w:rFonts w:ascii="Palatino Linotype" w:eastAsia="Palatino Linotype" w:hAnsi="Palatino Linotype" w:cs="Palatino Linotype"/>
          <w:sz w:val="22"/>
          <w:szCs w:val="22"/>
        </w:rPr>
        <w:t>, se amplió el término para resolver el recurso de revisión en términos del artículo 181 párrafo tercero de la Ley de Transparencia y Acceso a la Información Pública del Estado de México y Municipios.</w:t>
      </w:r>
    </w:p>
    <w:p w14:paraId="323FD4B1" w14:textId="77777777" w:rsidR="00E565A0" w:rsidRPr="006E246F" w:rsidRDefault="00E565A0">
      <w:pPr>
        <w:spacing w:line="360" w:lineRule="auto"/>
        <w:jc w:val="both"/>
        <w:rPr>
          <w:rFonts w:ascii="Palatino Linotype" w:eastAsia="Palatino Linotype" w:hAnsi="Palatino Linotype" w:cs="Palatino Linotype"/>
          <w:sz w:val="22"/>
          <w:szCs w:val="22"/>
        </w:rPr>
      </w:pPr>
    </w:p>
    <w:p w14:paraId="55CF529B" w14:textId="77777777" w:rsidR="00E565A0" w:rsidRPr="006E246F" w:rsidRDefault="009458BD">
      <w:pPr>
        <w:spacing w:line="360" w:lineRule="auto"/>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Este organismo garante no pasa por alto justificar, que el plazo para emitir la resolución en el presente asunto encuentra justificación en el alto número de recursos de revisión recibidos, circunstancia atípica que ha rebasado las capacidades técnicas y humanas del personal encargado de la proyección de las resoluciones a dichos medios de impugnación.</w:t>
      </w:r>
    </w:p>
    <w:p w14:paraId="0DA0E904" w14:textId="77777777" w:rsidR="00E565A0" w:rsidRPr="006E246F" w:rsidRDefault="00E565A0">
      <w:pPr>
        <w:spacing w:line="360" w:lineRule="auto"/>
        <w:jc w:val="both"/>
        <w:rPr>
          <w:rFonts w:ascii="Palatino Linotype" w:eastAsia="Palatino Linotype" w:hAnsi="Palatino Linotype" w:cs="Palatino Linotype"/>
          <w:sz w:val="22"/>
          <w:szCs w:val="22"/>
        </w:rPr>
      </w:pPr>
    </w:p>
    <w:p w14:paraId="7117F6B9" w14:textId="77777777" w:rsidR="00E565A0" w:rsidRPr="006E246F" w:rsidRDefault="009458BD">
      <w:pPr>
        <w:spacing w:line="360" w:lineRule="auto"/>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 xml:space="preserve">Por ello, es menester precisar </w:t>
      </w:r>
      <w:proofErr w:type="gramStart"/>
      <w:r w:rsidRPr="006E246F">
        <w:rPr>
          <w:rFonts w:ascii="Palatino Linotype" w:eastAsia="Palatino Linotype" w:hAnsi="Palatino Linotype" w:cs="Palatino Linotype"/>
          <w:sz w:val="22"/>
          <w:szCs w:val="22"/>
        </w:rPr>
        <w:t>que</w:t>
      </w:r>
      <w:proofErr w:type="gramEnd"/>
      <w:r w:rsidRPr="006E246F">
        <w:rPr>
          <w:rFonts w:ascii="Palatino Linotype" w:eastAsia="Palatino Linotype" w:hAnsi="Palatino Linotype" w:cs="Palatino Linotype"/>
          <w:sz w:val="22"/>
          <w:szCs w:val="22"/>
        </w:rPr>
        <w:t xml:space="preserve"> si bien se ha excedido el plazo para resolver el presente medio de impugnación, de conformidad con la ley de la materia, el plazo para emitir la resolución se encuentra justificada en los elementos para medir la razonabilidad de asuntos conforme a los parámetros establecidos por diversos órganos jurisdiccionales federales, aplicables también en procedimientos análogos, como el que nos ocupa.</w:t>
      </w:r>
    </w:p>
    <w:p w14:paraId="3F6100DB" w14:textId="77777777" w:rsidR="00E565A0" w:rsidRPr="006E246F" w:rsidRDefault="00E565A0">
      <w:pPr>
        <w:spacing w:line="360" w:lineRule="auto"/>
        <w:jc w:val="both"/>
        <w:rPr>
          <w:rFonts w:ascii="Palatino Linotype" w:eastAsia="Palatino Linotype" w:hAnsi="Palatino Linotype" w:cs="Palatino Linotype"/>
          <w:sz w:val="22"/>
          <w:szCs w:val="22"/>
        </w:rPr>
      </w:pPr>
    </w:p>
    <w:p w14:paraId="076AAFE6" w14:textId="77777777" w:rsidR="00E565A0" w:rsidRPr="006E246F" w:rsidRDefault="009458BD">
      <w:pPr>
        <w:spacing w:line="360" w:lineRule="auto"/>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lastRenderedPageBreak/>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2EAB1F8" w14:textId="77777777" w:rsidR="00E565A0" w:rsidRPr="006E246F" w:rsidRDefault="00E565A0">
      <w:pPr>
        <w:spacing w:line="360" w:lineRule="auto"/>
        <w:jc w:val="both"/>
        <w:rPr>
          <w:rFonts w:ascii="Palatino Linotype" w:eastAsia="Palatino Linotype" w:hAnsi="Palatino Linotype" w:cs="Palatino Linotype"/>
          <w:sz w:val="22"/>
          <w:szCs w:val="22"/>
        </w:rPr>
      </w:pPr>
    </w:p>
    <w:p w14:paraId="20BA3F67" w14:textId="77777777" w:rsidR="00E565A0" w:rsidRPr="006E246F" w:rsidRDefault="009458BD">
      <w:pPr>
        <w:spacing w:line="360" w:lineRule="auto"/>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241F10C3" w14:textId="77777777" w:rsidR="00E565A0" w:rsidRPr="006E246F" w:rsidRDefault="00E565A0">
      <w:pPr>
        <w:spacing w:line="360" w:lineRule="auto"/>
        <w:jc w:val="both"/>
        <w:rPr>
          <w:rFonts w:ascii="Palatino Linotype" w:eastAsia="Palatino Linotype" w:hAnsi="Palatino Linotype" w:cs="Palatino Linotype"/>
          <w:sz w:val="22"/>
          <w:szCs w:val="22"/>
        </w:rPr>
      </w:pPr>
    </w:p>
    <w:p w14:paraId="56D2C11C" w14:textId="77777777" w:rsidR="00E565A0" w:rsidRPr="006E246F" w:rsidRDefault="009458BD">
      <w:pPr>
        <w:spacing w:line="360" w:lineRule="auto"/>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 xml:space="preserve">Por ello, excepcionalmente, si un asunto es resuelto con posterioridad a los plazos señalados por la norma debe analizarse la razonabilidad del tiempo necesario para su resolución atentos a los siguientes criterios: </w:t>
      </w:r>
    </w:p>
    <w:p w14:paraId="6E4738D1" w14:textId="77777777" w:rsidR="00E565A0" w:rsidRPr="006E246F" w:rsidRDefault="00E565A0">
      <w:pPr>
        <w:spacing w:line="360" w:lineRule="auto"/>
        <w:jc w:val="both"/>
        <w:rPr>
          <w:rFonts w:ascii="Palatino Linotype" w:eastAsia="Palatino Linotype" w:hAnsi="Palatino Linotype" w:cs="Palatino Linotype"/>
          <w:strike/>
          <w:sz w:val="22"/>
          <w:szCs w:val="22"/>
        </w:rPr>
      </w:pPr>
    </w:p>
    <w:p w14:paraId="3D5BAE79" w14:textId="77777777" w:rsidR="00E565A0" w:rsidRPr="006E246F" w:rsidRDefault="009458BD">
      <w:pPr>
        <w:numPr>
          <w:ilvl w:val="0"/>
          <w:numId w:val="1"/>
        </w:numPr>
        <w:tabs>
          <w:tab w:val="left" w:pos="993"/>
        </w:tabs>
        <w:spacing w:line="360" w:lineRule="auto"/>
        <w:ind w:left="567" w:right="900" w:firstLine="0"/>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b/>
          <w:sz w:val="22"/>
          <w:szCs w:val="22"/>
        </w:rPr>
        <w:t>Complejidad del Asunto:</w:t>
      </w:r>
      <w:r w:rsidRPr="006E246F">
        <w:rPr>
          <w:rFonts w:ascii="Palatino Linotype" w:eastAsia="Palatino Linotype" w:hAnsi="Palatino Linotype" w:cs="Palatino Linotype"/>
          <w:sz w:val="22"/>
          <w:szCs w:val="22"/>
        </w:rPr>
        <w:t xml:space="preserve"> La complejidad de la prueba, la pluralidad de sujetos procesales, el tiempo transcurrido, las características y contexto del recurso. </w:t>
      </w:r>
    </w:p>
    <w:p w14:paraId="01413E3D" w14:textId="77777777" w:rsidR="00E565A0" w:rsidRPr="006E246F" w:rsidRDefault="009458BD">
      <w:pPr>
        <w:numPr>
          <w:ilvl w:val="0"/>
          <w:numId w:val="1"/>
        </w:numPr>
        <w:tabs>
          <w:tab w:val="left" w:pos="993"/>
        </w:tabs>
        <w:spacing w:line="360" w:lineRule="auto"/>
        <w:ind w:left="567" w:right="900" w:firstLine="0"/>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b/>
          <w:sz w:val="22"/>
          <w:szCs w:val="22"/>
        </w:rPr>
        <w:t>Actividad Procesal del interesado</w:t>
      </w:r>
      <w:r w:rsidRPr="006E246F">
        <w:rPr>
          <w:rFonts w:ascii="Palatino Linotype" w:eastAsia="Palatino Linotype" w:hAnsi="Palatino Linotype" w:cs="Palatino Linotype"/>
          <w:sz w:val="22"/>
          <w:szCs w:val="22"/>
        </w:rPr>
        <w:t>. Acciones u omisiones del interesado.</w:t>
      </w:r>
    </w:p>
    <w:p w14:paraId="3EFD5B50" w14:textId="77777777" w:rsidR="00E565A0" w:rsidRPr="006E246F" w:rsidRDefault="009458BD">
      <w:pPr>
        <w:numPr>
          <w:ilvl w:val="0"/>
          <w:numId w:val="1"/>
        </w:numPr>
        <w:tabs>
          <w:tab w:val="left" w:pos="993"/>
        </w:tabs>
        <w:spacing w:line="360" w:lineRule="auto"/>
        <w:ind w:left="567" w:right="900" w:firstLine="0"/>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b/>
          <w:sz w:val="22"/>
          <w:szCs w:val="22"/>
        </w:rPr>
        <w:t>Conducta de la Autoridad:</w:t>
      </w:r>
      <w:r w:rsidRPr="006E246F">
        <w:rPr>
          <w:rFonts w:ascii="Palatino Linotype" w:eastAsia="Palatino Linotype" w:hAnsi="Palatino Linotype" w:cs="Palatino Linotype"/>
          <w:sz w:val="22"/>
          <w:szCs w:val="22"/>
        </w:rPr>
        <w:t xml:space="preserve"> Las Acciones u omisiones realizadas en el procedimiento. Así como si la autoridad actuó con la debida diligencia.</w:t>
      </w:r>
    </w:p>
    <w:p w14:paraId="18A4EBE6" w14:textId="77777777" w:rsidR="00E565A0" w:rsidRPr="006E246F" w:rsidRDefault="009458BD">
      <w:pPr>
        <w:numPr>
          <w:ilvl w:val="0"/>
          <w:numId w:val="1"/>
        </w:numPr>
        <w:tabs>
          <w:tab w:val="left" w:pos="993"/>
        </w:tabs>
        <w:spacing w:line="360" w:lineRule="auto"/>
        <w:ind w:left="567" w:right="900" w:firstLine="0"/>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b/>
          <w:sz w:val="22"/>
          <w:szCs w:val="22"/>
        </w:rPr>
        <w:t>La afectación generada en la situación jurídica de la persona involucrada en el proceso:</w:t>
      </w:r>
      <w:r w:rsidRPr="006E246F">
        <w:rPr>
          <w:rFonts w:ascii="Palatino Linotype" w:eastAsia="Palatino Linotype" w:hAnsi="Palatino Linotype" w:cs="Palatino Linotype"/>
          <w:sz w:val="22"/>
          <w:szCs w:val="22"/>
        </w:rPr>
        <w:t xml:space="preserve"> Violación a sus derechos humanos.</w:t>
      </w:r>
    </w:p>
    <w:p w14:paraId="09FAA1B6" w14:textId="77777777" w:rsidR="00E565A0" w:rsidRPr="006E246F" w:rsidRDefault="00E565A0">
      <w:pPr>
        <w:tabs>
          <w:tab w:val="left" w:pos="993"/>
        </w:tabs>
        <w:spacing w:line="360" w:lineRule="auto"/>
        <w:ind w:left="567" w:right="900"/>
        <w:jc w:val="both"/>
        <w:rPr>
          <w:rFonts w:ascii="Palatino Linotype" w:eastAsia="Palatino Linotype" w:hAnsi="Palatino Linotype" w:cs="Palatino Linotype"/>
          <w:sz w:val="22"/>
          <w:szCs w:val="22"/>
        </w:rPr>
      </w:pPr>
    </w:p>
    <w:p w14:paraId="6F1A7DB5" w14:textId="77777777" w:rsidR="00E565A0" w:rsidRPr="006E246F" w:rsidRDefault="009458BD">
      <w:pPr>
        <w:spacing w:line="360" w:lineRule="auto"/>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 xml:space="preserve">De modo que, cuando se trate de un asunto excepcional, por alguna o todas las características mencionadas; o bien, cuando el ingreso de asuntos al órgano jurisdiccional o cuasi jurisdiccional respectivo supere notoriamente al que podría </w:t>
      </w:r>
      <w:r w:rsidRPr="006E246F">
        <w:rPr>
          <w:rFonts w:ascii="Palatino Linotype" w:eastAsia="Palatino Linotype" w:hAnsi="Palatino Linotype" w:cs="Palatino Linotype"/>
          <w:sz w:val="22"/>
          <w:szCs w:val="22"/>
        </w:rPr>
        <w:lastRenderedPageBreak/>
        <w:t>considerarse normal, debe concluirse que es una excluyente de responsabilidad en relación con la actuación del funcionario, como ha acontecido en el caso que nos ocupa.</w:t>
      </w:r>
    </w:p>
    <w:p w14:paraId="66558A9A" w14:textId="77777777" w:rsidR="00E565A0" w:rsidRPr="006E246F" w:rsidRDefault="00E565A0">
      <w:pPr>
        <w:spacing w:line="360" w:lineRule="auto"/>
        <w:jc w:val="both"/>
        <w:rPr>
          <w:rFonts w:ascii="Palatino Linotype" w:eastAsia="Palatino Linotype" w:hAnsi="Palatino Linotype" w:cs="Palatino Linotype"/>
          <w:sz w:val="22"/>
          <w:szCs w:val="22"/>
        </w:rPr>
      </w:pPr>
    </w:p>
    <w:p w14:paraId="7AB32DE7" w14:textId="77777777" w:rsidR="00E565A0" w:rsidRPr="006E246F" w:rsidRDefault="009458BD">
      <w:pPr>
        <w:spacing w:line="360" w:lineRule="auto"/>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 xml:space="preserve">Argumento que encuentra sustento en la jurisprudencia P./J. 32/92 emitida por el Pleno de la Suprema Corte de Justicia de la Nación de rubro </w:t>
      </w:r>
      <w:r w:rsidRPr="006E246F">
        <w:rPr>
          <w:rFonts w:ascii="Palatino Linotype" w:eastAsia="Palatino Linotype" w:hAnsi="Palatino Linotype" w:cs="Palatino Linotype"/>
          <w:i/>
          <w:sz w:val="22"/>
          <w:szCs w:val="22"/>
        </w:rPr>
        <w:t>“TÉRMINOS PROCESALES. PARA DETERMINAR SI UN FUNCIONARIO JUDICIAL ACTUÓ INDEBIDAMENTE POR NO RESPETARLOS SE DEBE ATENDER AL PRESUPUESTO QUE CONSIDERÓ EL LEGISLADOR AL FIJARLOS Y LAS CARACTERÍSTICAS DEL CASO.”</w:t>
      </w:r>
      <w:r w:rsidRPr="006E246F">
        <w:rPr>
          <w:rFonts w:ascii="Palatino Linotype" w:eastAsia="Palatino Linotype" w:hAnsi="Palatino Linotype" w:cs="Palatino Linotype"/>
          <w:sz w:val="22"/>
          <w:szCs w:val="22"/>
        </w:rPr>
        <w:t>, visible en la Gaceta del Seminario Judicial de la Federación con el registro digital 205635.</w:t>
      </w:r>
    </w:p>
    <w:p w14:paraId="46F4EFB4" w14:textId="77777777" w:rsidR="00E565A0" w:rsidRPr="006E246F" w:rsidRDefault="00E565A0">
      <w:pPr>
        <w:spacing w:line="360" w:lineRule="auto"/>
        <w:jc w:val="both"/>
        <w:rPr>
          <w:rFonts w:ascii="Palatino Linotype" w:eastAsia="Palatino Linotype" w:hAnsi="Palatino Linotype" w:cs="Palatino Linotype"/>
          <w:b/>
          <w:sz w:val="22"/>
          <w:szCs w:val="22"/>
        </w:rPr>
      </w:pPr>
    </w:p>
    <w:p w14:paraId="3D9C9EBD" w14:textId="77777777" w:rsidR="00E565A0" w:rsidRPr="006E246F" w:rsidRDefault="009458BD">
      <w:pPr>
        <w:spacing w:line="360" w:lineRule="auto"/>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3C82840A" w14:textId="77777777" w:rsidR="00E565A0" w:rsidRPr="006E246F" w:rsidRDefault="00E565A0">
      <w:pPr>
        <w:spacing w:line="360" w:lineRule="auto"/>
        <w:jc w:val="both"/>
        <w:rPr>
          <w:rFonts w:ascii="Palatino Linotype" w:eastAsia="Palatino Linotype" w:hAnsi="Palatino Linotype" w:cs="Palatino Linotype"/>
          <w:sz w:val="22"/>
          <w:szCs w:val="22"/>
        </w:rPr>
      </w:pPr>
    </w:p>
    <w:p w14:paraId="76104321" w14:textId="77777777" w:rsidR="00E565A0" w:rsidRPr="006E246F" w:rsidRDefault="009458BD">
      <w:pPr>
        <w:spacing w:line="360" w:lineRule="auto"/>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Al respecto, también son de considerar los criterios sostenidos por el Cuarto Tribunal Colegiado en Materia Administrativa del Primer Circuito, cuyos rubros y datos de identificación son los siguientes:</w:t>
      </w:r>
    </w:p>
    <w:p w14:paraId="68EC3E79" w14:textId="77777777" w:rsidR="00E565A0" w:rsidRPr="006E246F" w:rsidRDefault="00E565A0">
      <w:pPr>
        <w:spacing w:line="360" w:lineRule="auto"/>
        <w:jc w:val="both"/>
        <w:rPr>
          <w:rFonts w:ascii="Palatino Linotype" w:eastAsia="Palatino Linotype" w:hAnsi="Palatino Linotype" w:cs="Palatino Linotype"/>
          <w:sz w:val="22"/>
          <w:szCs w:val="22"/>
        </w:rPr>
      </w:pPr>
    </w:p>
    <w:p w14:paraId="4A25A0F7" w14:textId="77777777" w:rsidR="00E565A0" w:rsidRPr="006E246F" w:rsidRDefault="009458BD">
      <w:pPr>
        <w:spacing w:line="360" w:lineRule="auto"/>
        <w:ind w:left="851" w:right="900"/>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 xml:space="preserve"> </w:t>
      </w:r>
      <w:r w:rsidRPr="006E246F">
        <w:rPr>
          <w:rFonts w:ascii="Palatino Linotype" w:eastAsia="Palatino Linotype" w:hAnsi="Palatino Linotype" w:cs="Palatino Linotype"/>
          <w:b/>
          <w:i/>
          <w:sz w:val="22"/>
          <w:szCs w:val="22"/>
        </w:rPr>
        <w:t xml:space="preserve">“PLAZO RAZONABLE PARA RESOLVER. DIMENSIÓN Y EFECTOS DE ESTE CONCEPTO CUANDO SE ADUCE EXCESIVA CARGA DE </w:t>
      </w:r>
      <w:r w:rsidRPr="006E246F">
        <w:rPr>
          <w:rFonts w:ascii="Palatino Linotype" w:eastAsia="Palatino Linotype" w:hAnsi="Palatino Linotype" w:cs="Palatino Linotype"/>
          <w:b/>
          <w:i/>
          <w:sz w:val="22"/>
          <w:szCs w:val="22"/>
        </w:rPr>
        <w:lastRenderedPageBreak/>
        <w:t>TRABAJO</w:t>
      </w:r>
      <w:r w:rsidRPr="006E246F">
        <w:rPr>
          <w:rFonts w:ascii="Palatino Linotype" w:eastAsia="Palatino Linotype" w:hAnsi="Palatino Linotype" w:cs="Palatino Linotype"/>
          <w:i/>
          <w:sz w:val="22"/>
          <w:szCs w:val="22"/>
        </w:rPr>
        <w:t>.”</w:t>
      </w:r>
      <w:r w:rsidRPr="006E246F">
        <w:rPr>
          <w:rFonts w:ascii="Palatino Linotype" w:eastAsia="Palatino Linotype" w:hAnsi="Palatino Linotype" w:cs="Palatino Linotype"/>
          <w:sz w:val="22"/>
          <w:szCs w:val="22"/>
        </w:rPr>
        <w:t xml:space="preserve"> consultable en el Seminario Judicial de la Federación y su gaceta, con el registro digital 2002351.</w:t>
      </w:r>
    </w:p>
    <w:p w14:paraId="209D0AFC" w14:textId="77777777" w:rsidR="00E565A0" w:rsidRPr="006E246F" w:rsidRDefault="009458BD">
      <w:pPr>
        <w:spacing w:line="360" w:lineRule="auto"/>
        <w:ind w:left="851" w:right="900"/>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b/>
          <w:i/>
          <w:sz w:val="22"/>
          <w:szCs w:val="22"/>
        </w:rPr>
        <w:t>“PLAZO RAZONABLE PARA RESOLVER. CONCEPTO Y ELEMENTOS QUE LO INTEGRAN A LA LUZ DEL DERECHO INTERNACIONAL DE LOS DERECHOS HUMANOS.”</w:t>
      </w:r>
      <w:r w:rsidRPr="006E246F">
        <w:rPr>
          <w:rFonts w:ascii="Palatino Linotype" w:eastAsia="Palatino Linotype" w:hAnsi="Palatino Linotype" w:cs="Palatino Linotype"/>
          <w:sz w:val="22"/>
          <w:szCs w:val="22"/>
        </w:rPr>
        <w:t>, visible en el Seminario Judicial de la Federación y su gaceta, con el registro digital 2002350.</w:t>
      </w:r>
    </w:p>
    <w:p w14:paraId="43BB2490" w14:textId="77777777" w:rsidR="00E565A0" w:rsidRPr="006E246F" w:rsidRDefault="00E565A0">
      <w:pPr>
        <w:spacing w:line="360" w:lineRule="auto"/>
        <w:ind w:left="851" w:right="900"/>
        <w:jc w:val="both"/>
        <w:rPr>
          <w:rFonts w:ascii="Palatino Linotype" w:eastAsia="Palatino Linotype" w:hAnsi="Palatino Linotype" w:cs="Palatino Linotype"/>
          <w:sz w:val="22"/>
          <w:szCs w:val="22"/>
        </w:rPr>
      </w:pPr>
    </w:p>
    <w:p w14:paraId="7D7678EF" w14:textId="77777777" w:rsidR="00E565A0" w:rsidRPr="006E246F" w:rsidRDefault="009458BD">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Por ello, este organismo garante comprometido con la tutela de los derechos humanos confiados, señala que este exceso del plazo legal para resolver el presente asunto, resulta de carácter excepcional.</w:t>
      </w:r>
    </w:p>
    <w:p w14:paraId="450A53BF" w14:textId="77777777" w:rsidR="00E565A0" w:rsidRPr="006E246F" w:rsidRDefault="00E565A0">
      <w:pPr>
        <w:pBdr>
          <w:top w:val="nil"/>
          <w:left w:val="nil"/>
          <w:bottom w:val="nil"/>
          <w:right w:val="nil"/>
          <w:between w:val="nil"/>
        </w:pBdr>
        <w:tabs>
          <w:tab w:val="left" w:pos="360"/>
        </w:tabs>
        <w:spacing w:line="360" w:lineRule="auto"/>
        <w:ind w:right="49"/>
        <w:jc w:val="both"/>
        <w:rPr>
          <w:rFonts w:ascii="Palatino Linotype" w:eastAsia="Palatino Linotype" w:hAnsi="Palatino Linotype" w:cs="Palatino Linotype"/>
          <w:b/>
          <w:sz w:val="22"/>
          <w:szCs w:val="22"/>
        </w:rPr>
      </w:pPr>
    </w:p>
    <w:p w14:paraId="383BA805" w14:textId="77777777" w:rsidR="00E565A0" w:rsidRPr="006E246F" w:rsidRDefault="009458BD">
      <w:pPr>
        <w:pBdr>
          <w:top w:val="nil"/>
          <w:left w:val="nil"/>
          <w:bottom w:val="nil"/>
          <w:right w:val="nil"/>
          <w:between w:val="nil"/>
        </w:pBdr>
        <w:tabs>
          <w:tab w:val="left" w:pos="284"/>
        </w:tabs>
        <w:spacing w:line="360" w:lineRule="auto"/>
        <w:ind w:right="49"/>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63A9954A" w14:textId="77777777" w:rsidR="00E565A0" w:rsidRPr="006E246F" w:rsidRDefault="009458BD">
      <w:pPr>
        <w:widowControl w:val="0"/>
        <w:spacing w:before="240" w:after="240" w:line="360" w:lineRule="auto"/>
        <w:jc w:val="center"/>
        <w:rPr>
          <w:rFonts w:ascii="Palatino Linotype" w:eastAsia="Palatino Linotype" w:hAnsi="Palatino Linotype" w:cs="Palatino Linotype"/>
          <w:b/>
          <w:sz w:val="22"/>
          <w:szCs w:val="22"/>
        </w:rPr>
      </w:pPr>
      <w:r w:rsidRPr="006E246F">
        <w:rPr>
          <w:rFonts w:ascii="Palatino Linotype" w:eastAsia="Palatino Linotype" w:hAnsi="Palatino Linotype" w:cs="Palatino Linotype"/>
          <w:b/>
          <w:sz w:val="22"/>
          <w:szCs w:val="22"/>
        </w:rPr>
        <w:t>II. C O N S I D E R A N D O S</w:t>
      </w:r>
    </w:p>
    <w:p w14:paraId="7BD1310A" w14:textId="77777777" w:rsidR="00E565A0" w:rsidRPr="006E246F" w:rsidRDefault="009458BD">
      <w:pPr>
        <w:spacing w:line="360" w:lineRule="auto"/>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b/>
          <w:sz w:val="22"/>
          <w:szCs w:val="22"/>
        </w:rPr>
        <w:t>Primero. Competencia.</w:t>
      </w:r>
      <w:r w:rsidRPr="006E246F">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235341D3" w14:textId="77777777" w:rsidR="00E565A0" w:rsidRPr="006E246F" w:rsidRDefault="00E565A0">
      <w:pPr>
        <w:spacing w:line="360" w:lineRule="auto"/>
        <w:jc w:val="both"/>
        <w:rPr>
          <w:rFonts w:ascii="Palatino Linotype" w:eastAsia="Palatino Linotype" w:hAnsi="Palatino Linotype" w:cs="Palatino Linotype"/>
          <w:sz w:val="22"/>
          <w:szCs w:val="22"/>
        </w:rPr>
      </w:pPr>
    </w:p>
    <w:p w14:paraId="4C10F26D" w14:textId="77777777" w:rsidR="00E565A0" w:rsidRPr="006E246F" w:rsidRDefault="009458BD">
      <w:pPr>
        <w:spacing w:line="360" w:lineRule="auto"/>
        <w:jc w:val="both"/>
        <w:rPr>
          <w:rFonts w:ascii="Palatino Linotype" w:eastAsia="Palatino Linotype" w:hAnsi="Palatino Linotype" w:cs="Palatino Linotype"/>
          <w:sz w:val="22"/>
          <w:szCs w:val="22"/>
        </w:rPr>
      </w:pPr>
      <w:bookmarkStart w:id="6" w:name="_heading=h.tyjcwt" w:colFirst="0" w:colLast="0"/>
      <w:bookmarkEnd w:id="6"/>
      <w:r w:rsidRPr="006E246F">
        <w:rPr>
          <w:rFonts w:ascii="Palatino Linotype" w:eastAsia="Palatino Linotype" w:hAnsi="Palatino Linotype" w:cs="Palatino Linotype"/>
          <w:b/>
          <w:sz w:val="22"/>
          <w:szCs w:val="22"/>
        </w:rPr>
        <w:t>Segundo. Oportunidad y Procedibilidad del Recurso de Revisión</w:t>
      </w:r>
      <w:r w:rsidRPr="006E246F">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13110F8" w14:textId="77777777" w:rsidR="00E565A0" w:rsidRPr="006E246F" w:rsidRDefault="00E565A0">
      <w:pPr>
        <w:spacing w:line="360" w:lineRule="auto"/>
        <w:jc w:val="both"/>
        <w:rPr>
          <w:rFonts w:ascii="Palatino Linotype" w:eastAsia="Palatino Linotype" w:hAnsi="Palatino Linotype" w:cs="Palatino Linotype"/>
          <w:sz w:val="22"/>
          <w:szCs w:val="22"/>
        </w:rPr>
      </w:pPr>
    </w:p>
    <w:p w14:paraId="1264DDFA" w14:textId="77777777" w:rsidR="00E565A0" w:rsidRPr="006E246F" w:rsidRDefault="009458BD">
      <w:pPr>
        <w:spacing w:line="360" w:lineRule="auto"/>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 xml:space="preserve">El recurso de revisión fue interpuesto dentro del plazo de quince días hábiles, previsto en el artículo 178 de la Ley de Transparencia y Acceso a la Información Pública del Estado de México y Municipios, toda vez que el </w:t>
      </w:r>
      <w:r w:rsidRPr="006E246F">
        <w:rPr>
          <w:rFonts w:ascii="Palatino Linotype" w:eastAsia="Palatino Linotype" w:hAnsi="Palatino Linotype" w:cs="Palatino Linotype"/>
          <w:b/>
          <w:sz w:val="22"/>
          <w:szCs w:val="22"/>
        </w:rPr>
        <w:t xml:space="preserve">Sujeto Obligado </w:t>
      </w:r>
      <w:r w:rsidRPr="006E246F">
        <w:rPr>
          <w:rFonts w:ascii="Palatino Linotype" w:eastAsia="Palatino Linotype" w:hAnsi="Palatino Linotype" w:cs="Palatino Linotype"/>
          <w:sz w:val="22"/>
          <w:szCs w:val="22"/>
        </w:rPr>
        <w:t>remitió la respuesta a la solicitud de información el</w:t>
      </w:r>
      <w:r w:rsidRPr="006E246F">
        <w:t xml:space="preserve"> </w:t>
      </w:r>
      <w:r w:rsidRPr="006E246F">
        <w:rPr>
          <w:rFonts w:ascii="Palatino Linotype" w:eastAsia="Palatino Linotype" w:hAnsi="Palatino Linotype" w:cs="Palatino Linotype"/>
          <w:b/>
          <w:sz w:val="22"/>
          <w:szCs w:val="22"/>
        </w:rPr>
        <w:t xml:space="preserve">trece de marzo de dos mil veinticinco, </w:t>
      </w:r>
      <w:r w:rsidRPr="006E246F">
        <w:rPr>
          <w:rFonts w:ascii="Palatino Linotype" w:eastAsia="Palatino Linotype" w:hAnsi="Palatino Linotype" w:cs="Palatino Linotype"/>
          <w:sz w:val="22"/>
          <w:szCs w:val="22"/>
        </w:rPr>
        <w:t xml:space="preserve">mientras que el recurso de revisión interpuesto por </w:t>
      </w:r>
      <w:r w:rsidRPr="006E246F">
        <w:rPr>
          <w:rFonts w:ascii="Palatino Linotype" w:eastAsia="Palatino Linotype" w:hAnsi="Palatino Linotype" w:cs="Palatino Linotype"/>
          <w:b/>
          <w:sz w:val="22"/>
          <w:szCs w:val="22"/>
        </w:rPr>
        <w:t>la parte</w:t>
      </w:r>
      <w:r w:rsidRPr="006E246F">
        <w:rPr>
          <w:rFonts w:ascii="Palatino Linotype" w:eastAsia="Palatino Linotype" w:hAnsi="Palatino Linotype" w:cs="Palatino Linotype"/>
          <w:sz w:val="22"/>
          <w:szCs w:val="22"/>
        </w:rPr>
        <w:t xml:space="preserve"> </w:t>
      </w:r>
      <w:r w:rsidRPr="006E246F">
        <w:rPr>
          <w:rFonts w:ascii="Palatino Linotype" w:eastAsia="Palatino Linotype" w:hAnsi="Palatino Linotype" w:cs="Palatino Linotype"/>
          <w:b/>
          <w:sz w:val="22"/>
          <w:szCs w:val="22"/>
        </w:rPr>
        <w:t>Recurrente</w:t>
      </w:r>
      <w:r w:rsidRPr="006E246F">
        <w:rPr>
          <w:rFonts w:ascii="Palatino Linotype" w:eastAsia="Palatino Linotype" w:hAnsi="Palatino Linotype" w:cs="Palatino Linotype"/>
          <w:sz w:val="22"/>
          <w:szCs w:val="22"/>
        </w:rPr>
        <w:t xml:space="preserve">, se tuvo por presentado el </w:t>
      </w:r>
      <w:r w:rsidRPr="006E246F">
        <w:rPr>
          <w:rFonts w:ascii="Palatino Linotype" w:eastAsia="Palatino Linotype" w:hAnsi="Palatino Linotype" w:cs="Palatino Linotype"/>
          <w:b/>
          <w:sz w:val="22"/>
          <w:szCs w:val="22"/>
        </w:rPr>
        <w:t>dos de abril de dos mil veinticinco</w:t>
      </w:r>
      <w:r w:rsidRPr="006E246F">
        <w:rPr>
          <w:rFonts w:ascii="Palatino Linotype" w:eastAsia="Palatino Linotype" w:hAnsi="Palatino Linotype" w:cs="Palatino Linotype"/>
          <w:sz w:val="22"/>
          <w:szCs w:val="22"/>
        </w:rPr>
        <w:t xml:space="preserve"> esto es, al </w:t>
      </w:r>
      <w:r w:rsidRPr="006E246F">
        <w:rPr>
          <w:rFonts w:ascii="Palatino Linotype" w:eastAsia="Palatino Linotype" w:hAnsi="Palatino Linotype" w:cs="Palatino Linotype"/>
          <w:b/>
          <w:sz w:val="22"/>
          <w:szCs w:val="22"/>
          <w:u w:val="single"/>
        </w:rPr>
        <w:t>quinto</w:t>
      </w:r>
      <w:r w:rsidRPr="006E246F">
        <w:rPr>
          <w:rFonts w:ascii="Palatino Linotype" w:eastAsia="Palatino Linotype" w:hAnsi="Palatino Linotype" w:cs="Palatino Linotype"/>
          <w:sz w:val="22"/>
          <w:szCs w:val="22"/>
        </w:rPr>
        <w:t xml:space="preserve"> día hábil siguiente a aquel </w:t>
      </w:r>
      <w:r w:rsidRPr="006E246F">
        <w:rPr>
          <w:rFonts w:ascii="Palatino Linotype" w:eastAsia="Palatino Linotype" w:hAnsi="Palatino Linotype" w:cs="Palatino Linotype"/>
          <w:b/>
          <w:sz w:val="22"/>
          <w:szCs w:val="22"/>
        </w:rPr>
        <w:t>en que se tuvo conocimiento de la respuesta impugnada</w:t>
      </w:r>
      <w:r w:rsidRPr="006E246F">
        <w:rPr>
          <w:rFonts w:ascii="Palatino Linotype" w:eastAsia="Palatino Linotype" w:hAnsi="Palatino Linotype" w:cs="Palatino Linotype"/>
          <w:sz w:val="22"/>
          <w:szCs w:val="22"/>
        </w:rPr>
        <w:t xml:space="preserve">. </w:t>
      </w:r>
    </w:p>
    <w:p w14:paraId="42A4782B" w14:textId="77777777" w:rsidR="00E565A0" w:rsidRPr="006E246F" w:rsidRDefault="00E565A0">
      <w:pPr>
        <w:spacing w:line="360" w:lineRule="auto"/>
        <w:jc w:val="both"/>
        <w:rPr>
          <w:rFonts w:ascii="Palatino Linotype" w:eastAsia="Palatino Linotype" w:hAnsi="Palatino Linotype" w:cs="Palatino Linotype"/>
          <w:sz w:val="22"/>
          <w:szCs w:val="22"/>
        </w:rPr>
      </w:pPr>
    </w:p>
    <w:p w14:paraId="3AA2D3E0" w14:textId="77777777" w:rsidR="00E565A0" w:rsidRPr="006E246F" w:rsidRDefault="009458BD">
      <w:pPr>
        <w:spacing w:line="360" w:lineRule="auto"/>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En este sentido, se concluye que el presente recurso de revisión se encuentra dentro de los márgenes temporales previstos en las disposiciones legales referidas.</w:t>
      </w:r>
    </w:p>
    <w:p w14:paraId="13A71271" w14:textId="77777777" w:rsidR="00E565A0" w:rsidRPr="006E246F" w:rsidRDefault="00E565A0">
      <w:pPr>
        <w:spacing w:line="360" w:lineRule="auto"/>
        <w:jc w:val="both"/>
        <w:rPr>
          <w:rFonts w:ascii="Palatino Linotype" w:eastAsia="Palatino Linotype" w:hAnsi="Palatino Linotype" w:cs="Palatino Linotype"/>
          <w:sz w:val="22"/>
          <w:szCs w:val="22"/>
        </w:rPr>
      </w:pPr>
    </w:p>
    <w:p w14:paraId="0B7B3945" w14:textId="77777777" w:rsidR="00E565A0" w:rsidRPr="006E246F" w:rsidRDefault="009458BD">
      <w:pPr>
        <w:tabs>
          <w:tab w:val="left" w:pos="7938"/>
        </w:tabs>
        <w:spacing w:line="360" w:lineRule="auto"/>
        <w:jc w:val="both"/>
        <w:rPr>
          <w:rFonts w:ascii="Palatino Linotype" w:eastAsia="Palatino Linotype" w:hAnsi="Palatino Linotype" w:cs="Palatino Linotype"/>
          <w:sz w:val="22"/>
          <w:szCs w:val="22"/>
        </w:rPr>
      </w:pPr>
      <w:bookmarkStart w:id="7" w:name="_heading=h.3znysh7" w:colFirst="0" w:colLast="0"/>
      <w:bookmarkEnd w:id="7"/>
      <w:r w:rsidRPr="006E246F">
        <w:rPr>
          <w:rFonts w:ascii="Palatino Linotype" w:eastAsia="Palatino Linotype" w:hAnsi="Palatino Linotype" w:cs="Palatino Linotype"/>
          <w:sz w:val="22"/>
          <w:szCs w:val="22"/>
        </w:rPr>
        <w:t>Al mismo tiempo, por cuanto hace a la procedibilidad del recurso de revisión, una vez realizado el análisis del formato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1150B2BC" w14:textId="77777777" w:rsidR="00E565A0" w:rsidRPr="006E246F" w:rsidRDefault="00E565A0">
      <w:pPr>
        <w:tabs>
          <w:tab w:val="left" w:pos="7938"/>
        </w:tabs>
        <w:spacing w:line="360" w:lineRule="auto"/>
        <w:jc w:val="both"/>
        <w:rPr>
          <w:rFonts w:ascii="Palatino Linotype" w:eastAsia="Palatino Linotype" w:hAnsi="Palatino Linotype" w:cs="Palatino Linotype"/>
          <w:sz w:val="22"/>
          <w:szCs w:val="22"/>
        </w:rPr>
      </w:pPr>
    </w:p>
    <w:p w14:paraId="5FE57F48" w14:textId="77777777" w:rsidR="00E565A0" w:rsidRPr="006E246F" w:rsidRDefault="009458BD">
      <w:pPr>
        <w:spacing w:line="360" w:lineRule="auto"/>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 xml:space="preserve">A efecto de sustentar lo anterior, es de suma importancia mencionar que si bien la persona solicitante </w:t>
      </w:r>
      <w:r w:rsidRPr="006E246F">
        <w:rPr>
          <w:rFonts w:ascii="Palatino Linotype" w:eastAsia="Palatino Linotype" w:hAnsi="Palatino Linotype" w:cs="Palatino Linotype"/>
          <w:b/>
          <w:sz w:val="22"/>
          <w:szCs w:val="22"/>
        </w:rPr>
        <w:t xml:space="preserve">no proporcionó un nombre, </w:t>
      </w:r>
      <w:r w:rsidRPr="006E246F">
        <w:rPr>
          <w:rFonts w:ascii="Palatino Linotype" w:eastAsia="Palatino Linotype" w:hAnsi="Palatino Linotype" w:cs="Palatino Linotype"/>
          <w:sz w:val="22"/>
          <w:szCs w:val="22"/>
        </w:rPr>
        <w:t xml:space="preserve">como se advierte en el detalle de seguimiento del SAIMEX; sin embargo, el no proporcionar un nombre no es motivo para archivar la solicitud de acceso a la información pública como concluida, conforme a lo previsto en el artículo 155, </w:t>
      </w:r>
      <w:r w:rsidRPr="006E246F">
        <w:rPr>
          <w:rFonts w:ascii="Palatino Linotype" w:eastAsia="Palatino Linotype" w:hAnsi="Palatino Linotype" w:cs="Palatino Linotype"/>
          <w:sz w:val="22"/>
          <w:szCs w:val="22"/>
        </w:rPr>
        <w:lastRenderedPageBreak/>
        <w:t>penúltimo párrafo de la Ley de Transparencia y Acceso a la Información Pública del Estado de México y Municipios que establece lo siguiente:</w:t>
      </w:r>
    </w:p>
    <w:p w14:paraId="0250D4B6" w14:textId="77777777" w:rsidR="00E565A0" w:rsidRPr="006E246F" w:rsidRDefault="00E565A0">
      <w:pPr>
        <w:spacing w:line="360" w:lineRule="auto"/>
        <w:jc w:val="both"/>
        <w:rPr>
          <w:rFonts w:ascii="Palatino Linotype" w:eastAsia="Palatino Linotype" w:hAnsi="Palatino Linotype" w:cs="Palatino Linotype"/>
          <w:sz w:val="22"/>
          <w:szCs w:val="22"/>
        </w:rPr>
      </w:pPr>
    </w:p>
    <w:p w14:paraId="71FCFEA4" w14:textId="77777777" w:rsidR="00E565A0" w:rsidRPr="006E246F" w:rsidRDefault="009458BD">
      <w:pPr>
        <w:ind w:left="851" w:right="902"/>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i/>
          <w:sz w:val="22"/>
          <w:szCs w:val="22"/>
        </w:rPr>
        <w:t>"</w:t>
      </w:r>
      <w:r w:rsidRPr="006E246F">
        <w:rPr>
          <w:rFonts w:ascii="Palatino Linotype" w:eastAsia="Palatino Linotype" w:hAnsi="Palatino Linotype" w:cs="Palatino Linotype"/>
          <w:b/>
          <w:i/>
          <w:sz w:val="22"/>
          <w:szCs w:val="22"/>
        </w:rPr>
        <w:t>Las solicitudes anónimas,</w:t>
      </w:r>
      <w:r w:rsidRPr="006E246F">
        <w:rPr>
          <w:rFonts w:ascii="Palatino Linotype" w:eastAsia="Palatino Linotype" w:hAnsi="Palatino Linotype" w:cs="Palatino Linotype"/>
          <w:i/>
          <w:sz w:val="22"/>
          <w:szCs w:val="22"/>
        </w:rPr>
        <w:t xml:space="preserve"> con nombre incompleto o seudónimo</w:t>
      </w:r>
      <w:r w:rsidRPr="006E246F">
        <w:rPr>
          <w:rFonts w:ascii="Palatino Linotype" w:eastAsia="Palatino Linotype" w:hAnsi="Palatino Linotype" w:cs="Palatino Linotype"/>
          <w:b/>
          <w:i/>
          <w:sz w:val="22"/>
          <w:szCs w:val="22"/>
        </w:rPr>
        <w:t xml:space="preserve"> serán procedentes para su trámite por parte del sujeto obligado ante quien se presente</w:t>
      </w:r>
      <w:r w:rsidRPr="006E246F">
        <w:rPr>
          <w:rFonts w:ascii="Palatino Linotype" w:eastAsia="Palatino Linotype" w:hAnsi="Palatino Linotype" w:cs="Palatino Linotype"/>
          <w:i/>
          <w:sz w:val="22"/>
          <w:szCs w:val="22"/>
        </w:rPr>
        <w:t>. No podrá requerirse información adicional con motivo del nombre proporcionado por el solicitante."</w:t>
      </w:r>
    </w:p>
    <w:p w14:paraId="11C1C016" w14:textId="77777777" w:rsidR="00E565A0" w:rsidRPr="006E246F" w:rsidRDefault="00E565A0">
      <w:pPr>
        <w:tabs>
          <w:tab w:val="left" w:pos="7938"/>
        </w:tabs>
        <w:spacing w:line="360" w:lineRule="auto"/>
        <w:jc w:val="both"/>
        <w:rPr>
          <w:rFonts w:ascii="Palatino Linotype" w:eastAsia="Palatino Linotype" w:hAnsi="Palatino Linotype" w:cs="Palatino Linotype"/>
          <w:sz w:val="22"/>
          <w:szCs w:val="22"/>
        </w:rPr>
      </w:pPr>
    </w:p>
    <w:p w14:paraId="50F2C2C4" w14:textId="77777777" w:rsidR="00E565A0" w:rsidRPr="006E246F" w:rsidRDefault="009458BD">
      <w:pPr>
        <w:spacing w:line="360" w:lineRule="auto"/>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 xml:space="preserve">Finalmente, se advierte que resulta procedente la interposición del recurso, según lo manifestado por </w:t>
      </w:r>
      <w:r w:rsidRPr="006E246F">
        <w:rPr>
          <w:rFonts w:ascii="Palatino Linotype" w:eastAsia="Palatino Linotype" w:hAnsi="Palatino Linotype" w:cs="Palatino Linotype"/>
          <w:b/>
          <w:sz w:val="22"/>
          <w:szCs w:val="22"/>
        </w:rPr>
        <w:t>la parte</w:t>
      </w:r>
      <w:r w:rsidRPr="006E246F">
        <w:rPr>
          <w:rFonts w:ascii="Palatino Linotype" w:eastAsia="Palatino Linotype" w:hAnsi="Palatino Linotype" w:cs="Palatino Linotype"/>
          <w:sz w:val="22"/>
          <w:szCs w:val="22"/>
        </w:rPr>
        <w:t xml:space="preserve"> </w:t>
      </w:r>
      <w:r w:rsidRPr="006E246F">
        <w:rPr>
          <w:rFonts w:ascii="Palatino Linotype" w:eastAsia="Palatino Linotype" w:hAnsi="Palatino Linotype" w:cs="Palatino Linotype"/>
          <w:b/>
          <w:sz w:val="22"/>
          <w:szCs w:val="22"/>
        </w:rPr>
        <w:t>Recurrente</w:t>
      </w:r>
      <w:r w:rsidRPr="006E246F">
        <w:rPr>
          <w:rFonts w:ascii="Palatino Linotype" w:eastAsia="Palatino Linotype" w:hAnsi="Palatino Linotype" w:cs="Palatino Linotype"/>
          <w:sz w:val="22"/>
          <w:szCs w:val="22"/>
        </w:rPr>
        <w:t xml:space="preserve"> en sus motivos de inconformidad, de acuerdo al artículo 179, fracción I del ordenamiento legal citado, que a la letra dice: </w:t>
      </w:r>
    </w:p>
    <w:p w14:paraId="0C26AA94" w14:textId="77777777" w:rsidR="00E565A0" w:rsidRPr="006E246F" w:rsidRDefault="00E565A0">
      <w:pPr>
        <w:spacing w:line="360" w:lineRule="auto"/>
        <w:jc w:val="both"/>
        <w:rPr>
          <w:rFonts w:ascii="Palatino Linotype" w:eastAsia="Palatino Linotype" w:hAnsi="Palatino Linotype" w:cs="Palatino Linotype"/>
          <w:sz w:val="22"/>
          <w:szCs w:val="22"/>
        </w:rPr>
      </w:pPr>
    </w:p>
    <w:p w14:paraId="426AAD48" w14:textId="77777777" w:rsidR="00E565A0" w:rsidRPr="006E246F" w:rsidRDefault="009458BD">
      <w:pPr>
        <w:ind w:left="567" w:right="902"/>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i/>
          <w:sz w:val="22"/>
          <w:szCs w:val="22"/>
        </w:rPr>
        <w:t>“</w:t>
      </w:r>
      <w:r w:rsidRPr="006E246F">
        <w:rPr>
          <w:rFonts w:ascii="Palatino Linotype" w:eastAsia="Palatino Linotype" w:hAnsi="Palatino Linotype" w:cs="Palatino Linotype"/>
          <w:b/>
          <w:i/>
          <w:sz w:val="22"/>
          <w:szCs w:val="22"/>
        </w:rPr>
        <w:t>Artículo 179.</w:t>
      </w:r>
      <w:r w:rsidRPr="006E246F">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118681DE" w14:textId="77777777" w:rsidR="00E565A0" w:rsidRPr="006E246F" w:rsidRDefault="009458BD">
      <w:pPr>
        <w:ind w:left="567" w:right="902"/>
        <w:jc w:val="both"/>
        <w:rPr>
          <w:rFonts w:ascii="Palatino Linotype" w:eastAsia="Palatino Linotype" w:hAnsi="Palatino Linotype" w:cs="Palatino Linotype"/>
          <w:b/>
          <w:i/>
          <w:sz w:val="22"/>
          <w:szCs w:val="22"/>
        </w:rPr>
      </w:pPr>
      <w:r w:rsidRPr="006E246F">
        <w:rPr>
          <w:rFonts w:ascii="Palatino Linotype" w:eastAsia="Palatino Linotype" w:hAnsi="Palatino Linotype" w:cs="Palatino Linotype"/>
          <w:b/>
          <w:i/>
          <w:sz w:val="22"/>
          <w:szCs w:val="22"/>
        </w:rPr>
        <w:t>I. La negativa a la información solicitada;</w:t>
      </w:r>
    </w:p>
    <w:p w14:paraId="7030EBE6" w14:textId="77777777" w:rsidR="00E565A0" w:rsidRPr="006E246F" w:rsidRDefault="009458BD">
      <w:pPr>
        <w:ind w:left="567" w:right="902"/>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i/>
          <w:sz w:val="22"/>
          <w:szCs w:val="22"/>
        </w:rPr>
        <w:t>[…]”</w:t>
      </w:r>
    </w:p>
    <w:p w14:paraId="1FD6D6FC" w14:textId="77777777" w:rsidR="00E565A0" w:rsidRPr="006E246F" w:rsidRDefault="00E565A0">
      <w:pPr>
        <w:ind w:left="567"/>
        <w:rPr>
          <w:rFonts w:ascii="Palatino Linotype" w:eastAsia="Palatino Linotype" w:hAnsi="Palatino Linotype" w:cs="Palatino Linotype"/>
          <w:b/>
          <w:i/>
          <w:sz w:val="22"/>
          <w:szCs w:val="22"/>
        </w:rPr>
      </w:pPr>
    </w:p>
    <w:p w14:paraId="100241EA" w14:textId="77777777" w:rsidR="00E565A0" w:rsidRPr="006E246F" w:rsidRDefault="009458BD">
      <w:pPr>
        <w:ind w:left="567" w:right="900"/>
        <w:jc w:val="right"/>
        <w:rPr>
          <w:rFonts w:ascii="Palatino Linotype" w:eastAsia="Palatino Linotype" w:hAnsi="Palatino Linotype" w:cs="Palatino Linotype"/>
          <w:b/>
          <w:i/>
          <w:sz w:val="22"/>
          <w:szCs w:val="22"/>
        </w:rPr>
      </w:pPr>
      <w:r w:rsidRPr="006E246F">
        <w:rPr>
          <w:rFonts w:ascii="Palatino Linotype" w:eastAsia="Palatino Linotype" w:hAnsi="Palatino Linotype" w:cs="Palatino Linotype"/>
          <w:b/>
          <w:i/>
          <w:sz w:val="22"/>
          <w:szCs w:val="22"/>
        </w:rPr>
        <w:t xml:space="preserve"> </w:t>
      </w:r>
      <w:r w:rsidRPr="006E246F">
        <w:rPr>
          <w:rFonts w:ascii="Palatino Linotype" w:eastAsia="Palatino Linotype" w:hAnsi="Palatino Linotype" w:cs="Palatino Linotype"/>
          <w:i/>
          <w:sz w:val="22"/>
          <w:szCs w:val="22"/>
        </w:rPr>
        <w:t>(Énfasis añadido)</w:t>
      </w:r>
    </w:p>
    <w:p w14:paraId="41A7629C" w14:textId="77777777" w:rsidR="00E565A0" w:rsidRPr="006E246F" w:rsidRDefault="00E565A0">
      <w:pPr>
        <w:spacing w:line="360" w:lineRule="auto"/>
        <w:jc w:val="both"/>
        <w:rPr>
          <w:rFonts w:ascii="Palatino Linotype" w:eastAsia="Palatino Linotype" w:hAnsi="Palatino Linotype" w:cs="Palatino Linotype"/>
          <w:b/>
          <w:sz w:val="22"/>
          <w:szCs w:val="22"/>
        </w:rPr>
      </w:pPr>
    </w:p>
    <w:p w14:paraId="4D7EC1C7" w14:textId="77777777" w:rsidR="00E565A0" w:rsidRPr="006E246F" w:rsidRDefault="009458BD">
      <w:pPr>
        <w:spacing w:line="360" w:lineRule="auto"/>
        <w:jc w:val="both"/>
        <w:rPr>
          <w:rFonts w:ascii="Palatino Linotype" w:eastAsia="Palatino Linotype" w:hAnsi="Palatino Linotype" w:cs="Palatino Linotype"/>
          <w:b/>
          <w:sz w:val="22"/>
          <w:szCs w:val="22"/>
        </w:rPr>
      </w:pPr>
      <w:r w:rsidRPr="006E246F">
        <w:rPr>
          <w:rFonts w:ascii="Palatino Linotype" w:eastAsia="Palatino Linotype" w:hAnsi="Palatino Linotype" w:cs="Palatino Linotype"/>
          <w:b/>
          <w:sz w:val="22"/>
          <w:szCs w:val="22"/>
        </w:rPr>
        <w:t xml:space="preserve">Tercero. Materia de la revisión. </w:t>
      </w:r>
      <w:r w:rsidRPr="006E246F">
        <w:rPr>
          <w:rFonts w:ascii="Palatino Linotype" w:eastAsia="Palatino Linotype" w:hAnsi="Palatino Linotype" w:cs="Palatino Linotype"/>
          <w:sz w:val="22"/>
          <w:szCs w:val="22"/>
        </w:rPr>
        <w:t xml:space="preserve">De la revisión a las constancias y documentos que obran en el expediente electrónico se advierte que, el tema sobre el que este Organismo Garante de Transparencia y Acceso a la Información se pronunciará será: </w:t>
      </w:r>
      <w:r w:rsidRPr="006E246F">
        <w:rPr>
          <w:rFonts w:ascii="Palatino Linotype" w:eastAsia="Palatino Linotype" w:hAnsi="Palatino Linotype" w:cs="Palatino Linotype"/>
          <w:b/>
          <w:sz w:val="22"/>
          <w:szCs w:val="22"/>
        </w:rPr>
        <w:t>verificar si la respuesta e informe justificado otorgado por el Sujeto Obligado son adecuados y suficientes para satisfacer el derecho de acceso a la información pública de la parte Recurrente,</w:t>
      </w:r>
      <w:r w:rsidRPr="006E246F">
        <w:rPr>
          <w:rFonts w:ascii="Palatino Linotype" w:eastAsia="Palatino Linotype" w:hAnsi="Palatino Linotype" w:cs="Palatino Linotype"/>
          <w:sz w:val="22"/>
          <w:szCs w:val="22"/>
        </w:rPr>
        <w:t xml:space="preserve"> o en su defecto, en caso de ser procedente, ordenar la entrega de la información oportuna.</w:t>
      </w:r>
    </w:p>
    <w:p w14:paraId="12DCD799" w14:textId="77777777" w:rsidR="00E565A0" w:rsidRPr="006E246F" w:rsidRDefault="00E565A0">
      <w:pPr>
        <w:spacing w:line="360" w:lineRule="auto"/>
        <w:jc w:val="both"/>
        <w:rPr>
          <w:rFonts w:ascii="Palatino Linotype" w:eastAsia="Palatino Linotype" w:hAnsi="Palatino Linotype" w:cs="Palatino Linotype"/>
          <w:sz w:val="22"/>
          <w:szCs w:val="22"/>
        </w:rPr>
      </w:pPr>
    </w:p>
    <w:p w14:paraId="3D47B610" w14:textId="77777777" w:rsidR="00E565A0" w:rsidRPr="006E246F" w:rsidRDefault="009458BD">
      <w:pPr>
        <w:spacing w:line="360" w:lineRule="auto"/>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b/>
          <w:sz w:val="22"/>
          <w:szCs w:val="22"/>
        </w:rPr>
        <w:t xml:space="preserve">Cuarto. Estudio del asunto. </w:t>
      </w:r>
      <w:r w:rsidRPr="006E246F">
        <w:rPr>
          <w:rFonts w:ascii="Palatino Linotype" w:eastAsia="Palatino Linotype" w:hAnsi="Palatino Linotype" w:cs="Palatino Linotype"/>
          <w:sz w:val="22"/>
          <w:szCs w:val="22"/>
        </w:rPr>
        <w:t xml:space="preserve">Antes de entrar al análisis de los pronunciamientos del </w:t>
      </w:r>
      <w:r w:rsidRPr="006E246F">
        <w:rPr>
          <w:rFonts w:ascii="Palatino Linotype" w:eastAsia="Palatino Linotype" w:hAnsi="Palatino Linotype" w:cs="Palatino Linotype"/>
          <w:b/>
          <w:sz w:val="22"/>
          <w:szCs w:val="22"/>
        </w:rPr>
        <w:t>Sujeto Obligado</w:t>
      </w:r>
      <w:r w:rsidRPr="006E246F">
        <w:rPr>
          <w:rFonts w:ascii="Palatino Linotype" w:eastAsia="Palatino Linotype" w:hAnsi="Palatino Linotype" w:cs="Palatino Linotype"/>
          <w:sz w:val="22"/>
          <w:szCs w:val="22"/>
        </w:rPr>
        <w:t xml:space="preserve"> en la respuesta proporcionada, es necesario mencionar que el derecho de acceso a la información está consagrado en instrumentos internacionales de los cuales el Estado </w:t>
      </w:r>
      <w:r w:rsidRPr="006E246F">
        <w:rPr>
          <w:rFonts w:ascii="Palatino Linotype" w:eastAsia="Palatino Linotype" w:hAnsi="Palatino Linotype" w:cs="Palatino Linotype"/>
          <w:sz w:val="22"/>
          <w:szCs w:val="22"/>
        </w:rPr>
        <w:lastRenderedPageBreak/>
        <w:t>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03206779" w14:textId="77777777" w:rsidR="00E565A0" w:rsidRPr="006E246F" w:rsidRDefault="00E565A0">
      <w:pPr>
        <w:spacing w:line="360" w:lineRule="auto"/>
        <w:jc w:val="both"/>
        <w:rPr>
          <w:rFonts w:ascii="Palatino Linotype" w:eastAsia="Palatino Linotype" w:hAnsi="Palatino Linotype" w:cs="Palatino Linotype"/>
          <w:sz w:val="22"/>
          <w:szCs w:val="22"/>
        </w:rPr>
      </w:pPr>
    </w:p>
    <w:p w14:paraId="0D2E3067" w14:textId="77777777" w:rsidR="00E565A0" w:rsidRPr="006E246F" w:rsidRDefault="009458BD">
      <w:pPr>
        <w:spacing w:line="276" w:lineRule="auto"/>
        <w:ind w:left="851" w:right="850"/>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b/>
          <w:i/>
          <w:sz w:val="22"/>
          <w:szCs w:val="22"/>
          <w:u w:val="single"/>
        </w:rPr>
        <w:t>Artículo 1o. En los Estados Unidos Mexicanos todas las personas gozarán de los derechos humanos reconocidos en esta Constitución y en los tratados internacionales de los que el Estado Mexicano sea parte</w:t>
      </w:r>
      <w:r w:rsidRPr="006E246F">
        <w:rPr>
          <w:rFonts w:ascii="Palatino Linotype" w:eastAsia="Palatino Linotype" w:hAnsi="Palatino Linotype" w:cs="Palatino Linotype"/>
          <w:i/>
          <w:sz w:val="22"/>
          <w:szCs w:val="22"/>
        </w:rPr>
        <w:t>, así como de las garantías para su protección, cuyo ejercicio no podrá restringirse ni suspenderse, salvo en los casos y bajo las condiciones que esta Constitución establece.</w:t>
      </w:r>
    </w:p>
    <w:p w14:paraId="40038FAD" w14:textId="77777777" w:rsidR="00E565A0" w:rsidRPr="006E246F" w:rsidRDefault="009458BD">
      <w:pPr>
        <w:spacing w:line="276" w:lineRule="auto"/>
        <w:ind w:left="851" w:right="850"/>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b/>
          <w:i/>
          <w:sz w:val="22"/>
          <w:szCs w:val="22"/>
        </w:rPr>
        <w:t>Las normas relativas a los derechos humanos se interpretarán de conformidad con esta Constitución y con los tratados internacionales de la materia favoreciendo en todo tiempo a las personas la protección más amplia.</w:t>
      </w:r>
    </w:p>
    <w:p w14:paraId="63ABA96B" w14:textId="77777777" w:rsidR="00E565A0" w:rsidRPr="006E246F" w:rsidRDefault="009458BD">
      <w:pPr>
        <w:spacing w:line="276" w:lineRule="auto"/>
        <w:ind w:left="851" w:right="850"/>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b/>
          <w:i/>
          <w:sz w:val="22"/>
          <w:szCs w:val="22"/>
          <w:u w:val="single"/>
        </w:rPr>
        <w:t>Todas las autoridades, en el ámbito de sus competencias, tienen la obligación de promover, respetar, proteger y garantizar los derechos humanos de conformidad con los principios de universalidad, interdependencia, indivisibilidad y progresividad.</w:t>
      </w:r>
      <w:r w:rsidRPr="006E246F">
        <w:rPr>
          <w:rFonts w:ascii="Palatino Linotype" w:eastAsia="Palatino Linotype" w:hAnsi="Palatino Linotype" w:cs="Palatino Linotype"/>
          <w:i/>
          <w:sz w:val="22"/>
          <w:szCs w:val="22"/>
        </w:rPr>
        <w:t xml:space="preserve"> En consecuencia, el Estado deberá prevenir, investigar, sancionar y reparar las violaciones a los derechos humanos, en los términos que establezca la ley</w:t>
      </w:r>
    </w:p>
    <w:p w14:paraId="4B8F46A9" w14:textId="77777777" w:rsidR="00E565A0" w:rsidRPr="006E246F" w:rsidRDefault="009458BD">
      <w:pPr>
        <w:spacing w:line="276" w:lineRule="auto"/>
        <w:ind w:left="851" w:right="850"/>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i/>
          <w:sz w:val="22"/>
          <w:szCs w:val="22"/>
        </w:rPr>
        <w:t>[…]</w:t>
      </w:r>
    </w:p>
    <w:p w14:paraId="5296A499" w14:textId="77777777" w:rsidR="00E565A0" w:rsidRPr="006E246F" w:rsidRDefault="009458BD">
      <w:pPr>
        <w:spacing w:line="276" w:lineRule="auto"/>
        <w:ind w:left="851" w:right="901"/>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b/>
          <w:i/>
          <w:sz w:val="22"/>
          <w:szCs w:val="22"/>
        </w:rPr>
        <w:t>“Artículo 6o.</w:t>
      </w:r>
    </w:p>
    <w:p w14:paraId="78356E4D" w14:textId="77777777" w:rsidR="00E565A0" w:rsidRPr="006E246F" w:rsidRDefault="009458BD">
      <w:pPr>
        <w:spacing w:line="276" w:lineRule="auto"/>
        <w:ind w:left="851" w:right="901"/>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i/>
          <w:sz w:val="22"/>
          <w:szCs w:val="22"/>
        </w:rPr>
        <w:t>[...]</w:t>
      </w:r>
    </w:p>
    <w:p w14:paraId="34D56F51" w14:textId="77777777" w:rsidR="00E565A0" w:rsidRPr="006E246F" w:rsidRDefault="009458BD">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b/>
          <w:i/>
          <w:sz w:val="22"/>
          <w:szCs w:val="22"/>
        </w:rPr>
        <w:t xml:space="preserve">A. Para el ejercicio del derecho de acceso a la información, la Federación y </w:t>
      </w:r>
      <w:r w:rsidRPr="006E246F">
        <w:rPr>
          <w:rFonts w:ascii="Palatino Linotype" w:eastAsia="Palatino Linotype" w:hAnsi="Palatino Linotype" w:cs="Palatino Linotype"/>
          <w:b/>
          <w:i/>
          <w:sz w:val="22"/>
          <w:szCs w:val="22"/>
          <w:u w:val="single"/>
        </w:rPr>
        <w:t>las entidades federativas</w:t>
      </w:r>
      <w:r w:rsidRPr="006E246F">
        <w:rPr>
          <w:rFonts w:ascii="Palatino Linotype" w:eastAsia="Palatino Linotype" w:hAnsi="Palatino Linotype" w:cs="Palatino Linotype"/>
          <w:b/>
          <w:i/>
          <w:sz w:val="22"/>
          <w:szCs w:val="22"/>
        </w:rPr>
        <w:t>,</w:t>
      </w:r>
      <w:r w:rsidRPr="006E246F">
        <w:rPr>
          <w:rFonts w:ascii="Palatino Linotype" w:eastAsia="Palatino Linotype" w:hAnsi="Palatino Linotype" w:cs="Palatino Linotype"/>
          <w:i/>
          <w:sz w:val="22"/>
          <w:szCs w:val="22"/>
        </w:rPr>
        <w:t xml:space="preserve"> en el ámbito de sus respectivas competencias, se regirán por los siguientes principios y bases:</w:t>
      </w:r>
    </w:p>
    <w:p w14:paraId="7B1C4D44" w14:textId="77777777" w:rsidR="00E565A0" w:rsidRPr="006E246F" w:rsidRDefault="009458BD">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i/>
          <w:sz w:val="22"/>
          <w:szCs w:val="22"/>
        </w:rPr>
        <w:t> </w:t>
      </w:r>
      <w:r w:rsidRPr="006E246F">
        <w:rPr>
          <w:rFonts w:ascii="Palatino Linotype" w:eastAsia="Palatino Linotype" w:hAnsi="Palatino Linotype" w:cs="Palatino Linotype"/>
          <w:b/>
          <w:i/>
          <w:sz w:val="22"/>
          <w:szCs w:val="22"/>
        </w:rPr>
        <w:t xml:space="preserve">I. </w:t>
      </w:r>
      <w:r w:rsidRPr="006E246F">
        <w:rPr>
          <w:rFonts w:ascii="Palatino Linotype" w:eastAsia="Palatino Linotype" w:hAnsi="Palatino Linotype" w:cs="Palatino Linotype"/>
          <w:b/>
          <w:i/>
          <w:sz w:val="22"/>
          <w:szCs w:val="22"/>
          <w:u w:val="single"/>
        </w:rPr>
        <w:t>Toda la información en posesión de cualquier autoridad, entidad, órgano y organismo de los Poderes</w:t>
      </w:r>
      <w:r w:rsidRPr="006E246F">
        <w:rPr>
          <w:rFonts w:ascii="Palatino Linotype" w:eastAsia="Palatino Linotype" w:hAnsi="Palatino Linotype" w:cs="Palatino Linotype"/>
          <w:i/>
          <w:sz w:val="22"/>
          <w:szCs w:val="22"/>
        </w:rPr>
        <w:t xml:space="preserve"> Ejecutivo, Legislativo y Judicial, órganos autónomos, partidos políticos, fideicomisos y fondos públicos, así como de cualquier persona física, moral o sindicato que reciba y ejerza recursos públicos o realice actos de autoridad en el ámbito federal, estatal y municipal, </w:t>
      </w:r>
      <w:r w:rsidRPr="006E246F">
        <w:rPr>
          <w:rFonts w:ascii="Palatino Linotype" w:eastAsia="Palatino Linotype" w:hAnsi="Palatino Linotype" w:cs="Palatino Linotype"/>
          <w:b/>
          <w:i/>
          <w:sz w:val="22"/>
          <w:szCs w:val="22"/>
        </w:rPr>
        <w:t xml:space="preserve">es pública y sólo podrá ser reservada temporalmente por razones de interés público y </w:t>
      </w:r>
      <w:r w:rsidRPr="006E246F">
        <w:rPr>
          <w:rFonts w:ascii="Palatino Linotype" w:eastAsia="Palatino Linotype" w:hAnsi="Palatino Linotype" w:cs="Palatino Linotype"/>
          <w:b/>
          <w:i/>
          <w:sz w:val="22"/>
          <w:szCs w:val="22"/>
        </w:rPr>
        <w:lastRenderedPageBreak/>
        <w:t>seguridad nacional,</w:t>
      </w:r>
      <w:r w:rsidRPr="006E246F">
        <w:rPr>
          <w:rFonts w:ascii="Palatino Linotype" w:eastAsia="Palatino Linotype" w:hAnsi="Palatino Linotype" w:cs="Palatino Linotype"/>
          <w:i/>
          <w:sz w:val="22"/>
          <w:szCs w:val="22"/>
        </w:rPr>
        <w:t xml:space="preserve">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07CD178D" w14:textId="77777777" w:rsidR="00E565A0" w:rsidRPr="006E246F" w:rsidRDefault="009458BD">
      <w:pPr>
        <w:pBdr>
          <w:top w:val="nil"/>
          <w:left w:val="nil"/>
          <w:bottom w:val="nil"/>
          <w:right w:val="nil"/>
          <w:between w:val="nil"/>
        </w:pBdr>
        <w:spacing w:before="240" w:after="240"/>
        <w:ind w:left="851" w:right="851"/>
        <w:jc w:val="both"/>
        <w:rPr>
          <w:rFonts w:ascii="Palatino Linotype" w:eastAsia="Palatino Linotype" w:hAnsi="Palatino Linotype" w:cs="Palatino Linotype"/>
          <w:b/>
          <w:i/>
          <w:sz w:val="22"/>
          <w:szCs w:val="22"/>
        </w:rPr>
      </w:pPr>
      <w:r w:rsidRPr="006E246F">
        <w:rPr>
          <w:rFonts w:ascii="Palatino Linotype" w:eastAsia="Palatino Linotype" w:hAnsi="Palatino Linotype" w:cs="Palatino Linotype"/>
          <w:b/>
          <w:i/>
          <w:sz w:val="22"/>
          <w:szCs w:val="22"/>
        </w:rPr>
        <w:t>II. La información que se refiere a la vida privada y los datos personales será protegida en los términos y con las excepciones que fijen las leyes. Para tal efecto, los sujetos obligados contarán con las facultades suficientes para su atención.</w:t>
      </w:r>
    </w:p>
    <w:p w14:paraId="620D3AC9" w14:textId="77777777" w:rsidR="00E565A0" w:rsidRPr="006E246F" w:rsidRDefault="009458BD">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i/>
          <w:sz w:val="22"/>
          <w:szCs w:val="22"/>
        </w:rPr>
        <w:t> </w:t>
      </w:r>
      <w:r w:rsidRPr="006E246F">
        <w:rPr>
          <w:rFonts w:ascii="Palatino Linotype" w:eastAsia="Palatino Linotype" w:hAnsi="Palatino Linotype" w:cs="Palatino Linotype"/>
          <w:b/>
          <w:i/>
          <w:sz w:val="22"/>
          <w:szCs w:val="22"/>
        </w:rPr>
        <w:t xml:space="preserve">III. </w:t>
      </w:r>
      <w:r w:rsidRPr="006E246F">
        <w:rPr>
          <w:rFonts w:ascii="Palatino Linotype" w:eastAsia="Palatino Linotype" w:hAnsi="Palatino Linotype" w:cs="Palatino Linotype"/>
          <w:b/>
          <w:i/>
          <w:sz w:val="22"/>
          <w:szCs w:val="22"/>
          <w:u w:val="single"/>
        </w:rPr>
        <w:t>Toda persona, sin necesidad de acreditar interés alguno o justificar su utilización, tendrá acceso gratuito a la información pública,</w:t>
      </w:r>
      <w:r w:rsidRPr="006E246F">
        <w:rPr>
          <w:rFonts w:ascii="Palatino Linotype" w:eastAsia="Palatino Linotype" w:hAnsi="Palatino Linotype" w:cs="Palatino Linotype"/>
          <w:i/>
          <w:sz w:val="22"/>
          <w:szCs w:val="22"/>
        </w:rPr>
        <w:t xml:space="preserve"> a sus datos personales o a la rectificación de éstos.</w:t>
      </w:r>
    </w:p>
    <w:p w14:paraId="3095248F" w14:textId="77777777" w:rsidR="00E565A0" w:rsidRPr="006E246F" w:rsidRDefault="009458BD">
      <w:pPr>
        <w:pBdr>
          <w:top w:val="nil"/>
          <w:left w:val="nil"/>
          <w:bottom w:val="nil"/>
          <w:right w:val="nil"/>
          <w:between w:val="nil"/>
        </w:pBdr>
        <w:spacing w:before="240" w:after="240"/>
        <w:ind w:left="851" w:right="851"/>
        <w:jc w:val="both"/>
      </w:pPr>
      <w:r w:rsidRPr="006E246F">
        <w:rPr>
          <w:rFonts w:ascii="Palatino Linotype" w:eastAsia="Palatino Linotype" w:hAnsi="Palatino Linotype" w:cs="Palatino Linotype"/>
          <w:b/>
          <w:i/>
          <w:sz w:val="22"/>
          <w:szCs w:val="22"/>
        </w:rPr>
        <w:t>…</w:t>
      </w:r>
    </w:p>
    <w:p w14:paraId="64A85F3C" w14:textId="77777777" w:rsidR="00E565A0" w:rsidRPr="006E246F" w:rsidRDefault="009458BD">
      <w:pPr>
        <w:pBdr>
          <w:top w:val="nil"/>
          <w:left w:val="nil"/>
          <w:bottom w:val="nil"/>
          <w:right w:val="nil"/>
          <w:between w:val="nil"/>
        </w:pBdr>
        <w:spacing w:before="240" w:after="240"/>
        <w:ind w:left="851" w:right="851"/>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b/>
          <w:i/>
          <w:sz w:val="22"/>
          <w:szCs w:val="22"/>
        </w:rPr>
        <w:t>IV.</w:t>
      </w:r>
      <w:r w:rsidRPr="006E246F">
        <w:rPr>
          <w:rFonts w:ascii="Palatino Linotype" w:eastAsia="Palatino Linotype" w:hAnsi="Palatino Linotype" w:cs="Palatino Linotype"/>
          <w:i/>
          <w:sz w:val="22"/>
          <w:szCs w:val="22"/>
        </w:rPr>
        <w:t xml:space="preserve"> Se establecerán mecanismos de acceso a la información pública y procedimientos de revisión expeditos que se sustanciarán ante las instancias competentes en los términos que fija esta Constitución y las leyes.</w:t>
      </w:r>
    </w:p>
    <w:p w14:paraId="2A5A601B" w14:textId="77777777" w:rsidR="00E565A0" w:rsidRPr="006E246F" w:rsidRDefault="009458BD">
      <w:pPr>
        <w:pBdr>
          <w:top w:val="nil"/>
          <w:left w:val="nil"/>
          <w:bottom w:val="nil"/>
          <w:right w:val="nil"/>
          <w:between w:val="nil"/>
        </w:pBdr>
        <w:spacing w:before="240" w:after="240"/>
        <w:ind w:left="851" w:right="851"/>
        <w:jc w:val="both"/>
      </w:pPr>
      <w:r w:rsidRPr="006E246F">
        <w:rPr>
          <w:rFonts w:ascii="Palatino Linotype" w:eastAsia="Palatino Linotype" w:hAnsi="Palatino Linotype" w:cs="Palatino Linotype"/>
          <w:b/>
          <w:i/>
          <w:sz w:val="22"/>
          <w:szCs w:val="22"/>
        </w:rPr>
        <w:t xml:space="preserve">V. </w:t>
      </w:r>
      <w:r w:rsidRPr="006E246F">
        <w:rPr>
          <w:rFonts w:ascii="Palatino Linotype" w:eastAsia="Palatino Linotype" w:hAnsi="Palatino Linotype" w:cs="Palatino Linotype"/>
          <w:i/>
          <w:sz w:val="22"/>
          <w:szCs w:val="22"/>
        </w:rPr>
        <w:t>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6825C772" w14:textId="77777777" w:rsidR="00E565A0" w:rsidRPr="006E246F" w:rsidRDefault="009458BD">
      <w:pPr>
        <w:pBdr>
          <w:top w:val="nil"/>
          <w:left w:val="nil"/>
          <w:bottom w:val="nil"/>
          <w:right w:val="nil"/>
          <w:between w:val="nil"/>
        </w:pBdr>
        <w:spacing w:before="240" w:after="240"/>
        <w:ind w:left="851" w:right="851"/>
        <w:jc w:val="both"/>
      </w:pPr>
      <w:r w:rsidRPr="006E246F">
        <w:rPr>
          <w:rFonts w:ascii="Palatino Linotype" w:eastAsia="Palatino Linotype" w:hAnsi="Palatino Linotype" w:cs="Palatino Linotype"/>
          <w:i/>
          <w:sz w:val="22"/>
          <w:szCs w:val="22"/>
        </w:rPr>
        <w:t> </w:t>
      </w:r>
      <w:r w:rsidRPr="006E246F">
        <w:rPr>
          <w:rFonts w:ascii="Palatino Linotype" w:eastAsia="Palatino Linotype" w:hAnsi="Palatino Linotype" w:cs="Palatino Linotype"/>
          <w:b/>
          <w:i/>
          <w:sz w:val="22"/>
          <w:szCs w:val="22"/>
        </w:rPr>
        <w:t xml:space="preserve">VI. </w:t>
      </w:r>
      <w:r w:rsidRPr="006E246F">
        <w:rPr>
          <w:rFonts w:ascii="Palatino Linotype" w:eastAsia="Palatino Linotype" w:hAnsi="Palatino Linotype" w:cs="Palatino Linotype"/>
          <w:i/>
          <w:sz w:val="22"/>
          <w:szCs w:val="22"/>
        </w:rPr>
        <w:t>Las leyes determinarán la manera en que los sujetos obligados deberán hacer pública la información relativa a los recursos públicos que entreguen a personas físicas o morales.</w:t>
      </w:r>
    </w:p>
    <w:p w14:paraId="0C613FE0" w14:textId="77777777" w:rsidR="00E565A0" w:rsidRPr="006E246F" w:rsidRDefault="009458BD">
      <w:pPr>
        <w:pBdr>
          <w:top w:val="nil"/>
          <w:left w:val="nil"/>
          <w:bottom w:val="nil"/>
          <w:right w:val="nil"/>
          <w:between w:val="nil"/>
        </w:pBdr>
        <w:spacing w:before="240" w:after="240"/>
        <w:ind w:left="851" w:right="851"/>
        <w:jc w:val="both"/>
      </w:pPr>
      <w:r w:rsidRPr="006E246F">
        <w:rPr>
          <w:rFonts w:ascii="Palatino Linotype" w:eastAsia="Palatino Linotype" w:hAnsi="Palatino Linotype" w:cs="Palatino Linotype"/>
          <w:i/>
          <w:sz w:val="22"/>
          <w:szCs w:val="22"/>
        </w:rPr>
        <w:t> </w:t>
      </w:r>
      <w:r w:rsidRPr="006E246F">
        <w:rPr>
          <w:rFonts w:ascii="Palatino Linotype" w:eastAsia="Palatino Linotype" w:hAnsi="Palatino Linotype" w:cs="Palatino Linotype"/>
          <w:b/>
          <w:i/>
          <w:sz w:val="22"/>
          <w:szCs w:val="22"/>
        </w:rPr>
        <w:t xml:space="preserve">VII. </w:t>
      </w:r>
      <w:r w:rsidRPr="006E246F">
        <w:rPr>
          <w:rFonts w:ascii="Palatino Linotype" w:eastAsia="Palatino Linotype" w:hAnsi="Palatino Linotype" w:cs="Palatino Linotype"/>
          <w:i/>
          <w:sz w:val="22"/>
          <w:szCs w:val="22"/>
        </w:rPr>
        <w:t>La inobservancia a las disposiciones en materia de acceso a la información pública será sancionada en los términos que dispongan las leyes. [...]”</w:t>
      </w:r>
    </w:p>
    <w:p w14:paraId="09DC3797" w14:textId="77777777" w:rsidR="00E565A0" w:rsidRPr="006E246F" w:rsidRDefault="00E565A0">
      <w:pPr>
        <w:spacing w:line="276" w:lineRule="auto"/>
        <w:ind w:left="851" w:right="851"/>
        <w:jc w:val="both"/>
        <w:rPr>
          <w:rFonts w:ascii="Palatino Linotype" w:eastAsia="Palatino Linotype" w:hAnsi="Palatino Linotype" w:cs="Palatino Linotype"/>
          <w:sz w:val="22"/>
          <w:szCs w:val="22"/>
        </w:rPr>
      </w:pPr>
    </w:p>
    <w:p w14:paraId="604D4CB5" w14:textId="77777777" w:rsidR="00E565A0" w:rsidRPr="006E246F" w:rsidRDefault="009458BD">
      <w:pPr>
        <w:spacing w:line="360" w:lineRule="auto"/>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 xml:space="preserve">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w:t>
      </w:r>
      <w:r w:rsidRPr="006E246F">
        <w:rPr>
          <w:rFonts w:ascii="Palatino Linotype" w:eastAsia="Palatino Linotype" w:hAnsi="Palatino Linotype" w:cs="Palatino Linotype"/>
          <w:sz w:val="22"/>
          <w:szCs w:val="22"/>
        </w:rPr>
        <w:lastRenderedPageBreak/>
        <w:t>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1084A615" w14:textId="77777777" w:rsidR="00E565A0" w:rsidRPr="006E246F" w:rsidRDefault="00E565A0">
      <w:pPr>
        <w:spacing w:line="360" w:lineRule="auto"/>
        <w:jc w:val="both"/>
        <w:rPr>
          <w:rFonts w:ascii="Palatino Linotype" w:eastAsia="Palatino Linotype" w:hAnsi="Palatino Linotype" w:cs="Palatino Linotype"/>
          <w:sz w:val="22"/>
          <w:szCs w:val="22"/>
        </w:rPr>
      </w:pPr>
    </w:p>
    <w:p w14:paraId="4BE41D70" w14:textId="77777777" w:rsidR="00E565A0" w:rsidRPr="006E246F" w:rsidRDefault="009458BD">
      <w:pPr>
        <w:spacing w:line="276" w:lineRule="auto"/>
        <w:ind w:left="567" w:right="616"/>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i/>
          <w:sz w:val="22"/>
          <w:szCs w:val="22"/>
        </w:rPr>
        <w:t>“</w:t>
      </w:r>
      <w:r w:rsidRPr="006E246F">
        <w:rPr>
          <w:rFonts w:ascii="Palatino Linotype" w:eastAsia="Palatino Linotype" w:hAnsi="Palatino Linotype" w:cs="Palatino Linotype"/>
          <w:b/>
          <w:i/>
          <w:sz w:val="22"/>
          <w:szCs w:val="22"/>
        </w:rPr>
        <w:t>Artículo 4</w:t>
      </w:r>
      <w:r w:rsidRPr="006E246F">
        <w:rPr>
          <w:rFonts w:ascii="Palatino Linotype" w:eastAsia="Palatino Linotype" w:hAnsi="Palatino Linotype" w:cs="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094A392B" w14:textId="77777777" w:rsidR="00E565A0" w:rsidRPr="006E246F" w:rsidRDefault="00E565A0">
      <w:pPr>
        <w:spacing w:line="276" w:lineRule="auto"/>
        <w:ind w:left="567" w:right="616"/>
        <w:jc w:val="both"/>
        <w:rPr>
          <w:rFonts w:ascii="Palatino Linotype" w:eastAsia="Palatino Linotype" w:hAnsi="Palatino Linotype" w:cs="Palatino Linotype"/>
          <w:i/>
          <w:sz w:val="22"/>
          <w:szCs w:val="22"/>
        </w:rPr>
      </w:pPr>
    </w:p>
    <w:p w14:paraId="7F7FD42D" w14:textId="77777777" w:rsidR="00E565A0" w:rsidRPr="006E246F" w:rsidRDefault="009458BD">
      <w:pPr>
        <w:spacing w:line="276" w:lineRule="auto"/>
        <w:ind w:left="567" w:right="616"/>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b/>
          <w:i/>
          <w:sz w:val="22"/>
          <w:szCs w:val="22"/>
        </w:rPr>
        <w:t>Toda la información generada, obtenida, adquirida, transformada, administrada o en posesión de los sujetos obligados es pública y accesible de manera permanente a cualquier persona</w:t>
      </w:r>
      <w:r w:rsidRPr="006E246F">
        <w:rPr>
          <w:rFonts w:ascii="Palatino Linotype" w:eastAsia="Palatino Linotype" w:hAnsi="Palatino Linotype" w:cs="Palatino Linotype"/>
          <w:i/>
          <w:sz w:val="22"/>
          <w:szCs w:val="22"/>
        </w:rPr>
        <w:t>,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29 como reservada temporalmente por razones de interés público, en los términos de las causas legítimas y estrictamente necesarias previstas por esta Ley.</w:t>
      </w:r>
    </w:p>
    <w:p w14:paraId="65FBACF8" w14:textId="77777777" w:rsidR="00E565A0" w:rsidRPr="006E246F" w:rsidRDefault="00E565A0">
      <w:pPr>
        <w:spacing w:line="276" w:lineRule="auto"/>
        <w:ind w:left="567" w:right="616"/>
        <w:jc w:val="both"/>
        <w:rPr>
          <w:rFonts w:ascii="Palatino Linotype" w:eastAsia="Palatino Linotype" w:hAnsi="Palatino Linotype" w:cs="Palatino Linotype"/>
          <w:i/>
          <w:sz w:val="22"/>
          <w:szCs w:val="22"/>
        </w:rPr>
      </w:pPr>
    </w:p>
    <w:p w14:paraId="03279238" w14:textId="77777777" w:rsidR="00E565A0" w:rsidRPr="006E246F" w:rsidRDefault="009458BD">
      <w:pPr>
        <w:spacing w:line="276" w:lineRule="auto"/>
        <w:ind w:left="567" w:right="616"/>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b/>
          <w:i/>
          <w:sz w:val="22"/>
          <w:szCs w:val="22"/>
        </w:rPr>
        <w:t>Los sujetos obligados deben poner en práctica, políticas y programas de acceso a la información que se apeguen a criterios de publicidad, veracidad, oportunidad, precisión y suficiencia en beneficio de los solicitantes</w:t>
      </w:r>
      <w:r w:rsidRPr="006E246F">
        <w:rPr>
          <w:rFonts w:ascii="Palatino Linotype" w:eastAsia="Palatino Linotype" w:hAnsi="Palatino Linotype" w:cs="Palatino Linotype"/>
          <w:i/>
          <w:sz w:val="22"/>
          <w:szCs w:val="22"/>
        </w:rPr>
        <w:t>.”</w:t>
      </w:r>
    </w:p>
    <w:p w14:paraId="202125F1" w14:textId="77777777" w:rsidR="00E565A0" w:rsidRPr="006E246F" w:rsidRDefault="00E565A0">
      <w:pPr>
        <w:spacing w:line="360" w:lineRule="auto"/>
        <w:jc w:val="both"/>
        <w:rPr>
          <w:rFonts w:ascii="Palatino Linotype" w:eastAsia="Palatino Linotype" w:hAnsi="Palatino Linotype" w:cs="Palatino Linotype"/>
          <w:sz w:val="22"/>
          <w:szCs w:val="22"/>
        </w:rPr>
      </w:pPr>
    </w:p>
    <w:p w14:paraId="32B95FDA" w14:textId="77777777" w:rsidR="00E565A0" w:rsidRPr="006E246F" w:rsidRDefault="009458BD">
      <w:pPr>
        <w:spacing w:line="360" w:lineRule="auto"/>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Esto es, que los Sujetos Obligados tiene la obligación o deber de atender las solicitudes de acceso a la información pública que se les hagan de su conocimiento y proporcionar la información pública que obren en su poder conforme el estado que se encuentra y no hacer un procesamiento de la misma, ni presentarla conforme al interés del solicitante; como así lo establece el artículo 12 de la Ley de Transparencia y Acceso a la Información Pública del Estado de México y Municipios, que a la letra dice:</w:t>
      </w:r>
    </w:p>
    <w:p w14:paraId="0C9EFBC0" w14:textId="77777777" w:rsidR="00E565A0" w:rsidRPr="006E246F" w:rsidRDefault="00E565A0">
      <w:pPr>
        <w:spacing w:line="360" w:lineRule="auto"/>
        <w:jc w:val="both"/>
        <w:rPr>
          <w:rFonts w:ascii="Palatino Linotype" w:eastAsia="Palatino Linotype" w:hAnsi="Palatino Linotype" w:cs="Palatino Linotype"/>
          <w:sz w:val="22"/>
          <w:szCs w:val="22"/>
        </w:rPr>
      </w:pPr>
    </w:p>
    <w:p w14:paraId="4A2CA827" w14:textId="77777777" w:rsidR="00E565A0" w:rsidRPr="006E246F" w:rsidRDefault="009458BD">
      <w:pPr>
        <w:spacing w:line="276" w:lineRule="auto"/>
        <w:ind w:left="567" w:right="616"/>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b/>
          <w:i/>
          <w:sz w:val="22"/>
          <w:szCs w:val="22"/>
        </w:rPr>
        <w:t>“Artículo 12.-</w:t>
      </w:r>
      <w:r w:rsidRPr="006E246F">
        <w:rPr>
          <w:rFonts w:ascii="Palatino Linotype" w:eastAsia="Palatino Linotype" w:hAnsi="Palatino Linotype" w:cs="Palatino Linotype"/>
          <w:i/>
          <w:sz w:val="22"/>
          <w:szCs w:val="22"/>
        </w:rPr>
        <w:t xml:space="preserve"> Quienes generen, recopilen, administren, manejen, procesen, archiven o conserven información pública serán responsables de la misma en los términos de las disposiciones jurídicas aplicables. </w:t>
      </w:r>
    </w:p>
    <w:p w14:paraId="2E3BAADF" w14:textId="77777777" w:rsidR="00E565A0" w:rsidRPr="006E246F" w:rsidRDefault="00E565A0">
      <w:pPr>
        <w:spacing w:line="276" w:lineRule="auto"/>
        <w:ind w:left="567" w:right="616"/>
        <w:jc w:val="both"/>
        <w:rPr>
          <w:rFonts w:ascii="Palatino Linotype" w:eastAsia="Palatino Linotype" w:hAnsi="Palatino Linotype" w:cs="Palatino Linotype"/>
          <w:i/>
          <w:sz w:val="22"/>
          <w:szCs w:val="22"/>
        </w:rPr>
      </w:pPr>
    </w:p>
    <w:p w14:paraId="42170A86" w14:textId="77777777" w:rsidR="00E565A0" w:rsidRPr="006E246F" w:rsidRDefault="009458BD">
      <w:pPr>
        <w:spacing w:line="276" w:lineRule="auto"/>
        <w:ind w:left="567" w:right="616"/>
        <w:jc w:val="both"/>
        <w:rPr>
          <w:rFonts w:ascii="Palatino Linotype" w:eastAsia="Palatino Linotype" w:hAnsi="Palatino Linotype" w:cs="Palatino Linotype"/>
          <w:b/>
          <w:i/>
          <w:sz w:val="22"/>
          <w:szCs w:val="22"/>
        </w:rPr>
      </w:pPr>
      <w:r w:rsidRPr="006E246F">
        <w:rPr>
          <w:rFonts w:ascii="Palatino Linotype" w:eastAsia="Palatino Linotype" w:hAnsi="Palatino Linotype" w:cs="Palatino Linotype"/>
          <w:b/>
          <w:i/>
          <w:sz w:val="22"/>
          <w:szCs w:val="22"/>
        </w:rPr>
        <w:t>Los sujetos obligados sólo proporcionarán la información pública que se les requiera y que obre en sus archivos y en el estado en que ésta se encuentre</w:t>
      </w:r>
      <w:r w:rsidRPr="006E246F">
        <w:rPr>
          <w:rFonts w:ascii="Palatino Linotype" w:eastAsia="Palatino Linotype" w:hAnsi="Palatino Linotype" w:cs="Palatino Linotype"/>
          <w:i/>
          <w:sz w:val="22"/>
          <w:szCs w:val="22"/>
        </w:rPr>
        <w:t xml:space="preserve">. </w:t>
      </w:r>
      <w:r w:rsidRPr="006E246F">
        <w:rPr>
          <w:rFonts w:ascii="Palatino Linotype" w:eastAsia="Palatino Linotype" w:hAnsi="Palatino Linotype" w:cs="Palatino Linotype"/>
          <w:b/>
          <w:i/>
          <w:sz w:val="22"/>
          <w:szCs w:val="22"/>
        </w:rPr>
        <w:t xml:space="preserve">La obligación de proporcionar información no comprende el procesamiento de la misma, ni el presentarla conforme al interés del solicitante; no estarán obligados a generarla, resumirla, efectuar cálculos o practicar investigaciones”. </w:t>
      </w:r>
    </w:p>
    <w:p w14:paraId="08FB8489" w14:textId="77777777" w:rsidR="00E565A0" w:rsidRPr="006E246F" w:rsidRDefault="00E565A0">
      <w:pPr>
        <w:spacing w:line="360" w:lineRule="auto"/>
        <w:ind w:left="567" w:right="616"/>
        <w:jc w:val="both"/>
        <w:rPr>
          <w:rFonts w:ascii="Palatino Linotype" w:eastAsia="Palatino Linotype" w:hAnsi="Palatino Linotype" w:cs="Palatino Linotype"/>
          <w:i/>
          <w:sz w:val="22"/>
          <w:szCs w:val="22"/>
        </w:rPr>
      </w:pPr>
    </w:p>
    <w:p w14:paraId="341824AE" w14:textId="77777777" w:rsidR="00E565A0" w:rsidRPr="006E246F" w:rsidRDefault="009458BD">
      <w:pPr>
        <w:spacing w:line="360" w:lineRule="auto"/>
        <w:ind w:right="-93"/>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y practicar investigaciones; en otras palabras, que los Sujetos Obligados sólo se concretaran a proporcionar la información solicitada que tengan en su poder en el estado que se encuentran, sin necesidad de concretarse al interés o términos específicos del solicitante.</w:t>
      </w:r>
    </w:p>
    <w:p w14:paraId="1D4407CC" w14:textId="77777777" w:rsidR="00E565A0" w:rsidRPr="006E246F" w:rsidRDefault="00E565A0">
      <w:pPr>
        <w:spacing w:line="360" w:lineRule="auto"/>
        <w:ind w:right="-93"/>
        <w:jc w:val="both"/>
        <w:rPr>
          <w:rFonts w:ascii="Palatino Linotype" w:eastAsia="Palatino Linotype" w:hAnsi="Palatino Linotype" w:cs="Palatino Linotype"/>
          <w:sz w:val="22"/>
          <w:szCs w:val="22"/>
        </w:rPr>
      </w:pPr>
    </w:p>
    <w:p w14:paraId="55EBD5C1" w14:textId="77777777" w:rsidR="00E565A0" w:rsidRPr="006E246F" w:rsidRDefault="009458BD">
      <w:pPr>
        <w:spacing w:line="360" w:lineRule="auto"/>
        <w:jc w:val="both"/>
        <w:rPr>
          <w:rFonts w:ascii="Palatino Linotype" w:eastAsia="Palatino Linotype" w:hAnsi="Palatino Linotype" w:cs="Palatino Linotype"/>
          <w:b/>
          <w:sz w:val="22"/>
          <w:szCs w:val="22"/>
        </w:rPr>
      </w:pPr>
      <w:r w:rsidRPr="006E246F">
        <w:rPr>
          <w:rFonts w:ascii="Palatino Linotype" w:eastAsia="Palatino Linotype" w:hAnsi="Palatino Linotype" w:cs="Palatino Linotype"/>
          <w:sz w:val="22"/>
          <w:szCs w:val="22"/>
        </w:rPr>
        <w:t>Sirve de apoyo a lo anterior, el criterio orientador 03-17, expuesto por el entonces Instituto Nacional de Transparencia, Acceso a la Información y Protección de Datos Personales, que dice:</w:t>
      </w:r>
      <w:r w:rsidRPr="006E246F">
        <w:rPr>
          <w:rFonts w:ascii="Palatino Linotype" w:eastAsia="Palatino Linotype" w:hAnsi="Palatino Linotype" w:cs="Palatino Linotype"/>
          <w:b/>
          <w:sz w:val="22"/>
          <w:szCs w:val="22"/>
        </w:rPr>
        <w:t xml:space="preserve"> </w:t>
      </w:r>
    </w:p>
    <w:p w14:paraId="5374333D" w14:textId="77777777" w:rsidR="00E565A0" w:rsidRPr="006E246F" w:rsidRDefault="009458BD">
      <w:pPr>
        <w:spacing w:line="276" w:lineRule="auto"/>
        <w:ind w:left="567" w:right="616"/>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i/>
          <w:sz w:val="22"/>
          <w:szCs w:val="22"/>
        </w:rPr>
        <w:t>“</w:t>
      </w:r>
      <w:r w:rsidRPr="006E246F">
        <w:rPr>
          <w:rFonts w:ascii="Palatino Linotype" w:eastAsia="Palatino Linotype" w:hAnsi="Palatino Linotype" w:cs="Palatino Linotype"/>
          <w:b/>
          <w:i/>
          <w:sz w:val="22"/>
          <w:szCs w:val="22"/>
        </w:rPr>
        <w:t>No existe obligación de elaborar documentos ad hoc para atender las solicitudes de acceso a la información.</w:t>
      </w:r>
      <w:r w:rsidRPr="006E246F">
        <w:rPr>
          <w:rFonts w:ascii="Palatino Linotype" w:eastAsia="Palatino Linotype" w:hAnsi="Palatino Linotype" w:cs="Palatino Linotype"/>
          <w:i/>
          <w:sz w:val="22"/>
          <w:szCs w:val="22"/>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w:t>
      </w:r>
      <w:r w:rsidRPr="006E246F">
        <w:rPr>
          <w:rFonts w:ascii="Palatino Linotype" w:eastAsia="Palatino Linotype" w:hAnsi="Palatino Linotype" w:cs="Palatino Linotype"/>
          <w:i/>
          <w:sz w:val="22"/>
          <w:szCs w:val="22"/>
        </w:rPr>
        <w:lastRenderedPageBreak/>
        <w:t xml:space="preserve">información del particular, proporcionando la información con la que cuentan en el formato en que la misma obre en sus archivos; sin necesidad de elaborar documentos ad hoc para atender las solicitudes de información”. </w:t>
      </w:r>
    </w:p>
    <w:p w14:paraId="2BDE9B1B" w14:textId="77777777" w:rsidR="00E565A0" w:rsidRPr="006E246F" w:rsidRDefault="00E565A0">
      <w:pPr>
        <w:spacing w:line="360" w:lineRule="auto"/>
        <w:ind w:right="-93"/>
        <w:jc w:val="both"/>
        <w:rPr>
          <w:rFonts w:ascii="Palatino Linotype" w:eastAsia="Palatino Linotype" w:hAnsi="Palatino Linotype" w:cs="Palatino Linotype"/>
          <w:sz w:val="22"/>
          <w:szCs w:val="22"/>
        </w:rPr>
      </w:pPr>
    </w:p>
    <w:p w14:paraId="15F11C86" w14:textId="77777777" w:rsidR="00E565A0" w:rsidRPr="006E246F" w:rsidRDefault="009458BD">
      <w:pPr>
        <w:spacing w:line="360" w:lineRule="auto"/>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En esa tesitura, el artículo 24 en su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5DDFFF9E" w14:textId="77777777" w:rsidR="00E565A0" w:rsidRPr="006E246F" w:rsidRDefault="00E565A0">
      <w:pPr>
        <w:spacing w:line="360" w:lineRule="auto"/>
        <w:jc w:val="both"/>
        <w:rPr>
          <w:rFonts w:ascii="Palatino Linotype" w:eastAsia="Palatino Linotype" w:hAnsi="Palatino Linotype" w:cs="Palatino Linotype"/>
          <w:sz w:val="22"/>
          <w:szCs w:val="22"/>
        </w:rPr>
      </w:pPr>
    </w:p>
    <w:p w14:paraId="755E406A" w14:textId="77777777" w:rsidR="00E565A0" w:rsidRPr="006E246F" w:rsidRDefault="009458BD">
      <w:pPr>
        <w:spacing w:line="360" w:lineRule="auto"/>
        <w:ind w:right="49"/>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BDA118D" w14:textId="77777777" w:rsidR="00E565A0" w:rsidRPr="006E246F" w:rsidRDefault="00E565A0">
      <w:pPr>
        <w:spacing w:line="360" w:lineRule="auto"/>
        <w:ind w:right="49"/>
        <w:jc w:val="both"/>
        <w:rPr>
          <w:rFonts w:ascii="Palatino Linotype" w:eastAsia="Palatino Linotype" w:hAnsi="Palatino Linotype" w:cs="Palatino Linotype"/>
          <w:sz w:val="22"/>
          <w:szCs w:val="22"/>
        </w:rPr>
      </w:pPr>
    </w:p>
    <w:p w14:paraId="37E02F8E" w14:textId="77777777" w:rsidR="00E565A0" w:rsidRPr="006E246F" w:rsidRDefault="009458BD">
      <w:pPr>
        <w:spacing w:line="360" w:lineRule="auto"/>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 xml:space="preserve">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 </w:t>
      </w:r>
    </w:p>
    <w:p w14:paraId="2E8D328E" w14:textId="77777777" w:rsidR="00E565A0" w:rsidRPr="006E246F" w:rsidRDefault="00E565A0">
      <w:pPr>
        <w:spacing w:line="360" w:lineRule="auto"/>
        <w:ind w:left="851" w:right="899"/>
        <w:jc w:val="both"/>
        <w:rPr>
          <w:rFonts w:ascii="Palatino Linotype" w:eastAsia="Palatino Linotype" w:hAnsi="Palatino Linotype" w:cs="Palatino Linotype"/>
          <w:i/>
          <w:sz w:val="22"/>
          <w:szCs w:val="22"/>
        </w:rPr>
      </w:pPr>
    </w:p>
    <w:p w14:paraId="79D92E80" w14:textId="77777777" w:rsidR="00E565A0" w:rsidRPr="006E246F" w:rsidRDefault="009458BD">
      <w:pPr>
        <w:spacing w:line="276" w:lineRule="auto"/>
        <w:ind w:left="567" w:right="616"/>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i/>
          <w:sz w:val="22"/>
          <w:szCs w:val="22"/>
        </w:rPr>
        <w:t>“</w:t>
      </w:r>
      <w:r w:rsidRPr="006E246F">
        <w:rPr>
          <w:rFonts w:ascii="Palatino Linotype" w:eastAsia="Palatino Linotype" w:hAnsi="Palatino Linotype" w:cs="Palatino Linotype"/>
          <w:b/>
          <w:i/>
          <w:sz w:val="22"/>
          <w:szCs w:val="22"/>
        </w:rPr>
        <w:t xml:space="preserve">Artículo 3. </w:t>
      </w:r>
      <w:r w:rsidRPr="006E246F">
        <w:rPr>
          <w:rFonts w:ascii="Palatino Linotype" w:eastAsia="Palatino Linotype" w:hAnsi="Palatino Linotype" w:cs="Palatino Linotype"/>
          <w:i/>
          <w:sz w:val="22"/>
          <w:szCs w:val="22"/>
        </w:rPr>
        <w:t>Para los efectos de la presente Ley se entenderá por:</w:t>
      </w:r>
    </w:p>
    <w:p w14:paraId="1BD9D831" w14:textId="77777777" w:rsidR="00E565A0" w:rsidRPr="006E246F" w:rsidRDefault="009458BD">
      <w:pPr>
        <w:spacing w:line="276" w:lineRule="auto"/>
        <w:ind w:left="567" w:right="616"/>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i/>
          <w:sz w:val="22"/>
          <w:szCs w:val="22"/>
        </w:rPr>
        <w:t>…</w:t>
      </w:r>
    </w:p>
    <w:p w14:paraId="0F4794AA" w14:textId="77777777" w:rsidR="00E565A0" w:rsidRPr="006E246F" w:rsidRDefault="009458BD">
      <w:pPr>
        <w:spacing w:line="276" w:lineRule="auto"/>
        <w:ind w:left="567" w:right="616"/>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b/>
          <w:i/>
          <w:sz w:val="22"/>
          <w:szCs w:val="22"/>
        </w:rPr>
        <w:lastRenderedPageBreak/>
        <w:t>XI. Documento:</w:t>
      </w:r>
      <w:r w:rsidRPr="006E246F">
        <w:rPr>
          <w:rFonts w:ascii="Palatino Linotype" w:eastAsia="Palatino Linotype" w:hAnsi="Palatino Linotype" w:cs="Palatino Linotype"/>
          <w:i/>
          <w:sz w:val="22"/>
          <w:szCs w:val="22"/>
        </w:rPr>
        <w:t xml:space="preserve"> Los expedientes, reportes, estudios, actas</w:t>
      </w:r>
      <w:r w:rsidRPr="006E246F">
        <w:rPr>
          <w:rFonts w:ascii="Palatino Linotype" w:eastAsia="Palatino Linotype" w:hAnsi="Palatino Linotype" w:cs="Palatino Linotype"/>
          <w:b/>
          <w:i/>
          <w:sz w:val="22"/>
          <w:szCs w:val="22"/>
        </w:rPr>
        <w:t>,</w:t>
      </w:r>
      <w:r w:rsidRPr="006E246F">
        <w:rPr>
          <w:rFonts w:ascii="Palatino Linotype" w:eastAsia="Palatino Linotype" w:hAnsi="Palatino Linotype" w:cs="Palatino Linotype"/>
          <w:i/>
          <w:sz w:val="22"/>
          <w:szCs w:val="22"/>
        </w:rPr>
        <w:t xml:space="preserve">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 </w:t>
      </w:r>
    </w:p>
    <w:p w14:paraId="481EEE76" w14:textId="77777777" w:rsidR="00E565A0" w:rsidRPr="006E246F" w:rsidRDefault="00E565A0">
      <w:pPr>
        <w:spacing w:line="360" w:lineRule="auto"/>
        <w:ind w:left="851" w:right="899"/>
        <w:jc w:val="both"/>
        <w:rPr>
          <w:rFonts w:ascii="Palatino Linotype" w:eastAsia="Palatino Linotype" w:hAnsi="Palatino Linotype" w:cs="Palatino Linotype"/>
          <w:sz w:val="22"/>
          <w:szCs w:val="22"/>
        </w:rPr>
      </w:pPr>
    </w:p>
    <w:p w14:paraId="65AF0140" w14:textId="77777777" w:rsidR="00E565A0" w:rsidRPr="006E246F" w:rsidRDefault="009458BD">
      <w:pPr>
        <w:spacing w:line="360" w:lineRule="auto"/>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05CFF308" w14:textId="77777777" w:rsidR="00E565A0" w:rsidRPr="006E246F" w:rsidRDefault="00E565A0">
      <w:pPr>
        <w:spacing w:line="360" w:lineRule="auto"/>
        <w:jc w:val="both"/>
        <w:rPr>
          <w:rFonts w:ascii="Palatino Linotype" w:eastAsia="Palatino Linotype" w:hAnsi="Palatino Linotype" w:cs="Palatino Linotype"/>
          <w:sz w:val="22"/>
          <w:szCs w:val="22"/>
        </w:rPr>
      </w:pPr>
    </w:p>
    <w:p w14:paraId="15AB3A46" w14:textId="77777777" w:rsidR="00E565A0" w:rsidRPr="006E246F" w:rsidRDefault="009458BD">
      <w:pPr>
        <w:spacing w:line="276" w:lineRule="auto"/>
        <w:ind w:left="567" w:right="616"/>
        <w:jc w:val="both"/>
        <w:rPr>
          <w:rFonts w:ascii="Palatino Linotype" w:eastAsia="Palatino Linotype" w:hAnsi="Palatino Linotype" w:cs="Palatino Linotype"/>
          <w:b/>
          <w:i/>
          <w:sz w:val="22"/>
          <w:szCs w:val="22"/>
        </w:rPr>
      </w:pPr>
      <w:r w:rsidRPr="006E246F">
        <w:rPr>
          <w:rFonts w:ascii="Palatino Linotype" w:eastAsia="Palatino Linotype" w:hAnsi="Palatino Linotype" w:cs="Palatino Linotype"/>
          <w:b/>
          <w:sz w:val="22"/>
          <w:szCs w:val="22"/>
        </w:rPr>
        <w:t>“</w:t>
      </w:r>
      <w:r w:rsidRPr="006E246F">
        <w:rPr>
          <w:rFonts w:ascii="Palatino Linotype" w:eastAsia="Palatino Linotype" w:hAnsi="Palatino Linotype" w:cs="Palatino Linotype"/>
          <w:b/>
          <w:i/>
          <w:sz w:val="22"/>
          <w:szCs w:val="22"/>
        </w:rPr>
        <w:t>CRITERIO 0002-11. INFORMACIÓN PÚBLICA, CONCEPTO DE, EN MATERIA DE TRANSPARENCIA. INTERPRETACIÓN SISTEMÁTICA DE LOS ARTÍCULOS 2°, FRACCIÓN V, XV, Y XVI, 3°, 4°, 11 Y 41.</w:t>
      </w:r>
      <w:r w:rsidRPr="006E246F">
        <w:rPr>
          <w:rFonts w:ascii="Palatino Linotype" w:eastAsia="Palatino Linotype" w:hAnsi="Palatino Linotype" w:cs="Palatino Linotype"/>
          <w:i/>
          <w:sz w:val="22"/>
          <w:szCs w:val="22"/>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4E74407" w14:textId="77777777" w:rsidR="00E565A0" w:rsidRPr="006E246F" w:rsidRDefault="009458BD">
      <w:pPr>
        <w:spacing w:line="276" w:lineRule="auto"/>
        <w:ind w:left="567" w:right="616"/>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i/>
          <w:sz w:val="22"/>
          <w:szCs w:val="22"/>
        </w:rPr>
        <w:t xml:space="preserve">En </w:t>
      </w:r>
      <w:proofErr w:type="gramStart"/>
      <w:r w:rsidRPr="006E246F">
        <w:rPr>
          <w:rFonts w:ascii="Palatino Linotype" w:eastAsia="Palatino Linotype" w:hAnsi="Palatino Linotype" w:cs="Palatino Linotype"/>
          <w:i/>
          <w:sz w:val="22"/>
          <w:szCs w:val="22"/>
        </w:rPr>
        <w:t>consecuencia</w:t>
      </w:r>
      <w:proofErr w:type="gramEnd"/>
      <w:r w:rsidRPr="006E246F">
        <w:rPr>
          <w:rFonts w:ascii="Palatino Linotype" w:eastAsia="Palatino Linotype" w:hAnsi="Palatino Linotype" w:cs="Palatino Linotype"/>
          <w:i/>
          <w:sz w:val="22"/>
          <w:szCs w:val="22"/>
        </w:rPr>
        <w:t xml:space="preserve"> el acceso a la información se refiere a que se cumplan cualquiera de los siguientes tres supuestos:</w:t>
      </w:r>
    </w:p>
    <w:p w14:paraId="1729AE04" w14:textId="77777777" w:rsidR="00E565A0" w:rsidRPr="006E246F" w:rsidRDefault="009458BD">
      <w:pPr>
        <w:spacing w:line="276" w:lineRule="auto"/>
        <w:ind w:left="567" w:right="616"/>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i/>
          <w:sz w:val="22"/>
          <w:szCs w:val="22"/>
        </w:rPr>
        <w:t xml:space="preserve">1) Que se trate de información registrada en cualquier soporte documental, </w:t>
      </w:r>
      <w:proofErr w:type="gramStart"/>
      <w:r w:rsidRPr="006E246F">
        <w:rPr>
          <w:rFonts w:ascii="Palatino Linotype" w:eastAsia="Palatino Linotype" w:hAnsi="Palatino Linotype" w:cs="Palatino Linotype"/>
          <w:i/>
          <w:sz w:val="22"/>
          <w:szCs w:val="22"/>
        </w:rPr>
        <w:t>que</w:t>
      </w:r>
      <w:proofErr w:type="gramEnd"/>
      <w:r w:rsidRPr="006E246F">
        <w:rPr>
          <w:rFonts w:ascii="Palatino Linotype" w:eastAsia="Palatino Linotype" w:hAnsi="Palatino Linotype" w:cs="Palatino Linotype"/>
          <w:i/>
          <w:sz w:val="22"/>
          <w:szCs w:val="22"/>
        </w:rPr>
        <w:t xml:space="preserve"> en ejercicio de las atribuciones conferidas, sea generada por los Sujetos Obligados;</w:t>
      </w:r>
    </w:p>
    <w:p w14:paraId="35059164" w14:textId="77777777" w:rsidR="00E565A0" w:rsidRPr="006E246F" w:rsidRDefault="009458BD">
      <w:pPr>
        <w:spacing w:line="276" w:lineRule="auto"/>
        <w:ind w:left="567" w:right="616"/>
        <w:jc w:val="both"/>
        <w:rPr>
          <w:rFonts w:ascii="Palatino Linotype" w:eastAsia="Palatino Linotype" w:hAnsi="Palatino Linotype" w:cs="Palatino Linotype"/>
          <w:b/>
          <w:i/>
          <w:sz w:val="22"/>
          <w:szCs w:val="22"/>
        </w:rPr>
      </w:pPr>
      <w:r w:rsidRPr="006E246F">
        <w:rPr>
          <w:rFonts w:ascii="Palatino Linotype" w:eastAsia="Palatino Linotype" w:hAnsi="Palatino Linotype" w:cs="Palatino Linotype"/>
          <w:b/>
          <w:i/>
          <w:sz w:val="22"/>
          <w:szCs w:val="22"/>
        </w:rPr>
        <w:t xml:space="preserve">2) Que se trate de información registrada en cualquier soporte documental, </w:t>
      </w:r>
      <w:proofErr w:type="gramStart"/>
      <w:r w:rsidRPr="006E246F">
        <w:rPr>
          <w:rFonts w:ascii="Palatino Linotype" w:eastAsia="Palatino Linotype" w:hAnsi="Palatino Linotype" w:cs="Palatino Linotype"/>
          <w:b/>
          <w:i/>
          <w:sz w:val="22"/>
          <w:szCs w:val="22"/>
        </w:rPr>
        <w:t>que</w:t>
      </w:r>
      <w:proofErr w:type="gramEnd"/>
      <w:r w:rsidRPr="006E246F">
        <w:rPr>
          <w:rFonts w:ascii="Palatino Linotype" w:eastAsia="Palatino Linotype" w:hAnsi="Palatino Linotype" w:cs="Palatino Linotype"/>
          <w:b/>
          <w:i/>
          <w:sz w:val="22"/>
          <w:szCs w:val="22"/>
        </w:rPr>
        <w:t xml:space="preserve"> en ejercicio de las atribuciones conferidas, sea administrada por los Sujetos Obligados, y</w:t>
      </w:r>
    </w:p>
    <w:p w14:paraId="31A77D2D" w14:textId="77777777" w:rsidR="00E565A0" w:rsidRPr="006E246F" w:rsidRDefault="009458BD">
      <w:pPr>
        <w:spacing w:line="276" w:lineRule="auto"/>
        <w:ind w:left="567" w:right="616"/>
        <w:jc w:val="both"/>
        <w:rPr>
          <w:rFonts w:ascii="Palatino Linotype" w:eastAsia="Palatino Linotype" w:hAnsi="Palatino Linotype" w:cs="Palatino Linotype"/>
          <w:b/>
          <w:i/>
          <w:sz w:val="22"/>
          <w:szCs w:val="22"/>
        </w:rPr>
      </w:pPr>
      <w:r w:rsidRPr="006E246F">
        <w:rPr>
          <w:rFonts w:ascii="Palatino Linotype" w:eastAsia="Palatino Linotype" w:hAnsi="Palatino Linotype" w:cs="Palatino Linotype"/>
          <w:b/>
          <w:i/>
          <w:sz w:val="22"/>
          <w:szCs w:val="22"/>
        </w:rPr>
        <w:t xml:space="preserve">3) Que se trate de información registrada en cualquier soporte documental, </w:t>
      </w:r>
      <w:proofErr w:type="gramStart"/>
      <w:r w:rsidRPr="006E246F">
        <w:rPr>
          <w:rFonts w:ascii="Palatino Linotype" w:eastAsia="Palatino Linotype" w:hAnsi="Palatino Linotype" w:cs="Palatino Linotype"/>
          <w:b/>
          <w:i/>
          <w:sz w:val="22"/>
          <w:szCs w:val="22"/>
        </w:rPr>
        <w:t>que</w:t>
      </w:r>
      <w:proofErr w:type="gramEnd"/>
      <w:r w:rsidRPr="006E246F">
        <w:rPr>
          <w:rFonts w:ascii="Palatino Linotype" w:eastAsia="Palatino Linotype" w:hAnsi="Palatino Linotype" w:cs="Palatino Linotype"/>
          <w:b/>
          <w:i/>
          <w:sz w:val="22"/>
          <w:szCs w:val="22"/>
        </w:rPr>
        <w:t xml:space="preserve"> en ejercicio de las atribuciones conferidas, se encuentre en posesión de los Sujetos Obligados.” </w:t>
      </w:r>
    </w:p>
    <w:p w14:paraId="0179E4A5" w14:textId="77777777" w:rsidR="00E565A0" w:rsidRPr="006E246F" w:rsidRDefault="00E565A0">
      <w:pPr>
        <w:spacing w:line="276" w:lineRule="auto"/>
        <w:ind w:left="567" w:right="616"/>
        <w:jc w:val="both"/>
        <w:rPr>
          <w:rFonts w:ascii="Palatino Linotype" w:eastAsia="Palatino Linotype" w:hAnsi="Palatino Linotype" w:cs="Palatino Linotype"/>
          <w:b/>
          <w:i/>
          <w:sz w:val="22"/>
          <w:szCs w:val="22"/>
        </w:rPr>
      </w:pPr>
    </w:p>
    <w:p w14:paraId="3C453162" w14:textId="77777777" w:rsidR="00E565A0" w:rsidRPr="006E246F" w:rsidRDefault="009458BD">
      <w:pPr>
        <w:spacing w:line="360" w:lineRule="auto"/>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lastRenderedPageBreak/>
        <w:t xml:space="preserve">De ahí que el </w:t>
      </w:r>
      <w:r w:rsidRPr="006E246F">
        <w:rPr>
          <w:rFonts w:ascii="Palatino Linotype" w:eastAsia="Palatino Linotype" w:hAnsi="Palatino Linotype" w:cs="Palatino Linotype"/>
          <w:b/>
          <w:sz w:val="22"/>
          <w:szCs w:val="22"/>
        </w:rPr>
        <w:t>Sujeto Obligado</w:t>
      </w:r>
      <w:r w:rsidRPr="006E246F">
        <w:rPr>
          <w:rFonts w:ascii="Palatino Linotype" w:eastAsia="Palatino Linotype" w:hAnsi="Palatino Linotype" w:cs="Palatino Linotype"/>
          <w:sz w:val="22"/>
          <w:szCs w:val="22"/>
        </w:rPr>
        <w:t xml:space="preserve"> cuenta con el deber de satisfacer las solicitudes de acceso a la información que le sean formuladas y entregar la información pública que obre en sus archivos pudiendo ser de manera electrónica; más aún si la misma se trata de información relativa a obligaciones de transparencia, la cual se relaciona con aquella que se genere de acuerdo con sus facultades, atribuciones y obligaciones señaladas por la Ley en la materia</w:t>
      </w:r>
      <w:r w:rsidRPr="006E246F">
        <w:rPr>
          <w:rFonts w:ascii="Palatino Linotype" w:eastAsia="Palatino Linotype" w:hAnsi="Palatino Linotype" w:cs="Palatino Linotype"/>
          <w:sz w:val="22"/>
          <w:szCs w:val="22"/>
          <w:vertAlign w:val="superscript"/>
        </w:rPr>
        <w:footnoteReference w:id="1"/>
      </w:r>
      <w:r w:rsidRPr="006E246F">
        <w:rPr>
          <w:rFonts w:ascii="Palatino Linotype" w:eastAsia="Palatino Linotype" w:hAnsi="Palatino Linotype" w:cs="Palatino Linotype"/>
          <w:sz w:val="22"/>
          <w:szCs w:val="22"/>
        </w:rPr>
        <w:t>, así como de interés público, es decir, aquella que resulta relevante o beneficiosa para la sociedad y no simplemente de interés individual, y cuya divulgación resulta útil para que el público comprenda las actividades que llevan a cabo los Sujetos Obligados</w:t>
      </w:r>
      <w:r w:rsidRPr="006E246F">
        <w:rPr>
          <w:rFonts w:ascii="Palatino Linotype" w:eastAsia="Palatino Linotype" w:hAnsi="Palatino Linotype" w:cs="Palatino Linotype"/>
          <w:sz w:val="22"/>
          <w:szCs w:val="22"/>
          <w:vertAlign w:val="superscript"/>
        </w:rPr>
        <w:footnoteReference w:id="2"/>
      </w:r>
      <w:r w:rsidRPr="006E246F">
        <w:rPr>
          <w:rFonts w:ascii="Palatino Linotype" w:eastAsia="Palatino Linotype" w:hAnsi="Palatino Linotype" w:cs="Palatino Linotype"/>
          <w:sz w:val="22"/>
          <w:szCs w:val="22"/>
        </w:rPr>
        <w:t>, como pudiera tratarse de aquella relacionada con las obligaciones de transparencia señaladas en los artículos 92 y 100 de la Ley de la Materia.</w:t>
      </w:r>
    </w:p>
    <w:p w14:paraId="45845338" w14:textId="77777777" w:rsidR="00E565A0" w:rsidRPr="006E246F" w:rsidRDefault="00E565A0">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00796FC0" w14:textId="77777777" w:rsidR="00E565A0" w:rsidRPr="006E246F" w:rsidRDefault="009458BD">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bookmarkStart w:id="8" w:name="_heading=h.1y810tw" w:colFirst="0" w:colLast="0"/>
      <w:bookmarkEnd w:id="8"/>
      <w:r w:rsidRPr="006E246F">
        <w:rPr>
          <w:rFonts w:ascii="Palatino Linotype" w:eastAsia="Palatino Linotype" w:hAnsi="Palatino Linotype" w:cs="Palatino Linotype"/>
          <w:sz w:val="22"/>
          <w:szCs w:val="22"/>
        </w:rPr>
        <w:t xml:space="preserve">Conviene iniciar el presente estudio señalando que, del análisis a la solicitud de información se advierte que la persona solicitante requirió del </w:t>
      </w:r>
      <w:r w:rsidRPr="006E246F">
        <w:rPr>
          <w:rFonts w:ascii="Palatino Linotype" w:eastAsia="Palatino Linotype" w:hAnsi="Palatino Linotype" w:cs="Palatino Linotype"/>
          <w:b/>
          <w:sz w:val="22"/>
          <w:szCs w:val="22"/>
        </w:rPr>
        <w:t>Sujeto Obligado</w:t>
      </w:r>
      <w:r w:rsidRPr="006E246F">
        <w:rPr>
          <w:rFonts w:ascii="Palatino Linotype" w:eastAsia="Palatino Linotype" w:hAnsi="Palatino Linotype" w:cs="Palatino Linotype"/>
          <w:sz w:val="22"/>
          <w:szCs w:val="22"/>
        </w:rPr>
        <w:t xml:space="preserve">, respecto </w:t>
      </w:r>
      <w:r w:rsidRPr="006E246F">
        <w:rPr>
          <w:rFonts w:ascii="Palatino Linotype" w:eastAsia="Palatino Linotype" w:hAnsi="Palatino Linotype" w:cs="Palatino Linotype"/>
          <w:b/>
          <w:sz w:val="22"/>
          <w:szCs w:val="22"/>
        </w:rPr>
        <w:t>de las</w:t>
      </w:r>
      <w:r w:rsidRPr="006E246F">
        <w:rPr>
          <w:rFonts w:ascii="Palatino Linotype" w:eastAsia="Palatino Linotype" w:hAnsi="Palatino Linotype" w:cs="Palatino Linotype"/>
          <w:sz w:val="22"/>
          <w:szCs w:val="22"/>
        </w:rPr>
        <w:t xml:space="preserve"> </w:t>
      </w:r>
      <w:r w:rsidRPr="006E246F">
        <w:rPr>
          <w:rFonts w:ascii="Palatino Linotype" w:eastAsia="Palatino Linotype" w:hAnsi="Palatino Linotype" w:cs="Palatino Linotype"/>
          <w:b/>
          <w:sz w:val="22"/>
          <w:szCs w:val="22"/>
        </w:rPr>
        <w:t xml:space="preserve">operadoras de transporte público, </w:t>
      </w:r>
      <w:r w:rsidRPr="006E246F">
        <w:rPr>
          <w:rFonts w:ascii="Palatino Linotype" w:eastAsia="Palatino Linotype" w:hAnsi="Palatino Linotype" w:cs="Palatino Linotype"/>
          <w:sz w:val="22"/>
          <w:szCs w:val="22"/>
        </w:rPr>
        <w:t>lo siguiente:</w:t>
      </w:r>
    </w:p>
    <w:p w14:paraId="4DC0DB83" w14:textId="77777777" w:rsidR="00E565A0" w:rsidRPr="006E246F" w:rsidRDefault="00E565A0">
      <w:pPr>
        <w:pBdr>
          <w:top w:val="nil"/>
          <w:left w:val="nil"/>
          <w:bottom w:val="nil"/>
          <w:right w:val="nil"/>
          <w:between w:val="nil"/>
        </w:pBdr>
        <w:spacing w:line="360" w:lineRule="auto"/>
        <w:ind w:right="-150"/>
        <w:jc w:val="both"/>
        <w:rPr>
          <w:rFonts w:ascii="Palatino Linotype" w:eastAsia="Palatino Linotype" w:hAnsi="Palatino Linotype" w:cs="Palatino Linotype"/>
          <w:sz w:val="22"/>
          <w:szCs w:val="22"/>
        </w:rPr>
      </w:pPr>
    </w:p>
    <w:p w14:paraId="7AB2045C" w14:textId="77777777" w:rsidR="00E565A0" w:rsidRPr="006E246F" w:rsidRDefault="009458BD">
      <w:pPr>
        <w:numPr>
          <w:ilvl w:val="3"/>
          <w:numId w:val="1"/>
        </w:numPr>
        <w:pBdr>
          <w:top w:val="nil"/>
          <w:left w:val="nil"/>
          <w:bottom w:val="nil"/>
          <w:right w:val="nil"/>
          <w:between w:val="nil"/>
        </w:pBdr>
        <w:spacing w:line="360" w:lineRule="auto"/>
        <w:ind w:left="426" w:right="-150"/>
        <w:jc w:val="both"/>
        <w:rPr>
          <w:rFonts w:ascii="Palatino Linotype" w:eastAsia="Palatino Linotype" w:hAnsi="Palatino Linotype" w:cs="Palatino Linotype"/>
          <w:b/>
          <w:sz w:val="22"/>
          <w:szCs w:val="22"/>
        </w:rPr>
      </w:pPr>
      <w:r w:rsidRPr="006E246F">
        <w:rPr>
          <w:rFonts w:ascii="Palatino Linotype" w:eastAsia="Palatino Linotype" w:hAnsi="Palatino Linotype" w:cs="Palatino Linotype"/>
          <w:b/>
          <w:sz w:val="22"/>
          <w:szCs w:val="22"/>
        </w:rPr>
        <w:t>Nombre completo;</w:t>
      </w:r>
    </w:p>
    <w:p w14:paraId="1A5E2593" w14:textId="77777777" w:rsidR="00E565A0" w:rsidRPr="006E246F" w:rsidRDefault="009458BD">
      <w:pPr>
        <w:numPr>
          <w:ilvl w:val="3"/>
          <w:numId w:val="1"/>
        </w:numPr>
        <w:pBdr>
          <w:top w:val="nil"/>
          <w:left w:val="nil"/>
          <w:bottom w:val="nil"/>
          <w:right w:val="nil"/>
          <w:between w:val="nil"/>
        </w:pBdr>
        <w:spacing w:line="360" w:lineRule="auto"/>
        <w:ind w:left="426" w:right="-150"/>
        <w:jc w:val="both"/>
        <w:rPr>
          <w:rFonts w:ascii="Palatino Linotype" w:eastAsia="Palatino Linotype" w:hAnsi="Palatino Linotype" w:cs="Palatino Linotype"/>
          <w:b/>
          <w:sz w:val="22"/>
          <w:szCs w:val="22"/>
        </w:rPr>
      </w:pPr>
      <w:r w:rsidRPr="006E246F">
        <w:rPr>
          <w:rFonts w:ascii="Palatino Linotype" w:eastAsia="Palatino Linotype" w:hAnsi="Palatino Linotype" w:cs="Palatino Linotype"/>
          <w:b/>
          <w:sz w:val="22"/>
          <w:szCs w:val="22"/>
        </w:rPr>
        <w:t>Las capacitaciones o certificaciones impartidas u otorgadas para ser operadoras en los últimos 2 años;</w:t>
      </w:r>
    </w:p>
    <w:p w14:paraId="28D43E76" w14:textId="77777777" w:rsidR="00E565A0" w:rsidRPr="006E246F" w:rsidRDefault="009458BD">
      <w:pPr>
        <w:numPr>
          <w:ilvl w:val="3"/>
          <w:numId w:val="1"/>
        </w:numPr>
        <w:pBdr>
          <w:top w:val="nil"/>
          <w:left w:val="nil"/>
          <w:bottom w:val="nil"/>
          <w:right w:val="nil"/>
          <w:between w:val="nil"/>
        </w:pBdr>
        <w:spacing w:line="360" w:lineRule="auto"/>
        <w:ind w:left="426" w:right="-150"/>
        <w:jc w:val="both"/>
        <w:rPr>
          <w:rFonts w:ascii="Palatino Linotype" w:eastAsia="Palatino Linotype" w:hAnsi="Palatino Linotype" w:cs="Palatino Linotype"/>
          <w:b/>
          <w:sz w:val="22"/>
          <w:szCs w:val="22"/>
        </w:rPr>
      </w:pPr>
      <w:r w:rsidRPr="006E246F">
        <w:rPr>
          <w:rFonts w:ascii="Palatino Linotype" w:eastAsia="Palatino Linotype" w:hAnsi="Palatino Linotype" w:cs="Palatino Linotype"/>
          <w:b/>
          <w:sz w:val="22"/>
          <w:szCs w:val="22"/>
        </w:rPr>
        <w:t>Licencia de manejo; y,</w:t>
      </w:r>
    </w:p>
    <w:p w14:paraId="716D0856" w14:textId="77777777" w:rsidR="00E565A0" w:rsidRPr="006E246F" w:rsidRDefault="009458BD">
      <w:pPr>
        <w:numPr>
          <w:ilvl w:val="3"/>
          <w:numId w:val="1"/>
        </w:numPr>
        <w:pBdr>
          <w:top w:val="nil"/>
          <w:left w:val="nil"/>
          <w:bottom w:val="nil"/>
          <w:right w:val="nil"/>
          <w:between w:val="nil"/>
        </w:pBdr>
        <w:spacing w:line="360" w:lineRule="auto"/>
        <w:ind w:left="426" w:right="-150"/>
        <w:jc w:val="both"/>
        <w:rPr>
          <w:rFonts w:ascii="Palatino Linotype" w:eastAsia="Palatino Linotype" w:hAnsi="Palatino Linotype" w:cs="Palatino Linotype"/>
          <w:b/>
          <w:sz w:val="22"/>
          <w:szCs w:val="22"/>
        </w:rPr>
      </w:pPr>
      <w:r w:rsidRPr="006E246F">
        <w:rPr>
          <w:rFonts w:ascii="Palatino Linotype" w:eastAsia="Palatino Linotype" w:hAnsi="Palatino Linotype" w:cs="Palatino Linotype"/>
          <w:b/>
          <w:sz w:val="22"/>
          <w:szCs w:val="22"/>
        </w:rPr>
        <w:t xml:space="preserve">Ruta a la que pertenecen. </w:t>
      </w:r>
    </w:p>
    <w:p w14:paraId="7EE5B26A" w14:textId="77777777" w:rsidR="00E565A0" w:rsidRPr="006E246F" w:rsidRDefault="00E565A0">
      <w:pPr>
        <w:pBdr>
          <w:top w:val="nil"/>
          <w:left w:val="nil"/>
          <w:bottom w:val="nil"/>
          <w:right w:val="nil"/>
          <w:between w:val="nil"/>
        </w:pBdr>
        <w:spacing w:line="360" w:lineRule="auto"/>
        <w:ind w:left="426" w:right="-150"/>
        <w:jc w:val="both"/>
        <w:rPr>
          <w:rFonts w:ascii="Palatino Linotype" w:eastAsia="Palatino Linotype" w:hAnsi="Palatino Linotype" w:cs="Palatino Linotype"/>
          <w:sz w:val="22"/>
          <w:szCs w:val="22"/>
        </w:rPr>
      </w:pPr>
    </w:p>
    <w:p w14:paraId="4CFA915B" w14:textId="77777777" w:rsidR="00E565A0" w:rsidRPr="006E246F" w:rsidRDefault="009458B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lastRenderedPageBreak/>
        <w:t xml:space="preserve">En respuesta, el </w:t>
      </w:r>
      <w:r w:rsidRPr="006E246F">
        <w:rPr>
          <w:rFonts w:ascii="Palatino Linotype" w:eastAsia="Palatino Linotype" w:hAnsi="Palatino Linotype" w:cs="Palatino Linotype"/>
          <w:b/>
          <w:sz w:val="22"/>
          <w:szCs w:val="22"/>
        </w:rPr>
        <w:t xml:space="preserve">Sujeto Obligado </w:t>
      </w:r>
      <w:r w:rsidRPr="006E246F">
        <w:rPr>
          <w:rFonts w:ascii="Palatino Linotype" w:eastAsia="Palatino Linotype" w:hAnsi="Palatino Linotype" w:cs="Palatino Linotype"/>
          <w:sz w:val="22"/>
          <w:szCs w:val="22"/>
        </w:rPr>
        <w:t xml:space="preserve">se pronunció por conducto de </w:t>
      </w:r>
      <w:proofErr w:type="gramStart"/>
      <w:r w:rsidRPr="006E246F">
        <w:rPr>
          <w:rFonts w:ascii="Palatino Linotype" w:eastAsia="Palatino Linotype" w:hAnsi="Palatino Linotype" w:cs="Palatino Linotype"/>
          <w:sz w:val="22"/>
          <w:szCs w:val="22"/>
        </w:rPr>
        <w:t>Subdirector</w:t>
      </w:r>
      <w:proofErr w:type="gramEnd"/>
      <w:r w:rsidRPr="006E246F">
        <w:rPr>
          <w:rFonts w:ascii="Palatino Linotype" w:eastAsia="Palatino Linotype" w:hAnsi="Palatino Linotype" w:cs="Palatino Linotype"/>
          <w:sz w:val="22"/>
          <w:szCs w:val="22"/>
        </w:rPr>
        <w:t xml:space="preserve"> de Normatividad y Capacitación del Instituto del Transporte del Estado de México, de la Subsecretaría de Movilidad, Dirección del Registro de Licencias y Operadores, así como por las Direcciones Generales de Movilidad Zonas I, II, III y VI, en los términos indicados en el antecedente sexto de la presente resolución, la cual será objeto de análisis más adelante.</w:t>
      </w:r>
    </w:p>
    <w:p w14:paraId="43A72BD9" w14:textId="77777777" w:rsidR="00E565A0" w:rsidRPr="006E246F" w:rsidRDefault="00E565A0">
      <w:pPr>
        <w:pBdr>
          <w:top w:val="nil"/>
          <w:left w:val="nil"/>
          <w:bottom w:val="nil"/>
          <w:right w:val="nil"/>
          <w:between w:val="nil"/>
        </w:pBdr>
        <w:spacing w:line="360" w:lineRule="auto"/>
        <w:ind w:left="360" w:hanging="360"/>
        <w:jc w:val="both"/>
        <w:rPr>
          <w:rFonts w:ascii="Palatino Linotype" w:eastAsia="Palatino Linotype" w:hAnsi="Palatino Linotype" w:cs="Palatino Linotype"/>
          <w:sz w:val="22"/>
          <w:szCs w:val="22"/>
        </w:rPr>
      </w:pPr>
    </w:p>
    <w:p w14:paraId="7F49EADC" w14:textId="77777777" w:rsidR="00E565A0" w:rsidRPr="006E246F" w:rsidRDefault="009458BD">
      <w:pPr>
        <w:spacing w:line="360" w:lineRule="auto"/>
        <w:ind w:right="49"/>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 xml:space="preserve">Inconforme con la respuesta, la parte </w:t>
      </w:r>
      <w:r w:rsidRPr="006E246F">
        <w:rPr>
          <w:rFonts w:ascii="Palatino Linotype" w:eastAsia="Palatino Linotype" w:hAnsi="Palatino Linotype" w:cs="Palatino Linotype"/>
          <w:b/>
          <w:sz w:val="22"/>
          <w:szCs w:val="22"/>
        </w:rPr>
        <w:t xml:space="preserve">Recurrente </w:t>
      </w:r>
      <w:r w:rsidRPr="006E246F">
        <w:rPr>
          <w:rFonts w:ascii="Palatino Linotype" w:eastAsia="Palatino Linotype" w:hAnsi="Palatino Linotype" w:cs="Palatino Linotype"/>
          <w:sz w:val="22"/>
          <w:szCs w:val="22"/>
        </w:rPr>
        <w:t xml:space="preserve">promovió el presente recurso de revisión en el que a manera de motivos de inconformidad </w:t>
      </w:r>
      <w:r w:rsidRPr="006E246F">
        <w:rPr>
          <w:rFonts w:ascii="Palatino Linotype" w:eastAsia="Palatino Linotype" w:hAnsi="Palatino Linotype" w:cs="Palatino Linotype"/>
          <w:b/>
          <w:sz w:val="22"/>
          <w:szCs w:val="22"/>
        </w:rPr>
        <w:t>se adolece medularmente de la negativa a la entrega de lo solicitado.</w:t>
      </w:r>
    </w:p>
    <w:p w14:paraId="51C4019E" w14:textId="77777777" w:rsidR="00E565A0" w:rsidRPr="006E246F" w:rsidRDefault="00E565A0">
      <w:pPr>
        <w:spacing w:line="360" w:lineRule="auto"/>
        <w:ind w:right="49"/>
        <w:jc w:val="both"/>
        <w:rPr>
          <w:rFonts w:ascii="Palatino Linotype" w:eastAsia="Palatino Linotype" w:hAnsi="Palatino Linotype" w:cs="Palatino Linotype"/>
          <w:sz w:val="22"/>
          <w:szCs w:val="22"/>
        </w:rPr>
      </w:pPr>
    </w:p>
    <w:p w14:paraId="677EE270" w14:textId="77777777" w:rsidR="00E565A0" w:rsidRPr="006E246F" w:rsidRDefault="009458BD">
      <w:pPr>
        <w:spacing w:line="360" w:lineRule="auto"/>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Admitido el presente recurso de revisión, en términos del artículo 185 fracción II</w:t>
      </w:r>
      <w:r w:rsidRPr="006E246F">
        <w:rPr>
          <w:rFonts w:ascii="Palatino Linotype" w:eastAsia="Palatino Linotype" w:hAnsi="Palatino Linotype" w:cs="Palatino Linotype"/>
          <w:sz w:val="22"/>
          <w:szCs w:val="22"/>
          <w:vertAlign w:val="superscript"/>
        </w:rPr>
        <w:footnoteReference w:id="3"/>
      </w:r>
      <w:r w:rsidRPr="006E246F">
        <w:rPr>
          <w:rFonts w:ascii="Palatino Linotype" w:eastAsia="Palatino Linotype" w:hAnsi="Palatino Linotype" w:cs="Palatino Linotype"/>
          <w:sz w:val="22"/>
          <w:szCs w:val="22"/>
        </w:rPr>
        <w:t xml:space="preserve"> de la Ley de Transparencia y Acceso a la Información Pública del Estado de México y Municipios, se integró el expediente y se puso a disposición de las partes para que, en un plazo máximo de siete días hábiles, manifestaran lo que a su derecho resultara conveniente.</w:t>
      </w:r>
    </w:p>
    <w:p w14:paraId="09C1CCF0" w14:textId="77777777" w:rsidR="00E565A0" w:rsidRPr="006E246F" w:rsidRDefault="00E565A0">
      <w:pPr>
        <w:spacing w:line="360" w:lineRule="auto"/>
        <w:jc w:val="both"/>
        <w:rPr>
          <w:rFonts w:ascii="Palatino Linotype" w:eastAsia="Palatino Linotype" w:hAnsi="Palatino Linotype" w:cs="Palatino Linotype"/>
          <w:sz w:val="22"/>
          <w:szCs w:val="22"/>
        </w:rPr>
      </w:pPr>
    </w:p>
    <w:p w14:paraId="6ADFDC64" w14:textId="77777777" w:rsidR="00E565A0" w:rsidRPr="006E246F" w:rsidRDefault="009458BD">
      <w:pPr>
        <w:spacing w:line="360" w:lineRule="auto"/>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Cabe resaltar que, durante la etapa de manifestaciones</w:t>
      </w:r>
      <w:r w:rsidRPr="006E246F">
        <w:rPr>
          <w:rFonts w:ascii="Palatino Linotype" w:eastAsia="Palatino Linotype" w:hAnsi="Palatino Linotype" w:cs="Palatino Linotype"/>
          <w:b/>
          <w:sz w:val="22"/>
          <w:szCs w:val="22"/>
        </w:rPr>
        <w:t xml:space="preserve">, </w:t>
      </w:r>
      <w:r w:rsidRPr="006E246F">
        <w:rPr>
          <w:rFonts w:ascii="Palatino Linotype" w:eastAsia="Palatino Linotype" w:hAnsi="Palatino Linotype" w:cs="Palatino Linotype"/>
          <w:sz w:val="22"/>
          <w:szCs w:val="22"/>
        </w:rPr>
        <w:t xml:space="preserve">el </w:t>
      </w:r>
      <w:r w:rsidRPr="006E246F">
        <w:rPr>
          <w:rFonts w:ascii="Palatino Linotype" w:eastAsia="Palatino Linotype" w:hAnsi="Palatino Linotype" w:cs="Palatino Linotype"/>
          <w:b/>
          <w:sz w:val="22"/>
          <w:szCs w:val="22"/>
        </w:rPr>
        <w:t xml:space="preserve">Sujeto Obligado </w:t>
      </w:r>
      <w:r w:rsidRPr="006E246F">
        <w:rPr>
          <w:rFonts w:ascii="Palatino Linotype" w:eastAsia="Palatino Linotype" w:hAnsi="Palatino Linotype" w:cs="Palatino Linotype"/>
          <w:sz w:val="22"/>
          <w:szCs w:val="22"/>
        </w:rPr>
        <w:t xml:space="preserve">rindió su informe justificado, aportando información novedosa por conducto de la Dirección del Registro de Licencias y Operaciones y del </w:t>
      </w:r>
      <w:proofErr w:type="gramStart"/>
      <w:r w:rsidRPr="006E246F">
        <w:rPr>
          <w:rFonts w:ascii="Palatino Linotype" w:eastAsia="Palatino Linotype" w:hAnsi="Palatino Linotype" w:cs="Palatino Linotype"/>
          <w:sz w:val="22"/>
          <w:szCs w:val="22"/>
        </w:rPr>
        <w:t>Jefe</w:t>
      </w:r>
      <w:proofErr w:type="gramEnd"/>
      <w:r w:rsidRPr="006E246F">
        <w:rPr>
          <w:rFonts w:ascii="Palatino Linotype" w:eastAsia="Palatino Linotype" w:hAnsi="Palatino Linotype" w:cs="Palatino Linotype"/>
          <w:sz w:val="22"/>
          <w:szCs w:val="22"/>
        </w:rPr>
        <w:t xml:space="preserve"> de Departamento de Normatividad del Instituto del Transporte del Estado de México, misma que será objeto de análisis.</w:t>
      </w:r>
    </w:p>
    <w:p w14:paraId="2916D3ED" w14:textId="77777777" w:rsidR="00E565A0" w:rsidRPr="006E246F" w:rsidRDefault="00E565A0">
      <w:pPr>
        <w:spacing w:line="360" w:lineRule="auto"/>
        <w:jc w:val="both"/>
        <w:rPr>
          <w:rFonts w:ascii="Palatino Linotype" w:eastAsia="Palatino Linotype" w:hAnsi="Palatino Linotype" w:cs="Palatino Linotype"/>
          <w:sz w:val="22"/>
          <w:szCs w:val="22"/>
        </w:rPr>
      </w:pPr>
    </w:p>
    <w:p w14:paraId="6BCCFEA4" w14:textId="77777777" w:rsidR="00E565A0" w:rsidRPr="006E246F" w:rsidRDefault="009458BD">
      <w:pPr>
        <w:spacing w:line="360" w:lineRule="auto"/>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 xml:space="preserve">Por su lado, la parte </w:t>
      </w:r>
      <w:r w:rsidRPr="006E246F">
        <w:rPr>
          <w:rFonts w:ascii="Palatino Linotype" w:eastAsia="Palatino Linotype" w:hAnsi="Palatino Linotype" w:cs="Palatino Linotype"/>
          <w:b/>
          <w:sz w:val="22"/>
          <w:szCs w:val="22"/>
        </w:rPr>
        <w:t xml:space="preserve">Recurrente </w:t>
      </w:r>
      <w:r w:rsidRPr="006E246F">
        <w:rPr>
          <w:rFonts w:ascii="Palatino Linotype" w:eastAsia="Palatino Linotype" w:hAnsi="Palatino Linotype" w:cs="Palatino Linotype"/>
          <w:sz w:val="22"/>
          <w:szCs w:val="22"/>
        </w:rPr>
        <w:t>fue omisa en rendir manifestaciones o alegatos que conforme a derecho resultaran procedentes.</w:t>
      </w:r>
    </w:p>
    <w:p w14:paraId="3251C7B9" w14:textId="77777777" w:rsidR="00E565A0" w:rsidRPr="006E246F" w:rsidRDefault="00E565A0">
      <w:pPr>
        <w:spacing w:line="360" w:lineRule="auto"/>
        <w:jc w:val="both"/>
        <w:rPr>
          <w:rFonts w:ascii="Palatino Linotype" w:eastAsia="Palatino Linotype" w:hAnsi="Palatino Linotype" w:cs="Palatino Linotype"/>
          <w:b/>
          <w:sz w:val="22"/>
          <w:szCs w:val="22"/>
        </w:rPr>
      </w:pPr>
    </w:p>
    <w:p w14:paraId="0667DEA6" w14:textId="77777777" w:rsidR="00E565A0" w:rsidRPr="006E246F" w:rsidRDefault="009458B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lastRenderedPageBreak/>
        <w:t>Expuestas las posturas de las partes, resulta conveniente el análisis de los requerimientos de información de manera individualizada, a efecto de determinar si lo entregado en respuesta como informe justificado colma la pretensión del particular, o en su defecto ordenar la entrega de la información oportuna.</w:t>
      </w:r>
    </w:p>
    <w:p w14:paraId="59D542FF" w14:textId="77777777" w:rsidR="00E565A0" w:rsidRPr="006E246F" w:rsidRDefault="00E565A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5780F6B" w14:textId="77777777" w:rsidR="00E565A0" w:rsidRPr="006E246F" w:rsidRDefault="009458BD">
      <w:pPr>
        <w:numPr>
          <w:ilvl w:val="0"/>
          <w:numId w:val="4"/>
        </w:numPr>
        <w:pBdr>
          <w:top w:val="nil"/>
          <w:left w:val="nil"/>
          <w:bottom w:val="nil"/>
          <w:right w:val="nil"/>
          <w:between w:val="nil"/>
        </w:pBdr>
        <w:spacing w:line="360" w:lineRule="auto"/>
        <w:ind w:left="426"/>
        <w:jc w:val="both"/>
        <w:rPr>
          <w:rFonts w:ascii="Palatino Linotype" w:eastAsia="Palatino Linotype" w:hAnsi="Palatino Linotype" w:cs="Palatino Linotype"/>
          <w:b/>
          <w:sz w:val="22"/>
          <w:szCs w:val="22"/>
        </w:rPr>
      </w:pPr>
      <w:r w:rsidRPr="006E246F">
        <w:rPr>
          <w:rFonts w:ascii="Palatino Linotype" w:eastAsia="Palatino Linotype" w:hAnsi="Palatino Linotype" w:cs="Palatino Linotype"/>
          <w:b/>
          <w:sz w:val="22"/>
          <w:szCs w:val="22"/>
        </w:rPr>
        <w:t>Nombre completo de las operadoras de transporte público.</w:t>
      </w:r>
    </w:p>
    <w:p w14:paraId="49F47375" w14:textId="77777777" w:rsidR="00E565A0" w:rsidRPr="006E246F" w:rsidRDefault="00E565A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41FE2572" w14:textId="77777777" w:rsidR="00E565A0" w:rsidRPr="006E246F" w:rsidRDefault="009458BD">
      <w:pPr>
        <w:spacing w:line="360" w:lineRule="auto"/>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Al respecto, resulta importante para el presente estudio esclarecer que el transporte público, en su esencia, constituye un servicio público debido a su relevancia para garantizar derechos fundamentales como la movilidad, la igualdad de oportunidades y el acceso a otros servicios esenciales. En muchos ordenamientos jurídicos, la prestación de los servicios públicos está regulada bajo el principio de continuidad, eficiencia y universalidad.</w:t>
      </w:r>
    </w:p>
    <w:p w14:paraId="4DEF6D5D" w14:textId="77777777" w:rsidR="00E565A0" w:rsidRPr="006E246F" w:rsidRDefault="00E565A0">
      <w:pPr>
        <w:spacing w:line="360" w:lineRule="auto"/>
        <w:jc w:val="both"/>
        <w:rPr>
          <w:rFonts w:ascii="Palatino Linotype" w:eastAsia="Palatino Linotype" w:hAnsi="Palatino Linotype" w:cs="Palatino Linotype"/>
          <w:sz w:val="22"/>
          <w:szCs w:val="22"/>
        </w:rPr>
      </w:pPr>
    </w:p>
    <w:p w14:paraId="754378A6" w14:textId="77777777" w:rsidR="00E565A0" w:rsidRPr="006E246F" w:rsidRDefault="009458BD">
      <w:pPr>
        <w:spacing w:line="360" w:lineRule="auto"/>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No obstante, la gestión directa del transporte público por parte del Estado no siempre es viable debido a limitaciones presupuestarias, operativas o técnicas. En este contexto, el modelo de concesiones aparece como una solución intermedia que permite al Estado delegar la prestación del servicio a entidades privadas, bajo un esquema de regulación y supervisión.</w:t>
      </w:r>
    </w:p>
    <w:p w14:paraId="38787FC7" w14:textId="77777777" w:rsidR="00E565A0" w:rsidRPr="006E246F" w:rsidRDefault="009458BD">
      <w:pPr>
        <w:spacing w:before="280" w:after="280" w:line="360" w:lineRule="auto"/>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La concesión es un contrato administrativo mediante el cual el Estado otorga a un particular el derecho de explotar un servicio público por un periodo determinado, bajo condiciones específicas de calidad y accesibilidad. En este modelo, el concesionario asume la operación y el mantenimiento del servicio, mientras que el Estado conserva la propiedad de los bienes públicos involucrados y la facultad de supervisión.</w:t>
      </w:r>
    </w:p>
    <w:p w14:paraId="01CAB85C" w14:textId="77777777" w:rsidR="00E565A0" w:rsidRPr="006E246F" w:rsidRDefault="009458BD">
      <w:pPr>
        <w:spacing w:before="280" w:after="280" w:line="360" w:lineRule="auto"/>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lastRenderedPageBreak/>
        <w:t>Es decir, los choferes que operan los servicios públicos no son servidores públicos ya que no son contratados por el propio estado, sino que operan a través de concesionarias quienes prestan el servicio.</w:t>
      </w:r>
    </w:p>
    <w:p w14:paraId="590F4456" w14:textId="77777777" w:rsidR="00E565A0" w:rsidRPr="006E246F" w:rsidRDefault="009458BD">
      <w:pPr>
        <w:spacing w:line="360" w:lineRule="auto"/>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 xml:space="preserve">Ahora, en lo relativo al tema del </w:t>
      </w:r>
      <w:r w:rsidRPr="006E246F">
        <w:rPr>
          <w:rFonts w:ascii="Palatino Linotype" w:eastAsia="Palatino Linotype" w:hAnsi="Palatino Linotype" w:cs="Palatino Linotype"/>
          <w:b/>
          <w:sz w:val="22"/>
          <w:szCs w:val="22"/>
          <w:u w:val="single"/>
        </w:rPr>
        <w:t>nombre</w:t>
      </w:r>
      <w:r w:rsidRPr="006E246F">
        <w:rPr>
          <w:rFonts w:ascii="Palatino Linotype" w:eastAsia="Palatino Linotype" w:hAnsi="Palatino Linotype" w:cs="Palatino Linotype"/>
          <w:sz w:val="22"/>
          <w:szCs w:val="22"/>
        </w:rPr>
        <w:t>; por regla general, se estima como un atributo de la personalidad que designa e individualiza a una persona, compuesto por un sustantivo propio y el primer apellido del padre y el primer apellido de la madre, en el orden que, de común acuerdo se determine, ello atendiendo a los artículos 2.13 y 2.14 del Código Civil del Estado de México, porciones normativas que disponen a la literalidad lo siguiente:</w:t>
      </w:r>
    </w:p>
    <w:p w14:paraId="39BD89D0" w14:textId="77777777" w:rsidR="00E565A0" w:rsidRPr="006E246F" w:rsidRDefault="00E565A0">
      <w:pPr>
        <w:spacing w:line="360" w:lineRule="auto"/>
        <w:ind w:right="72"/>
        <w:jc w:val="both"/>
        <w:rPr>
          <w:rFonts w:ascii="Palatino Linotype" w:eastAsia="Palatino Linotype" w:hAnsi="Palatino Linotype" w:cs="Palatino Linotype"/>
        </w:rPr>
      </w:pPr>
    </w:p>
    <w:p w14:paraId="375CB0A1" w14:textId="77777777" w:rsidR="00E565A0" w:rsidRPr="006E246F" w:rsidRDefault="009458BD">
      <w:pPr>
        <w:ind w:left="567" w:right="567"/>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b/>
          <w:i/>
          <w:sz w:val="22"/>
          <w:szCs w:val="22"/>
        </w:rPr>
        <w:t>Artículo 2.13.-</w:t>
      </w:r>
      <w:r w:rsidRPr="006E246F">
        <w:rPr>
          <w:rFonts w:ascii="Palatino Linotype" w:eastAsia="Palatino Linotype" w:hAnsi="Palatino Linotype" w:cs="Palatino Linotype"/>
          <w:i/>
          <w:sz w:val="22"/>
          <w:szCs w:val="22"/>
        </w:rPr>
        <w:t xml:space="preserve"> El nombre designa e individualiza a una persona.</w:t>
      </w:r>
    </w:p>
    <w:p w14:paraId="79F0CF93" w14:textId="77777777" w:rsidR="00E565A0" w:rsidRPr="006E246F" w:rsidRDefault="00E565A0">
      <w:pPr>
        <w:ind w:left="567" w:right="567"/>
        <w:jc w:val="both"/>
        <w:rPr>
          <w:rFonts w:ascii="Palatino Linotype" w:eastAsia="Palatino Linotype" w:hAnsi="Palatino Linotype" w:cs="Palatino Linotype"/>
          <w:i/>
          <w:sz w:val="22"/>
          <w:szCs w:val="22"/>
        </w:rPr>
      </w:pPr>
    </w:p>
    <w:p w14:paraId="2658385C" w14:textId="77777777" w:rsidR="00E565A0" w:rsidRPr="006E246F" w:rsidRDefault="009458BD">
      <w:pPr>
        <w:ind w:left="567" w:right="567"/>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b/>
          <w:i/>
          <w:sz w:val="22"/>
          <w:szCs w:val="22"/>
        </w:rPr>
        <w:t>Artículo 2.14.</w:t>
      </w:r>
      <w:r w:rsidRPr="006E246F">
        <w:rPr>
          <w:rFonts w:ascii="Palatino Linotype" w:eastAsia="Palatino Linotype" w:hAnsi="Palatino Linotype" w:cs="Palatino Linotype"/>
          <w:i/>
          <w:sz w:val="22"/>
          <w:szCs w:val="22"/>
        </w:rPr>
        <w:t xml:space="preserve"> El nombre de las personas físicas se forma con el sustantivo propio y el primer apellido del padre y el primer apellido de la madre, en el orden que, de común acuerdo determinen. En el caso de que el padre y la madre no lleguen a un acuerdo respecto del orden que deben seguir los apellidos del hijo o hija, el apellido paterno aparecerá en primer lugar y el apellido materno en segundo lugar. </w:t>
      </w:r>
    </w:p>
    <w:p w14:paraId="2176E1F0" w14:textId="77777777" w:rsidR="00E565A0" w:rsidRPr="006E246F" w:rsidRDefault="00E565A0">
      <w:pPr>
        <w:ind w:left="567" w:right="567"/>
        <w:jc w:val="both"/>
        <w:rPr>
          <w:rFonts w:ascii="Palatino Linotype" w:eastAsia="Palatino Linotype" w:hAnsi="Palatino Linotype" w:cs="Palatino Linotype"/>
          <w:i/>
          <w:sz w:val="22"/>
          <w:szCs w:val="22"/>
        </w:rPr>
      </w:pPr>
    </w:p>
    <w:p w14:paraId="68C676B9" w14:textId="77777777" w:rsidR="00E565A0" w:rsidRPr="006E246F" w:rsidRDefault="009458BD">
      <w:pPr>
        <w:ind w:left="567" w:right="567"/>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i/>
          <w:sz w:val="22"/>
          <w:szCs w:val="22"/>
        </w:rPr>
        <w:t xml:space="preserve">El orden de los apellidos acordado entre padre y madre se considerará preferentemente para los demás hijos e hijas del mismo vínculo. </w:t>
      </w:r>
    </w:p>
    <w:p w14:paraId="20C57C70" w14:textId="77777777" w:rsidR="00E565A0" w:rsidRPr="006E246F" w:rsidRDefault="00E565A0">
      <w:pPr>
        <w:ind w:left="567" w:right="567"/>
        <w:jc w:val="both"/>
        <w:rPr>
          <w:rFonts w:ascii="Palatino Linotype" w:eastAsia="Palatino Linotype" w:hAnsi="Palatino Linotype" w:cs="Palatino Linotype"/>
          <w:i/>
          <w:sz w:val="22"/>
          <w:szCs w:val="22"/>
        </w:rPr>
      </w:pPr>
    </w:p>
    <w:p w14:paraId="5343975F" w14:textId="77777777" w:rsidR="00E565A0" w:rsidRPr="006E246F" w:rsidRDefault="009458BD">
      <w:pPr>
        <w:ind w:left="567" w:right="567"/>
        <w:jc w:val="both"/>
        <w:rPr>
          <w:rFonts w:ascii="Palatino Linotype" w:eastAsia="Palatino Linotype" w:hAnsi="Palatino Linotype" w:cs="Palatino Linotype"/>
          <w:b/>
          <w:i/>
        </w:rPr>
      </w:pPr>
      <w:r w:rsidRPr="006E246F">
        <w:rPr>
          <w:rFonts w:ascii="Palatino Linotype" w:eastAsia="Palatino Linotype" w:hAnsi="Palatino Linotype" w:cs="Palatino Linotype"/>
          <w:i/>
          <w:sz w:val="22"/>
          <w:szCs w:val="22"/>
        </w:rPr>
        <w:t>Cuando solo lo reconozca uno de ellos se formará con los apellidos de este, en el mismo orden, con las salvedades que establece el Libro Tercero de este Código.</w:t>
      </w:r>
    </w:p>
    <w:p w14:paraId="63130AAD" w14:textId="77777777" w:rsidR="00E565A0" w:rsidRPr="006E246F" w:rsidRDefault="00E565A0">
      <w:pPr>
        <w:ind w:left="567" w:right="567"/>
        <w:jc w:val="both"/>
        <w:rPr>
          <w:rFonts w:ascii="Palatino Linotype" w:eastAsia="Palatino Linotype" w:hAnsi="Palatino Linotype" w:cs="Palatino Linotype"/>
          <w:i/>
        </w:rPr>
      </w:pPr>
    </w:p>
    <w:p w14:paraId="6C8D6FA7" w14:textId="77777777" w:rsidR="00E565A0" w:rsidRPr="006E246F" w:rsidRDefault="009458BD">
      <w:pPr>
        <w:spacing w:line="360" w:lineRule="auto"/>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Circunstancia que de ser visible y otorgarse por los Sujetos Obligados, vulneraría el derecho de protección de datos personales de las personas mismas, siempre y cuando no se trate de personas físicas que:</w:t>
      </w:r>
    </w:p>
    <w:p w14:paraId="09014D96" w14:textId="77777777" w:rsidR="00E565A0" w:rsidRPr="006E246F" w:rsidRDefault="00E565A0">
      <w:pPr>
        <w:spacing w:line="360" w:lineRule="auto"/>
        <w:jc w:val="both"/>
        <w:rPr>
          <w:rFonts w:ascii="Palatino Linotype" w:eastAsia="Palatino Linotype" w:hAnsi="Palatino Linotype" w:cs="Palatino Linotype"/>
        </w:rPr>
      </w:pPr>
    </w:p>
    <w:p w14:paraId="120A26F9" w14:textId="77777777" w:rsidR="00E565A0" w:rsidRPr="006E246F" w:rsidRDefault="009458BD">
      <w:pPr>
        <w:numPr>
          <w:ilvl w:val="0"/>
          <w:numId w:val="5"/>
        </w:numPr>
        <w:spacing w:line="360" w:lineRule="auto"/>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b/>
          <w:sz w:val="22"/>
          <w:szCs w:val="22"/>
        </w:rPr>
        <w:t>Ejerzan funciones en el ámbito público</w:t>
      </w:r>
      <w:r w:rsidRPr="006E246F">
        <w:rPr>
          <w:rFonts w:ascii="Palatino Linotype" w:eastAsia="Palatino Linotype" w:hAnsi="Palatino Linotype" w:cs="Palatino Linotype"/>
          <w:sz w:val="22"/>
          <w:szCs w:val="22"/>
        </w:rPr>
        <w:t xml:space="preserve">. </w:t>
      </w:r>
    </w:p>
    <w:p w14:paraId="2A85C9C4" w14:textId="77777777" w:rsidR="00E565A0" w:rsidRPr="006E246F" w:rsidRDefault="009458BD">
      <w:pPr>
        <w:numPr>
          <w:ilvl w:val="0"/>
          <w:numId w:val="5"/>
        </w:numPr>
        <w:spacing w:line="360" w:lineRule="auto"/>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 xml:space="preserve">Practiquen actos de autoridad </w:t>
      </w:r>
    </w:p>
    <w:p w14:paraId="699A3D97" w14:textId="77777777" w:rsidR="00E565A0" w:rsidRPr="006E246F" w:rsidRDefault="009458BD">
      <w:pPr>
        <w:numPr>
          <w:ilvl w:val="0"/>
          <w:numId w:val="5"/>
        </w:numPr>
        <w:spacing w:line="360" w:lineRule="auto"/>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lastRenderedPageBreak/>
        <w:t xml:space="preserve">Resulten vencedores en licitaciones públicas o invitaciones directas, o incluso figuren como apoderado o representante legal de personas morales que hayan obtenido un resultado favorable. </w:t>
      </w:r>
    </w:p>
    <w:p w14:paraId="5D39BE71" w14:textId="77777777" w:rsidR="00E565A0" w:rsidRPr="006E246F" w:rsidRDefault="009458BD">
      <w:pPr>
        <w:numPr>
          <w:ilvl w:val="0"/>
          <w:numId w:val="5"/>
        </w:numPr>
        <w:spacing w:line="360" w:lineRule="auto"/>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 xml:space="preserve">Sean titulares de licencias que involucren aprovechamientos de bienes, servicios y/o recursos públicos. </w:t>
      </w:r>
    </w:p>
    <w:p w14:paraId="0B4BE72C" w14:textId="77777777" w:rsidR="00E565A0" w:rsidRPr="006E246F" w:rsidRDefault="00E565A0">
      <w:pPr>
        <w:spacing w:line="360" w:lineRule="auto"/>
        <w:jc w:val="both"/>
        <w:rPr>
          <w:rFonts w:ascii="Palatino Linotype" w:eastAsia="Palatino Linotype" w:hAnsi="Palatino Linotype" w:cs="Palatino Linotype"/>
        </w:rPr>
      </w:pPr>
    </w:p>
    <w:p w14:paraId="79F02898" w14:textId="77777777" w:rsidR="00E565A0" w:rsidRPr="006E246F" w:rsidRDefault="009458BD">
      <w:pPr>
        <w:spacing w:line="360" w:lineRule="auto"/>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 xml:space="preserve">En efecto, tratándose de servidores públicos, el nombre de las personas físicas recibe un tratamiento menos riguroso, pues, aunque identifica y hace identificable a una persona física, existe un claro interés público por conocer quién es el responsable de ejercer actos de autoridad, recibir recursos públicos o incluso generar actos de molestia dirigidos a la ciudadanía. </w:t>
      </w:r>
    </w:p>
    <w:p w14:paraId="0D525678" w14:textId="77777777" w:rsidR="00E565A0" w:rsidRPr="006E246F" w:rsidRDefault="00E565A0">
      <w:pPr>
        <w:spacing w:line="360" w:lineRule="auto"/>
        <w:jc w:val="both"/>
        <w:rPr>
          <w:rFonts w:ascii="Palatino Linotype" w:eastAsia="Palatino Linotype" w:hAnsi="Palatino Linotype" w:cs="Palatino Linotype"/>
          <w:sz w:val="22"/>
          <w:szCs w:val="22"/>
        </w:rPr>
      </w:pPr>
    </w:p>
    <w:p w14:paraId="2ACBE7D3" w14:textId="77777777" w:rsidR="00E565A0" w:rsidRPr="006E246F" w:rsidRDefault="009458BD">
      <w:pPr>
        <w:spacing w:line="360" w:lineRule="auto"/>
        <w:jc w:val="both"/>
        <w:rPr>
          <w:rFonts w:ascii="Palatino Linotype" w:eastAsia="Palatino Linotype" w:hAnsi="Palatino Linotype" w:cs="Palatino Linotype"/>
          <w:b/>
          <w:sz w:val="22"/>
          <w:szCs w:val="22"/>
        </w:rPr>
      </w:pPr>
      <w:r w:rsidRPr="006E246F">
        <w:rPr>
          <w:rFonts w:ascii="Palatino Linotype" w:eastAsia="Palatino Linotype" w:hAnsi="Palatino Linotype" w:cs="Palatino Linotype"/>
          <w:sz w:val="22"/>
          <w:szCs w:val="22"/>
        </w:rPr>
        <w:t xml:space="preserve">De esta manera, se considera que el nombre se integra con el sustantivo propio y el primer apellido de los padres, en el orden que, de común acuerdo determinen; asimismo es la manifestación principal del derecho subjetivo a la personalidad y atributo de esta en términos del artículo 2.3 del Código Civil del Estado de México, de tal suerte, el nombre </w:t>
      </w:r>
      <w:r w:rsidRPr="006E246F">
        <w:rPr>
          <w:rFonts w:ascii="Palatino Linotype" w:eastAsia="Palatino Linotype" w:hAnsi="Palatino Linotype" w:cs="Palatino Linotype"/>
          <w:i/>
          <w:sz w:val="22"/>
          <w:szCs w:val="22"/>
        </w:rPr>
        <w:t>per se</w:t>
      </w:r>
      <w:r w:rsidRPr="006E246F">
        <w:rPr>
          <w:rFonts w:ascii="Palatino Linotype" w:eastAsia="Palatino Linotype" w:hAnsi="Palatino Linotype" w:cs="Palatino Linotype"/>
          <w:sz w:val="22"/>
          <w:szCs w:val="22"/>
        </w:rPr>
        <w:t xml:space="preserve"> es un elemento que hace a una persona física identificada o identificable, por lo que, </w:t>
      </w:r>
      <w:r w:rsidRPr="006E246F">
        <w:rPr>
          <w:rFonts w:ascii="Palatino Linotype" w:eastAsia="Palatino Linotype" w:hAnsi="Palatino Linotype" w:cs="Palatino Linotype"/>
          <w:b/>
          <w:sz w:val="22"/>
          <w:szCs w:val="22"/>
        </w:rPr>
        <w:t>se considera un dato personal.</w:t>
      </w:r>
    </w:p>
    <w:p w14:paraId="6B896643" w14:textId="77777777" w:rsidR="00E565A0" w:rsidRPr="006E246F" w:rsidRDefault="00E565A0">
      <w:pPr>
        <w:spacing w:line="360" w:lineRule="auto"/>
        <w:jc w:val="both"/>
        <w:rPr>
          <w:rFonts w:ascii="Palatino Linotype" w:eastAsia="Palatino Linotype" w:hAnsi="Palatino Linotype" w:cs="Palatino Linotype"/>
          <w:b/>
        </w:rPr>
      </w:pPr>
    </w:p>
    <w:p w14:paraId="112505AA" w14:textId="77777777" w:rsidR="00E565A0" w:rsidRPr="006E246F" w:rsidRDefault="009458BD">
      <w:pPr>
        <w:spacing w:line="360" w:lineRule="auto"/>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Por tanto, los nombres de las operadoras de transporte público, al no ser servidoras públicas, se considera que dicho dato es susceptible de clasificarse como información confidencial, en términos del artículo 143, fracción I de la Ley de Transparencia Local.</w:t>
      </w:r>
    </w:p>
    <w:p w14:paraId="5456FED5" w14:textId="77777777" w:rsidR="00E565A0" w:rsidRPr="006E246F" w:rsidRDefault="00E565A0">
      <w:pPr>
        <w:spacing w:line="360" w:lineRule="auto"/>
        <w:jc w:val="both"/>
        <w:rPr>
          <w:rFonts w:ascii="Palatino Linotype" w:eastAsia="Palatino Linotype" w:hAnsi="Palatino Linotype" w:cs="Palatino Linotype"/>
          <w:sz w:val="22"/>
          <w:szCs w:val="22"/>
        </w:rPr>
      </w:pPr>
    </w:p>
    <w:p w14:paraId="287B1470" w14:textId="77777777" w:rsidR="00E565A0" w:rsidRPr="006E246F" w:rsidRDefault="009458BD">
      <w:pPr>
        <w:spacing w:line="360" w:lineRule="auto"/>
        <w:jc w:val="both"/>
        <w:rPr>
          <w:rFonts w:ascii="Palatino Linotype" w:eastAsia="Palatino Linotype" w:hAnsi="Palatino Linotype" w:cs="Palatino Linotype"/>
          <w:b/>
          <w:sz w:val="22"/>
          <w:szCs w:val="22"/>
        </w:rPr>
      </w:pPr>
      <w:r w:rsidRPr="006E246F">
        <w:rPr>
          <w:rFonts w:ascii="Palatino Linotype" w:eastAsia="Palatino Linotype" w:hAnsi="Palatino Linotype" w:cs="Palatino Linotype"/>
          <w:sz w:val="22"/>
          <w:szCs w:val="22"/>
        </w:rPr>
        <w:t xml:space="preserve">Sirve señalar que conforme lo previsto en la tesis aislada número 1a. CCXIV/2009, emitida por la Primera Sala de la Suprema Corte de Justicia de la Nación, publicada en la Gaceta del Semanario Judicial de la Federación, Tomo XXX, de diciembre de 2009, página 277, de la </w:t>
      </w:r>
      <w:r w:rsidRPr="006E246F">
        <w:rPr>
          <w:rFonts w:ascii="Palatino Linotype" w:eastAsia="Palatino Linotype" w:hAnsi="Palatino Linotype" w:cs="Palatino Linotype"/>
          <w:sz w:val="22"/>
          <w:szCs w:val="22"/>
        </w:rPr>
        <w:lastRenderedPageBreak/>
        <w:t xml:space="preserve">Novena Época, el derecho a la vida privada de una persona, </w:t>
      </w:r>
      <w:r w:rsidRPr="006E246F">
        <w:rPr>
          <w:rFonts w:ascii="Palatino Linotype" w:eastAsia="Palatino Linotype" w:hAnsi="Palatino Linotype" w:cs="Palatino Linotype"/>
          <w:b/>
          <w:sz w:val="22"/>
          <w:szCs w:val="22"/>
        </w:rPr>
        <w:t>es información susceptible de protegerse.</w:t>
      </w:r>
    </w:p>
    <w:p w14:paraId="14CBC51D" w14:textId="77777777" w:rsidR="00E565A0" w:rsidRPr="006E246F" w:rsidRDefault="00E565A0">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68559464" w14:textId="77777777" w:rsidR="00E565A0" w:rsidRPr="006E246F" w:rsidRDefault="009458B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 xml:space="preserve">Ahora, en el caso es de recordar que en respuesta el </w:t>
      </w:r>
      <w:r w:rsidRPr="006E246F">
        <w:rPr>
          <w:rFonts w:ascii="Palatino Linotype" w:eastAsia="Palatino Linotype" w:hAnsi="Palatino Linotype" w:cs="Palatino Linotype"/>
          <w:b/>
          <w:sz w:val="22"/>
          <w:szCs w:val="22"/>
        </w:rPr>
        <w:t xml:space="preserve">Sujeto Obligado </w:t>
      </w:r>
      <w:r w:rsidRPr="006E246F">
        <w:rPr>
          <w:rFonts w:ascii="Palatino Linotype" w:eastAsia="Palatino Linotype" w:hAnsi="Palatino Linotype" w:cs="Palatino Linotype"/>
          <w:sz w:val="22"/>
          <w:szCs w:val="22"/>
        </w:rPr>
        <w:t xml:space="preserve">se pronunció por conducto de la Dirección del Registro de Licencias y Operadores, </w:t>
      </w:r>
      <w:proofErr w:type="gramStart"/>
      <w:r w:rsidRPr="006E246F">
        <w:rPr>
          <w:rFonts w:ascii="Palatino Linotype" w:eastAsia="Palatino Linotype" w:hAnsi="Palatino Linotype" w:cs="Palatino Linotype"/>
          <w:sz w:val="22"/>
          <w:szCs w:val="22"/>
        </w:rPr>
        <w:t>quien</w:t>
      </w:r>
      <w:proofErr w:type="gramEnd"/>
      <w:r w:rsidRPr="006E246F">
        <w:rPr>
          <w:rFonts w:ascii="Palatino Linotype" w:eastAsia="Palatino Linotype" w:hAnsi="Palatino Linotype" w:cs="Palatino Linotype"/>
          <w:sz w:val="22"/>
          <w:szCs w:val="22"/>
        </w:rPr>
        <w:t xml:space="preserve"> de conformidad con el Manual de Organización de la Secretaría de Movilidad, cuenta con el siguiente objetivo y funciones.</w:t>
      </w:r>
    </w:p>
    <w:p w14:paraId="362ABCA3" w14:textId="77777777" w:rsidR="00E565A0" w:rsidRPr="006E246F" w:rsidRDefault="00E565A0">
      <w:pPr>
        <w:tabs>
          <w:tab w:val="left" w:pos="709"/>
        </w:tabs>
        <w:spacing w:line="360" w:lineRule="auto"/>
        <w:ind w:right="51"/>
        <w:jc w:val="both"/>
        <w:rPr>
          <w:rFonts w:ascii="Palatino Linotype" w:eastAsia="Palatino Linotype" w:hAnsi="Palatino Linotype" w:cs="Palatino Linotype"/>
          <w:sz w:val="22"/>
          <w:szCs w:val="22"/>
        </w:rPr>
      </w:pPr>
    </w:p>
    <w:p w14:paraId="209379CE" w14:textId="77777777" w:rsidR="00E565A0" w:rsidRPr="006E246F" w:rsidRDefault="009458BD">
      <w:pPr>
        <w:tabs>
          <w:tab w:val="left" w:pos="7513"/>
        </w:tabs>
        <w:ind w:left="567" w:right="709"/>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b/>
          <w:i/>
          <w:sz w:val="22"/>
          <w:szCs w:val="22"/>
        </w:rPr>
        <w:t>OBJETIVO:</w:t>
      </w:r>
      <w:r w:rsidRPr="006E246F">
        <w:rPr>
          <w:rFonts w:ascii="Palatino Linotype" w:eastAsia="Palatino Linotype" w:hAnsi="Palatino Linotype" w:cs="Palatino Linotype"/>
          <w:i/>
          <w:sz w:val="22"/>
          <w:szCs w:val="22"/>
        </w:rPr>
        <w:t xml:space="preserve"> </w:t>
      </w:r>
    </w:p>
    <w:p w14:paraId="54B49D57" w14:textId="77777777" w:rsidR="00E565A0" w:rsidRPr="006E246F" w:rsidRDefault="009458BD">
      <w:pPr>
        <w:tabs>
          <w:tab w:val="left" w:pos="7513"/>
        </w:tabs>
        <w:ind w:left="567" w:right="709"/>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i/>
          <w:sz w:val="22"/>
          <w:szCs w:val="22"/>
        </w:rPr>
        <w:t xml:space="preserve">Planear, coordinar, dirigir y gestionar las </w:t>
      </w:r>
      <w:r w:rsidRPr="006E246F">
        <w:rPr>
          <w:rFonts w:ascii="Palatino Linotype" w:eastAsia="Palatino Linotype" w:hAnsi="Palatino Linotype" w:cs="Palatino Linotype"/>
          <w:b/>
          <w:i/>
          <w:sz w:val="22"/>
          <w:szCs w:val="22"/>
        </w:rPr>
        <w:t>actividades relativas a la expedición</w:t>
      </w:r>
      <w:r w:rsidRPr="006E246F">
        <w:rPr>
          <w:rFonts w:ascii="Palatino Linotype" w:eastAsia="Palatino Linotype" w:hAnsi="Palatino Linotype" w:cs="Palatino Linotype"/>
          <w:i/>
          <w:sz w:val="22"/>
          <w:szCs w:val="22"/>
        </w:rPr>
        <w:t xml:space="preserve"> de licencias de servicio particular, permisos de práctica y </w:t>
      </w:r>
      <w:r w:rsidRPr="006E246F">
        <w:rPr>
          <w:rFonts w:ascii="Palatino Linotype" w:eastAsia="Palatino Linotype" w:hAnsi="Palatino Linotype" w:cs="Palatino Linotype"/>
          <w:b/>
          <w:i/>
          <w:sz w:val="22"/>
          <w:szCs w:val="22"/>
        </w:rPr>
        <w:t>licencias de servicio público en sus distintas modalidades</w:t>
      </w:r>
      <w:r w:rsidRPr="006E246F">
        <w:rPr>
          <w:rFonts w:ascii="Palatino Linotype" w:eastAsia="Palatino Linotype" w:hAnsi="Palatino Linotype" w:cs="Palatino Linotype"/>
          <w:i/>
          <w:sz w:val="22"/>
          <w:szCs w:val="22"/>
        </w:rPr>
        <w:t xml:space="preserve">, así como Integrar, normar y actualizar el registro respectivo, con estricto apego a la normatividad vigente y aplicable. </w:t>
      </w:r>
    </w:p>
    <w:p w14:paraId="3004F3B7" w14:textId="77777777" w:rsidR="00E565A0" w:rsidRPr="006E246F" w:rsidRDefault="00E565A0">
      <w:pPr>
        <w:tabs>
          <w:tab w:val="left" w:pos="7513"/>
        </w:tabs>
        <w:ind w:left="567" w:right="709"/>
        <w:jc w:val="both"/>
        <w:rPr>
          <w:rFonts w:ascii="Palatino Linotype" w:eastAsia="Palatino Linotype" w:hAnsi="Palatino Linotype" w:cs="Palatino Linotype"/>
          <w:i/>
          <w:sz w:val="22"/>
          <w:szCs w:val="22"/>
        </w:rPr>
      </w:pPr>
    </w:p>
    <w:p w14:paraId="4906768B" w14:textId="77777777" w:rsidR="00E565A0" w:rsidRPr="006E246F" w:rsidRDefault="009458BD">
      <w:pPr>
        <w:tabs>
          <w:tab w:val="left" w:pos="7513"/>
        </w:tabs>
        <w:ind w:left="567" w:right="709"/>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b/>
          <w:i/>
          <w:sz w:val="22"/>
          <w:szCs w:val="22"/>
        </w:rPr>
        <w:t>FUNCIONES:</w:t>
      </w:r>
      <w:r w:rsidRPr="006E246F">
        <w:rPr>
          <w:rFonts w:ascii="Palatino Linotype" w:eastAsia="Palatino Linotype" w:hAnsi="Palatino Linotype" w:cs="Palatino Linotype"/>
          <w:i/>
          <w:sz w:val="22"/>
          <w:szCs w:val="22"/>
        </w:rPr>
        <w:t xml:space="preserve"> </w:t>
      </w:r>
    </w:p>
    <w:p w14:paraId="17FE7BC7" w14:textId="77777777" w:rsidR="00E565A0" w:rsidRPr="006E246F" w:rsidRDefault="00E565A0">
      <w:pPr>
        <w:tabs>
          <w:tab w:val="left" w:pos="7513"/>
        </w:tabs>
        <w:ind w:left="567" w:right="709"/>
        <w:jc w:val="both"/>
        <w:rPr>
          <w:rFonts w:ascii="Palatino Linotype" w:eastAsia="Palatino Linotype" w:hAnsi="Palatino Linotype" w:cs="Palatino Linotype"/>
          <w:i/>
          <w:sz w:val="22"/>
          <w:szCs w:val="22"/>
        </w:rPr>
      </w:pPr>
    </w:p>
    <w:p w14:paraId="18DF4D7F" w14:textId="77777777" w:rsidR="00E565A0" w:rsidRPr="006E246F" w:rsidRDefault="009458BD">
      <w:pPr>
        <w:tabs>
          <w:tab w:val="left" w:pos="7513"/>
        </w:tabs>
        <w:ind w:left="567" w:right="709"/>
        <w:jc w:val="both"/>
        <w:rPr>
          <w:rFonts w:ascii="Palatino Linotype" w:eastAsia="Palatino Linotype" w:hAnsi="Palatino Linotype" w:cs="Palatino Linotype"/>
          <w:b/>
          <w:i/>
          <w:sz w:val="22"/>
          <w:szCs w:val="22"/>
        </w:rPr>
      </w:pPr>
      <w:r w:rsidRPr="006E246F">
        <w:rPr>
          <w:rFonts w:ascii="Palatino Linotype" w:eastAsia="Palatino Linotype" w:hAnsi="Palatino Linotype" w:cs="Palatino Linotype"/>
          <w:b/>
          <w:i/>
          <w:sz w:val="22"/>
          <w:szCs w:val="22"/>
        </w:rPr>
        <w:t>-</w:t>
      </w:r>
      <w:r w:rsidRPr="006E246F">
        <w:rPr>
          <w:rFonts w:ascii="Palatino Linotype" w:eastAsia="Palatino Linotype" w:hAnsi="Palatino Linotype" w:cs="Palatino Linotype"/>
          <w:b/>
          <w:i/>
          <w:sz w:val="22"/>
          <w:szCs w:val="22"/>
          <w:u w:val="single"/>
        </w:rPr>
        <w:t>Verificar que los trámites de expedición de licencias de conducir de servicio público y particular</w:t>
      </w:r>
      <w:r w:rsidRPr="006E246F">
        <w:rPr>
          <w:rFonts w:ascii="Palatino Linotype" w:eastAsia="Palatino Linotype" w:hAnsi="Palatino Linotype" w:cs="Palatino Linotype"/>
          <w:b/>
          <w:i/>
          <w:sz w:val="22"/>
          <w:szCs w:val="22"/>
        </w:rPr>
        <w:t xml:space="preserve">, así como los permisos provisionales de práctica en sus distintas modalidades se realicen de forma sencilla y expedita. </w:t>
      </w:r>
    </w:p>
    <w:p w14:paraId="49ACD08F" w14:textId="77777777" w:rsidR="00E565A0" w:rsidRPr="006E246F" w:rsidRDefault="009458BD">
      <w:pPr>
        <w:tabs>
          <w:tab w:val="left" w:pos="7513"/>
        </w:tabs>
        <w:ind w:left="567" w:right="709"/>
        <w:jc w:val="both"/>
        <w:rPr>
          <w:rFonts w:ascii="Palatino Linotype" w:eastAsia="Palatino Linotype" w:hAnsi="Palatino Linotype" w:cs="Palatino Linotype"/>
          <w:b/>
          <w:i/>
          <w:sz w:val="22"/>
          <w:szCs w:val="22"/>
        </w:rPr>
      </w:pPr>
      <w:r w:rsidRPr="006E246F">
        <w:rPr>
          <w:rFonts w:ascii="Palatino Linotype" w:eastAsia="Palatino Linotype" w:hAnsi="Palatino Linotype" w:cs="Palatino Linotype"/>
          <w:b/>
          <w:i/>
          <w:sz w:val="22"/>
          <w:szCs w:val="22"/>
        </w:rPr>
        <w:t xml:space="preserve">-Implementar los mecanismos necesarios para garantizar el suministro de formas valoradas y material que se requiera para la expedición de licencias de conducir de servicio público y particular, permisos provisionales de práctica y el material necesario para la implementación de programas toxicológicos y de detección de alcohol a las y los choferes del transporte público. </w:t>
      </w:r>
    </w:p>
    <w:p w14:paraId="05C9EC79" w14:textId="77777777" w:rsidR="00E565A0" w:rsidRPr="006E246F" w:rsidRDefault="00E565A0">
      <w:pPr>
        <w:tabs>
          <w:tab w:val="left" w:pos="7513"/>
        </w:tabs>
        <w:ind w:left="567" w:right="709"/>
        <w:jc w:val="both"/>
        <w:rPr>
          <w:rFonts w:ascii="Palatino Linotype" w:eastAsia="Palatino Linotype" w:hAnsi="Palatino Linotype" w:cs="Palatino Linotype"/>
          <w:i/>
          <w:sz w:val="22"/>
          <w:szCs w:val="22"/>
        </w:rPr>
      </w:pPr>
    </w:p>
    <w:p w14:paraId="2E818E5D" w14:textId="77777777" w:rsidR="00E565A0" w:rsidRPr="006E246F" w:rsidRDefault="009458BD">
      <w:pPr>
        <w:tabs>
          <w:tab w:val="left" w:pos="709"/>
        </w:tabs>
        <w:spacing w:line="360" w:lineRule="auto"/>
        <w:ind w:right="51"/>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 xml:space="preserve">De lo anterior, se observa que la Dirección del Registro de Licencias y Operadores es el área encargada de la Secretaría de Movilidad que da atención a las solicitudes de expedición de las licencias de conducir de servicio público y particular, por </w:t>
      </w:r>
      <w:proofErr w:type="gramStart"/>
      <w:r w:rsidRPr="006E246F">
        <w:rPr>
          <w:rFonts w:ascii="Palatino Linotype" w:eastAsia="Palatino Linotype" w:hAnsi="Palatino Linotype" w:cs="Palatino Linotype"/>
          <w:sz w:val="22"/>
          <w:szCs w:val="22"/>
        </w:rPr>
        <w:t>tanto</w:t>
      </w:r>
      <w:proofErr w:type="gramEnd"/>
      <w:r w:rsidRPr="006E246F">
        <w:rPr>
          <w:rFonts w:ascii="Palatino Linotype" w:eastAsia="Palatino Linotype" w:hAnsi="Palatino Linotype" w:cs="Palatino Linotype"/>
          <w:sz w:val="22"/>
          <w:szCs w:val="22"/>
        </w:rPr>
        <w:t xml:space="preserve"> es la competente por cuanto hace al tema que nos ocupa.</w:t>
      </w:r>
    </w:p>
    <w:p w14:paraId="3B3F464D" w14:textId="77777777" w:rsidR="00E565A0" w:rsidRPr="006E246F" w:rsidRDefault="00E565A0">
      <w:pPr>
        <w:tabs>
          <w:tab w:val="left" w:pos="709"/>
        </w:tabs>
        <w:spacing w:line="360" w:lineRule="auto"/>
        <w:ind w:right="51"/>
        <w:jc w:val="both"/>
        <w:rPr>
          <w:rFonts w:ascii="Palatino Linotype" w:eastAsia="Palatino Linotype" w:hAnsi="Palatino Linotype" w:cs="Palatino Linotype"/>
          <w:sz w:val="22"/>
          <w:szCs w:val="22"/>
        </w:rPr>
      </w:pPr>
    </w:p>
    <w:p w14:paraId="0578BA83" w14:textId="77777777" w:rsidR="00E565A0" w:rsidRPr="006E246F" w:rsidRDefault="009458B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lastRenderedPageBreak/>
        <w:t>Ahora, sobre el requerimiento en cuestión, dicha Dirección informó que no se puede otorgar la información solicitada relativa al “</w:t>
      </w:r>
      <w:r w:rsidRPr="006E246F">
        <w:rPr>
          <w:rFonts w:ascii="Palatino Linotype" w:eastAsia="Palatino Linotype" w:hAnsi="Palatino Linotype" w:cs="Palatino Linotype"/>
          <w:b/>
          <w:i/>
          <w:sz w:val="22"/>
          <w:szCs w:val="22"/>
        </w:rPr>
        <w:t>nombre o datos de la licencia de conducir</w:t>
      </w:r>
      <w:r w:rsidRPr="006E246F">
        <w:rPr>
          <w:rFonts w:ascii="Palatino Linotype" w:eastAsia="Palatino Linotype" w:hAnsi="Palatino Linotype" w:cs="Palatino Linotype"/>
          <w:sz w:val="22"/>
          <w:szCs w:val="22"/>
        </w:rPr>
        <w:t>” por tratarse de datos personales.</w:t>
      </w:r>
    </w:p>
    <w:p w14:paraId="0397F275" w14:textId="77777777" w:rsidR="00E565A0" w:rsidRPr="006E246F" w:rsidRDefault="00E565A0">
      <w:pPr>
        <w:spacing w:line="360" w:lineRule="auto"/>
        <w:ind w:right="-93"/>
        <w:jc w:val="both"/>
        <w:rPr>
          <w:rFonts w:ascii="Palatino Linotype" w:eastAsia="Palatino Linotype" w:hAnsi="Palatino Linotype" w:cs="Palatino Linotype"/>
          <w:sz w:val="22"/>
          <w:szCs w:val="22"/>
        </w:rPr>
      </w:pPr>
    </w:p>
    <w:p w14:paraId="48FCA5D4" w14:textId="77777777" w:rsidR="00E565A0" w:rsidRPr="006E246F" w:rsidRDefault="009458BD">
      <w:pPr>
        <w:spacing w:line="360" w:lineRule="auto"/>
        <w:ind w:right="-93"/>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 xml:space="preserve">De lo anterior, se advierte que </w:t>
      </w:r>
      <w:r w:rsidRPr="006E246F">
        <w:rPr>
          <w:rFonts w:ascii="Palatino Linotype" w:eastAsia="Palatino Linotype" w:hAnsi="Palatino Linotype" w:cs="Palatino Linotype"/>
          <w:b/>
          <w:sz w:val="22"/>
          <w:szCs w:val="22"/>
        </w:rPr>
        <w:t>Sujeto Obligado</w:t>
      </w:r>
      <w:r w:rsidRPr="006E246F">
        <w:rPr>
          <w:rFonts w:ascii="Palatino Linotype" w:eastAsia="Palatino Linotype" w:hAnsi="Palatino Linotype" w:cs="Palatino Linotype"/>
          <w:sz w:val="22"/>
          <w:szCs w:val="22"/>
        </w:rPr>
        <w:t xml:space="preserve"> asume contar con la información tan es así que argumenta que la misma es clasificada, sin embargo es de recordar que la clasificación de la información no se da por el simple mandato de la Ley, sino que es necesario que cuando se clasifique información, ya sea en su totalidad o parcialmente, debe atender lo dispuesto por la Ley de la materia, siendo que dicha clasificación es un trabajo en conjunto tanto de los Servidores Públicos Habilitados, de las Unidades de Transparencia y del Comité de Transparencia del Sujeto Obligado, teniendo el deber los primeros, de presentar ante la Unidad de Transparencia la propuesta de clasificación de la información, para que luego ésta se presente ante el Comité de Transparencia de así resultar procedente el proyecto de clasificación de la información y finalmente sea éste último quien apruebe, modifique o revoque la clasificación de la información solicitada.</w:t>
      </w:r>
    </w:p>
    <w:p w14:paraId="1F728A8A" w14:textId="77777777" w:rsidR="00E565A0" w:rsidRPr="006E246F" w:rsidRDefault="00E565A0">
      <w:pPr>
        <w:spacing w:line="360" w:lineRule="auto"/>
        <w:ind w:right="-93"/>
        <w:jc w:val="both"/>
        <w:rPr>
          <w:rFonts w:ascii="Palatino Linotype" w:eastAsia="Palatino Linotype" w:hAnsi="Palatino Linotype" w:cs="Palatino Linotype"/>
          <w:sz w:val="22"/>
          <w:szCs w:val="22"/>
        </w:rPr>
      </w:pPr>
    </w:p>
    <w:p w14:paraId="0839966B" w14:textId="77777777" w:rsidR="00E565A0" w:rsidRPr="006E246F" w:rsidRDefault="009458BD">
      <w:pPr>
        <w:spacing w:line="360" w:lineRule="auto"/>
        <w:ind w:right="-93"/>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Por lo que, atendiendo que la información relativa al nombre de las operadoras de transporte público con que cuente al 19 de febrero de 2025, es de índole confidencial; es dable ordenar la entrega del Acuerdo del Comité de Transparencia debidamente fundado y motivado que confirme la clasificación de dicho dato.</w:t>
      </w:r>
    </w:p>
    <w:p w14:paraId="244C48E3" w14:textId="77777777" w:rsidR="00E565A0" w:rsidRPr="006E246F" w:rsidRDefault="00E565A0">
      <w:pPr>
        <w:spacing w:line="360" w:lineRule="auto"/>
        <w:ind w:right="-93"/>
        <w:jc w:val="both"/>
        <w:rPr>
          <w:rFonts w:ascii="Palatino Linotype" w:eastAsia="Palatino Linotype" w:hAnsi="Palatino Linotype" w:cs="Palatino Linotype"/>
          <w:sz w:val="22"/>
          <w:szCs w:val="22"/>
        </w:rPr>
      </w:pPr>
    </w:p>
    <w:p w14:paraId="1D94E0EB" w14:textId="77777777" w:rsidR="00E565A0" w:rsidRPr="006E246F" w:rsidRDefault="00E565A0">
      <w:pPr>
        <w:spacing w:line="360" w:lineRule="auto"/>
        <w:jc w:val="both"/>
        <w:rPr>
          <w:rFonts w:ascii="Palatino Linotype" w:eastAsia="Palatino Linotype" w:hAnsi="Palatino Linotype" w:cs="Palatino Linotype"/>
          <w:sz w:val="22"/>
          <w:szCs w:val="22"/>
        </w:rPr>
      </w:pPr>
    </w:p>
    <w:p w14:paraId="7385508A" w14:textId="77777777" w:rsidR="00E565A0" w:rsidRPr="006E246F" w:rsidRDefault="009458BD">
      <w:pPr>
        <w:numPr>
          <w:ilvl w:val="0"/>
          <w:numId w:val="4"/>
        </w:numPr>
        <w:pBdr>
          <w:top w:val="nil"/>
          <w:left w:val="nil"/>
          <w:bottom w:val="nil"/>
          <w:right w:val="nil"/>
          <w:between w:val="nil"/>
        </w:pBdr>
        <w:spacing w:line="360" w:lineRule="auto"/>
        <w:ind w:left="284"/>
        <w:jc w:val="both"/>
        <w:rPr>
          <w:rFonts w:ascii="Palatino Linotype" w:eastAsia="Palatino Linotype" w:hAnsi="Palatino Linotype" w:cs="Palatino Linotype"/>
          <w:b/>
          <w:sz w:val="22"/>
          <w:szCs w:val="22"/>
        </w:rPr>
      </w:pPr>
      <w:r w:rsidRPr="006E246F">
        <w:rPr>
          <w:rFonts w:ascii="Palatino Linotype" w:eastAsia="Palatino Linotype" w:hAnsi="Palatino Linotype" w:cs="Palatino Linotype"/>
          <w:b/>
          <w:sz w:val="22"/>
          <w:szCs w:val="22"/>
        </w:rPr>
        <w:t>Las Capacitaciones o certificaciones otorgadas o impartidas para ser operadoras en los últimos 2 años:</w:t>
      </w:r>
    </w:p>
    <w:p w14:paraId="5C6FAEAC" w14:textId="77777777" w:rsidR="00E565A0" w:rsidRPr="006E246F" w:rsidRDefault="00E565A0">
      <w:pPr>
        <w:spacing w:line="360" w:lineRule="auto"/>
        <w:jc w:val="both"/>
        <w:rPr>
          <w:rFonts w:ascii="Palatino Linotype" w:eastAsia="Palatino Linotype" w:hAnsi="Palatino Linotype" w:cs="Palatino Linotype"/>
          <w:sz w:val="22"/>
          <w:szCs w:val="22"/>
        </w:rPr>
      </w:pPr>
    </w:p>
    <w:p w14:paraId="438CF618" w14:textId="77777777" w:rsidR="00E565A0" w:rsidRPr="006E246F" w:rsidRDefault="009458BD">
      <w:pPr>
        <w:spacing w:line="360" w:lineRule="auto"/>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 xml:space="preserve">Sobre el requerimiento de información que nos ocupa, este Órgano Garante advierte que sí existen certificaciones que se imparten para operadores de transporte público.  </w:t>
      </w:r>
    </w:p>
    <w:p w14:paraId="11C9C8FE" w14:textId="77777777" w:rsidR="00E565A0" w:rsidRPr="006E246F" w:rsidRDefault="00E565A0">
      <w:pPr>
        <w:spacing w:line="360" w:lineRule="auto"/>
        <w:jc w:val="both"/>
        <w:rPr>
          <w:rFonts w:ascii="Palatino Linotype" w:eastAsia="Palatino Linotype" w:hAnsi="Palatino Linotype" w:cs="Palatino Linotype"/>
          <w:sz w:val="22"/>
          <w:szCs w:val="22"/>
        </w:rPr>
      </w:pPr>
    </w:p>
    <w:p w14:paraId="05307CB0" w14:textId="77777777" w:rsidR="00E565A0" w:rsidRPr="006E246F" w:rsidRDefault="009458BD">
      <w:pPr>
        <w:tabs>
          <w:tab w:val="left" w:pos="4962"/>
        </w:tabs>
        <w:spacing w:line="360" w:lineRule="auto"/>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 xml:space="preserve">Como referencia de lo anterior, conviene traer a colación el contenido del Reglamento de Tránsito del Estado de México, que en su artículo 42 refiere los requisitos para las licencias y permisos de conducir, como se observa continuación: </w:t>
      </w:r>
    </w:p>
    <w:p w14:paraId="302C1932" w14:textId="77777777" w:rsidR="00E565A0" w:rsidRPr="006E246F" w:rsidRDefault="00E565A0">
      <w:pPr>
        <w:tabs>
          <w:tab w:val="left" w:pos="4962"/>
        </w:tabs>
        <w:spacing w:line="360" w:lineRule="auto"/>
        <w:jc w:val="both"/>
        <w:rPr>
          <w:rFonts w:ascii="Palatino Linotype" w:eastAsia="Palatino Linotype" w:hAnsi="Palatino Linotype" w:cs="Palatino Linotype"/>
          <w:sz w:val="22"/>
          <w:szCs w:val="22"/>
        </w:rPr>
      </w:pPr>
    </w:p>
    <w:p w14:paraId="26CF61EA" w14:textId="77777777" w:rsidR="00E565A0" w:rsidRPr="006E246F" w:rsidRDefault="009458BD">
      <w:pPr>
        <w:ind w:left="567" w:right="567" w:firstLine="567"/>
        <w:jc w:val="both"/>
        <w:rPr>
          <w:rFonts w:ascii="Palatino Linotype" w:eastAsia="Palatino Linotype" w:hAnsi="Palatino Linotype" w:cs="Palatino Linotype"/>
          <w:b/>
          <w:i/>
          <w:sz w:val="22"/>
          <w:szCs w:val="22"/>
        </w:rPr>
      </w:pPr>
      <w:r w:rsidRPr="006E246F">
        <w:rPr>
          <w:rFonts w:ascii="Palatino Linotype" w:eastAsia="Palatino Linotype" w:hAnsi="Palatino Linotype" w:cs="Palatino Linotype"/>
          <w:i/>
          <w:sz w:val="22"/>
          <w:szCs w:val="22"/>
        </w:rPr>
        <w:t>“</w:t>
      </w:r>
      <w:r w:rsidRPr="006E246F">
        <w:rPr>
          <w:rFonts w:ascii="Palatino Linotype" w:eastAsia="Palatino Linotype" w:hAnsi="Palatino Linotype" w:cs="Palatino Linotype"/>
          <w:b/>
          <w:i/>
          <w:sz w:val="22"/>
          <w:szCs w:val="22"/>
        </w:rPr>
        <w:t xml:space="preserve">CAPITULO II </w:t>
      </w:r>
    </w:p>
    <w:p w14:paraId="7CEC242C" w14:textId="77777777" w:rsidR="00E565A0" w:rsidRPr="006E246F" w:rsidRDefault="009458BD">
      <w:pPr>
        <w:ind w:left="567" w:right="567" w:firstLine="567"/>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b/>
          <w:i/>
          <w:sz w:val="22"/>
          <w:szCs w:val="22"/>
        </w:rPr>
        <w:t>DE LA EXPEDICION DE LICENCIAS Y PERMISOS PARA CONDUCIR</w:t>
      </w:r>
      <w:r w:rsidRPr="006E246F">
        <w:rPr>
          <w:rFonts w:ascii="Palatino Linotype" w:eastAsia="Palatino Linotype" w:hAnsi="Palatino Linotype" w:cs="Palatino Linotype"/>
          <w:i/>
          <w:sz w:val="22"/>
          <w:szCs w:val="22"/>
        </w:rPr>
        <w:t xml:space="preserve"> </w:t>
      </w:r>
    </w:p>
    <w:p w14:paraId="0A34A7D8" w14:textId="77777777" w:rsidR="00E565A0" w:rsidRPr="006E246F" w:rsidRDefault="009458BD">
      <w:pPr>
        <w:ind w:left="567" w:right="567" w:firstLine="567"/>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b/>
          <w:i/>
          <w:sz w:val="22"/>
          <w:szCs w:val="22"/>
        </w:rPr>
        <w:t>Artículo 42.</w:t>
      </w:r>
      <w:r w:rsidRPr="006E246F">
        <w:rPr>
          <w:rFonts w:ascii="Palatino Linotype" w:eastAsia="Palatino Linotype" w:hAnsi="Palatino Linotype" w:cs="Palatino Linotype"/>
          <w:i/>
          <w:sz w:val="22"/>
          <w:szCs w:val="22"/>
        </w:rPr>
        <w:t xml:space="preserve"> Las licencias y permisos provisionales de práctica que expida la Secretaría de Movilidad serán de los siguientes tipos y autorizan a conducir: </w:t>
      </w:r>
    </w:p>
    <w:p w14:paraId="2117C6B0" w14:textId="77777777" w:rsidR="00E565A0" w:rsidRPr="006E246F" w:rsidRDefault="009458BD">
      <w:pPr>
        <w:ind w:left="567" w:right="567" w:firstLine="567"/>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b/>
          <w:i/>
          <w:sz w:val="22"/>
          <w:szCs w:val="22"/>
        </w:rPr>
        <w:t>I.</w:t>
      </w:r>
      <w:r w:rsidRPr="006E246F">
        <w:rPr>
          <w:rFonts w:ascii="Palatino Linotype" w:eastAsia="Palatino Linotype" w:hAnsi="Palatino Linotype" w:cs="Palatino Linotype"/>
          <w:i/>
          <w:sz w:val="22"/>
          <w:szCs w:val="22"/>
        </w:rPr>
        <w:t xml:space="preserve"> Licencia de automovilista, que autoriza a las personas a conducir automóviles particulares; </w:t>
      </w:r>
    </w:p>
    <w:p w14:paraId="282E10C6" w14:textId="77777777" w:rsidR="00E565A0" w:rsidRPr="006E246F" w:rsidRDefault="009458BD">
      <w:pPr>
        <w:ind w:left="567" w:right="567" w:firstLine="567"/>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b/>
          <w:i/>
          <w:sz w:val="22"/>
          <w:szCs w:val="22"/>
        </w:rPr>
        <w:t>II.</w:t>
      </w:r>
      <w:r w:rsidRPr="006E246F">
        <w:rPr>
          <w:rFonts w:ascii="Palatino Linotype" w:eastAsia="Palatino Linotype" w:hAnsi="Palatino Linotype" w:cs="Palatino Linotype"/>
          <w:i/>
          <w:sz w:val="22"/>
          <w:szCs w:val="22"/>
        </w:rPr>
        <w:t xml:space="preserve"> Licencia de motociclista, que autoriza a las personas a conducir motocicletas; </w:t>
      </w:r>
    </w:p>
    <w:p w14:paraId="0A4656AC" w14:textId="77777777" w:rsidR="00E565A0" w:rsidRPr="006E246F" w:rsidRDefault="009458BD">
      <w:pPr>
        <w:ind w:left="567" w:right="567" w:firstLine="567"/>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b/>
          <w:i/>
          <w:sz w:val="22"/>
          <w:szCs w:val="22"/>
        </w:rPr>
        <w:t>III.</w:t>
      </w:r>
      <w:r w:rsidRPr="006E246F">
        <w:rPr>
          <w:rFonts w:ascii="Palatino Linotype" w:eastAsia="Palatino Linotype" w:hAnsi="Palatino Linotype" w:cs="Palatino Linotype"/>
          <w:i/>
          <w:sz w:val="22"/>
          <w:szCs w:val="22"/>
        </w:rPr>
        <w:t xml:space="preserve"> Licencia de chofer para servicio particular, que autoriza a las personas a conducir automóviles, camionetas y camiones de servicio particular, y </w:t>
      </w:r>
    </w:p>
    <w:p w14:paraId="4777B6B0" w14:textId="77777777" w:rsidR="00E565A0" w:rsidRPr="006E246F" w:rsidRDefault="009458BD">
      <w:pPr>
        <w:ind w:left="567" w:right="567" w:firstLine="567"/>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b/>
          <w:i/>
          <w:sz w:val="22"/>
          <w:szCs w:val="22"/>
        </w:rPr>
        <w:t>IV</w:t>
      </w:r>
      <w:r w:rsidRPr="006E246F">
        <w:rPr>
          <w:rFonts w:ascii="Palatino Linotype" w:eastAsia="Palatino Linotype" w:hAnsi="Palatino Linotype" w:cs="Palatino Linotype"/>
          <w:i/>
          <w:sz w:val="22"/>
          <w:szCs w:val="22"/>
        </w:rPr>
        <w:t xml:space="preserve">. Permisos provisionales de práctica; los cuales se clasifican en: </w:t>
      </w:r>
    </w:p>
    <w:p w14:paraId="56A84C3D" w14:textId="77777777" w:rsidR="00E565A0" w:rsidRPr="006E246F" w:rsidRDefault="009458BD">
      <w:pPr>
        <w:ind w:left="567" w:right="567" w:firstLine="567"/>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i/>
          <w:sz w:val="22"/>
          <w:szCs w:val="22"/>
        </w:rPr>
        <w:t xml:space="preserve">a) Permiso provisional de práctica “A”, que autoriza a las personas mayores de 15 y menores de 16 años a conducir un automóvil particular, el cual tendrá una vigencia máxima de un año, y no será prorrogable; la persona portadora del permiso deberá ir acompañada en el automóvil por una persona responsable que cuente y porte licencia para conducir vigente, y </w:t>
      </w:r>
    </w:p>
    <w:p w14:paraId="118192E2" w14:textId="77777777" w:rsidR="00E565A0" w:rsidRPr="006E246F" w:rsidRDefault="009458BD">
      <w:pPr>
        <w:ind w:left="567" w:right="567" w:firstLine="567"/>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i/>
          <w:sz w:val="22"/>
          <w:szCs w:val="22"/>
        </w:rPr>
        <w:t>b) Permiso provisional de práctica “B”, que autoriza a las personas mayores de 16 y menores de 18 años a conducir un automóvil particular, el cual tendrá una vigencia de 1 o 2 años; la persona portadora del permiso deberá ir acompañada en el automóvil por una persona responsable que cuente y porte licencia para conducir vigente. En caso de que el menor tenga 16 años de edad cumplidos, el permiso con vigencia de un año será prorrogable a juicio de las autoridades, previa solicitud por escrito de la persona interesada y su padre, madre, tutor o representante legal.</w:t>
      </w:r>
    </w:p>
    <w:p w14:paraId="32ECAFF5" w14:textId="77777777" w:rsidR="00E565A0" w:rsidRPr="006E246F" w:rsidRDefault="009458BD">
      <w:pPr>
        <w:ind w:left="567" w:right="567" w:firstLine="567"/>
        <w:jc w:val="both"/>
        <w:rPr>
          <w:rFonts w:ascii="Palatino Linotype" w:eastAsia="Palatino Linotype" w:hAnsi="Palatino Linotype" w:cs="Palatino Linotype"/>
          <w:b/>
          <w:i/>
          <w:sz w:val="22"/>
          <w:szCs w:val="22"/>
        </w:rPr>
      </w:pPr>
      <w:r w:rsidRPr="006E246F">
        <w:rPr>
          <w:rFonts w:ascii="Palatino Linotype" w:eastAsia="Palatino Linotype" w:hAnsi="Palatino Linotype" w:cs="Palatino Linotype"/>
          <w:b/>
          <w:i/>
          <w:sz w:val="22"/>
          <w:szCs w:val="22"/>
        </w:rPr>
        <w:t xml:space="preserve">V. Licencia de Chofer para servicio público y Certificado Médico Toxicológico, en sus cuatro modalidades: </w:t>
      </w:r>
    </w:p>
    <w:p w14:paraId="3D272B43" w14:textId="77777777" w:rsidR="00E565A0" w:rsidRPr="006E246F" w:rsidRDefault="009458BD">
      <w:pPr>
        <w:ind w:left="567" w:right="567" w:firstLine="567"/>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i/>
          <w:sz w:val="22"/>
          <w:szCs w:val="22"/>
        </w:rPr>
        <w:t xml:space="preserve">A) Discrecional (Taxi); </w:t>
      </w:r>
    </w:p>
    <w:p w14:paraId="22B37A57" w14:textId="77777777" w:rsidR="00E565A0" w:rsidRPr="006E246F" w:rsidRDefault="009458BD">
      <w:pPr>
        <w:ind w:left="567" w:right="567" w:firstLine="567"/>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i/>
          <w:sz w:val="22"/>
          <w:szCs w:val="22"/>
        </w:rPr>
        <w:t xml:space="preserve">B) Colectivo; </w:t>
      </w:r>
    </w:p>
    <w:p w14:paraId="5A691CA4" w14:textId="77777777" w:rsidR="00E565A0" w:rsidRPr="006E246F" w:rsidRDefault="009458BD">
      <w:pPr>
        <w:ind w:left="567" w:right="567" w:firstLine="567"/>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i/>
          <w:sz w:val="22"/>
          <w:szCs w:val="22"/>
        </w:rPr>
        <w:t xml:space="preserve">C) Transporte Especializado, Escolar y de Personal, y </w:t>
      </w:r>
    </w:p>
    <w:p w14:paraId="0D7CB2E5" w14:textId="77777777" w:rsidR="00E565A0" w:rsidRPr="006E246F" w:rsidRDefault="009458BD">
      <w:pPr>
        <w:ind w:left="567" w:right="567" w:firstLine="567"/>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i/>
          <w:sz w:val="22"/>
          <w:szCs w:val="22"/>
        </w:rPr>
        <w:t xml:space="preserve">D) Vehículos de Servicio a la Comunidad. </w:t>
      </w:r>
    </w:p>
    <w:p w14:paraId="03E7C393" w14:textId="77777777" w:rsidR="00E565A0" w:rsidRPr="006E246F" w:rsidRDefault="00E565A0">
      <w:pPr>
        <w:ind w:left="567" w:right="567" w:firstLine="567"/>
        <w:jc w:val="both"/>
        <w:rPr>
          <w:rFonts w:ascii="Palatino Linotype" w:eastAsia="Palatino Linotype" w:hAnsi="Palatino Linotype" w:cs="Palatino Linotype"/>
          <w:i/>
          <w:sz w:val="22"/>
          <w:szCs w:val="22"/>
        </w:rPr>
      </w:pPr>
    </w:p>
    <w:p w14:paraId="6D46A3B5" w14:textId="77777777" w:rsidR="00E565A0" w:rsidRPr="006E246F" w:rsidRDefault="009458BD">
      <w:pPr>
        <w:ind w:left="567" w:right="567" w:firstLine="567"/>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i/>
          <w:sz w:val="22"/>
          <w:szCs w:val="22"/>
        </w:rPr>
        <w:t xml:space="preserve">Las licencias referidas en las fracciones I, II y III se podrán expedir con vigencia de uno, dos, tres o cuatro años, </w:t>
      </w:r>
      <w:r w:rsidRPr="006E246F">
        <w:rPr>
          <w:rFonts w:ascii="Palatino Linotype" w:eastAsia="Palatino Linotype" w:hAnsi="Palatino Linotype" w:cs="Palatino Linotype"/>
          <w:b/>
          <w:i/>
          <w:sz w:val="22"/>
          <w:szCs w:val="22"/>
          <w:u w:val="single"/>
        </w:rPr>
        <w:t xml:space="preserve">y las licencias señaladas en la fracción V, se podrán expedir con una vigencia de uno o de dos años, y en este último caso previa </w:t>
      </w:r>
      <w:r w:rsidRPr="006E246F">
        <w:rPr>
          <w:rFonts w:ascii="Palatino Linotype" w:eastAsia="Palatino Linotype" w:hAnsi="Palatino Linotype" w:cs="Palatino Linotype"/>
          <w:b/>
          <w:i/>
          <w:sz w:val="22"/>
          <w:szCs w:val="22"/>
          <w:u w:val="single"/>
        </w:rPr>
        <w:lastRenderedPageBreak/>
        <w:t>acreditación de la capacitación y/o certificación respectiva para operador de transporte público.”</w:t>
      </w:r>
    </w:p>
    <w:p w14:paraId="4A0357A1" w14:textId="77777777" w:rsidR="00E565A0" w:rsidRPr="006E246F" w:rsidRDefault="00E565A0">
      <w:pPr>
        <w:tabs>
          <w:tab w:val="left" w:pos="4962"/>
        </w:tabs>
        <w:spacing w:line="360" w:lineRule="auto"/>
        <w:jc w:val="both"/>
        <w:rPr>
          <w:rFonts w:ascii="Palatino Linotype" w:eastAsia="Palatino Linotype" w:hAnsi="Palatino Linotype" w:cs="Palatino Linotype"/>
          <w:sz w:val="22"/>
          <w:szCs w:val="22"/>
        </w:rPr>
      </w:pPr>
    </w:p>
    <w:p w14:paraId="7D45A582" w14:textId="77777777" w:rsidR="00E565A0" w:rsidRPr="006E246F" w:rsidRDefault="009458BD">
      <w:pPr>
        <w:tabs>
          <w:tab w:val="left" w:pos="4962"/>
        </w:tabs>
        <w:spacing w:line="360" w:lineRule="auto"/>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 xml:space="preserve">Del último párrafo se advierte que para obtener la licencia de chofer para servicio público con vigencia de dos años se debe acreditar la capacitación y/o certificación respectiva para operador de transporte público. </w:t>
      </w:r>
    </w:p>
    <w:p w14:paraId="73EB6D40" w14:textId="77777777" w:rsidR="00E565A0" w:rsidRPr="006E246F" w:rsidRDefault="00E565A0">
      <w:pPr>
        <w:tabs>
          <w:tab w:val="left" w:pos="4962"/>
        </w:tabs>
        <w:spacing w:line="360" w:lineRule="auto"/>
        <w:jc w:val="both"/>
        <w:rPr>
          <w:rFonts w:ascii="Palatino Linotype" w:eastAsia="Palatino Linotype" w:hAnsi="Palatino Linotype" w:cs="Palatino Linotype"/>
          <w:sz w:val="22"/>
          <w:szCs w:val="22"/>
        </w:rPr>
      </w:pPr>
    </w:p>
    <w:p w14:paraId="29CB285D" w14:textId="77777777" w:rsidR="00E565A0" w:rsidRPr="006E246F" w:rsidRDefault="009458BD">
      <w:pPr>
        <w:spacing w:line="360" w:lineRule="auto"/>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 xml:space="preserve">De ahí que, para las operadoras de transporte público que cuentan con licencia de chofer para servicio público, les debieron impartir la capacitación y/o certificación respectiva. </w:t>
      </w:r>
    </w:p>
    <w:p w14:paraId="71D831DA" w14:textId="77777777" w:rsidR="00E565A0" w:rsidRPr="006E246F" w:rsidRDefault="00E565A0">
      <w:pPr>
        <w:spacing w:line="360" w:lineRule="auto"/>
        <w:jc w:val="both"/>
        <w:rPr>
          <w:rFonts w:ascii="Palatino Linotype" w:eastAsia="Palatino Linotype" w:hAnsi="Palatino Linotype" w:cs="Palatino Linotype"/>
          <w:sz w:val="22"/>
          <w:szCs w:val="22"/>
        </w:rPr>
      </w:pPr>
    </w:p>
    <w:p w14:paraId="0DFD6FA2" w14:textId="77777777" w:rsidR="00E565A0" w:rsidRPr="006E246F" w:rsidRDefault="009458BD">
      <w:pPr>
        <w:spacing w:line="360" w:lineRule="auto"/>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Ahora, en cuanto al ámbito competencial del ente obligado para contar con las capacitaciones o certificaciones que les fueron impartidas a operadoras de transporte público en los últimos años, es de señalar que la Secretaría de Movilidad cuenta con un órgano desconcentrado como lo es el Instituto del Transporte del Estado de México, mismo que resulta competente para conocer de lo solicitado, pues conforme su Manual de Organización vigente, tiene dentro de sus atribuciones las siguientes:</w:t>
      </w:r>
    </w:p>
    <w:p w14:paraId="4EB06202" w14:textId="77777777" w:rsidR="00E565A0" w:rsidRPr="006E246F" w:rsidRDefault="00E565A0">
      <w:pPr>
        <w:spacing w:line="360" w:lineRule="auto"/>
        <w:jc w:val="both"/>
        <w:rPr>
          <w:rFonts w:ascii="Palatino Linotype" w:eastAsia="Palatino Linotype" w:hAnsi="Palatino Linotype" w:cs="Palatino Linotype"/>
          <w:sz w:val="22"/>
          <w:szCs w:val="22"/>
        </w:rPr>
      </w:pPr>
    </w:p>
    <w:p w14:paraId="5FACBD7E" w14:textId="77777777" w:rsidR="00E565A0" w:rsidRPr="006E246F" w:rsidRDefault="009458BD">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Elaborar, estructurar y diseñar los programas de capacitación a que deberán sujetarse las instituciones, empresas u organizaciones registradas y autorizadas para esos efectos.</w:t>
      </w:r>
    </w:p>
    <w:p w14:paraId="00EE71A7" w14:textId="77777777" w:rsidR="00E565A0" w:rsidRPr="006E246F" w:rsidRDefault="00E565A0">
      <w:pPr>
        <w:pBdr>
          <w:top w:val="nil"/>
          <w:left w:val="nil"/>
          <w:bottom w:val="nil"/>
          <w:right w:val="nil"/>
          <w:between w:val="nil"/>
        </w:pBdr>
        <w:spacing w:line="360" w:lineRule="auto"/>
        <w:ind w:left="360"/>
        <w:jc w:val="both"/>
        <w:rPr>
          <w:rFonts w:ascii="Palatino Linotype" w:eastAsia="Palatino Linotype" w:hAnsi="Palatino Linotype" w:cs="Palatino Linotype"/>
          <w:sz w:val="22"/>
          <w:szCs w:val="22"/>
        </w:rPr>
      </w:pPr>
    </w:p>
    <w:p w14:paraId="568AD634" w14:textId="77777777" w:rsidR="00E565A0" w:rsidRPr="006E246F" w:rsidRDefault="009458BD">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Difundir entre los representantes legales de instituciones, empresas y organizaciones del transporte los programas de capacitación y demás acciones tendientes a la profesionalización de los concesionarios, permisionarios y operadores.</w:t>
      </w:r>
    </w:p>
    <w:p w14:paraId="27486E1F" w14:textId="77777777" w:rsidR="00E565A0" w:rsidRPr="006E246F" w:rsidRDefault="00E565A0">
      <w:pPr>
        <w:pBdr>
          <w:top w:val="nil"/>
          <w:left w:val="nil"/>
          <w:bottom w:val="nil"/>
          <w:right w:val="nil"/>
          <w:between w:val="nil"/>
        </w:pBdr>
        <w:ind w:left="720"/>
        <w:rPr>
          <w:rFonts w:ascii="Palatino Linotype" w:eastAsia="Palatino Linotype" w:hAnsi="Palatino Linotype" w:cs="Palatino Linotype"/>
          <w:sz w:val="22"/>
          <w:szCs w:val="22"/>
        </w:rPr>
      </w:pPr>
    </w:p>
    <w:p w14:paraId="20B5696A" w14:textId="77777777" w:rsidR="00E565A0" w:rsidRPr="006E246F" w:rsidRDefault="009458BD">
      <w:pPr>
        <w:numPr>
          <w:ilvl w:val="0"/>
          <w:numId w:val="6"/>
        </w:numPr>
        <w:pBdr>
          <w:top w:val="nil"/>
          <w:left w:val="nil"/>
          <w:bottom w:val="nil"/>
          <w:right w:val="nil"/>
          <w:between w:val="nil"/>
        </w:pBdr>
        <w:spacing w:line="360" w:lineRule="auto"/>
        <w:jc w:val="both"/>
        <w:rPr>
          <w:rFonts w:ascii="Palatino Linotype" w:eastAsia="Palatino Linotype" w:hAnsi="Palatino Linotype" w:cs="Palatino Linotype"/>
          <w:b/>
          <w:sz w:val="22"/>
          <w:szCs w:val="22"/>
        </w:rPr>
      </w:pPr>
      <w:r w:rsidRPr="006E246F">
        <w:rPr>
          <w:rFonts w:ascii="Palatino Linotype" w:eastAsia="Palatino Linotype" w:hAnsi="Palatino Linotype" w:cs="Palatino Linotype"/>
          <w:b/>
          <w:sz w:val="22"/>
          <w:szCs w:val="22"/>
        </w:rPr>
        <w:t>Planear y coordinar con las diferentes entidades gubernamentales, organizaciones y empresas especializadas en el servicio de transporte público, programas de capacitación acorde a las necesidades, propuestas y regulaciones de cada una de éstas.</w:t>
      </w:r>
    </w:p>
    <w:p w14:paraId="6A99CC4A" w14:textId="77777777" w:rsidR="00E565A0" w:rsidRPr="006E246F" w:rsidRDefault="00E565A0">
      <w:pPr>
        <w:spacing w:line="360" w:lineRule="auto"/>
        <w:jc w:val="both"/>
        <w:rPr>
          <w:rFonts w:ascii="Palatino Linotype" w:eastAsia="Palatino Linotype" w:hAnsi="Palatino Linotype" w:cs="Palatino Linotype"/>
          <w:sz w:val="22"/>
          <w:szCs w:val="22"/>
        </w:rPr>
      </w:pPr>
    </w:p>
    <w:p w14:paraId="293F2959" w14:textId="77777777" w:rsidR="00E565A0" w:rsidRPr="006E246F" w:rsidRDefault="009458BD">
      <w:pPr>
        <w:spacing w:line="360" w:lineRule="auto"/>
        <w:jc w:val="both"/>
        <w:rPr>
          <w:rFonts w:ascii="Palatino Linotype" w:eastAsia="Palatino Linotype" w:hAnsi="Palatino Linotype" w:cs="Palatino Linotype"/>
          <w:b/>
          <w:sz w:val="22"/>
          <w:szCs w:val="22"/>
        </w:rPr>
      </w:pPr>
      <w:r w:rsidRPr="006E246F">
        <w:rPr>
          <w:rFonts w:ascii="Palatino Linotype" w:eastAsia="Palatino Linotype" w:hAnsi="Palatino Linotype" w:cs="Palatino Linotype"/>
          <w:sz w:val="22"/>
          <w:szCs w:val="22"/>
        </w:rPr>
        <w:lastRenderedPageBreak/>
        <w:t xml:space="preserve">Ahora, en respuesta es de recordar que el </w:t>
      </w:r>
      <w:r w:rsidRPr="006E246F">
        <w:rPr>
          <w:rFonts w:ascii="Palatino Linotype" w:eastAsia="Palatino Linotype" w:hAnsi="Palatino Linotype" w:cs="Palatino Linotype"/>
          <w:b/>
          <w:sz w:val="22"/>
          <w:szCs w:val="22"/>
        </w:rPr>
        <w:t xml:space="preserve">Sujeto Obligado </w:t>
      </w:r>
      <w:r w:rsidRPr="006E246F">
        <w:rPr>
          <w:rFonts w:ascii="Palatino Linotype" w:eastAsia="Palatino Linotype" w:hAnsi="Palatino Linotype" w:cs="Palatino Linotype"/>
          <w:sz w:val="22"/>
          <w:szCs w:val="22"/>
        </w:rPr>
        <w:t xml:space="preserve">se pronunció por conducto del </w:t>
      </w:r>
      <w:proofErr w:type="gramStart"/>
      <w:r w:rsidRPr="006E246F">
        <w:rPr>
          <w:rFonts w:ascii="Palatino Linotype" w:eastAsia="Palatino Linotype" w:hAnsi="Palatino Linotype" w:cs="Palatino Linotype"/>
          <w:sz w:val="22"/>
          <w:szCs w:val="22"/>
        </w:rPr>
        <w:t>Subdirector</w:t>
      </w:r>
      <w:proofErr w:type="gramEnd"/>
      <w:r w:rsidRPr="006E246F">
        <w:rPr>
          <w:rFonts w:ascii="Palatino Linotype" w:eastAsia="Palatino Linotype" w:hAnsi="Palatino Linotype" w:cs="Palatino Linotype"/>
          <w:sz w:val="22"/>
          <w:szCs w:val="22"/>
        </w:rPr>
        <w:t xml:space="preserve"> de Normatividad y Capacitación del Instituto del Transporte del Estado de México; no obstante, de la respuesta se advierte que el mismo proporcionó los temarios respecto de los cuales las operadoras y operadoras del transporte público del Estado de México</w:t>
      </w:r>
      <w:r w:rsidRPr="006E246F">
        <w:rPr>
          <w:rFonts w:ascii="Palatino Linotype" w:eastAsia="Palatino Linotype" w:hAnsi="Palatino Linotype" w:cs="Palatino Linotype"/>
          <w:sz w:val="22"/>
          <w:szCs w:val="22"/>
          <w:u w:val="single"/>
        </w:rPr>
        <w:t>, se pueden capacitar.</w:t>
      </w:r>
    </w:p>
    <w:p w14:paraId="7721F579" w14:textId="77777777" w:rsidR="00E565A0" w:rsidRPr="006E246F" w:rsidRDefault="00E565A0">
      <w:pPr>
        <w:spacing w:line="360" w:lineRule="auto"/>
        <w:jc w:val="both"/>
        <w:rPr>
          <w:rFonts w:ascii="Palatino Linotype" w:eastAsia="Palatino Linotype" w:hAnsi="Palatino Linotype" w:cs="Palatino Linotype"/>
          <w:sz w:val="22"/>
          <w:szCs w:val="22"/>
        </w:rPr>
      </w:pPr>
    </w:p>
    <w:p w14:paraId="6CD3215C" w14:textId="77777777" w:rsidR="00E565A0" w:rsidRPr="006E246F" w:rsidRDefault="009458BD">
      <w:pPr>
        <w:spacing w:line="360" w:lineRule="auto"/>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 xml:space="preserve">Asimismo, vía informe justificado </w:t>
      </w:r>
      <w:r w:rsidRPr="006E246F">
        <w:rPr>
          <w:rFonts w:ascii="Palatino Linotype" w:eastAsia="Palatino Linotype" w:hAnsi="Palatino Linotype" w:cs="Palatino Linotype"/>
          <w:b/>
          <w:sz w:val="22"/>
          <w:szCs w:val="22"/>
        </w:rPr>
        <w:t xml:space="preserve">el </w:t>
      </w:r>
      <w:proofErr w:type="gramStart"/>
      <w:r w:rsidRPr="006E246F">
        <w:rPr>
          <w:rFonts w:ascii="Palatino Linotype" w:eastAsia="Palatino Linotype" w:hAnsi="Palatino Linotype" w:cs="Palatino Linotype"/>
          <w:b/>
          <w:sz w:val="22"/>
          <w:szCs w:val="22"/>
        </w:rPr>
        <w:t>Jefe</w:t>
      </w:r>
      <w:proofErr w:type="gramEnd"/>
      <w:r w:rsidRPr="006E246F">
        <w:rPr>
          <w:rFonts w:ascii="Palatino Linotype" w:eastAsia="Palatino Linotype" w:hAnsi="Palatino Linotype" w:cs="Palatino Linotype"/>
          <w:b/>
          <w:sz w:val="22"/>
          <w:szCs w:val="22"/>
        </w:rPr>
        <w:t xml:space="preserve"> de Departamento de Normatividad del Instituto del Transporte del Estado de México informó</w:t>
      </w:r>
      <w:r w:rsidRPr="006E246F">
        <w:rPr>
          <w:rFonts w:ascii="Palatino Linotype" w:eastAsia="Palatino Linotype" w:hAnsi="Palatino Linotype" w:cs="Palatino Linotype"/>
          <w:sz w:val="22"/>
          <w:szCs w:val="22"/>
        </w:rPr>
        <w:t xml:space="preserve"> que </w:t>
      </w:r>
      <w:r w:rsidRPr="006E246F">
        <w:rPr>
          <w:rFonts w:ascii="Palatino Linotype" w:eastAsia="Palatino Linotype" w:hAnsi="Palatino Linotype" w:cs="Palatino Linotype"/>
          <w:b/>
          <w:sz w:val="22"/>
          <w:szCs w:val="22"/>
        </w:rPr>
        <w:t>los reconocimientos otorgados en el marco de la capacitación del Programa "Mujeres al Volante" no revisten el carácter de documentos públicos</w:t>
      </w:r>
      <w:r w:rsidRPr="006E246F">
        <w:rPr>
          <w:rFonts w:ascii="Palatino Linotype" w:eastAsia="Palatino Linotype" w:hAnsi="Palatino Linotype" w:cs="Palatino Linotype"/>
          <w:sz w:val="22"/>
          <w:szCs w:val="22"/>
        </w:rPr>
        <w:t>, ya que dichos instrumentos contienen datos personales de las participantes, quienes no ostentan la calidad de servidoras públicas, lo que confiere a la información contenida en ellos la naturaleza de confidencial.</w:t>
      </w:r>
    </w:p>
    <w:p w14:paraId="7AB3B0BE" w14:textId="77777777" w:rsidR="00E565A0" w:rsidRPr="006E246F" w:rsidRDefault="00E565A0">
      <w:pPr>
        <w:spacing w:line="360" w:lineRule="auto"/>
        <w:jc w:val="both"/>
        <w:rPr>
          <w:rFonts w:ascii="Palatino Linotype" w:eastAsia="Palatino Linotype" w:hAnsi="Palatino Linotype" w:cs="Palatino Linotype"/>
          <w:sz w:val="22"/>
          <w:szCs w:val="22"/>
        </w:rPr>
      </w:pPr>
    </w:p>
    <w:p w14:paraId="5A905FA2" w14:textId="77777777" w:rsidR="00E565A0" w:rsidRPr="006E246F" w:rsidRDefault="009458BD">
      <w:pPr>
        <w:spacing w:line="360" w:lineRule="auto"/>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 xml:space="preserve">De lo anterior, si bien los servidores públicos habilitados competentes del Instituto del Transporte del Estado de México se pronunciaron sobre el requerimiento en cuestión, </w:t>
      </w:r>
      <w:proofErr w:type="spellStart"/>
      <w:r w:rsidRPr="006E246F">
        <w:rPr>
          <w:rFonts w:ascii="Palatino Linotype" w:eastAsia="Palatino Linotype" w:hAnsi="Palatino Linotype" w:cs="Palatino Linotype"/>
          <w:sz w:val="22"/>
          <w:szCs w:val="22"/>
        </w:rPr>
        <w:t>tambien</w:t>
      </w:r>
      <w:proofErr w:type="spellEnd"/>
      <w:r w:rsidRPr="006E246F">
        <w:rPr>
          <w:rFonts w:ascii="Palatino Linotype" w:eastAsia="Palatino Linotype" w:hAnsi="Palatino Linotype" w:cs="Palatino Linotype"/>
          <w:sz w:val="22"/>
          <w:szCs w:val="22"/>
        </w:rPr>
        <w:t xml:space="preserve"> lo es que la información entregada no colma lo solicitado, en virtud de que se entregaron los temarios respecto de los cuales los operadores de transporte público se pueden capacitar, no las capacitaciones o certificaciones que se otorgaron a dichos operadores en los últimos dos años inmediatos anteriores a la fecha de la solicitud, que es lo que requirió el particular.</w:t>
      </w:r>
    </w:p>
    <w:p w14:paraId="6FB1B85E" w14:textId="77777777" w:rsidR="00E565A0" w:rsidRPr="006E246F" w:rsidRDefault="00E565A0">
      <w:pPr>
        <w:spacing w:line="360" w:lineRule="auto"/>
        <w:jc w:val="both"/>
        <w:rPr>
          <w:rFonts w:ascii="Palatino Linotype" w:eastAsia="Palatino Linotype" w:hAnsi="Palatino Linotype" w:cs="Palatino Linotype"/>
          <w:sz w:val="22"/>
          <w:szCs w:val="22"/>
        </w:rPr>
      </w:pPr>
    </w:p>
    <w:p w14:paraId="0FFAEB48" w14:textId="77777777" w:rsidR="00E565A0" w:rsidRPr="006E246F" w:rsidRDefault="009458BD">
      <w:pPr>
        <w:spacing w:line="360" w:lineRule="auto"/>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Máxime que si bien del informe justificado se advierte que se otorgó la capacitación bajo el Programa "Mujeres al Volante"; no se advierte pronunciamiento del servidor público habilitado competente, en el sentido de que esa capacitación fue la única que se brindó en la temporalidad solicitada.</w:t>
      </w:r>
    </w:p>
    <w:p w14:paraId="2820E9D2" w14:textId="77777777" w:rsidR="00E565A0" w:rsidRPr="006E246F" w:rsidRDefault="00E565A0">
      <w:pPr>
        <w:spacing w:line="360" w:lineRule="auto"/>
        <w:jc w:val="both"/>
        <w:rPr>
          <w:rFonts w:ascii="Palatino Linotype" w:eastAsia="Palatino Linotype" w:hAnsi="Palatino Linotype" w:cs="Palatino Linotype"/>
          <w:sz w:val="22"/>
          <w:szCs w:val="22"/>
        </w:rPr>
      </w:pPr>
    </w:p>
    <w:p w14:paraId="11B6EDC4" w14:textId="77777777" w:rsidR="00E565A0" w:rsidRPr="006E246F" w:rsidRDefault="009458BD">
      <w:pPr>
        <w:spacing w:line="360" w:lineRule="auto"/>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lastRenderedPageBreak/>
        <w:t xml:space="preserve">Aunado a que, de la solicitud no se advierte que se hayan solicitado los reconocimientos de la capacitación indicada; </w:t>
      </w:r>
      <w:r w:rsidRPr="006E246F">
        <w:rPr>
          <w:rFonts w:ascii="Palatino Linotype" w:eastAsia="Palatino Linotype" w:hAnsi="Palatino Linotype" w:cs="Palatino Linotype"/>
          <w:b/>
          <w:sz w:val="22"/>
          <w:szCs w:val="22"/>
        </w:rPr>
        <w:t>pues lo que requiere el particular es conocer cuáles fueron las capacitaciones o certificaciones que se impartieron a las operadoras de transporte público, en los últimos dos años inmediatos anteriores a la fecha de la solicitud</w:t>
      </w:r>
      <w:r w:rsidRPr="006E246F">
        <w:rPr>
          <w:rFonts w:ascii="Palatino Linotype" w:eastAsia="Palatino Linotype" w:hAnsi="Palatino Linotype" w:cs="Palatino Linotype"/>
          <w:sz w:val="22"/>
          <w:szCs w:val="22"/>
        </w:rPr>
        <w:t>, esto es, del diecinueve de febrero de dos mil veintitrés al diecinueve de febrero de dos mil veinticinco.</w:t>
      </w:r>
    </w:p>
    <w:p w14:paraId="31CC2ED4" w14:textId="77777777" w:rsidR="00E565A0" w:rsidRPr="006E246F" w:rsidRDefault="00E565A0">
      <w:pPr>
        <w:spacing w:line="360" w:lineRule="auto"/>
        <w:jc w:val="both"/>
        <w:rPr>
          <w:rFonts w:ascii="Palatino Linotype" w:eastAsia="Palatino Linotype" w:hAnsi="Palatino Linotype" w:cs="Palatino Linotype"/>
          <w:sz w:val="22"/>
          <w:szCs w:val="22"/>
        </w:rPr>
      </w:pPr>
    </w:p>
    <w:p w14:paraId="012D3E75" w14:textId="77777777" w:rsidR="00E565A0" w:rsidRPr="006E246F" w:rsidRDefault="009458BD">
      <w:pPr>
        <w:spacing w:line="360" w:lineRule="auto"/>
        <w:jc w:val="both"/>
        <w:rPr>
          <w:rFonts w:ascii="Palatino Linotype" w:eastAsia="Palatino Linotype" w:hAnsi="Palatino Linotype" w:cs="Palatino Linotype"/>
          <w:sz w:val="22"/>
          <w:szCs w:val="22"/>
        </w:rPr>
      </w:pPr>
      <w:bookmarkStart w:id="9" w:name="_heading=h.crwnlvvogd6" w:colFirst="0" w:colLast="0"/>
      <w:bookmarkEnd w:id="9"/>
      <w:r w:rsidRPr="006E246F">
        <w:rPr>
          <w:rFonts w:ascii="Palatino Linotype" w:eastAsia="Palatino Linotype" w:hAnsi="Palatino Linotype" w:cs="Palatino Linotype"/>
          <w:sz w:val="22"/>
          <w:szCs w:val="22"/>
        </w:rPr>
        <w:t xml:space="preserve">Por tanto, se considera que para resarcir al particular en el ejercicio de su derecho de acceso a la información pública se deberá hacer entrega, previa búsqueda exhaustiva y razonable, de ser procedente en versión pública; </w:t>
      </w:r>
      <w:r w:rsidRPr="006E246F">
        <w:rPr>
          <w:rFonts w:ascii="Palatino Linotype" w:eastAsia="Palatino Linotype" w:hAnsi="Palatino Linotype" w:cs="Palatino Linotype"/>
          <w:b/>
          <w:sz w:val="22"/>
          <w:szCs w:val="22"/>
        </w:rPr>
        <w:t>los documentos que demuestren las capacitaciones o certificaciones que se impartieron a las operadoras de transporte público, del diecinueve de febrero de dos mil veintitrés al diecinueve de febrero de dos mil veinticinco.</w:t>
      </w:r>
    </w:p>
    <w:p w14:paraId="3FC1ADE6" w14:textId="77777777" w:rsidR="00E565A0" w:rsidRPr="006E246F" w:rsidRDefault="00E565A0">
      <w:pPr>
        <w:spacing w:line="360" w:lineRule="auto"/>
        <w:jc w:val="both"/>
        <w:rPr>
          <w:rFonts w:ascii="Palatino Linotype" w:eastAsia="Palatino Linotype" w:hAnsi="Palatino Linotype" w:cs="Palatino Linotype"/>
          <w:sz w:val="22"/>
          <w:szCs w:val="22"/>
        </w:rPr>
      </w:pPr>
    </w:p>
    <w:p w14:paraId="04392E85" w14:textId="77777777" w:rsidR="00E565A0" w:rsidRPr="006E246F" w:rsidRDefault="009458BD">
      <w:pPr>
        <w:numPr>
          <w:ilvl w:val="0"/>
          <w:numId w:val="4"/>
        </w:numPr>
        <w:pBdr>
          <w:top w:val="nil"/>
          <w:left w:val="nil"/>
          <w:bottom w:val="nil"/>
          <w:right w:val="nil"/>
          <w:between w:val="nil"/>
        </w:pBdr>
        <w:spacing w:line="360" w:lineRule="auto"/>
        <w:ind w:left="426"/>
        <w:jc w:val="both"/>
        <w:rPr>
          <w:rFonts w:ascii="Palatino Linotype" w:eastAsia="Palatino Linotype" w:hAnsi="Palatino Linotype" w:cs="Palatino Linotype"/>
          <w:b/>
          <w:sz w:val="22"/>
          <w:szCs w:val="22"/>
        </w:rPr>
      </w:pPr>
      <w:r w:rsidRPr="006E246F">
        <w:rPr>
          <w:rFonts w:ascii="Palatino Linotype" w:eastAsia="Palatino Linotype" w:hAnsi="Palatino Linotype" w:cs="Palatino Linotype"/>
          <w:b/>
          <w:sz w:val="22"/>
          <w:szCs w:val="22"/>
        </w:rPr>
        <w:t>Licencias de manejo de las operadoras de transporte público:</w:t>
      </w:r>
    </w:p>
    <w:p w14:paraId="20BA5AB7" w14:textId="77777777" w:rsidR="00E565A0" w:rsidRPr="006E246F" w:rsidRDefault="00E565A0">
      <w:pPr>
        <w:spacing w:line="360" w:lineRule="auto"/>
        <w:ind w:left="66"/>
        <w:jc w:val="both"/>
        <w:rPr>
          <w:rFonts w:ascii="Palatino Linotype" w:eastAsia="Palatino Linotype" w:hAnsi="Palatino Linotype" w:cs="Palatino Linotype"/>
          <w:b/>
          <w:sz w:val="22"/>
          <w:szCs w:val="22"/>
        </w:rPr>
      </w:pPr>
    </w:p>
    <w:p w14:paraId="2836F360" w14:textId="77777777" w:rsidR="00E565A0" w:rsidRPr="006E246F" w:rsidRDefault="009458BD">
      <w:pPr>
        <w:spacing w:line="360" w:lineRule="auto"/>
        <w:ind w:left="66"/>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Sobre el requerimiento en análisis se advierte vía informe justificado la Dirección del Registro de Licencias y Operadores, refirió que entre las atribuciones tiene la de expedir licencias, no así resguardarlas, pues dichos documentos son entregados al solicitante al momento de concluir el procedimiento correspondiente; por lo que, únicamente se tiene el número de trámites realizados por esa Dirección a través de sus unidades administrativas.</w:t>
      </w:r>
    </w:p>
    <w:p w14:paraId="5F237BFF" w14:textId="77777777" w:rsidR="00E565A0" w:rsidRPr="006E246F" w:rsidRDefault="00E565A0">
      <w:pPr>
        <w:spacing w:line="360" w:lineRule="auto"/>
        <w:ind w:left="66"/>
        <w:jc w:val="both"/>
        <w:rPr>
          <w:rFonts w:ascii="Palatino Linotype" w:eastAsia="Palatino Linotype" w:hAnsi="Palatino Linotype" w:cs="Palatino Linotype"/>
          <w:sz w:val="22"/>
          <w:szCs w:val="22"/>
        </w:rPr>
      </w:pPr>
    </w:p>
    <w:p w14:paraId="6F58C278" w14:textId="77777777" w:rsidR="00E565A0" w:rsidRPr="006E246F" w:rsidRDefault="009458BD">
      <w:pPr>
        <w:spacing w:line="360" w:lineRule="auto"/>
        <w:ind w:left="66"/>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 xml:space="preserve">Atendiendo el pronunciamiento del servidor público habilitado competente, es de recordar </w:t>
      </w:r>
      <w:proofErr w:type="gramStart"/>
      <w:r w:rsidRPr="006E246F">
        <w:rPr>
          <w:rFonts w:ascii="Palatino Linotype" w:eastAsia="Palatino Linotype" w:hAnsi="Palatino Linotype" w:cs="Palatino Linotype"/>
          <w:sz w:val="22"/>
          <w:szCs w:val="22"/>
        </w:rPr>
        <w:t>que</w:t>
      </w:r>
      <w:proofErr w:type="gramEnd"/>
      <w:r w:rsidRPr="006E246F">
        <w:rPr>
          <w:rFonts w:ascii="Palatino Linotype" w:eastAsia="Palatino Linotype" w:hAnsi="Palatino Linotype" w:cs="Palatino Linotype"/>
          <w:sz w:val="22"/>
          <w:szCs w:val="22"/>
        </w:rPr>
        <w:t xml:space="preserve"> de acuerdo con el Manual de Organización de la Secretaría de Movilidad, dicha Dirección tiene como atribuciones:</w:t>
      </w:r>
    </w:p>
    <w:p w14:paraId="3B2977D2" w14:textId="77777777" w:rsidR="00E565A0" w:rsidRPr="006E246F" w:rsidRDefault="00E565A0">
      <w:pPr>
        <w:spacing w:line="360" w:lineRule="auto"/>
        <w:ind w:left="66"/>
        <w:jc w:val="both"/>
        <w:rPr>
          <w:rFonts w:ascii="Palatino Linotype" w:eastAsia="Palatino Linotype" w:hAnsi="Palatino Linotype" w:cs="Palatino Linotype"/>
          <w:sz w:val="22"/>
          <w:szCs w:val="22"/>
        </w:rPr>
      </w:pPr>
    </w:p>
    <w:p w14:paraId="40E68171" w14:textId="77777777" w:rsidR="00E565A0" w:rsidRPr="006E246F" w:rsidRDefault="009458BD">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lastRenderedPageBreak/>
        <w:t xml:space="preserve">Verificar que los trámites de expedición de licencias de conducir de servicio público y particular, así como los permisos provisionales de práctica en sus distintas modalidades se realicen de forma sencilla y expedita. </w:t>
      </w:r>
    </w:p>
    <w:p w14:paraId="660090D5" w14:textId="77777777" w:rsidR="00E565A0" w:rsidRPr="006E246F" w:rsidRDefault="00E565A0">
      <w:pPr>
        <w:pBdr>
          <w:top w:val="nil"/>
          <w:left w:val="nil"/>
          <w:bottom w:val="nil"/>
          <w:right w:val="nil"/>
          <w:between w:val="nil"/>
        </w:pBdr>
        <w:spacing w:line="360" w:lineRule="auto"/>
        <w:ind w:left="426"/>
        <w:jc w:val="both"/>
        <w:rPr>
          <w:rFonts w:ascii="Palatino Linotype" w:eastAsia="Palatino Linotype" w:hAnsi="Palatino Linotype" w:cs="Palatino Linotype"/>
          <w:sz w:val="22"/>
          <w:szCs w:val="22"/>
        </w:rPr>
      </w:pPr>
    </w:p>
    <w:p w14:paraId="3EC131D7" w14:textId="77777777" w:rsidR="00E565A0" w:rsidRPr="006E246F" w:rsidRDefault="009458BD">
      <w:pPr>
        <w:numPr>
          <w:ilvl w:val="0"/>
          <w:numId w:val="7"/>
        </w:num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Implementar los mecanismos necesarios para garantizar el suministro de formas valoradas y material que se requiera para la expedición de licencias de conducir de servicio público y particular.</w:t>
      </w:r>
    </w:p>
    <w:p w14:paraId="14A1E59E" w14:textId="77777777" w:rsidR="00E565A0" w:rsidRPr="006E246F" w:rsidRDefault="00E565A0">
      <w:pPr>
        <w:spacing w:line="360" w:lineRule="auto"/>
        <w:ind w:left="66"/>
        <w:jc w:val="both"/>
        <w:rPr>
          <w:rFonts w:ascii="Palatino Linotype" w:eastAsia="Palatino Linotype" w:hAnsi="Palatino Linotype" w:cs="Palatino Linotype"/>
          <w:b/>
          <w:sz w:val="22"/>
          <w:szCs w:val="22"/>
        </w:rPr>
      </w:pPr>
    </w:p>
    <w:p w14:paraId="21F29014" w14:textId="77777777" w:rsidR="00E565A0" w:rsidRPr="006E246F" w:rsidRDefault="009458BD">
      <w:pPr>
        <w:spacing w:line="360" w:lineRule="auto"/>
        <w:ind w:left="66"/>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b/>
          <w:sz w:val="22"/>
          <w:szCs w:val="22"/>
        </w:rPr>
        <w:t xml:space="preserve">Por tanto, el </w:t>
      </w:r>
      <w:r w:rsidRPr="006E246F">
        <w:rPr>
          <w:rFonts w:ascii="Palatino Linotype" w:eastAsia="Palatino Linotype" w:hAnsi="Palatino Linotype" w:cs="Palatino Linotype"/>
          <w:sz w:val="22"/>
          <w:szCs w:val="22"/>
        </w:rPr>
        <w:t xml:space="preserve">Sujeto Obligado </w:t>
      </w:r>
      <w:r w:rsidRPr="006E246F">
        <w:rPr>
          <w:rFonts w:ascii="Palatino Linotype" w:eastAsia="Palatino Linotype" w:hAnsi="Palatino Linotype" w:cs="Palatino Linotype"/>
          <w:b/>
          <w:sz w:val="22"/>
          <w:szCs w:val="22"/>
        </w:rPr>
        <w:t>al no tener como atribución</w:t>
      </w:r>
      <w:r w:rsidRPr="006E246F">
        <w:rPr>
          <w:rFonts w:ascii="Palatino Linotype" w:eastAsia="Palatino Linotype" w:hAnsi="Palatino Linotype" w:cs="Palatino Linotype"/>
          <w:sz w:val="22"/>
          <w:szCs w:val="22"/>
        </w:rPr>
        <w:t xml:space="preserve"> el resguardo de las licencias de conducir en sus diversas modalidades; ya que sólo se encarga del trámite de expedición; se colige que no se encuentra constreñido a contar con la información solicitada.</w:t>
      </w:r>
    </w:p>
    <w:p w14:paraId="718E1326" w14:textId="77777777" w:rsidR="00E565A0" w:rsidRPr="006E246F" w:rsidRDefault="00E565A0">
      <w:pPr>
        <w:spacing w:line="360" w:lineRule="auto"/>
        <w:ind w:left="66"/>
        <w:jc w:val="both"/>
        <w:rPr>
          <w:rFonts w:ascii="Palatino Linotype" w:eastAsia="Palatino Linotype" w:hAnsi="Palatino Linotype" w:cs="Palatino Linotype"/>
          <w:sz w:val="22"/>
          <w:szCs w:val="22"/>
        </w:rPr>
      </w:pPr>
    </w:p>
    <w:p w14:paraId="7281885F" w14:textId="77777777" w:rsidR="00E565A0" w:rsidRPr="006E246F" w:rsidRDefault="009458BD">
      <w:pPr>
        <w:spacing w:line="360" w:lineRule="auto"/>
        <w:ind w:right="49"/>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De ahí que no resulte procedente ordenar la entrega de información alguna para atender el requerimiento en cuestión.</w:t>
      </w:r>
    </w:p>
    <w:p w14:paraId="6E59902E" w14:textId="77777777" w:rsidR="00E565A0" w:rsidRPr="006E246F" w:rsidRDefault="00E565A0">
      <w:pPr>
        <w:spacing w:line="360" w:lineRule="auto"/>
        <w:ind w:left="66"/>
        <w:jc w:val="both"/>
        <w:rPr>
          <w:rFonts w:ascii="Palatino Linotype" w:eastAsia="Palatino Linotype" w:hAnsi="Palatino Linotype" w:cs="Palatino Linotype"/>
          <w:b/>
          <w:sz w:val="22"/>
          <w:szCs w:val="22"/>
        </w:rPr>
      </w:pPr>
    </w:p>
    <w:p w14:paraId="7CFD35A9" w14:textId="77777777" w:rsidR="00E565A0" w:rsidRPr="006E246F" w:rsidRDefault="009458BD">
      <w:pPr>
        <w:numPr>
          <w:ilvl w:val="0"/>
          <w:numId w:val="4"/>
        </w:numPr>
        <w:pBdr>
          <w:top w:val="nil"/>
          <w:left w:val="nil"/>
          <w:bottom w:val="nil"/>
          <w:right w:val="nil"/>
          <w:between w:val="nil"/>
        </w:pBdr>
        <w:spacing w:line="360" w:lineRule="auto"/>
        <w:ind w:left="426"/>
        <w:jc w:val="both"/>
        <w:rPr>
          <w:rFonts w:ascii="Palatino Linotype" w:eastAsia="Palatino Linotype" w:hAnsi="Palatino Linotype" w:cs="Palatino Linotype"/>
          <w:b/>
          <w:sz w:val="22"/>
          <w:szCs w:val="22"/>
        </w:rPr>
      </w:pPr>
      <w:r w:rsidRPr="006E246F">
        <w:rPr>
          <w:rFonts w:ascii="Palatino Linotype" w:eastAsia="Palatino Linotype" w:hAnsi="Palatino Linotype" w:cs="Palatino Linotype"/>
          <w:b/>
          <w:sz w:val="22"/>
          <w:szCs w:val="22"/>
        </w:rPr>
        <w:t>Rutas a las que pertenecen las operadoras de transporte público:</w:t>
      </w:r>
    </w:p>
    <w:p w14:paraId="19008577" w14:textId="77777777" w:rsidR="00E565A0" w:rsidRPr="006E246F" w:rsidRDefault="00E565A0">
      <w:pPr>
        <w:spacing w:line="360" w:lineRule="auto"/>
        <w:jc w:val="both"/>
        <w:rPr>
          <w:rFonts w:ascii="Palatino Linotype" w:eastAsia="Palatino Linotype" w:hAnsi="Palatino Linotype" w:cs="Palatino Linotype"/>
          <w:sz w:val="22"/>
          <w:szCs w:val="22"/>
        </w:rPr>
      </w:pPr>
    </w:p>
    <w:p w14:paraId="440CDD74" w14:textId="77777777" w:rsidR="00E565A0" w:rsidRPr="006E246F" w:rsidRDefault="009458BD">
      <w:pPr>
        <w:spacing w:line="360" w:lineRule="auto"/>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Al respecto, es de indicar que sobre el requerimiento en cuestión en respuesta e informe justificado se pronunció el área competente, siendo esta la Dirección del Registro de Licencias y Operadores.</w:t>
      </w:r>
    </w:p>
    <w:p w14:paraId="3C987FF6" w14:textId="77777777" w:rsidR="00E565A0" w:rsidRPr="006E246F" w:rsidRDefault="00E565A0">
      <w:pPr>
        <w:spacing w:line="360" w:lineRule="auto"/>
        <w:jc w:val="both"/>
        <w:rPr>
          <w:rFonts w:ascii="Palatino Linotype" w:eastAsia="Palatino Linotype" w:hAnsi="Palatino Linotype" w:cs="Palatino Linotype"/>
          <w:sz w:val="22"/>
          <w:szCs w:val="22"/>
        </w:rPr>
      </w:pPr>
    </w:p>
    <w:p w14:paraId="4171CB85" w14:textId="77777777" w:rsidR="00E565A0" w:rsidRPr="006E246F" w:rsidRDefault="009458BD">
      <w:pPr>
        <w:spacing w:line="360" w:lineRule="auto"/>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 xml:space="preserve">Sin embargo, esta refirió que sobre la ruta a la que pertenecen </w:t>
      </w:r>
      <w:proofErr w:type="gramStart"/>
      <w:r w:rsidRPr="006E246F">
        <w:rPr>
          <w:rFonts w:ascii="Palatino Linotype" w:eastAsia="Palatino Linotype" w:hAnsi="Palatino Linotype" w:cs="Palatino Linotype"/>
          <w:sz w:val="22"/>
          <w:szCs w:val="22"/>
        </w:rPr>
        <w:t>las operadores</w:t>
      </w:r>
      <w:proofErr w:type="gramEnd"/>
      <w:r w:rsidRPr="006E246F">
        <w:rPr>
          <w:rFonts w:ascii="Palatino Linotype" w:eastAsia="Palatino Linotype" w:hAnsi="Palatino Linotype" w:cs="Palatino Linotype"/>
          <w:sz w:val="22"/>
          <w:szCs w:val="22"/>
        </w:rPr>
        <w:t xml:space="preserve"> se hace del conocimiento que, no se cuenta con dicha información; ya que, las licencias de conducir y tarjeta de identificación hoy denominado certificado médico toxicológico, son documentos que no contienen información relativa a una empresa; en virtud de que, no es un dato relacionado a dichos documentos.</w:t>
      </w:r>
    </w:p>
    <w:p w14:paraId="45998E46" w14:textId="77777777" w:rsidR="00E565A0" w:rsidRPr="006E246F" w:rsidRDefault="00E565A0">
      <w:pPr>
        <w:spacing w:line="360" w:lineRule="auto"/>
        <w:jc w:val="both"/>
        <w:rPr>
          <w:rFonts w:ascii="Palatino Linotype" w:eastAsia="Palatino Linotype" w:hAnsi="Palatino Linotype" w:cs="Palatino Linotype"/>
          <w:sz w:val="22"/>
          <w:szCs w:val="22"/>
        </w:rPr>
      </w:pPr>
    </w:p>
    <w:p w14:paraId="2EF3EEEB" w14:textId="77777777" w:rsidR="00E565A0" w:rsidRPr="006E246F" w:rsidRDefault="009458BD">
      <w:pPr>
        <w:spacing w:line="360" w:lineRule="auto"/>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lastRenderedPageBreak/>
        <w:t>Asimismo, se indicó que se emiten las licencias de conducir tanto para el servicio de transporte público, como para el servicio particular, no obstante, para el caso específico de licencias de conducir para servicio público, dichas personas no están obligadas a informar a que empresa y/o persona física prestaran sus servicios como operadores, toda vez, que es una profesión que ellos prestan en libre albedrío, puesto que no es un requisito previsto en el artículo 43 inciso C) del Reglamento de Tránsito del Estado de México, a saber:</w:t>
      </w:r>
    </w:p>
    <w:p w14:paraId="5F217EE4" w14:textId="77777777" w:rsidR="00E565A0" w:rsidRPr="006E246F" w:rsidRDefault="00E565A0">
      <w:pPr>
        <w:spacing w:line="360" w:lineRule="auto"/>
        <w:jc w:val="both"/>
        <w:rPr>
          <w:rFonts w:ascii="Palatino Linotype" w:eastAsia="Palatino Linotype" w:hAnsi="Palatino Linotype" w:cs="Palatino Linotype"/>
          <w:sz w:val="22"/>
          <w:szCs w:val="22"/>
        </w:rPr>
      </w:pPr>
    </w:p>
    <w:p w14:paraId="230DE2A5" w14:textId="77777777" w:rsidR="00E565A0" w:rsidRPr="006E246F" w:rsidRDefault="009458BD">
      <w:pPr>
        <w:spacing w:line="360" w:lineRule="auto"/>
        <w:ind w:left="567" w:right="474"/>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i/>
          <w:sz w:val="22"/>
          <w:szCs w:val="22"/>
        </w:rPr>
        <w:t>“Artículo 43. Para la obtención de licencias y tarjeta de identificación personal se requiere lo siguiente:</w:t>
      </w:r>
    </w:p>
    <w:p w14:paraId="66BCAA68" w14:textId="77777777" w:rsidR="00E565A0" w:rsidRPr="006E246F" w:rsidRDefault="009458BD">
      <w:pPr>
        <w:spacing w:line="360" w:lineRule="auto"/>
        <w:ind w:left="567" w:right="474"/>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i/>
          <w:sz w:val="22"/>
          <w:szCs w:val="22"/>
        </w:rPr>
        <w:t>[…]</w:t>
      </w:r>
    </w:p>
    <w:p w14:paraId="6EE24925" w14:textId="77777777" w:rsidR="00E565A0" w:rsidRPr="006E246F" w:rsidRDefault="009458BD">
      <w:pPr>
        <w:spacing w:line="360" w:lineRule="auto"/>
        <w:ind w:left="567" w:right="474"/>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i/>
          <w:sz w:val="22"/>
          <w:szCs w:val="22"/>
        </w:rPr>
        <w:t xml:space="preserve">C) Chofer para servicio público y la tarjeta de identificación personal para operadores de transporte público: </w:t>
      </w:r>
    </w:p>
    <w:p w14:paraId="7A1D09D2" w14:textId="77777777" w:rsidR="00E565A0" w:rsidRPr="006E246F" w:rsidRDefault="009458BD">
      <w:pPr>
        <w:spacing w:line="360" w:lineRule="auto"/>
        <w:ind w:left="567" w:right="474"/>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i/>
          <w:sz w:val="22"/>
          <w:szCs w:val="22"/>
        </w:rPr>
        <w:t xml:space="preserve">I. Pagar los derechos respectivos, </w:t>
      </w:r>
    </w:p>
    <w:p w14:paraId="470EC762" w14:textId="77777777" w:rsidR="00E565A0" w:rsidRPr="006E246F" w:rsidRDefault="009458BD">
      <w:pPr>
        <w:spacing w:line="360" w:lineRule="auto"/>
        <w:ind w:left="567" w:right="474"/>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i/>
          <w:sz w:val="22"/>
          <w:szCs w:val="22"/>
        </w:rPr>
        <w:t xml:space="preserve">II. Acta de nacimiento y demostrar ser mayor de 21 años de edad. </w:t>
      </w:r>
    </w:p>
    <w:p w14:paraId="1D03CB74" w14:textId="77777777" w:rsidR="00E565A0" w:rsidRPr="006E246F" w:rsidRDefault="009458BD">
      <w:pPr>
        <w:spacing w:line="360" w:lineRule="auto"/>
        <w:ind w:left="567" w:right="474"/>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i/>
          <w:sz w:val="22"/>
          <w:szCs w:val="22"/>
        </w:rPr>
        <w:t xml:space="preserve">III. Identificación oficial vigente, </w:t>
      </w:r>
    </w:p>
    <w:p w14:paraId="35A0D43E" w14:textId="77777777" w:rsidR="00E565A0" w:rsidRPr="006E246F" w:rsidRDefault="009458BD">
      <w:pPr>
        <w:spacing w:line="360" w:lineRule="auto"/>
        <w:ind w:left="567" w:right="474"/>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i/>
          <w:sz w:val="22"/>
          <w:szCs w:val="22"/>
        </w:rPr>
        <w:t xml:space="preserve">IV. Comprobante de domicilio vigente, </w:t>
      </w:r>
    </w:p>
    <w:p w14:paraId="75FB23B7" w14:textId="77777777" w:rsidR="00E565A0" w:rsidRPr="006E246F" w:rsidRDefault="009458BD">
      <w:pPr>
        <w:spacing w:line="360" w:lineRule="auto"/>
        <w:ind w:left="567" w:right="474"/>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i/>
          <w:sz w:val="22"/>
          <w:szCs w:val="22"/>
        </w:rPr>
        <w:t xml:space="preserve">V. Contar con certificado de antecedentes no penales. </w:t>
      </w:r>
    </w:p>
    <w:p w14:paraId="3E96117A" w14:textId="77777777" w:rsidR="00E565A0" w:rsidRPr="006E246F" w:rsidRDefault="009458BD">
      <w:pPr>
        <w:spacing w:line="360" w:lineRule="auto"/>
        <w:ind w:left="567" w:right="474"/>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i/>
          <w:sz w:val="22"/>
          <w:szCs w:val="22"/>
        </w:rPr>
        <w:t xml:space="preserve">VI. Aprobar el examen Médico, </w:t>
      </w:r>
    </w:p>
    <w:p w14:paraId="1E2941AD" w14:textId="77777777" w:rsidR="00E565A0" w:rsidRPr="006E246F" w:rsidRDefault="009458BD">
      <w:pPr>
        <w:spacing w:line="360" w:lineRule="auto"/>
        <w:ind w:left="567" w:right="474"/>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i/>
          <w:sz w:val="22"/>
          <w:szCs w:val="22"/>
        </w:rPr>
        <w:t xml:space="preserve">VII. Aprobar el examen Psicométrico, </w:t>
      </w:r>
    </w:p>
    <w:p w14:paraId="2FC940D9" w14:textId="77777777" w:rsidR="00E565A0" w:rsidRPr="006E246F" w:rsidRDefault="009458BD">
      <w:pPr>
        <w:spacing w:line="360" w:lineRule="auto"/>
        <w:ind w:left="567" w:right="474"/>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i/>
          <w:sz w:val="22"/>
          <w:szCs w:val="22"/>
        </w:rPr>
        <w:t xml:space="preserve">VIII. Aprobar el examen Toxicológico, </w:t>
      </w:r>
    </w:p>
    <w:p w14:paraId="56C984BF" w14:textId="77777777" w:rsidR="00E565A0" w:rsidRPr="006E246F" w:rsidRDefault="009458BD">
      <w:pPr>
        <w:spacing w:line="360" w:lineRule="auto"/>
        <w:ind w:left="567" w:right="474"/>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i/>
          <w:sz w:val="22"/>
          <w:szCs w:val="22"/>
        </w:rPr>
        <w:t>IX. Firmar el manifiesto.”</w:t>
      </w:r>
    </w:p>
    <w:p w14:paraId="0BF66AE8" w14:textId="77777777" w:rsidR="00E565A0" w:rsidRPr="006E246F" w:rsidRDefault="00E565A0">
      <w:pPr>
        <w:spacing w:line="360" w:lineRule="auto"/>
        <w:ind w:right="49"/>
        <w:jc w:val="both"/>
        <w:rPr>
          <w:rFonts w:ascii="Palatino Linotype" w:eastAsia="Palatino Linotype" w:hAnsi="Palatino Linotype" w:cs="Palatino Linotype"/>
          <w:b/>
          <w:sz w:val="22"/>
          <w:szCs w:val="22"/>
        </w:rPr>
      </w:pPr>
    </w:p>
    <w:p w14:paraId="076FFFC1" w14:textId="77777777" w:rsidR="00E565A0" w:rsidRPr="006E246F" w:rsidRDefault="009458BD">
      <w:pPr>
        <w:spacing w:line="360" w:lineRule="auto"/>
        <w:ind w:right="49"/>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 xml:space="preserve">De lo anterior, se advierte que en el caso no existe fuente obligacional que constriña al </w:t>
      </w:r>
      <w:r w:rsidRPr="006E246F">
        <w:rPr>
          <w:rFonts w:ascii="Palatino Linotype" w:eastAsia="Palatino Linotype" w:hAnsi="Palatino Linotype" w:cs="Palatino Linotype"/>
          <w:b/>
          <w:sz w:val="22"/>
          <w:szCs w:val="22"/>
        </w:rPr>
        <w:t xml:space="preserve">Sujeto Obligado </w:t>
      </w:r>
      <w:r w:rsidRPr="006E246F">
        <w:rPr>
          <w:rFonts w:ascii="Palatino Linotype" w:eastAsia="Palatino Linotype" w:hAnsi="Palatino Linotype" w:cs="Palatino Linotype"/>
          <w:sz w:val="22"/>
          <w:szCs w:val="22"/>
        </w:rPr>
        <w:t xml:space="preserve">a contar con las rutas a las que pertenecen las operadoras de transporte público, ya que no forma parte de los requisitos para obtener su licencia de conducir, aunado a que no se advierte documento donde obre lo peticionado por considerarse que es </w:t>
      </w:r>
      <w:r w:rsidRPr="006E246F">
        <w:rPr>
          <w:rFonts w:ascii="Palatino Linotype" w:eastAsia="Palatino Linotype" w:hAnsi="Palatino Linotype" w:cs="Palatino Linotype"/>
          <w:sz w:val="22"/>
          <w:szCs w:val="22"/>
        </w:rPr>
        <w:lastRenderedPageBreak/>
        <w:t>información que únicamente administren las concesionarias y permisionarias de transporte público que operan en el Estado de México.</w:t>
      </w:r>
    </w:p>
    <w:p w14:paraId="6EB34ECD" w14:textId="77777777" w:rsidR="00E565A0" w:rsidRPr="006E246F" w:rsidRDefault="00E565A0">
      <w:pPr>
        <w:spacing w:line="360" w:lineRule="auto"/>
        <w:ind w:right="49"/>
        <w:jc w:val="both"/>
        <w:rPr>
          <w:rFonts w:ascii="Palatino Linotype" w:eastAsia="Palatino Linotype" w:hAnsi="Palatino Linotype" w:cs="Palatino Linotype"/>
          <w:sz w:val="22"/>
          <w:szCs w:val="22"/>
        </w:rPr>
      </w:pPr>
    </w:p>
    <w:p w14:paraId="6FE2F772" w14:textId="77777777" w:rsidR="00E565A0" w:rsidRPr="006E246F" w:rsidRDefault="009458BD">
      <w:pPr>
        <w:spacing w:line="360" w:lineRule="auto"/>
        <w:ind w:right="49"/>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De ahí que no resulte procedente ordenar la entrega de información alguna para atender el requerimiento en cuestión.</w:t>
      </w:r>
    </w:p>
    <w:p w14:paraId="713BBCAF" w14:textId="77777777" w:rsidR="00E565A0" w:rsidRPr="006E246F" w:rsidRDefault="00E565A0">
      <w:pPr>
        <w:spacing w:line="360" w:lineRule="auto"/>
        <w:ind w:right="49"/>
        <w:jc w:val="both"/>
        <w:rPr>
          <w:rFonts w:ascii="Palatino Linotype" w:eastAsia="Palatino Linotype" w:hAnsi="Palatino Linotype" w:cs="Palatino Linotype"/>
          <w:sz w:val="22"/>
          <w:szCs w:val="22"/>
        </w:rPr>
      </w:pPr>
    </w:p>
    <w:p w14:paraId="1BC2718C" w14:textId="77777777" w:rsidR="00E565A0" w:rsidRPr="006E246F" w:rsidRDefault="009458BD">
      <w:pPr>
        <w:spacing w:line="360" w:lineRule="auto"/>
        <w:ind w:right="49"/>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 xml:space="preserve">De esta manera, se considera que resultan </w:t>
      </w:r>
      <w:r w:rsidRPr="006E246F">
        <w:rPr>
          <w:rFonts w:ascii="Palatino Linotype" w:eastAsia="Palatino Linotype" w:hAnsi="Palatino Linotype" w:cs="Palatino Linotype"/>
          <w:b/>
          <w:sz w:val="22"/>
          <w:szCs w:val="22"/>
        </w:rPr>
        <w:t>parcialmente fundadas</w:t>
      </w:r>
      <w:r w:rsidRPr="006E246F">
        <w:rPr>
          <w:rFonts w:ascii="Palatino Linotype" w:eastAsia="Palatino Linotype" w:hAnsi="Palatino Linotype" w:cs="Palatino Linotype"/>
          <w:sz w:val="22"/>
          <w:szCs w:val="22"/>
        </w:rPr>
        <w:t xml:space="preserve"> las razones o motivos de inconformidad hechos valer por la parte</w:t>
      </w:r>
      <w:r w:rsidRPr="006E246F">
        <w:rPr>
          <w:rFonts w:ascii="Palatino Linotype" w:eastAsia="Palatino Linotype" w:hAnsi="Palatino Linotype" w:cs="Palatino Linotype"/>
          <w:b/>
          <w:sz w:val="22"/>
          <w:szCs w:val="22"/>
        </w:rPr>
        <w:t xml:space="preserve"> Recurrente</w:t>
      </w:r>
      <w:r w:rsidRPr="006E246F">
        <w:rPr>
          <w:rFonts w:ascii="Palatino Linotype" w:eastAsia="Palatino Linotype" w:hAnsi="Palatino Linotype" w:cs="Palatino Linotype"/>
          <w:sz w:val="22"/>
          <w:szCs w:val="22"/>
        </w:rPr>
        <w:t xml:space="preserve"> en el recurso de revisión </w:t>
      </w:r>
      <w:r w:rsidRPr="006E246F">
        <w:rPr>
          <w:rFonts w:ascii="Palatino Linotype" w:eastAsia="Palatino Linotype" w:hAnsi="Palatino Linotype" w:cs="Palatino Linotype"/>
          <w:b/>
          <w:sz w:val="22"/>
          <w:szCs w:val="22"/>
        </w:rPr>
        <w:t>03929/INFOEM/IP/RR/2025</w:t>
      </w:r>
      <w:r w:rsidRPr="006E246F">
        <w:rPr>
          <w:rFonts w:ascii="Palatino Linotype" w:eastAsia="Palatino Linotype" w:hAnsi="Palatino Linotype" w:cs="Palatino Linotype"/>
          <w:sz w:val="22"/>
          <w:szCs w:val="22"/>
        </w:rPr>
        <w:t xml:space="preserve">; siendo procedente </w:t>
      </w:r>
      <w:r w:rsidRPr="006E246F">
        <w:rPr>
          <w:rFonts w:ascii="Palatino Linotype" w:eastAsia="Palatino Linotype" w:hAnsi="Palatino Linotype" w:cs="Palatino Linotype"/>
          <w:b/>
          <w:sz w:val="22"/>
          <w:szCs w:val="22"/>
        </w:rPr>
        <w:t xml:space="preserve">Modificar </w:t>
      </w:r>
      <w:r w:rsidRPr="006E246F">
        <w:rPr>
          <w:rFonts w:ascii="Palatino Linotype" w:eastAsia="Palatino Linotype" w:hAnsi="Palatino Linotype" w:cs="Palatino Linotype"/>
          <w:sz w:val="22"/>
          <w:szCs w:val="22"/>
        </w:rPr>
        <w:t xml:space="preserve">la respuesta emitida por el </w:t>
      </w:r>
      <w:r w:rsidRPr="006E246F">
        <w:rPr>
          <w:rFonts w:ascii="Palatino Linotype" w:eastAsia="Palatino Linotype" w:hAnsi="Palatino Linotype" w:cs="Palatino Linotype"/>
          <w:b/>
          <w:sz w:val="22"/>
          <w:szCs w:val="22"/>
        </w:rPr>
        <w:t xml:space="preserve">Sujeto Obligado </w:t>
      </w:r>
      <w:r w:rsidRPr="006E246F">
        <w:rPr>
          <w:rFonts w:ascii="Palatino Linotype" w:eastAsia="Palatino Linotype" w:hAnsi="Palatino Linotype" w:cs="Palatino Linotype"/>
          <w:sz w:val="22"/>
          <w:szCs w:val="22"/>
        </w:rPr>
        <w:t>y ordenar la entrega de la información antes indicada.</w:t>
      </w:r>
    </w:p>
    <w:p w14:paraId="0D8AD7F6" w14:textId="77777777" w:rsidR="00E565A0" w:rsidRPr="006E246F" w:rsidRDefault="00E565A0">
      <w:pPr>
        <w:spacing w:line="360" w:lineRule="auto"/>
        <w:ind w:right="49"/>
        <w:jc w:val="both"/>
        <w:rPr>
          <w:rFonts w:ascii="Palatino Linotype" w:eastAsia="Palatino Linotype" w:hAnsi="Palatino Linotype" w:cs="Palatino Linotype"/>
          <w:sz w:val="22"/>
          <w:szCs w:val="22"/>
        </w:rPr>
      </w:pPr>
    </w:p>
    <w:p w14:paraId="228BB283" w14:textId="77777777" w:rsidR="00E565A0" w:rsidRPr="006E246F" w:rsidRDefault="009458BD">
      <w:pPr>
        <w:spacing w:line="360" w:lineRule="auto"/>
        <w:ind w:right="49"/>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b/>
          <w:sz w:val="22"/>
          <w:szCs w:val="22"/>
        </w:rPr>
        <w:t xml:space="preserve">Quinto. Versión Pública. </w:t>
      </w:r>
      <w:r w:rsidRPr="006E246F">
        <w:rPr>
          <w:rFonts w:ascii="Palatino Linotype" w:eastAsia="Palatino Linotype" w:hAnsi="Palatino Linotype" w:cs="Palatino Linotype"/>
          <w:sz w:val="22"/>
          <w:szCs w:val="22"/>
        </w:rPr>
        <w:t xml:space="preserve">Finalmente para la entrega del soporte documental que deberá proporcionar el </w:t>
      </w:r>
      <w:r w:rsidRPr="006E246F">
        <w:rPr>
          <w:rFonts w:ascii="Palatino Linotype" w:eastAsia="Palatino Linotype" w:hAnsi="Palatino Linotype" w:cs="Palatino Linotype"/>
          <w:b/>
          <w:sz w:val="22"/>
          <w:szCs w:val="22"/>
        </w:rPr>
        <w:t>Sujeto Obligado</w:t>
      </w:r>
      <w:r w:rsidRPr="006E246F">
        <w:rPr>
          <w:rFonts w:ascii="Palatino Linotype" w:eastAsia="Palatino Linotype" w:hAnsi="Palatino Linotype" w:cs="Palatino Linotype"/>
          <w:sz w:val="22"/>
          <w:szCs w:val="22"/>
        </w:rPr>
        <w:t xml:space="preserve"> para dar satisfacción de la derecho humano de acceso a la información de la persona solicitante, deberá considerar que ello no es absoluto, sino que encuentra como excepciones que la información sobre la cual se peticiona el acceso, contenga datos que deban ser clasificados en los términos que la misma Ley de la Materia señala, el </w:t>
      </w:r>
      <w:r w:rsidRPr="006E246F">
        <w:rPr>
          <w:rFonts w:ascii="Palatino Linotype" w:eastAsia="Palatino Linotype" w:hAnsi="Palatino Linotype" w:cs="Palatino Linotype"/>
          <w:b/>
          <w:sz w:val="22"/>
          <w:szCs w:val="22"/>
        </w:rPr>
        <w:t>Sujeto Obligado</w:t>
      </w:r>
      <w:r w:rsidRPr="006E246F">
        <w:rPr>
          <w:rFonts w:ascii="Palatino Linotype" w:eastAsia="Palatino Linotype" w:hAnsi="Palatino Linotype" w:cs="Palatino Linotype"/>
          <w:sz w:val="22"/>
          <w:szCs w:val="22"/>
        </w:rPr>
        <w:t xml:space="preserve"> tendrá que elaborar la versión pública de los documentos que vaya entregar para dar cumplimiento a esta resolución, a fin de satisfacer el derecho de acceso a la información pública de la recurrente sin menoscabar el derecho a la protección de los datos personales de terceros.</w:t>
      </w:r>
    </w:p>
    <w:p w14:paraId="644C23A1" w14:textId="77777777" w:rsidR="00E565A0" w:rsidRPr="006E246F" w:rsidRDefault="00E565A0">
      <w:pPr>
        <w:spacing w:line="360" w:lineRule="auto"/>
        <w:ind w:right="49"/>
        <w:jc w:val="both"/>
        <w:rPr>
          <w:rFonts w:ascii="Palatino Linotype" w:eastAsia="Palatino Linotype" w:hAnsi="Palatino Linotype" w:cs="Palatino Linotype"/>
          <w:sz w:val="22"/>
          <w:szCs w:val="22"/>
        </w:rPr>
      </w:pPr>
    </w:p>
    <w:p w14:paraId="57FFC1BC" w14:textId="77777777" w:rsidR="00E565A0" w:rsidRPr="006E246F" w:rsidRDefault="009458BD">
      <w:pPr>
        <w:spacing w:line="360" w:lineRule="auto"/>
        <w:ind w:right="50"/>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Lo anterior, de conformidad a lo que señalan los artículos 3 fracciones IX, XX, XXI y XLV, 91, 132 fracciones II y III, y 143 fracción I de la Ley de Transparencia y Acceso a la Información Pública del Estado de México y Municipios que establecen:</w:t>
      </w:r>
    </w:p>
    <w:p w14:paraId="09B838DE" w14:textId="77777777" w:rsidR="00E565A0" w:rsidRPr="006E246F" w:rsidRDefault="009458BD">
      <w:pPr>
        <w:spacing w:before="120" w:after="120"/>
        <w:ind w:left="567" w:right="902"/>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i/>
          <w:sz w:val="22"/>
          <w:szCs w:val="22"/>
        </w:rPr>
        <w:t>“</w:t>
      </w:r>
      <w:r w:rsidRPr="006E246F">
        <w:rPr>
          <w:rFonts w:ascii="Palatino Linotype" w:eastAsia="Palatino Linotype" w:hAnsi="Palatino Linotype" w:cs="Palatino Linotype"/>
          <w:b/>
          <w:i/>
          <w:sz w:val="22"/>
          <w:szCs w:val="22"/>
        </w:rPr>
        <w:t>Artículo 3</w:t>
      </w:r>
      <w:r w:rsidRPr="006E246F">
        <w:rPr>
          <w:rFonts w:ascii="Palatino Linotype" w:eastAsia="Palatino Linotype" w:hAnsi="Palatino Linotype" w:cs="Palatino Linotype"/>
          <w:i/>
          <w:sz w:val="22"/>
          <w:szCs w:val="22"/>
        </w:rPr>
        <w:t>. Para los efectos de la presente Ley se entenderá por:</w:t>
      </w:r>
    </w:p>
    <w:p w14:paraId="7B6A61E1" w14:textId="77777777" w:rsidR="00E565A0" w:rsidRPr="006E246F" w:rsidRDefault="009458BD">
      <w:pPr>
        <w:spacing w:before="120" w:after="120"/>
        <w:ind w:left="567" w:right="902"/>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i/>
          <w:sz w:val="22"/>
          <w:szCs w:val="22"/>
        </w:rPr>
        <w:t>[…]</w:t>
      </w:r>
    </w:p>
    <w:p w14:paraId="3B39EEA6" w14:textId="77777777" w:rsidR="00E565A0" w:rsidRPr="006E246F" w:rsidRDefault="009458BD">
      <w:pPr>
        <w:spacing w:before="120" w:after="120"/>
        <w:ind w:left="567" w:right="902"/>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b/>
          <w:i/>
          <w:sz w:val="22"/>
          <w:szCs w:val="22"/>
        </w:rPr>
        <w:lastRenderedPageBreak/>
        <w:t>IX. Datos personales:</w:t>
      </w:r>
      <w:r w:rsidRPr="006E246F">
        <w:rPr>
          <w:rFonts w:ascii="Palatino Linotype" w:eastAsia="Palatino Linotype" w:hAnsi="Palatino Linotype" w:cs="Palatino Linotype"/>
          <w:i/>
          <w:sz w:val="22"/>
          <w:szCs w:val="22"/>
        </w:rPr>
        <w:t xml:space="preserve"> La información concerniente a una persona, identificada o identificable según lo dispuesto por la Ley de Protección de Datos Personales del Estado de México; </w:t>
      </w:r>
    </w:p>
    <w:p w14:paraId="38851E29" w14:textId="77777777" w:rsidR="00E565A0" w:rsidRPr="006E246F" w:rsidRDefault="009458BD">
      <w:pPr>
        <w:spacing w:before="120" w:after="120"/>
        <w:ind w:left="567" w:right="902"/>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b/>
          <w:i/>
          <w:sz w:val="22"/>
          <w:szCs w:val="22"/>
        </w:rPr>
        <w:t>XX. Información clasificada</w:t>
      </w:r>
      <w:r w:rsidRPr="006E246F">
        <w:rPr>
          <w:rFonts w:ascii="Palatino Linotype" w:eastAsia="Palatino Linotype" w:hAnsi="Palatino Linotype" w:cs="Palatino Linotype"/>
          <w:i/>
          <w:sz w:val="22"/>
          <w:szCs w:val="22"/>
        </w:rPr>
        <w:t>: Aquella considerada por la presente Ley como reservada o confidencial;</w:t>
      </w:r>
    </w:p>
    <w:p w14:paraId="65E2EC26" w14:textId="77777777" w:rsidR="00E565A0" w:rsidRPr="006E246F" w:rsidRDefault="009458BD">
      <w:pPr>
        <w:spacing w:before="120" w:after="120"/>
        <w:ind w:left="567" w:right="902"/>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b/>
          <w:i/>
          <w:sz w:val="22"/>
          <w:szCs w:val="22"/>
        </w:rPr>
        <w:t>XXI. Información confidencial:</w:t>
      </w:r>
      <w:r w:rsidRPr="006E246F">
        <w:rPr>
          <w:rFonts w:ascii="Palatino Linotype" w:eastAsia="Palatino Linotype" w:hAnsi="Palatino Linotype" w:cs="Palatino Linotype"/>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D8A652A" w14:textId="77777777" w:rsidR="00E565A0" w:rsidRPr="006E246F" w:rsidRDefault="009458BD">
      <w:pPr>
        <w:spacing w:before="120" w:after="120"/>
        <w:ind w:left="567" w:right="902"/>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b/>
          <w:i/>
          <w:sz w:val="22"/>
          <w:szCs w:val="22"/>
        </w:rPr>
        <w:t>XLV. Versión pública:</w:t>
      </w:r>
      <w:r w:rsidRPr="006E246F">
        <w:rPr>
          <w:rFonts w:ascii="Palatino Linotype" w:eastAsia="Palatino Linotype" w:hAnsi="Palatino Linotype" w:cs="Palatino Linotype"/>
          <w:i/>
          <w:sz w:val="22"/>
          <w:szCs w:val="22"/>
        </w:rPr>
        <w:t xml:space="preserve"> Documento en el que se elimine, suprime o borra la información clasificada como reservada o confidencial para permitir su acceso.</w:t>
      </w:r>
    </w:p>
    <w:p w14:paraId="5157E3A8" w14:textId="77777777" w:rsidR="00E565A0" w:rsidRPr="006E246F" w:rsidRDefault="009458BD">
      <w:pPr>
        <w:spacing w:before="120" w:after="120"/>
        <w:ind w:left="567" w:right="902"/>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i/>
          <w:sz w:val="22"/>
          <w:szCs w:val="22"/>
        </w:rPr>
        <w:t>[…]</w:t>
      </w:r>
    </w:p>
    <w:p w14:paraId="33C59759" w14:textId="77777777" w:rsidR="00E565A0" w:rsidRPr="006E246F" w:rsidRDefault="009458BD">
      <w:pPr>
        <w:spacing w:before="120" w:after="120"/>
        <w:ind w:left="567" w:right="902"/>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b/>
          <w:i/>
          <w:sz w:val="22"/>
          <w:szCs w:val="22"/>
        </w:rPr>
        <w:t xml:space="preserve">Artículo 91. </w:t>
      </w:r>
      <w:r w:rsidRPr="006E246F">
        <w:rPr>
          <w:rFonts w:ascii="Palatino Linotype" w:eastAsia="Palatino Linotype" w:hAnsi="Palatino Linotype" w:cs="Palatino Linotype"/>
          <w:i/>
          <w:sz w:val="22"/>
          <w:szCs w:val="22"/>
        </w:rPr>
        <w:t>El acceso a la información pública será restringido excepcionalmente, cuando ésta sea clasificada como reservada o confidencial.</w:t>
      </w:r>
    </w:p>
    <w:p w14:paraId="3E4BF9B7" w14:textId="77777777" w:rsidR="00E565A0" w:rsidRPr="006E246F" w:rsidRDefault="009458BD">
      <w:pPr>
        <w:spacing w:before="120" w:after="120"/>
        <w:ind w:left="567" w:right="902"/>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b/>
          <w:i/>
          <w:sz w:val="22"/>
          <w:szCs w:val="22"/>
        </w:rPr>
        <w:t xml:space="preserve">Artículo 132. </w:t>
      </w:r>
      <w:r w:rsidRPr="006E246F">
        <w:rPr>
          <w:rFonts w:ascii="Palatino Linotype" w:eastAsia="Palatino Linotype" w:hAnsi="Palatino Linotype" w:cs="Palatino Linotype"/>
          <w:i/>
          <w:sz w:val="22"/>
          <w:szCs w:val="22"/>
        </w:rPr>
        <w:t>La clasificación de la información se llevará a cabo en el momento en que:</w:t>
      </w:r>
    </w:p>
    <w:p w14:paraId="03B7A6CB" w14:textId="77777777" w:rsidR="00E565A0" w:rsidRPr="006E246F" w:rsidRDefault="009458BD">
      <w:pPr>
        <w:spacing w:before="120" w:after="120"/>
        <w:ind w:left="567" w:right="902"/>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b/>
          <w:i/>
          <w:sz w:val="22"/>
          <w:szCs w:val="22"/>
        </w:rPr>
        <w:t>I</w:t>
      </w:r>
      <w:r w:rsidRPr="006E246F">
        <w:rPr>
          <w:rFonts w:ascii="Palatino Linotype" w:eastAsia="Palatino Linotype" w:hAnsi="Palatino Linotype" w:cs="Palatino Linotype"/>
          <w:i/>
          <w:sz w:val="22"/>
          <w:szCs w:val="22"/>
        </w:rPr>
        <w:t>. Se reciba una solicitud de acceso a la información;</w:t>
      </w:r>
    </w:p>
    <w:p w14:paraId="37866DE6" w14:textId="77777777" w:rsidR="00E565A0" w:rsidRPr="006E246F" w:rsidRDefault="009458BD">
      <w:pPr>
        <w:spacing w:before="120" w:after="120"/>
        <w:ind w:left="567" w:right="902"/>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b/>
          <w:i/>
          <w:sz w:val="22"/>
          <w:szCs w:val="22"/>
        </w:rPr>
        <w:t>II</w:t>
      </w:r>
      <w:r w:rsidRPr="006E246F">
        <w:rPr>
          <w:rFonts w:ascii="Palatino Linotype" w:eastAsia="Palatino Linotype" w:hAnsi="Palatino Linotype" w:cs="Palatino Linotype"/>
          <w:i/>
          <w:sz w:val="22"/>
          <w:szCs w:val="22"/>
        </w:rPr>
        <w:t>. Se determine mediante resolución de autoridad competente; o</w:t>
      </w:r>
    </w:p>
    <w:p w14:paraId="3B32D437" w14:textId="77777777" w:rsidR="00E565A0" w:rsidRPr="006E246F" w:rsidRDefault="009458BD">
      <w:pPr>
        <w:spacing w:before="120" w:after="120"/>
        <w:ind w:left="567" w:right="902"/>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b/>
          <w:i/>
          <w:sz w:val="22"/>
          <w:szCs w:val="22"/>
        </w:rPr>
        <w:t>III</w:t>
      </w:r>
      <w:r w:rsidRPr="006E246F">
        <w:rPr>
          <w:rFonts w:ascii="Palatino Linotype" w:eastAsia="Palatino Linotype" w:hAnsi="Palatino Linotype" w:cs="Palatino Linotype"/>
          <w:i/>
          <w:sz w:val="22"/>
          <w:szCs w:val="22"/>
        </w:rPr>
        <w:t>. Se generen versiones públicas para dar cumplimiento a las obligaciones de transparencia previstas en esta Ley.</w:t>
      </w:r>
    </w:p>
    <w:p w14:paraId="28041CA5" w14:textId="77777777" w:rsidR="00E565A0" w:rsidRPr="006E246F" w:rsidRDefault="009458BD">
      <w:pPr>
        <w:spacing w:before="120" w:after="120"/>
        <w:ind w:left="567" w:right="902"/>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i/>
          <w:sz w:val="22"/>
          <w:szCs w:val="22"/>
        </w:rPr>
        <w:t>[…]</w:t>
      </w:r>
    </w:p>
    <w:p w14:paraId="40CBB78A" w14:textId="77777777" w:rsidR="00E565A0" w:rsidRPr="006E246F" w:rsidRDefault="009458BD">
      <w:pPr>
        <w:spacing w:before="120" w:after="120"/>
        <w:ind w:left="567" w:right="902"/>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b/>
          <w:i/>
          <w:sz w:val="22"/>
          <w:szCs w:val="22"/>
        </w:rPr>
        <w:t>Artículo 143</w:t>
      </w:r>
      <w:r w:rsidRPr="006E246F">
        <w:rPr>
          <w:rFonts w:ascii="Palatino Linotype" w:eastAsia="Palatino Linotype" w:hAnsi="Palatino Linotype" w:cs="Palatino Linotype"/>
          <w:i/>
          <w:sz w:val="22"/>
          <w:szCs w:val="22"/>
        </w:rPr>
        <w:t>. Para los efectos de esta Ley se considera información confidencial, la clasificada como tal, de manera permanente, por su naturaleza, cuando:</w:t>
      </w:r>
    </w:p>
    <w:p w14:paraId="624CFB8D" w14:textId="77777777" w:rsidR="00E565A0" w:rsidRPr="006E246F" w:rsidRDefault="009458BD">
      <w:pPr>
        <w:spacing w:before="120" w:after="120"/>
        <w:ind w:left="567" w:right="902"/>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b/>
          <w:i/>
          <w:sz w:val="22"/>
          <w:szCs w:val="22"/>
        </w:rPr>
        <w:t>I.</w:t>
      </w:r>
      <w:r w:rsidRPr="006E246F">
        <w:rPr>
          <w:rFonts w:ascii="Palatino Linotype" w:eastAsia="Palatino Linotype" w:hAnsi="Palatino Linotype" w:cs="Palatino Linotype"/>
          <w:i/>
          <w:sz w:val="22"/>
          <w:szCs w:val="22"/>
        </w:rPr>
        <w:t xml:space="preserve"> Se refiera a la información privada y los datos personales concernientes a una persona física o jurídico colectiva identificada o identificable;</w:t>
      </w:r>
    </w:p>
    <w:p w14:paraId="3E5B48EF" w14:textId="77777777" w:rsidR="00E565A0" w:rsidRPr="006E246F" w:rsidRDefault="009458BD">
      <w:pPr>
        <w:spacing w:before="120" w:after="120"/>
        <w:ind w:left="567" w:right="902"/>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b/>
          <w:i/>
          <w:sz w:val="22"/>
          <w:szCs w:val="22"/>
        </w:rPr>
        <w:t>II.</w:t>
      </w:r>
      <w:r w:rsidRPr="006E246F">
        <w:rPr>
          <w:rFonts w:ascii="Palatino Linotype" w:eastAsia="Palatino Linotype" w:hAnsi="Palatino Linotype" w:cs="Palatino Linotype"/>
          <w:i/>
          <w:sz w:val="22"/>
          <w:szCs w:val="22"/>
        </w:rPr>
        <w:t xml:space="preserve"> Los secretos bancario, fiduciario, industrial, comercial, fiscal, bursátil y postal, cuya titularidad corresponda a particulares, sujetos de derecho internacional o a sujetos obligados cuando no involucren el ejercicio de recursos públicos; y</w:t>
      </w:r>
    </w:p>
    <w:p w14:paraId="4F09C434" w14:textId="77777777" w:rsidR="00E565A0" w:rsidRPr="006E246F" w:rsidRDefault="009458BD">
      <w:pPr>
        <w:spacing w:before="120" w:after="120"/>
        <w:ind w:left="567" w:right="902"/>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b/>
          <w:i/>
          <w:sz w:val="22"/>
          <w:szCs w:val="22"/>
        </w:rPr>
        <w:t>III</w:t>
      </w:r>
      <w:r w:rsidRPr="006E246F">
        <w:rPr>
          <w:rFonts w:ascii="Palatino Linotype" w:eastAsia="Palatino Linotype" w:hAnsi="Palatino Linotype" w:cs="Palatino Linotype"/>
          <w:i/>
          <w:sz w:val="22"/>
          <w:szCs w:val="22"/>
        </w:rPr>
        <w:t>. La que presenten los particulares a los sujetos obligados, de conformidad con lo dispuesto por las leyes o los tratados internacionales.</w:t>
      </w:r>
    </w:p>
    <w:p w14:paraId="44B8CE64" w14:textId="77777777" w:rsidR="00E565A0" w:rsidRPr="006E246F" w:rsidRDefault="009458BD">
      <w:pPr>
        <w:spacing w:before="120" w:after="120"/>
        <w:ind w:left="567" w:right="902"/>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i/>
          <w:sz w:val="22"/>
          <w:szCs w:val="22"/>
        </w:rPr>
        <w:t>La información confidencial no estará sujeta a temporalidad alguna y sólo podrán tener acceso a ella los titulares de la misma, sus representantes y los servidores públicos facultados para ello.</w:t>
      </w:r>
    </w:p>
    <w:p w14:paraId="00D2A175" w14:textId="77777777" w:rsidR="00E565A0" w:rsidRPr="006E246F" w:rsidRDefault="009458BD">
      <w:pPr>
        <w:spacing w:before="120" w:after="120"/>
        <w:ind w:left="567" w:right="902"/>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i/>
          <w:sz w:val="22"/>
          <w:szCs w:val="22"/>
        </w:rPr>
        <w:lastRenderedPageBreak/>
        <w:t>No se considerará confidencial la información que se encuentre en los registros públicos o en fuentes de acceso público, ni tampoco la que sea considerada por la presente ley como información pública.”</w:t>
      </w:r>
    </w:p>
    <w:p w14:paraId="2B88B1CA" w14:textId="77777777" w:rsidR="00E565A0" w:rsidRPr="006E246F" w:rsidRDefault="00E565A0">
      <w:pPr>
        <w:spacing w:before="120" w:after="120"/>
        <w:ind w:left="567" w:right="902"/>
        <w:jc w:val="both"/>
        <w:rPr>
          <w:rFonts w:ascii="Palatino Linotype" w:eastAsia="Palatino Linotype" w:hAnsi="Palatino Linotype" w:cs="Palatino Linotype"/>
          <w:i/>
          <w:sz w:val="22"/>
          <w:szCs w:val="22"/>
        </w:rPr>
      </w:pPr>
    </w:p>
    <w:p w14:paraId="36195346" w14:textId="77777777" w:rsidR="00E565A0" w:rsidRPr="006E246F" w:rsidRDefault="009458BD">
      <w:pPr>
        <w:spacing w:line="360" w:lineRule="auto"/>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vigentes a la fecha de la solicitud,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049C6EF3" w14:textId="77777777" w:rsidR="00E565A0" w:rsidRPr="006E246F" w:rsidRDefault="00E565A0">
      <w:pPr>
        <w:spacing w:line="360" w:lineRule="auto"/>
        <w:jc w:val="both"/>
        <w:rPr>
          <w:rFonts w:ascii="Palatino Linotype" w:eastAsia="Palatino Linotype" w:hAnsi="Palatino Linotype" w:cs="Palatino Linotype"/>
          <w:sz w:val="22"/>
          <w:szCs w:val="22"/>
        </w:rPr>
      </w:pPr>
    </w:p>
    <w:p w14:paraId="0059193A" w14:textId="77777777" w:rsidR="00E565A0" w:rsidRPr="006E246F" w:rsidRDefault="009458BD">
      <w:pPr>
        <w:spacing w:line="360" w:lineRule="auto"/>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 xml:space="preserve">Entorno a lo que aquí nos interesa, los Lineamientos Quincuagésimo, Quincuagésimo primero, Quincuagésimo segundo, Quincuagésimo cuarto y Quincuagésimo quinto, vigentes a la fecha de la solicitud, señalan las formalidades que deberá llevar el acuerdo de clasificación que deberá emitir el </w:t>
      </w:r>
      <w:r w:rsidRPr="006E246F">
        <w:rPr>
          <w:rFonts w:ascii="Palatino Linotype" w:eastAsia="Palatino Linotype" w:hAnsi="Palatino Linotype" w:cs="Palatino Linotype"/>
          <w:b/>
          <w:sz w:val="22"/>
          <w:szCs w:val="22"/>
        </w:rPr>
        <w:t>Sujeto Obligado</w:t>
      </w:r>
      <w:r w:rsidRPr="006E246F">
        <w:rPr>
          <w:rFonts w:ascii="Palatino Linotype" w:eastAsia="Palatino Linotype" w:hAnsi="Palatino Linotype" w:cs="Palatino Linotype"/>
          <w:sz w:val="22"/>
          <w:szCs w:val="22"/>
        </w:rPr>
        <w:t>, siendo estas las siguientes:</w:t>
      </w:r>
    </w:p>
    <w:p w14:paraId="75297B57" w14:textId="77777777" w:rsidR="00E565A0" w:rsidRPr="006E246F" w:rsidRDefault="00E565A0">
      <w:pPr>
        <w:spacing w:line="360" w:lineRule="auto"/>
        <w:jc w:val="both"/>
        <w:rPr>
          <w:rFonts w:ascii="Palatino Linotype" w:eastAsia="Palatino Linotype" w:hAnsi="Palatino Linotype" w:cs="Palatino Linotype"/>
          <w:sz w:val="22"/>
          <w:szCs w:val="22"/>
        </w:rPr>
      </w:pPr>
    </w:p>
    <w:p w14:paraId="536DBE6E" w14:textId="77777777" w:rsidR="00E565A0" w:rsidRPr="006E246F" w:rsidRDefault="009458BD">
      <w:pPr>
        <w:spacing w:line="276" w:lineRule="auto"/>
        <w:ind w:left="567"/>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i/>
          <w:sz w:val="22"/>
          <w:szCs w:val="22"/>
        </w:rPr>
        <w:t xml:space="preserve">“CAPÍTULO VIII </w:t>
      </w:r>
    </w:p>
    <w:p w14:paraId="342F538F" w14:textId="77777777" w:rsidR="00E565A0" w:rsidRPr="006E246F" w:rsidRDefault="009458BD">
      <w:pPr>
        <w:spacing w:line="276" w:lineRule="auto"/>
        <w:ind w:left="567"/>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i/>
          <w:sz w:val="22"/>
          <w:szCs w:val="22"/>
        </w:rPr>
        <w:t xml:space="preserve">DE LOS ELEMENTOS PARA LA CLASIFICACIÓN </w:t>
      </w:r>
    </w:p>
    <w:p w14:paraId="16A56760" w14:textId="77777777" w:rsidR="00E565A0" w:rsidRPr="006E246F" w:rsidRDefault="009458BD">
      <w:pPr>
        <w:spacing w:line="276" w:lineRule="auto"/>
        <w:ind w:left="567" w:right="900"/>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b/>
          <w:i/>
          <w:sz w:val="22"/>
          <w:szCs w:val="22"/>
        </w:rPr>
        <w:t xml:space="preserve">Quincuagésimo. </w:t>
      </w:r>
      <w:r w:rsidRPr="006E246F">
        <w:rPr>
          <w:rFonts w:ascii="Palatino Linotype" w:eastAsia="Palatino Linotype" w:hAnsi="Palatino Linotype" w:cs="Palatino Linotype"/>
          <w:i/>
          <w:sz w:val="22"/>
          <w:szCs w:val="22"/>
        </w:rPr>
        <w:t xml:space="preserve">Los titulares de las áreas de los sujetos obligados podrán establecer sus propios modelos o formatos para la elaboración de versiones públicas de documentos o expedientes, siempre y cuando cumplan lo establecido en los presentes Lineamientos, así como en las correspondientes Leyes Generales. </w:t>
      </w:r>
    </w:p>
    <w:p w14:paraId="627B79DB" w14:textId="77777777" w:rsidR="00E565A0" w:rsidRPr="006E246F" w:rsidRDefault="009458BD">
      <w:pPr>
        <w:spacing w:line="276" w:lineRule="auto"/>
        <w:ind w:left="567" w:right="900"/>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b/>
          <w:i/>
          <w:sz w:val="22"/>
          <w:szCs w:val="22"/>
        </w:rPr>
        <w:t xml:space="preserve">Quincuagésimo primero. </w:t>
      </w:r>
      <w:r w:rsidRPr="006E246F">
        <w:rPr>
          <w:rFonts w:ascii="Palatino Linotype" w:eastAsia="Palatino Linotype" w:hAnsi="Palatino Linotype" w:cs="Palatino Linotype"/>
          <w:i/>
          <w:sz w:val="22"/>
          <w:szCs w:val="22"/>
        </w:rPr>
        <w:t xml:space="preserve">Toda acta del Comité de Transparencia deberá contener: </w:t>
      </w:r>
    </w:p>
    <w:p w14:paraId="35FEB84D" w14:textId="77777777" w:rsidR="00E565A0" w:rsidRPr="006E246F" w:rsidRDefault="009458BD">
      <w:pPr>
        <w:spacing w:line="276" w:lineRule="auto"/>
        <w:ind w:left="567" w:right="900"/>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i/>
          <w:sz w:val="22"/>
          <w:szCs w:val="22"/>
        </w:rPr>
        <w:t xml:space="preserve">I. El número de sesión y fecha; </w:t>
      </w:r>
    </w:p>
    <w:p w14:paraId="07F1317A" w14:textId="77777777" w:rsidR="00E565A0" w:rsidRPr="006E246F" w:rsidRDefault="009458BD">
      <w:pPr>
        <w:spacing w:line="276" w:lineRule="auto"/>
        <w:ind w:left="567" w:right="900"/>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i/>
          <w:sz w:val="22"/>
          <w:szCs w:val="22"/>
        </w:rPr>
        <w:t xml:space="preserve">II. El nombre del área que solicitó la clasificación de información; </w:t>
      </w:r>
    </w:p>
    <w:p w14:paraId="4B03BE15" w14:textId="77777777" w:rsidR="00E565A0" w:rsidRPr="006E246F" w:rsidRDefault="009458BD">
      <w:pPr>
        <w:spacing w:line="276" w:lineRule="auto"/>
        <w:ind w:left="567" w:right="900"/>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i/>
          <w:sz w:val="22"/>
          <w:szCs w:val="22"/>
        </w:rPr>
        <w:t xml:space="preserve">III. La fundamentación legal y motivación correspondiente; </w:t>
      </w:r>
    </w:p>
    <w:p w14:paraId="699FFE46" w14:textId="77777777" w:rsidR="00E565A0" w:rsidRPr="006E246F" w:rsidRDefault="009458BD">
      <w:pPr>
        <w:spacing w:line="276" w:lineRule="auto"/>
        <w:ind w:left="567" w:right="900"/>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i/>
          <w:sz w:val="22"/>
          <w:szCs w:val="22"/>
        </w:rPr>
        <w:t xml:space="preserve">IV. La resolución o resoluciones aprobadas; y </w:t>
      </w:r>
    </w:p>
    <w:p w14:paraId="39EAAAAE" w14:textId="77777777" w:rsidR="00E565A0" w:rsidRPr="006E246F" w:rsidRDefault="009458BD">
      <w:pPr>
        <w:spacing w:line="276" w:lineRule="auto"/>
        <w:ind w:left="567" w:right="900"/>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i/>
          <w:sz w:val="22"/>
          <w:szCs w:val="22"/>
        </w:rPr>
        <w:lastRenderedPageBreak/>
        <w:t xml:space="preserve">V. La rúbrica o firma digital de cada integrante del Comité de Transparencia. </w:t>
      </w:r>
    </w:p>
    <w:p w14:paraId="7AA2BA96" w14:textId="77777777" w:rsidR="00E565A0" w:rsidRPr="006E246F" w:rsidRDefault="009458BD">
      <w:pPr>
        <w:spacing w:line="276" w:lineRule="auto"/>
        <w:ind w:left="567" w:right="900"/>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i/>
          <w:sz w:val="22"/>
          <w:szCs w:val="22"/>
        </w:rPr>
        <w:t>[…]</w:t>
      </w:r>
    </w:p>
    <w:p w14:paraId="4FDD037A" w14:textId="77777777" w:rsidR="00E565A0" w:rsidRPr="006E246F" w:rsidRDefault="009458BD">
      <w:pPr>
        <w:spacing w:line="276" w:lineRule="auto"/>
        <w:ind w:left="567" w:right="900"/>
        <w:jc w:val="both"/>
        <w:rPr>
          <w:rFonts w:ascii="Palatino Linotype" w:eastAsia="Palatino Linotype" w:hAnsi="Palatino Linotype" w:cs="Palatino Linotype"/>
          <w:b/>
          <w:i/>
          <w:sz w:val="22"/>
          <w:szCs w:val="22"/>
          <w:u w:val="single"/>
        </w:rPr>
      </w:pPr>
      <w:r w:rsidRPr="006E246F">
        <w:rPr>
          <w:rFonts w:ascii="Palatino Linotype" w:eastAsia="Palatino Linotype" w:hAnsi="Palatino Linotype" w:cs="Palatino Linotype"/>
          <w:i/>
          <w:sz w:val="22"/>
          <w:szCs w:val="22"/>
        </w:rPr>
        <w:t xml:space="preserve">En los casos de resoluciones del Comité de Transparencia en las que se </w:t>
      </w:r>
      <w:r w:rsidRPr="006E246F">
        <w:rPr>
          <w:rFonts w:ascii="Palatino Linotype" w:eastAsia="Palatino Linotype" w:hAnsi="Palatino Linotype" w:cs="Palatino Linotype"/>
          <w:b/>
          <w:i/>
          <w:sz w:val="22"/>
          <w:szCs w:val="22"/>
          <w:u w:val="single"/>
        </w:rPr>
        <w:t>confirme la clasificación de información confidencial solo se deberán de identificar los tipos de datos protegidos, de conformidad con el lineamiento trigésimo octavo.</w:t>
      </w:r>
    </w:p>
    <w:p w14:paraId="6CDB4A3E" w14:textId="77777777" w:rsidR="00E565A0" w:rsidRPr="006E246F" w:rsidRDefault="009458BD">
      <w:pPr>
        <w:spacing w:line="276" w:lineRule="auto"/>
        <w:ind w:left="567" w:right="900"/>
        <w:jc w:val="both"/>
        <w:rPr>
          <w:rFonts w:ascii="Palatino Linotype" w:eastAsia="Palatino Linotype" w:hAnsi="Palatino Linotype" w:cs="Palatino Linotype"/>
          <w:b/>
          <w:i/>
          <w:sz w:val="22"/>
          <w:szCs w:val="22"/>
        </w:rPr>
      </w:pPr>
      <w:r w:rsidRPr="006E246F">
        <w:rPr>
          <w:rFonts w:ascii="Palatino Linotype" w:eastAsia="Palatino Linotype" w:hAnsi="Palatino Linotype" w:cs="Palatino Linotype"/>
          <w:b/>
          <w:i/>
          <w:sz w:val="22"/>
          <w:szCs w:val="22"/>
        </w:rPr>
        <w:t xml:space="preserve">Quincuagésimo segundo. </w:t>
      </w:r>
      <w:r w:rsidRPr="006E246F">
        <w:rPr>
          <w:rFonts w:ascii="Palatino Linotype" w:eastAsia="Palatino Linotype" w:hAnsi="Palatino Linotype" w:cs="Palatino Linotype"/>
          <w:i/>
          <w:sz w:val="22"/>
          <w:szCs w:val="22"/>
        </w:rPr>
        <w:t xml:space="preserve">Para la clasificación y elaboración de versiones públicas de documentos que contengan información clasificada como reservada o </w:t>
      </w:r>
      <w:r w:rsidRPr="006E246F">
        <w:rPr>
          <w:rFonts w:ascii="Palatino Linotype" w:eastAsia="Palatino Linotype" w:hAnsi="Palatino Linotype" w:cs="Palatino Linotype"/>
          <w:b/>
          <w:i/>
          <w:sz w:val="22"/>
          <w:szCs w:val="22"/>
        </w:rPr>
        <w:t>confidencial,</w:t>
      </w:r>
      <w:r w:rsidRPr="006E246F">
        <w:rPr>
          <w:rFonts w:ascii="Palatino Linotype" w:eastAsia="Palatino Linotype" w:hAnsi="Palatino Linotype" w:cs="Palatino Linotype"/>
          <w:i/>
          <w:sz w:val="22"/>
          <w:szCs w:val="22"/>
        </w:rPr>
        <w:t xml:space="preserve"> las áreas de los sujetos obligados deberán tomar las medidas pertinentes tendientes a asegurar que el espacio utilizado para testar la información no podrá ser empleado para la sobreposición de contenido distinto al autorizado por el Comité.</w:t>
      </w:r>
    </w:p>
    <w:p w14:paraId="33BC0E15" w14:textId="77777777" w:rsidR="00E565A0" w:rsidRPr="006E246F" w:rsidRDefault="009458BD">
      <w:pPr>
        <w:spacing w:line="276" w:lineRule="auto"/>
        <w:ind w:left="567" w:right="900"/>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i/>
          <w:sz w:val="22"/>
          <w:szCs w:val="22"/>
        </w:rPr>
        <w:t xml:space="preserve">En el caso específico de la clasificación y elaboración de versiones públicas de documentos que contengan información confidencial, las áreas de los sujetos obligados deberán: </w:t>
      </w:r>
    </w:p>
    <w:p w14:paraId="50750249" w14:textId="77777777" w:rsidR="00E565A0" w:rsidRPr="006E246F" w:rsidRDefault="009458BD">
      <w:pPr>
        <w:spacing w:line="276" w:lineRule="auto"/>
        <w:ind w:left="567" w:right="900"/>
        <w:jc w:val="both"/>
        <w:rPr>
          <w:rFonts w:ascii="Palatino Linotype" w:eastAsia="Palatino Linotype" w:hAnsi="Palatino Linotype" w:cs="Palatino Linotype"/>
          <w:b/>
          <w:i/>
          <w:sz w:val="22"/>
          <w:szCs w:val="22"/>
        </w:rPr>
      </w:pPr>
      <w:r w:rsidRPr="006E246F">
        <w:rPr>
          <w:rFonts w:ascii="Palatino Linotype" w:eastAsia="Palatino Linotype" w:hAnsi="Palatino Linotype" w:cs="Palatino Linotype"/>
          <w:b/>
          <w:i/>
          <w:sz w:val="22"/>
          <w:szCs w:val="22"/>
        </w:rPr>
        <w:t xml:space="preserve">I. Fijar la fecha en que se elaboró la versión pública y la fecha en la cual el Comité de Transparencia confirmó dicha versión; </w:t>
      </w:r>
    </w:p>
    <w:p w14:paraId="33E58F60" w14:textId="77777777" w:rsidR="00E565A0" w:rsidRPr="006E246F" w:rsidRDefault="009458BD">
      <w:pPr>
        <w:spacing w:line="276" w:lineRule="auto"/>
        <w:ind w:left="567" w:right="900"/>
        <w:jc w:val="both"/>
        <w:rPr>
          <w:rFonts w:ascii="Palatino Linotype" w:eastAsia="Palatino Linotype" w:hAnsi="Palatino Linotype" w:cs="Palatino Linotype"/>
          <w:b/>
          <w:i/>
          <w:sz w:val="22"/>
          <w:szCs w:val="22"/>
        </w:rPr>
      </w:pPr>
      <w:r w:rsidRPr="006E246F">
        <w:rPr>
          <w:rFonts w:ascii="Palatino Linotype" w:eastAsia="Palatino Linotype" w:hAnsi="Palatino Linotype" w:cs="Palatino Linotype"/>
          <w:b/>
          <w:i/>
          <w:sz w:val="22"/>
          <w:szCs w:val="22"/>
        </w:rPr>
        <w:t xml:space="preserve">II. Señalar dentro del documento el tipo de información confidencial que fue testada en cada caso específico, de conformidad con el lineamiento trigésimo octavo; y </w:t>
      </w:r>
    </w:p>
    <w:p w14:paraId="08BA1C16" w14:textId="77777777" w:rsidR="00E565A0" w:rsidRPr="006E246F" w:rsidRDefault="009458BD">
      <w:pPr>
        <w:spacing w:line="276" w:lineRule="auto"/>
        <w:ind w:left="567" w:right="900"/>
        <w:jc w:val="both"/>
        <w:rPr>
          <w:rFonts w:ascii="Palatino Linotype" w:eastAsia="Palatino Linotype" w:hAnsi="Palatino Linotype" w:cs="Palatino Linotype"/>
          <w:b/>
          <w:i/>
          <w:sz w:val="22"/>
          <w:szCs w:val="22"/>
        </w:rPr>
      </w:pPr>
      <w:r w:rsidRPr="006E246F">
        <w:rPr>
          <w:rFonts w:ascii="Palatino Linotype" w:eastAsia="Palatino Linotype" w:hAnsi="Palatino Linotype" w:cs="Palatino Linotype"/>
          <w:b/>
          <w:i/>
          <w:sz w:val="22"/>
          <w:szCs w:val="22"/>
        </w:rPr>
        <w:t xml:space="preserve">III. Señalar las personas o instancias autorizadas a acceder a la información clasificada. </w:t>
      </w:r>
    </w:p>
    <w:p w14:paraId="66D43309" w14:textId="77777777" w:rsidR="00E565A0" w:rsidRPr="006E246F" w:rsidRDefault="009458BD">
      <w:pPr>
        <w:spacing w:line="276" w:lineRule="auto"/>
        <w:ind w:left="567" w:right="900"/>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i/>
          <w:sz w:val="22"/>
          <w:szCs w:val="22"/>
        </w:rPr>
        <w:t xml:space="preserve">En los documentos de difusión electrónica, señalar en la primera hoja y en el nombre del archivo, que la versión pública corresponde a un documento que contiene </w:t>
      </w:r>
      <w:r w:rsidRPr="006E246F">
        <w:rPr>
          <w:rFonts w:ascii="Palatino Linotype" w:eastAsia="Palatino Linotype" w:hAnsi="Palatino Linotype" w:cs="Palatino Linotype"/>
          <w:b/>
          <w:i/>
          <w:sz w:val="22"/>
          <w:szCs w:val="22"/>
          <w:u w:val="single"/>
        </w:rPr>
        <w:t>información confidencial.</w:t>
      </w:r>
      <w:r w:rsidRPr="006E246F">
        <w:rPr>
          <w:rFonts w:ascii="Palatino Linotype" w:eastAsia="Palatino Linotype" w:hAnsi="Palatino Linotype" w:cs="Palatino Linotype"/>
          <w:i/>
          <w:sz w:val="22"/>
          <w:szCs w:val="22"/>
        </w:rPr>
        <w:t xml:space="preserve"> </w:t>
      </w:r>
    </w:p>
    <w:p w14:paraId="75B6BF33" w14:textId="77777777" w:rsidR="00E565A0" w:rsidRPr="006E246F" w:rsidRDefault="009458BD">
      <w:pPr>
        <w:spacing w:line="276" w:lineRule="auto"/>
        <w:ind w:left="567" w:right="900"/>
        <w:jc w:val="both"/>
        <w:rPr>
          <w:rFonts w:ascii="Palatino Linotype" w:eastAsia="Palatino Linotype" w:hAnsi="Palatino Linotype" w:cs="Palatino Linotype"/>
          <w:b/>
          <w:i/>
          <w:sz w:val="22"/>
          <w:szCs w:val="22"/>
        </w:rPr>
      </w:pPr>
      <w:r w:rsidRPr="006E246F">
        <w:rPr>
          <w:rFonts w:ascii="Palatino Linotype" w:eastAsia="Palatino Linotype" w:hAnsi="Palatino Linotype" w:cs="Palatino Linotype"/>
          <w:b/>
          <w:i/>
          <w:sz w:val="22"/>
          <w:szCs w:val="22"/>
        </w:rPr>
        <w:t>[…]</w:t>
      </w:r>
    </w:p>
    <w:p w14:paraId="7ED20D0C" w14:textId="77777777" w:rsidR="00E565A0" w:rsidRPr="006E246F" w:rsidRDefault="009458BD">
      <w:pPr>
        <w:spacing w:line="276" w:lineRule="auto"/>
        <w:ind w:left="567" w:right="900"/>
        <w:jc w:val="both"/>
        <w:rPr>
          <w:rFonts w:ascii="Palatino Linotype" w:eastAsia="Palatino Linotype" w:hAnsi="Palatino Linotype" w:cs="Palatino Linotype"/>
          <w:b/>
          <w:i/>
          <w:sz w:val="22"/>
          <w:szCs w:val="22"/>
        </w:rPr>
      </w:pPr>
      <w:r w:rsidRPr="006E246F">
        <w:rPr>
          <w:rFonts w:ascii="Palatino Linotype" w:eastAsia="Palatino Linotype" w:hAnsi="Palatino Linotype" w:cs="Palatino Linotype"/>
          <w:b/>
          <w:i/>
          <w:sz w:val="22"/>
          <w:szCs w:val="22"/>
        </w:rPr>
        <w:t xml:space="preserve">Quincuagésimo cuarto. </w:t>
      </w:r>
      <w:r w:rsidRPr="006E246F">
        <w:rPr>
          <w:rFonts w:ascii="Palatino Linotype" w:eastAsia="Palatino Linotype" w:hAnsi="Palatino Linotype" w:cs="Palatino Linotype"/>
          <w:i/>
          <w:sz w:val="22"/>
          <w:szCs w:val="22"/>
        </w:rPr>
        <w:t xml:space="preserve">Cuando el Comité de Transparencia confirme la clasificación de documentos reservados y/o </w:t>
      </w:r>
      <w:r w:rsidRPr="006E246F">
        <w:rPr>
          <w:rFonts w:ascii="Palatino Linotype" w:eastAsia="Palatino Linotype" w:hAnsi="Palatino Linotype" w:cs="Palatino Linotype"/>
          <w:b/>
          <w:i/>
          <w:sz w:val="22"/>
          <w:szCs w:val="22"/>
        </w:rPr>
        <w:t>confidenciales</w:t>
      </w:r>
      <w:r w:rsidRPr="006E246F">
        <w:rPr>
          <w:rFonts w:ascii="Palatino Linotype" w:eastAsia="Palatino Linotype" w:hAnsi="Palatino Linotype" w:cs="Palatino Linotype"/>
          <w:i/>
          <w:sz w:val="22"/>
          <w:szCs w:val="22"/>
        </w:rPr>
        <w:t>, sea total o parcialmente; se deberá anexar al expediente la resolución que determinó la clasificación o, en su defecto, identificar en la carátula del expediente del cual formen parte, la fecha y sesión del Comité de Transparencia en la que se confirmó dicha clasificación.</w:t>
      </w:r>
      <w:r w:rsidRPr="006E246F">
        <w:rPr>
          <w:rFonts w:ascii="Palatino Linotype" w:eastAsia="Palatino Linotype" w:hAnsi="Palatino Linotype" w:cs="Palatino Linotype"/>
          <w:b/>
          <w:i/>
          <w:sz w:val="22"/>
          <w:szCs w:val="22"/>
        </w:rPr>
        <w:t xml:space="preserve"> </w:t>
      </w:r>
    </w:p>
    <w:p w14:paraId="5B4B7992" w14:textId="77777777" w:rsidR="00E565A0" w:rsidRPr="006E246F" w:rsidRDefault="009458BD">
      <w:pPr>
        <w:spacing w:line="276" w:lineRule="auto"/>
        <w:ind w:left="567" w:right="900"/>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b/>
          <w:i/>
          <w:sz w:val="22"/>
          <w:szCs w:val="22"/>
        </w:rPr>
        <w:t xml:space="preserve">Quincuagésimo quinto. </w:t>
      </w:r>
      <w:r w:rsidRPr="006E246F">
        <w:rPr>
          <w:rFonts w:ascii="Palatino Linotype" w:eastAsia="Palatino Linotype" w:hAnsi="Palatino Linotype" w:cs="Palatino Linotype"/>
          <w:i/>
          <w:sz w:val="22"/>
          <w:szCs w:val="22"/>
        </w:rPr>
        <w:t xml:space="preserve">Cada área del sujeto obligado podrá designar formalmente a una o más personas como responsables del </w:t>
      </w:r>
      <w:proofErr w:type="spellStart"/>
      <w:r w:rsidRPr="006E246F">
        <w:rPr>
          <w:rFonts w:ascii="Palatino Linotype" w:eastAsia="Palatino Linotype" w:hAnsi="Palatino Linotype" w:cs="Palatino Linotype"/>
          <w:i/>
          <w:sz w:val="22"/>
          <w:szCs w:val="22"/>
        </w:rPr>
        <w:t>testado</w:t>
      </w:r>
      <w:proofErr w:type="spellEnd"/>
      <w:r w:rsidRPr="006E246F">
        <w:rPr>
          <w:rFonts w:ascii="Palatino Linotype" w:eastAsia="Palatino Linotype" w:hAnsi="Palatino Linotype" w:cs="Palatino Linotype"/>
          <w:i/>
          <w:sz w:val="22"/>
          <w:szCs w:val="22"/>
        </w:rPr>
        <w:t xml:space="preserve">, que sean encargadas de la adecuada elaboración o supervisión de las versiones públicas de los documentos o expedientes, verificando que cumplan con los requisitos señalados en las Leyes </w:t>
      </w:r>
      <w:r w:rsidRPr="006E246F">
        <w:rPr>
          <w:rFonts w:ascii="Palatino Linotype" w:eastAsia="Palatino Linotype" w:hAnsi="Palatino Linotype" w:cs="Palatino Linotype"/>
          <w:i/>
          <w:sz w:val="22"/>
          <w:szCs w:val="22"/>
        </w:rPr>
        <w:lastRenderedPageBreak/>
        <w:t xml:space="preserve">Generales, los presentes Lineamientos y demás normativa aplicable antes de su confirmación por el Comité de Transparencia.” (Énfasis añadido) </w:t>
      </w:r>
    </w:p>
    <w:p w14:paraId="7983CBC0" w14:textId="77777777" w:rsidR="00E565A0" w:rsidRPr="006E246F" w:rsidRDefault="00E565A0">
      <w:pPr>
        <w:spacing w:line="360" w:lineRule="auto"/>
        <w:jc w:val="both"/>
        <w:rPr>
          <w:rFonts w:ascii="Palatino Linotype" w:eastAsia="Palatino Linotype" w:hAnsi="Palatino Linotype" w:cs="Palatino Linotype"/>
          <w:sz w:val="22"/>
          <w:szCs w:val="22"/>
        </w:rPr>
      </w:pPr>
    </w:p>
    <w:p w14:paraId="502C6C4D" w14:textId="77777777" w:rsidR="00E565A0" w:rsidRPr="006E246F" w:rsidRDefault="009458BD">
      <w:pPr>
        <w:spacing w:line="360" w:lineRule="auto"/>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Entorno a lo que aquí nos interesa, los Lineamientos Quincuagésimo sexto, Quincuagésimo séptimo y Quincuagésimo octavo, vigentes a la fecha de la solicitud, establecen lo siguiente:</w:t>
      </w:r>
    </w:p>
    <w:p w14:paraId="5343A102" w14:textId="77777777" w:rsidR="00E565A0" w:rsidRPr="006E246F" w:rsidRDefault="00E565A0">
      <w:pPr>
        <w:spacing w:line="360" w:lineRule="auto"/>
        <w:jc w:val="both"/>
        <w:rPr>
          <w:rFonts w:ascii="Palatino Linotype" w:eastAsia="Palatino Linotype" w:hAnsi="Palatino Linotype" w:cs="Palatino Linotype"/>
          <w:sz w:val="22"/>
          <w:szCs w:val="22"/>
        </w:rPr>
      </w:pPr>
    </w:p>
    <w:p w14:paraId="6484BE2A" w14:textId="77777777" w:rsidR="00E565A0" w:rsidRPr="006E246F" w:rsidRDefault="009458BD">
      <w:pPr>
        <w:spacing w:after="120"/>
        <w:ind w:left="851" w:right="902"/>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i/>
          <w:sz w:val="22"/>
          <w:szCs w:val="22"/>
        </w:rPr>
        <w:t>“</w:t>
      </w:r>
      <w:r w:rsidRPr="006E246F">
        <w:rPr>
          <w:rFonts w:ascii="Palatino Linotype" w:eastAsia="Palatino Linotype" w:hAnsi="Palatino Linotype" w:cs="Palatino Linotype"/>
          <w:b/>
          <w:i/>
          <w:sz w:val="22"/>
          <w:szCs w:val="22"/>
        </w:rPr>
        <w:t>Quincuagésimo sexto.</w:t>
      </w:r>
      <w:r w:rsidRPr="006E246F">
        <w:rPr>
          <w:rFonts w:ascii="Palatino Linotype" w:eastAsia="Palatino Linotype" w:hAnsi="Palatino Linotype" w:cs="Palatino Linotype"/>
          <w:i/>
          <w:sz w:val="22"/>
          <w:szCs w:val="22"/>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53803570" w14:textId="77777777" w:rsidR="00E565A0" w:rsidRPr="006E246F" w:rsidRDefault="009458BD">
      <w:pPr>
        <w:spacing w:before="120" w:after="120"/>
        <w:ind w:left="851" w:right="902"/>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b/>
          <w:i/>
          <w:sz w:val="22"/>
          <w:szCs w:val="22"/>
        </w:rPr>
        <w:t>Quincuagésimo séptimo.</w:t>
      </w:r>
      <w:r w:rsidRPr="006E246F">
        <w:rPr>
          <w:rFonts w:ascii="Palatino Linotype" w:eastAsia="Palatino Linotype" w:hAnsi="Palatino Linotype" w:cs="Palatino Linotype"/>
          <w:i/>
          <w:sz w:val="22"/>
          <w:szCs w:val="22"/>
        </w:rPr>
        <w:t xml:space="preserve"> Se considera, en principio, como información pública y no podrá omitirse de las versiones públicas la siguiente: </w:t>
      </w:r>
    </w:p>
    <w:p w14:paraId="788EDDE7" w14:textId="77777777" w:rsidR="00E565A0" w:rsidRPr="006E246F" w:rsidRDefault="009458BD">
      <w:pPr>
        <w:spacing w:before="120" w:after="120"/>
        <w:ind w:left="851" w:right="902"/>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b/>
          <w:i/>
          <w:sz w:val="22"/>
          <w:szCs w:val="22"/>
        </w:rPr>
        <w:t>I.</w:t>
      </w:r>
      <w:r w:rsidRPr="006E246F">
        <w:rPr>
          <w:rFonts w:ascii="Palatino Linotype" w:eastAsia="Palatino Linotype" w:hAnsi="Palatino Linotype" w:cs="Palatino Linotype"/>
          <w:i/>
          <w:sz w:val="22"/>
          <w:szCs w:val="22"/>
        </w:rPr>
        <w:t xml:space="preserve"> La relativa a las Obligaciones de Transparencia que contempla el Título V de la Ley General y las demás disposiciones legales aplicables; </w:t>
      </w:r>
    </w:p>
    <w:p w14:paraId="1BE3ED6B" w14:textId="77777777" w:rsidR="00E565A0" w:rsidRPr="006E246F" w:rsidRDefault="009458BD">
      <w:pPr>
        <w:spacing w:before="120" w:after="120"/>
        <w:ind w:left="851" w:right="902"/>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b/>
          <w:i/>
          <w:sz w:val="22"/>
          <w:szCs w:val="22"/>
        </w:rPr>
        <w:t>II.</w:t>
      </w:r>
      <w:r w:rsidRPr="006E246F">
        <w:rPr>
          <w:rFonts w:ascii="Palatino Linotype" w:eastAsia="Palatino Linotype" w:hAnsi="Palatino Linotype" w:cs="Palatino Linotype"/>
          <w:i/>
          <w:sz w:val="22"/>
          <w:szCs w:val="22"/>
        </w:rPr>
        <w:t xml:space="preserve"> El nombre de los servidores públicos en los documentos, y sus firmas autógrafas, cuando sean utilizados en el ejercicio de las facultades conferidas para el desempeño del servicio público, y </w:t>
      </w:r>
    </w:p>
    <w:p w14:paraId="1217D726" w14:textId="77777777" w:rsidR="00E565A0" w:rsidRPr="006E246F" w:rsidRDefault="009458BD">
      <w:pPr>
        <w:spacing w:before="120" w:after="120"/>
        <w:ind w:left="851" w:right="902"/>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b/>
          <w:i/>
          <w:sz w:val="22"/>
          <w:szCs w:val="22"/>
        </w:rPr>
        <w:t>III.</w:t>
      </w:r>
      <w:r w:rsidRPr="006E246F">
        <w:rPr>
          <w:rFonts w:ascii="Palatino Linotype" w:eastAsia="Palatino Linotype" w:hAnsi="Palatino Linotype" w:cs="Palatino Linotype"/>
          <w:i/>
          <w:sz w:val="22"/>
          <w:szCs w:val="22"/>
        </w:rPr>
        <w:t xml:space="preserve"> La información que documente decisiones y los actos de autoridad concluidos de los sujetos obligados, así como el ejercicio de las facultades o actividades de los servidores públicos, de manera que se pueda valorar el desempeño de los mismos.</w:t>
      </w:r>
    </w:p>
    <w:p w14:paraId="37A585E7" w14:textId="77777777" w:rsidR="00E565A0" w:rsidRPr="006E246F" w:rsidRDefault="009458BD">
      <w:pPr>
        <w:spacing w:before="120" w:after="120" w:line="276" w:lineRule="auto"/>
        <w:ind w:left="851" w:right="902"/>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i/>
          <w:sz w:val="22"/>
          <w:szCs w:val="22"/>
        </w:rPr>
        <w:t xml:space="preserve">Lo anterior, siempre y cuando no se acredite alguna causal de clasificación, prevista en las leyes o en los tratados </w:t>
      </w:r>
      <w:proofErr w:type="gramStart"/>
      <w:r w:rsidRPr="006E246F">
        <w:rPr>
          <w:rFonts w:ascii="Palatino Linotype" w:eastAsia="Palatino Linotype" w:hAnsi="Palatino Linotype" w:cs="Palatino Linotype"/>
          <w:i/>
          <w:sz w:val="22"/>
          <w:szCs w:val="22"/>
        </w:rPr>
        <w:t>internaciones suscritos</w:t>
      </w:r>
      <w:proofErr w:type="gramEnd"/>
      <w:r w:rsidRPr="006E246F">
        <w:rPr>
          <w:rFonts w:ascii="Palatino Linotype" w:eastAsia="Palatino Linotype" w:hAnsi="Palatino Linotype" w:cs="Palatino Linotype"/>
          <w:i/>
          <w:sz w:val="22"/>
          <w:szCs w:val="22"/>
        </w:rPr>
        <w:t xml:space="preserve"> por el Estado mexicano. </w:t>
      </w:r>
    </w:p>
    <w:p w14:paraId="640EB220" w14:textId="77777777" w:rsidR="00E565A0" w:rsidRPr="006E246F" w:rsidRDefault="009458BD">
      <w:pPr>
        <w:spacing w:before="120" w:line="276" w:lineRule="auto"/>
        <w:ind w:left="851" w:right="902"/>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b/>
          <w:i/>
          <w:sz w:val="22"/>
          <w:szCs w:val="22"/>
        </w:rPr>
        <w:t>Quincuagésimo octavo</w:t>
      </w:r>
      <w:r w:rsidRPr="006E246F">
        <w:rPr>
          <w:rFonts w:ascii="Palatino Linotype" w:eastAsia="Palatino Linotype" w:hAnsi="Palatino Linotype" w:cs="Palatino Linotype"/>
          <w:i/>
          <w:sz w:val="22"/>
          <w:szCs w:val="22"/>
        </w:rPr>
        <w:t>. Los sujetos obligados garantizarán que los sistemas o medios empleados para eliminar la información en las versiones públicas no permitan la recuperación o visualización de la misma.”</w:t>
      </w:r>
    </w:p>
    <w:p w14:paraId="22D47335" w14:textId="77777777" w:rsidR="00E565A0" w:rsidRPr="006E246F" w:rsidRDefault="00E565A0">
      <w:pPr>
        <w:spacing w:line="360" w:lineRule="auto"/>
        <w:jc w:val="both"/>
        <w:rPr>
          <w:rFonts w:ascii="Palatino Linotype" w:eastAsia="Palatino Linotype" w:hAnsi="Palatino Linotype" w:cs="Palatino Linotype"/>
          <w:sz w:val="22"/>
          <w:szCs w:val="22"/>
        </w:rPr>
      </w:pPr>
    </w:p>
    <w:p w14:paraId="4B547C37" w14:textId="77777777" w:rsidR="00E565A0" w:rsidRPr="006E246F" w:rsidRDefault="009458BD">
      <w:pPr>
        <w:spacing w:line="360" w:lineRule="auto"/>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w:t>
      </w:r>
      <w:r w:rsidRPr="006E246F">
        <w:rPr>
          <w:rFonts w:ascii="Palatino Linotype" w:eastAsia="Palatino Linotype" w:hAnsi="Palatino Linotype" w:cs="Palatino Linotype"/>
          <w:b/>
          <w:sz w:val="22"/>
          <w:szCs w:val="22"/>
        </w:rPr>
        <w:t>Sujeto Obligado</w:t>
      </w:r>
      <w:r w:rsidRPr="006E246F">
        <w:rPr>
          <w:rFonts w:ascii="Palatino Linotype" w:eastAsia="Palatino Linotype" w:hAnsi="Palatino Linotype" w:cs="Palatino Linotype"/>
          <w:sz w:val="22"/>
          <w:szCs w:val="22"/>
        </w:rPr>
        <w:t xml:space="preserve"> a testar, suprimir o eliminar datos de dicho soporte documental, ya que no hacerlo, se reitera que lo entregado no tendría un sustento jurídico </w:t>
      </w:r>
      <w:r w:rsidRPr="006E246F">
        <w:rPr>
          <w:rFonts w:ascii="Palatino Linotype" w:eastAsia="Palatino Linotype" w:hAnsi="Palatino Linotype" w:cs="Palatino Linotype"/>
          <w:sz w:val="22"/>
          <w:szCs w:val="22"/>
        </w:rPr>
        <w:lastRenderedPageBreak/>
        <w:t>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14:paraId="032E1A28" w14:textId="77777777" w:rsidR="00E565A0" w:rsidRPr="006E246F" w:rsidRDefault="00E565A0">
      <w:pPr>
        <w:spacing w:line="360" w:lineRule="auto"/>
        <w:ind w:right="51"/>
        <w:jc w:val="both"/>
        <w:rPr>
          <w:rFonts w:ascii="Palatino Linotype" w:eastAsia="Palatino Linotype" w:hAnsi="Palatino Linotype" w:cs="Palatino Linotype"/>
          <w:sz w:val="22"/>
          <w:szCs w:val="22"/>
        </w:rPr>
      </w:pPr>
    </w:p>
    <w:p w14:paraId="1AAE31A6" w14:textId="77777777" w:rsidR="00E565A0" w:rsidRPr="006E246F" w:rsidRDefault="009458BD">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Así, con fundamento en lo prescrito en los artículos 5 párrafos trigésimo noveno, cuadragésimo y cuadragésimo primero de la Constitución Política del Estado Libre y Soberano de México; 2, fracción II; 29, 36 fracciones I y II; 176, 178, 181, 185, fracción I, 186, fracción III, así como 188 de la Ley de Transparencia y Acceso a la Información Pública del Estado de México y Municipios, este Pleno:</w:t>
      </w:r>
    </w:p>
    <w:p w14:paraId="27B35ADE" w14:textId="77777777" w:rsidR="00E565A0" w:rsidRPr="006E246F" w:rsidRDefault="00E565A0">
      <w:pPr>
        <w:pBdr>
          <w:top w:val="nil"/>
          <w:left w:val="nil"/>
          <w:bottom w:val="nil"/>
          <w:right w:val="nil"/>
          <w:between w:val="nil"/>
        </w:pBdr>
        <w:tabs>
          <w:tab w:val="center" w:pos="4252"/>
          <w:tab w:val="right" w:pos="8504"/>
          <w:tab w:val="left" w:pos="7770"/>
          <w:tab w:val="right" w:pos="8838"/>
        </w:tabs>
        <w:spacing w:line="360" w:lineRule="auto"/>
        <w:jc w:val="both"/>
        <w:rPr>
          <w:rFonts w:ascii="Palatino Linotype" w:eastAsia="Palatino Linotype" w:hAnsi="Palatino Linotype" w:cs="Palatino Linotype"/>
          <w:sz w:val="22"/>
          <w:szCs w:val="22"/>
        </w:rPr>
      </w:pPr>
    </w:p>
    <w:p w14:paraId="26B1AB8D" w14:textId="77777777" w:rsidR="00E565A0" w:rsidRPr="006E246F" w:rsidRDefault="009458BD">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bookmarkStart w:id="10" w:name="_heading=h.ijv98pntcd5s" w:colFirst="0" w:colLast="0"/>
      <w:bookmarkEnd w:id="10"/>
      <w:r w:rsidRPr="006E246F">
        <w:rPr>
          <w:rFonts w:ascii="Palatino Linotype" w:eastAsia="Palatino Linotype" w:hAnsi="Palatino Linotype" w:cs="Palatino Linotype"/>
          <w:b/>
          <w:sz w:val="22"/>
          <w:szCs w:val="22"/>
        </w:rPr>
        <w:t>III. R E S U E L V E</w:t>
      </w:r>
    </w:p>
    <w:p w14:paraId="090EFCD8" w14:textId="77777777" w:rsidR="00E565A0" w:rsidRPr="006E246F" w:rsidRDefault="00E565A0">
      <w:pPr>
        <w:spacing w:line="360" w:lineRule="auto"/>
        <w:jc w:val="both"/>
        <w:rPr>
          <w:rFonts w:ascii="Palatino Linotype" w:eastAsia="Palatino Linotype" w:hAnsi="Palatino Linotype" w:cs="Palatino Linotype"/>
          <w:b/>
          <w:sz w:val="22"/>
          <w:szCs w:val="22"/>
        </w:rPr>
      </w:pPr>
      <w:bookmarkStart w:id="11" w:name="_heading=h.26in1rg" w:colFirst="0" w:colLast="0"/>
      <w:bookmarkEnd w:id="11"/>
    </w:p>
    <w:p w14:paraId="1F069BEC" w14:textId="77777777" w:rsidR="00E565A0" w:rsidRPr="006E246F" w:rsidRDefault="009458BD">
      <w:pPr>
        <w:spacing w:line="360" w:lineRule="auto"/>
        <w:jc w:val="both"/>
        <w:rPr>
          <w:rFonts w:ascii="Palatino Linotype" w:eastAsia="Palatino Linotype" w:hAnsi="Palatino Linotype" w:cs="Palatino Linotype"/>
          <w:b/>
          <w:sz w:val="22"/>
          <w:szCs w:val="22"/>
        </w:rPr>
      </w:pPr>
      <w:bookmarkStart w:id="12" w:name="_heading=h.h7nzb79wlra" w:colFirst="0" w:colLast="0"/>
      <w:bookmarkEnd w:id="12"/>
      <w:r w:rsidRPr="006E246F">
        <w:rPr>
          <w:rFonts w:ascii="Palatino Linotype" w:eastAsia="Palatino Linotype" w:hAnsi="Palatino Linotype" w:cs="Palatino Linotype"/>
          <w:b/>
          <w:sz w:val="22"/>
          <w:szCs w:val="22"/>
        </w:rPr>
        <w:t xml:space="preserve">Primero. </w:t>
      </w:r>
      <w:r w:rsidRPr="006E246F">
        <w:rPr>
          <w:rFonts w:ascii="Palatino Linotype" w:eastAsia="Palatino Linotype" w:hAnsi="Palatino Linotype" w:cs="Palatino Linotype"/>
          <w:sz w:val="22"/>
          <w:szCs w:val="22"/>
        </w:rPr>
        <w:t xml:space="preserve">Resultan </w:t>
      </w:r>
      <w:r w:rsidRPr="006E246F">
        <w:rPr>
          <w:rFonts w:ascii="Palatino Linotype" w:eastAsia="Palatino Linotype" w:hAnsi="Palatino Linotype" w:cs="Palatino Linotype"/>
          <w:b/>
          <w:sz w:val="22"/>
          <w:szCs w:val="22"/>
        </w:rPr>
        <w:t>parcialmente fundadas</w:t>
      </w:r>
      <w:r w:rsidRPr="006E246F">
        <w:rPr>
          <w:rFonts w:ascii="Palatino Linotype" w:eastAsia="Palatino Linotype" w:hAnsi="Palatino Linotype" w:cs="Palatino Linotype"/>
          <w:sz w:val="22"/>
          <w:szCs w:val="22"/>
        </w:rPr>
        <w:t xml:space="preserve"> las razones o motivos de inconformidad hechos valer por la parte</w:t>
      </w:r>
      <w:r w:rsidRPr="006E246F">
        <w:rPr>
          <w:rFonts w:ascii="Palatino Linotype" w:eastAsia="Palatino Linotype" w:hAnsi="Palatino Linotype" w:cs="Palatino Linotype"/>
          <w:b/>
          <w:sz w:val="22"/>
          <w:szCs w:val="22"/>
        </w:rPr>
        <w:t xml:space="preserve"> Recurrente</w:t>
      </w:r>
      <w:r w:rsidRPr="006E246F">
        <w:rPr>
          <w:rFonts w:ascii="Palatino Linotype" w:eastAsia="Palatino Linotype" w:hAnsi="Palatino Linotype" w:cs="Palatino Linotype"/>
          <w:sz w:val="22"/>
          <w:szCs w:val="22"/>
        </w:rPr>
        <w:t xml:space="preserve"> en el recurso de revisión </w:t>
      </w:r>
      <w:r w:rsidRPr="006E246F">
        <w:rPr>
          <w:rFonts w:ascii="Palatino Linotype" w:eastAsia="Palatino Linotype" w:hAnsi="Palatino Linotype" w:cs="Palatino Linotype"/>
          <w:b/>
          <w:sz w:val="22"/>
          <w:szCs w:val="22"/>
        </w:rPr>
        <w:t>03929/INFOEM/IP/RR/2025</w:t>
      </w:r>
      <w:r w:rsidRPr="006E246F">
        <w:rPr>
          <w:rFonts w:ascii="Palatino Linotype" w:eastAsia="Palatino Linotype" w:hAnsi="Palatino Linotype" w:cs="Palatino Linotype"/>
          <w:sz w:val="22"/>
          <w:szCs w:val="22"/>
        </w:rPr>
        <w:t xml:space="preserve">; por lo que, en términos del </w:t>
      </w:r>
      <w:r w:rsidRPr="006E246F">
        <w:rPr>
          <w:rFonts w:ascii="Palatino Linotype" w:eastAsia="Palatino Linotype" w:hAnsi="Palatino Linotype" w:cs="Palatino Linotype"/>
          <w:b/>
          <w:sz w:val="22"/>
          <w:szCs w:val="22"/>
        </w:rPr>
        <w:t>Considerando</w:t>
      </w:r>
      <w:r w:rsidRPr="006E246F">
        <w:rPr>
          <w:rFonts w:ascii="Palatino Linotype" w:eastAsia="Palatino Linotype" w:hAnsi="Palatino Linotype" w:cs="Palatino Linotype"/>
          <w:sz w:val="22"/>
          <w:szCs w:val="22"/>
        </w:rPr>
        <w:t xml:space="preserve"> </w:t>
      </w:r>
      <w:r w:rsidRPr="006E246F">
        <w:rPr>
          <w:rFonts w:ascii="Palatino Linotype" w:eastAsia="Palatino Linotype" w:hAnsi="Palatino Linotype" w:cs="Palatino Linotype"/>
          <w:b/>
          <w:sz w:val="22"/>
          <w:szCs w:val="22"/>
        </w:rPr>
        <w:t xml:space="preserve">Cuarto </w:t>
      </w:r>
      <w:r w:rsidRPr="006E246F">
        <w:rPr>
          <w:rFonts w:ascii="Palatino Linotype" w:eastAsia="Palatino Linotype" w:hAnsi="Palatino Linotype" w:cs="Palatino Linotype"/>
          <w:sz w:val="22"/>
          <w:szCs w:val="22"/>
        </w:rPr>
        <w:t xml:space="preserve">de esta resolución, se </w:t>
      </w:r>
      <w:r w:rsidRPr="006E246F">
        <w:rPr>
          <w:rFonts w:ascii="Palatino Linotype" w:eastAsia="Palatino Linotype" w:hAnsi="Palatino Linotype" w:cs="Palatino Linotype"/>
          <w:b/>
          <w:sz w:val="22"/>
          <w:szCs w:val="22"/>
        </w:rPr>
        <w:t xml:space="preserve">Modifica </w:t>
      </w:r>
      <w:r w:rsidRPr="006E246F">
        <w:rPr>
          <w:rFonts w:ascii="Palatino Linotype" w:eastAsia="Palatino Linotype" w:hAnsi="Palatino Linotype" w:cs="Palatino Linotype"/>
          <w:sz w:val="22"/>
          <w:szCs w:val="22"/>
        </w:rPr>
        <w:t xml:space="preserve">la respuesta emitida por el </w:t>
      </w:r>
      <w:r w:rsidRPr="006E246F">
        <w:rPr>
          <w:rFonts w:ascii="Palatino Linotype" w:eastAsia="Palatino Linotype" w:hAnsi="Palatino Linotype" w:cs="Palatino Linotype"/>
          <w:b/>
          <w:sz w:val="22"/>
          <w:szCs w:val="22"/>
        </w:rPr>
        <w:t>Sujeto Obligado.</w:t>
      </w:r>
    </w:p>
    <w:p w14:paraId="5B988214" w14:textId="77777777" w:rsidR="00E565A0" w:rsidRPr="006E246F" w:rsidRDefault="00E565A0">
      <w:pPr>
        <w:spacing w:line="360" w:lineRule="auto"/>
        <w:jc w:val="both"/>
        <w:rPr>
          <w:rFonts w:ascii="Palatino Linotype" w:eastAsia="Palatino Linotype" w:hAnsi="Palatino Linotype" w:cs="Palatino Linotype"/>
          <w:b/>
          <w:sz w:val="22"/>
          <w:szCs w:val="22"/>
        </w:rPr>
      </w:pPr>
    </w:p>
    <w:p w14:paraId="04C30ED6" w14:textId="77777777" w:rsidR="00E565A0" w:rsidRPr="006E246F" w:rsidRDefault="009458BD">
      <w:pPr>
        <w:spacing w:line="360" w:lineRule="auto"/>
        <w:jc w:val="both"/>
        <w:rPr>
          <w:rFonts w:ascii="Palatino Linotype" w:eastAsia="Palatino Linotype" w:hAnsi="Palatino Linotype" w:cs="Palatino Linotype"/>
          <w:sz w:val="22"/>
          <w:szCs w:val="22"/>
        </w:rPr>
      </w:pPr>
      <w:bookmarkStart w:id="13" w:name="_heading=h.2et92p0" w:colFirst="0" w:colLast="0"/>
      <w:bookmarkEnd w:id="13"/>
      <w:r w:rsidRPr="006E246F">
        <w:rPr>
          <w:rFonts w:ascii="Palatino Linotype" w:eastAsia="Palatino Linotype" w:hAnsi="Palatino Linotype" w:cs="Palatino Linotype"/>
          <w:b/>
          <w:sz w:val="22"/>
          <w:szCs w:val="22"/>
        </w:rPr>
        <w:t xml:space="preserve">Segundo. </w:t>
      </w:r>
      <w:r w:rsidRPr="006E246F">
        <w:rPr>
          <w:rFonts w:ascii="Palatino Linotype" w:eastAsia="Palatino Linotype" w:hAnsi="Palatino Linotype" w:cs="Palatino Linotype"/>
          <w:sz w:val="22"/>
          <w:szCs w:val="22"/>
        </w:rPr>
        <w:t xml:space="preserve">Se </w:t>
      </w:r>
      <w:r w:rsidRPr="006E246F">
        <w:rPr>
          <w:rFonts w:ascii="Palatino Linotype" w:eastAsia="Palatino Linotype" w:hAnsi="Palatino Linotype" w:cs="Palatino Linotype"/>
          <w:b/>
          <w:sz w:val="22"/>
          <w:szCs w:val="22"/>
        </w:rPr>
        <w:t>Ordena</w:t>
      </w:r>
      <w:r w:rsidRPr="006E246F">
        <w:rPr>
          <w:rFonts w:ascii="Palatino Linotype" w:eastAsia="Palatino Linotype" w:hAnsi="Palatino Linotype" w:cs="Palatino Linotype"/>
          <w:sz w:val="22"/>
          <w:szCs w:val="22"/>
        </w:rPr>
        <w:t xml:space="preserve"> al </w:t>
      </w:r>
      <w:r w:rsidRPr="006E246F">
        <w:rPr>
          <w:rFonts w:ascii="Palatino Linotype" w:eastAsia="Palatino Linotype" w:hAnsi="Palatino Linotype" w:cs="Palatino Linotype"/>
          <w:b/>
          <w:sz w:val="22"/>
          <w:szCs w:val="22"/>
        </w:rPr>
        <w:t>Sujeto Obligado</w:t>
      </w:r>
      <w:r w:rsidRPr="006E246F">
        <w:rPr>
          <w:rFonts w:ascii="Palatino Linotype" w:eastAsia="Palatino Linotype" w:hAnsi="Palatino Linotype" w:cs="Palatino Linotype"/>
          <w:sz w:val="22"/>
          <w:szCs w:val="22"/>
        </w:rPr>
        <w:t xml:space="preserve">, en términos de los considerandos </w:t>
      </w:r>
      <w:r w:rsidRPr="006E246F">
        <w:rPr>
          <w:rFonts w:ascii="Palatino Linotype" w:eastAsia="Palatino Linotype" w:hAnsi="Palatino Linotype" w:cs="Palatino Linotype"/>
          <w:b/>
          <w:sz w:val="22"/>
          <w:szCs w:val="22"/>
        </w:rPr>
        <w:t xml:space="preserve">Cuarto y Quinto </w:t>
      </w:r>
      <w:r w:rsidRPr="006E246F">
        <w:rPr>
          <w:rFonts w:ascii="Palatino Linotype" w:eastAsia="Palatino Linotype" w:hAnsi="Palatino Linotype" w:cs="Palatino Linotype"/>
          <w:sz w:val="22"/>
          <w:szCs w:val="22"/>
        </w:rPr>
        <w:t xml:space="preserve">de esta resolución, </w:t>
      </w:r>
      <w:r w:rsidRPr="006E246F">
        <w:rPr>
          <w:rFonts w:ascii="Palatino Linotype" w:eastAsia="Palatino Linotype" w:hAnsi="Palatino Linotype" w:cs="Palatino Linotype"/>
          <w:b/>
          <w:sz w:val="22"/>
          <w:szCs w:val="22"/>
        </w:rPr>
        <w:t xml:space="preserve">haga entrega vía Sistema de Acceso a la Información Mexiquense (SAIMEX), </w:t>
      </w:r>
      <w:r w:rsidRPr="006E246F">
        <w:rPr>
          <w:rFonts w:ascii="Palatino Linotype" w:eastAsia="Palatino Linotype" w:hAnsi="Palatino Linotype" w:cs="Palatino Linotype"/>
          <w:sz w:val="22"/>
          <w:szCs w:val="22"/>
        </w:rPr>
        <w:t xml:space="preserve">lo siguiente: </w:t>
      </w:r>
    </w:p>
    <w:p w14:paraId="4A1CEBDA" w14:textId="77777777" w:rsidR="00E565A0" w:rsidRPr="006E246F" w:rsidRDefault="00E565A0">
      <w:pPr>
        <w:spacing w:line="360" w:lineRule="auto"/>
        <w:jc w:val="both"/>
        <w:rPr>
          <w:rFonts w:ascii="Palatino Linotype" w:eastAsia="Palatino Linotype" w:hAnsi="Palatino Linotype" w:cs="Palatino Linotype"/>
          <w:sz w:val="22"/>
          <w:szCs w:val="22"/>
        </w:rPr>
      </w:pPr>
    </w:p>
    <w:p w14:paraId="5290E84E" w14:textId="77777777" w:rsidR="00E565A0" w:rsidRPr="006E246F" w:rsidRDefault="009458BD">
      <w:pPr>
        <w:numPr>
          <w:ilvl w:val="0"/>
          <w:numId w:val="8"/>
        </w:numPr>
        <w:pBdr>
          <w:top w:val="nil"/>
          <w:left w:val="nil"/>
          <w:bottom w:val="nil"/>
          <w:right w:val="nil"/>
          <w:between w:val="nil"/>
        </w:pBdr>
        <w:spacing w:line="276" w:lineRule="auto"/>
        <w:ind w:left="360"/>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b/>
          <w:sz w:val="22"/>
          <w:szCs w:val="22"/>
        </w:rPr>
        <w:t xml:space="preserve">El acuerdo de clasificación emitido por el Comité de Transparencia, en donde de manera debidamente fundada y motivada, confirme la clasificación como información confidencial, en términos del artículo 143, fracción I de la Ley de Transparencia y Acceso a la Información Pública del Estado de México y Municipios, </w:t>
      </w:r>
      <w:r w:rsidRPr="006E246F">
        <w:rPr>
          <w:rFonts w:ascii="Palatino Linotype" w:eastAsia="Palatino Linotype" w:hAnsi="Palatino Linotype" w:cs="Palatino Linotype"/>
          <w:b/>
          <w:sz w:val="22"/>
          <w:szCs w:val="22"/>
        </w:rPr>
        <w:lastRenderedPageBreak/>
        <w:t>los documentos en donde consten los nombres de las operadoras de transporte público con que cuente al 19 de febrero de 2025.</w:t>
      </w:r>
    </w:p>
    <w:p w14:paraId="1C2CD793" w14:textId="77777777" w:rsidR="00E565A0" w:rsidRPr="006E246F" w:rsidRDefault="00E565A0">
      <w:pPr>
        <w:pBdr>
          <w:top w:val="nil"/>
          <w:left w:val="nil"/>
          <w:bottom w:val="nil"/>
          <w:right w:val="nil"/>
          <w:between w:val="nil"/>
        </w:pBdr>
        <w:spacing w:line="276" w:lineRule="auto"/>
        <w:ind w:left="360"/>
        <w:jc w:val="both"/>
        <w:rPr>
          <w:rFonts w:ascii="Palatino Linotype" w:eastAsia="Palatino Linotype" w:hAnsi="Palatino Linotype" w:cs="Palatino Linotype"/>
          <w:b/>
          <w:sz w:val="22"/>
          <w:szCs w:val="22"/>
        </w:rPr>
      </w:pPr>
    </w:p>
    <w:p w14:paraId="7F56D0B4" w14:textId="77777777" w:rsidR="00E565A0" w:rsidRPr="006E246F" w:rsidRDefault="009458BD">
      <w:pPr>
        <w:numPr>
          <w:ilvl w:val="0"/>
          <w:numId w:val="8"/>
        </w:numPr>
        <w:pBdr>
          <w:top w:val="nil"/>
          <w:left w:val="nil"/>
          <w:bottom w:val="nil"/>
          <w:right w:val="nil"/>
          <w:between w:val="nil"/>
        </w:pBdr>
        <w:spacing w:line="276" w:lineRule="auto"/>
        <w:ind w:left="360"/>
        <w:jc w:val="both"/>
        <w:rPr>
          <w:rFonts w:ascii="Palatino Linotype" w:eastAsia="Palatino Linotype" w:hAnsi="Palatino Linotype" w:cs="Palatino Linotype"/>
          <w:b/>
          <w:sz w:val="22"/>
          <w:szCs w:val="22"/>
        </w:rPr>
      </w:pPr>
      <w:r w:rsidRPr="006E246F">
        <w:rPr>
          <w:rFonts w:ascii="Palatino Linotype" w:eastAsia="Palatino Linotype" w:hAnsi="Palatino Linotype" w:cs="Palatino Linotype"/>
          <w:b/>
          <w:sz w:val="22"/>
          <w:szCs w:val="22"/>
        </w:rPr>
        <w:t>De ser procedente en versión pública, el o los documentos que demuestren las capacitaciones o certificaciones impartidas a operadoras de transporte público, en el periodo comprendido del diecinueve de febrero de dos mil veintitrés al diecinueve de febrero de dos mil veinticinco.</w:t>
      </w:r>
    </w:p>
    <w:p w14:paraId="40919355" w14:textId="77777777" w:rsidR="00E565A0" w:rsidRPr="006E246F" w:rsidRDefault="00E565A0">
      <w:pPr>
        <w:pBdr>
          <w:top w:val="nil"/>
          <w:left w:val="nil"/>
          <w:bottom w:val="nil"/>
          <w:right w:val="nil"/>
          <w:between w:val="nil"/>
        </w:pBdr>
        <w:ind w:left="720"/>
        <w:rPr>
          <w:rFonts w:ascii="Palatino Linotype" w:eastAsia="Palatino Linotype" w:hAnsi="Palatino Linotype" w:cs="Palatino Linotype"/>
          <w:b/>
          <w:sz w:val="22"/>
          <w:szCs w:val="22"/>
        </w:rPr>
      </w:pPr>
    </w:p>
    <w:p w14:paraId="2BCE0D28" w14:textId="77777777" w:rsidR="00E565A0" w:rsidRPr="006E246F" w:rsidRDefault="009458BD">
      <w:pPr>
        <w:pBdr>
          <w:top w:val="nil"/>
          <w:left w:val="nil"/>
          <w:bottom w:val="nil"/>
          <w:right w:val="nil"/>
          <w:between w:val="nil"/>
        </w:pBdr>
        <w:spacing w:line="276" w:lineRule="auto"/>
        <w:ind w:left="360"/>
        <w:jc w:val="both"/>
        <w:rPr>
          <w:rFonts w:ascii="Palatino Linotype" w:eastAsia="Palatino Linotype" w:hAnsi="Palatino Linotype" w:cs="Palatino Linotype"/>
          <w:i/>
          <w:sz w:val="22"/>
          <w:szCs w:val="22"/>
        </w:rPr>
      </w:pPr>
      <w:r w:rsidRPr="006E246F">
        <w:rPr>
          <w:rFonts w:ascii="Palatino Linotype" w:eastAsia="Palatino Linotype" w:hAnsi="Palatino Linotype" w:cs="Palatino Linotype"/>
          <w:i/>
          <w:sz w:val="22"/>
          <w:szCs w:val="22"/>
        </w:rPr>
        <w:t xml:space="preserve">Para la entrega en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 versión públicas que se formule y se pongan a disposición de la parte </w:t>
      </w:r>
      <w:r w:rsidRPr="006E246F">
        <w:rPr>
          <w:rFonts w:ascii="Palatino Linotype" w:eastAsia="Palatino Linotype" w:hAnsi="Palatino Linotype" w:cs="Palatino Linotype"/>
          <w:b/>
          <w:i/>
          <w:sz w:val="22"/>
          <w:szCs w:val="22"/>
        </w:rPr>
        <w:t>Recurrente</w:t>
      </w:r>
      <w:r w:rsidRPr="006E246F">
        <w:rPr>
          <w:rFonts w:ascii="Palatino Linotype" w:eastAsia="Palatino Linotype" w:hAnsi="Palatino Linotype" w:cs="Palatino Linotype"/>
          <w:i/>
          <w:sz w:val="22"/>
          <w:szCs w:val="22"/>
        </w:rPr>
        <w:t>, mismo que igualmente hará de su conocimiento.</w:t>
      </w:r>
    </w:p>
    <w:p w14:paraId="1ADB72E1" w14:textId="77777777" w:rsidR="00E565A0" w:rsidRPr="006E246F" w:rsidRDefault="00E565A0">
      <w:pPr>
        <w:pBdr>
          <w:top w:val="nil"/>
          <w:left w:val="nil"/>
          <w:bottom w:val="nil"/>
          <w:right w:val="nil"/>
          <w:between w:val="nil"/>
        </w:pBdr>
        <w:spacing w:line="360" w:lineRule="auto"/>
        <w:ind w:left="360"/>
        <w:jc w:val="both"/>
        <w:rPr>
          <w:rFonts w:ascii="Palatino Linotype" w:eastAsia="Palatino Linotype" w:hAnsi="Palatino Linotype" w:cs="Palatino Linotype"/>
          <w:sz w:val="22"/>
          <w:szCs w:val="22"/>
        </w:rPr>
      </w:pPr>
    </w:p>
    <w:p w14:paraId="6FD2CFD1" w14:textId="77777777" w:rsidR="00E565A0" w:rsidRPr="006E246F" w:rsidRDefault="009458BD">
      <w:pPr>
        <w:spacing w:line="360" w:lineRule="auto"/>
        <w:jc w:val="both"/>
        <w:rPr>
          <w:rFonts w:ascii="Palatino Linotype" w:eastAsia="Palatino Linotype" w:hAnsi="Palatino Linotype" w:cs="Palatino Linotype"/>
          <w:sz w:val="22"/>
          <w:szCs w:val="22"/>
        </w:rPr>
      </w:pPr>
      <w:bookmarkStart w:id="14" w:name="_heading=h.59npxyxpomjd" w:colFirst="0" w:colLast="0"/>
      <w:bookmarkEnd w:id="14"/>
      <w:r w:rsidRPr="006E246F">
        <w:rPr>
          <w:rFonts w:ascii="Palatino Linotype" w:eastAsia="Palatino Linotype" w:hAnsi="Palatino Linotype" w:cs="Palatino Linotype"/>
          <w:b/>
          <w:sz w:val="22"/>
          <w:szCs w:val="22"/>
        </w:rPr>
        <w:t xml:space="preserve">Tercero. Notifíquese, </w:t>
      </w:r>
      <w:r w:rsidRPr="006E246F">
        <w:rPr>
          <w:rFonts w:ascii="Palatino Linotype" w:eastAsia="Palatino Linotype" w:hAnsi="Palatino Linotype" w:cs="Palatino Linotype"/>
          <w:sz w:val="22"/>
          <w:szCs w:val="22"/>
        </w:rPr>
        <w:t xml:space="preserve">vía </w:t>
      </w:r>
      <w:r w:rsidRPr="006E246F">
        <w:rPr>
          <w:rFonts w:ascii="Palatino Linotype" w:eastAsia="Palatino Linotype" w:hAnsi="Palatino Linotype" w:cs="Palatino Linotype"/>
          <w:b/>
          <w:sz w:val="22"/>
          <w:szCs w:val="22"/>
        </w:rPr>
        <w:t>SAIMEX</w:t>
      </w:r>
      <w:r w:rsidRPr="006E246F">
        <w:rPr>
          <w:rFonts w:ascii="Palatino Linotype" w:eastAsia="Palatino Linotype" w:hAnsi="Palatino Linotype" w:cs="Palatino Linotype"/>
          <w:sz w:val="22"/>
          <w:szCs w:val="22"/>
        </w:rPr>
        <w:t xml:space="preserve">, al Titular de la Unidad de Transparencia del </w:t>
      </w:r>
      <w:r w:rsidRPr="006E246F">
        <w:rPr>
          <w:rFonts w:ascii="Palatino Linotype" w:eastAsia="Palatino Linotype" w:hAnsi="Palatino Linotype" w:cs="Palatino Linotype"/>
          <w:b/>
          <w:sz w:val="22"/>
          <w:szCs w:val="22"/>
        </w:rPr>
        <w:t>Sujeto Obligado,</w:t>
      </w:r>
      <w:r w:rsidRPr="006E246F">
        <w:rPr>
          <w:rFonts w:ascii="Palatino Linotype" w:eastAsia="Palatino Linotype" w:hAnsi="Palatino Linotype" w:cs="Palatino Linotype"/>
          <w:sz w:val="22"/>
          <w:szCs w:val="22"/>
        </w:rPr>
        <w:t xml:space="preserve"> la presente resolución para que conforme a los artículos 186, último párrafo y 189, párrafo segundo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57B79F8" w14:textId="77777777" w:rsidR="00E565A0" w:rsidRPr="006E246F" w:rsidRDefault="00E565A0">
      <w:pPr>
        <w:spacing w:line="360" w:lineRule="auto"/>
        <w:jc w:val="both"/>
        <w:rPr>
          <w:rFonts w:ascii="Palatino Linotype" w:eastAsia="Palatino Linotype" w:hAnsi="Palatino Linotype" w:cs="Palatino Linotype"/>
          <w:sz w:val="22"/>
          <w:szCs w:val="22"/>
        </w:rPr>
      </w:pPr>
    </w:p>
    <w:p w14:paraId="6D02C814" w14:textId="77777777" w:rsidR="00E565A0" w:rsidRPr="006E246F" w:rsidRDefault="009458BD">
      <w:pPr>
        <w:spacing w:line="360" w:lineRule="auto"/>
        <w:ind w:right="49"/>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b/>
          <w:sz w:val="22"/>
          <w:szCs w:val="22"/>
        </w:rPr>
        <w:t>Cuarto.</w:t>
      </w:r>
      <w:r w:rsidRPr="006E246F">
        <w:rPr>
          <w:rFonts w:ascii="Palatino Linotype" w:eastAsia="Palatino Linotype" w:hAnsi="Palatino Linotype" w:cs="Palatino Linotype"/>
          <w:sz w:val="22"/>
          <w:szCs w:val="22"/>
        </w:rPr>
        <w:t xml:space="preserve"> </w:t>
      </w:r>
      <w:r w:rsidRPr="006E246F">
        <w:rPr>
          <w:rFonts w:ascii="Palatino Linotype" w:eastAsia="Palatino Linotype" w:hAnsi="Palatino Linotype" w:cs="Palatino Linotype"/>
          <w:b/>
          <w:sz w:val="22"/>
          <w:szCs w:val="22"/>
        </w:rPr>
        <w:t xml:space="preserve">Notifíquese, </w:t>
      </w:r>
      <w:r w:rsidRPr="006E246F">
        <w:rPr>
          <w:rFonts w:ascii="Palatino Linotype" w:eastAsia="Palatino Linotype" w:hAnsi="Palatino Linotype" w:cs="Palatino Linotype"/>
          <w:sz w:val="22"/>
          <w:szCs w:val="22"/>
        </w:rPr>
        <w:t xml:space="preserve">vía </w:t>
      </w:r>
      <w:r w:rsidRPr="006E246F">
        <w:rPr>
          <w:rFonts w:ascii="Palatino Linotype" w:eastAsia="Palatino Linotype" w:hAnsi="Palatino Linotype" w:cs="Palatino Linotype"/>
          <w:b/>
          <w:sz w:val="22"/>
          <w:szCs w:val="22"/>
        </w:rPr>
        <w:t>SAIMEX</w:t>
      </w:r>
      <w:r w:rsidRPr="006E246F">
        <w:rPr>
          <w:rFonts w:ascii="Palatino Linotype" w:eastAsia="Palatino Linotype" w:hAnsi="Palatino Linotype" w:cs="Palatino Linotype"/>
          <w:sz w:val="22"/>
          <w:szCs w:val="22"/>
        </w:rPr>
        <w:t xml:space="preserve">, al Titular de la Unidad de Transparencia del </w:t>
      </w:r>
      <w:r w:rsidRPr="006E246F">
        <w:rPr>
          <w:rFonts w:ascii="Palatino Linotype" w:eastAsia="Palatino Linotype" w:hAnsi="Palatino Linotype" w:cs="Palatino Linotype"/>
          <w:b/>
          <w:sz w:val="22"/>
          <w:szCs w:val="22"/>
        </w:rPr>
        <w:t>Sujeto Obligado,</w:t>
      </w:r>
      <w:r w:rsidRPr="006E246F">
        <w:rPr>
          <w:rFonts w:ascii="Palatino Linotype" w:eastAsia="Palatino Linotype" w:hAnsi="Palatino Linotype" w:cs="Palatino Linotype"/>
          <w:sz w:val="22"/>
          <w:szCs w:val="22"/>
        </w:rPr>
        <w:t xml:space="preserve"> que de conformidad con el artículo 198 de la Ley de Transparencia y Acceso a la Información Pública del Estado de México y Municipios, de considerarlo procedente, de manera fundada y motivada, podrá solicitar una ampliación de plazo para el cumplimiento de la presente resolución.</w:t>
      </w:r>
    </w:p>
    <w:p w14:paraId="1EC28ED2" w14:textId="77777777" w:rsidR="00E565A0" w:rsidRPr="006E246F" w:rsidRDefault="00E565A0">
      <w:pPr>
        <w:spacing w:line="360" w:lineRule="auto"/>
        <w:ind w:right="49"/>
        <w:jc w:val="both"/>
        <w:rPr>
          <w:rFonts w:ascii="Palatino Linotype" w:eastAsia="Palatino Linotype" w:hAnsi="Palatino Linotype" w:cs="Palatino Linotype"/>
          <w:sz w:val="22"/>
          <w:szCs w:val="22"/>
        </w:rPr>
      </w:pPr>
    </w:p>
    <w:p w14:paraId="28EDC2F7" w14:textId="77777777" w:rsidR="00E565A0" w:rsidRPr="006E246F" w:rsidRDefault="009458BD">
      <w:pPr>
        <w:spacing w:line="360" w:lineRule="auto"/>
        <w:ind w:right="49"/>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b/>
          <w:sz w:val="22"/>
          <w:szCs w:val="22"/>
        </w:rPr>
        <w:lastRenderedPageBreak/>
        <w:t xml:space="preserve">Quinto. Notifíquese vía SAIMEX, </w:t>
      </w:r>
      <w:r w:rsidRPr="006E246F">
        <w:rPr>
          <w:rFonts w:ascii="Palatino Linotype" w:eastAsia="Palatino Linotype" w:hAnsi="Palatino Linotype" w:cs="Palatino Linotype"/>
          <w:sz w:val="22"/>
          <w:szCs w:val="22"/>
        </w:rPr>
        <w:t xml:space="preserve">la presente resolución a la parte </w:t>
      </w:r>
      <w:r w:rsidRPr="006E246F">
        <w:rPr>
          <w:rFonts w:ascii="Palatino Linotype" w:eastAsia="Palatino Linotype" w:hAnsi="Palatino Linotype" w:cs="Palatino Linotype"/>
          <w:b/>
          <w:sz w:val="22"/>
          <w:szCs w:val="22"/>
        </w:rPr>
        <w:t>Recurrente</w:t>
      </w:r>
      <w:r w:rsidRPr="006E246F">
        <w:rPr>
          <w:rFonts w:ascii="Palatino Linotype" w:eastAsia="Palatino Linotype" w:hAnsi="Palatino Linotype" w:cs="Palatino Linotype"/>
          <w:sz w:val="22"/>
          <w:szCs w:val="22"/>
        </w:rPr>
        <w:t>, y hágase del conocimiento que en caso de que considere que la presente resolución le causa algún perjuicio, podrá promover el Juicio de Amparo en los términos de las leyes aplicables, de acuerdo a lo estipulado por el artículo 196 de la Ley de Transparencia y Acceso a la Información Pública del Estado de México y Municipios.</w:t>
      </w:r>
    </w:p>
    <w:p w14:paraId="445D4BCE" w14:textId="77777777" w:rsidR="00E565A0" w:rsidRPr="006E246F" w:rsidRDefault="00E565A0">
      <w:pPr>
        <w:spacing w:line="360" w:lineRule="auto"/>
        <w:jc w:val="both"/>
        <w:rPr>
          <w:rFonts w:ascii="Palatino Linotype" w:eastAsia="Palatino Linotype" w:hAnsi="Palatino Linotype" w:cs="Palatino Linotype"/>
          <w:sz w:val="22"/>
          <w:szCs w:val="22"/>
        </w:rPr>
      </w:pPr>
    </w:p>
    <w:p w14:paraId="4A320204" w14:textId="77777777" w:rsidR="00E565A0" w:rsidRPr="006E246F" w:rsidRDefault="009458BD">
      <w:pPr>
        <w:spacing w:line="360" w:lineRule="auto"/>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VIGÉSIMA SEXTA SESIÓN ORDINARIA, CELEBRADA EL DIECISÉIS DE JULIO DE DOS MIL VEINTICINCO, ANTE EL SECRETARIO TÉCNICO DEL PLENO ALEXIS TAPIA RAMÍREZ. </w:t>
      </w:r>
    </w:p>
    <w:p w14:paraId="7B8427AB" w14:textId="77777777" w:rsidR="00E565A0" w:rsidRPr="006E246F" w:rsidRDefault="009458BD">
      <w:pPr>
        <w:spacing w:line="360" w:lineRule="auto"/>
        <w:jc w:val="both"/>
        <w:rPr>
          <w:rFonts w:ascii="Palatino Linotype" w:eastAsia="Palatino Linotype" w:hAnsi="Palatino Linotype" w:cs="Palatino Linotype"/>
          <w:sz w:val="22"/>
          <w:szCs w:val="22"/>
        </w:rPr>
      </w:pPr>
      <w:r w:rsidRPr="006E246F">
        <w:rPr>
          <w:rFonts w:ascii="Palatino Linotype" w:eastAsia="Palatino Linotype" w:hAnsi="Palatino Linotype" w:cs="Palatino Linotype"/>
          <w:sz w:val="22"/>
          <w:szCs w:val="22"/>
        </w:rPr>
        <w:t xml:space="preserve"> </w:t>
      </w:r>
    </w:p>
    <w:p w14:paraId="17F2D19F" w14:textId="77777777" w:rsidR="00E565A0" w:rsidRPr="006E246F" w:rsidRDefault="00E565A0">
      <w:pPr>
        <w:rPr>
          <w:rFonts w:ascii="Palatino Linotype" w:eastAsia="Palatino Linotype" w:hAnsi="Palatino Linotype" w:cs="Palatino Linotype"/>
          <w:sz w:val="22"/>
          <w:szCs w:val="22"/>
        </w:rPr>
      </w:pPr>
      <w:bookmarkStart w:id="15" w:name="_heading=h.17dp8vu" w:colFirst="0" w:colLast="0"/>
      <w:bookmarkEnd w:id="15"/>
    </w:p>
    <w:p w14:paraId="59607609" w14:textId="77777777" w:rsidR="00E565A0" w:rsidRPr="006E246F" w:rsidRDefault="00E565A0">
      <w:pPr>
        <w:rPr>
          <w:rFonts w:ascii="Palatino Linotype" w:eastAsia="Palatino Linotype" w:hAnsi="Palatino Linotype" w:cs="Palatino Linotype"/>
          <w:sz w:val="22"/>
          <w:szCs w:val="22"/>
        </w:rPr>
      </w:pPr>
    </w:p>
    <w:p w14:paraId="649D16BA" w14:textId="77777777" w:rsidR="00E565A0" w:rsidRPr="006E246F" w:rsidRDefault="00E565A0">
      <w:pPr>
        <w:spacing w:line="360" w:lineRule="auto"/>
        <w:jc w:val="both"/>
        <w:rPr>
          <w:rFonts w:ascii="Palatino Linotype" w:eastAsia="Palatino Linotype" w:hAnsi="Palatino Linotype" w:cs="Palatino Linotype"/>
          <w:sz w:val="22"/>
          <w:szCs w:val="22"/>
        </w:rPr>
      </w:pPr>
      <w:bookmarkStart w:id="16" w:name="_heading=h.3rdcrjn" w:colFirst="0" w:colLast="0"/>
      <w:bookmarkEnd w:id="16"/>
    </w:p>
    <w:p w14:paraId="797DC724" w14:textId="77777777" w:rsidR="00E565A0" w:rsidRPr="006E246F" w:rsidRDefault="00E565A0">
      <w:pPr>
        <w:spacing w:line="360" w:lineRule="auto"/>
        <w:jc w:val="both"/>
        <w:rPr>
          <w:rFonts w:ascii="Palatino Linotype" w:eastAsia="Palatino Linotype" w:hAnsi="Palatino Linotype" w:cs="Palatino Linotype"/>
          <w:sz w:val="22"/>
          <w:szCs w:val="22"/>
        </w:rPr>
      </w:pPr>
    </w:p>
    <w:p w14:paraId="694DADA8" w14:textId="77777777" w:rsidR="00E565A0" w:rsidRPr="006E246F" w:rsidRDefault="00E565A0">
      <w:pPr>
        <w:spacing w:line="360" w:lineRule="auto"/>
        <w:jc w:val="both"/>
        <w:rPr>
          <w:rFonts w:ascii="Palatino Linotype" w:eastAsia="Palatino Linotype" w:hAnsi="Palatino Linotype" w:cs="Palatino Linotype"/>
          <w:sz w:val="22"/>
          <w:szCs w:val="22"/>
        </w:rPr>
      </w:pPr>
    </w:p>
    <w:p w14:paraId="640BF05A" w14:textId="77777777" w:rsidR="00E565A0" w:rsidRPr="006E246F" w:rsidRDefault="00E565A0">
      <w:pPr>
        <w:spacing w:line="360" w:lineRule="auto"/>
        <w:jc w:val="both"/>
        <w:rPr>
          <w:rFonts w:ascii="Palatino Linotype" w:eastAsia="Palatino Linotype" w:hAnsi="Palatino Linotype" w:cs="Palatino Linotype"/>
          <w:sz w:val="22"/>
          <w:szCs w:val="22"/>
        </w:rPr>
      </w:pPr>
      <w:bookmarkStart w:id="17" w:name="_heading=h.1t3h5sf" w:colFirst="0" w:colLast="0"/>
      <w:bookmarkEnd w:id="17"/>
    </w:p>
    <w:p w14:paraId="3910A33C" w14:textId="77777777" w:rsidR="00E565A0" w:rsidRPr="006E246F" w:rsidRDefault="00E565A0">
      <w:pPr>
        <w:spacing w:line="360" w:lineRule="auto"/>
        <w:jc w:val="both"/>
        <w:rPr>
          <w:rFonts w:ascii="Palatino Linotype" w:eastAsia="Palatino Linotype" w:hAnsi="Palatino Linotype" w:cs="Palatino Linotype"/>
          <w:sz w:val="22"/>
          <w:szCs w:val="22"/>
        </w:rPr>
      </w:pPr>
    </w:p>
    <w:p w14:paraId="4E52F5E9" w14:textId="77777777" w:rsidR="00E565A0" w:rsidRPr="006E246F" w:rsidRDefault="00E565A0">
      <w:pPr>
        <w:spacing w:line="360" w:lineRule="auto"/>
        <w:jc w:val="both"/>
        <w:rPr>
          <w:rFonts w:ascii="Palatino Linotype" w:eastAsia="Palatino Linotype" w:hAnsi="Palatino Linotype" w:cs="Palatino Linotype"/>
          <w:sz w:val="22"/>
          <w:szCs w:val="22"/>
        </w:rPr>
      </w:pPr>
    </w:p>
    <w:p w14:paraId="5FB0BF90" w14:textId="77777777" w:rsidR="00E565A0" w:rsidRPr="006E246F" w:rsidRDefault="00E565A0">
      <w:pPr>
        <w:spacing w:line="360" w:lineRule="auto"/>
        <w:jc w:val="both"/>
        <w:rPr>
          <w:rFonts w:ascii="Palatino Linotype" w:eastAsia="Palatino Linotype" w:hAnsi="Palatino Linotype" w:cs="Palatino Linotype"/>
          <w:sz w:val="22"/>
          <w:szCs w:val="22"/>
        </w:rPr>
      </w:pPr>
    </w:p>
    <w:p w14:paraId="1AB1E1F0" w14:textId="77777777" w:rsidR="00E565A0" w:rsidRPr="006E246F" w:rsidRDefault="00E565A0">
      <w:pPr>
        <w:spacing w:line="360" w:lineRule="auto"/>
        <w:jc w:val="both"/>
        <w:rPr>
          <w:rFonts w:ascii="Palatino Linotype" w:eastAsia="Palatino Linotype" w:hAnsi="Palatino Linotype" w:cs="Palatino Linotype"/>
          <w:sz w:val="22"/>
          <w:szCs w:val="22"/>
        </w:rPr>
      </w:pPr>
    </w:p>
    <w:p w14:paraId="353579DF" w14:textId="77777777" w:rsidR="00E565A0" w:rsidRPr="006E246F" w:rsidRDefault="00E565A0">
      <w:pPr>
        <w:spacing w:line="360" w:lineRule="auto"/>
        <w:jc w:val="both"/>
        <w:rPr>
          <w:rFonts w:ascii="Palatino Linotype" w:eastAsia="Palatino Linotype" w:hAnsi="Palatino Linotype" w:cs="Palatino Linotype"/>
          <w:sz w:val="22"/>
          <w:szCs w:val="22"/>
        </w:rPr>
      </w:pPr>
    </w:p>
    <w:p w14:paraId="5F913700" w14:textId="77777777" w:rsidR="00E565A0" w:rsidRPr="006E246F" w:rsidRDefault="00E565A0">
      <w:pPr>
        <w:spacing w:line="360" w:lineRule="auto"/>
        <w:jc w:val="both"/>
        <w:rPr>
          <w:rFonts w:ascii="Palatino Linotype" w:eastAsia="Palatino Linotype" w:hAnsi="Palatino Linotype" w:cs="Palatino Linotype"/>
          <w:sz w:val="22"/>
          <w:szCs w:val="22"/>
        </w:rPr>
      </w:pPr>
    </w:p>
    <w:p w14:paraId="60F7F6C8" w14:textId="77777777" w:rsidR="00E565A0" w:rsidRPr="006E246F" w:rsidRDefault="00E565A0">
      <w:pPr>
        <w:spacing w:line="360" w:lineRule="auto"/>
        <w:jc w:val="both"/>
        <w:rPr>
          <w:rFonts w:ascii="Palatino Linotype" w:eastAsia="Palatino Linotype" w:hAnsi="Palatino Linotype" w:cs="Palatino Linotype"/>
          <w:sz w:val="22"/>
          <w:szCs w:val="22"/>
        </w:rPr>
      </w:pPr>
    </w:p>
    <w:p w14:paraId="23C33332" w14:textId="77777777" w:rsidR="00E565A0" w:rsidRPr="006E246F" w:rsidRDefault="00E565A0">
      <w:pPr>
        <w:spacing w:line="360" w:lineRule="auto"/>
        <w:jc w:val="both"/>
        <w:rPr>
          <w:rFonts w:ascii="Palatino Linotype" w:eastAsia="Palatino Linotype" w:hAnsi="Palatino Linotype" w:cs="Palatino Linotype"/>
          <w:sz w:val="22"/>
          <w:szCs w:val="22"/>
        </w:rPr>
      </w:pPr>
    </w:p>
    <w:p w14:paraId="128FC528" w14:textId="77777777" w:rsidR="00E565A0" w:rsidRPr="006E246F" w:rsidRDefault="00E565A0">
      <w:pPr>
        <w:spacing w:line="360" w:lineRule="auto"/>
        <w:jc w:val="both"/>
        <w:rPr>
          <w:rFonts w:ascii="Palatino Linotype" w:eastAsia="Palatino Linotype" w:hAnsi="Palatino Linotype" w:cs="Palatino Linotype"/>
          <w:sz w:val="22"/>
          <w:szCs w:val="22"/>
        </w:rPr>
      </w:pPr>
    </w:p>
    <w:p w14:paraId="308B47A7" w14:textId="77777777" w:rsidR="00E565A0" w:rsidRPr="006E246F" w:rsidRDefault="00E565A0">
      <w:pPr>
        <w:spacing w:line="360" w:lineRule="auto"/>
        <w:jc w:val="both"/>
        <w:rPr>
          <w:rFonts w:ascii="Palatino Linotype" w:eastAsia="Palatino Linotype" w:hAnsi="Palatino Linotype" w:cs="Palatino Linotype"/>
          <w:sz w:val="22"/>
          <w:szCs w:val="22"/>
        </w:rPr>
      </w:pPr>
    </w:p>
    <w:p w14:paraId="6A48AD61" w14:textId="77777777" w:rsidR="00E565A0" w:rsidRPr="006E246F" w:rsidRDefault="00E565A0">
      <w:pPr>
        <w:spacing w:line="360" w:lineRule="auto"/>
        <w:jc w:val="both"/>
        <w:rPr>
          <w:rFonts w:ascii="Palatino Linotype" w:eastAsia="Palatino Linotype" w:hAnsi="Palatino Linotype" w:cs="Palatino Linotype"/>
          <w:sz w:val="22"/>
          <w:szCs w:val="22"/>
        </w:rPr>
      </w:pPr>
    </w:p>
    <w:p w14:paraId="013048AB" w14:textId="77777777" w:rsidR="00E565A0" w:rsidRPr="006E246F" w:rsidRDefault="00E565A0">
      <w:pPr>
        <w:spacing w:line="360" w:lineRule="auto"/>
        <w:jc w:val="both"/>
        <w:rPr>
          <w:rFonts w:ascii="Palatino Linotype" w:eastAsia="Palatino Linotype" w:hAnsi="Palatino Linotype" w:cs="Palatino Linotype"/>
          <w:sz w:val="22"/>
          <w:szCs w:val="22"/>
        </w:rPr>
      </w:pPr>
    </w:p>
    <w:p w14:paraId="34608736" w14:textId="77777777" w:rsidR="00E565A0" w:rsidRPr="006E246F" w:rsidRDefault="00E565A0">
      <w:pPr>
        <w:spacing w:line="360" w:lineRule="auto"/>
        <w:jc w:val="both"/>
        <w:rPr>
          <w:rFonts w:ascii="Palatino Linotype" w:eastAsia="Palatino Linotype" w:hAnsi="Palatino Linotype" w:cs="Palatino Linotype"/>
          <w:sz w:val="22"/>
          <w:szCs w:val="22"/>
        </w:rPr>
      </w:pPr>
    </w:p>
    <w:p w14:paraId="762FFA35" w14:textId="77777777" w:rsidR="00E565A0" w:rsidRPr="006E246F" w:rsidRDefault="00E565A0">
      <w:pPr>
        <w:spacing w:line="360" w:lineRule="auto"/>
        <w:jc w:val="both"/>
        <w:rPr>
          <w:rFonts w:ascii="Palatino Linotype" w:eastAsia="Palatino Linotype" w:hAnsi="Palatino Linotype" w:cs="Palatino Linotype"/>
          <w:sz w:val="22"/>
          <w:szCs w:val="22"/>
        </w:rPr>
      </w:pPr>
    </w:p>
    <w:p w14:paraId="299EB58F" w14:textId="77777777" w:rsidR="00E565A0" w:rsidRPr="006E246F" w:rsidRDefault="00E565A0">
      <w:pPr>
        <w:spacing w:line="360" w:lineRule="auto"/>
        <w:jc w:val="both"/>
        <w:rPr>
          <w:rFonts w:ascii="Palatino Linotype" w:eastAsia="Palatino Linotype" w:hAnsi="Palatino Linotype" w:cs="Palatino Linotype"/>
          <w:sz w:val="22"/>
          <w:szCs w:val="22"/>
        </w:rPr>
      </w:pPr>
    </w:p>
    <w:p w14:paraId="48A7F934" w14:textId="77777777" w:rsidR="00E565A0" w:rsidRPr="006E246F" w:rsidRDefault="00E565A0">
      <w:pPr>
        <w:spacing w:line="360" w:lineRule="auto"/>
        <w:jc w:val="both"/>
        <w:rPr>
          <w:rFonts w:ascii="Palatino Linotype" w:eastAsia="Palatino Linotype" w:hAnsi="Palatino Linotype" w:cs="Palatino Linotype"/>
          <w:sz w:val="22"/>
          <w:szCs w:val="22"/>
        </w:rPr>
      </w:pPr>
    </w:p>
    <w:p w14:paraId="6F1019F4" w14:textId="77777777" w:rsidR="00E565A0" w:rsidRPr="006E246F" w:rsidRDefault="00E565A0">
      <w:pPr>
        <w:spacing w:line="360" w:lineRule="auto"/>
        <w:jc w:val="both"/>
        <w:rPr>
          <w:rFonts w:ascii="Palatino Linotype" w:eastAsia="Palatino Linotype" w:hAnsi="Palatino Linotype" w:cs="Palatino Linotype"/>
          <w:sz w:val="22"/>
          <w:szCs w:val="22"/>
        </w:rPr>
      </w:pPr>
    </w:p>
    <w:p w14:paraId="57C08C37" w14:textId="77777777" w:rsidR="00E565A0" w:rsidRPr="006E246F" w:rsidRDefault="00E565A0">
      <w:pPr>
        <w:spacing w:line="360" w:lineRule="auto"/>
        <w:jc w:val="both"/>
        <w:rPr>
          <w:rFonts w:ascii="Palatino Linotype" w:eastAsia="Palatino Linotype" w:hAnsi="Palatino Linotype" w:cs="Palatino Linotype"/>
          <w:sz w:val="22"/>
          <w:szCs w:val="22"/>
        </w:rPr>
      </w:pPr>
    </w:p>
    <w:p w14:paraId="10D00D73" w14:textId="77777777" w:rsidR="00E565A0" w:rsidRPr="006E246F" w:rsidRDefault="00E565A0">
      <w:pPr>
        <w:spacing w:line="360" w:lineRule="auto"/>
        <w:jc w:val="both"/>
        <w:rPr>
          <w:rFonts w:ascii="Palatino Linotype" w:eastAsia="Palatino Linotype" w:hAnsi="Palatino Linotype" w:cs="Palatino Linotype"/>
          <w:sz w:val="22"/>
          <w:szCs w:val="22"/>
        </w:rPr>
      </w:pPr>
    </w:p>
    <w:p w14:paraId="18A0A4BC" w14:textId="77777777" w:rsidR="00E565A0" w:rsidRPr="006E246F" w:rsidRDefault="00E565A0">
      <w:pPr>
        <w:spacing w:line="360" w:lineRule="auto"/>
        <w:jc w:val="both"/>
        <w:rPr>
          <w:rFonts w:ascii="Palatino Linotype" w:eastAsia="Palatino Linotype" w:hAnsi="Palatino Linotype" w:cs="Palatino Linotype"/>
          <w:sz w:val="22"/>
          <w:szCs w:val="22"/>
        </w:rPr>
      </w:pPr>
    </w:p>
    <w:p w14:paraId="65DC7D5D" w14:textId="77777777" w:rsidR="00E565A0" w:rsidRPr="006E246F" w:rsidRDefault="00E565A0">
      <w:pPr>
        <w:spacing w:line="360" w:lineRule="auto"/>
        <w:jc w:val="both"/>
        <w:rPr>
          <w:rFonts w:ascii="Palatino Linotype" w:eastAsia="Palatino Linotype" w:hAnsi="Palatino Linotype" w:cs="Palatino Linotype"/>
          <w:sz w:val="22"/>
          <w:szCs w:val="22"/>
        </w:rPr>
      </w:pPr>
    </w:p>
    <w:p w14:paraId="56C2340C" w14:textId="77777777" w:rsidR="00E565A0" w:rsidRPr="006E246F" w:rsidRDefault="00E565A0">
      <w:pPr>
        <w:spacing w:line="360" w:lineRule="auto"/>
        <w:jc w:val="both"/>
        <w:rPr>
          <w:rFonts w:ascii="Palatino Linotype" w:eastAsia="Palatino Linotype" w:hAnsi="Palatino Linotype" w:cs="Palatino Linotype"/>
          <w:sz w:val="22"/>
          <w:szCs w:val="22"/>
        </w:rPr>
      </w:pPr>
    </w:p>
    <w:p w14:paraId="73539356" w14:textId="77777777" w:rsidR="00E565A0" w:rsidRPr="006E246F" w:rsidRDefault="00E565A0">
      <w:pPr>
        <w:spacing w:line="360" w:lineRule="auto"/>
        <w:jc w:val="both"/>
        <w:rPr>
          <w:rFonts w:ascii="Palatino Linotype" w:eastAsia="Palatino Linotype" w:hAnsi="Palatino Linotype" w:cs="Palatino Linotype"/>
          <w:sz w:val="22"/>
          <w:szCs w:val="22"/>
        </w:rPr>
      </w:pPr>
    </w:p>
    <w:sectPr w:rsidR="00E565A0" w:rsidRPr="006E246F">
      <w:headerReference w:type="default" r:id="rId11"/>
      <w:footerReference w:type="default" r:id="rId12"/>
      <w:headerReference w:type="first" r:id="rId13"/>
      <w:footerReference w:type="first" r:id="rId14"/>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8EA79E" w14:textId="77777777" w:rsidR="00375140" w:rsidRDefault="00375140">
      <w:r>
        <w:separator/>
      </w:r>
    </w:p>
  </w:endnote>
  <w:endnote w:type="continuationSeparator" w:id="0">
    <w:p w14:paraId="44694311" w14:textId="77777777" w:rsidR="00375140" w:rsidRDefault="00375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7A42DF" w14:textId="77777777" w:rsidR="00E565A0" w:rsidRDefault="009458B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E246F">
      <w:rPr>
        <w:rFonts w:ascii="Palatino Linotype" w:eastAsia="Palatino Linotype" w:hAnsi="Palatino Linotype" w:cs="Palatino Linotype"/>
        <w:b/>
        <w:noProof/>
        <w:color w:val="000000"/>
        <w:sz w:val="20"/>
        <w:szCs w:val="20"/>
      </w:rPr>
      <w:t>24</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E246F">
      <w:rPr>
        <w:rFonts w:ascii="Palatino Linotype" w:eastAsia="Palatino Linotype" w:hAnsi="Palatino Linotype" w:cs="Palatino Linotype"/>
        <w:b/>
        <w:noProof/>
        <w:color w:val="000000"/>
        <w:sz w:val="20"/>
        <w:szCs w:val="20"/>
      </w:rPr>
      <w:t>41</w:t>
    </w:r>
    <w:r>
      <w:rPr>
        <w:rFonts w:ascii="Palatino Linotype" w:eastAsia="Palatino Linotype" w:hAnsi="Palatino Linotype" w:cs="Palatino Linotype"/>
        <w:b/>
        <w:color w:val="000000"/>
        <w:sz w:val="20"/>
        <w:szCs w:val="20"/>
      </w:rPr>
      <w:fldChar w:fldCharType="end"/>
    </w:r>
  </w:p>
  <w:p w14:paraId="72644F1C" w14:textId="77777777" w:rsidR="00E565A0" w:rsidRDefault="00E565A0">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6C4BE" w14:textId="77777777" w:rsidR="00E565A0" w:rsidRDefault="009458BD">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6E246F">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6E246F">
      <w:rPr>
        <w:rFonts w:ascii="Palatino Linotype" w:eastAsia="Palatino Linotype" w:hAnsi="Palatino Linotype" w:cs="Palatino Linotype"/>
        <w:b/>
        <w:noProof/>
        <w:color w:val="000000"/>
        <w:sz w:val="20"/>
        <w:szCs w:val="20"/>
      </w:rPr>
      <w:t>41</w:t>
    </w:r>
    <w:r>
      <w:rPr>
        <w:rFonts w:ascii="Palatino Linotype" w:eastAsia="Palatino Linotype" w:hAnsi="Palatino Linotype" w:cs="Palatino Linotype"/>
        <w:b/>
        <w:color w:val="000000"/>
        <w:sz w:val="20"/>
        <w:szCs w:val="20"/>
      </w:rPr>
      <w:fldChar w:fldCharType="end"/>
    </w:r>
  </w:p>
  <w:p w14:paraId="6B8663F2" w14:textId="77777777" w:rsidR="00E565A0" w:rsidRDefault="00E565A0">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5F695A" w14:textId="77777777" w:rsidR="00375140" w:rsidRDefault="00375140">
      <w:r>
        <w:separator/>
      </w:r>
    </w:p>
  </w:footnote>
  <w:footnote w:type="continuationSeparator" w:id="0">
    <w:p w14:paraId="6577A1D8" w14:textId="77777777" w:rsidR="00375140" w:rsidRDefault="00375140">
      <w:r>
        <w:continuationSeparator/>
      </w:r>
    </w:p>
  </w:footnote>
  <w:footnote w:id="1">
    <w:p w14:paraId="608EAA5E" w14:textId="77777777" w:rsidR="00E565A0" w:rsidRDefault="009458BD">
      <w:pPr>
        <w:rPr>
          <w:rFonts w:ascii="Cambria" w:eastAsia="Cambria" w:hAnsi="Cambria" w:cs="Cambria"/>
          <w:color w:val="000000"/>
          <w:sz w:val="20"/>
          <w:szCs w:val="20"/>
        </w:rPr>
      </w:pPr>
      <w:r>
        <w:rPr>
          <w:vertAlign w:val="superscript"/>
        </w:rPr>
        <w:footnoteRef/>
      </w:r>
      <w:r>
        <w:rPr>
          <w:rFonts w:ascii="Cambria" w:eastAsia="Cambria" w:hAnsi="Cambria" w:cs="Cambria"/>
          <w:color w:val="000000"/>
          <w:sz w:val="20"/>
          <w:szCs w:val="20"/>
        </w:rPr>
        <w:t xml:space="preserve"> </w:t>
      </w:r>
      <w:r>
        <w:rPr>
          <w:rFonts w:ascii="Palatino Linotype" w:eastAsia="Palatino Linotype" w:hAnsi="Palatino Linotype" w:cs="Palatino Linotype"/>
          <w:color w:val="000000"/>
          <w:sz w:val="16"/>
          <w:szCs w:val="16"/>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r>
        <w:rPr>
          <w:rFonts w:ascii="Cambria" w:eastAsia="Cambria" w:hAnsi="Cambria" w:cs="Cambria"/>
          <w:color w:val="000000"/>
          <w:sz w:val="20"/>
          <w:szCs w:val="20"/>
        </w:rPr>
        <w:t xml:space="preserve"> (…)</w:t>
      </w:r>
    </w:p>
  </w:footnote>
  <w:footnote w:id="2">
    <w:p w14:paraId="5C2ABF9F" w14:textId="77777777" w:rsidR="00E565A0" w:rsidRDefault="009458BD">
      <w:pPr>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9"/>
          <w:szCs w:val="19"/>
        </w:rPr>
        <w:t xml:space="preserve"> </w:t>
      </w:r>
      <w:r>
        <w:rPr>
          <w:rFonts w:ascii="Palatino Linotype" w:eastAsia="Palatino Linotype" w:hAnsi="Palatino Linotype" w:cs="Palatino Linotype"/>
          <w:color w:val="000000"/>
          <w:sz w:val="16"/>
          <w:szCs w:val="16"/>
        </w:rPr>
        <w:t>“Artículo 3. Para los efectos de la presente Ley se entenderá por: (…) XXII. Información de interés público: Se refiere a la información que resulta relevante o beneficiosa para la sociedad y no simplemente de interés individual, cuya divulgación resulta útil para que el público comprenda las actividades que llevan a cabo los sujetos obligados…”</w:t>
      </w:r>
    </w:p>
  </w:footnote>
  <w:footnote w:id="3">
    <w:p w14:paraId="6F06310B" w14:textId="77777777" w:rsidR="00E565A0" w:rsidRDefault="009458BD">
      <w:pPr>
        <w:ind w:left="720" w:hanging="720"/>
        <w:jc w:val="both"/>
        <w:rPr>
          <w:rFonts w:ascii="Palatino Linotype" w:eastAsia="Palatino Linotype" w:hAnsi="Palatino Linotype" w:cs="Palatino Linotype"/>
          <w:color w:val="000000"/>
          <w:sz w:val="16"/>
          <w:szCs w:val="16"/>
        </w:rPr>
      </w:pPr>
      <w:r>
        <w:rPr>
          <w:vertAlign w:val="superscript"/>
        </w:rPr>
        <w:footnoteRef/>
      </w:r>
      <w:r>
        <w:rPr>
          <w:rFonts w:ascii="Palatino Linotype" w:eastAsia="Palatino Linotype" w:hAnsi="Palatino Linotype" w:cs="Palatino Linotype"/>
          <w:color w:val="000000"/>
          <w:sz w:val="16"/>
          <w:szCs w:val="16"/>
        </w:rPr>
        <w:t xml:space="preserve"> “</w:t>
      </w:r>
      <w:r>
        <w:rPr>
          <w:rFonts w:ascii="Palatino Linotype" w:eastAsia="Palatino Linotype" w:hAnsi="Palatino Linotype" w:cs="Palatino Linotype"/>
          <w:b/>
          <w:color w:val="000000"/>
          <w:sz w:val="16"/>
          <w:szCs w:val="16"/>
        </w:rPr>
        <w:t>Artículo 185.</w:t>
      </w:r>
      <w:r>
        <w:rPr>
          <w:rFonts w:ascii="Palatino Linotype" w:eastAsia="Palatino Linotype" w:hAnsi="Palatino Linotype" w:cs="Palatino Linotype"/>
          <w:color w:val="000000"/>
          <w:sz w:val="16"/>
          <w:szCs w:val="16"/>
        </w:rPr>
        <w:t xml:space="preserve"> El Instituto resolverá el recurso de revisión conforme a lo siguiente: (…)</w:t>
      </w:r>
    </w:p>
    <w:p w14:paraId="5B945D9E" w14:textId="77777777" w:rsidR="00E565A0" w:rsidRDefault="009458BD">
      <w:pPr>
        <w:jc w:val="both"/>
        <w:rPr>
          <w:rFonts w:ascii="Palatino Linotype" w:eastAsia="Palatino Linotype" w:hAnsi="Palatino Linotype" w:cs="Palatino Linotype"/>
          <w:color w:val="000000"/>
          <w:sz w:val="16"/>
          <w:szCs w:val="16"/>
        </w:rPr>
      </w:pPr>
      <w:r>
        <w:rPr>
          <w:rFonts w:ascii="Palatino Linotype" w:eastAsia="Palatino Linotype" w:hAnsi="Palatino Linotype" w:cs="Palatino Linotype"/>
          <w:color w:val="000000"/>
          <w:sz w:val="16"/>
          <w:szCs w:val="16"/>
        </w:rPr>
        <w:t>II. Admitido el recurso de revisión, la o el Comisionado ponente deberá integrar un expediente y ponerlo a disposición de las partes, para que, en un plazo máximo de siete días hábiles, manifiesten lo que a su derecho convenga;”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B15762" w14:textId="77777777" w:rsidR="00E565A0" w:rsidRDefault="009458BD">
    <w:pPr>
      <w:rPr>
        <w:rFonts w:ascii="Cambria" w:eastAsia="Cambria" w:hAnsi="Cambria" w:cs="Cambria"/>
        <w:color w:val="000000"/>
      </w:rPr>
    </w:pPr>
    <w:r>
      <w:rPr>
        <w:noProof/>
      </w:rPr>
      <w:drawing>
        <wp:anchor distT="0" distB="0" distL="0" distR="0" simplePos="0" relativeHeight="251658240" behindDoc="1" locked="0" layoutInCell="1" hidden="0" allowOverlap="1" wp14:anchorId="0C67876E" wp14:editId="7AC34A2B">
          <wp:simplePos x="0" y="0"/>
          <wp:positionH relativeFrom="column">
            <wp:posOffset>-1080105</wp:posOffset>
          </wp:positionH>
          <wp:positionV relativeFrom="paragraph">
            <wp:posOffset>-488280</wp:posOffset>
          </wp:positionV>
          <wp:extent cx="7809865" cy="10165715"/>
          <wp:effectExtent l="0" t="0" r="0" b="0"/>
          <wp:wrapNone/>
          <wp:docPr id="3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7"/>
      <w:tblW w:w="7087" w:type="dxa"/>
      <w:tblInd w:w="3261" w:type="dxa"/>
      <w:tblLayout w:type="fixed"/>
      <w:tblLook w:val="0400" w:firstRow="0" w:lastRow="0" w:firstColumn="0" w:lastColumn="0" w:noHBand="0" w:noVBand="1"/>
    </w:tblPr>
    <w:tblGrid>
      <w:gridCol w:w="2489"/>
      <w:gridCol w:w="4598"/>
    </w:tblGrid>
    <w:tr w:rsidR="00E565A0" w14:paraId="6B60FF7A" w14:textId="77777777">
      <w:tc>
        <w:tcPr>
          <w:tcW w:w="2489" w:type="dxa"/>
          <w:shd w:val="clear" w:color="auto" w:fill="auto"/>
        </w:tcPr>
        <w:p w14:paraId="5B71F53C" w14:textId="77777777" w:rsidR="00E565A0" w:rsidRDefault="009458B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598" w:type="dxa"/>
          <w:shd w:val="clear" w:color="auto" w:fill="auto"/>
          <w:vAlign w:val="center"/>
        </w:tcPr>
        <w:p w14:paraId="3DD9E633" w14:textId="77777777" w:rsidR="00E565A0" w:rsidRDefault="009458B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03929/INFOEM/IP/RR/2025</w:t>
          </w:r>
        </w:p>
      </w:tc>
    </w:tr>
    <w:tr w:rsidR="00E565A0" w14:paraId="22F5C64E" w14:textId="77777777">
      <w:trPr>
        <w:trHeight w:val="228"/>
      </w:trPr>
      <w:tc>
        <w:tcPr>
          <w:tcW w:w="2489" w:type="dxa"/>
          <w:shd w:val="clear" w:color="auto" w:fill="auto"/>
          <w:vAlign w:val="center"/>
        </w:tcPr>
        <w:p w14:paraId="0335DA12" w14:textId="77777777" w:rsidR="00E565A0" w:rsidRDefault="009458B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598" w:type="dxa"/>
          <w:shd w:val="clear" w:color="auto" w:fill="auto"/>
          <w:vAlign w:val="center"/>
        </w:tcPr>
        <w:p w14:paraId="43FB83A2" w14:textId="77777777" w:rsidR="00E565A0" w:rsidRDefault="009458BD">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de Movilidad</w:t>
          </w:r>
        </w:p>
      </w:tc>
    </w:tr>
    <w:tr w:rsidR="00E565A0" w14:paraId="70F12E07" w14:textId="77777777">
      <w:tc>
        <w:tcPr>
          <w:tcW w:w="2489" w:type="dxa"/>
          <w:shd w:val="clear" w:color="auto" w:fill="auto"/>
          <w:vAlign w:val="center"/>
        </w:tcPr>
        <w:p w14:paraId="49C570C2" w14:textId="77777777" w:rsidR="00E565A0" w:rsidRDefault="009458BD">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598" w:type="dxa"/>
          <w:shd w:val="clear" w:color="auto" w:fill="auto"/>
          <w:vAlign w:val="center"/>
        </w:tcPr>
        <w:p w14:paraId="368394D3" w14:textId="77777777" w:rsidR="00E565A0" w:rsidRDefault="009458BD">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6F7FB867" w14:textId="77777777" w:rsidR="00E565A0" w:rsidRDefault="009458BD">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69A63" w14:textId="77777777" w:rsidR="00E565A0" w:rsidRDefault="009458BD">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31015134" wp14:editId="1A94FBDA">
          <wp:simplePos x="0" y="0"/>
          <wp:positionH relativeFrom="column">
            <wp:posOffset>-1079484</wp:posOffset>
          </wp:positionH>
          <wp:positionV relativeFrom="paragraph">
            <wp:posOffset>-328912</wp:posOffset>
          </wp:positionV>
          <wp:extent cx="7809865" cy="10165715"/>
          <wp:effectExtent l="0" t="0" r="0" b="0"/>
          <wp:wrapNone/>
          <wp:docPr id="3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8"/>
      <w:tblW w:w="6945" w:type="dxa"/>
      <w:tblInd w:w="3261" w:type="dxa"/>
      <w:tblLayout w:type="fixed"/>
      <w:tblLook w:val="0400" w:firstRow="0" w:lastRow="0" w:firstColumn="0" w:lastColumn="0" w:noHBand="0" w:noVBand="1"/>
    </w:tblPr>
    <w:tblGrid>
      <w:gridCol w:w="2551"/>
      <w:gridCol w:w="4394"/>
    </w:tblGrid>
    <w:tr w:rsidR="00E565A0" w14:paraId="567943B9" w14:textId="77777777">
      <w:tc>
        <w:tcPr>
          <w:tcW w:w="2551" w:type="dxa"/>
          <w:shd w:val="clear" w:color="auto" w:fill="auto"/>
          <w:vAlign w:val="center"/>
        </w:tcPr>
        <w:p w14:paraId="349DA1BB" w14:textId="77777777" w:rsidR="00E565A0" w:rsidRDefault="009458B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4394" w:type="dxa"/>
          <w:shd w:val="clear" w:color="auto" w:fill="auto"/>
          <w:vAlign w:val="center"/>
        </w:tcPr>
        <w:p w14:paraId="1E524DA4" w14:textId="77777777" w:rsidR="00E565A0" w:rsidRDefault="009458BD">
          <w:pPr>
            <w:tabs>
              <w:tab w:val="left" w:pos="3153"/>
            </w:tabs>
            <w:ind w:left="-4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03929/INFOEM/IP/RR/2025</w:t>
          </w:r>
        </w:p>
      </w:tc>
    </w:tr>
    <w:tr w:rsidR="00E565A0" w14:paraId="55BBC5CF" w14:textId="77777777">
      <w:trPr>
        <w:trHeight w:val="130"/>
      </w:trPr>
      <w:tc>
        <w:tcPr>
          <w:tcW w:w="2551" w:type="dxa"/>
          <w:shd w:val="clear" w:color="auto" w:fill="auto"/>
          <w:vAlign w:val="center"/>
        </w:tcPr>
        <w:p w14:paraId="0528046D" w14:textId="77777777" w:rsidR="00E565A0" w:rsidRDefault="009458B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4394" w:type="dxa"/>
          <w:shd w:val="clear" w:color="auto" w:fill="auto"/>
          <w:vAlign w:val="center"/>
        </w:tcPr>
        <w:p w14:paraId="6B3E7282" w14:textId="77777777" w:rsidR="00E565A0" w:rsidRDefault="00E565A0">
          <w:pPr>
            <w:ind w:left="-45" w:right="1444"/>
            <w:jc w:val="both"/>
            <w:rPr>
              <w:rFonts w:ascii="Palatino Linotype" w:eastAsia="Palatino Linotype" w:hAnsi="Palatino Linotype" w:cs="Palatino Linotype"/>
              <w:b/>
              <w:sz w:val="22"/>
              <w:szCs w:val="22"/>
            </w:rPr>
          </w:pPr>
        </w:p>
      </w:tc>
    </w:tr>
    <w:tr w:rsidR="00E565A0" w14:paraId="0E3ADB13" w14:textId="77777777">
      <w:trPr>
        <w:trHeight w:val="228"/>
      </w:trPr>
      <w:tc>
        <w:tcPr>
          <w:tcW w:w="2551" w:type="dxa"/>
          <w:shd w:val="clear" w:color="auto" w:fill="auto"/>
          <w:vAlign w:val="center"/>
        </w:tcPr>
        <w:p w14:paraId="1FA07549" w14:textId="77777777" w:rsidR="00E565A0" w:rsidRDefault="009458B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4394" w:type="dxa"/>
          <w:shd w:val="clear" w:color="auto" w:fill="auto"/>
          <w:vAlign w:val="center"/>
        </w:tcPr>
        <w:p w14:paraId="69C03840" w14:textId="77777777" w:rsidR="00E565A0" w:rsidRDefault="009458BD">
          <w:pPr>
            <w:ind w:left="-45" w:right="158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Secretaría de Movilidad</w:t>
          </w:r>
        </w:p>
      </w:tc>
    </w:tr>
    <w:tr w:rsidR="00E565A0" w14:paraId="73ED51B6" w14:textId="77777777">
      <w:tc>
        <w:tcPr>
          <w:tcW w:w="2551" w:type="dxa"/>
          <w:shd w:val="clear" w:color="auto" w:fill="auto"/>
          <w:vAlign w:val="center"/>
        </w:tcPr>
        <w:p w14:paraId="02F329FE" w14:textId="77777777" w:rsidR="00E565A0" w:rsidRDefault="009458BD">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4394" w:type="dxa"/>
          <w:shd w:val="clear" w:color="auto" w:fill="auto"/>
          <w:vAlign w:val="center"/>
        </w:tcPr>
        <w:p w14:paraId="459EB0B1" w14:textId="77777777" w:rsidR="00E565A0" w:rsidRDefault="009458BD">
          <w:pPr>
            <w:ind w:left="-45" w:right="-533"/>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264BB09" w14:textId="77777777" w:rsidR="00E565A0" w:rsidRDefault="00E565A0">
    <w:pPr>
      <w:pBdr>
        <w:top w:val="nil"/>
        <w:left w:val="nil"/>
        <w:bottom w:val="nil"/>
        <w:right w:val="nil"/>
        <w:between w:val="nil"/>
      </w:pBdr>
      <w:tabs>
        <w:tab w:val="center" w:pos="4252"/>
        <w:tab w:val="right" w:pos="8504"/>
      </w:tabs>
      <w:rPr>
        <w:rFonts w:ascii="Cambria" w:eastAsia="Cambria" w:hAnsi="Cambria" w:cs="Cambria"/>
        <w:color w:val="000000"/>
      </w:rPr>
    </w:pPr>
  </w:p>
  <w:p w14:paraId="1D68354B" w14:textId="77777777" w:rsidR="00E565A0" w:rsidRDefault="00E565A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C270B"/>
    <w:multiLevelType w:val="multilevel"/>
    <w:tmpl w:val="0320608A"/>
    <w:lvl w:ilvl="0">
      <w:start w:val="1"/>
      <w:numFmt w:val="lowerLetter"/>
      <w:lvlText w:val="%1)"/>
      <w:lvlJc w:val="left"/>
      <w:pPr>
        <w:ind w:left="927" w:hanging="360"/>
      </w:pPr>
      <w:rPr>
        <w:b/>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 w15:restartNumberingAfterBreak="0">
    <w:nsid w:val="0D4B28D6"/>
    <w:multiLevelType w:val="multilevel"/>
    <w:tmpl w:val="BCEAEA9A"/>
    <w:lvl w:ilvl="0">
      <w:start w:val="1"/>
      <w:numFmt w:val="decimal"/>
      <w:lvlText w:val="%1."/>
      <w:lvlJc w:val="left"/>
      <w:pPr>
        <w:ind w:left="720" w:hanging="360"/>
      </w:pPr>
      <w:rPr>
        <w:b/>
        <w:color w:val="000000"/>
        <w:sz w:val="22"/>
        <w:szCs w:val="22"/>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 w15:restartNumberingAfterBreak="0">
    <w:nsid w:val="1E501864"/>
    <w:multiLevelType w:val="multilevel"/>
    <w:tmpl w:val="C4C6582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32686DEB"/>
    <w:multiLevelType w:val="multilevel"/>
    <w:tmpl w:val="54E65CEC"/>
    <w:lvl w:ilvl="0">
      <w:start w:val="1"/>
      <w:numFmt w:val="lowerLetter"/>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A95705E"/>
    <w:multiLevelType w:val="multilevel"/>
    <w:tmpl w:val="2B2A66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2A1274E"/>
    <w:multiLevelType w:val="multilevel"/>
    <w:tmpl w:val="2CFAEF1C"/>
    <w:lvl w:ilvl="0">
      <w:numFmt w:val="bullet"/>
      <w:lvlText w:val="-"/>
      <w:lvlJc w:val="left"/>
      <w:pPr>
        <w:ind w:left="426" w:hanging="360"/>
      </w:pPr>
      <w:rPr>
        <w:rFonts w:ascii="Palatino Linotype" w:eastAsia="Palatino Linotype" w:hAnsi="Palatino Linotype" w:cs="Palatino Linotype"/>
        <w:b/>
        <w:color w:val="000000"/>
        <w:sz w:val="22"/>
        <w:szCs w:val="22"/>
      </w:rPr>
    </w:lvl>
    <w:lvl w:ilvl="1">
      <w:start w:val="1"/>
      <w:numFmt w:val="bullet"/>
      <w:lvlText w:val="o"/>
      <w:lvlJc w:val="left"/>
      <w:pPr>
        <w:ind w:left="786" w:hanging="360"/>
      </w:pPr>
      <w:rPr>
        <w:rFonts w:ascii="Courier New" w:eastAsia="Courier New" w:hAnsi="Courier New" w:cs="Courier New"/>
      </w:rPr>
    </w:lvl>
    <w:lvl w:ilvl="2">
      <w:start w:val="1"/>
      <w:numFmt w:val="bullet"/>
      <w:lvlText w:val="▪"/>
      <w:lvlJc w:val="left"/>
      <w:pPr>
        <w:ind w:left="1506" w:hanging="360"/>
      </w:pPr>
      <w:rPr>
        <w:rFonts w:ascii="Noto Sans Symbols" w:eastAsia="Noto Sans Symbols" w:hAnsi="Noto Sans Symbols" w:cs="Noto Sans Symbols"/>
      </w:rPr>
    </w:lvl>
    <w:lvl w:ilvl="3">
      <w:start w:val="1"/>
      <w:numFmt w:val="bullet"/>
      <w:lvlText w:val="●"/>
      <w:lvlJc w:val="left"/>
      <w:pPr>
        <w:ind w:left="2226" w:hanging="360"/>
      </w:pPr>
      <w:rPr>
        <w:rFonts w:ascii="Noto Sans Symbols" w:eastAsia="Noto Sans Symbols" w:hAnsi="Noto Sans Symbols" w:cs="Noto Sans Symbols"/>
      </w:rPr>
    </w:lvl>
    <w:lvl w:ilvl="4">
      <w:start w:val="1"/>
      <w:numFmt w:val="bullet"/>
      <w:lvlText w:val="o"/>
      <w:lvlJc w:val="left"/>
      <w:pPr>
        <w:ind w:left="2946" w:hanging="360"/>
      </w:pPr>
      <w:rPr>
        <w:rFonts w:ascii="Courier New" w:eastAsia="Courier New" w:hAnsi="Courier New" w:cs="Courier New"/>
      </w:rPr>
    </w:lvl>
    <w:lvl w:ilvl="5">
      <w:start w:val="1"/>
      <w:numFmt w:val="bullet"/>
      <w:lvlText w:val="▪"/>
      <w:lvlJc w:val="left"/>
      <w:pPr>
        <w:ind w:left="3666" w:hanging="360"/>
      </w:pPr>
      <w:rPr>
        <w:rFonts w:ascii="Noto Sans Symbols" w:eastAsia="Noto Sans Symbols" w:hAnsi="Noto Sans Symbols" w:cs="Noto Sans Symbols"/>
      </w:rPr>
    </w:lvl>
    <w:lvl w:ilvl="6">
      <w:start w:val="1"/>
      <w:numFmt w:val="bullet"/>
      <w:lvlText w:val="●"/>
      <w:lvlJc w:val="left"/>
      <w:pPr>
        <w:ind w:left="4386" w:hanging="360"/>
      </w:pPr>
      <w:rPr>
        <w:rFonts w:ascii="Noto Sans Symbols" w:eastAsia="Noto Sans Symbols" w:hAnsi="Noto Sans Symbols" w:cs="Noto Sans Symbols"/>
      </w:rPr>
    </w:lvl>
    <w:lvl w:ilvl="7">
      <w:start w:val="1"/>
      <w:numFmt w:val="bullet"/>
      <w:lvlText w:val="o"/>
      <w:lvlJc w:val="left"/>
      <w:pPr>
        <w:ind w:left="5106" w:hanging="360"/>
      </w:pPr>
      <w:rPr>
        <w:rFonts w:ascii="Courier New" w:eastAsia="Courier New" w:hAnsi="Courier New" w:cs="Courier New"/>
      </w:rPr>
    </w:lvl>
    <w:lvl w:ilvl="8">
      <w:start w:val="1"/>
      <w:numFmt w:val="bullet"/>
      <w:lvlText w:val="▪"/>
      <w:lvlJc w:val="left"/>
      <w:pPr>
        <w:ind w:left="5826" w:hanging="360"/>
      </w:pPr>
      <w:rPr>
        <w:rFonts w:ascii="Noto Sans Symbols" w:eastAsia="Noto Sans Symbols" w:hAnsi="Noto Sans Symbols" w:cs="Noto Sans Symbols"/>
      </w:rPr>
    </w:lvl>
  </w:abstractNum>
  <w:abstractNum w:abstractNumId="6" w15:restartNumberingAfterBreak="0">
    <w:nsid w:val="52F968E1"/>
    <w:multiLevelType w:val="multilevel"/>
    <w:tmpl w:val="82E64C14"/>
    <w:lvl w:ilvl="0">
      <w:numFmt w:val="bullet"/>
      <w:pStyle w:val="Listaconvietas3"/>
      <w:lvlText w:val="-"/>
      <w:lvlJc w:val="left"/>
      <w:pPr>
        <w:ind w:left="360" w:hanging="360"/>
      </w:pPr>
      <w:rPr>
        <w:rFonts w:ascii="Palatino Linotype" w:eastAsia="Palatino Linotype" w:hAnsi="Palatino Linotype" w:cs="Palatino Linotype"/>
        <w:b/>
        <w:color w:val="000000"/>
        <w:sz w:val="22"/>
        <w:szCs w:val="22"/>
      </w:rPr>
    </w:lvl>
    <w:lvl w:ilvl="1">
      <w:start w:val="1"/>
      <w:numFmt w:val="bullet"/>
      <w:lvlText w:val="o"/>
      <w:lvlJc w:val="left"/>
      <w:pPr>
        <w:ind w:left="720" w:hanging="360"/>
      </w:pPr>
      <w:rPr>
        <w:rFonts w:ascii="Courier New" w:eastAsia="Courier New" w:hAnsi="Courier New" w:cs="Courier New"/>
      </w:rPr>
    </w:lvl>
    <w:lvl w:ilvl="2">
      <w:start w:val="1"/>
      <w:numFmt w:val="bullet"/>
      <w:lvlText w:val="▪"/>
      <w:lvlJc w:val="left"/>
      <w:pPr>
        <w:ind w:left="1440" w:hanging="360"/>
      </w:pPr>
      <w:rPr>
        <w:rFonts w:ascii="Noto Sans Symbols" w:eastAsia="Noto Sans Symbols" w:hAnsi="Noto Sans Symbols" w:cs="Noto Sans Symbols"/>
      </w:rPr>
    </w:lvl>
    <w:lvl w:ilvl="3">
      <w:start w:val="1"/>
      <w:numFmt w:val="bullet"/>
      <w:lvlText w:val="●"/>
      <w:lvlJc w:val="left"/>
      <w:pPr>
        <w:ind w:left="2160" w:hanging="360"/>
      </w:pPr>
      <w:rPr>
        <w:rFonts w:ascii="Noto Sans Symbols" w:eastAsia="Noto Sans Symbols" w:hAnsi="Noto Sans Symbols" w:cs="Noto Sans Symbols"/>
      </w:rPr>
    </w:lvl>
    <w:lvl w:ilvl="4">
      <w:start w:val="1"/>
      <w:numFmt w:val="bullet"/>
      <w:lvlText w:val="o"/>
      <w:lvlJc w:val="left"/>
      <w:pPr>
        <w:ind w:left="2880" w:hanging="360"/>
      </w:pPr>
      <w:rPr>
        <w:rFonts w:ascii="Courier New" w:eastAsia="Courier New" w:hAnsi="Courier New" w:cs="Courier New"/>
      </w:rPr>
    </w:lvl>
    <w:lvl w:ilvl="5">
      <w:start w:val="1"/>
      <w:numFmt w:val="bullet"/>
      <w:lvlText w:val="▪"/>
      <w:lvlJc w:val="left"/>
      <w:pPr>
        <w:ind w:left="3600" w:hanging="360"/>
      </w:pPr>
      <w:rPr>
        <w:rFonts w:ascii="Noto Sans Symbols" w:eastAsia="Noto Sans Symbols" w:hAnsi="Noto Sans Symbols" w:cs="Noto Sans Symbols"/>
      </w:rPr>
    </w:lvl>
    <w:lvl w:ilvl="6">
      <w:start w:val="1"/>
      <w:numFmt w:val="bullet"/>
      <w:lvlText w:val="●"/>
      <w:lvlJc w:val="left"/>
      <w:pPr>
        <w:ind w:left="4320" w:hanging="360"/>
      </w:pPr>
      <w:rPr>
        <w:rFonts w:ascii="Noto Sans Symbols" w:eastAsia="Noto Sans Symbols" w:hAnsi="Noto Sans Symbols" w:cs="Noto Sans Symbols"/>
      </w:rPr>
    </w:lvl>
    <w:lvl w:ilvl="7">
      <w:start w:val="1"/>
      <w:numFmt w:val="bullet"/>
      <w:lvlText w:val="o"/>
      <w:lvlJc w:val="left"/>
      <w:pPr>
        <w:ind w:left="5040" w:hanging="360"/>
      </w:pPr>
      <w:rPr>
        <w:rFonts w:ascii="Courier New" w:eastAsia="Courier New" w:hAnsi="Courier New" w:cs="Courier New"/>
      </w:rPr>
    </w:lvl>
    <w:lvl w:ilvl="8">
      <w:start w:val="1"/>
      <w:numFmt w:val="bullet"/>
      <w:lvlText w:val="▪"/>
      <w:lvlJc w:val="left"/>
      <w:pPr>
        <w:ind w:left="5760" w:hanging="360"/>
      </w:pPr>
      <w:rPr>
        <w:rFonts w:ascii="Noto Sans Symbols" w:eastAsia="Noto Sans Symbols" w:hAnsi="Noto Sans Symbols" w:cs="Noto Sans Symbols"/>
      </w:rPr>
    </w:lvl>
  </w:abstractNum>
  <w:abstractNum w:abstractNumId="7" w15:restartNumberingAfterBreak="0">
    <w:nsid w:val="7997700C"/>
    <w:multiLevelType w:val="multilevel"/>
    <w:tmpl w:val="83780996"/>
    <w:lvl w:ilvl="0">
      <w:numFmt w:val="bullet"/>
      <w:lvlText w:val="-"/>
      <w:lvlJc w:val="left"/>
      <w:pPr>
        <w:ind w:left="1080" w:hanging="360"/>
      </w:pPr>
      <w:rPr>
        <w:rFonts w:ascii="Palatino Linotype" w:eastAsia="Palatino Linotype" w:hAnsi="Palatino Linotype" w:cs="Palatino Linotype"/>
        <w:b/>
        <w:color w:val="000000"/>
        <w:sz w:val="22"/>
        <w:szCs w:val="22"/>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0"/>
  </w:num>
  <w:num w:numId="2">
    <w:abstractNumId w:val="2"/>
  </w:num>
  <w:num w:numId="3">
    <w:abstractNumId w:val="7"/>
  </w:num>
  <w:num w:numId="4">
    <w:abstractNumId w:val="3"/>
  </w:num>
  <w:num w:numId="5">
    <w:abstractNumId w:val="4"/>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5A0"/>
    <w:rsid w:val="00346CEE"/>
    <w:rsid w:val="00375140"/>
    <w:rsid w:val="004D0AED"/>
    <w:rsid w:val="006E246F"/>
    <w:rsid w:val="006E4A54"/>
    <w:rsid w:val="0083263A"/>
    <w:rsid w:val="008A1EE1"/>
    <w:rsid w:val="009458BD"/>
    <w:rsid w:val="00E24477"/>
    <w:rsid w:val="00E565A0"/>
    <w:rsid w:val="00F37E1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888318"/>
  <w15:docId w15:val="{8D3E2E82-BC1F-41EA-B3A1-98D4C56AA8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TableNormal7">
    <w:name w:val="Table Normal7"/>
    <w:tblPr>
      <w:tblCellMar>
        <w:top w:w="0" w:type="dxa"/>
        <w:left w:w="0" w:type="dxa"/>
        <w:bottom w:w="0" w:type="dxa"/>
        <w:right w:w="0" w:type="dxa"/>
      </w:tblCellMar>
    </w:tblPr>
  </w:style>
  <w:style w:type="table" w:customStyle="1" w:styleId="TableNormal6">
    <w:name w:val="Table Normal6"/>
    <w:tblPr>
      <w:tblCellMar>
        <w:top w:w="0" w:type="dxa"/>
        <w:left w:w="0" w:type="dxa"/>
        <w:bottom w:w="0" w:type="dxa"/>
        <w:right w:w="0" w:type="dxa"/>
      </w:tblCellMar>
    </w:tblPr>
  </w:style>
  <w:style w:type="table" w:customStyle="1" w:styleId="TableNormal5">
    <w:name w:val="Table Normal5"/>
    <w:tblPr>
      <w:tblCellMar>
        <w:top w:w="0" w:type="dxa"/>
        <w:left w:w="0" w:type="dxa"/>
        <w:bottom w:w="0" w:type="dxa"/>
        <w:right w:w="0" w:type="dxa"/>
      </w:tblCellMar>
    </w:tblPr>
  </w:style>
  <w:style w:type="table" w:customStyle="1" w:styleId="TableNormal40">
    <w:name w:val="Table Normal4"/>
    <w:tblPr>
      <w:tblCellMar>
        <w:top w:w="0" w:type="dxa"/>
        <w:left w:w="0" w:type="dxa"/>
        <w:bottom w:w="0" w:type="dxa"/>
        <w:right w:w="0" w:type="dxa"/>
      </w:tblCellMar>
    </w:tblPr>
  </w:style>
  <w:style w:type="table" w:customStyle="1" w:styleId="TableNormal30">
    <w:name w:val="Table Normal3"/>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table" w:customStyle="1" w:styleId="16">
    <w:name w:val="16"/>
    <w:basedOn w:val="TableNormal10"/>
    <w:tblPr>
      <w:tblStyleRowBandSize w:val="1"/>
      <w:tblStyleColBandSize w:val="1"/>
      <w:tblCellMar>
        <w:left w:w="115" w:type="dxa"/>
        <w:right w:w="115" w:type="dxa"/>
      </w:tblCellMar>
    </w:tblPr>
  </w:style>
  <w:style w:type="table" w:customStyle="1" w:styleId="15">
    <w:name w:val="15"/>
    <w:basedOn w:val="TableNormal10"/>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FE2A5A"/>
    <w:pPr>
      <w:tabs>
        <w:tab w:val="center" w:pos="4419"/>
        <w:tab w:val="right" w:pos="8838"/>
      </w:tabs>
    </w:pPr>
    <w:rPr>
      <w:lang w:val="es-ES"/>
    </w:rPr>
  </w:style>
  <w:style w:type="character" w:customStyle="1" w:styleId="EncabezadoCar">
    <w:name w:val="Encabezado Car"/>
    <w:basedOn w:val="Fuentedeprrafopredeter"/>
    <w:link w:val="Encabezado"/>
    <w:uiPriority w:val="99"/>
    <w:rsid w:val="00FE2A5A"/>
  </w:style>
  <w:style w:type="paragraph" w:styleId="Piedepgina">
    <w:name w:val="footer"/>
    <w:basedOn w:val="Normal"/>
    <w:link w:val="PiedepginaCar"/>
    <w:uiPriority w:val="99"/>
    <w:unhideWhenUsed/>
    <w:rsid w:val="00FE2A5A"/>
    <w:pPr>
      <w:tabs>
        <w:tab w:val="center" w:pos="4419"/>
        <w:tab w:val="right" w:pos="8838"/>
      </w:tabs>
    </w:pPr>
    <w:rPr>
      <w:lang w:val="es-ES"/>
    </w:rPr>
  </w:style>
  <w:style w:type="character" w:customStyle="1" w:styleId="PiedepginaCar">
    <w:name w:val="Pie de página Car"/>
    <w:basedOn w:val="Fuentedeprrafopredeter"/>
    <w:link w:val="Piedepgina"/>
    <w:uiPriority w:val="99"/>
    <w:rsid w:val="00FE2A5A"/>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E2A5A"/>
    <w:pPr>
      <w:ind w:left="720"/>
      <w:contextualSpacing/>
    </w:pPr>
    <w:rPr>
      <w:lang w:val="es-ES"/>
    </w:rPr>
  </w:style>
  <w:style w:type="table" w:styleId="Tablaconcuadrcula">
    <w:name w:val="Table Grid"/>
    <w:basedOn w:val="Tablanormal"/>
    <w:uiPriority w:val="39"/>
    <w:rsid w:val="005135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012F5"/>
    <w:pPr>
      <w:spacing w:before="100" w:beforeAutospacing="1" w:after="100" w:afterAutospacing="1"/>
    </w:pPr>
    <w:rPr>
      <w:lang w:val="es-ES"/>
    </w:rPr>
  </w:style>
  <w:style w:type="table" w:customStyle="1" w:styleId="14">
    <w:name w:val="14"/>
    <w:basedOn w:val="TableNormal10"/>
    <w:tblPr>
      <w:tblStyleRowBandSize w:val="1"/>
      <w:tblStyleColBandSize w:val="1"/>
      <w:tblCellMar>
        <w:left w:w="115" w:type="dxa"/>
        <w:right w:w="115" w:type="dxa"/>
      </w:tblCellMar>
    </w:tblPr>
  </w:style>
  <w:style w:type="table" w:customStyle="1" w:styleId="13">
    <w:name w:val="13"/>
    <w:basedOn w:val="TableNormal10"/>
    <w:tblPr>
      <w:tblStyleRowBandSize w:val="1"/>
      <w:tblStyleColBandSize w:val="1"/>
      <w:tblCellMar>
        <w:left w:w="115" w:type="dxa"/>
        <w:right w:w="115" w:type="dxa"/>
      </w:tblCellMar>
    </w:tblPr>
  </w:style>
  <w:style w:type="character" w:customStyle="1" w:styleId="apple-tab-span">
    <w:name w:val="apple-tab-span"/>
    <w:basedOn w:val="Fuentedeprrafopredeter"/>
    <w:rsid w:val="00355FC9"/>
  </w:style>
  <w:style w:type="table" w:customStyle="1" w:styleId="12">
    <w:name w:val="12"/>
    <w:basedOn w:val="TableNormal20"/>
    <w:tblPr>
      <w:tblStyleRowBandSize w:val="1"/>
      <w:tblStyleColBandSize w:val="1"/>
      <w:tblCellMar>
        <w:left w:w="115" w:type="dxa"/>
        <w:right w:w="115" w:type="dxa"/>
      </w:tblCellMar>
    </w:tblPr>
  </w:style>
  <w:style w:type="table" w:customStyle="1" w:styleId="11">
    <w:name w:val="11"/>
    <w:basedOn w:val="TableNormal20"/>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043B73"/>
    <w:rPr>
      <w:color w:val="0000FF"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759CF"/>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759CF"/>
    <w:rPr>
      <w:sz w:val="20"/>
      <w:szCs w:val="20"/>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f"/>
    <w:basedOn w:val="Fuentedeprrafopredeter"/>
    <w:uiPriority w:val="99"/>
    <w:unhideWhenUsed/>
    <w:qFormat/>
    <w:rsid w:val="00F759CF"/>
    <w:rPr>
      <w:vertAlign w:val="superscript"/>
    </w:rPr>
  </w:style>
  <w:style w:type="table" w:customStyle="1" w:styleId="10">
    <w:name w:val="10"/>
    <w:basedOn w:val="TableNormal30"/>
    <w:tblPr>
      <w:tblStyleRowBandSize w:val="1"/>
      <w:tblStyleColBandSize w:val="1"/>
      <w:tblCellMar>
        <w:left w:w="115" w:type="dxa"/>
        <w:right w:w="115" w:type="dxa"/>
      </w:tblCellMar>
    </w:tblPr>
  </w:style>
  <w:style w:type="table" w:customStyle="1" w:styleId="9">
    <w:name w:val="9"/>
    <w:basedOn w:val="TableNormal30"/>
    <w:tblPr>
      <w:tblStyleRowBandSize w:val="1"/>
      <w:tblStyleColBandSize w:val="1"/>
      <w:tblCellMar>
        <w:left w:w="115" w:type="dxa"/>
        <w:right w:w="115" w:type="dxa"/>
      </w:tblCellMar>
    </w:tbl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283BF5"/>
    <w:rPr>
      <w:lang w:val="es-ES"/>
    </w:rPr>
  </w:style>
  <w:style w:type="table" w:customStyle="1" w:styleId="8">
    <w:name w:val="8"/>
    <w:basedOn w:val="TableNormal40"/>
    <w:tblPr>
      <w:tblStyleRowBandSize w:val="1"/>
      <w:tblStyleColBandSize w:val="1"/>
      <w:tblCellMar>
        <w:left w:w="115" w:type="dxa"/>
        <w:right w:w="115" w:type="dxa"/>
      </w:tblCellMar>
    </w:tblPr>
  </w:style>
  <w:style w:type="table" w:customStyle="1" w:styleId="7">
    <w:name w:val="7"/>
    <w:basedOn w:val="TableNormal40"/>
    <w:tblPr>
      <w:tblStyleRowBandSize w:val="1"/>
      <w:tblStyleColBandSize w:val="1"/>
      <w:tblCellMar>
        <w:left w:w="115" w:type="dxa"/>
        <w:right w:w="115" w:type="dxa"/>
      </w:tblCellMar>
    </w:tblPr>
  </w:style>
  <w:style w:type="table" w:customStyle="1" w:styleId="6">
    <w:name w:val="6"/>
    <w:basedOn w:val="TableNormal5"/>
    <w:tblPr>
      <w:tblStyleRowBandSize w:val="1"/>
      <w:tblStyleColBandSize w:val="1"/>
      <w:tblCellMar>
        <w:left w:w="115" w:type="dxa"/>
        <w:right w:w="115" w:type="dxa"/>
      </w:tblCellMar>
    </w:tblPr>
  </w:style>
  <w:style w:type="table" w:customStyle="1" w:styleId="5">
    <w:name w:val="5"/>
    <w:basedOn w:val="TableNormal5"/>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77142E"/>
    <w:pPr>
      <w:numPr>
        <w:numId w:val="6"/>
      </w:numPr>
      <w:contextualSpacing/>
    </w:pPr>
  </w:style>
  <w:style w:type="table" w:customStyle="1" w:styleId="4">
    <w:name w:val="4"/>
    <w:basedOn w:val="TableNormal6"/>
    <w:tblPr>
      <w:tblStyleRowBandSize w:val="1"/>
      <w:tblStyleColBandSize w:val="1"/>
      <w:tblCellMar>
        <w:left w:w="115" w:type="dxa"/>
        <w:right w:w="115" w:type="dxa"/>
      </w:tblCellMar>
    </w:tblPr>
  </w:style>
  <w:style w:type="table" w:customStyle="1" w:styleId="3">
    <w:name w:val="3"/>
    <w:basedOn w:val="TableNormal6"/>
    <w:tblPr>
      <w:tblStyleRowBandSize w:val="1"/>
      <w:tblStyleColBandSize w:val="1"/>
      <w:tblCellMar>
        <w:left w:w="115" w:type="dxa"/>
        <w:right w:w="115" w:type="dxa"/>
      </w:tblCellMar>
    </w:tblPr>
  </w:style>
  <w:style w:type="table" w:customStyle="1" w:styleId="2">
    <w:name w:val="2"/>
    <w:basedOn w:val="TableNormal7"/>
    <w:tblPr>
      <w:tblStyleRowBandSize w:val="1"/>
      <w:tblStyleColBandSize w:val="1"/>
      <w:tblCellMar>
        <w:left w:w="115" w:type="dxa"/>
        <w:right w:w="115" w:type="dxa"/>
      </w:tblCellMar>
    </w:tblPr>
  </w:style>
  <w:style w:type="table" w:customStyle="1" w:styleId="1">
    <w:name w:val="1"/>
    <w:basedOn w:val="TableNormal7"/>
    <w:tblPr>
      <w:tblStyleRowBandSize w:val="1"/>
      <w:tblStyleColBandSize w:val="1"/>
      <w:tblCellMar>
        <w:left w:w="115" w:type="dxa"/>
        <w:right w:w="115" w:type="dxa"/>
      </w:tblCellMar>
    </w:tblPr>
  </w:style>
  <w:style w:type="paragraph" w:styleId="Listaconvietas2">
    <w:name w:val="List Bullet 2"/>
    <w:basedOn w:val="Normal"/>
    <w:uiPriority w:val="99"/>
    <w:unhideWhenUsed/>
    <w:rsid w:val="00B910CA"/>
    <w:pPr>
      <w:tabs>
        <w:tab w:val="num" w:pos="720"/>
      </w:tabs>
      <w:ind w:left="720" w:hanging="720"/>
      <w:contextualSpacing/>
    </w:pPr>
  </w:style>
  <w:style w:type="paragraph" w:styleId="Textodeglobo">
    <w:name w:val="Balloon Text"/>
    <w:basedOn w:val="Normal"/>
    <w:link w:val="TextodegloboCar"/>
    <w:uiPriority w:val="99"/>
    <w:semiHidden/>
    <w:unhideWhenUsed/>
    <w:rsid w:val="003B3B2A"/>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3B3B2A"/>
    <w:rPr>
      <w:rFonts w:ascii="Segoe UI" w:hAnsi="Segoe UI" w:cs="Segoe UI"/>
      <w:sz w:val="18"/>
      <w:szCs w:val="18"/>
    </w:rPr>
  </w:style>
  <w:style w:type="character" w:styleId="Hipervnculovisitado">
    <w:name w:val="FollowedHyperlink"/>
    <w:basedOn w:val="Fuentedeprrafopredeter"/>
    <w:uiPriority w:val="99"/>
    <w:semiHidden/>
    <w:unhideWhenUsed/>
    <w:rsid w:val="00E9311B"/>
    <w:rPr>
      <w:color w:val="800080" w:themeColor="followedHyperlink"/>
      <w:u w:val="single"/>
    </w:r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table" w:customStyle="1" w:styleId="a1">
    <w:basedOn w:val="TableNormal3"/>
    <w:tblPr>
      <w:tblStyleRowBandSize w:val="1"/>
      <w:tblStyleColBandSize w:val="1"/>
      <w:tblCellMar>
        <w:left w:w="115" w:type="dxa"/>
        <w:right w:w="115"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left w:w="115" w:type="dxa"/>
        <w:right w:w="115" w:type="dxa"/>
      </w:tblCellMar>
    </w:tblPr>
  </w:style>
  <w:style w:type="table" w:customStyle="1" w:styleId="a4">
    <w:basedOn w:val="TableNormal2"/>
    <w:tblPr>
      <w:tblStyleRowBandSize w:val="1"/>
      <w:tblStyleColBandSize w:val="1"/>
      <w:tblCellMar>
        <w:left w:w="1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character" w:styleId="Refdecomentario">
    <w:name w:val="annotation reference"/>
    <w:basedOn w:val="Fuentedeprrafopredeter"/>
    <w:uiPriority w:val="99"/>
    <w:semiHidden/>
    <w:unhideWhenUsed/>
    <w:rsid w:val="001E4455"/>
    <w:rPr>
      <w:sz w:val="16"/>
      <w:szCs w:val="16"/>
    </w:rPr>
  </w:style>
  <w:style w:type="paragraph" w:styleId="Textocomentario">
    <w:name w:val="annotation text"/>
    <w:basedOn w:val="Normal"/>
    <w:link w:val="TextocomentarioCar"/>
    <w:uiPriority w:val="99"/>
    <w:semiHidden/>
    <w:unhideWhenUsed/>
    <w:rsid w:val="001E4455"/>
    <w:rPr>
      <w:sz w:val="20"/>
      <w:szCs w:val="20"/>
    </w:rPr>
  </w:style>
  <w:style w:type="character" w:customStyle="1" w:styleId="TextocomentarioCar">
    <w:name w:val="Texto comentario Car"/>
    <w:basedOn w:val="Fuentedeprrafopredeter"/>
    <w:link w:val="Textocomentario"/>
    <w:uiPriority w:val="99"/>
    <w:semiHidden/>
    <w:rsid w:val="001E4455"/>
    <w:rPr>
      <w:sz w:val="20"/>
      <w:szCs w:val="20"/>
    </w:rPr>
  </w:style>
  <w:style w:type="paragraph" w:styleId="Asuntodelcomentario">
    <w:name w:val="annotation subject"/>
    <w:basedOn w:val="Textocomentario"/>
    <w:next w:val="Textocomentario"/>
    <w:link w:val="AsuntodelcomentarioCar"/>
    <w:uiPriority w:val="99"/>
    <w:semiHidden/>
    <w:unhideWhenUsed/>
    <w:rsid w:val="001E4455"/>
    <w:rPr>
      <w:b/>
      <w:bCs/>
    </w:rPr>
  </w:style>
  <w:style w:type="character" w:customStyle="1" w:styleId="AsuntodelcomentarioCar">
    <w:name w:val="Asunto del comentario Car"/>
    <w:basedOn w:val="TextocomentarioCar"/>
    <w:link w:val="Asuntodelcomentario"/>
    <w:uiPriority w:val="99"/>
    <w:semiHidden/>
    <w:rsid w:val="001E4455"/>
    <w:rPr>
      <w:b/>
      <w:bCs/>
      <w:sz w:val="20"/>
      <w:szCs w:val="20"/>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spOvj3jvkjuEduNPkX7GY4j5UQ==">CgMxLjAyCWguMWZvYjl0ZTIJaC40ZDM0b2c4MghoLmdqZGd4czIJaC4zZHk2dmttMgloLjMwajB6bGwyCWguMnM4ZXlvMTIIaC50eWpjd3QyCWguM3pueXNoNzIJaC4xeTgxMHR3Mg1oLmNyd25sdnZvZ2Q2Mg5oLmlqdjk4cG50Y2Q1czIJaC4yNmluMXJnMg1oLmg3bnpiNzl3bHJhMgloLjJldDkycDAyDmguNTlucHh5eHBvbWpkMgloLjE3ZHA4dnUyCWguM3JkY3JqbjIJaC4xdDNoNXNmOAByITFpZG1BTXNlZ2xwcnQ2cUg2TUZiM2JQSHNWd2dxV3ZLV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41</Pages>
  <Words>10649</Words>
  <Characters>58570</Characters>
  <Application>Microsoft Office Word</Application>
  <DocSecurity>0</DocSecurity>
  <Lines>488</Lines>
  <Paragraphs>138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69081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dcterms:created xsi:type="dcterms:W3CDTF">2025-08-07T19:38:00Z</dcterms:created>
  <dcterms:modified xsi:type="dcterms:W3CDTF">2025-08-07T19:38:00Z</dcterms:modified>
</cp:coreProperties>
</file>