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hsae91tq8qpc"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quince de octubre de dos mil veinticinco.</w:t>
      </w:r>
    </w:p>
    <w:p w:rsidR="00000000" w:rsidDel="00000000" w:rsidP="00000000" w:rsidRDefault="00000000" w:rsidRPr="00000000" w14:paraId="00000002">
      <w:pPr>
        <w:spacing w:after="240" w:before="240" w:line="360" w:lineRule="auto"/>
        <w:ind w:right="-112"/>
        <w:jc w:val="both"/>
        <w:rPr>
          <w:rFonts w:ascii="Palatino Linotype" w:cs="Palatino Linotype" w:eastAsia="Palatino Linotype" w:hAnsi="Palatino Linotype"/>
        </w:rPr>
      </w:pPr>
      <w:bookmarkStart w:colFirst="0" w:colLast="0" w:name="_heading=h.30j0zll" w:id="1"/>
      <w:bookmarkEnd w:id="1"/>
      <w:r w:rsidDel="00000000" w:rsidR="00000000" w:rsidRPr="00000000">
        <w:rPr>
          <w:rFonts w:ascii="Palatino Linotype" w:cs="Palatino Linotype" w:eastAsia="Palatino Linotype" w:hAnsi="Palatino Linotype"/>
          <w:b w:val="1"/>
          <w:bCs w:val="1"/>
          <w:rtl w:val="0"/>
        </w:rPr>
        <w:t xml:space="preserve">Vistos </w:t>
      </w:r>
      <w:r w:rsidDel="00000000" w:rsidR="00000000" w:rsidRPr="00000000">
        <w:rPr>
          <w:rFonts w:ascii="Palatino Linotype" w:cs="Palatino Linotype" w:eastAsia="Palatino Linotype" w:hAnsi="Palatino Linotype"/>
          <w:rtl w:val="0"/>
        </w:rPr>
        <w:t xml:space="preserve">los expedientes relativos a los recursos de revisión </w:t>
      </w:r>
      <w:r w:rsidDel="00000000" w:rsidR="00000000" w:rsidRPr="00000000">
        <w:rPr>
          <w:rFonts w:ascii="Palatino Linotype" w:cs="Palatino Linotype" w:eastAsia="Palatino Linotype" w:hAnsi="Palatino Linotype"/>
          <w:b w:val="1"/>
          <w:bCs w:val="1"/>
          <w:rtl w:val="0"/>
        </w:rPr>
        <w:t xml:space="preserve">07664/INFOEM/IP/RR/2025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bCs w:val="1"/>
          <w:rtl w:val="0"/>
        </w:rPr>
        <w:t xml:space="preserve">07667/INFOEM/IP/RR/2025</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acumulados,</w:t>
      </w:r>
      <w:r w:rsidDel="00000000" w:rsidR="00000000" w:rsidRPr="00000000">
        <w:rPr>
          <w:rFonts w:ascii="Palatino Linotype" w:cs="Palatino Linotype" w:eastAsia="Palatino Linotype" w:hAnsi="Palatino Linotype"/>
          <w:rtl w:val="0"/>
        </w:rPr>
        <w:t xml:space="preserve"> interpuestos por</w:t>
      </w:r>
      <w:r w:rsidDel="00000000" w:rsidR="00000000" w:rsidRPr="00000000">
        <w:rPr>
          <w:rFonts w:ascii="Palatino Linotype" w:cs="Palatino Linotype" w:eastAsia="Palatino Linotype" w:hAnsi="Palatino Linotype"/>
          <w:b w:val="1"/>
          <w:bCs w:val="1"/>
          <w:rtl w:val="0"/>
        </w:rPr>
        <w:t xml:space="preserve"> una persona que no proporcionó nombre o seudónimo, </w:t>
      </w:r>
      <w:r w:rsidDel="00000000" w:rsidR="00000000" w:rsidRPr="00000000">
        <w:rPr>
          <w:rFonts w:ascii="Palatino Linotype" w:cs="Palatino Linotype" w:eastAsia="Palatino Linotype" w:hAnsi="Palatino Linotype"/>
          <w:rtl w:val="0"/>
        </w:rPr>
        <w:t xml:space="preserve">en lo sucesivo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sus solicitudes de información con números de folio</w:t>
      </w:r>
      <w:r w:rsidDel="00000000" w:rsidR="00000000" w:rsidRPr="00000000">
        <w:rPr>
          <w:rFonts w:ascii="Palatino Linotype" w:cs="Palatino Linotype" w:eastAsia="Palatino Linotype" w:hAnsi="Palatino Linotype"/>
          <w:b w:val="1"/>
          <w:bCs w:val="1"/>
          <w:rtl w:val="0"/>
        </w:rPr>
        <w:t xml:space="preserve"> 02711/TOLUCA/IP/2025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bCs w:val="1"/>
          <w:rtl w:val="0"/>
        </w:rPr>
        <w:t xml:space="preserve"> 02713/TOLUCA/IP/2025,</w:t>
      </w:r>
      <w:r w:rsidDel="00000000" w:rsidR="00000000" w:rsidRPr="00000000">
        <w:rPr>
          <w:rFonts w:ascii="Palatino Linotype" w:cs="Palatino Linotype" w:eastAsia="Palatino Linotype" w:hAnsi="Palatino Linotype"/>
          <w:rtl w:val="0"/>
        </w:rPr>
        <w:t xml:space="preserve"> respectivamente, por parte del </w:t>
      </w:r>
      <w:r w:rsidDel="00000000" w:rsidR="00000000" w:rsidRPr="00000000">
        <w:rPr>
          <w:rFonts w:ascii="Palatino Linotype" w:cs="Palatino Linotype" w:eastAsia="Palatino Linotype" w:hAnsi="Palatino Linotype"/>
          <w:b w:val="1"/>
          <w:bCs w:val="1"/>
          <w:rtl w:val="0"/>
        </w:rPr>
        <w:t xml:space="preserve">Ayuntamiento de Toluca,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 A N T E C E D E N T E S:</w:t>
      </w:r>
    </w:p>
    <w:p w:rsidR="00000000" w:rsidDel="00000000" w:rsidP="00000000" w:rsidRDefault="00000000" w:rsidRPr="00000000" w14:paraId="00000004">
      <w:pPr>
        <w:tabs>
          <w:tab w:val="left" w:leader="none" w:pos="5071"/>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 Solicitudes de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bCs w:val="1"/>
          <w:rtl w:val="0"/>
        </w:rPr>
        <w:t xml:space="preserve">once de mayo de dos mil veinticinco,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bCs w:val="1"/>
          <w:rtl w:val="0"/>
        </w:rPr>
        <w:t xml:space="preserve">Recurrente </w:t>
      </w:r>
      <w:r w:rsidDel="00000000" w:rsidR="00000000" w:rsidRPr="00000000">
        <w:rPr>
          <w:rFonts w:ascii="Palatino Linotype" w:cs="Palatino Linotype" w:eastAsia="Palatino Linotype" w:hAnsi="Palatino Linotype"/>
          <w:rtl w:val="0"/>
        </w:rPr>
        <w:t xml:space="preserve">presentó las solicitudes de acceso a la información pública ante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lo subsecuente el </w:t>
      </w:r>
      <w:r w:rsidDel="00000000" w:rsidR="00000000" w:rsidRPr="00000000">
        <w:rPr>
          <w:rFonts w:ascii="Palatino Linotype" w:cs="Palatino Linotype" w:eastAsia="Palatino Linotype" w:hAnsi="Palatino Linotype"/>
          <w:b w:val="1"/>
          <w:bCs w:val="1"/>
          <w:rtl w:val="0"/>
        </w:rPr>
        <w:t xml:space="preserve">SAIMEX, </w:t>
      </w:r>
      <w:r w:rsidDel="00000000" w:rsidR="00000000" w:rsidRPr="00000000">
        <w:rPr>
          <w:rFonts w:ascii="Palatino Linotype" w:cs="Palatino Linotype" w:eastAsia="Palatino Linotype" w:hAnsi="Palatino Linotype"/>
          <w:rtl w:val="0"/>
        </w:rPr>
        <w:t xml:space="preserve">sin embargo, al corresponder a un día inhábil se tuvo por presentada el día </w:t>
      </w:r>
      <w:r w:rsidDel="00000000" w:rsidR="00000000" w:rsidRPr="00000000">
        <w:rPr>
          <w:rFonts w:ascii="Palatino Linotype" w:cs="Palatino Linotype" w:eastAsia="Palatino Linotype" w:hAnsi="Palatino Linotype"/>
          <w:b w:val="1"/>
          <w:bCs w:val="1"/>
          <w:rtl w:val="0"/>
        </w:rPr>
        <w:t xml:space="preserve">doce de mayo de dos mil veinticinco;</w:t>
      </w:r>
      <w:r w:rsidDel="00000000" w:rsidR="00000000" w:rsidRPr="00000000">
        <w:rPr>
          <w:rFonts w:ascii="Palatino Linotype" w:cs="Palatino Linotype" w:eastAsia="Palatino Linotype" w:hAnsi="Palatino Linotype"/>
          <w:rtl w:val="0"/>
        </w:rPr>
        <w:t xml:space="preserve"> mediante la cual requirió lo siguiente:</w:t>
      </w:r>
    </w:p>
    <w:tbl>
      <w:tblPr>
        <w:tblStyle w:val="Table1"/>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4"/>
        <w:gridCol w:w="5714"/>
        <w:tblGridChange w:id="0">
          <w:tblGrid>
            <w:gridCol w:w="3114"/>
            <w:gridCol w:w="5714"/>
          </w:tblGrid>
        </w:tblGridChange>
      </w:tblGrid>
      <w:tr>
        <w:trPr>
          <w:cantSplit w:val="0"/>
          <w:tblHeader w:val="0"/>
        </w:trPr>
        <w:tc>
          <w:tcPr>
            <w:shd w:fill="bfbfbf" w:val="clear"/>
          </w:tcPr>
          <w:p w:rsidR="00000000" w:rsidDel="00000000" w:rsidP="00000000" w:rsidRDefault="00000000" w:rsidRPr="00000000" w14:paraId="00000005">
            <w:pPr>
              <w:spacing w:after="120" w:before="120" w:line="24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Número de solicitud</w:t>
            </w:r>
          </w:p>
        </w:tc>
        <w:tc>
          <w:tcPr>
            <w:shd w:fill="bfbfbf" w:val="clear"/>
          </w:tcPr>
          <w:p w:rsidR="00000000" w:rsidDel="00000000" w:rsidP="00000000" w:rsidRDefault="00000000" w:rsidRPr="00000000" w14:paraId="00000006">
            <w:pPr>
              <w:spacing w:after="120" w:before="120" w:line="24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Información solicitada</w:t>
            </w:r>
          </w:p>
        </w:tc>
      </w:tr>
      <w:tr>
        <w:trPr>
          <w:cantSplit w:val="0"/>
          <w:tblHeader w:val="0"/>
        </w:trPr>
        <w:tc>
          <w:tcPr>
            <w:vAlign w:val="center"/>
          </w:tcPr>
          <w:p w:rsidR="00000000" w:rsidDel="00000000" w:rsidP="00000000" w:rsidRDefault="00000000" w:rsidRPr="00000000" w14:paraId="00000007">
            <w:pPr>
              <w:spacing w:after="120" w:before="120" w:line="24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02711/TOLUCA/IP/2025</w:t>
            </w:r>
          </w:p>
          <w:p w:rsidR="00000000" w:rsidDel="00000000" w:rsidP="00000000" w:rsidRDefault="00000000" w:rsidRPr="00000000" w14:paraId="00000008">
            <w:pPr>
              <w:spacing w:after="120" w:before="120" w:line="24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07664/INFOEM/IP/RR/2025</w:t>
            </w:r>
          </w:p>
        </w:tc>
        <w:tc>
          <w:tcPr/>
          <w:p w:rsidR="00000000" w:rsidDel="00000000" w:rsidP="00000000" w:rsidRDefault="00000000" w:rsidRPr="00000000" w14:paraId="00000009">
            <w:pPr>
              <w:spacing w:after="120" w:before="120" w:line="240" w:lineRule="auto"/>
              <w:jc w:val="both"/>
              <w:rPr>
                <w:rFonts w:ascii="Palatino Linotype" w:cs="Palatino Linotype" w:eastAsia="Palatino Linotype" w:hAnsi="Palatino Linotype"/>
                <w:i w:val="1"/>
                <w:iCs w:val="1"/>
              </w:rPr>
            </w:pPr>
            <w:bookmarkStart w:colFirst="0" w:colLast="0" w:name="_heading=h.u53jbslicnnc" w:id="2"/>
            <w:bookmarkEnd w:id="2"/>
            <w:r w:rsidDel="00000000" w:rsidR="00000000" w:rsidRPr="00000000">
              <w:rPr>
                <w:rFonts w:ascii="Palatino Linotype" w:cs="Palatino Linotype" w:eastAsia="Palatino Linotype" w:hAnsi="Palatino Linotype"/>
                <w:i w:val="1"/>
                <w:iCs w:val="1"/>
                <w:rtl w:val="0"/>
              </w:rPr>
              <w:t xml:space="preserve">“Los oficios firmados por por la primera síndico municipal del 1 de enero a 9 de mayo de 2025.” (sic)</w:t>
            </w:r>
          </w:p>
        </w:tc>
      </w:tr>
      <w:tr>
        <w:trPr>
          <w:cantSplit w:val="0"/>
          <w:tblHeader w:val="0"/>
        </w:trPr>
        <w:tc>
          <w:tcPr>
            <w:vAlign w:val="center"/>
          </w:tcPr>
          <w:p w:rsidR="00000000" w:rsidDel="00000000" w:rsidP="00000000" w:rsidRDefault="00000000" w:rsidRPr="00000000" w14:paraId="0000000A">
            <w:pPr>
              <w:spacing w:after="120" w:before="120" w:line="24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02713/TOLUCA/IP/2025</w:t>
            </w:r>
          </w:p>
          <w:p w:rsidR="00000000" w:rsidDel="00000000" w:rsidP="00000000" w:rsidRDefault="00000000" w:rsidRPr="00000000" w14:paraId="0000000B">
            <w:pPr>
              <w:spacing w:after="120" w:before="120" w:line="24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07667/INFOEM/IP/RR/2025</w:t>
            </w:r>
          </w:p>
        </w:tc>
        <w:tc>
          <w:tcPr/>
          <w:p w:rsidR="00000000" w:rsidDel="00000000" w:rsidP="00000000" w:rsidRDefault="00000000" w:rsidRPr="00000000" w14:paraId="0000000C">
            <w:pPr>
              <w:spacing w:after="120" w:before="120" w:line="240" w:lineRule="auto"/>
              <w:jc w:val="both"/>
              <w:rPr>
                <w:rFonts w:ascii="Palatino Linotype" w:cs="Palatino Linotype" w:eastAsia="Palatino Linotype" w:hAnsi="Palatino Linotype"/>
                <w:i w:val="1"/>
                <w:iCs w:val="1"/>
              </w:rPr>
            </w:pPr>
            <w:bookmarkStart w:colFirst="0" w:colLast="0" w:name="_heading=h.1lbmvyo9qgc4" w:id="3"/>
            <w:bookmarkEnd w:id="3"/>
            <w:r w:rsidDel="00000000" w:rsidR="00000000" w:rsidRPr="00000000">
              <w:rPr>
                <w:rFonts w:ascii="Palatino Linotype" w:cs="Palatino Linotype" w:eastAsia="Palatino Linotype" w:hAnsi="Palatino Linotype"/>
                <w:i w:val="1"/>
                <w:iCs w:val="1"/>
                <w:rtl w:val="0"/>
              </w:rPr>
              <w:t xml:space="preserve">“Los oficios recibidos por por la primera síndico municipal del 1 de enero a 9 de mayo de 2025.” (sic)</w:t>
            </w:r>
          </w:p>
        </w:tc>
      </w:tr>
    </w:tbl>
    <w:p w:rsidR="00000000" w:rsidDel="00000000" w:rsidP="00000000" w:rsidRDefault="00000000" w:rsidRPr="00000000" w14:paraId="0000000D">
      <w:pPr>
        <w:spacing w:after="240" w:before="240" w:line="360" w:lineRule="auto"/>
        <w:jc w:val="both"/>
        <w:rPr>
          <w:rFonts w:ascii="Palatino Linotype" w:cs="Palatino Linotype" w:eastAsia="Palatino Linotype" w:hAnsi="Palatino Linotype"/>
        </w:rPr>
      </w:pPr>
      <w:bookmarkStart w:colFirst="0" w:colLast="0" w:name="_heading=h.2et92p0" w:id="4"/>
      <w:bookmarkEnd w:id="4"/>
      <w:r w:rsidDel="00000000" w:rsidR="00000000" w:rsidRPr="00000000">
        <w:rPr>
          <w:rFonts w:ascii="Palatino Linotype" w:cs="Palatino Linotype" w:eastAsia="Palatino Linotype" w:hAnsi="Palatino Linotype"/>
          <w:b w:val="1"/>
          <w:bCs w:val="1"/>
          <w:rtl w:val="0"/>
        </w:rPr>
        <w:t xml:space="preserve">Modalidad de Entrega:</w:t>
      </w:r>
      <w:r w:rsidDel="00000000" w:rsidR="00000000" w:rsidRPr="00000000">
        <w:rPr>
          <w:rFonts w:ascii="Palatino Linotype" w:cs="Palatino Linotype" w:eastAsia="Palatino Linotype" w:hAnsi="Palatino Linotype"/>
          <w:rtl w:val="0"/>
        </w:rPr>
        <w:t xml:space="preserve"> a través del</w:t>
      </w:r>
      <w:r w:rsidDel="00000000" w:rsidR="00000000" w:rsidRPr="00000000">
        <w:rPr>
          <w:rFonts w:ascii="Palatino Linotype" w:cs="Palatino Linotype" w:eastAsia="Palatino Linotype" w:hAnsi="Palatino Linotype"/>
          <w:b w:val="1"/>
          <w:bCs w:val="1"/>
          <w:rtl w:val="0"/>
        </w:rPr>
        <w:t xml:space="preserve"> SAIMEX </w:t>
      </w:r>
      <w:r w:rsidDel="00000000" w:rsidR="00000000" w:rsidRPr="00000000">
        <w:rPr>
          <w:rFonts w:ascii="Palatino Linotype" w:cs="Palatino Linotype" w:eastAsia="Palatino Linotype" w:hAnsi="Palatino Linotype"/>
          <w:rtl w:val="0"/>
        </w:rPr>
        <w:t xml:space="preserve">en ambos casos.</w:t>
      </w:r>
    </w:p>
    <w:p w:rsidR="00000000" w:rsidDel="00000000" w:rsidP="00000000" w:rsidRDefault="00000000" w:rsidRPr="00000000" w14:paraId="0000000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2. Respuestas.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bCs w:val="1"/>
          <w:rtl w:val="0"/>
        </w:rPr>
        <w:t xml:space="preserve">dos de junio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envió sus respuestas a las solicitudes de acceso a la información a través del </w:t>
      </w:r>
      <w:r w:rsidDel="00000000" w:rsidR="00000000" w:rsidRPr="00000000">
        <w:rPr>
          <w:rFonts w:ascii="Palatino Linotype" w:cs="Palatino Linotype" w:eastAsia="Palatino Linotype" w:hAnsi="Palatino Linotype"/>
          <w:b w:val="1"/>
          <w:bCs w:val="1"/>
          <w:rtl w:val="0"/>
        </w:rPr>
        <w:t xml:space="preserve">SAIMEX</w:t>
      </w:r>
      <w:r w:rsidDel="00000000" w:rsidR="00000000" w:rsidRPr="00000000">
        <w:rPr>
          <w:rFonts w:ascii="Palatino Linotype" w:cs="Palatino Linotype" w:eastAsia="Palatino Linotype" w:hAnsi="Palatino Linotype"/>
          <w:rtl w:val="0"/>
        </w:rPr>
        <w:t xml:space="preserve">, sustancialmente en los términos siguientes:</w:t>
      </w:r>
    </w:p>
    <w:tbl>
      <w:tblPr>
        <w:tblStyle w:val="Table2"/>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5856"/>
        <w:tblGridChange w:id="0">
          <w:tblGrid>
            <w:gridCol w:w="2972"/>
            <w:gridCol w:w="5856"/>
          </w:tblGrid>
        </w:tblGridChange>
      </w:tblGrid>
      <w:tr>
        <w:trPr>
          <w:cantSplit w:val="0"/>
          <w:tblHeader w:val="0"/>
        </w:trPr>
        <w:tc>
          <w:tcPr>
            <w:shd w:fill="bfbfbf" w:val="clear"/>
          </w:tcPr>
          <w:p w:rsidR="00000000" w:rsidDel="00000000" w:rsidP="00000000" w:rsidRDefault="00000000" w:rsidRPr="00000000" w14:paraId="0000000F">
            <w:pPr>
              <w:spacing w:after="120" w:before="120" w:line="24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Número de solicitud</w:t>
            </w:r>
          </w:p>
        </w:tc>
        <w:tc>
          <w:tcPr>
            <w:shd w:fill="bfbfbf" w:val="clear"/>
          </w:tcPr>
          <w:p w:rsidR="00000000" w:rsidDel="00000000" w:rsidP="00000000" w:rsidRDefault="00000000" w:rsidRPr="00000000" w14:paraId="00000010">
            <w:pPr>
              <w:spacing w:after="120" w:before="120" w:line="24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Respuesta</w:t>
            </w:r>
          </w:p>
        </w:tc>
      </w:tr>
      <w:tr>
        <w:trPr>
          <w:cantSplit w:val="0"/>
          <w:tblHeader w:val="0"/>
        </w:trPr>
        <w:tc>
          <w:tcPr>
            <w:vAlign w:val="center"/>
          </w:tcPr>
          <w:p w:rsidR="00000000" w:rsidDel="00000000" w:rsidP="00000000" w:rsidRDefault="00000000" w:rsidRPr="00000000" w14:paraId="00000011">
            <w:pPr>
              <w:spacing w:after="120" w:before="120" w:line="24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02711/TOLUCA/IP/2025</w:t>
            </w:r>
          </w:p>
          <w:p w:rsidR="00000000" w:rsidDel="00000000" w:rsidP="00000000" w:rsidRDefault="00000000" w:rsidRPr="00000000" w14:paraId="00000012">
            <w:pPr>
              <w:spacing w:after="120" w:before="120" w:line="24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07664/INFOEM/IP/RR/2025</w:t>
            </w:r>
          </w:p>
        </w:tc>
        <w:tc>
          <w:tcPr/>
          <w:p w:rsidR="00000000" w:rsidDel="00000000" w:rsidP="00000000" w:rsidRDefault="00000000" w:rsidRPr="00000000" w14:paraId="00000013">
            <w:pPr>
              <w:spacing w:after="120" w:before="120" w:line="24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atención a la solicitud con folio 02711/TOLUCA/IP/2025, me permito adjuntar al presente la respuesta correspondiente de la Primera Sindicatura,asimismo sus anexos Sin más por el momento, reciba un saludo...” (sic)</w:t>
            </w:r>
          </w:p>
          <w:p w:rsidR="00000000" w:rsidDel="00000000" w:rsidP="00000000" w:rsidRDefault="00000000" w:rsidRPr="00000000" w14:paraId="00000014">
            <w:pPr>
              <w:spacing w:after="120" w:before="12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Anexos:</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120" w:before="12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301/1210/2025, mediante el cual la Primera Sindico manifestó anexar de marera digital los oficios emitidos en la fecha 1 enero a 09 mayo 2025, asimismo informó que se testo información personal de conformidad con el acuerdo CT/SE/643/01/2025, del Acta Sexcentésima Cuadragésima Tercera Sesión Extraordinaria 2025 del Comité de Transparencia de fecha 26 de mayo 2025.</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20" w:before="12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Oficios emitidos por la Primera Sindico en el mes de enero de 2025, testados-</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before="12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Oficios emitidos por la Primera Sindico en el mes de febrero de 2025, testados.</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120" w:before="12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Oficios emitidos por la Primera Sindico en el mes de marzo de 2025, testados.</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20" w:before="12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Oficios emitidos por la Primera Sindico en el mes de abril de 2025, testados.</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20" w:before="12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Oficios emitidos por la Primera Sindico en del 06 al 12 de mayo de 2025, testados.</w:t>
            </w:r>
          </w:p>
        </w:tc>
      </w:tr>
      <w:tr>
        <w:trPr>
          <w:cantSplit w:val="0"/>
          <w:tblHeader w:val="0"/>
        </w:trPr>
        <w:tc>
          <w:tcPr>
            <w:vAlign w:val="center"/>
          </w:tcPr>
          <w:p w:rsidR="00000000" w:rsidDel="00000000" w:rsidP="00000000" w:rsidRDefault="00000000" w:rsidRPr="00000000" w14:paraId="0000001B">
            <w:pPr>
              <w:spacing w:after="120" w:before="120" w:line="24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02713/TOLUCA/IP/2025</w:t>
            </w:r>
          </w:p>
          <w:p w:rsidR="00000000" w:rsidDel="00000000" w:rsidP="00000000" w:rsidRDefault="00000000" w:rsidRPr="00000000" w14:paraId="0000001C">
            <w:pPr>
              <w:spacing w:after="120" w:before="120" w:line="240" w:lineRule="auto"/>
              <w:jc w:val="center"/>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rtl w:val="0"/>
              </w:rPr>
              <w:t xml:space="preserve">07667/INFOEM/IP/RR/2025</w:t>
            </w:r>
            <w:r w:rsidDel="00000000" w:rsidR="00000000" w:rsidRPr="00000000">
              <w:rPr>
                <w:rtl w:val="0"/>
              </w:rPr>
            </w:r>
          </w:p>
        </w:tc>
        <w:tc>
          <w:tcPr/>
          <w:p w:rsidR="00000000" w:rsidDel="00000000" w:rsidP="00000000" w:rsidRDefault="00000000" w:rsidRPr="00000000" w14:paraId="0000001D">
            <w:pPr>
              <w:spacing w:after="120" w:before="120" w:line="24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atención a la solicitud con folio 02713/TOLUCA/IP/2025, me permito adjuntar al presente la respuesta correspondiente de la Primera Sindicatura, Sin más por el momento, reciba un saludo...” (sic)</w:t>
            </w:r>
          </w:p>
          <w:p w:rsidR="00000000" w:rsidDel="00000000" w:rsidP="00000000" w:rsidRDefault="00000000" w:rsidRPr="00000000" w14:paraId="0000001E">
            <w:pPr>
              <w:spacing w:after="120" w:before="12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Anexos:</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20" w:before="12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301/1211/2025, mediante el cual la Primera Sindico manifestó anexar de marera digital los oficios recibidos del 1 enero a 09 mayo 2025, asimismo informó que se testo información personal de conformidad con el acuerdo CT/SE/643/02/2025, del Acta Sexcentésima Cuadragésima Tercera Sesión Extraordinaria 2025 del Comité de Transparencia de fecha 26 de mayo 2025.</w:t>
            </w:r>
          </w:p>
          <w:p w:rsidR="00000000" w:rsidDel="00000000" w:rsidP="00000000" w:rsidRDefault="00000000" w:rsidRPr="00000000" w14:paraId="00000020">
            <w:pPr>
              <w:spacing w:after="120" w:before="12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Oficios recibidos en la Primera Sindicatura en el mes de enero de 2025, testados.</w:t>
            </w:r>
          </w:p>
          <w:p w:rsidR="00000000" w:rsidDel="00000000" w:rsidP="00000000" w:rsidRDefault="00000000" w:rsidRPr="00000000" w14:paraId="00000021">
            <w:pPr>
              <w:spacing w:after="120" w:before="12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rtl w:val="0"/>
              </w:rPr>
              <w:t xml:space="preserve">Oficios recibidos en la Primera Sindicatura en el mes de febrero de 2025, testados.</w:t>
            </w:r>
          </w:p>
          <w:p w:rsidR="00000000" w:rsidDel="00000000" w:rsidP="00000000" w:rsidRDefault="00000000" w:rsidRPr="00000000" w14:paraId="00000022">
            <w:pPr>
              <w:spacing w:after="120" w:before="12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Oficios recibidos en la Primera Sindicatura en el mes de marzo de 2025, testados.</w:t>
            </w:r>
          </w:p>
          <w:p w:rsidR="00000000" w:rsidDel="00000000" w:rsidP="00000000" w:rsidRDefault="00000000" w:rsidRPr="00000000" w14:paraId="00000023">
            <w:pPr>
              <w:spacing w:after="120" w:before="12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Oficios recibidos en la Primera Sindicatura en el mes de abril de 2025, testados.</w:t>
            </w:r>
          </w:p>
          <w:p w:rsidR="00000000" w:rsidDel="00000000" w:rsidP="00000000" w:rsidRDefault="00000000" w:rsidRPr="00000000" w14:paraId="00000024">
            <w:pPr>
              <w:spacing w:after="120" w:before="120" w:line="24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rtl w:val="0"/>
              </w:rPr>
              <w:t xml:space="preserve">- Oficios recibidos en la Primera Sindicatura del 02 al 09 de mayo de 2025, testados.</w:t>
            </w:r>
            <w:r w:rsidDel="00000000" w:rsidR="00000000" w:rsidRPr="00000000">
              <w:rPr>
                <w:rtl w:val="0"/>
              </w:rPr>
            </w:r>
          </w:p>
        </w:tc>
      </w:tr>
    </w:tbl>
    <w:p w:rsidR="00000000" w:rsidDel="00000000" w:rsidP="00000000" w:rsidRDefault="00000000" w:rsidRPr="00000000" w14:paraId="00000025">
      <w:pPr>
        <w:spacing w:after="240" w:before="240" w:line="360" w:lineRule="auto"/>
        <w:ind w:right="49"/>
        <w:jc w:val="both"/>
        <w:rPr>
          <w:rFonts w:ascii="Palatino Linotype" w:cs="Palatino Linotype" w:eastAsia="Palatino Linotype" w:hAnsi="Palatino Linotype"/>
        </w:rPr>
      </w:pPr>
      <w:bookmarkStart w:colFirst="0" w:colLast="0" w:name="_heading=h.gjdgxs" w:id="5"/>
      <w:bookmarkEnd w:id="5"/>
      <w:r w:rsidDel="00000000" w:rsidR="00000000" w:rsidRPr="00000000">
        <w:rPr>
          <w:rFonts w:ascii="Palatino Linotype" w:cs="Palatino Linotype" w:eastAsia="Palatino Linotype" w:hAnsi="Palatino Linotype"/>
          <w:b w:val="1"/>
          <w:bCs w:val="1"/>
          <w:rtl w:val="0"/>
        </w:rPr>
        <w:t xml:space="preserve">3. Interposición de los recursos de revisión. </w:t>
      </w:r>
      <w:r w:rsidDel="00000000" w:rsidR="00000000" w:rsidRPr="00000000">
        <w:rPr>
          <w:rFonts w:ascii="Palatino Linotype" w:cs="Palatino Linotype" w:eastAsia="Palatino Linotype" w:hAnsi="Palatino Linotype"/>
          <w:rtl w:val="0"/>
        </w:rPr>
        <w:t xml:space="preserve">Inconforme la persona solicitante con las respuestas emitidas por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a sus solicitudes, el </w:t>
      </w:r>
      <w:r w:rsidDel="00000000" w:rsidR="00000000" w:rsidRPr="00000000">
        <w:rPr>
          <w:rFonts w:ascii="Palatino Linotype" w:cs="Palatino Linotype" w:eastAsia="Palatino Linotype" w:hAnsi="Palatino Linotype"/>
          <w:b w:val="1"/>
          <w:bCs w:val="1"/>
          <w:rtl w:val="0"/>
        </w:rPr>
        <w:t xml:space="preserve">veintitrés de junio de dos mil veinticinco</w:t>
      </w:r>
      <w:r w:rsidDel="00000000" w:rsidR="00000000" w:rsidRPr="00000000">
        <w:rPr>
          <w:rFonts w:ascii="Palatino Linotype" w:cs="Palatino Linotype" w:eastAsia="Palatino Linotype" w:hAnsi="Palatino Linotype"/>
          <w:rtl w:val="0"/>
        </w:rPr>
        <w:t xml:space="preserve">, interpuso los recursos de revisión a través del SAIMEX, en donde se manifestó de la siguiente manera:</w:t>
      </w:r>
    </w:p>
    <w:tbl>
      <w:tblPr>
        <w:tblStyle w:val="Table3"/>
        <w:tblW w:w="878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2977"/>
        <w:gridCol w:w="2835"/>
        <w:tblGridChange w:id="0">
          <w:tblGrid>
            <w:gridCol w:w="2972"/>
            <w:gridCol w:w="2977"/>
            <w:gridCol w:w="2835"/>
          </w:tblGrid>
        </w:tblGridChange>
      </w:tblGrid>
      <w:tr>
        <w:trPr>
          <w:cantSplit w:val="0"/>
          <w:tblHeader w:val="0"/>
        </w:trPr>
        <w:tc>
          <w:tcPr>
            <w:shd w:fill="bfbfbf" w:val="clear"/>
          </w:tcPr>
          <w:p w:rsidR="00000000" w:rsidDel="00000000" w:rsidP="00000000" w:rsidRDefault="00000000" w:rsidRPr="00000000" w14:paraId="00000026">
            <w:pPr>
              <w:spacing w:after="120" w:before="120" w:line="24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Recurso de Revisión</w:t>
            </w:r>
          </w:p>
        </w:tc>
        <w:tc>
          <w:tcPr>
            <w:shd w:fill="bfbfbf" w:val="clear"/>
          </w:tcPr>
          <w:p w:rsidR="00000000" w:rsidDel="00000000" w:rsidP="00000000" w:rsidRDefault="00000000" w:rsidRPr="00000000" w14:paraId="00000027">
            <w:pPr>
              <w:spacing w:after="120" w:before="120" w:line="24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Acto impugnado</w:t>
            </w:r>
          </w:p>
        </w:tc>
        <w:tc>
          <w:tcPr>
            <w:shd w:fill="bfbfbf" w:val="clear"/>
          </w:tcPr>
          <w:p w:rsidR="00000000" w:rsidDel="00000000" w:rsidP="00000000" w:rsidRDefault="00000000" w:rsidRPr="00000000" w14:paraId="00000028">
            <w:pPr>
              <w:spacing w:after="120" w:before="120" w:line="24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Razones o Motivos de Inconformidad</w:t>
            </w:r>
          </w:p>
        </w:tc>
      </w:tr>
      <w:tr>
        <w:trPr>
          <w:cantSplit w:val="0"/>
          <w:tblHeader w:val="0"/>
        </w:trPr>
        <w:tc>
          <w:tcPr>
            <w:vAlign w:val="center"/>
          </w:tcPr>
          <w:p w:rsidR="00000000" w:rsidDel="00000000" w:rsidP="00000000" w:rsidRDefault="00000000" w:rsidRPr="00000000" w14:paraId="00000029">
            <w:pPr>
              <w:spacing w:after="120" w:before="120" w:line="24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02711/TOLUCA/IP/2025</w:t>
            </w:r>
          </w:p>
          <w:p w:rsidR="00000000" w:rsidDel="00000000" w:rsidP="00000000" w:rsidRDefault="00000000" w:rsidRPr="00000000" w14:paraId="0000002A">
            <w:pPr>
              <w:spacing w:after="120" w:before="120" w:line="24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07664/INFOEM/IP/RR/2025</w:t>
            </w:r>
          </w:p>
        </w:tc>
        <w:tc>
          <w:tcPr/>
          <w:p w:rsidR="00000000" w:rsidDel="00000000" w:rsidP="00000000" w:rsidRDefault="00000000" w:rsidRPr="00000000" w14:paraId="0000002B">
            <w:pPr>
              <w:spacing w:after="120" w:before="120" w:line="24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“El Sujeto obligado es opaco y oculta información su unidad de transparencia deficiente por permitirlo” (sic)</w:t>
            </w:r>
          </w:p>
        </w:tc>
        <w:tc>
          <w:tcPr/>
          <w:p w:rsidR="00000000" w:rsidDel="00000000" w:rsidP="00000000" w:rsidRDefault="00000000" w:rsidRPr="00000000" w14:paraId="0000002C">
            <w:pPr>
              <w:spacing w:after="120" w:before="120" w:line="24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“no se entrega la informaicón completa se tapan datos y no se hace una versión correcta y no se entrega el acta que se entregu en los terminos correspondientes y que dice la ley” (sic)</w:t>
            </w:r>
          </w:p>
        </w:tc>
      </w:tr>
      <w:tr>
        <w:trPr>
          <w:cantSplit w:val="0"/>
          <w:tblHeader w:val="0"/>
        </w:trPr>
        <w:tc>
          <w:tcPr>
            <w:vAlign w:val="center"/>
          </w:tcPr>
          <w:p w:rsidR="00000000" w:rsidDel="00000000" w:rsidP="00000000" w:rsidRDefault="00000000" w:rsidRPr="00000000" w14:paraId="0000002D">
            <w:pPr>
              <w:spacing w:after="120" w:before="120" w:line="24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02713/TOLUCA/IP/2025</w:t>
            </w:r>
          </w:p>
          <w:p w:rsidR="00000000" w:rsidDel="00000000" w:rsidP="00000000" w:rsidRDefault="00000000" w:rsidRPr="00000000" w14:paraId="0000002E">
            <w:pPr>
              <w:spacing w:after="120" w:before="120" w:line="240" w:lineRule="auto"/>
              <w:jc w:val="center"/>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rtl w:val="0"/>
              </w:rPr>
              <w:t xml:space="preserve">07667/INFOEM/IP/RR/2025</w:t>
            </w:r>
            <w:r w:rsidDel="00000000" w:rsidR="00000000" w:rsidRPr="00000000">
              <w:rPr>
                <w:rtl w:val="0"/>
              </w:rPr>
            </w:r>
          </w:p>
        </w:tc>
        <w:tc>
          <w:tcPr/>
          <w:p w:rsidR="00000000" w:rsidDel="00000000" w:rsidP="00000000" w:rsidRDefault="00000000" w:rsidRPr="00000000" w14:paraId="0000002F">
            <w:pPr>
              <w:spacing w:after="120" w:before="120" w:line="24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“El Sujeto obligado es opaco y oculta información su unidad de transparencia deficiente por permitirlo” (sic)</w:t>
            </w:r>
          </w:p>
        </w:tc>
        <w:tc>
          <w:tcPr/>
          <w:p w:rsidR="00000000" w:rsidDel="00000000" w:rsidP="00000000" w:rsidRDefault="00000000" w:rsidRPr="00000000" w14:paraId="00000030">
            <w:pPr>
              <w:spacing w:after="120" w:before="120" w:line="24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“no se entrega la información completa se tapan datos y no se hace una versión correcta y no se entrega el acta que se entregue en los términos correspondientes y que dice la ley” (sic)</w:t>
            </w:r>
          </w:p>
        </w:tc>
      </w:tr>
    </w:tbl>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284"/>
        </w:tabs>
        <w:spacing w:after="240" w:before="240"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4. Turno.</w:t>
      </w:r>
      <w:r w:rsidDel="00000000" w:rsidR="00000000" w:rsidRPr="00000000">
        <w:rPr>
          <w:rFonts w:ascii="Palatino Linotype" w:cs="Palatino Linotype" w:eastAsia="Palatino Linotype" w:hAnsi="Palatino Linotype"/>
          <w:rtl w:val="0"/>
        </w:rPr>
        <w:t xml:space="preserve"> De conformidad con el artículo 185, fracción I de la Ley Transparencia y Acceso a la Información Pública del Estado de México y Municipios, los recursos de revisión fueron turnados a las Comisionadas </w:t>
      </w:r>
      <w:r w:rsidDel="00000000" w:rsidR="00000000" w:rsidRPr="00000000">
        <w:rPr>
          <w:rFonts w:ascii="Palatino Linotype" w:cs="Palatino Linotype" w:eastAsia="Palatino Linotype" w:hAnsi="Palatino Linotype"/>
          <w:b w:val="1"/>
          <w:bCs w:val="1"/>
          <w:rtl w:val="0"/>
        </w:rPr>
        <w:t xml:space="preserve">Guadalupe Ramírez Peña</w:t>
      </w:r>
      <w:r w:rsidDel="00000000" w:rsidR="00000000" w:rsidRPr="00000000">
        <w:rPr>
          <w:rFonts w:ascii="Palatino Linotype" w:cs="Palatino Linotype" w:eastAsia="Palatino Linotype" w:hAnsi="Palatino Linotype"/>
          <w:rtl w:val="0"/>
        </w:rPr>
        <w:t xml:space="preserve"> y</w:t>
      </w:r>
      <w:r w:rsidDel="00000000" w:rsidR="00000000" w:rsidRPr="00000000">
        <w:rPr>
          <w:rFonts w:ascii="Palatino Linotype" w:cs="Palatino Linotype" w:eastAsia="Palatino Linotype" w:hAnsi="Palatino Linotype"/>
          <w:b w:val="1"/>
          <w:bCs w:val="1"/>
          <w:rtl w:val="0"/>
        </w:rPr>
        <w:t xml:space="preserve"> Sharon Cristina Morales Martínez, </w:t>
      </w:r>
      <w:r w:rsidDel="00000000" w:rsidR="00000000" w:rsidRPr="00000000">
        <w:rPr>
          <w:rFonts w:ascii="Palatino Linotype" w:cs="Palatino Linotype" w:eastAsia="Palatino Linotype" w:hAnsi="Palatino Linotype"/>
          <w:rtl w:val="0"/>
        </w:rPr>
        <w:t xml:space="preserve">a efecto de presentar al Pleno los proyectos de resolución correspondientes.</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284"/>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5. Admisión de los Recursos de Revisión.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bCs w:val="1"/>
          <w:rtl w:val="0"/>
        </w:rPr>
        <w:t xml:space="preserve">veinticuatro y veintiséis de junio de dos mil veinticinco,</w:t>
      </w:r>
      <w:r w:rsidDel="00000000" w:rsidR="00000000" w:rsidRPr="00000000">
        <w:rPr>
          <w:rFonts w:ascii="Palatino Linotype" w:cs="Palatino Linotype" w:eastAsia="Palatino Linotype" w:hAnsi="Palatino Linotype"/>
          <w:rtl w:val="0"/>
        </w:rPr>
        <w:t xml:space="preserve"> en términos de lo dispuesto en el artículo 185 fracciones I, II y IV de la Ley de Transparencia y Acceso a la Información Pública del Estado de México y Municipios, se admitieron a trámite los recursos de revisión.</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284"/>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6</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Manifestaciones. </w:t>
      </w:r>
      <w:r w:rsidDel="00000000" w:rsidR="00000000" w:rsidRPr="00000000">
        <w:rPr>
          <w:rFonts w:ascii="Palatino Linotype" w:cs="Palatino Linotype" w:eastAsia="Palatino Linotype" w:hAnsi="Palatino Linotype"/>
          <w:rtl w:val="0"/>
        </w:rPr>
        <w:t xml:space="preserve">El</w:t>
      </w:r>
      <w:r w:rsidDel="00000000" w:rsidR="00000000" w:rsidRPr="00000000">
        <w:rPr>
          <w:rFonts w:ascii="Palatino Linotype" w:cs="Palatino Linotype" w:eastAsia="Palatino Linotype" w:hAnsi="Palatino Linotype"/>
          <w:b w:val="1"/>
          <w:bCs w:val="1"/>
          <w:rtl w:val="0"/>
        </w:rPr>
        <w:t xml:space="preserve"> tres y cuatro de julio de dos mil veinticinco</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bCs w:val="1"/>
          <w:rtl w:val="0"/>
        </w:rPr>
        <w:t xml:space="preserve"> Sujeto Obligado </w:t>
      </w:r>
      <w:r w:rsidDel="00000000" w:rsidR="00000000" w:rsidRPr="00000000">
        <w:rPr>
          <w:rFonts w:ascii="Palatino Linotype" w:cs="Palatino Linotype" w:eastAsia="Palatino Linotype" w:hAnsi="Palatino Linotype"/>
          <w:rtl w:val="0"/>
        </w:rPr>
        <w:t xml:space="preserve">remitió, a través de SAIMEX sus informes justificados, mediante los cuales ratificó en lo sustancial las respuestas emitidas en primera instancia por la Sindicatura.</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Anexos: oficios 301/1461/2025 y 301/1462/2025, mediante el cual la Primera Sindico manifestó que se dio contestación en tiempo y forma, asimismo, informó que cada testado fue hecho para la protección de datos personales que de ser entregados vulnerarían la integridad de las personas.</w:t>
        <w:tab/>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analizada la información, se hizo del conocimiento de la parte </w:t>
      </w:r>
      <w:r w:rsidDel="00000000" w:rsidR="00000000" w:rsidRPr="00000000">
        <w:rPr>
          <w:rFonts w:ascii="Palatino Linotype" w:cs="Palatino Linotype" w:eastAsia="Palatino Linotype" w:hAnsi="Palatino Linotype"/>
          <w:b w:val="1"/>
          <w:bCs w:val="1"/>
          <w:rtl w:val="0"/>
        </w:rPr>
        <w:t xml:space="preserve">Recurrente </w:t>
      </w:r>
      <w:r w:rsidDel="00000000" w:rsidR="00000000" w:rsidRPr="00000000">
        <w:rPr>
          <w:rFonts w:ascii="Palatino Linotype" w:cs="Palatino Linotype" w:eastAsia="Palatino Linotype" w:hAnsi="Palatino Linotype"/>
          <w:rtl w:val="0"/>
        </w:rPr>
        <w:t xml:space="preserve">con la finalidad de que manifestara lo que a su derecho estimara conveniente, sin embargo, fue omisa en ejercer dicha prerrogativa.</w:t>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leader="none" w:pos="426"/>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7. Acumulación de los recursos de revisión. </w:t>
      </w:r>
      <w:r w:rsidDel="00000000" w:rsidR="00000000" w:rsidRPr="00000000">
        <w:rPr>
          <w:rFonts w:ascii="Palatino Linotype" w:cs="Palatino Linotype" w:eastAsia="Palatino Linotype" w:hAnsi="Palatino Linotype"/>
          <w:rtl w:val="0"/>
        </w:rPr>
        <w:t xml:space="preserve">Al respecto cabe señalar, que el Pleno de este Instituto, mediante acuerdo de fecha </w:t>
      </w:r>
      <w:r w:rsidDel="00000000" w:rsidR="00000000" w:rsidRPr="00000000">
        <w:rPr>
          <w:rFonts w:ascii="Palatino Linotype" w:cs="Palatino Linotype" w:eastAsia="Palatino Linotype" w:hAnsi="Palatino Linotype"/>
          <w:b w:val="1"/>
          <w:bCs w:val="1"/>
          <w:rtl w:val="0"/>
        </w:rPr>
        <w:t xml:space="preserve">ocho de julio de dos mil veinticinco,</w:t>
      </w:r>
      <w:r w:rsidDel="00000000" w:rsidR="00000000" w:rsidRPr="00000000">
        <w:rPr>
          <w:rFonts w:ascii="Palatino Linotype" w:cs="Palatino Linotype" w:eastAsia="Palatino Linotype" w:hAnsi="Palatino Linotype"/>
          <w:rtl w:val="0"/>
        </w:rPr>
        <w:t xml:space="preserve"> ordenó la acumulación de los expedientes citados, a efecto de que la </w:t>
      </w:r>
      <w:r w:rsidDel="00000000" w:rsidR="00000000" w:rsidRPr="00000000">
        <w:rPr>
          <w:rFonts w:ascii="Palatino Linotype" w:cs="Palatino Linotype" w:eastAsia="Palatino Linotype" w:hAnsi="Palatino Linotype"/>
          <w:b w:val="1"/>
          <w:bCs w:val="1"/>
          <w:rtl w:val="0"/>
        </w:rPr>
        <w:t xml:space="preserve">Comisionada Guadalupe Ramírez Peña </w:t>
      </w:r>
      <w:r w:rsidDel="00000000" w:rsidR="00000000" w:rsidRPr="00000000">
        <w:rPr>
          <w:rFonts w:ascii="Palatino Linotype" w:cs="Palatino Linotype" w:eastAsia="Palatino Linotype" w:hAnsi="Palatino Linotype"/>
          <w:rtl w:val="0"/>
        </w:rPr>
        <w:t xml:space="preserve">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120" w:before="120" w:line="24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Código de Procedimientos Administrativos del Estado de México</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120" w:before="120" w:line="24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“Artículo 18.-</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La autoridad administrativa o el Tribunal acordarán la acumulación de los expedientes del procedimiento y proceso administrativo que ante ellos se sigan, de oficio</w:t>
      </w:r>
      <w:r w:rsidDel="00000000" w:rsidR="00000000" w:rsidRPr="00000000">
        <w:rPr>
          <w:rFonts w:ascii="Palatino Linotype" w:cs="Palatino Linotype" w:eastAsia="Palatino Linotype" w:hAnsi="Palatino Linotype"/>
          <w:i w:val="1"/>
          <w:iCs w:val="1"/>
          <w:rtl w:val="0"/>
        </w:rPr>
        <w:t xml:space="preserve"> o a petición de parte, </w:t>
      </w:r>
      <w:r w:rsidDel="00000000" w:rsidR="00000000" w:rsidRPr="00000000">
        <w:rPr>
          <w:rFonts w:ascii="Palatino Linotype" w:cs="Palatino Linotype" w:eastAsia="Palatino Linotype" w:hAnsi="Palatino Linotype"/>
          <w:b w:val="1"/>
          <w:bCs w:val="1"/>
          <w:i w:val="1"/>
          <w:iCs w:val="1"/>
          <w:rtl w:val="0"/>
        </w:rPr>
        <w:t xml:space="preserve">cuando las partes</w:t>
      </w:r>
      <w:r w:rsidDel="00000000" w:rsidR="00000000" w:rsidRPr="00000000">
        <w:rPr>
          <w:rFonts w:ascii="Palatino Linotype" w:cs="Palatino Linotype" w:eastAsia="Palatino Linotype" w:hAnsi="Palatino Linotype"/>
          <w:i w:val="1"/>
          <w:iCs w:val="1"/>
          <w:rtl w:val="0"/>
        </w:rPr>
        <w:t xml:space="preserve"> o los actos administrativos sean iguales, se trate de actos conexos o </w:t>
      </w:r>
      <w:r w:rsidDel="00000000" w:rsidR="00000000" w:rsidRPr="00000000">
        <w:rPr>
          <w:rFonts w:ascii="Palatino Linotype" w:cs="Palatino Linotype" w:eastAsia="Palatino Linotype" w:hAnsi="Palatino Linotype"/>
          <w:b w:val="1"/>
          <w:bCs w:val="1"/>
          <w:i w:val="1"/>
          <w:iCs w:val="1"/>
          <w:rtl w:val="0"/>
        </w:rPr>
        <w:t xml:space="preserve">resulte conveniente el trámite unificado de los asuntos, para evitar la emisión de resoluciones contradictorias</w:t>
      </w:r>
      <w:r w:rsidDel="00000000" w:rsidR="00000000" w:rsidRPr="00000000">
        <w:rPr>
          <w:rFonts w:ascii="Palatino Linotype" w:cs="Palatino Linotype" w:eastAsia="Palatino Linotype" w:hAnsi="Palatino Linotype"/>
          <w:i w:val="1"/>
          <w:iCs w:val="1"/>
          <w:rtl w:val="0"/>
        </w:rPr>
        <w:t xml:space="preserve">. La misma regla se aplicará, en lo conducente, para la separación de los expedientes.”</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120" w:before="120" w:line="24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120" w:before="120" w:line="24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“Artículo 195.-</w:t>
      </w:r>
      <w:r w:rsidDel="00000000" w:rsidR="00000000" w:rsidRPr="00000000">
        <w:rPr>
          <w:rFonts w:ascii="Palatino Linotype" w:cs="Palatino Linotype" w:eastAsia="Palatino Linotype" w:hAnsi="Palatino Linotype"/>
          <w:i w:val="1"/>
          <w:iCs w:val="1"/>
          <w:rtl w:val="0"/>
        </w:rPr>
        <w:t xml:space="preserve"> En la tramitación del recurso de revisión se aplicará supletoriamente las disposiciones contenidas en el Código de Procedimientos Administrativos del Estado de México.”</w:t>
      </w:r>
      <w:r w:rsidDel="00000000" w:rsidR="00000000" w:rsidRPr="00000000">
        <w:rPr>
          <w:rtl w:val="0"/>
        </w:rPr>
      </w:r>
    </w:p>
    <w:p w:rsidR="00000000" w:rsidDel="00000000" w:rsidP="00000000" w:rsidRDefault="00000000" w:rsidRPr="00000000" w14:paraId="0000003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Durante la sustanciación de los medios de impugnación citados se advirtió que los mismos fueron interpuestos por la misma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ante el mismo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razón por la cual, la Comisionada Ponente consideró que resultaba conveniente su acumulación a efecto de que formulara y presentara el proyecto de resolución correspondiente.</w:t>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8. Cierre de Instrucción.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bCs w:val="1"/>
          <w:rtl w:val="0"/>
        </w:rPr>
        <w:t xml:space="preserve">ocho de octubre de dos mil veinticinco</w:t>
      </w:r>
      <w:r w:rsidDel="00000000" w:rsidR="00000000" w:rsidRPr="00000000">
        <w:rPr>
          <w:rFonts w:ascii="Palatino Linotype" w:cs="Palatino Linotype" w:eastAsia="Palatino Linotype" w:hAnsi="Palatino Linotype"/>
          <w:rtl w:val="0"/>
        </w:rPr>
        <w:t xml:space="preserve">, con fundamento en lo establecido en el artículo 185, fracción VI de la Ley de Transparencia y Acceso a la Información Pública del Estado de México y Municipios, al no existir trámite pendiente por realizar y haber sido sustanciados medios de impugnación se acordó el cierre de instrucción y se procede a formular la resolución que en derecho corresponda.</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9. Ampliación del término para resolver</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bCs w:val="1"/>
          <w:rtl w:val="0"/>
        </w:rPr>
        <w:t xml:space="preserve">ocho de octubre de dos mil veinticinco</w:t>
      </w:r>
      <w:r w:rsidDel="00000000" w:rsidR="00000000" w:rsidRPr="00000000">
        <w:rPr>
          <w:rFonts w:ascii="Palatino Linotype" w:cs="Palatino Linotype" w:eastAsia="Palatino Linotype" w:hAnsi="Palatino Linotype"/>
          <w:rtl w:val="0"/>
        </w:rPr>
        <w:t xml:space="preserve">, se amplió el término para resolver los recursos de revisión en términos del artículo 181 párrafo tercero de la Ley de Transparencia y Acceso a la Información Pública del Estado de México y Municipios.</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3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43">
      <w:pPr>
        <w:numPr>
          <w:ilvl w:val="0"/>
          <w:numId w:val="1"/>
        </w:numPr>
        <w:tabs>
          <w:tab w:val="left" w:leader="none" w:pos="567"/>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44">
      <w:pPr>
        <w:numPr>
          <w:ilvl w:val="0"/>
          <w:numId w:val="1"/>
        </w:numPr>
        <w:tabs>
          <w:tab w:val="left" w:leader="none" w:pos="567"/>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45">
      <w:pPr>
        <w:numPr>
          <w:ilvl w:val="0"/>
          <w:numId w:val="1"/>
        </w:numPr>
        <w:tabs>
          <w:tab w:val="left" w:leader="none" w:pos="567"/>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46">
      <w:pPr>
        <w:tabs>
          <w:tab w:val="left" w:leader="none" w:pos="567"/>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iCs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B">
      <w:pPr>
        <w:spacing w:after="120" w:before="120" w:line="24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4C">
      <w:pPr>
        <w:spacing w:after="120" w:before="120" w:line="24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II. C O N S I D E R A N D O S:</w:t>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5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5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recursos de revisión fueron interpuestos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las solicitudes de información el </w:t>
      </w:r>
      <w:r w:rsidDel="00000000" w:rsidR="00000000" w:rsidRPr="00000000">
        <w:rPr>
          <w:rFonts w:ascii="Palatino Linotype" w:cs="Palatino Linotype" w:eastAsia="Palatino Linotype" w:hAnsi="Palatino Linotype"/>
          <w:b w:val="1"/>
          <w:bCs w:val="1"/>
          <w:rtl w:val="0"/>
        </w:rPr>
        <w:t xml:space="preserve">dos de junio de dos mil veinticinco, </w:t>
      </w:r>
      <w:r w:rsidDel="00000000" w:rsidR="00000000" w:rsidRPr="00000000">
        <w:rPr>
          <w:rFonts w:ascii="Palatino Linotype" w:cs="Palatino Linotype" w:eastAsia="Palatino Linotype" w:hAnsi="Palatino Linotype"/>
          <w:rtl w:val="0"/>
        </w:rPr>
        <w:t xml:space="preserve">mientras que los recursos de revisión interpuestos por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se tuvieron por presentados el </w:t>
      </w:r>
      <w:r w:rsidDel="00000000" w:rsidR="00000000" w:rsidRPr="00000000">
        <w:rPr>
          <w:rFonts w:ascii="Palatino Linotype" w:cs="Palatino Linotype" w:eastAsia="Palatino Linotype" w:hAnsi="Palatino Linotype"/>
          <w:b w:val="1"/>
          <w:bCs w:val="1"/>
          <w:rtl w:val="0"/>
        </w:rPr>
        <w:t xml:space="preserve">veintitrés de junio de dos mil veinticinco,</w:t>
      </w:r>
      <w:r w:rsidDel="00000000" w:rsidR="00000000" w:rsidRPr="00000000">
        <w:rPr>
          <w:rFonts w:ascii="Palatino Linotype" w:cs="Palatino Linotype" w:eastAsia="Palatino Linotype" w:hAnsi="Palatino Linotype"/>
          <w:rtl w:val="0"/>
        </w:rPr>
        <w:t xml:space="preserve"> esto es al décimo quinto día hábil posterior a aquel en el que tuvo conocimiento de las respuestas impugnadas. En este sentido, se concluye que los presentes recursos de revisión se encuentran dentro de los márgenes temporales previstos en las disposiciones legales referidas.</w:t>
      </w:r>
    </w:p>
    <w:p w:rsidR="00000000" w:rsidDel="00000000" w:rsidP="00000000" w:rsidRDefault="00000000" w:rsidRPr="00000000" w14:paraId="00000054">
      <w:pPr>
        <w:tabs>
          <w:tab w:val="left" w:leader="none" w:pos="7938"/>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por cuanto hace a la procedibilidad de los recursos de revisión, una vez realizado el análisis del formato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 los recursos, según lo manifestado por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fracciones II y V del ordenamiento legal citado, que a la letra dice: </w:t>
      </w:r>
    </w:p>
    <w:p w:rsidR="00000000" w:rsidDel="00000000" w:rsidP="00000000" w:rsidRDefault="00000000" w:rsidRPr="00000000" w14:paraId="00000056">
      <w:pPr>
        <w:tabs>
          <w:tab w:val="left" w:leader="none" w:pos="7938"/>
        </w:tabs>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179.</w:t>
      </w:r>
      <w:r w:rsidDel="00000000" w:rsidR="00000000" w:rsidRPr="00000000">
        <w:rPr>
          <w:rFonts w:ascii="Palatino Linotype" w:cs="Palatino Linotype" w:eastAsia="Palatino Linotype" w:hAnsi="Palatino Linotype"/>
          <w:i w:val="1"/>
          <w:iCs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7">
      <w:pPr>
        <w:tabs>
          <w:tab w:val="left" w:leader="none" w:pos="7938"/>
        </w:tabs>
        <w:spacing w:after="120" w:before="120" w:line="240" w:lineRule="auto"/>
        <w:ind w:left="1134" w:right="900"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w:t>
      </w:r>
    </w:p>
    <w:p w:rsidR="00000000" w:rsidDel="00000000" w:rsidP="00000000" w:rsidRDefault="00000000" w:rsidRPr="00000000" w14:paraId="00000058">
      <w:pPr>
        <w:tabs>
          <w:tab w:val="left" w:leader="none" w:pos="7938"/>
        </w:tabs>
        <w:spacing w:after="120" w:before="120" w:line="240" w:lineRule="auto"/>
        <w:ind w:left="1134"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w:t>
      </w:r>
      <w:r w:rsidDel="00000000" w:rsidR="00000000" w:rsidRPr="00000000">
        <w:rPr>
          <w:rFonts w:ascii="Palatino Linotype" w:cs="Palatino Linotype" w:eastAsia="Palatino Linotype" w:hAnsi="Palatino Linotype"/>
          <w:i w:val="1"/>
          <w:iCs w:val="1"/>
          <w:rtl w:val="0"/>
        </w:rPr>
        <w:t xml:space="preserve"> La clasificación de la información;</w:t>
      </w:r>
    </w:p>
    <w:p w:rsidR="00000000" w:rsidDel="00000000" w:rsidP="00000000" w:rsidRDefault="00000000" w:rsidRPr="00000000" w14:paraId="00000059">
      <w:pPr>
        <w:tabs>
          <w:tab w:val="left" w:leader="none" w:pos="7938"/>
        </w:tabs>
        <w:spacing w:after="120" w:before="120" w:line="240" w:lineRule="auto"/>
        <w:ind w:left="1134" w:right="900"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05A">
      <w:pPr>
        <w:tabs>
          <w:tab w:val="left" w:leader="none" w:pos="7938"/>
        </w:tabs>
        <w:spacing w:after="120" w:before="120" w:line="240" w:lineRule="auto"/>
        <w:ind w:left="1134"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V</w:t>
      </w:r>
      <w:r w:rsidDel="00000000" w:rsidR="00000000" w:rsidRPr="00000000">
        <w:rPr>
          <w:rFonts w:ascii="Palatino Linotype" w:cs="Palatino Linotype" w:eastAsia="Palatino Linotype" w:hAnsi="Palatino Linotype"/>
          <w:i w:val="1"/>
          <w:iCs w:val="1"/>
          <w:rtl w:val="0"/>
        </w:rPr>
        <w:t xml:space="preserve">. La entrega de información incompleta;”</w:t>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los expedientes electrónicos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bCs w:val="1"/>
          <w:rtl w:val="0"/>
        </w:rPr>
        <w:t xml:space="preserve">verificar si la información proporcionada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r w:rsidDel="00000000" w:rsidR="00000000" w:rsidRPr="00000000">
        <w:rPr>
          <w:rtl w:val="0"/>
        </w:rPr>
      </w:r>
    </w:p>
    <w:p w:rsidR="00000000" w:rsidDel="00000000" w:rsidP="00000000" w:rsidRDefault="00000000" w:rsidRPr="00000000" w14:paraId="0000005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Cuarto. Estudio del asunto. </w:t>
      </w:r>
      <w:r w:rsidDel="00000000" w:rsidR="00000000" w:rsidRPr="00000000">
        <w:rPr>
          <w:rFonts w:ascii="Palatino Linotype" w:cs="Palatino Linotype" w:eastAsia="Palatino Linotype" w:hAnsi="Palatino Linotype"/>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5D">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4</w:t>
      </w:r>
      <w:r w:rsidDel="00000000" w:rsidR="00000000" w:rsidRPr="00000000">
        <w:rPr>
          <w:rFonts w:ascii="Palatino Linotype" w:cs="Palatino Linotype" w:eastAsia="Palatino Linotype" w:hAnsi="Palatino Linotype"/>
          <w:i w:val="1"/>
          <w:iCs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E">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iCs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F">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6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61">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12.-</w:t>
      </w:r>
      <w:r w:rsidDel="00000000" w:rsidR="00000000" w:rsidRPr="00000000">
        <w:rPr>
          <w:rFonts w:ascii="Palatino Linotype" w:cs="Palatino Linotype" w:eastAsia="Palatino Linotype" w:hAnsi="Palatino Linotype"/>
          <w:i w:val="1"/>
          <w:iCs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2">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tl w:val="0"/>
        </w:rPr>
      </w:r>
    </w:p>
    <w:p w:rsidR="00000000" w:rsidDel="00000000" w:rsidP="00000000" w:rsidRDefault="00000000" w:rsidRPr="00000000" w14:paraId="00000063">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64">
      <w:pPr>
        <w:spacing w:after="240" w:before="240"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Sirve de apoyo a lo anterior, el criterio orientador con clave de control SO/003/2017, emitido por el entonces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bCs w:val="1"/>
          <w:rtl w:val="0"/>
        </w:rPr>
        <w:t xml:space="preserve"> </w:t>
      </w:r>
    </w:p>
    <w:p w:rsidR="00000000" w:rsidDel="00000000" w:rsidP="00000000" w:rsidRDefault="00000000" w:rsidRPr="00000000" w14:paraId="00000065">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iCs w:val="1"/>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8">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3. </w:t>
      </w:r>
      <w:r w:rsidDel="00000000" w:rsidR="00000000" w:rsidRPr="00000000">
        <w:rPr>
          <w:rFonts w:ascii="Palatino Linotype" w:cs="Palatino Linotype" w:eastAsia="Palatino Linotype" w:hAnsi="Palatino Linotype"/>
          <w:i w:val="1"/>
          <w:iCs w:val="1"/>
          <w:rtl w:val="0"/>
        </w:rPr>
        <w:t xml:space="preserve">Para los efectos de la presente Ley se entenderá por:</w:t>
      </w:r>
    </w:p>
    <w:p w:rsidR="00000000" w:rsidDel="00000000" w:rsidP="00000000" w:rsidRDefault="00000000" w:rsidRPr="00000000" w14:paraId="00000069">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6A">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XI. Documento:</w:t>
      </w:r>
      <w:r w:rsidDel="00000000" w:rsidR="00000000" w:rsidRPr="00000000">
        <w:rPr>
          <w:rFonts w:ascii="Palatino Linotype" w:cs="Palatino Linotype" w:eastAsia="Palatino Linotype" w:hAnsi="Palatino Linotype"/>
          <w:i w:val="1"/>
          <w:iCs w:val="1"/>
          <w:rtl w:val="0"/>
        </w:rPr>
        <w:t xml:space="preserve"> Los expedientes, reportes, estudios, actas</w:t>
      </w:r>
      <w:r w:rsidDel="00000000" w:rsidR="00000000" w:rsidRPr="00000000">
        <w:rPr>
          <w:rFonts w:ascii="Palatino Linotype" w:cs="Palatino Linotype" w:eastAsia="Palatino Linotype" w:hAnsi="Palatino Linotype"/>
          <w:b w:val="1"/>
          <w:bCs w:val="1"/>
          <w:i w:val="1"/>
          <w:iCs w:val="1"/>
          <w:rtl w:val="0"/>
        </w:rPr>
        <w:t xml:space="preserve">,</w:t>
      </w:r>
      <w:r w:rsidDel="00000000" w:rsidR="00000000" w:rsidRPr="00000000">
        <w:rPr>
          <w:rFonts w:ascii="Palatino Linotype" w:cs="Palatino Linotype" w:eastAsia="Palatino Linotype" w:hAnsi="Palatino Linotype"/>
          <w:i w:val="1"/>
          <w:iCs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6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C">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6D">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consecuencia el acceso a la información se refiere a que se cumplan cualquiera de los siguientes tres supuestos:</w:t>
      </w:r>
    </w:p>
    <w:p w:rsidR="00000000" w:rsidDel="00000000" w:rsidP="00000000" w:rsidRDefault="00000000" w:rsidRPr="00000000" w14:paraId="0000006E">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6F">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0">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71">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73">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de las solicitudes de información, motivo de los recursos de revisión que ahora se resuelven, se advierte que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74">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Oficios firmados y recibidos por la Primera Síndico Municipal del 01 de enero al 09 de mayo de 2025.</w:t>
      </w:r>
    </w:p>
    <w:p w:rsidR="00000000" w:rsidDel="00000000" w:rsidP="00000000" w:rsidRDefault="00000000" w:rsidRPr="00000000" w14:paraId="0000007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respuesta a las solicitudes de información,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por conducto de la Primera Sindico hizo entrega de diversos oficios emitidos y recibidos en la dependencia a su cargo del uno de enero al nueve de mayo de dos mil veinticinco, testados.</w:t>
      </w:r>
    </w:p>
    <w:p w:rsidR="00000000" w:rsidDel="00000000" w:rsidP="00000000" w:rsidRDefault="00000000" w:rsidRPr="00000000" w14:paraId="0000007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al no estar conforme con los términos de la respuesta proporcionada, la parte </w:t>
      </w:r>
      <w:r w:rsidDel="00000000" w:rsidR="00000000" w:rsidRPr="00000000">
        <w:rPr>
          <w:rFonts w:ascii="Palatino Linotype" w:cs="Palatino Linotype" w:eastAsia="Palatino Linotype" w:hAnsi="Palatino Linotype"/>
          <w:b w:val="1"/>
          <w:bCs w:val="1"/>
          <w:rtl w:val="0"/>
        </w:rPr>
        <w:t xml:space="preserve">Recurrente </w:t>
      </w:r>
      <w:r w:rsidDel="00000000" w:rsidR="00000000" w:rsidRPr="00000000">
        <w:rPr>
          <w:rFonts w:ascii="Palatino Linotype" w:cs="Palatino Linotype" w:eastAsia="Palatino Linotype" w:hAnsi="Palatino Linotype"/>
          <w:rtl w:val="0"/>
        </w:rPr>
        <w:t xml:space="preserve">presentó el recurso de revisión que nos ocupa, donde señaló como motivo de inconformidad que se hizo entrega la información incompleta, además de haberse tapado datos, sin haber realizado la versión pública correcta y no haberse proporcionado el acta del Comité de Transparencia.</w:t>
      </w:r>
    </w:p>
    <w:p w:rsidR="00000000" w:rsidDel="00000000" w:rsidP="00000000" w:rsidRDefault="00000000" w:rsidRPr="00000000" w14:paraId="0000007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la etapa de manifestaciones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ratificó en lo sustancial la respuesta proporcionada en primera instancia, mientras que la parte </w:t>
      </w:r>
      <w:r w:rsidDel="00000000" w:rsidR="00000000" w:rsidRPr="00000000">
        <w:rPr>
          <w:rFonts w:ascii="Palatino Linotype" w:cs="Palatino Linotype" w:eastAsia="Palatino Linotype" w:hAnsi="Palatino Linotype"/>
          <w:b w:val="1"/>
          <w:bCs w:val="1"/>
          <w:rtl w:val="0"/>
        </w:rPr>
        <w:t xml:space="preserve">Recurrente, </w:t>
      </w:r>
      <w:r w:rsidDel="00000000" w:rsidR="00000000" w:rsidRPr="00000000">
        <w:rPr>
          <w:rFonts w:ascii="Palatino Linotype" w:cs="Palatino Linotype" w:eastAsia="Palatino Linotype" w:hAnsi="Palatino Linotype"/>
          <w:rtl w:val="0"/>
        </w:rPr>
        <w:t xml:space="preserve">fue omisa en hacer valer manifestaciones o rendir alegatos que conforme a derecho resultaran procedentes, por lo tanto, se tiene por precluido su derecho.</w:t>
      </w:r>
    </w:p>
    <w:p w:rsidR="00000000" w:rsidDel="00000000" w:rsidP="00000000" w:rsidRDefault="00000000" w:rsidRPr="00000000" w14:paraId="00000078">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establecidas las posturas de las partes, se procede al análisis del requerimiento de información combatido, así como la información proporcionada por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en contraposición con el motivo de inconformidad alegado por la parte </w:t>
      </w:r>
      <w:r w:rsidDel="00000000" w:rsidR="00000000" w:rsidRPr="00000000">
        <w:rPr>
          <w:rFonts w:ascii="Palatino Linotype" w:cs="Palatino Linotype" w:eastAsia="Palatino Linotype" w:hAnsi="Palatino Linotype"/>
          <w:b w:val="1"/>
          <w:bCs w:val="1"/>
          <w:rtl w:val="0"/>
        </w:rPr>
        <w:t xml:space="preserve">Recurrente, </w:t>
      </w:r>
      <w:r w:rsidDel="00000000" w:rsidR="00000000" w:rsidRPr="00000000">
        <w:rPr>
          <w:rFonts w:ascii="Palatino Linotype" w:cs="Palatino Linotype" w:eastAsia="Palatino Linotype" w:hAnsi="Palatino Linotype"/>
          <w:rtl w:val="0"/>
        </w:rPr>
        <w:t xml:space="preserve">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rsidR="00000000" w:rsidDel="00000000" w:rsidP="00000000" w:rsidRDefault="00000000" w:rsidRPr="00000000" w14:paraId="0000007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es oportuno mencionar que la solicitud fue atendida por la unidad administrativa que genera, administra y/o posee la información de mérito, siendo esta la Primera Sindicatura, al solicitarse los oficios emitidos y recibidos en dicha dependencia, por lo que se considera que en el presente asunto se cumplió el 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rsidR="00000000" w:rsidDel="00000000" w:rsidP="00000000" w:rsidRDefault="00000000" w:rsidRPr="00000000" w14:paraId="0000007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segundo lugar, es de recordar que la persona servidora pública habilitada competente, en atención a la solicitud, hizo entrega de diversos oficios emitidos y recibidos por la Primera Sindico, del uno de enero al nueve de mayo de dos mil veinticinco, en los cuales se testó información personal de conformidad con los acuerdos CT/SE/643/01/2025 y CT/SE/643/02/2025, del Acta Sexcentésima Cuadragésima Tercera Sesión Extraordinaria 2025 del Comité de Transparencia de fecha 26 de mayo 2025.</w:t>
      </w:r>
    </w:p>
    <w:p w:rsidR="00000000" w:rsidDel="00000000" w:rsidP="00000000" w:rsidRDefault="00000000" w:rsidRPr="00000000" w14:paraId="0000007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si bien la información entregada que se traduce en lo solicitado, debe decirse que de la revisión efectuada por este Organismo Garante, al soporte documental entregado en respuesta se concluyó que no es suficiente para tener por satisfechas las solicitudes de información por las siguientes razones:</w:t>
      </w:r>
    </w:p>
    <w:p w:rsidR="00000000" w:rsidDel="00000000" w:rsidP="00000000" w:rsidRDefault="00000000" w:rsidRPr="00000000" w14:paraId="0000007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Se advirtió que </w:t>
      </w:r>
      <w:r w:rsidDel="00000000" w:rsidR="00000000" w:rsidRPr="00000000">
        <w:rPr>
          <w:rFonts w:ascii="Palatino Linotype" w:cs="Palatino Linotype" w:eastAsia="Palatino Linotype" w:hAnsi="Palatino Linotype"/>
          <w:b w:val="1"/>
          <w:bCs w:val="1"/>
          <w:rtl w:val="0"/>
        </w:rPr>
        <w:t xml:space="preserve">los oficios emitidos</w:t>
      </w:r>
      <w:r w:rsidDel="00000000" w:rsidR="00000000" w:rsidRPr="00000000">
        <w:rPr>
          <w:rFonts w:ascii="Palatino Linotype" w:cs="Palatino Linotype" w:eastAsia="Palatino Linotype" w:hAnsi="Palatino Linotype"/>
          <w:rtl w:val="0"/>
        </w:rPr>
        <w:t xml:space="preserve"> por la Primera Sindico en el periodo solicitado no se entregaron completos, esto atendiendo al número consecutivo el cual va desde el 01/2025 emitido el siete de enero de dos mil veinticinco al 1046/2025, emitido el nueve de mayo de dos mil veinticinco, en virtud de que no se localizaron de manera enunciativa más no limitativa los oficios 053/2025, 074/2025, 075/2025, 110/2025, 111/2025, 112/2025, 121/2025, 127/2025, 145/2025, 238/2025, 274/2025, 290/2025, 293/2025, 295/2025, 298/2025, 301/2025, 302/2025, 427/2025, 443/2025, 484/2025, 500/2025, 526/2025, 536/2025, 545/2025, 561/2025, 562/2025, 589/2025, 608/2025, 609/2025, 652/2025, 663/2025, 664/2025, 665/2025, 677/2025, 683/2025, 684/2025, 685/2025, 687/2025, 702/2025, 703/2025, 708/2025, 712/2025, 721/2025, 722/2025, 723/2025, 724/2025, 725/2025, 726/2025, 739/2025, 769/2025, 770/2025, del 921/2025 al 936/2025, del 937/2025 al 965/2025, del 967/2025 al 984/2025, del 986/2025 al 1002/2025, 1004/2025, 1005/2025, del 1009/2025 al 1012/2025, del 1014/2025 al 1020/2025, del 1022/2025 al 1039/2025.</w:t>
      </w:r>
    </w:p>
    <w:p w:rsidR="00000000" w:rsidDel="00000000" w:rsidP="00000000" w:rsidRDefault="00000000" w:rsidRPr="00000000" w14:paraId="0000007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Algunos de los oficios entregados y recibidos en el periodo señalado se entregaron testados, no obstante, la eliminación de los datos no se encuentra fundada y motivada al haberse omitido la entrega del Acta Sexcentésima Cuadragésima Tercera Sesión Extraordinaria 2025 del Comité de Transparencia.</w:t>
      </w:r>
    </w:p>
    <w:p w:rsidR="00000000" w:rsidDel="00000000" w:rsidP="00000000" w:rsidRDefault="00000000" w:rsidRPr="00000000" w14:paraId="0000007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Además, se advirtió que se testaron datos cuya naturaleza es pública, al no corresponder  con alguno de los supuestos establecidos en los artículos 140 y 143 de la Ley de Transparencia y Acceso a la Información Pública del Estado de México y Municipios, de manera enunciativa más no limitativa: nombre y número de plaza de ex servidores públicos, nombre de servidores públicos sindicalizados asignados a alguna comisión, sueldo de servidores públicos, número de expedientes judiciales y administrativos, el número de folio boletas de infracción, número de folio de oficios, número de folio y texto de solicitudes de acceso a la información pública, número de folio de recursos de revisión, nombre de servidores públicos, número de circulares, entre otros.</w:t>
      </w:r>
    </w:p>
    <w:p w:rsidR="00000000" w:rsidDel="00000000" w:rsidP="00000000" w:rsidRDefault="00000000" w:rsidRPr="00000000" w14:paraId="0000007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Asimismo, se testaron diversos datos en los que se desconoce su naturaleza, al no poder advertir a que corresponden, como a continuación se ejemplifica:</w:t>
      </w:r>
    </w:p>
    <w:p w:rsidR="00000000" w:rsidDel="00000000" w:rsidP="00000000" w:rsidRDefault="00000000" w:rsidRPr="00000000" w14:paraId="0000008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595630"/>
            <wp:effectExtent b="0" l="0" r="0" t="0"/>
            <wp:docPr id="214310819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12130" cy="59563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442595"/>
            <wp:effectExtent b="0" l="0" r="0" t="0"/>
            <wp:docPr id="214310819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612130" cy="44259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debe decirse que por regla general, toda la información que generen, administren y/o posean los Sujetos Obligados, es considerada información pública, pues al ser entes que ejercen recursos públicos tienen la obligación de rendir cuentas y asumir responsabilidades ante los ciudadanos derivado del ejercicio de sus atribuciones, garantizando así el Derecho humano de acceso a la información pública, sin embargo, dicho derecho puede ser restringido de manera excepcional por razones de interés público, en los términos de las causas legítimas y estrictamente necesarias previstas por la Ley, como se desprende del artículo 91 de la Ley de Transparencia y Acceso a la Información Pública del Estado de México y Municipios, que es del tenor literal siguiente:</w:t>
      </w:r>
    </w:p>
    <w:p w:rsidR="00000000" w:rsidDel="00000000" w:rsidP="00000000" w:rsidRDefault="00000000" w:rsidRPr="00000000" w14:paraId="00000084">
      <w:pPr>
        <w:ind w:left="851"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91. </w:t>
      </w:r>
      <w:r w:rsidDel="00000000" w:rsidR="00000000" w:rsidRPr="00000000">
        <w:rPr>
          <w:rFonts w:ascii="Palatino Linotype" w:cs="Palatino Linotype" w:eastAsia="Palatino Linotype" w:hAnsi="Palatino Linotype"/>
          <w:i w:val="1"/>
          <w:iCs w:val="1"/>
          <w:rtl w:val="0"/>
        </w:rPr>
        <w:t xml:space="preserve">El acceso a la información pública será restringido  excepcionalmente, cuando ésta sea clasificada como reservada o confidencial.”</w:t>
      </w:r>
    </w:p>
    <w:p w:rsidR="00000000" w:rsidDel="00000000" w:rsidP="00000000" w:rsidRDefault="00000000" w:rsidRPr="00000000" w14:paraId="0000008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importante mencionar que la restricción al derecho de acceso a la información implica necesariamente una clasificación la cual debe entenderse como el proceso mediante el cual el Sujeto Obligado determina que la información en su poder, actualiza alguno de los supuestos de reserva o confidencialidad, de conformidad con las normas aplicables.</w:t>
      </w:r>
    </w:p>
    <w:p w:rsidR="00000000" w:rsidDel="00000000" w:rsidP="00000000" w:rsidRDefault="00000000" w:rsidRPr="00000000" w14:paraId="0000008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Debe decirse que la Ley de Transparencia y Acceso a la Información Pública del Estado de México y Municipios, define como </w:t>
      </w:r>
      <w:r w:rsidDel="00000000" w:rsidR="00000000" w:rsidRPr="00000000">
        <w:rPr>
          <w:rFonts w:ascii="Palatino Linotype" w:cs="Palatino Linotype" w:eastAsia="Palatino Linotype" w:hAnsi="Palatino Linotype"/>
          <w:b w:val="1"/>
          <w:bCs w:val="1"/>
          <w:rtl w:val="0"/>
        </w:rPr>
        <w:t xml:space="preserve">información reservada </w:t>
      </w:r>
      <w:r w:rsidDel="00000000" w:rsidR="00000000" w:rsidRPr="00000000">
        <w:rPr>
          <w:rFonts w:ascii="Palatino Linotype" w:cs="Palatino Linotype" w:eastAsia="Palatino Linotype" w:hAnsi="Palatino Linotype"/>
          <w:rtl w:val="0"/>
        </w:rPr>
        <w:t xml:space="preserve">a la información pública clasificada con este carácter de manera temporal por las disposiciones de la Ley de la Materia, cuya divulgación puede causar daños a las  seguridad pública, y como </w:t>
      </w:r>
      <w:r w:rsidDel="00000000" w:rsidR="00000000" w:rsidRPr="00000000">
        <w:rPr>
          <w:rFonts w:ascii="Palatino Linotype" w:cs="Palatino Linotype" w:eastAsia="Palatino Linotype" w:hAnsi="Palatino Linotype"/>
          <w:b w:val="1"/>
          <w:bCs w:val="1"/>
          <w:rtl w:val="0"/>
        </w:rPr>
        <w:t xml:space="preserve">información confidencial</w:t>
      </w:r>
      <w:r w:rsidDel="00000000" w:rsidR="00000000" w:rsidRPr="00000000">
        <w:rPr>
          <w:rFonts w:ascii="Palatino Linotype" w:cs="Palatino Linotype" w:eastAsia="Palatino Linotype" w:hAnsi="Palatino Linotype"/>
          <w:rtl w:val="0"/>
        </w:rPr>
        <w:t xml:space="preserve">, la relacionada con los secretos bancario, fiduciario, industrial, comercial, fiscal, bursátil y postal, cuya titularidad corresponda a particulares, sujetos de derecho internacional o sujetos obligados cuando no involucren el ejercicio de recursos públicos, así como la información privada contenida en documentos públicos o privados que refiera a la vida privada y/o los datos personales, que no son de acceso público. </w:t>
      </w:r>
    </w:p>
    <w:p w:rsidR="00000000" w:rsidDel="00000000" w:rsidP="00000000" w:rsidRDefault="00000000" w:rsidRPr="00000000" w14:paraId="0000008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refiere a la información clasificada como reservada, para que el acceso a la información pública pueda ser restringido, se deben actualizar los supuestos establecidos en el artículo 140 de la Ley de Transparencia y Acceso a la Información Pública del Estado de México y Municipios, que a la letra señala lo siguiente:</w:t>
      </w:r>
    </w:p>
    <w:p w:rsidR="00000000" w:rsidDel="00000000" w:rsidP="00000000" w:rsidRDefault="00000000" w:rsidRPr="00000000" w14:paraId="00000088">
      <w:pPr>
        <w:spacing w:after="120" w:before="12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140</w:t>
      </w:r>
      <w:r w:rsidDel="00000000" w:rsidR="00000000" w:rsidRPr="00000000">
        <w:rPr>
          <w:rFonts w:ascii="Palatino Linotype" w:cs="Palatino Linotype" w:eastAsia="Palatino Linotype" w:hAnsi="Palatino Linotype"/>
          <w:i w:val="1"/>
          <w:iCs w:val="1"/>
          <w:rtl w:val="0"/>
        </w:rPr>
        <w:t xml:space="preserve">. El acceso a la información pública será restringido excepcionalmente, cuando por razones de interés público, ésta sea clasificada como reservada, conforme a los criterios siguientes: </w:t>
      </w:r>
    </w:p>
    <w:p w:rsidR="00000000" w:rsidDel="00000000" w:rsidP="00000000" w:rsidRDefault="00000000" w:rsidRPr="00000000" w14:paraId="00000089">
      <w:pPr>
        <w:spacing w:after="120" w:before="120" w:lineRule="auto"/>
        <w:ind w:left="1134"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w:t>
      </w:r>
      <w:r w:rsidDel="00000000" w:rsidR="00000000" w:rsidRPr="00000000">
        <w:rPr>
          <w:rFonts w:ascii="Palatino Linotype" w:cs="Palatino Linotype" w:eastAsia="Palatino Linotype" w:hAnsi="Palatino Linotype"/>
          <w:i w:val="1"/>
          <w:iCs w:val="1"/>
          <w:rtl w:val="0"/>
        </w:rPr>
        <w:t xml:space="preserve">. Comprometa la seguridad pública y cuente con un propósito genuino y un efecto demostrable; </w:t>
      </w:r>
    </w:p>
    <w:p w:rsidR="00000000" w:rsidDel="00000000" w:rsidP="00000000" w:rsidRDefault="00000000" w:rsidRPr="00000000" w14:paraId="0000008A">
      <w:pPr>
        <w:spacing w:after="120" w:before="120" w:lineRule="auto"/>
        <w:ind w:left="1134"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w:t>
      </w:r>
      <w:r w:rsidDel="00000000" w:rsidR="00000000" w:rsidRPr="00000000">
        <w:rPr>
          <w:rFonts w:ascii="Palatino Linotype" w:cs="Palatino Linotype" w:eastAsia="Palatino Linotype" w:hAnsi="Palatino Linotype"/>
          <w:i w:val="1"/>
          <w:iCs w:val="1"/>
          <w:rtl w:val="0"/>
        </w:rPr>
        <w:t xml:space="preserve"> Pueda menoscabar la conducción de las negociaciones y relaciones internacionales; </w:t>
      </w:r>
    </w:p>
    <w:p w:rsidR="00000000" w:rsidDel="00000000" w:rsidP="00000000" w:rsidRDefault="00000000" w:rsidRPr="00000000" w14:paraId="0000008B">
      <w:pPr>
        <w:spacing w:after="120" w:before="120" w:lineRule="auto"/>
        <w:ind w:left="1134"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III.</w:t>
      </w:r>
      <w:r w:rsidDel="00000000" w:rsidR="00000000" w:rsidRPr="00000000">
        <w:rPr>
          <w:rFonts w:ascii="Palatino Linotype" w:cs="Palatino Linotype" w:eastAsia="Palatino Linotype" w:hAnsi="Palatino Linotype"/>
          <w:i w:val="1"/>
          <w:iCs w:val="1"/>
          <w:rtl w:val="0"/>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000000" w:rsidDel="00000000" w:rsidP="00000000" w:rsidRDefault="00000000" w:rsidRPr="00000000" w14:paraId="0000008C">
      <w:pPr>
        <w:spacing w:after="120" w:before="120" w:lineRule="auto"/>
        <w:ind w:left="1134"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IV.</w:t>
      </w:r>
      <w:r w:rsidDel="00000000" w:rsidR="00000000" w:rsidRPr="00000000">
        <w:rPr>
          <w:rFonts w:ascii="Palatino Linotype" w:cs="Palatino Linotype" w:eastAsia="Palatino Linotype" w:hAnsi="Palatino Linotype"/>
          <w:i w:val="1"/>
          <w:iCs w:val="1"/>
          <w:rtl w:val="0"/>
        </w:rPr>
        <w:t xml:space="preserve"> Ponga en riesgo la vida, la seguridad o la salud de una persona física; </w:t>
      </w:r>
    </w:p>
    <w:p w:rsidR="00000000" w:rsidDel="00000000" w:rsidP="00000000" w:rsidRDefault="00000000" w:rsidRPr="00000000" w14:paraId="0000008D">
      <w:pPr>
        <w:spacing w:after="120" w:before="120" w:lineRule="auto"/>
        <w:ind w:left="1134"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V</w:t>
      </w:r>
      <w:r w:rsidDel="00000000" w:rsidR="00000000" w:rsidRPr="00000000">
        <w:rPr>
          <w:rFonts w:ascii="Palatino Linotype" w:cs="Palatino Linotype" w:eastAsia="Palatino Linotype" w:hAnsi="Palatino Linotype"/>
          <w:i w:val="1"/>
          <w:iCs w:val="1"/>
          <w:rtl w:val="0"/>
        </w:rPr>
        <w:t xml:space="preserve">. Aquella cuya divulgación obstruya o pueda causar un serio perjuicio a: </w:t>
      </w:r>
    </w:p>
    <w:p w:rsidR="00000000" w:rsidDel="00000000" w:rsidP="00000000" w:rsidRDefault="00000000" w:rsidRPr="00000000" w14:paraId="0000008E">
      <w:pPr>
        <w:spacing w:after="120" w:before="120" w:lineRule="auto"/>
        <w:ind w:left="1418"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1. Las actividades de fiscalización, verificación, inspección, comprobación y auditoría sobre el cumplimiento de las Leyes; o </w:t>
      </w:r>
    </w:p>
    <w:p w:rsidR="00000000" w:rsidDel="00000000" w:rsidP="00000000" w:rsidRDefault="00000000" w:rsidRPr="00000000" w14:paraId="0000008F">
      <w:pPr>
        <w:spacing w:after="120" w:before="120" w:lineRule="auto"/>
        <w:ind w:left="1418"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2. La recaudación de las contribuciones. </w:t>
      </w:r>
    </w:p>
    <w:p w:rsidR="00000000" w:rsidDel="00000000" w:rsidP="00000000" w:rsidRDefault="00000000" w:rsidRPr="00000000" w14:paraId="00000090">
      <w:pPr>
        <w:spacing w:after="120" w:before="120" w:lineRule="auto"/>
        <w:ind w:left="1134"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VI</w:t>
      </w:r>
      <w:r w:rsidDel="00000000" w:rsidR="00000000" w:rsidRPr="00000000">
        <w:rPr>
          <w:rFonts w:ascii="Palatino Linotype" w:cs="Palatino Linotype" w:eastAsia="Palatino Linotype" w:hAnsi="Palatino Linotype"/>
          <w:i w:val="1"/>
          <w:iCs w:val="1"/>
          <w:rtl w:val="0"/>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000000" w:rsidDel="00000000" w:rsidP="00000000" w:rsidRDefault="00000000" w:rsidRPr="00000000" w14:paraId="00000091">
      <w:pPr>
        <w:spacing w:after="120" w:before="120" w:lineRule="auto"/>
        <w:ind w:left="1134"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VII.</w:t>
      </w:r>
      <w:r w:rsidDel="00000000" w:rsidR="00000000" w:rsidRPr="00000000">
        <w:rPr>
          <w:rFonts w:ascii="Palatino Linotype" w:cs="Palatino Linotype" w:eastAsia="Palatino Linotype" w:hAnsi="Palatino Linotype"/>
          <w:i w:val="1"/>
          <w:iCs w:val="1"/>
          <w:rtl w:val="0"/>
        </w:rPr>
        <w:t xml:space="preserve"> La que contengan las opiniones, recomendaciones o puntos de vista que formen parte del proceso deliberativo de los servidores públicos, hasta en tanto sea adoptada la decisión definitiva, la cual deberá estar documentada; </w:t>
      </w:r>
    </w:p>
    <w:p w:rsidR="00000000" w:rsidDel="00000000" w:rsidP="00000000" w:rsidRDefault="00000000" w:rsidRPr="00000000" w14:paraId="00000092">
      <w:pPr>
        <w:spacing w:after="120" w:before="120" w:lineRule="auto"/>
        <w:ind w:left="1134"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VIII.</w:t>
      </w:r>
      <w:r w:rsidDel="00000000" w:rsidR="00000000" w:rsidRPr="00000000">
        <w:rPr>
          <w:rFonts w:ascii="Palatino Linotype" w:cs="Palatino Linotype" w:eastAsia="Palatino Linotype" w:hAnsi="Palatino Linotype"/>
          <w:i w:val="1"/>
          <w:iCs w:val="1"/>
          <w:rtl w:val="0"/>
        </w:rPr>
        <w:t xml:space="preserve"> Vulnere la conducción de los expedientes judiciales o de los procedimientos administrativos seguidos en forma de juicio, en tanto no hayan quedado firmes; </w:t>
      </w:r>
    </w:p>
    <w:p w:rsidR="00000000" w:rsidDel="00000000" w:rsidP="00000000" w:rsidRDefault="00000000" w:rsidRPr="00000000" w14:paraId="00000093">
      <w:pPr>
        <w:spacing w:after="120" w:before="120" w:lineRule="auto"/>
        <w:ind w:left="1134"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IX</w:t>
      </w:r>
      <w:r w:rsidDel="00000000" w:rsidR="00000000" w:rsidRPr="00000000">
        <w:rPr>
          <w:rFonts w:ascii="Palatino Linotype" w:cs="Palatino Linotype" w:eastAsia="Palatino Linotype" w:hAnsi="Palatino Linotype"/>
          <w:i w:val="1"/>
          <w:iCs w:val="1"/>
          <w:rtl w:val="0"/>
        </w:rPr>
        <w:t xml:space="preserve">. Se encuentre contenida dentro de las investigaciones de hechos que la Ley señale como delitos y se tramiten ante el Ministerio Público; </w:t>
      </w:r>
    </w:p>
    <w:p w:rsidR="00000000" w:rsidDel="00000000" w:rsidP="00000000" w:rsidRDefault="00000000" w:rsidRPr="00000000" w14:paraId="00000094">
      <w:pPr>
        <w:spacing w:after="120" w:before="120" w:lineRule="auto"/>
        <w:ind w:left="1134"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X.</w:t>
      </w:r>
      <w:r w:rsidDel="00000000" w:rsidR="00000000" w:rsidRPr="00000000">
        <w:rPr>
          <w:rFonts w:ascii="Palatino Linotype" w:cs="Palatino Linotype" w:eastAsia="Palatino Linotype" w:hAnsi="Palatino Linotype"/>
          <w:i w:val="1"/>
          <w:iCs w:val="1"/>
          <w:rtl w:val="0"/>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000000" w:rsidDel="00000000" w:rsidP="00000000" w:rsidRDefault="00000000" w:rsidRPr="00000000" w14:paraId="00000095">
      <w:pPr>
        <w:spacing w:after="120" w:before="120" w:lineRule="auto"/>
        <w:ind w:left="1134"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000000" w:rsidDel="00000000" w:rsidP="00000000" w:rsidRDefault="00000000" w:rsidRPr="00000000" w14:paraId="00000096">
      <w:pPr>
        <w:spacing w:after="120" w:before="120" w:lineRule="auto"/>
        <w:ind w:left="1134"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XI.</w:t>
      </w:r>
      <w:r w:rsidDel="00000000" w:rsidR="00000000" w:rsidRPr="00000000">
        <w:rPr>
          <w:rFonts w:ascii="Palatino Linotype" w:cs="Palatino Linotype" w:eastAsia="Palatino Linotype" w:hAnsi="Palatino Linotype"/>
          <w:i w:val="1"/>
          <w:iCs w:val="1"/>
          <w:rtl w:val="0"/>
        </w:rPr>
        <w:t xml:space="preserve"> Las que por disposición expresa de una ley tengan tal carácter, siempre que sean acordes con las bases, principios y disposiciones establecidos en esta Ley y no la contravengan; así como las previstas en tratados internacionales.”</w:t>
      </w:r>
    </w:p>
    <w:p w:rsidR="00000000" w:rsidDel="00000000" w:rsidP="00000000" w:rsidRDefault="00000000" w:rsidRPr="00000000" w14:paraId="0000009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 en lo que concierne a la información clasificada como confidencial, para que el acceso a la información pública pueda ser restringido, se deben actualizar los supuestos establecidos en el artículo143 de la Ley de Transparencia y Acceso a la Información Pública del Estado de México y Municipios, que a la letra señala lo siguiente:</w:t>
      </w:r>
    </w:p>
    <w:p w:rsidR="00000000" w:rsidDel="00000000" w:rsidP="00000000" w:rsidRDefault="00000000" w:rsidRPr="00000000" w14:paraId="00000098">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143.</w:t>
      </w:r>
      <w:r w:rsidDel="00000000" w:rsidR="00000000" w:rsidRPr="00000000">
        <w:rPr>
          <w:rFonts w:ascii="Palatino Linotype" w:cs="Palatino Linotype" w:eastAsia="Palatino Linotype" w:hAnsi="Palatino Linotype"/>
          <w:i w:val="1"/>
          <w:iCs w:val="1"/>
          <w:rtl w:val="0"/>
        </w:rPr>
        <w:t xml:space="preserve"> Para los efectos de esta Ley se considera información confidencial, la clasificada como tal, de manera permanente, por su naturaleza, cuando: </w:t>
      </w:r>
    </w:p>
    <w:p w:rsidR="00000000" w:rsidDel="00000000" w:rsidP="00000000" w:rsidRDefault="00000000" w:rsidRPr="00000000" w14:paraId="00000099">
      <w:pPr>
        <w:spacing w:after="120" w:before="12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w:t>
      </w:r>
      <w:r w:rsidDel="00000000" w:rsidR="00000000" w:rsidRPr="00000000">
        <w:rPr>
          <w:rFonts w:ascii="Palatino Linotype" w:cs="Palatino Linotype" w:eastAsia="Palatino Linotype" w:hAnsi="Palatino Linotype"/>
          <w:i w:val="1"/>
          <w:iCs w:val="1"/>
          <w:rtl w:val="0"/>
        </w:rPr>
        <w:t xml:space="preserve">. Se refiera a la información privada y los datos personales concernientes a una persona física o jurídico colectiva identificada o identificable; </w:t>
      </w:r>
    </w:p>
    <w:p w:rsidR="00000000" w:rsidDel="00000000" w:rsidP="00000000" w:rsidRDefault="00000000" w:rsidRPr="00000000" w14:paraId="0000009A">
      <w:pPr>
        <w:spacing w:after="120" w:before="12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w:t>
      </w:r>
      <w:r w:rsidDel="00000000" w:rsidR="00000000" w:rsidRPr="00000000">
        <w:rPr>
          <w:rFonts w:ascii="Palatino Linotype" w:cs="Palatino Linotype" w:eastAsia="Palatino Linotype" w:hAnsi="Palatino Linotype"/>
          <w:i w:val="1"/>
          <w:iCs w:val="1"/>
          <w:rtl w:val="0"/>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000000" w:rsidDel="00000000" w:rsidP="00000000" w:rsidRDefault="00000000" w:rsidRPr="00000000" w14:paraId="0000009B">
      <w:pPr>
        <w:spacing w:after="120" w:before="12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III.</w:t>
      </w:r>
      <w:r w:rsidDel="00000000" w:rsidR="00000000" w:rsidRPr="00000000">
        <w:rPr>
          <w:rFonts w:ascii="Palatino Linotype" w:cs="Palatino Linotype" w:eastAsia="Palatino Linotype" w:hAnsi="Palatino Linotype"/>
          <w:i w:val="1"/>
          <w:iCs w:val="1"/>
          <w:rtl w:val="0"/>
        </w:rPr>
        <w:t xml:space="preserve"> La que presenten los particulares a los sujetos obligados, de conformidad con lo dispuesto por las leyes o los tratados internacionales. </w:t>
      </w:r>
    </w:p>
    <w:p w:rsidR="00000000" w:rsidDel="00000000" w:rsidP="00000000" w:rsidRDefault="00000000" w:rsidRPr="00000000" w14:paraId="0000009C">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La información confidencial no estará sujeta a temporalidad alguna y sólo podrán tener acceso a ella los titulares de la misma, sus representantes y los servidores públicos facultados para ello. </w:t>
      </w:r>
    </w:p>
    <w:p w:rsidR="00000000" w:rsidDel="00000000" w:rsidP="00000000" w:rsidRDefault="00000000" w:rsidRPr="00000000" w14:paraId="0000009D">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9E">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09F">
      <w:pPr>
        <w:numPr>
          <w:ilvl w:val="0"/>
          <w:numId w:val="2"/>
        </w:numPr>
        <w:tabs>
          <w:tab w:val="left" w:leader="none" w:pos="851"/>
        </w:tabs>
        <w:spacing w:after="0" w:before="28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reciba una solicitud de acceso a la información;</w:t>
      </w:r>
    </w:p>
    <w:p w:rsidR="00000000" w:rsidDel="00000000" w:rsidP="00000000" w:rsidRDefault="00000000" w:rsidRPr="00000000" w14:paraId="000000A0">
      <w:pPr>
        <w:numPr>
          <w:ilvl w:val="0"/>
          <w:numId w:val="2"/>
        </w:numPr>
        <w:tabs>
          <w:tab w:val="left" w:leader="none" w:pos="851"/>
        </w:tabs>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determine mediante resolución de autoridad competente; y/o</w:t>
      </w:r>
    </w:p>
    <w:p w:rsidR="00000000" w:rsidDel="00000000" w:rsidP="00000000" w:rsidRDefault="00000000" w:rsidRPr="00000000" w14:paraId="000000A1">
      <w:pPr>
        <w:numPr>
          <w:ilvl w:val="0"/>
          <w:numId w:val="2"/>
        </w:numPr>
        <w:tabs>
          <w:tab w:val="left" w:leader="none" w:pos="851"/>
        </w:tabs>
        <w:spacing w:after="28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generen versiones públicas para dar cumplimiento a las obligaciones de transparencia previstas en la Ley.</w:t>
      </w:r>
    </w:p>
    <w:p w:rsidR="00000000" w:rsidDel="00000000" w:rsidP="00000000" w:rsidRDefault="00000000" w:rsidRPr="00000000" w14:paraId="000000A2">
      <w:pPr>
        <w:spacing w:after="280" w:before="28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de precisar que la clasificación de la información no se da por el simple mandato de la Ley, sino que es necesario que los Sujetos Obligados, cuando clasifiquen algún documento o información, ya sea todo o en parte, atiendan lo dispuesto por la Ley de la materia, siendo que dicha clasificación es un trabajo en conjunto tanto de los Servidores Públicos Habilitados, de las Unidades de Transparencia y del Comité de Transparencia de los Sujetos Obligados,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rsidR="00000000" w:rsidDel="00000000" w:rsidP="00000000" w:rsidRDefault="00000000" w:rsidRPr="00000000" w14:paraId="000000A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 la  elaboración de versiones públicas de documentos que contengan datos susceptibles de ser clasificados, los Sujetos Obligados deben observar, además, lo dispuesto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0A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w:t>
      </w:r>
      <w:r w:rsidDel="00000000" w:rsidR="00000000" w:rsidRPr="00000000">
        <w:rPr>
          <w:rFonts w:ascii="Palatino Linotype" w:cs="Palatino Linotype" w:eastAsia="Palatino Linotype" w:hAnsi="Palatino Linotype"/>
          <w:b w:val="1"/>
          <w:bCs w:val="1"/>
          <w:u w:val="single"/>
          <w:rtl w:val="0"/>
        </w:rPr>
        <w:t xml:space="preserve">debe acompañarse necesariamente del Acuerdo del Comité de Transparencia</w:t>
      </w:r>
      <w:r w:rsidDel="00000000" w:rsidR="00000000" w:rsidRPr="00000000">
        <w:rPr>
          <w:rFonts w:ascii="Palatino Linotype" w:cs="Palatino Linotype" w:eastAsia="Palatino Linotype" w:hAnsi="Palatino Linotype"/>
          <w:rtl w:val="0"/>
        </w:rPr>
        <w:t xml:space="preserve">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0A5">
      <w:pPr>
        <w:spacing w:after="240" w:before="240" w:line="36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rtl w:val="0"/>
        </w:rPr>
        <w:t xml:space="preserve">En el caso que se analiza, es imprescindible mencionar que se coincide con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respecto de la clasificación de los datos personales, tales como número de teléfono particular, correo electrónico personal, nombre de particulares, claves catastrales de inmuebles privados, domicilios particulares, firma de particulares, entre otros, contenidos en los oficios entregados, como información confidencial, ya que derivado de su naturaleza estos inciden en su esfera más íntima de privacidad, por lo que actualizan el supuesto previsto en el artículo 143, fracción I de la Ley de Transparencia y Acceso a la Información Pública del Estado de México y Municipios, citado con antelación.</w:t>
      </w:r>
      <w:r w:rsidDel="00000000" w:rsidR="00000000" w:rsidRPr="00000000">
        <w:rPr>
          <w:rtl w:val="0"/>
        </w:rPr>
      </w:r>
    </w:p>
    <w:p w:rsidR="00000000" w:rsidDel="00000000" w:rsidP="00000000" w:rsidRDefault="00000000" w:rsidRPr="00000000" w14:paraId="000000A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escapa de la óptica de este Organismo Garante que los oficios entregados, también contienen información susceptible de ser clasificada como reservada, de manera enunciativa más no limitativa, nombre de elementos operativos en funciones, así como información relacionada con expedientes administrativos en trámite a la fecha de la solicitud, lo anterior de conformidad con las hipótesis previstas en las fracciones IV, VI y VIII del artículo 140 de la Ley de Transparencia y Acceso a la Información Pública del Estado de México y Municipios, citado con antelación.</w:t>
      </w:r>
    </w:p>
    <w:p w:rsidR="00000000" w:rsidDel="00000000" w:rsidP="00000000" w:rsidRDefault="00000000" w:rsidRPr="00000000" w14:paraId="000000A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esta línea de pensamiento, es claro que no puede tenerse por satisfecho el Derecho de acceso a la información de la persona solicitante, al haberse hecho entrega de oficios emitidos y recibidos testados, sin la debida fundamentación, insistiendo en que no se hizo entrega del Acuerdo del Comité de transparencia, además de haberse testado información de carácter público, y no haberse hecho entrega de todos los oficios </w:t>
      </w:r>
      <w:r w:rsidDel="00000000" w:rsidR="00000000" w:rsidRPr="00000000">
        <w:rPr>
          <w:rFonts w:ascii="Palatino Linotype" w:cs="Palatino Linotype" w:eastAsia="Palatino Linotype" w:hAnsi="Palatino Linotype"/>
          <w:b w:val="1"/>
          <w:bCs w:val="1"/>
          <w:rtl w:val="0"/>
        </w:rPr>
        <w:t xml:space="preserve">emitidos</w:t>
      </w:r>
      <w:r w:rsidDel="00000000" w:rsidR="00000000" w:rsidRPr="00000000">
        <w:rPr>
          <w:rFonts w:ascii="Palatino Linotype" w:cs="Palatino Linotype" w:eastAsia="Palatino Linotype" w:hAnsi="Palatino Linotype"/>
          <w:rtl w:val="0"/>
        </w:rPr>
        <w:t xml:space="preserve"> en la temporalidad precisada. </w:t>
      </w:r>
    </w:p>
    <w:p w:rsidR="00000000" w:rsidDel="00000000" w:rsidP="00000000" w:rsidRDefault="00000000" w:rsidRPr="00000000" w14:paraId="000000A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consiguiente, se estima dable ordenar la entrega nuevamente de los oficios emitidos y recibidos por la Primera Sindico que fueron testados, en versión pública correcta, así como de los oficios remitidos faltantes, acompañados del acuerdo del Comité de Transparencia debidamente fundado y motivado que sustente la versión pública correspondiente, de conformidad con el considerando siguiente.</w:t>
      </w:r>
    </w:p>
    <w:p w:rsidR="00000000" w:rsidDel="00000000" w:rsidP="00000000" w:rsidRDefault="00000000" w:rsidRPr="00000000" w14:paraId="000000A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para el caso de que no se llegara a localizar alguno de los oficios emitidos faltantes no obre en los archivos del Sujeto Obligado por haberse cancelado en algún día por no haberse generado o haberse cancelado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w:t>
      </w:r>
    </w:p>
    <w:p w:rsidR="00000000" w:rsidDel="00000000" w:rsidP="00000000" w:rsidRDefault="00000000" w:rsidRPr="00000000" w14:paraId="000000A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refiere a los oficios recibidos por la Primera Sindico, al ser documentos que se emiten por diversas áreas y autoridades, estos cuentan con el número que se les asigna en aquellas, por lo que al no ser posible constatar que estos sigan un orden consecutivo, se considera  que los oficios proporcionados corresponden a la totalidad de la información con la que se cuenta en el periodo referido, siendo necesario únicamente que se de cumplimiento a la presente resolución por cuanto hace a los oficios en los que se eliminaron datos de manera injustificada.</w:t>
      </w:r>
    </w:p>
    <w:p w:rsidR="00000000" w:rsidDel="00000000" w:rsidP="00000000" w:rsidRDefault="00000000" w:rsidRPr="00000000" w14:paraId="000000A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bCs w:val="1"/>
          <w:rtl w:val="0"/>
        </w:rPr>
        <w:t xml:space="preserve">Recurrente </w:t>
      </w:r>
      <w:r w:rsidDel="00000000" w:rsidR="00000000" w:rsidRPr="00000000">
        <w:rPr>
          <w:rFonts w:ascii="Palatino Linotype" w:cs="Palatino Linotype" w:eastAsia="Palatino Linotype" w:hAnsi="Palatino Linotype"/>
          <w:rtl w:val="0"/>
        </w:rPr>
        <w:t xml:space="preserve">devienen fundados, siendo procedente </w:t>
      </w:r>
      <w:r w:rsidDel="00000000" w:rsidR="00000000" w:rsidRPr="00000000">
        <w:rPr>
          <w:rFonts w:ascii="Palatino Linotype" w:cs="Palatino Linotype" w:eastAsia="Palatino Linotype" w:hAnsi="Palatino Linotype"/>
          <w:i w:val="1"/>
          <w:iCs w:val="1"/>
          <w:rtl w:val="0"/>
        </w:rPr>
        <w:t xml:space="preserve">Modificar </w:t>
      </w:r>
      <w:r w:rsidDel="00000000" w:rsidR="00000000" w:rsidRPr="00000000">
        <w:rPr>
          <w:rFonts w:ascii="Palatino Linotype" w:cs="Palatino Linotype" w:eastAsia="Palatino Linotype" w:hAnsi="Palatino Linotype"/>
          <w:rtl w:val="0"/>
        </w:rPr>
        <w:t xml:space="preserve">las respuestas proporcionadas por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0A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Quinto. Versión Pública.</w:t>
      </w:r>
      <w:r w:rsidDel="00000000" w:rsidR="00000000" w:rsidRPr="00000000">
        <w:rPr>
          <w:rFonts w:ascii="Palatino Linotype" w:cs="Palatino Linotype" w:eastAsia="Palatino Linotype" w:hAnsi="Palatino Linotype"/>
          <w:rtl w:val="0"/>
        </w:rPr>
        <w:t xml:space="preserve"> Finalmente, debe señalarse que de ser el caso en que los documentos que vayan a ser entregados para dar cumplimiento a la presente resolución, contengan datos que deban ser clasificados,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tales documentos a fin de satisfacer el derecho de acceso a la información pública de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sin menoscabo al derecho a la protección de los datos personales de terceros.</w:t>
      </w:r>
    </w:p>
    <w:p w:rsidR="00000000" w:rsidDel="00000000" w:rsidP="00000000" w:rsidRDefault="00000000" w:rsidRPr="00000000" w14:paraId="000000A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rsidR="00000000" w:rsidDel="00000000" w:rsidP="00000000" w:rsidRDefault="00000000" w:rsidRPr="00000000" w14:paraId="000000AE">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3</w:t>
      </w:r>
      <w:r w:rsidDel="00000000" w:rsidR="00000000" w:rsidRPr="00000000">
        <w:rPr>
          <w:rFonts w:ascii="Palatino Linotype" w:cs="Palatino Linotype" w:eastAsia="Palatino Linotype" w:hAnsi="Palatino Linotype"/>
          <w:i w:val="1"/>
          <w:iCs w:val="1"/>
          <w:rtl w:val="0"/>
        </w:rPr>
        <w:t xml:space="preserve">. Para los efectos de la presente Ley se entenderá por:</w:t>
      </w:r>
    </w:p>
    <w:p w:rsidR="00000000" w:rsidDel="00000000" w:rsidP="00000000" w:rsidRDefault="00000000" w:rsidRPr="00000000" w14:paraId="000000AF">
      <w:pPr>
        <w:spacing w:after="120" w:before="12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B0">
      <w:pPr>
        <w:spacing w:after="120" w:before="12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IX. Datos personales</w:t>
      </w:r>
      <w:r w:rsidDel="00000000" w:rsidR="00000000" w:rsidRPr="00000000">
        <w:rPr>
          <w:rFonts w:ascii="Palatino Linotype" w:cs="Palatino Linotype" w:eastAsia="Palatino Linotype" w:hAnsi="Palatino Linotype"/>
          <w:i w:val="1"/>
          <w:iCs w:val="1"/>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0B1">
      <w:pPr>
        <w:spacing w:after="120" w:before="12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XX. Información clasificada</w:t>
      </w:r>
      <w:r w:rsidDel="00000000" w:rsidR="00000000" w:rsidRPr="00000000">
        <w:rPr>
          <w:rFonts w:ascii="Palatino Linotype" w:cs="Palatino Linotype" w:eastAsia="Palatino Linotype" w:hAnsi="Palatino Linotype"/>
          <w:i w:val="1"/>
          <w:iCs w:val="1"/>
          <w:rtl w:val="0"/>
        </w:rPr>
        <w:t xml:space="preserve">: Aquella considerada por la presente Ley como reservada o confidencial;</w:t>
      </w:r>
    </w:p>
    <w:p w:rsidR="00000000" w:rsidDel="00000000" w:rsidP="00000000" w:rsidRDefault="00000000" w:rsidRPr="00000000" w14:paraId="000000B2">
      <w:pPr>
        <w:spacing w:after="120" w:before="12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XXI. Información confidencial: </w:t>
      </w:r>
      <w:r w:rsidDel="00000000" w:rsidR="00000000" w:rsidRPr="00000000">
        <w:rPr>
          <w:rFonts w:ascii="Palatino Linotype" w:cs="Palatino Linotype" w:eastAsia="Palatino Linotype" w:hAnsi="Palatino Linotype"/>
          <w:i w:val="1"/>
          <w:iCs w:val="1"/>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B3">
      <w:pPr>
        <w:spacing w:after="120" w:before="12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XLV. Versión pública:</w:t>
      </w:r>
      <w:r w:rsidDel="00000000" w:rsidR="00000000" w:rsidRPr="00000000">
        <w:rPr>
          <w:rFonts w:ascii="Palatino Linotype" w:cs="Palatino Linotype" w:eastAsia="Palatino Linotype" w:hAnsi="Palatino Linotype"/>
          <w:i w:val="1"/>
          <w:iCs w:val="1"/>
          <w:rtl w:val="0"/>
        </w:rPr>
        <w:t xml:space="preserve"> Documento en el que se elimine, suprime o borra la información clasificada como reservada o confidencial para permitir su acceso.</w:t>
      </w:r>
    </w:p>
    <w:p w:rsidR="00000000" w:rsidDel="00000000" w:rsidP="00000000" w:rsidRDefault="00000000" w:rsidRPr="00000000" w14:paraId="000000B4">
      <w:pPr>
        <w:spacing w:after="120" w:before="12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B5">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91.</w:t>
      </w:r>
      <w:r w:rsidDel="00000000" w:rsidR="00000000" w:rsidRPr="00000000">
        <w:rPr>
          <w:rFonts w:ascii="Palatino Linotype" w:cs="Palatino Linotype" w:eastAsia="Palatino Linotype" w:hAnsi="Palatino Linotype"/>
          <w:i w:val="1"/>
          <w:iCs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B6">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132.</w:t>
      </w:r>
      <w:r w:rsidDel="00000000" w:rsidR="00000000" w:rsidRPr="00000000">
        <w:rPr>
          <w:rFonts w:ascii="Palatino Linotype" w:cs="Palatino Linotype" w:eastAsia="Palatino Linotype" w:hAnsi="Palatino Linotype"/>
          <w:i w:val="1"/>
          <w:iCs w:val="1"/>
          <w:rtl w:val="0"/>
        </w:rPr>
        <w:t xml:space="preserve"> La clasificación de la información se llevará a cabo en el momento en que:</w:t>
      </w:r>
    </w:p>
    <w:p w:rsidR="00000000" w:rsidDel="00000000" w:rsidP="00000000" w:rsidRDefault="00000000" w:rsidRPr="00000000" w14:paraId="000000B7">
      <w:pPr>
        <w:spacing w:after="120" w:before="12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w:t>
      </w:r>
      <w:r w:rsidDel="00000000" w:rsidR="00000000" w:rsidRPr="00000000">
        <w:rPr>
          <w:rFonts w:ascii="Palatino Linotype" w:cs="Palatino Linotype" w:eastAsia="Palatino Linotype" w:hAnsi="Palatino Linotype"/>
          <w:i w:val="1"/>
          <w:iCs w:val="1"/>
          <w:rtl w:val="0"/>
        </w:rPr>
        <w:t xml:space="preserve">. Se reciba una solicitud de acceso a la información;</w:t>
      </w:r>
    </w:p>
    <w:p w:rsidR="00000000" w:rsidDel="00000000" w:rsidP="00000000" w:rsidRDefault="00000000" w:rsidRPr="00000000" w14:paraId="000000B8">
      <w:pPr>
        <w:spacing w:after="120" w:before="12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w:t>
      </w:r>
      <w:r w:rsidDel="00000000" w:rsidR="00000000" w:rsidRPr="00000000">
        <w:rPr>
          <w:rFonts w:ascii="Palatino Linotype" w:cs="Palatino Linotype" w:eastAsia="Palatino Linotype" w:hAnsi="Palatino Linotype"/>
          <w:i w:val="1"/>
          <w:iCs w:val="1"/>
          <w:rtl w:val="0"/>
        </w:rPr>
        <w:t xml:space="preserve"> Se determine mediante resolución de autoridad competente; o</w:t>
      </w:r>
    </w:p>
    <w:p w:rsidR="00000000" w:rsidDel="00000000" w:rsidP="00000000" w:rsidRDefault="00000000" w:rsidRPr="00000000" w14:paraId="000000B9">
      <w:pPr>
        <w:spacing w:after="120" w:before="12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III.</w:t>
      </w:r>
      <w:r w:rsidDel="00000000" w:rsidR="00000000" w:rsidRPr="00000000">
        <w:rPr>
          <w:rFonts w:ascii="Palatino Linotype" w:cs="Palatino Linotype" w:eastAsia="Palatino Linotype" w:hAnsi="Palatino Linotype"/>
          <w:i w:val="1"/>
          <w:iCs w:val="1"/>
          <w:rtl w:val="0"/>
        </w:rPr>
        <w:t xml:space="preserve"> Se generen versiones públicas para dar cumplimiento a las obligaciones de transparencia previstas en esta Ley.</w:t>
      </w:r>
    </w:p>
    <w:p w:rsidR="00000000" w:rsidDel="00000000" w:rsidP="00000000" w:rsidRDefault="00000000" w:rsidRPr="00000000" w14:paraId="000000BA">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BB">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137.</w:t>
      </w:r>
      <w:r w:rsidDel="00000000" w:rsidR="00000000" w:rsidRPr="00000000">
        <w:rPr>
          <w:rFonts w:ascii="Palatino Linotype" w:cs="Palatino Linotype" w:eastAsia="Palatino Linotype" w:hAnsi="Palatino Linotype"/>
          <w:i w:val="1"/>
          <w:iCs w:val="1"/>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0BC">
      <w:pPr>
        <w:spacing w:after="120" w:before="120" w:lineRule="auto"/>
        <w:ind w:left="851" w:right="902"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w:t>
      </w:r>
    </w:p>
    <w:p w:rsidR="00000000" w:rsidDel="00000000" w:rsidP="00000000" w:rsidRDefault="00000000" w:rsidRPr="00000000" w14:paraId="000000BD">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143</w:t>
      </w:r>
      <w:r w:rsidDel="00000000" w:rsidR="00000000" w:rsidRPr="00000000">
        <w:rPr>
          <w:rFonts w:ascii="Palatino Linotype" w:cs="Palatino Linotype" w:eastAsia="Palatino Linotype" w:hAnsi="Palatino Linotype"/>
          <w:i w:val="1"/>
          <w:iCs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BE">
      <w:pPr>
        <w:spacing w:after="120" w:before="12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w:t>
      </w:r>
      <w:r w:rsidDel="00000000" w:rsidR="00000000" w:rsidRPr="00000000">
        <w:rPr>
          <w:rFonts w:ascii="Palatino Linotype" w:cs="Palatino Linotype" w:eastAsia="Palatino Linotype" w:hAnsi="Palatino Linotype"/>
          <w:i w:val="1"/>
          <w:iCs w:val="1"/>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0B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0C0">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000000" w:rsidDel="00000000" w:rsidP="00000000" w:rsidRDefault="00000000" w:rsidRPr="00000000" w14:paraId="000000C1">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0C2">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refiere al </w:t>
      </w:r>
      <w:r w:rsidDel="00000000" w:rsidR="00000000" w:rsidRPr="00000000">
        <w:rPr>
          <w:rFonts w:ascii="Palatino Linotype" w:cs="Palatino Linotype" w:eastAsia="Palatino Linotype" w:hAnsi="Palatino Linotype"/>
          <w:b w:val="1"/>
          <w:bCs w:val="1"/>
          <w:rtl w:val="0"/>
        </w:rPr>
        <w:t xml:space="preserve">teléfono particular</w:t>
      </w:r>
      <w:r w:rsidDel="00000000" w:rsidR="00000000" w:rsidRPr="00000000">
        <w:rPr>
          <w:rFonts w:ascii="Palatino Linotype" w:cs="Palatino Linotype" w:eastAsia="Palatino Linotype" w:hAnsi="Palatino Linotype"/>
          <w:rtl w:val="0"/>
        </w:rPr>
        <w:t xml:space="preserve">, se trata de información que le compete únicamente al servidor público, pues es un medio mediante el cual puede ser ubicado, es susceptible de ser clasificado como confidencial de conformidad con la fracción I, del artículo 143 de la Ley de Transparencia y Acceso a la Información Pública del Estado de México y Municipios, citado con antelación.</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bCs w:val="1"/>
          <w:rtl w:val="0"/>
        </w:rPr>
        <w:t xml:space="preserve">correo electrónico personal </w:t>
      </w:r>
      <w:r w:rsidDel="00000000" w:rsidR="00000000" w:rsidRPr="00000000">
        <w:rPr>
          <w:rFonts w:ascii="Palatino Linotype" w:cs="Palatino Linotype" w:eastAsia="Palatino Linotype" w:hAnsi="Palatino Linotype"/>
          <w:rtl w:val="0"/>
        </w:rPr>
        <w:t xml:space="preserve">al ser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 En ese sentido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tabs>
          <w:tab w:val="left" w:leader="none" w:pos="284"/>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bCs w:val="1"/>
          <w:rtl w:val="0"/>
        </w:rPr>
        <w:t xml:space="preserve">domicilio particular</w:t>
      </w:r>
      <w:r w:rsidDel="00000000" w:rsidR="00000000" w:rsidRPr="00000000">
        <w:rPr>
          <w:rFonts w:ascii="Palatino Linotype" w:cs="Palatino Linotype" w:eastAsia="Palatino Linotype" w:hAnsi="Palatino Linotype"/>
          <w:rtl w:val="0"/>
        </w:rPr>
        <w:t xml:space="preserve">,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000000" w:rsidDel="00000000" w:rsidP="00000000" w:rsidRDefault="00000000" w:rsidRPr="00000000" w14:paraId="000000C5">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del domicilio y su comprobante, de conformidad con la fracción I, del artículo 143 de la Ley de Transparencia y Acceso a la Información Pública del Estado de México y Municipios.</w:t>
      </w:r>
    </w:p>
    <w:p w:rsidR="00000000" w:rsidDel="00000000" w:rsidP="00000000" w:rsidRDefault="00000000" w:rsidRPr="00000000" w14:paraId="000000C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respecta al </w:t>
      </w:r>
      <w:r w:rsidDel="00000000" w:rsidR="00000000" w:rsidRPr="00000000">
        <w:rPr>
          <w:rFonts w:ascii="Palatino Linotype" w:cs="Palatino Linotype" w:eastAsia="Palatino Linotype" w:hAnsi="Palatino Linotype"/>
          <w:b w:val="1"/>
          <w:bCs w:val="1"/>
          <w:rtl w:val="0"/>
        </w:rPr>
        <w:t xml:space="preserve">nombre de una persona física, </w:t>
      </w:r>
      <w:r w:rsidDel="00000000" w:rsidR="00000000" w:rsidRPr="00000000">
        <w:rPr>
          <w:rFonts w:ascii="Palatino Linotype" w:cs="Palatino Linotype" w:eastAsia="Palatino Linotype" w:hAnsi="Palatino Linotype"/>
          <w:rtl w:val="0"/>
        </w:rPr>
        <w:t xml:space="preserve">al ser uno de los atributos de la personalidad y la manifestación principal del derecho subjetivo a la identidad, ya que por sí solo es un elemento que hace a una persona física identificada o identificable, por lo que dar publicidad al mismo vulneraría su ámbito de privacidad.</w:t>
      </w:r>
    </w:p>
    <w:p w:rsidR="00000000" w:rsidDel="00000000" w:rsidP="00000000" w:rsidRDefault="00000000" w:rsidRPr="00000000" w14:paraId="000000C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es conveniente señalar que el nombre de una persona física es un dato personal que, por regla general, debe considerarse como un dato confidencial en términos del artículo 143, fracción I de la Ley de Transparencia y Acceso a la Información Pública del Estado de México y Municipios, cuando se trate de personas que no se desempeñan en la función pública.</w:t>
      </w:r>
    </w:p>
    <w:p w:rsidR="00000000" w:rsidDel="00000000" w:rsidP="00000000" w:rsidRDefault="00000000" w:rsidRPr="00000000" w14:paraId="000000C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existen ciertas excepciones a dicha regla por razones de interés público, como lo es en aquellos casos en donde dicho dato se relaciona con la erogación de recursos públicos, en cuyo caso, el nombre de estos guardan naturaleza de información pública y por tanto es improcedente su clasificación, con la finalidad de garantizar la rendición de cuentas por parte del ente público. </w:t>
      </w:r>
    </w:p>
    <w:p w:rsidR="00000000" w:rsidDel="00000000" w:rsidP="00000000" w:rsidRDefault="00000000" w:rsidRPr="00000000" w14:paraId="000000C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en virtud de que los Sujetos Obligados cuentan con el deber de hacer pública toda aquella información relativa a los montos y las personas a quienes entreguen recursos públicos por cualquier concepto, como se desprende del artículo 23, penúltimo párrafo de la Ley de Transparencia y Acceso a la Información Pública del Estado de México y Municipios, que es del tenor literal siguiente:</w:t>
      </w:r>
    </w:p>
    <w:p w:rsidR="00000000" w:rsidDel="00000000" w:rsidP="00000000" w:rsidRDefault="00000000" w:rsidRPr="00000000" w14:paraId="000000CA">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23</w:t>
      </w: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CB">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0C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respecta a la </w:t>
      </w:r>
      <w:r w:rsidDel="00000000" w:rsidR="00000000" w:rsidRPr="00000000">
        <w:rPr>
          <w:rFonts w:ascii="Palatino Linotype" w:cs="Palatino Linotype" w:eastAsia="Palatino Linotype" w:hAnsi="Palatino Linotype"/>
          <w:b w:val="1"/>
          <w:bCs w:val="1"/>
          <w:rtl w:val="0"/>
        </w:rPr>
        <w:t xml:space="preserve">clave de seguridad social</w:t>
      </w:r>
      <w:r w:rsidDel="00000000" w:rsidR="00000000" w:rsidRPr="00000000">
        <w:rPr>
          <w:rFonts w:ascii="Palatino Linotype" w:cs="Palatino Linotype" w:eastAsia="Palatino Linotype" w:hAnsi="Palatino Linotype"/>
          <w:rtl w:val="0"/>
        </w:rPr>
        <w:t xml:space="preserve">, en virtud de que su divulgación no aporta a la transparencia o a la rendición de cuentas y sí provoca una transgresión a la vida privada e intimidad de la persona, esta información también resulta ser de carácter confidencial.</w:t>
      </w:r>
    </w:p>
    <w:p w:rsidR="00000000" w:rsidDel="00000000" w:rsidP="00000000" w:rsidRDefault="00000000" w:rsidRPr="00000000" w14:paraId="000000C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los </w:t>
      </w:r>
      <w:r w:rsidDel="00000000" w:rsidR="00000000" w:rsidRPr="00000000">
        <w:rPr>
          <w:rFonts w:ascii="Palatino Linotype" w:cs="Palatino Linotype" w:eastAsia="Palatino Linotype" w:hAnsi="Palatino Linotype"/>
          <w:b w:val="1"/>
          <w:bCs w:val="1"/>
          <w:rtl w:val="0"/>
        </w:rPr>
        <w:t xml:space="preserve">números de cuentas bancari</w:t>
      </w:r>
      <w:r w:rsidDel="00000000" w:rsidR="00000000" w:rsidRPr="00000000">
        <w:rPr>
          <w:rFonts w:ascii="Palatino Linotype" w:cs="Palatino Linotype" w:eastAsia="Palatino Linotype" w:hAnsi="Palatino Linotype"/>
          <w:rtl w:val="0"/>
        </w:rPr>
        <w:t xml:space="preserve">as, </w:t>
      </w:r>
      <w:r w:rsidDel="00000000" w:rsidR="00000000" w:rsidRPr="00000000">
        <w:rPr>
          <w:rFonts w:ascii="Palatino Linotype" w:cs="Palatino Linotype" w:eastAsia="Palatino Linotype" w:hAnsi="Palatino Linotype"/>
          <w:b w:val="1"/>
          <w:bCs w:val="1"/>
          <w:rtl w:val="0"/>
        </w:rPr>
        <w:t xml:space="preserve">claves estandarizadas –interbancarias- (CLABES) y de tarjetas</w:t>
      </w:r>
      <w:r w:rsidDel="00000000" w:rsidR="00000000" w:rsidRPr="00000000">
        <w:rPr>
          <w:rFonts w:ascii="Palatino Linotype" w:cs="Palatino Linotype" w:eastAsia="Palatino Linotype" w:hAnsi="Palatino Linotype"/>
          <w:rtl w:val="0"/>
        </w:rPr>
        <w:t xml:space="preserve">, el Pleno de este Instituto ha determinado que esa información debe clasificarse como confidencial, y elaborarse una versión pública en la que se teste la misma.</w:t>
      </w:r>
    </w:p>
    <w:p w:rsidR="00000000" w:rsidDel="00000000" w:rsidP="00000000" w:rsidRDefault="00000000" w:rsidRPr="00000000" w14:paraId="000000C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000000" w:rsidDel="00000000" w:rsidP="00000000" w:rsidRDefault="00000000" w:rsidRPr="00000000" w14:paraId="000000C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000000" w:rsidDel="00000000" w:rsidP="00000000" w:rsidRDefault="00000000" w:rsidRPr="00000000" w14:paraId="000000D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virtud, este Pleno determina que dicha información no puede ser del dominio público, toda vez que se podría dar un uso inadecuado a la misma o cometer algún ilícito o fraude como ya ha sido expuesto. </w:t>
      </w:r>
    </w:p>
    <w:p w:rsidR="00000000" w:rsidDel="00000000" w:rsidP="00000000" w:rsidRDefault="00000000" w:rsidRPr="00000000" w14:paraId="000000D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no es así tratándose de las cuentas bancarias o claves interbancarias de los Sujetos Obligados ya que su publicidad cede a la rendición de cuentas al transparentar la forma en que son administrados los recursos públicos.</w:t>
      </w:r>
    </w:p>
    <w:p w:rsidR="00000000" w:rsidDel="00000000" w:rsidP="00000000" w:rsidRDefault="00000000" w:rsidRPr="00000000" w14:paraId="000000D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argumentado encuentra sustento en los criterios de interpretación con claves de control SO/010/2017 y SO/011/2017, emitidos por el entonces Instituto Nacional de Transparencia, Acceso a la Información y Protección de Datos Personales, INAI, que llevan por rubro y texto los siguientes:</w:t>
      </w:r>
    </w:p>
    <w:p w:rsidR="00000000" w:rsidDel="00000000" w:rsidP="00000000" w:rsidRDefault="00000000" w:rsidRPr="00000000" w14:paraId="000000D3">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iCs w:val="1"/>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00000" w:rsidDel="00000000" w:rsidP="00000000" w:rsidRDefault="00000000" w:rsidRPr="00000000" w14:paraId="000000D4">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iCs w:val="1"/>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000000" w:rsidDel="00000000" w:rsidP="00000000" w:rsidRDefault="00000000" w:rsidRPr="00000000" w14:paraId="000000D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relación al </w:t>
      </w:r>
      <w:r w:rsidDel="00000000" w:rsidR="00000000" w:rsidRPr="00000000">
        <w:rPr>
          <w:rFonts w:ascii="Palatino Linotype" w:cs="Palatino Linotype" w:eastAsia="Palatino Linotype" w:hAnsi="Palatino Linotype"/>
          <w:b w:val="1"/>
          <w:bCs w:val="1"/>
          <w:rtl w:val="0"/>
        </w:rPr>
        <w:t xml:space="preserve">número de empleado</w:t>
      </w:r>
      <w:r w:rsidDel="00000000" w:rsidR="00000000" w:rsidRPr="00000000">
        <w:rPr>
          <w:rFonts w:ascii="Palatino Linotype" w:cs="Palatino Linotype" w:eastAsia="Palatino Linotype" w:hAnsi="Palatino Linotype"/>
          <w:rtl w:val="0"/>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D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esos argumentos, se entendería que la información relativa al número de empleado constituye información confidencial al tratarse de un número de identificación personal a través del cual se puede consultar la situación laboral personal, pero el entonces  Pleno del el Instituto Nacional de Transparencia, Acceso a la Información, y Protección de Datos Personales, INAI  se ha pronunciado sobre su publicidad, a través del Criterio orientador con Clave de control SO/006/2019, que indica lo siguiente:</w:t>
      </w:r>
    </w:p>
    <w:p w:rsidR="00000000" w:rsidDel="00000000" w:rsidP="00000000" w:rsidRDefault="00000000" w:rsidRPr="00000000" w14:paraId="000000D7">
      <w:pPr>
        <w:tabs>
          <w:tab w:val="left" w:leader="none" w:pos="7655"/>
        </w:tabs>
        <w:spacing w:after="240" w:before="240" w:lineRule="auto"/>
        <w:ind w:left="993" w:right="99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“Número de empleado. </w:t>
      </w:r>
      <w:r w:rsidDel="00000000" w:rsidR="00000000" w:rsidRPr="00000000">
        <w:rPr>
          <w:rFonts w:ascii="Palatino Linotype" w:cs="Palatino Linotype" w:eastAsia="Palatino Linotype" w:hAnsi="Palatino Linotype"/>
          <w:i w:val="1"/>
          <w:iCs w:val="1"/>
          <w:rtl w:val="0"/>
        </w:rPr>
        <w:t xml:space="preserve">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000000" w:rsidDel="00000000" w:rsidP="00000000" w:rsidRDefault="00000000" w:rsidRPr="00000000" w14:paraId="000000D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w:t>
      </w:r>
      <w:r w:rsidDel="00000000" w:rsidR="00000000" w:rsidRPr="00000000">
        <w:rPr>
          <w:rFonts w:ascii="Palatino Linotype" w:cs="Palatino Linotype" w:eastAsia="Palatino Linotype" w:hAnsi="Palatino Linotype"/>
          <w:b w:val="1"/>
          <w:bCs w:val="1"/>
          <w:rtl w:val="0"/>
        </w:rPr>
        <w:t xml:space="preserve">clave catastral</w:t>
      </w:r>
      <w:r w:rsidDel="00000000" w:rsidR="00000000" w:rsidRPr="00000000">
        <w:rPr>
          <w:rFonts w:ascii="Palatino Linotype" w:cs="Palatino Linotype" w:eastAsia="Palatino Linotype" w:hAnsi="Palatino Linotype"/>
          <w:rtl w:val="0"/>
        </w:rPr>
        <w:t xml:space="preserve"> reviste el carácter de confidencial respecto de aquellos inmuebles de dominio privado, en razón de que la clave catastral remite a información que contiene datos personales, por lo que no puede otorgarse a terceros, dada la confidencialidad que distingue a sus elementos. En ese sentido, sobre la clave catastral debe decirse que 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el “Diccionario de Datos catastrales Escala 1:1000” del Instituto Nacional de Estadística y Geografía (INEGI), contempla en su Glosario la definición de la Clave Catastral, la cual, apunta lo siguiente:</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120" w:before="120" w:lineRule="auto"/>
        <w:ind w:left="851"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Clave Catastral</w:t>
      </w:r>
      <w:r w:rsidDel="00000000" w:rsidR="00000000" w:rsidRPr="00000000">
        <w:rPr>
          <w:rFonts w:ascii="Palatino Linotype" w:cs="Palatino Linotype" w:eastAsia="Palatino Linotype" w:hAnsi="Palatino Linotype"/>
          <w:i w:val="1"/>
          <w:iCs w:val="1"/>
          <w:rtl w:val="0"/>
        </w:rPr>
        <w:t xml:space="preserve">: El código que identifica al predio de forma única para su localización geográfica, mismo que es asignado a cada uno de ellos en el momento de su inscripción en el padrón catastral por las Unidades del Estado con atribuciones catastrales.”</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concepto antepuesto, se advierte que la Clave Catastral es una serie de elementos que hacen identificable un inmueble para su localización geográfica y posterior inscripción al padrón catastral de cada Entidad Federativa y, quizá hasta podría revelar información inherente al patrimonio del propietario de dicho predio o inmueble, lo que no otorga ni certeza jurídica ni abona a la transparencia, ya que no se trata de actos de autoridad que ayuden a hacer público el quehacer de los servidores, por lo cual se reitera que no es procedente la entrega de dicho dato, al actualizar lo previsto en el artículo 143, fracción I de la Ley de Transparencia y Acceso a la Información Pública del Estado de México y Municipios.</w:t>
      </w:r>
    </w:p>
    <w:p w:rsidR="00000000" w:rsidDel="00000000" w:rsidP="00000000" w:rsidRDefault="00000000" w:rsidRPr="00000000" w14:paraId="000000DD">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se coincide con la clasificación del </w:t>
      </w:r>
      <w:r w:rsidDel="00000000" w:rsidR="00000000" w:rsidRPr="00000000">
        <w:rPr>
          <w:rFonts w:ascii="Palatino Linotype" w:cs="Palatino Linotype" w:eastAsia="Palatino Linotype" w:hAnsi="Palatino Linotype"/>
          <w:b w:val="1"/>
          <w:bCs w:val="1"/>
          <w:rtl w:val="0"/>
        </w:rPr>
        <w:t xml:space="preserve">nombre completo de los servidores públicos adscritos a la Dirección de Seguridad Pública Municipal o equivalente que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u w:val="single"/>
          <w:rtl w:val="0"/>
        </w:rPr>
        <w:t xml:space="preserve">desempeñan funciones operativas,</w:t>
      </w:r>
      <w:r w:rsidDel="00000000" w:rsidR="00000000" w:rsidRPr="00000000">
        <w:rPr>
          <w:rFonts w:ascii="Palatino Linotype" w:cs="Palatino Linotype" w:eastAsia="Palatino Linotype" w:hAnsi="Palatino Linotype"/>
          <w:rtl w:val="0"/>
        </w:rPr>
        <w:t xml:space="preserve"> como información reservada, en el entendido de que la difusión de dicha información pudiera poner en riesgo su vida, salud y seguridad, derivado de las funciones que les son encomendadas en términos del artículo 21 párrafo noveno de la Constitución Política de los Estados Unidos Mexicanos, las cuales comprenden, la prevención de los delitos, investigación y persecución, entre otras, encuadrando dicha información en el supuesto de clasificación previsto en el artículo 140, fracción IV de la Ley de Transparencia Local.</w:t>
      </w:r>
    </w:p>
    <w:p w:rsidR="00000000" w:rsidDel="00000000" w:rsidP="00000000" w:rsidRDefault="00000000" w:rsidRPr="00000000" w14:paraId="000000DE">
      <w:pPr>
        <w:spacing w:after="240" w:before="240"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Como sustento de lo anterior, es preciso mencionar que el </w:t>
      </w:r>
      <w:r w:rsidDel="00000000" w:rsidR="00000000" w:rsidRPr="00000000">
        <w:rPr>
          <w:rFonts w:ascii="Palatino Linotype" w:cs="Palatino Linotype" w:eastAsia="Palatino Linotype" w:hAnsi="Palatino Linotype"/>
          <w:b w:val="1"/>
          <w:bCs w:val="1"/>
          <w:rtl w:val="0"/>
        </w:rPr>
        <w:t xml:space="preserve">actual Pleno de este Instituto ha sostenido el criterio de no dar a conocer los nombres de aquellos servidores públicos que realizan funciones operativas en materia de seguridad pública, </w:t>
      </w:r>
      <w:r w:rsidDel="00000000" w:rsidR="00000000" w:rsidRPr="00000000">
        <w:rPr>
          <w:rFonts w:ascii="Palatino Linotype" w:cs="Palatino Linotype" w:eastAsia="Palatino Linotype" w:hAnsi="Palatino Linotype"/>
          <w:rtl w:val="0"/>
        </w:rPr>
        <w:t xml:space="preserve">pues los vuelve identificables y posiblemente reconocibles para grupos delictivos, que pudieran relacionarlos directamente con actividades u operativos pasados, presentes o ubicarlos simplemente por el hecho de pertenecer a una organización que lleva a cabo actividades de prevención y salvaguarda de la integridad de las personas en el combate a la delincuencia; así, dicha información puede ser utilizada para </w:t>
      </w:r>
      <w:r w:rsidDel="00000000" w:rsidR="00000000" w:rsidRPr="00000000">
        <w:rPr>
          <w:rFonts w:ascii="Palatino Linotype" w:cs="Palatino Linotype" w:eastAsia="Palatino Linotype" w:hAnsi="Palatino Linotype"/>
          <w:b w:val="1"/>
          <w:bCs w:val="1"/>
          <w:rtl w:val="0"/>
        </w:rPr>
        <w:t xml:space="preserve">vulnerar la vida, seguridad o salud de dichos elementos, incluso la de sus familias o entorno social. </w:t>
      </w:r>
    </w:p>
    <w:p w:rsidR="00000000" w:rsidDel="00000000" w:rsidP="00000000" w:rsidRDefault="00000000" w:rsidRPr="00000000" w14:paraId="000000D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el</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artículo 140, fracción IV, de la Ley de Transparencia y Acceso a la Información Pública del Estado de México y Municipios prevé lo siguiente:</w:t>
      </w:r>
    </w:p>
    <w:p w:rsidR="00000000" w:rsidDel="00000000" w:rsidP="00000000" w:rsidRDefault="00000000" w:rsidRPr="00000000" w14:paraId="000000E0">
      <w:pPr>
        <w:tabs>
          <w:tab w:val="left" w:leader="none" w:pos="4962"/>
        </w:tabs>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140.</w:t>
      </w:r>
      <w:r w:rsidDel="00000000" w:rsidR="00000000" w:rsidRPr="00000000">
        <w:rPr>
          <w:rFonts w:ascii="Palatino Linotype" w:cs="Palatino Linotype" w:eastAsia="Palatino Linotype" w:hAnsi="Palatino Linotype"/>
          <w:i w:val="1"/>
          <w:iCs w:val="1"/>
          <w:rtl w:val="0"/>
        </w:rPr>
        <w:t xml:space="preserve"> El acceso a la información pública será restringido excepcionalmente, cuando por razones de interés público, ésta sea clasificada como reservada, conforme a los criterios siguientes: </w:t>
      </w:r>
    </w:p>
    <w:p w:rsidR="00000000" w:rsidDel="00000000" w:rsidP="00000000" w:rsidRDefault="00000000" w:rsidRPr="00000000" w14:paraId="000000E1">
      <w:pPr>
        <w:tabs>
          <w:tab w:val="left" w:leader="none" w:pos="4962"/>
        </w:tabs>
        <w:spacing w:after="120" w:before="12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E2">
      <w:pPr>
        <w:tabs>
          <w:tab w:val="left" w:leader="none" w:pos="4962"/>
        </w:tabs>
        <w:spacing w:after="120" w:before="12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IV.</w:t>
      </w:r>
      <w:r w:rsidDel="00000000" w:rsidR="00000000" w:rsidRPr="00000000">
        <w:rPr>
          <w:rFonts w:ascii="Palatino Linotype" w:cs="Palatino Linotype" w:eastAsia="Palatino Linotype" w:hAnsi="Palatino Linotype"/>
          <w:i w:val="1"/>
          <w:iCs w:val="1"/>
          <w:rtl w:val="0"/>
        </w:rPr>
        <w:t xml:space="preserve"> Ponga en riesgo la vida, la seguridad o la salud de una persona física;</w:t>
      </w:r>
    </w:p>
    <w:p w:rsidR="00000000" w:rsidDel="00000000" w:rsidP="00000000" w:rsidRDefault="00000000" w:rsidRPr="00000000" w14:paraId="000000E3">
      <w:pPr>
        <w:tabs>
          <w:tab w:val="left" w:leader="none" w:pos="4962"/>
        </w:tabs>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 </w:t>
      </w:r>
    </w:p>
    <w:p w:rsidR="00000000" w:rsidDel="00000000" w:rsidP="00000000" w:rsidRDefault="00000000" w:rsidRPr="00000000" w14:paraId="000000E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precepto legal citado se desprende que como información reservada podrá clasificarse aquella cuya publicación </w:t>
      </w:r>
      <w:r w:rsidDel="00000000" w:rsidR="00000000" w:rsidRPr="00000000">
        <w:rPr>
          <w:rFonts w:ascii="Palatino Linotype" w:cs="Palatino Linotype" w:eastAsia="Palatino Linotype" w:hAnsi="Palatino Linotype"/>
          <w:b w:val="1"/>
          <w:bCs w:val="1"/>
          <w:rtl w:val="0"/>
        </w:rPr>
        <w:t xml:space="preserve">pueda poner en riesgo la vida, seguridad o salud de una persona física. </w:t>
      </w:r>
      <w:r w:rsidDel="00000000" w:rsidR="00000000" w:rsidRPr="00000000">
        <w:rPr>
          <w:rFonts w:ascii="Palatino Linotype" w:cs="Palatino Linotype" w:eastAsia="Palatino Linotype" w:hAnsi="Palatino Linotype"/>
          <w:rtl w:val="0"/>
        </w:rPr>
        <w:t xml:space="preserve">En concatenación con lo anterior, los Lineamientos Generales en Materia de Clasificación y Desclasificación de la Información, así como para la Elaboración de Versiones Públicas, establecen lo siguiente:</w:t>
      </w:r>
    </w:p>
    <w:p w:rsidR="00000000" w:rsidDel="00000000" w:rsidP="00000000" w:rsidRDefault="00000000" w:rsidRPr="00000000" w14:paraId="000000E5">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“Vigésimo tercero. </w:t>
      </w:r>
      <w:r w:rsidDel="00000000" w:rsidR="00000000" w:rsidRPr="00000000">
        <w:rPr>
          <w:rFonts w:ascii="Palatino Linotype" w:cs="Palatino Linotype" w:eastAsia="Palatino Linotype" w:hAnsi="Palatino Linotype"/>
          <w:i w:val="1"/>
          <w:iCs w:val="1"/>
          <w:rtl w:val="0"/>
        </w:rPr>
        <w:t xml:space="preserve">Para clasificar la información como reservada, de conformidad con el artículo 113, fracción V de la Ley General, será necesario acreditar un vínculo, entre la persona física y la información que pueda poner en riesgo su vida, seguridad o salud.”</w:t>
      </w:r>
    </w:p>
    <w:p w:rsidR="00000000" w:rsidDel="00000000" w:rsidP="00000000" w:rsidRDefault="00000000" w:rsidRPr="00000000" w14:paraId="000000E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Lineamiento referido, se desprende que para clasificar la información como reservada, será necesario </w:t>
      </w:r>
      <w:r w:rsidDel="00000000" w:rsidR="00000000" w:rsidRPr="00000000">
        <w:rPr>
          <w:rFonts w:ascii="Palatino Linotype" w:cs="Palatino Linotype" w:eastAsia="Palatino Linotype" w:hAnsi="Palatino Linotype"/>
          <w:b w:val="1"/>
          <w:bCs w:val="1"/>
          <w:rtl w:val="0"/>
        </w:rPr>
        <w:t xml:space="preserve">acreditar un vínculo, entre la persona física y la información que pueda poner en riesgo su vida, seguridad o salud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E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el artículo 81, fracción III, de la Ley de Seguridad del Estado de México, establece lo siguiente:</w:t>
      </w:r>
    </w:p>
    <w:p w:rsidR="00000000" w:rsidDel="00000000" w:rsidP="00000000" w:rsidRDefault="00000000" w:rsidRPr="00000000" w14:paraId="000000E8">
      <w:pPr>
        <w:spacing w:after="120" w:before="120" w:lineRule="auto"/>
        <w:ind w:left="851"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81.-</w:t>
      </w:r>
      <w:r w:rsidDel="00000000" w:rsidR="00000000" w:rsidRPr="00000000">
        <w:rPr>
          <w:rFonts w:ascii="Palatino Linotype" w:cs="Palatino Linotype" w:eastAsia="Palatino Linotype" w:hAnsi="Palatino Linotype"/>
          <w:i w:val="1"/>
          <w:iCs w:val="1"/>
          <w:rtl w:val="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00000000" w:rsidDel="00000000" w:rsidP="00000000" w:rsidRDefault="00000000" w:rsidRPr="00000000" w14:paraId="000000E9">
      <w:pPr>
        <w:spacing w:after="120" w:before="120" w:lineRule="auto"/>
        <w:ind w:left="1134"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EA">
      <w:pPr>
        <w:spacing w:after="120" w:before="120" w:lineRule="auto"/>
        <w:ind w:left="1134"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III.</w:t>
      </w:r>
      <w:r w:rsidDel="00000000" w:rsidR="00000000" w:rsidRPr="00000000">
        <w:rPr>
          <w:rFonts w:ascii="Palatino Linotype" w:cs="Palatino Linotype" w:eastAsia="Palatino Linotype" w:hAnsi="Palatino Linotype"/>
          <w:i w:val="1"/>
          <w:iCs w:val="1"/>
          <w:rtl w:val="0"/>
        </w:rPr>
        <w:t xml:space="preserve"> La relativa a los servidores públicos integrantes de las instituciones de seguridad pública, </w:t>
      </w:r>
      <w:r w:rsidDel="00000000" w:rsidR="00000000" w:rsidRPr="00000000">
        <w:rPr>
          <w:rFonts w:ascii="Palatino Linotype" w:cs="Palatino Linotype" w:eastAsia="Palatino Linotype" w:hAnsi="Palatino Linotype"/>
          <w:b w:val="1"/>
          <w:bCs w:val="1"/>
          <w:i w:val="1"/>
          <w:iCs w:val="1"/>
          <w:rtl w:val="0"/>
        </w:rPr>
        <w:t xml:space="preserve">cuya revelación pueda poner en riesgo su vida e integridad física con motivo de sus funciones;</w:t>
      </w:r>
      <w:r w:rsidDel="00000000" w:rsidR="00000000" w:rsidRPr="00000000">
        <w:rPr>
          <w:rtl w:val="0"/>
        </w:rPr>
      </w:r>
    </w:p>
    <w:p w:rsidR="00000000" w:rsidDel="00000000" w:rsidP="00000000" w:rsidRDefault="00000000" w:rsidRPr="00000000" w14:paraId="000000EB">
      <w:pPr>
        <w:spacing w:after="120" w:before="120" w:lineRule="auto"/>
        <w:ind w:left="851"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EC">
      <w:pPr>
        <w:spacing w:after="240" w:before="240"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Así, se desprende que es reservada toda aquella información de los servidores públicos integrantes de las instituciones de seguridad pública, cuya revelación </w:t>
      </w:r>
      <w:r w:rsidDel="00000000" w:rsidR="00000000" w:rsidRPr="00000000">
        <w:rPr>
          <w:rFonts w:ascii="Palatino Linotype" w:cs="Palatino Linotype" w:eastAsia="Palatino Linotype" w:hAnsi="Palatino Linotype"/>
          <w:b w:val="1"/>
          <w:bCs w:val="1"/>
          <w:rtl w:val="0"/>
        </w:rPr>
        <w:t xml:space="preserve">pueda poner en riesgo su vida e integridad física con motivo de sus funciones.</w:t>
      </w:r>
    </w:p>
    <w:p w:rsidR="00000000" w:rsidDel="00000000" w:rsidP="00000000" w:rsidRDefault="00000000" w:rsidRPr="00000000" w14:paraId="000000E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resulta necesario traer por analogía, el criterio de interpretación con clave de control SO/006/2009, emitido por el entonces Instituto Federal de Acceso a la Información y Protección de Datos, que establece lo siguiente:</w:t>
      </w:r>
    </w:p>
    <w:p w:rsidR="00000000" w:rsidDel="00000000" w:rsidP="00000000" w:rsidRDefault="00000000" w:rsidRPr="00000000" w14:paraId="000000EE">
      <w:pPr>
        <w:tabs>
          <w:tab w:val="left" w:leader="none" w:pos="4962"/>
        </w:tabs>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“Nombres de servidores públicos dedicados a actividades en materia de seguridad, por excepción pueden considerarse información reservada.</w:t>
      </w:r>
      <w:r w:rsidDel="00000000" w:rsidR="00000000" w:rsidRPr="00000000">
        <w:rPr>
          <w:rFonts w:ascii="Palatino Linotype" w:cs="Palatino Linotype" w:eastAsia="Palatino Linotype" w:hAnsi="Palatino Linotype"/>
          <w:i w:val="1"/>
          <w:iCs w:val="1"/>
          <w:rtl w:val="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000000" w:rsidDel="00000000" w:rsidP="00000000" w:rsidRDefault="00000000" w:rsidRPr="00000000" w14:paraId="000000EF">
      <w:pPr>
        <w:spacing w:after="240" w:before="240"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Del="00000000" w:rsidR="00000000" w:rsidRPr="00000000">
        <w:rPr>
          <w:rFonts w:ascii="Palatino Linotype" w:cs="Palatino Linotype" w:eastAsia="Palatino Linotype" w:hAnsi="Palatino Linotype"/>
          <w:b w:val="1"/>
          <w:bCs w:val="1"/>
          <w:rtl w:val="0"/>
        </w:rPr>
        <w:t xml:space="preserve">funciones de carácter operativo.</w:t>
      </w:r>
    </w:p>
    <w:p w:rsidR="00000000" w:rsidDel="00000000" w:rsidP="00000000" w:rsidRDefault="00000000" w:rsidRPr="00000000" w14:paraId="000000F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si bien por regla general el nombre de los servidores públicos es información de naturaleza pública, siendo obligación de los entes públicos poner a disposición de los particulares, de manera permanente y actualizada, dicha información, existe una excepción relativa a </w:t>
      </w:r>
      <w:r w:rsidDel="00000000" w:rsidR="00000000" w:rsidRPr="00000000">
        <w:rPr>
          <w:rFonts w:ascii="Palatino Linotype" w:cs="Palatino Linotype" w:eastAsia="Palatino Linotype" w:hAnsi="Palatino Linotype"/>
          <w:b w:val="1"/>
          <w:bCs w:val="1"/>
          <w:rtl w:val="0"/>
        </w:rPr>
        <w:t xml:space="preserve">aquellos que realicen actividades operativas en materia de seguridad,</w:t>
      </w:r>
      <w:r w:rsidDel="00000000" w:rsidR="00000000" w:rsidRPr="00000000">
        <w:rPr>
          <w:rFonts w:ascii="Palatino Linotype" w:cs="Palatino Linotype" w:eastAsia="Palatino Linotype" w:hAnsi="Palatino Linotype"/>
          <w:rtl w:val="0"/>
        </w:rPr>
        <w:t xml:space="preserve"> como es el caso de los elementos operativos.</w:t>
      </w:r>
    </w:p>
    <w:p w:rsidR="00000000" w:rsidDel="00000000" w:rsidP="00000000" w:rsidRDefault="00000000" w:rsidRPr="00000000" w14:paraId="000000F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00000000" w:rsidDel="00000000" w:rsidP="00000000" w:rsidRDefault="00000000" w:rsidRPr="00000000" w14:paraId="000000F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el artículo 6, fracciones XI y XII de dicho ordenamiento jurídico, establece los siguientes conceptos:</w:t>
      </w:r>
    </w:p>
    <w:p w:rsidR="00000000" w:rsidDel="00000000" w:rsidP="00000000" w:rsidRDefault="00000000" w:rsidRPr="00000000" w14:paraId="000000F3">
      <w:pPr>
        <w:numPr>
          <w:ilvl w:val="0"/>
          <w:numId w:val="3"/>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Instituciones Policiales: </w:t>
      </w:r>
      <w:r w:rsidDel="00000000" w:rsidR="00000000" w:rsidRPr="00000000">
        <w:rPr>
          <w:rFonts w:ascii="Palatino Linotype" w:cs="Palatino Linotype" w:eastAsia="Palatino Linotype" w:hAnsi="Palatino Linotype"/>
          <w:rtl w:val="0"/>
        </w:rPr>
        <w:t xml:space="preserve">Son los cuerpos de policía, de vigilancia y custodia de los establecimientos penitenciarios, detención preventiva, centros de arraigo y en general, </w:t>
      </w:r>
      <w:r w:rsidDel="00000000" w:rsidR="00000000" w:rsidRPr="00000000">
        <w:rPr>
          <w:rFonts w:ascii="Palatino Linotype" w:cs="Palatino Linotype" w:eastAsia="Palatino Linotype" w:hAnsi="Palatino Linotype"/>
          <w:b w:val="1"/>
          <w:bCs w:val="1"/>
          <w:rtl w:val="0"/>
        </w:rPr>
        <w:t xml:space="preserve">todas las dependencias encargadas de la seguridad pública a nivel</w:t>
      </w:r>
      <w:r w:rsidDel="00000000" w:rsidR="00000000" w:rsidRPr="00000000">
        <w:rPr>
          <w:rFonts w:ascii="Palatino Linotype" w:cs="Palatino Linotype" w:eastAsia="Palatino Linotype" w:hAnsi="Palatino Linotype"/>
          <w:rtl w:val="0"/>
        </w:rPr>
        <w:t xml:space="preserve"> estatal y </w:t>
      </w:r>
      <w:r w:rsidDel="00000000" w:rsidR="00000000" w:rsidRPr="00000000">
        <w:rPr>
          <w:rFonts w:ascii="Palatino Linotype" w:cs="Palatino Linotype" w:eastAsia="Palatino Linotype" w:hAnsi="Palatino Linotype"/>
          <w:b w:val="1"/>
          <w:bCs w:val="1"/>
          <w:rtl w:val="0"/>
        </w:rPr>
        <w:t xml:space="preserve">municipal.</w:t>
      </w:r>
    </w:p>
    <w:p w:rsidR="00000000" w:rsidDel="00000000" w:rsidP="00000000" w:rsidRDefault="00000000" w:rsidRPr="00000000" w14:paraId="000000F4">
      <w:pPr>
        <w:numPr>
          <w:ilvl w:val="0"/>
          <w:numId w:val="3"/>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Instituciones de Seguridad Pública: </w:t>
      </w:r>
      <w:r w:rsidDel="00000000" w:rsidR="00000000" w:rsidRPr="00000000">
        <w:rPr>
          <w:rFonts w:ascii="Palatino Linotype" w:cs="Palatino Linotype" w:eastAsia="Palatino Linotype" w:hAnsi="Palatino Linotype"/>
          <w:rtl w:val="0"/>
        </w:rPr>
        <w:t xml:space="preserve">Instituciones Policiales, Procuración de Justicia, Sistema Penitenciario y </w:t>
      </w:r>
      <w:r w:rsidDel="00000000" w:rsidR="00000000" w:rsidRPr="00000000">
        <w:rPr>
          <w:rFonts w:ascii="Palatino Linotype" w:cs="Palatino Linotype" w:eastAsia="Palatino Linotype" w:hAnsi="Palatino Linotype"/>
          <w:b w:val="1"/>
          <w:bCs w:val="1"/>
          <w:rtl w:val="0"/>
        </w:rPr>
        <w:t xml:space="preserve">dependencias encargadas de la seguridad pública a nivel </w:t>
      </w:r>
      <w:r w:rsidDel="00000000" w:rsidR="00000000" w:rsidRPr="00000000">
        <w:rPr>
          <w:rFonts w:ascii="Palatino Linotype" w:cs="Palatino Linotype" w:eastAsia="Palatino Linotype" w:hAnsi="Palatino Linotype"/>
          <w:rtl w:val="0"/>
        </w:rPr>
        <w:t xml:space="preserve">estatal y </w:t>
      </w:r>
      <w:r w:rsidDel="00000000" w:rsidR="00000000" w:rsidRPr="00000000">
        <w:rPr>
          <w:rFonts w:ascii="Palatino Linotype" w:cs="Palatino Linotype" w:eastAsia="Palatino Linotype" w:hAnsi="Palatino Linotype"/>
          <w:b w:val="1"/>
          <w:bCs w:val="1"/>
          <w:rtl w:val="0"/>
        </w:rPr>
        <w:t xml:space="preserve">municipal.</w:t>
      </w:r>
    </w:p>
    <w:p w:rsidR="00000000" w:rsidDel="00000000" w:rsidP="00000000" w:rsidRDefault="00000000" w:rsidRPr="00000000" w14:paraId="000000F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puede deducir que la Comisaría Municipal es una institución de seguridad pública, pues tiene como atribución principal resguardar el orden público y la paz social, la prevención de delitos y la inhibición de manifestaciones de conductas antisociales.</w:t>
      </w:r>
    </w:p>
    <w:p w:rsidR="00000000" w:rsidDel="00000000" w:rsidP="00000000" w:rsidRDefault="00000000" w:rsidRPr="00000000" w14:paraId="000000F6">
      <w:pPr>
        <w:tabs>
          <w:tab w:val="left" w:leader="none" w:pos="4962"/>
        </w:tabs>
        <w:spacing w:after="240" w:before="240"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el Instructivo de llenado del Formato “Personal de Seguridad Pública”, del Secretariado Ejecutivo del Sistema Nacional de Seguridad Pública (consultado en la liga electrónica </w:t>
      </w:r>
      <w:hyperlink r:id="rId10">
        <w:r w:rsidDel="00000000" w:rsidR="00000000" w:rsidRPr="00000000">
          <w:rPr>
            <w:rFonts w:ascii="Palatino Linotype" w:cs="Palatino Linotype" w:eastAsia="Palatino Linotype" w:hAnsi="Palatino Linotype"/>
            <w:u w:val="single"/>
            <w:rtl w:val="0"/>
          </w:rPr>
          <w:t xml:space="preserve">http://secretariadoejecutivo.gob.mx/work/models/SecretariadoEjecutivo/Resource/328/1/images/instructivo_final_edo_fuerza(1).pdf</w:t>
        </w:r>
      </w:hyperlink>
      <w:r w:rsidDel="00000000" w:rsidR="00000000" w:rsidRPr="00000000">
        <w:rPr>
          <w:rFonts w:ascii="Palatino Linotype" w:cs="Palatino Linotype" w:eastAsia="Palatino Linotype" w:hAnsi="Palatino Linotype"/>
          <w:rtl w:val="0"/>
        </w:rPr>
        <w:t xml:space="preserve">), establece que los elementos operativos de seguridad pública, son aquellos que desempeñan funciones de campo (policiacas, especializadas o equivalentes y que no </w:t>
      </w:r>
      <w:r w:rsidDel="00000000" w:rsidR="00000000" w:rsidRPr="00000000">
        <w:rPr>
          <w:rFonts w:ascii="Palatino Linotype" w:cs="Palatino Linotype" w:eastAsia="Palatino Linotype" w:hAnsi="Palatino Linotype"/>
          <w:b w:val="1"/>
          <w:bCs w:val="1"/>
          <w:rtl w:val="0"/>
        </w:rPr>
        <w:t xml:space="preserve">desempeña funciones de mando</w:t>
      </w:r>
      <w:r w:rsidDel="00000000" w:rsidR="00000000" w:rsidRPr="00000000">
        <w:rPr>
          <w:rFonts w:ascii="Palatino Linotype" w:cs="Palatino Linotype" w:eastAsia="Palatino Linotype" w:hAnsi="Palatino Linotype"/>
          <w:rtl w:val="0"/>
        </w:rPr>
        <w:t xml:space="preserve">), entre los cuales, se encuentra </w:t>
      </w:r>
      <w:r w:rsidDel="00000000" w:rsidR="00000000" w:rsidRPr="00000000">
        <w:rPr>
          <w:rFonts w:ascii="Palatino Linotype" w:cs="Palatino Linotype" w:eastAsia="Palatino Linotype" w:hAnsi="Palatino Linotype"/>
          <w:b w:val="1"/>
          <w:bCs w:val="1"/>
          <w:rtl w:val="0"/>
        </w:rPr>
        <w:t xml:space="preserve">la Policía Municipal</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F7">
      <w:pPr>
        <w:tabs>
          <w:tab w:val="left" w:leader="none" w:pos="4962"/>
        </w:tabs>
        <w:spacing w:after="240" w:before="240"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Comisaria Municipal, tiene dos clases de servidores públicos, por una parte, los operativos (policía municipal) y por otra, los administrativos, de apoyo y personal de mando, los cuales no realizan funciones operativas.</w:t>
      </w:r>
    </w:p>
    <w:p w:rsidR="00000000" w:rsidDel="00000000" w:rsidP="00000000" w:rsidRDefault="00000000" w:rsidRPr="00000000" w14:paraId="000000F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dar a conocer el nombre completo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000000" w:rsidDel="00000000" w:rsidP="00000000" w:rsidRDefault="00000000" w:rsidRPr="00000000" w14:paraId="000000F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situación, se considera que dar a conocer el nombre completo de los elementos operativos, que incluye a los policías municipales, puede poner en riesgo la vida, seguridad y salud de estos, de sus familias e incluso su entorno social, pues al hacerlos identificables, los hace blanco de los agentes delincuenciales o inclusive a la delincuencia organizada, los cuales podrían amenazar o causarles algún daño, con el fin de entorpecer o disminuir la seguridad pública y aumentar la comisión de actos ilícitos.</w:t>
      </w:r>
    </w:p>
    <w:p w:rsidR="00000000" w:rsidDel="00000000" w:rsidP="00000000" w:rsidRDefault="00000000" w:rsidRPr="00000000" w14:paraId="000000FA">
      <w:pPr>
        <w:spacing w:after="240" w:before="240"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Por tales consideraciones, </w:t>
      </w:r>
      <w:r w:rsidDel="00000000" w:rsidR="00000000" w:rsidRPr="00000000">
        <w:rPr>
          <w:rFonts w:ascii="Palatino Linotype" w:cs="Palatino Linotype" w:eastAsia="Palatino Linotype" w:hAnsi="Palatino Linotype"/>
          <w:b w:val="1"/>
          <w:bCs w:val="1"/>
          <w:rtl w:val="0"/>
        </w:rPr>
        <w:t xml:space="preserve">resulta procedente la reserva del nombre completo de los elementos operativos, en términos del artículo 140, fracción IV, de la Ley de Transparencia y Acceso a la Información Pública del Estado de México y Municipios previamente citado.</w:t>
      </w:r>
    </w:p>
    <w:p w:rsidR="00000000" w:rsidDel="00000000" w:rsidP="00000000" w:rsidRDefault="00000000" w:rsidRPr="00000000" w14:paraId="000000F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concerniente a los oficios relacionados con expedientes administrativos en trámite o que no han quedado firmes, podrían recaer en los supuestos previstos en el artículo 140, fracciones VI y  VIII de la Ley de la Materia local, en cuyo caso, se deberá justificar de manera fundada y motivada la restricción al Derecho de acceso a la información, debiendo dar   cumplimiento de los elementos que prevén los lineamientos Vigésimo cuarto y Trigésimo de los Lineamientos Generales en Materia de Clasificación y Desclasificación de la Información,, a saber:</w:t>
      </w:r>
    </w:p>
    <w:p w:rsidR="00000000" w:rsidDel="00000000" w:rsidP="00000000" w:rsidRDefault="00000000" w:rsidRPr="00000000" w14:paraId="000000FC">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“Vigésimo cuarto</w:t>
      </w:r>
      <w:r w:rsidDel="00000000" w:rsidR="00000000" w:rsidRPr="00000000">
        <w:rPr>
          <w:rFonts w:ascii="Palatino Linotype" w:cs="Palatino Linotype" w:eastAsia="Palatino Linotype" w:hAnsi="Palatino Linotype"/>
          <w:i w:val="1"/>
          <w:iCs w:val="1"/>
          <w:rtl w:val="0"/>
        </w:rPr>
        <w:t xml:space="preserve">.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rsidR="00000000" w:rsidDel="00000000" w:rsidP="00000000" w:rsidRDefault="00000000" w:rsidRPr="00000000" w14:paraId="000000FD">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w:t>
      </w:r>
      <w:r w:rsidDel="00000000" w:rsidR="00000000" w:rsidRPr="00000000">
        <w:rPr>
          <w:rFonts w:ascii="Palatino Linotype" w:cs="Palatino Linotype" w:eastAsia="Palatino Linotype" w:hAnsi="Palatino Linotype"/>
          <w:i w:val="1"/>
          <w:iCs w:val="1"/>
          <w:rtl w:val="0"/>
        </w:rPr>
        <w:t xml:space="preserve"> La existencia de un procedimiento de verificación del cumplimiento de las leyes; </w:t>
      </w:r>
    </w:p>
    <w:p w:rsidR="00000000" w:rsidDel="00000000" w:rsidP="00000000" w:rsidRDefault="00000000" w:rsidRPr="00000000" w14:paraId="000000FE">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w:t>
      </w:r>
      <w:r w:rsidDel="00000000" w:rsidR="00000000" w:rsidRPr="00000000">
        <w:rPr>
          <w:rFonts w:ascii="Palatino Linotype" w:cs="Palatino Linotype" w:eastAsia="Palatino Linotype" w:hAnsi="Palatino Linotype"/>
          <w:i w:val="1"/>
          <w:iCs w:val="1"/>
          <w:rtl w:val="0"/>
        </w:rPr>
        <w:t xml:space="preserve">. Que el procedimiento se encuentre en trámite; </w:t>
      </w:r>
    </w:p>
    <w:p w:rsidR="00000000" w:rsidDel="00000000" w:rsidP="00000000" w:rsidRDefault="00000000" w:rsidRPr="00000000" w14:paraId="000000FF">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III</w:t>
      </w:r>
      <w:r w:rsidDel="00000000" w:rsidR="00000000" w:rsidRPr="00000000">
        <w:rPr>
          <w:rFonts w:ascii="Palatino Linotype" w:cs="Palatino Linotype" w:eastAsia="Palatino Linotype" w:hAnsi="Palatino Linotype"/>
          <w:i w:val="1"/>
          <w:iCs w:val="1"/>
          <w:rtl w:val="0"/>
        </w:rPr>
        <w:t xml:space="preserve">. La vinculación directa con las actividades que realiza la autoridad en el procedimiento de verificación del cumplimiento de las leyes, y </w:t>
      </w:r>
    </w:p>
    <w:p w:rsidR="00000000" w:rsidDel="00000000" w:rsidP="00000000" w:rsidRDefault="00000000" w:rsidRPr="00000000" w14:paraId="00000100">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IV</w:t>
      </w:r>
      <w:r w:rsidDel="00000000" w:rsidR="00000000" w:rsidRPr="00000000">
        <w:rPr>
          <w:rFonts w:ascii="Palatino Linotype" w:cs="Palatino Linotype" w:eastAsia="Palatino Linotype" w:hAnsi="Palatino Linotype"/>
          <w:i w:val="1"/>
          <w:iCs w:val="1"/>
          <w:rtl w:val="0"/>
        </w:rPr>
        <w:t xml:space="preserve">. Que la difusión de la información impida u obstaculice las actividades de inspección, supervisión o vigilancia que realicen las autoridades en el procedimiento de verificación del cumplimiento de las leyes.</w:t>
      </w:r>
    </w:p>
    <w:p w:rsidR="00000000" w:rsidDel="00000000" w:rsidP="00000000" w:rsidRDefault="00000000" w:rsidRPr="00000000" w14:paraId="00000101">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102">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Trigésimo.</w:t>
      </w:r>
      <w:r w:rsidDel="00000000" w:rsidR="00000000" w:rsidRPr="00000000">
        <w:rPr>
          <w:rFonts w:ascii="Palatino Linotype" w:cs="Palatino Linotype" w:eastAsia="Palatino Linotype" w:hAnsi="Palatino Linotype"/>
          <w:i w:val="1"/>
          <w:iCs w:val="1"/>
          <w:rtl w:val="0"/>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rsidR="00000000" w:rsidDel="00000000" w:rsidP="00000000" w:rsidRDefault="00000000" w:rsidRPr="00000000" w14:paraId="00000103">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La existencia de un juicio o procedimiento administrativo materialmente jurisdiccional, que se encuentre en trámite; </w:t>
      </w:r>
    </w:p>
    <w:p w:rsidR="00000000" w:rsidDel="00000000" w:rsidP="00000000" w:rsidRDefault="00000000" w:rsidRPr="00000000" w14:paraId="00000104">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Que la información solicitada se refiera a actuaciones, diligencias o constancias propias del procedimiento, y </w:t>
      </w:r>
    </w:p>
    <w:p w:rsidR="00000000" w:rsidDel="00000000" w:rsidP="00000000" w:rsidRDefault="00000000" w:rsidRPr="00000000" w14:paraId="00000105">
      <w:pPr>
        <w:spacing w:after="120" w:before="120" w:line="240" w:lineRule="auto"/>
        <w:ind w:left="851" w:right="902"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i w:val="1"/>
          <w:iCs w:val="1"/>
          <w:rtl w:val="0"/>
        </w:rPr>
        <w:t xml:space="preserve">III. Que su difusión afecte o interrumpa la libertad de decisión de las autoridades dentro del juicio o procedimiento administrativo seguido en forma de juicio.</w:t>
      </w:r>
      <w:r w:rsidDel="00000000" w:rsidR="00000000" w:rsidRPr="00000000">
        <w:rPr>
          <w:rtl w:val="0"/>
        </w:rPr>
      </w:r>
    </w:p>
    <w:p w:rsidR="00000000" w:rsidDel="00000000" w:rsidP="00000000" w:rsidRDefault="00000000" w:rsidRPr="00000000" w14:paraId="00000106">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Para los efectos del primer párrafo de este numeral, se considera procedimiento seguido en forma de juicio a aquel formalmente administrativo, pero materialmente jurisdiccional; esto es, en el que concurran los siguientes elementos: </w:t>
      </w:r>
    </w:p>
    <w:p w:rsidR="00000000" w:rsidDel="00000000" w:rsidP="00000000" w:rsidRDefault="00000000" w:rsidRPr="00000000" w14:paraId="00000107">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rsidR="00000000" w:rsidDel="00000000" w:rsidP="00000000" w:rsidRDefault="00000000" w:rsidRPr="00000000" w14:paraId="00000108">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2. Que se cumplan las formalidades esenciales del procedimiento. </w:t>
      </w:r>
    </w:p>
    <w:p w:rsidR="00000000" w:rsidDel="00000000" w:rsidP="00000000" w:rsidRDefault="00000000" w:rsidRPr="00000000" w14:paraId="00000109">
      <w:pPr>
        <w:spacing w:after="120" w:before="120" w:line="240" w:lineRule="auto"/>
        <w:ind w:left="851" w:right="902"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i w:val="1"/>
          <w:iCs w:val="1"/>
          <w:rtl w:val="0"/>
        </w:rPr>
        <w:t xml:space="preserve">No serán objeto de reserva las resoluciones interlocutorias o definitivas que se dicten dentro de los procedimientos o con las que se concluya el mismo. En estos casos deberá otorgarse acceso a la resolución en versión pública, testando la información clasificada.</w:t>
      </w:r>
      <w:r w:rsidDel="00000000" w:rsidR="00000000" w:rsidRPr="00000000">
        <w:rPr>
          <w:rtl w:val="0"/>
        </w:rPr>
      </w:r>
    </w:p>
    <w:p w:rsidR="00000000" w:rsidDel="00000000" w:rsidP="00000000" w:rsidRDefault="00000000" w:rsidRPr="00000000" w14:paraId="0000010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debe perderse de vista el contenido del artículo 142, fracción IV, de la Ley de Transparencia y Acceso a la Información Pública del Estado de México y Municipios, que es del tenor literal siguiente: </w:t>
      </w:r>
    </w:p>
    <w:p w:rsidR="00000000" w:rsidDel="00000000" w:rsidP="00000000" w:rsidRDefault="00000000" w:rsidRPr="00000000" w14:paraId="0000010B">
      <w:pPr>
        <w:spacing w:after="120" w:before="120" w:lineRule="auto"/>
        <w:ind w:left="851"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142.</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Bajo ninguna circunstancia podrá invocarse el carácter de reservado </w:t>
      </w:r>
      <w:r w:rsidDel="00000000" w:rsidR="00000000" w:rsidRPr="00000000">
        <w:rPr>
          <w:rFonts w:ascii="Palatino Linotype" w:cs="Palatino Linotype" w:eastAsia="Palatino Linotype" w:hAnsi="Palatino Linotype"/>
          <w:i w:val="1"/>
          <w:iCs w:val="1"/>
          <w:rtl w:val="0"/>
        </w:rPr>
        <w:t xml:space="preserve">cuando: </w:t>
      </w:r>
    </w:p>
    <w:p w:rsidR="00000000" w:rsidDel="00000000" w:rsidP="00000000" w:rsidRDefault="00000000" w:rsidRPr="00000000" w14:paraId="0000010C">
      <w:pPr>
        <w:tabs>
          <w:tab w:val="left" w:leader="none" w:pos="1134"/>
        </w:tabs>
        <w:spacing w:after="120" w:before="120" w:lineRule="auto"/>
        <w:ind w:left="851"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w:t>
      </w:r>
      <w:r w:rsidDel="00000000" w:rsidR="00000000" w:rsidRPr="00000000">
        <w:rPr>
          <w:rFonts w:ascii="Palatino Linotype" w:cs="Palatino Linotype" w:eastAsia="Palatino Linotype" w:hAnsi="Palatino Linotype"/>
          <w:i w:val="1"/>
          <w:iCs w:val="1"/>
          <w:rtl w:val="0"/>
        </w:rPr>
        <w:t xml:space="preserve"> Se trate de </w:t>
      </w:r>
      <w:r w:rsidDel="00000000" w:rsidR="00000000" w:rsidRPr="00000000">
        <w:rPr>
          <w:rFonts w:ascii="Palatino Linotype" w:cs="Palatino Linotype" w:eastAsia="Palatino Linotype" w:hAnsi="Palatino Linotype"/>
          <w:b w:val="1"/>
          <w:bCs w:val="1"/>
          <w:i w:val="1"/>
          <w:iCs w:val="1"/>
          <w:rtl w:val="0"/>
        </w:rPr>
        <w:t xml:space="preserve">violaciones graves de derechos humanos</w:t>
      </w:r>
      <w:r w:rsidDel="00000000" w:rsidR="00000000" w:rsidRPr="00000000">
        <w:rPr>
          <w:rFonts w:ascii="Palatino Linotype" w:cs="Palatino Linotype" w:eastAsia="Palatino Linotype" w:hAnsi="Palatino Linotype"/>
          <w:i w:val="1"/>
          <w:iCs w:val="1"/>
          <w:rtl w:val="0"/>
        </w:rPr>
        <w:t xml:space="preserve">, calificada así por autoridad competente; </w:t>
      </w:r>
    </w:p>
    <w:p w:rsidR="00000000" w:rsidDel="00000000" w:rsidP="00000000" w:rsidRDefault="00000000" w:rsidRPr="00000000" w14:paraId="0000010D">
      <w:pPr>
        <w:tabs>
          <w:tab w:val="left" w:leader="none" w:pos="1134"/>
        </w:tabs>
        <w:spacing w:after="120" w:before="120" w:lineRule="auto"/>
        <w:ind w:left="851"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w:t>
      </w:r>
      <w:r w:rsidDel="00000000" w:rsidR="00000000" w:rsidRPr="00000000">
        <w:rPr>
          <w:rFonts w:ascii="Palatino Linotype" w:cs="Palatino Linotype" w:eastAsia="Palatino Linotype" w:hAnsi="Palatino Linotype"/>
          <w:i w:val="1"/>
          <w:iCs w:val="1"/>
          <w:rtl w:val="0"/>
        </w:rPr>
        <w:t xml:space="preserve"> Se trate de la </w:t>
      </w:r>
      <w:r w:rsidDel="00000000" w:rsidR="00000000" w:rsidRPr="00000000">
        <w:rPr>
          <w:rFonts w:ascii="Palatino Linotype" w:cs="Palatino Linotype" w:eastAsia="Palatino Linotype" w:hAnsi="Palatino Linotype"/>
          <w:b w:val="1"/>
          <w:bCs w:val="1"/>
          <w:i w:val="1"/>
          <w:iCs w:val="1"/>
          <w:rtl w:val="0"/>
        </w:rPr>
        <w:t xml:space="preserve">investigación de posibles violaciones graves de derechos humanos</w:t>
      </w:r>
      <w:r w:rsidDel="00000000" w:rsidR="00000000" w:rsidRPr="00000000">
        <w:rPr>
          <w:rFonts w:ascii="Palatino Linotype" w:cs="Palatino Linotype" w:eastAsia="Palatino Linotype" w:hAnsi="Palatino Linotype"/>
          <w:i w:val="1"/>
          <w:iCs w:val="1"/>
          <w:rtl w:val="0"/>
        </w:rPr>
        <w:t xml:space="preserve"> aun cuando no exista pronunciamiento previo de autoridad competente, cuando se determine, a partir de criterios cuantitativos y cualitativos la trascendencia social de las violaciones; </w:t>
      </w:r>
    </w:p>
    <w:p w:rsidR="00000000" w:rsidDel="00000000" w:rsidP="00000000" w:rsidRDefault="00000000" w:rsidRPr="00000000" w14:paraId="0000010E">
      <w:pPr>
        <w:tabs>
          <w:tab w:val="left" w:leader="none" w:pos="1134"/>
        </w:tabs>
        <w:spacing w:after="120" w:before="120" w:lineRule="auto"/>
        <w:ind w:left="851"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III.</w:t>
      </w:r>
      <w:r w:rsidDel="00000000" w:rsidR="00000000" w:rsidRPr="00000000">
        <w:rPr>
          <w:rFonts w:ascii="Palatino Linotype" w:cs="Palatino Linotype" w:eastAsia="Palatino Linotype" w:hAnsi="Palatino Linotype"/>
          <w:i w:val="1"/>
          <w:iCs w:val="1"/>
          <w:rtl w:val="0"/>
        </w:rPr>
        <w:t xml:space="preserve"> Se trate de </w:t>
      </w:r>
      <w:r w:rsidDel="00000000" w:rsidR="00000000" w:rsidRPr="00000000">
        <w:rPr>
          <w:rFonts w:ascii="Palatino Linotype" w:cs="Palatino Linotype" w:eastAsia="Palatino Linotype" w:hAnsi="Palatino Linotype"/>
          <w:b w:val="1"/>
          <w:bCs w:val="1"/>
          <w:i w:val="1"/>
          <w:iCs w:val="1"/>
          <w:rtl w:val="0"/>
        </w:rPr>
        <w:t xml:space="preserve">delitos de lesa humanidad</w:t>
      </w:r>
      <w:r w:rsidDel="00000000" w:rsidR="00000000" w:rsidRPr="00000000">
        <w:rPr>
          <w:rFonts w:ascii="Palatino Linotype" w:cs="Palatino Linotype" w:eastAsia="Palatino Linotype" w:hAnsi="Palatino Linotype"/>
          <w:i w:val="1"/>
          <w:iCs w:val="1"/>
          <w:rtl w:val="0"/>
        </w:rPr>
        <w:t xml:space="preserve"> conforme a los tratados ratificados por el Senado de la República, las resoluciones emitidas por organismos internacionales cuya competencia sea reconocida por el Estado Mexicano, así como en las disposiciones jurídicas aplicables; y </w:t>
      </w:r>
    </w:p>
    <w:p w:rsidR="00000000" w:rsidDel="00000000" w:rsidP="00000000" w:rsidRDefault="00000000" w:rsidRPr="00000000" w14:paraId="0000010F">
      <w:pPr>
        <w:tabs>
          <w:tab w:val="left" w:leader="none" w:pos="1134"/>
        </w:tabs>
        <w:spacing w:after="120" w:before="120" w:lineRule="auto"/>
        <w:ind w:left="851"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IV</w:t>
      </w:r>
      <w:r w:rsidDel="00000000" w:rsidR="00000000" w:rsidRPr="00000000">
        <w:rPr>
          <w:rFonts w:ascii="Palatino Linotype" w:cs="Palatino Linotype" w:eastAsia="Palatino Linotype" w:hAnsi="Palatino Linotype"/>
          <w:i w:val="1"/>
          <w:iCs w:val="1"/>
          <w:rtl w:val="0"/>
        </w:rPr>
        <w:t xml:space="preserve">. Se trate de </w:t>
      </w:r>
      <w:r w:rsidDel="00000000" w:rsidR="00000000" w:rsidRPr="00000000">
        <w:rPr>
          <w:rFonts w:ascii="Palatino Linotype" w:cs="Palatino Linotype" w:eastAsia="Palatino Linotype" w:hAnsi="Palatino Linotype"/>
          <w:b w:val="1"/>
          <w:bCs w:val="1"/>
          <w:i w:val="1"/>
          <w:iCs w:val="1"/>
          <w:rtl w:val="0"/>
        </w:rPr>
        <w:t xml:space="preserve">información relacionada con actos de corrupción</w:t>
      </w:r>
      <w:r w:rsidDel="00000000" w:rsidR="00000000" w:rsidRPr="00000000">
        <w:rPr>
          <w:rFonts w:ascii="Palatino Linotype" w:cs="Palatino Linotype" w:eastAsia="Palatino Linotype" w:hAnsi="Palatino Linotype"/>
          <w:i w:val="1"/>
          <w:iCs w:val="1"/>
          <w:rtl w:val="0"/>
        </w:rPr>
        <w:t xml:space="preserve"> de conformidad con las disposiciones jurídicas aplicables.”</w:t>
      </w:r>
    </w:p>
    <w:p w:rsidR="00000000" w:rsidDel="00000000" w:rsidP="00000000" w:rsidRDefault="00000000" w:rsidRPr="00000000" w14:paraId="0000011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precepto citado se desprende que aquella información que se relacione con violaciones graves a derechos humanos, delitos de lesa humanidad o actos de corrupción, no puede actualizar alguno de los supuestos de clasificación como información reservada establecidos en el artículo 140 de la Ley de Transparencia y Acceso a la Información Pública del Estado de México y Municipios.</w:t>
      </w:r>
    </w:p>
    <w:p w:rsidR="00000000" w:rsidDel="00000000" w:rsidP="00000000" w:rsidRDefault="00000000" w:rsidRPr="00000000" w14:paraId="00000111">
      <w:pPr>
        <w:tabs>
          <w:tab w:val="left" w:leader="none" w:pos="4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00000000" w:rsidDel="00000000" w:rsidP="00000000" w:rsidRDefault="00000000" w:rsidRPr="00000000" w14:paraId="00000112">
      <w:pPr>
        <w:tabs>
          <w:tab w:val="left" w:leader="none" w:pos="4962"/>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 La divulgación de la información representa un riesgo real, demostrable e identificable de perjuicio significativo al interés público o a la seguridad nacional.</w:t>
      </w:r>
    </w:p>
    <w:p w:rsidR="00000000" w:rsidDel="00000000" w:rsidP="00000000" w:rsidRDefault="00000000" w:rsidRPr="00000000" w14:paraId="00000113">
      <w:pPr>
        <w:tabs>
          <w:tab w:val="left" w:leader="none" w:pos="4962"/>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II. El riesgo de perjuicio supera el interés público general de que se difunda.</w:t>
      </w:r>
    </w:p>
    <w:p w:rsidR="00000000" w:rsidDel="00000000" w:rsidP="00000000" w:rsidRDefault="00000000" w:rsidRPr="00000000" w14:paraId="00000114">
      <w:pPr>
        <w:tabs>
          <w:tab w:val="left" w:leader="none" w:pos="4962"/>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III. Que la limitación se adecua al principio de proporcionalidad y representa el medio menos restrictivo disponible para evitar el perjuicio.</w:t>
      </w:r>
    </w:p>
    <w:p w:rsidR="00000000" w:rsidDel="00000000" w:rsidP="00000000" w:rsidRDefault="00000000" w:rsidRPr="00000000" w14:paraId="000001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al plazo de reserva,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 en materia de seguridad, así como aquella información relacionada con procedimientos administrativos en trámite o que no hayan quedado firmes,  y proporcionar su respectivo acuerdo de Clasificación.</w:t>
      </w:r>
    </w:p>
    <w:p w:rsidR="00000000" w:rsidDel="00000000" w:rsidP="00000000" w:rsidRDefault="00000000" w:rsidRPr="00000000" w14:paraId="00000116">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 para lo cual se deben observar los </w:t>
      </w:r>
    </w:p>
    <w:p w:rsidR="00000000" w:rsidDel="00000000" w:rsidP="00000000" w:rsidRDefault="00000000" w:rsidRPr="00000000" w14:paraId="0000011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Lineamientos Segundo, fracción XVIII, y del Cuarto al Décimo Primero de los “Lineamientos Generales en materia de Clasificación y Desclasificación de la Información, así como para la elaboración de Versiones Públicas”, que literalmente expresan:</w:t>
      </w:r>
    </w:p>
    <w:p w:rsidR="00000000" w:rsidDel="00000000" w:rsidP="00000000" w:rsidRDefault="00000000" w:rsidRPr="00000000" w14:paraId="00000118">
      <w:pPr>
        <w:tabs>
          <w:tab w:val="left" w:leader="none" w:pos="8222"/>
        </w:tabs>
        <w:spacing w:after="120" w:before="120" w:lineRule="auto"/>
        <w:ind w:left="851" w:right="1134"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Segundo.-</w:t>
      </w:r>
      <w:r w:rsidDel="00000000" w:rsidR="00000000" w:rsidRPr="00000000">
        <w:rPr>
          <w:rFonts w:ascii="Palatino Linotype" w:cs="Palatino Linotype" w:eastAsia="Palatino Linotype" w:hAnsi="Palatino Linotype"/>
          <w:i w:val="1"/>
          <w:iCs w:val="1"/>
          <w:rtl w:val="0"/>
        </w:rPr>
        <w:t xml:space="preserve"> Para efectos de los presentes Lineamientos Generales, se entenderá por:</w:t>
      </w:r>
    </w:p>
    <w:p w:rsidR="00000000" w:rsidDel="00000000" w:rsidP="00000000" w:rsidRDefault="00000000" w:rsidRPr="00000000" w14:paraId="00000119">
      <w:pPr>
        <w:tabs>
          <w:tab w:val="left" w:leader="none" w:pos="8222"/>
        </w:tabs>
        <w:spacing w:after="120" w:before="120" w:lineRule="auto"/>
        <w:ind w:left="851" w:right="1134"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XVIII.</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Versión pública:</w:t>
      </w:r>
      <w:r w:rsidDel="00000000" w:rsidR="00000000" w:rsidRPr="00000000">
        <w:rPr>
          <w:rFonts w:ascii="Palatino Linotype" w:cs="Palatino Linotype" w:eastAsia="Palatino Linotype" w:hAnsi="Palatino Linotype"/>
          <w:i w:val="1"/>
          <w:iCs w:val="1"/>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bCs w:val="1"/>
          <w:i w:val="1"/>
          <w:iCs w:val="1"/>
          <w:rtl w:val="0"/>
        </w:rPr>
        <w:t xml:space="preserve">fundando y motivando la</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reserva o confidencialidad</w:t>
      </w:r>
      <w:r w:rsidDel="00000000" w:rsidR="00000000" w:rsidRPr="00000000">
        <w:rPr>
          <w:rFonts w:ascii="Palatino Linotype" w:cs="Palatino Linotype" w:eastAsia="Palatino Linotype" w:hAnsi="Palatino Linotype"/>
          <w:i w:val="1"/>
          <w:iCs w:val="1"/>
          <w:rtl w:val="0"/>
        </w:rPr>
        <w:t xml:space="preserve">, a través de la resolución que para tal efecto emita el Comité de Transparencia.</w:t>
      </w:r>
    </w:p>
    <w:p w:rsidR="00000000" w:rsidDel="00000000" w:rsidP="00000000" w:rsidRDefault="00000000" w:rsidRPr="00000000" w14:paraId="0000011A">
      <w:pPr>
        <w:tabs>
          <w:tab w:val="left" w:leader="none" w:pos="8222"/>
        </w:tabs>
        <w:spacing w:after="120" w:before="120" w:lineRule="auto"/>
        <w:ind w:left="851" w:right="1134"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w:t>
      </w:r>
    </w:p>
    <w:p w:rsidR="00000000" w:rsidDel="00000000" w:rsidP="00000000" w:rsidRDefault="00000000" w:rsidRPr="00000000" w14:paraId="0000011B">
      <w:pPr>
        <w:tabs>
          <w:tab w:val="left" w:leader="none" w:pos="8222"/>
        </w:tabs>
        <w:spacing w:after="120" w:before="120" w:lineRule="auto"/>
        <w:ind w:left="851" w:right="1134"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Cuarto.</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Para clasificar la información como</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reservada o</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confidencial, de manera total o parcial, el titular del área del sujeto obligado deberá atender lo dispuesto por el Título Sexto de la Ley General</w:t>
      </w:r>
      <w:r w:rsidDel="00000000" w:rsidR="00000000" w:rsidRPr="00000000">
        <w:rPr>
          <w:rFonts w:ascii="Palatino Linotype" w:cs="Palatino Linotype" w:eastAsia="Palatino Linotype" w:hAnsi="Palatino Linotype"/>
          <w:i w:val="1"/>
          <w:iCs w:val="1"/>
          <w:rtl w:val="0"/>
        </w:rPr>
        <w:t xml:space="preserve">,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0000" w:rsidDel="00000000" w:rsidP="00000000" w:rsidRDefault="00000000" w:rsidRPr="00000000" w14:paraId="0000011C">
      <w:pPr>
        <w:tabs>
          <w:tab w:val="left" w:leader="none" w:pos="8222"/>
        </w:tabs>
        <w:spacing w:after="120" w:before="120" w:lineRule="auto"/>
        <w:ind w:left="851" w:right="1134"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Los sujetos obligados deberán aplicar, de manera estricta, las excepciones al derecho de acceso a la información y sólo podrán invocarlas cuando acrediten su procedencia.</w:t>
      </w:r>
    </w:p>
    <w:p w:rsidR="00000000" w:rsidDel="00000000" w:rsidP="00000000" w:rsidRDefault="00000000" w:rsidRPr="00000000" w14:paraId="0000011D">
      <w:pPr>
        <w:tabs>
          <w:tab w:val="left" w:leader="none" w:pos="8222"/>
        </w:tabs>
        <w:spacing w:after="120" w:before="120" w:lineRule="auto"/>
        <w:ind w:left="851" w:right="1134"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Quinto.</w:t>
      </w:r>
      <w:r w:rsidDel="00000000" w:rsidR="00000000" w:rsidRPr="00000000">
        <w:rPr>
          <w:rFonts w:ascii="Palatino Linotype" w:cs="Palatino Linotype" w:eastAsia="Palatino Linotype" w:hAnsi="Palatino Linotype"/>
          <w:i w:val="1"/>
          <w:iCs w:val="1"/>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00000" w:rsidDel="00000000" w:rsidP="00000000" w:rsidRDefault="00000000" w:rsidRPr="00000000" w14:paraId="0000011E">
      <w:pPr>
        <w:tabs>
          <w:tab w:val="left" w:leader="none" w:pos="8222"/>
        </w:tabs>
        <w:spacing w:after="120" w:before="120" w:lineRule="auto"/>
        <w:ind w:left="851" w:right="1134"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Sexto.</w:t>
      </w:r>
      <w:r w:rsidDel="00000000" w:rsidR="00000000" w:rsidRPr="00000000">
        <w:rPr>
          <w:rFonts w:ascii="Palatino Linotype" w:cs="Palatino Linotype" w:eastAsia="Palatino Linotype" w:hAnsi="Palatino Linotype"/>
          <w:i w:val="1"/>
          <w:iCs w:val="1"/>
          <w:rtl w:val="0"/>
        </w:rPr>
        <w:t xml:space="preserve"> Se deroga.</w:t>
      </w:r>
    </w:p>
    <w:p w:rsidR="00000000" w:rsidDel="00000000" w:rsidP="00000000" w:rsidRDefault="00000000" w:rsidRPr="00000000" w14:paraId="0000011F">
      <w:pPr>
        <w:tabs>
          <w:tab w:val="left" w:leader="none" w:pos="8222"/>
        </w:tabs>
        <w:spacing w:after="120" w:before="120" w:lineRule="auto"/>
        <w:ind w:left="851" w:right="1134"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Séptimo.</w:t>
      </w:r>
      <w:r w:rsidDel="00000000" w:rsidR="00000000" w:rsidRPr="00000000">
        <w:rPr>
          <w:rFonts w:ascii="Palatino Linotype" w:cs="Palatino Linotype" w:eastAsia="Palatino Linotype" w:hAnsi="Palatino Linotype"/>
          <w:i w:val="1"/>
          <w:iCs w:val="1"/>
          <w:rtl w:val="0"/>
        </w:rPr>
        <w:t xml:space="preserve"> La clasificación de la información se llevará a cabo en el momento en que:</w:t>
      </w:r>
    </w:p>
    <w:p w:rsidR="00000000" w:rsidDel="00000000" w:rsidP="00000000" w:rsidRDefault="00000000" w:rsidRPr="00000000" w14:paraId="00000120">
      <w:pPr>
        <w:tabs>
          <w:tab w:val="left" w:leader="none" w:pos="8222"/>
        </w:tabs>
        <w:spacing w:after="120" w:before="120" w:lineRule="auto"/>
        <w:ind w:left="851" w:right="1134"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w:t>
      </w:r>
      <w:r w:rsidDel="00000000" w:rsidR="00000000" w:rsidRPr="00000000">
        <w:rPr>
          <w:rFonts w:ascii="Palatino Linotype" w:cs="Palatino Linotype" w:eastAsia="Palatino Linotype" w:hAnsi="Palatino Linotype"/>
          <w:i w:val="1"/>
          <w:iCs w:val="1"/>
          <w:rtl w:val="0"/>
        </w:rPr>
        <w:t xml:space="preserve"> Se reciba una solicitud de acceso a la información;</w:t>
      </w:r>
    </w:p>
    <w:p w:rsidR="00000000" w:rsidDel="00000000" w:rsidP="00000000" w:rsidRDefault="00000000" w:rsidRPr="00000000" w14:paraId="00000121">
      <w:pPr>
        <w:tabs>
          <w:tab w:val="left" w:leader="none" w:pos="8222"/>
        </w:tabs>
        <w:spacing w:after="120" w:before="120" w:lineRule="auto"/>
        <w:ind w:left="851" w:right="1134"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w:t>
      </w:r>
      <w:r w:rsidDel="00000000" w:rsidR="00000000" w:rsidRPr="00000000">
        <w:rPr>
          <w:rFonts w:ascii="Palatino Linotype" w:cs="Palatino Linotype" w:eastAsia="Palatino Linotype" w:hAnsi="Palatino Linotype"/>
          <w:i w:val="1"/>
          <w:iCs w:val="1"/>
          <w:rtl w:val="0"/>
        </w:rPr>
        <w:t xml:space="preserve"> Se determine mediante resolución del Comité de Transparencia, el órgano garante competente, o en cumplimiento a una sentencia del Poder Judicial; o</w:t>
      </w:r>
    </w:p>
    <w:p w:rsidR="00000000" w:rsidDel="00000000" w:rsidP="00000000" w:rsidRDefault="00000000" w:rsidRPr="00000000" w14:paraId="00000122">
      <w:pPr>
        <w:tabs>
          <w:tab w:val="left" w:leader="none" w:pos="8222"/>
        </w:tabs>
        <w:spacing w:after="120" w:before="120" w:lineRule="auto"/>
        <w:ind w:left="851" w:right="1134"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III.</w:t>
      </w:r>
      <w:r w:rsidDel="00000000" w:rsidR="00000000" w:rsidRPr="00000000">
        <w:rPr>
          <w:rFonts w:ascii="Palatino Linotype" w:cs="Palatino Linotype" w:eastAsia="Palatino Linotype" w:hAnsi="Palatino Linotype"/>
          <w:i w:val="1"/>
          <w:iCs w:val="1"/>
          <w:rtl w:val="0"/>
        </w:rPr>
        <w:t xml:space="preserve"> Se generen versiones públicas para dar cumplimiento a las obligaciones de transparencia previstas en la Ley General, la Ley Federal y las correspondientes de las entidades federativas.</w:t>
      </w:r>
    </w:p>
    <w:p w:rsidR="00000000" w:rsidDel="00000000" w:rsidP="00000000" w:rsidRDefault="00000000" w:rsidRPr="00000000" w14:paraId="00000123">
      <w:pPr>
        <w:tabs>
          <w:tab w:val="left" w:leader="none" w:pos="8222"/>
        </w:tabs>
        <w:spacing w:after="120" w:before="120" w:lineRule="auto"/>
        <w:ind w:left="851" w:right="1134"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Los titulares de las áreas deberán revisar la clasificación al momento de la recepción de una solicitud de acceso, para verificar</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rtl w:val="0"/>
        </w:rPr>
        <w:t xml:space="preserve">conforme a su naturaleza, si encuadra en una causal de reserva o de confidencialidad.</w:t>
      </w:r>
    </w:p>
    <w:p w:rsidR="00000000" w:rsidDel="00000000" w:rsidP="00000000" w:rsidRDefault="00000000" w:rsidRPr="00000000" w14:paraId="00000124">
      <w:pPr>
        <w:tabs>
          <w:tab w:val="left" w:leader="none" w:pos="8222"/>
        </w:tabs>
        <w:spacing w:after="120" w:before="120" w:lineRule="auto"/>
        <w:ind w:left="851" w:right="1134"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Octavo.</w:t>
      </w:r>
      <w:r w:rsidDel="00000000" w:rsidR="00000000" w:rsidRPr="00000000">
        <w:rPr>
          <w:rFonts w:ascii="Palatino Linotype" w:cs="Palatino Linotype" w:eastAsia="Palatino Linotype" w:hAnsi="Palatino Linotype"/>
          <w:i w:val="1"/>
          <w:iCs w:val="1"/>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00000" w:rsidDel="00000000" w:rsidP="00000000" w:rsidRDefault="00000000" w:rsidRPr="00000000" w14:paraId="00000125">
      <w:pPr>
        <w:tabs>
          <w:tab w:val="left" w:leader="none" w:pos="8222"/>
        </w:tabs>
        <w:spacing w:after="120" w:before="120" w:lineRule="auto"/>
        <w:ind w:left="851" w:right="1134"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Para motivar la clasificación se deberán señalar las razones o circunstancias especiales que lo llevaron a concluir que el caso particular se ajusta al supuesto previsto por la norma legal invocada como fundamento.</w:t>
      </w:r>
    </w:p>
    <w:p w:rsidR="00000000" w:rsidDel="00000000" w:rsidP="00000000" w:rsidRDefault="00000000" w:rsidRPr="00000000" w14:paraId="00000126">
      <w:pPr>
        <w:tabs>
          <w:tab w:val="left" w:leader="none" w:pos="8222"/>
        </w:tabs>
        <w:spacing w:after="120" w:before="120" w:lineRule="auto"/>
        <w:ind w:left="851" w:right="1134"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rsidR="00000000" w:rsidDel="00000000" w:rsidP="00000000" w:rsidRDefault="00000000" w:rsidRPr="00000000" w14:paraId="00000127">
      <w:pPr>
        <w:tabs>
          <w:tab w:val="left" w:leader="none" w:pos="8222"/>
        </w:tabs>
        <w:spacing w:after="120" w:before="120" w:lineRule="auto"/>
        <w:ind w:left="851" w:right="1134"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Noveno.</w:t>
      </w:r>
      <w:r w:rsidDel="00000000" w:rsidR="00000000" w:rsidRPr="00000000">
        <w:rPr>
          <w:rFonts w:ascii="Palatino Linotype" w:cs="Palatino Linotype" w:eastAsia="Palatino Linotype" w:hAnsi="Palatino Linotype"/>
          <w:i w:val="1"/>
          <w:iCs w:val="1"/>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00000" w:rsidDel="00000000" w:rsidP="00000000" w:rsidRDefault="00000000" w:rsidRPr="00000000" w14:paraId="00000128">
      <w:pPr>
        <w:tabs>
          <w:tab w:val="left" w:leader="none" w:pos="8222"/>
        </w:tabs>
        <w:spacing w:after="120" w:before="120" w:lineRule="auto"/>
        <w:ind w:left="851" w:right="1134"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Décimo.</w:t>
      </w:r>
      <w:r w:rsidDel="00000000" w:rsidR="00000000" w:rsidRPr="00000000">
        <w:rPr>
          <w:rFonts w:ascii="Palatino Linotype" w:cs="Palatino Linotype" w:eastAsia="Palatino Linotype" w:hAnsi="Palatino Linotype"/>
          <w:i w:val="1"/>
          <w:iCs w:val="1"/>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000000" w:rsidDel="00000000" w:rsidP="00000000" w:rsidRDefault="00000000" w:rsidRPr="00000000" w14:paraId="00000129">
      <w:pPr>
        <w:tabs>
          <w:tab w:val="left" w:leader="none" w:pos="8222"/>
        </w:tabs>
        <w:spacing w:after="120" w:before="120" w:lineRule="auto"/>
        <w:ind w:left="851" w:right="1134"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ausencia de los titulares de las áreas, la información será clasificada o desclasificada por la persona que lo supla, en términos de la normativa que rija la actuación del sujeto obligado.</w:t>
      </w:r>
    </w:p>
    <w:p w:rsidR="00000000" w:rsidDel="00000000" w:rsidP="00000000" w:rsidRDefault="00000000" w:rsidRPr="00000000" w14:paraId="0000012A">
      <w:pPr>
        <w:tabs>
          <w:tab w:val="left" w:leader="none" w:pos="8222"/>
        </w:tabs>
        <w:spacing w:after="120" w:before="120" w:lineRule="auto"/>
        <w:ind w:left="851" w:right="1134"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Décimo primero.</w:t>
      </w:r>
      <w:r w:rsidDel="00000000" w:rsidR="00000000" w:rsidRPr="00000000">
        <w:rPr>
          <w:rFonts w:ascii="Palatino Linotype" w:cs="Palatino Linotype" w:eastAsia="Palatino Linotype" w:hAnsi="Palatino Linotype"/>
          <w:i w:val="1"/>
          <w:iCs w:val="1"/>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 las formalidades que deberá llevar el acuerdo de clasificación que deberá emitir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señalan lo siguiente:</w:t>
      </w:r>
    </w:p>
    <w:p w:rsidR="00000000" w:rsidDel="00000000" w:rsidP="00000000" w:rsidRDefault="00000000" w:rsidRPr="00000000" w14:paraId="0000012C">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 “Quincuagésimo. </w:t>
      </w:r>
      <w:r w:rsidDel="00000000" w:rsidR="00000000" w:rsidRPr="00000000">
        <w:rPr>
          <w:rFonts w:ascii="Palatino Linotype" w:cs="Palatino Linotype" w:eastAsia="Palatino Linotype" w:hAnsi="Palatino Linotype"/>
          <w:i w:val="1"/>
          <w:iCs w:val="1"/>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primero. </w:t>
      </w:r>
      <w:r w:rsidDel="00000000" w:rsidR="00000000" w:rsidRPr="00000000">
        <w:rPr>
          <w:rFonts w:ascii="Palatino Linotype" w:cs="Palatino Linotype" w:eastAsia="Palatino Linotype" w:hAnsi="Palatino Linotype"/>
          <w:i w:val="1"/>
          <w:iCs w:val="1"/>
          <w:rtl w:val="0"/>
        </w:rPr>
        <w:t xml:space="preserve">Toda acta del Comité de Transparencia deberá contener: </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w:t>
      </w:r>
      <w:r w:rsidDel="00000000" w:rsidR="00000000" w:rsidRPr="00000000">
        <w:rPr>
          <w:rFonts w:ascii="Palatino Linotype" w:cs="Palatino Linotype" w:eastAsia="Palatino Linotype" w:hAnsi="Palatino Linotype"/>
          <w:i w:val="1"/>
          <w:iCs w:val="1"/>
          <w:rtl w:val="0"/>
        </w:rPr>
        <w:t xml:space="preserve"> El número de sesión y fecha; </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w:t>
      </w:r>
      <w:r w:rsidDel="00000000" w:rsidR="00000000" w:rsidRPr="00000000">
        <w:rPr>
          <w:rFonts w:ascii="Palatino Linotype" w:cs="Palatino Linotype" w:eastAsia="Palatino Linotype" w:hAnsi="Palatino Linotype"/>
          <w:i w:val="1"/>
          <w:iCs w:val="1"/>
          <w:rtl w:val="0"/>
        </w:rPr>
        <w:t xml:space="preserve">. El nombre del área que solicitó la clasificación de información; </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III</w:t>
      </w:r>
      <w:r w:rsidDel="00000000" w:rsidR="00000000" w:rsidRPr="00000000">
        <w:rPr>
          <w:rFonts w:ascii="Palatino Linotype" w:cs="Palatino Linotype" w:eastAsia="Palatino Linotype" w:hAnsi="Palatino Linotype"/>
          <w:i w:val="1"/>
          <w:iCs w:val="1"/>
          <w:rtl w:val="0"/>
        </w:rPr>
        <w:t xml:space="preserve">. La fundamentación legal y motivación correspondiente; </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IV</w:t>
      </w:r>
      <w:r w:rsidDel="00000000" w:rsidR="00000000" w:rsidRPr="00000000">
        <w:rPr>
          <w:rFonts w:ascii="Palatino Linotype" w:cs="Palatino Linotype" w:eastAsia="Palatino Linotype" w:hAnsi="Palatino Linotype"/>
          <w:i w:val="1"/>
          <w:iCs w:val="1"/>
          <w:rtl w:val="0"/>
        </w:rPr>
        <w:t xml:space="preserve">. La resolución o resoluciones aprobadas; y </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V</w:t>
      </w:r>
      <w:r w:rsidDel="00000000" w:rsidR="00000000" w:rsidRPr="00000000">
        <w:rPr>
          <w:rFonts w:ascii="Palatino Linotype" w:cs="Palatino Linotype" w:eastAsia="Palatino Linotype" w:hAnsi="Palatino Linotype"/>
          <w:i w:val="1"/>
          <w:iCs w:val="1"/>
          <w:rtl w:val="0"/>
        </w:rPr>
        <w:t xml:space="preserve">. La rúbrica o firma digital de cada integrante del Comité de Transparencia. </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w:t>
      </w:r>
      <w:r w:rsidDel="00000000" w:rsidR="00000000" w:rsidRPr="00000000">
        <w:rPr>
          <w:rFonts w:ascii="Palatino Linotype" w:cs="Palatino Linotype" w:eastAsia="Palatino Linotype" w:hAnsi="Palatino Linotype"/>
          <w:i w:val="1"/>
          <w:iCs w:val="1"/>
          <w:rtl w:val="0"/>
        </w:rPr>
        <w:t xml:space="preserve"> Los motivos y razonamientos que sustenten la confirmación o modificación de la prueba de daño;</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II</w:t>
      </w:r>
      <w:r w:rsidDel="00000000" w:rsidR="00000000" w:rsidRPr="00000000">
        <w:rPr>
          <w:rFonts w:ascii="Palatino Linotype" w:cs="Palatino Linotype" w:eastAsia="Palatino Linotype" w:hAnsi="Palatino Linotype"/>
          <w:i w:val="1"/>
          <w:iCs w:val="1"/>
          <w:rtl w:val="0"/>
        </w:rPr>
        <w:t xml:space="preserve">. Descripción de las partes o secciones reservadas, en caso de clasificación parcial</w:t>
      </w:r>
      <w:r w:rsidDel="00000000" w:rsidR="00000000" w:rsidRPr="00000000">
        <w:rPr>
          <w:rFonts w:ascii="Palatino Linotype" w:cs="Palatino Linotype" w:eastAsia="Palatino Linotype" w:hAnsi="Palatino Linotype"/>
          <w:b w:val="1"/>
          <w:bCs w:val="1"/>
          <w:i w:val="1"/>
          <w:iCs w:val="1"/>
          <w:rtl w:val="0"/>
        </w:rPr>
        <w:t xml:space="preserve">; </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III.</w:t>
      </w:r>
      <w:r w:rsidDel="00000000" w:rsidR="00000000" w:rsidRPr="00000000">
        <w:rPr>
          <w:rFonts w:ascii="Palatino Linotype" w:cs="Palatino Linotype" w:eastAsia="Palatino Linotype" w:hAnsi="Palatino Linotype"/>
          <w:i w:val="1"/>
          <w:iCs w:val="1"/>
          <w:rtl w:val="0"/>
        </w:rPr>
        <w:t xml:space="preserve"> El periodo por el que mantendrá su clasificación y fecha de expiración; y </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IV.</w:t>
      </w:r>
      <w:r w:rsidDel="00000000" w:rsidR="00000000" w:rsidRPr="00000000">
        <w:rPr>
          <w:rFonts w:ascii="Palatino Linotype" w:cs="Palatino Linotype" w:eastAsia="Palatino Linotype" w:hAnsi="Palatino Linotype"/>
          <w:i w:val="1"/>
          <w:iCs w:val="1"/>
          <w:rtl w:val="0"/>
        </w:rPr>
        <w:t xml:space="preserve"> El nombre del titular y área encargada de realizar la versión pública del documento, en su caso. </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3A">
      <w:pPr>
        <w:spacing w:after="120" w:before="120" w:lineRule="auto"/>
        <w:ind w:left="851"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segundo</w:t>
      </w:r>
      <w:r w:rsidDel="00000000" w:rsidR="00000000" w:rsidRPr="00000000">
        <w:rPr>
          <w:rFonts w:ascii="Palatino Linotype" w:cs="Palatino Linotype" w:eastAsia="Palatino Linotype" w:hAnsi="Palatino Linotype"/>
          <w:i w:val="1"/>
          <w:iCs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3B">
      <w:pPr>
        <w:spacing w:after="120" w:before="120" w:lineRule="auto"/>
        <w:ind w:left="851"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el caso especifico de la clasificación y elaboración de versiones públicas de documentos que contengan información confidencial, las áreas de los sujetos obligados deberán: </w:t>
      </w:r>
    </w:p>
    <w:p w:rsidR="00000000" w:rsidDel="00000000" w:rsidP="00000000" w:rsidRDefault="00000000" w:rsidRPr="00000000" w14:paraId="0000013C">
      <w:pPr>
        <w:spacing w:after="120" w:before="120" w:lineRule="auto"/>
        <w:ind w:left="851"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w:t>
      </w:r>
      <w:r w:rsidDel="00000000" w:rsidR="00000000" w:rsidRPr="00000000">
        <w:rPr>
          <w:rFonts w:ascii="Palatino Linotype" w:cs="Palatino Linotype" w:eastAsia="Palatino Linotype" w:hAnsi="Palatino Linotype"/>
          <w:i w:val="1"/>
          <w:iCs w:val="1"/>
          <w:rtl w:val="0"/>
        </w:rPr>
        <w:t xml:space="preserve"> Fijar la fecha en que se elaboró la versión pública y la fecha en la cual el Comité de Transparencia confirmó dicha versión;</w:t>
      </w:r>
    </w:p>
    <w:p w:rsidR="00000000" w:rsidDel="00000000" w:rsidP="00000000" w:rsidRDefault="00000000" w:rsidRPr="00000000" w14:paraId="0000013D">
      <w:pPr>
        <w:spacing w:after="120" w:before="120" w:lineRule="auto"/>
        <w:ind w:left="851"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w:t>
      </w:r>
      <w:r w:rsidDel="00000000" w:rsidR="00000000" w:rsidRPr="00000000">
        <w:rPr>
          <w:rFonts w:ascii="Palatino Linotype" w:cs="Palatino Linotype" w:eastAsia="Palatino Linotype" w:hAnsi="Palatino Linotype"/>
          <w:i w:val="1"/>
          <w:iCs w:val="1"/>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13E">
      <w:pPr>
        <w:spacing w:after="120" w:before="120" w:lineRule="auto"/>
        <w:ind w:left="851"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III.</w:t>
      </w:r>
      <w:r w:rsidDel="00000000" w:rsidR="00000000" w:rsidRPr="00000000">
        <w:rPr>
          <w:rFonts w:ascii="Palatino Linotype" w:cs="Palatino Linotype" w:eastAsia="Palatino Linotype" w:hAnsi="Palatino Linotype"/>
          <w:i w:val="1"/>
          <w:iCs w:val="1"/>
          <w:rtl w:val="0"/>
        </w:rPr>
        <w:t xml:space="preserve"> Señalar las personas o instancias autorizadas a acceder a la información clasificada.</w:t>
      </w:r>
    </w:p>
    <w:p w:rsidR="00000000" w:rsidDel="00000000" w:rsidP="00000000" w:rsidRDefault="00000000" w:rsidRPr="00000000" w14:paraId="0000013F">
      <w:pPr>
        <w:spacing w:after="120" w:before="120" w:lineRule="auto"/>
        <w:ind w:left="851"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40">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relación directa con ello deberá observar el Lineamiento Quincuagésimo tercero de los Lineamientos Generales en Materia de Clasificación y Desclasificación de la Información supraindicados, que establece los formatos para la clasificación de los documentos, conforme a lo siguiente: </w:t>
      </w:r>
    </w:p>
    <w:p w:rsidR="00000000" w:rsidDel="00000000" w:rsidP="00000000" w:rsidRDefault="00000000" w:rsidRPr="00000000" w14:paraId="00000141">
      <w:pPr>
        <w:ind w:left="851" w:right="900" w:firstLine="0"/>
        <w:jc w:val="center"/>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CAPÍTULO VIII</w:t>
      </w:r>
    </w:p>
    <w:p w:rsidR="00000000" w:rsidDel="00000000" w:rsidP="00000000" w:rsidRDefault="00000000" w:rsidRPr="00000000" w14:paraId="00000142">
      <w:pPr>
        <w:ind w:left="851" w:right="900" w:firstLine="0"/>
        <w:jc w:val="center"/>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DE LOS ELEMENTOS PARA LA CLASIFICACIÓN </w:t>
      </w:r>
    </w:p>
    <w:p w:rsidR="00000000" w:rsidDel="00000000" w:rsidP="00000000" w:rsidRDefault="00000000" w:rsidRPr="00000000" w14:paraId="00000143">
      <w:pPr>
        <w:ind w:left="851" w:right="900" w:firstLine="0"/>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144">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tercero. </w:t>
      </w:r>
      <w:r w:rsidDel="00000000" w:rsidR="00000000" w:rsidRPr="00000000">
        <w:rPr>
          <w:rFonts w:ascii="Palatino Linotype" w:cs="Palatino Linotype" w:eastAsia="Palatino Linotype" w:hAnsi="Palatino Linotype"/>
          <w:b w:val="1"/>
          <w:bCs w:val="1"/>
          <w:i w:val="1"/>
          <w:iCs w:val="1"/>
          <w:u w:val="single"/>
          <w:rtl w:val="0"/>
        </w:rPr>
        <w:t xml:space="preserve">El formato para señalar la clasificación de un documento o expediente que contenga información reservada</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i w:val="1"/>
          <w:iCs w:val="1"/>
          <w:rtl w:val="0"/>
        </w:rPr>
        <w:t xml:space="preserve">es el siguiente: </w:t>
      </w:r>
    </w:p>
    <w:p w:rsidR="00000000" w:rsidDel="00000000" w:rsidP="00000000" w:rsidRDefault="00000000" w:rsidRPr="00000000" w14:paraId="00000145">
      <w:pPr>
        <w:spacing w:after="120" w:before="120" w:lineRule="auto"/>
        <w:ind w:left="851" w:right="902"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Pr>
        <w:drawing>
          <wp:inline distB="0" distT="0" distL="0" distR="0">
            <wp:extent cx="4295775" cy="295275"/>
            <wp:effectExtent b="0" l="0" r="0" t="0"/>
            <wp:docPr id="2143108197" name="image4.png"/>
            <a:graphic>
              <a:graphicData uri="http://schemas.openxmlformats.org/drawingml/2006/picture">
                <pic:pic>
                  <pic:nvPicPr>
                    <pic:cNvPr id="0" name="image4.png"/>
                    <pic:cNvPicPr preferRelativeResize="0"/>
                  </pic:nvPicPr>
                  <pic:blipFill>
                    <a:blip r:embed="rId11"/>
                    <a:srcRect b="95731" l="0" r="0" t="0"/>
                    <a:stretch>
                      <a:fillRect/>
                    </a:stretch>
                  </pic:blipFill>
                  <pic:spPr>
                    <a:xfrm>
                      <a:off x="0" y="0"/>
                      <a:ext cx="42957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spacing w:after="120" w:before="120" w:lineRule="auto"/>
        <w:ind w:left="851" w:right="902"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Pr>
        <w:drawing>
          <wp:inline distB="0" distT="0" distL="0" distR="0">
            <wp:extent cx="4333875" cy="2962710"/>
            <wp:effectExtent b="0" l="0" r="0" t="0"/>
            <wp:docPr id="2143108200" name="image4.png"/>
            <a:graphic>
              <a:graphicData uri="http://schemas.openxmlformats.org/drawingml/2006/picture">
                <pic:pic>
                  <pic:nvPicPr>
                    <pic:cNvPr id="0" name="image4.png"/>
                    <pic:cNvPicPr preferRelativeResize="0"/>
                  </pic:nvPicPr>
                  <pic:blipFill>
                    <a:blip r:embed="rId11"/>
                    <a:srcRect b="26194" l="0" r="0" t="30909"/>
                    <a:stretch>
                      <a:fillRect/>
                    </a:stretch>
                  </pic:blipFill>
                  <pic:spPr>
                    <a:xfrm>
                      <a:off x="0" y="0"/>
                      <a:ext cx="4333875" cy="296271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120" w:before="120" w:lineRule="auto"/>
        <w:ind w:left="851" w:right="902"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Pr>
        <w:drawing>
          <wp:inline distB="0" distT="0" distL="0" distR="0">
            <wp:extent cx="4333875" cy="1696539"/>
            <wp:effectExtent b="0" l="0" r="0" t="0"/>
            <wp:docPr id="2143108199" name="image4.png"/>
            <a:graphic>
              <a:graphicData uri="http://schemas.openxmlformats.org/drawingml/2006/picture">
                <pic:pic>
                  <pic:nvPicPr>
                    <pic:cNvPr id="0" name="image4.png"/>
                    <pic:cNvPicPr preferRelativeResize="0"/>
                  </pic:nvPicPr>
                  <pic:blipFill>
                    <a:blip r:embed="rId11"/>
                    <a:srcRect b="1767" l="0" r="0" t="73668"/>
                    <a:stretch>
                      <a:fillRect/>
                    </a:stretch>
                  </pic:blipFill>
                  <pic:spPr>
                    <a:xfrm>
                      <a:off x="0" y="0"/>
                      <a:ext cx="4333875" cy="1696539"/>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after="120" w:before="120" w:lineRule="auto"/>
        <w:ind w:left="851" w:right="902"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149">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Los documentos que integren un expediente reservado en su totalidad no deberán marcarse en lo individual.</w:t>
      </w:r>
    </w:p>
    <w:p w:rsidR="00000000" w:rsidDel="00000000" w:rsidP="00000000" w:rsidRDefault="00000000" w:rsidRPr="00000000" w14:paraId="0000014A">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Una vez desclasificados los expedientes, si existieren documentos que tuvieran el carácter de reservados deberán permanecer o ser marcados.”</w:t>
      </w:r>
    </w:p>
    <w:p w:rsidR="00000000" w:rsidDel="00000000" w:rsidP="00000000" w:rsidRDefault="00000000" w:rsidRPr="00000000" w14:paraId="000001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deberá observar los Lineamientos Quincuagésimo cuarto, Quincuagésimo quinto, Quincuagésimo sexto, Quincuagésimo séptimo y Quincuagésimo octavo, establecen lo siguiente:</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Quincuagésimo cuarto. </w:t>
      </w:r>
      <w:r w:rsidDel="00000000" w:rsidR="00000000" w:rsidRPr="00000000">
        <w:rPr>
          <w:rFonts w:ascii="Palatino Linotype" w:cs="Palatino Linotype" w:eastAsia="Palatino Linotype" w:hAnsi="Palatino Linotype"/>
          <w:i w:val="1"/>
          <w:iCs w:val="1"/>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bCs w:val="1"/>
          <w:i w:val="1"/>
          <w:iCs w:val="1"/>
          <w:rtl w:val="0"/>
        </w:rPr>
        <w:t xml:space="preserve"> </w:t>
      </w:r>
    </w:p>
    <w:p w:rsidR="00000000" w:rsidDel="00000000" w:rsidP="00000000" w:rsidRDefault="00000000" w:rsidRPr="00000000" w14:paraId="0000014D">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quinto. </w:t>
      </w:r>
      <w:r w:rsidDel="00000000" w:rsidR="00000000" w:rsidRPr="00000000">
        <w:rPr>
          <w:rFonts w:ascii="Palatino Linotype" w:cs="Palatino Linotype" w:eastAsia="Palatino Linotype" w:hAnsi="Palatino Linotype"/>
          <w:i w:val="1"/>
          <w:iCs w:val="1"/>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4E">
      <w:pPr>
        <w:spacing w:after="120" w:before="120" w:lineRule="auto"/>
        <w:ind w:left="851" w:right="902"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w:t>
      </w:r>
    </w:p>
    <w:p w:rsidR="00000000" w:rsidDel="00000000" w:rsidP="00000000" w:rsidRDefault="00000000" w:rsidRPr="00000000" w14:paraId="0000014F">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séptimo</w:t>
      </w:r>
      <w:r w:rsidDel="00000000" w:rsidR="00000000" w:rsidRPr="00000000">
        <w:rPr>
          <w:rFonts w:ascii="Palatino Linotype" w:cs="Palatino Linotype" w:eastAsia="Palatino Linotype" w:hAnsi="Palatino Linotype"/>
          <w:i w:val="1"/>
          <w:iCs w:val="1"/>
          <w:rtl w:val="0"/>
        </w:rPr>
        <w:t xml:space="preserve">. Se considera, en principio, como información pública y no podrá omitirse de las versiones públicas la siguiente: </w:t>
      </w:r>
    </w:p>
    <w:p w:rsidR="00000000" w:rsidDel="00000000" w:rsidP="00000000" w:rsidRDefault="00000000" w:rsidRPr="00000000" w14:paraId="00000150">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w:t>
      </w:r>
      <w:r w:rsidDel="00000000" w:rsidR="00000000" w:rsidRPr="00000000">
        <w:rPr>
          <w:rFonts w:ascii="Palatino Linotype" w:cs="Palatino Linotype" w:eastAsia="Palatino Linotype" w:hAnsi="Palatino Linotype"/>
          <w:i w:val="1"/>
          <w:iCs w:val="1"/>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51">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w:t>
      </w:r>
      <w:r w:rsidDel="00000000" w:rsidR="00000000" w:rsidRPr="00000000">
        <w:rPr>
          <w:rFonts w:ascii="Palatino Linotype" w:cs="Palatino Linotype" w:eastAsia="Palatino Linotype" w:hAnsi="Palatino Linotype"/>
          <w:i w:val="1"/>
          <w:iCs w:val="1"/>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52">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III</w:t>
      </w:r>
      <w:r w:rsidDel="00000000" w:rsidR="00000000" w:rsidRPr="00000000">
        <w:rPr>
          <w:rFonts w:ascii="Palatino Linotype" w:cs="Palatino Linotype" w:eastAsia="Palatino Linotype" w:hAnsi="Palatino Linotype"/>
          <w:i w:val="1"/>
          <w:iCs w:val="1"/>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53">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54">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octavo</w:t>
      </w:r>
      <w:r w:rsidDel="00000000" w:rsidR="00000000" w:rsidRPr="00000000">
        <w:rPr>
          <w:rFonts w:ascii="Palatino Linotype" w:cs="Palatino Linotype" w:eastAsia="Palatino Linotype" w:hAnsi="Palatino Linotype"/>
          <w:i w:val="1"/>
          <w:iCs w:val="1"/>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5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III. R E S U E L V E</w:t>
      </w:r>
    </w:p>
    <w:p w:rsidR="00000000" w:rsidDel="00000000" w:rsidP="00000000" w:rsidRDefault="00000000" w:rsidRPr="00000000" w14:paraId="00000157">
      <w:pPr>
        <w:spacing w:after="240" w:before="240" w:line="360" w:lineRule="auto"/>
        <w:jc w:val="both"/>
        <w:rPr>
          <w:rFonts w:ascii="Palatino Linotype" w:cs="Palatino Linotype" w:eastAsia="Palatino Linotype" w:hAnsi="Palatino Linotype"/>
          <w:b w:val="1"/>
          <w:bCs w:val="1"/>
        </w:rPr>
      </w:pPr>
      <w:bookmarkStart w:colFirst="0" w:colLast="0" w:name="_heading=h.1t3h5sf" w:id="6"/>
      <w:bookmarkEnd w:id="6"/>
      <w:r w:rsidDel="00000000" w:rsidR="00000000" w:rsidRPr="00000000">
        <w:rPr>
          <w:rFonts w:ascii="Palatino Linotype" w:cs="Palatino Linotype" w:eastAsia="Palatino Linotype" w:hAnsi="Palatino Linotype"/>
          <w:b w:val="1"/>
          <w:bCs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bCs w:val="1"/>
          <w:rtl w:val="0"/>
        </w:rPr>
        <w:t xml:space="preserve"> fundadas</w:t>
      </w:r>
      <w:r w:rsidDel="00000000" w:rsidR="00000000" w:rsidRPr="00000000">
        <w:rPr>
          <w:rFonts w:ascii="Palatino Linotype" w:cs="Palatino Linotype" w:eastAsia="Palatino Linotype" w:hAnsi="Palatino Linotype"/>
          <w:rtl w:val="0"/>
        </w:rPr>
        <w:t xml:space="preserve"> las razones o motivos de inconformidad hechos valer por la parte</w:t>
      </w:r>
      <w:r w:rsidDel="00000000" w:rsidR="00000000" w:rsidRPr="00000000">
        <w:rPr>
          <w:rFonts w:ascii="Palatino Linotype" w:cs="Palatino Linotype" w:eastAsia="Palatino Linotype" w:hAnsi="Palatino Linotype"/>
          <w:b w:val="1"/>
          <w:bCs w:val="1"/>
          <w:rtl w:val="0"/>
        </w:rPr>
        <w:t xml:space="preserve"> Recurrente</w:t>
      </w:r>
      <w:r w:rsidDel="00000000" w:rsidR="00000000" w:rsidRPr="00000000">
        <w:rPr>
          <w:rFonts w:ascii="Palatino Linotype" w:cs="Palatino Linotype" w:eastAsia="Palatino Linotype" w:hAnsi="Palatino Linotype"/>
          <w:rtl w:val="0"/>
        </w:rPr>
        <w:t xml:space="preserve"> en los recursos de revisión </w:t>
      </w:r>
      <w:r w:rsidDel="00000000" w:rsidR="00000000" w:rsidRPr="00000000">
        <w:rPr>
          <w:rFonts w:ascii="Palatino Linotype" w:cs="Palatino Linotype" w:eastAsia="Palatino Linotype" w:hAnsi="Palatino Linotype"/>
          <w:b w:val="1"/>
          <w:bCs w:val="1"/>
          <w:rtl w:val="0"/>
        </w:rPr>
        <w:t xml:space="preserve">07664/INFOEM/IP/RR/2025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bCs w:val="1"/>
          <w:rtl w:val="0"/>
        </w:rPr>
        <w:t xml:space="preserve">07667/INFOEM/IP/RR/2025</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bCs w:val="1"/>
          <w:rtl w:val="0"/>
        </w:rPr>
        <w:t xml:space="preserve">Considerando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bCs w:val="1"/>
          <w:rtl w:val="0"/>
        </w:rPr>
        <w:t xml:space="preserve">Modifican </w:t>
      </w:r>
      <w:r w:rsidDel="00000000" w:rsidR="00000000" w:rsidRPr="00000000">
        <w:rPr>
          <w:rFonts w:ascii="Palatino Linotype" w:cs="Palatino Linotype" w:eastAsia="Palatino Linotype" w:hAnsi="Palatino Linotype"/>
          <w:rtl w:val="0"/>
        </w:rPr>
        <w:t xml:space="preserve">las respuestas emitidas por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a las solitudes de información.</w:t>
      </w:r>
      <w:r w:rsidDel="00000000" w:rsidR="00000000" w:rsidRPr="00000000">
        <w:rPr>
          <w:rtl w:val="0"/>
        </w:rPr>
      </w:r>
    </w:p>
    <w:p w:rsidR="00000000" w:rsidDel="00000000" w:rsidP="00000000" w:rsidRDefault="00000000" w:rsidRPr="00000000" w14:paraId="00000158">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bCs w:val="1"/>
          <w:rtl w:val="0"/>
        </w:rPr>
        <w:t xml:space="preserve">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en términos de los </w:t>
      </w:r>
      <w:r w:rsidDel="00000000" w:rsidR="00000000" w:rsidRPr="00000000">
        <w:rPr>
          <w:rFonts w:ascii="Palatino Linotype" w:cs="Palatino Linotype" w:eastAsia="Palatino Linotype" w:hAnsi="Palatino Linotype"/>
          <w:b w:val="1"/>
          <w:bCs w:val="1"/>
          <w:rtl w:val="0"/>
        </w:rPr>
        <w:t xml:space="preserve">Considerandos Cuarto</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bCs w:val="1"/>
          <w:rtl w:val="0"/>
        </w:rPr>
        <w:t xml:space="preserve">Quinto </w:t>
      </w:r>
      <w:r w:rsidDel="00000000" w:rsidR="00000000" w:rsidRPr="00000000">
        <w:rPr>
          <w:rFonts w:ascii="Palatino Linotype" w:cs="Palatino Linotype" w:eastAsia="Palatino Linotype" w:hAnsi="Palatino Linotype"/>
          <w:rtl w:val="0"/>
        </w:rPr>
        <w:t xml:space="preserve">de esta resolución, haga entrega, vía </w:t>
      </w:r>
      <w:r w:rsidDel="00000000" w:rsidR="00000000" w:rsidRPr="00000000">
        <w:rPr>
          <w:rFonts w:ascii="Palatino Linotype" w:cs="Palatino Linotype" w:eastAsia="Palatino Linotype" w:hAnsi="Palatino Linotype"/>
          <w:b w:val="1"/>
          <w:bCs w:val="1"/>
          <w:rtl w:val="0"/>
        </w:rPr>
        <w:t xml:space="preserve">SAIMEX</w:t>
      </w:r>
      <w:r w:rsidDel="00000000" w:rsidR="00000000" w:rsidRPr="00000000">
        <w:rPr>
          <w:rFonts w:ascii="Palatino Linotype" w:cs="Palatino Linotype" w:eastAsia="Palatino Linotype" w:hAnsi="Palatino Linotype"/>
          <w:rtl w:val="0"/>
        </w:rPr>
        <w:t xml:space="preserve">, en versión pública de ser procedente, de lo siguiente:</w:t>
      </w:r>
    </w:p>
    <w:p w:rsidR="00000000" w:rsidDel="00000000" w:rsidP="00000000" w:rsidRDefault="00000000" w:rsidRPr="00000000" w14:paraId="00000159">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Oficios emitidos y recibidos entregados en respuesta en los que se testó información, en versión pública correcta.</w:t>
      </w:r>
    </w:p>
    <w:p w:rsidR="00000000" w:rsidDel="00000000" w:rsidP="00000000" w:rsidRDefault="00000000" w:rsidRPr="00000000" w14:paraId="0000015A">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Oficios emitidos por la Primera Sindico del siete de enero al nueve de mayo de dos mil veinticinco, faltantes.</w:t>
      </w:r>
    </w:p>
    <w:p w:rsidR="00000000" w:rsidDel="00000000" w:rsidP="00000000" w:rsidRDefault="00000000" w:rsidRPr="00000000" w14:paraId="0000015B">
      <w:pPr>
        <w:spacing w:after="120" w:before="120" w:lineRule="auto"/>
        <w:ind w:left="284"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Del="00000000" w:rsidR="00000000" w:rsidRPr="00000000">
        <w:rPr>
          <w:rFonts w:ascii="Palatino Linotype" w:cs="Palatino Linotype" w:eastAsia="Palatino Linotype" w:hAnsi="Palatino Linotype"/>
          <w:b w:val="1"/>
          <w:bCs w:val="1"/>
          <w:i w:val="1"/>
          <w:iCs w:val="1"/>
          <w:rtl w:val="0"/>
        </w:rPr>
        <w:t xml:space="preserve">Recurrente</w:t>
      </w:r>
      <w:r w:rsidDel="00000000" w:rsidR="00000000" w:rsidRPr="00000000">
        <w:rPr>
          <w:rFonts w:ascii="Palatino Linotype" w:cs="Palatino Linotype" w:eastAsia="Palatino Linotype" w:hAnsi="Palatino Linotype"/>
          <w:i w:val="1"/>
          <w:iCs w:val="1"/>
          <w:rtl w:val="0"/>
        </w:rPr>
        <w:t xml:space="preserve">, en términos de los artículos 49, fracción VIII, de la Ley de Transparencia y Acceso a la Información Pública del Estado de México y Municipios.</w:t>
      </w:r>
    </w:p>
    <w:p w:rsidR="00000000" w:rsidDel="00000000" w:rsidP="00000000" w:rsidRDefault="00000000" w:rsidRPr="00000000" w14:paraId="0000015C">
      <w:pPr>
        <w:spacing w:after="120" w:before="120" w:lineRule="auto"/>
        <w:ind w:left="284"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el supuesto de que alguno de los oficios emitidos faltantes no obre en los archivos del Sujeto Obligado por haberse cancelado, bastará con que así lo haga del conocimiento de la parte </w:t>
      </w:r>
      <w:r w:rsidDel="00000000" w:rsidR="00000000" w:rsidRPr="00000000">
        <w:rPr>
          <w:rFonts w:ascii="Palatino Linotype" w:cs="Palatino Linotype" w:eastAsia="Palatino Linotype" w:hAnsi="Palatino Linotype"/>
          <w:b w:val="1"/>
          <w:bCs w:val="1"/>
          <w:i w:val="1"/>
          <w:iCs w:val="1"/>
          <w:rtl w:val="0"/>
        </w:rPr>
        <w:t xml:space="preserve">Recurrente</w:t>
      </w:r>
      <w:r w:rsidDel="00000000" w:rsidR="00000000" w:rsidRPr="00000000">
        <w:rPr>
          <w:rFonts w:ascii="Palatino Linotype" w:cs="Palatino Linotype" w:eastAsia="Palatino Linotype" w:hAnsi="Palatino Linotype"/>
          <w:i w:val="1"/>
          <w:iCs w:val="1"/>
          <w:rtl w:val="0"/>
        </w:rPr>
        <w:t xml:space="preserve">, de manera fundada y motivada,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15D">
      <w:pPr>
        <w:spacing w:after="240" w:before="240" w:line="360" w:lineRule="auto"/>
        <w:jc w:val="both"/>
        <w:rPr>
          <w:rFonts w:ascii="Palatino Linotype" w:cs="Palatino Linotype" w:eastAsia="Palatino Linotype" w:hAnsi="Palatino Linotype"/>
        </w:rPr>
      </w:pPr>
      <w:bookmarkStart w:colFirst="0" w:colLast="0" w:name="_heading=h.pcyoja5711k9" w:id="7"/>
      <w:bookmarkEnd w:id="7"/>
      <w:r w:rsidDel="00000000" w:rsidR="00000000" w:rsidRPr="00000000">
        <w:rPr>
          <w:rFonts w:ascii="Palatino Linotype" w:cs="Palatino Linotype" w:eastAsia="Palatino Linotype" w:hAnsi="Palatino Linotype"/>
          <w:b w:val="1"/>
          <w:bCs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bCs w:val="1"/>
          <w:rtl w:val="0"/>
        </w:rPr>
        <w:t xml:space="preserve">SAIMEX</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5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5F">
      <w:pPr>
        <w:spacing w:after="240" w:before="240" w:line="360" w:lineRule="auto"/>
        <w:jc w:val="both"/>
        <w:rPr>
          <w:rFonts w:ascii="Palatino Linotype" w:cs="Palatino Linotype" w:eastAsia="Palatino Linotype" w:hAnsi="Palatino Linotype"/>
        </w:rPr>
      </w:pPr>
      <w:bookmarkStart w:colFirst="0" w:colLast="0" w:name="_heading=h.ot3qq6vxa08f" w:id="8"/>
      <w:bookmarkEnd w:id="8"/>
      <w:r w:rsidDel="00000000" w:rsidR="00000000" w:rsidRPr="00000000">
        <w:rPr>
          <w:rFonts w:ascii="Palatino Linotype" w:cs="Palatino Linotype" w:eastAsia="Palatino Linotype" w:hAnsi="Palatino Linotype"/>
          <w:b w:val="1"/>
          <w:bCs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bCs w:val="1"/>
          <w:rtl w:val="0"/>
        </w:rPr>
        <w:t xml:space="preserve">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160">
      <w:pPr>
        <w:tabs>
          <w:tab w:val="left" w:leader="none" w:pos="8647"/>
        </w:tabs>
        <w:spacing w:after="240" w:before="240" w:line="360" w:lineRule="auto"/>
        <w:ind w:right="51"/>
        <w:jc w:val="both"/>
        <w:rPr>
          <w:rFonts w:ascii="Palatino Linotype" w:cs="Palatino Linotype" w:eastAsia="Palatino Linotype" w:hAnsi="Palatino Linotype"/>
        </w:rPr>
      </w:pPr>
      <w:bookmarkStart w:colFirst="0" w:colLast="0" w:name="_heading=h.7g5d4r8w570" w:id="9"/>
      <w:bookmarkEnd w:id="9"/>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EN LA TRIGÉSIMA SÉPTIMA SESIÓN ORDINARIA CELEBRADA EL QUINCE DE OCTUBRE DE DOS MIL VEINTICINCO, ANTE EL SECRETARIO TÉCNICO DEL PLENO ALEXIS TAPIA RAMÍREZ.</w:t>
      </w:r>
    </w:p>
    <w:p w:rsidR="00000000" w:rsidDel="00000000" w:rsidP="00000000" w:rsidRDefault="00000000" w:rsidRPr="00000000" w14:paraId="0000016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7">
      <w:pPr>
        <w:spacing w:after="0" w:line="360" w:lineRule="auto"/>
        <w:ind w:right="49"/>
        <w:jc w:val="both"/>
        <w:rPr>
          <w:rFonts w:ascii="Palatino Linotype" w:cs="Palatino Linotype" w:eastAsia="Palatino Linotype" w:hAnsi="Palatino Linotype"/>
        </w:rPr>
      </w:pPr>
      <w:bookmarkStart w:colFirst="0" w:colLast="0" w:name="_heading=h.4tksod575j5b" w:id="10"/>
      <w:bookmarkEnd w:id="10"/>
      <w:r w:rsidDel="00000000" w:rsidR="00000000" w:rsidRPr="00000000">
        <w:rPr>
          <w:rtl w:val="0"/>
        </w:rPr>
      </w:r>
    </w:p>
    <w:p w:rsidR="00000000" w:rsidDel="00000000" w:rsidP="00000000" w:rsidRDefault="00000000" w:rsidRPr="00000000" w14:paraId="00000178">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418" w:top="1418"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bCs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bCs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right" w:leader="none" w:pos="0"/>
        </w:tabs>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Resolución RRA2431/17 del Instituto Nacional de Transparencia, Acceso a la Información Pública y Protección de Datos Personales.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tbl>
    <w:tblPr>
      <w:tblStyle w:val="Table4"/>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Recurso de Revisión:</w:t>
          </w:r>
        </w:p>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tl w:val="0"/>
            </w:rPr>
          </w:r>
        </w:p>
      </w:tc>
      <w:tc>
        <w:tcPr>
          <w:vAlign w:val="center"/>
        </w:tcPr>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07664/INFOEM/IP/RR/2025y acumulado</w:t>
          </w:r>
        </w:p>
      </w:tc>
    </w:tr>
    <w:tr>
      <w:trPr>
        <w:cantSplit w:val="0"/>
        <w:trHeight w:val="228" w:hRule="atLeast"/>
        <w:tblHeader w:val="0"/>
      </w:trPr>
      <w:tc>
        <w:tcPr>
          <w:vAlign w:val="center"/>
        </w:tcPr>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Sujeto obligado:</w:t>
          </w:r>
        </w:p>
      </w:tc>
      <w:tc>
        <w:tcPr>
          <w:vAlign w:val="center"/>
        </w:tcPr>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316"/>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Ayuntamiento de Toluca</w:t>
          </w:r>
          <w:r w:rsidDel="00000000" w:rsidR="00000000" w:rsidRPr="00000000">
            <w:drawing>
              <wp:anchor allowOverlap="1" behindDoc="1" distB="0" distT="0" distL="0" distR="0" hidden="0" layoutInCell="1" locked="0" relativeHeight="0" simplePos="0">
                <wp:simplePos x="0" y="0"/>
                <wp:positionH relativeFrom="column">
                  <wp:posOffset>-4730114</wp:posOffset>
                </wp:positionH>
                <wp:positionV relativeFrom="paragraph">
                  <wp:posOffset>-1132839</wp:posOffset>
                </wp:positionV>
                <wp:extent cx="7809865" cy="10165715"/>
                <wp:effectExtent b="0" l="0" r="0" t="0"/>
                <wp:wrapNone/>
                <wp:docPr id="2143108194" name="image1.png"/>
                <a:graphic>
                  <a:graphicData uri="http://schemas.openxmlformats.org/drawingml/2006/picture">
                    <pic:pic>
                      <pic:nvPicPr>
                        <pic:cNvPr id="0" name="image1.png"/>
                        <pic:cNvPicPr preferRelativeResize="0"/>
                      </pic:nvPicPr>
                      <pic:blipFill>
                        <a:blip r:embed="rId1"/>
                        <a:srcRect b="0" l="-608" r="606" t="0"/>
                        <a:stretch>
                          <a:fillRect/>
                        </a:stretch>
                      </pic:blipFill>
                      <pic:spPr>
                        <a:xfrm>
                          <a:off x="0" y="0"/>
                          <a:ext cx="7809865" cy="10165715"/>
                        </a:xfrm>
                        <a:prstGeom prst="rect"/>
                        <a:ln/>
                      </pic:spPr>
                    </pic:pic>
                  </a:graphicData>
                </a:graphic>
              </wp:anchor>
            </w:drawing>
          </w:r>
        </w:p>
      </w:tc>
    </w:tr>
    <w:tr>
      <w:trPr>
        <w:cantSplit w:val="0"/>
        <w:tblHeader w:val="0"/>
      </w:trPr>
      <w:tc>
        <w:tcPr>
          <w:vAlign w:val="center"/>
        </w:tcPr>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Comisionada ponente:</w:t>
          </w:r>
        </w:p>
      </w:tc>
      <w:tc>
        <w:tcPr>
          <w:vAlign w:val="center"/>
        </w:tcPr>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Guadalupe Ramírez Peña</w:t>
          </w:r>
        </w:p>
      </w:tc>
    </w:tr>
  </w:tbl>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-683888</wp:posOffset>
          </wp:positionH>
          <wp:positionV relativeFrom="paragraph">
            <wp:posOffset>-249546</wp:posOffset>
          </wp:positionV>
          <wp:extent cx="7809876" cy="10165823"/>
          <wp:effectExtent b="0" l="0" r="0" t="0"/>
          <wp:wrapNone/>
          <wp:docPr id="214310819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5"/>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8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Recurso de Revisión:</w:t>
          </w:r>
        </w:p>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tl w:val="0"/>
            </w:rPr>
          </w:r>
        </w:p>
      </w:tc>
      <w:tc>
        <w:tcPr>
          <w:vAlign w:val="center"/>
        </w:tcPr>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07664/INFOEM/IP/RR/2025 y acumulado</w:t>
          </w:r>
        </w:p>
      </w:tc>
    </w:tr>
    <w:tr>
      <w:trPr>
        <w:cantSplit w:val="0"/>
        <w:tblHeader w:val="0"/>
      </w:trPr>
      <w:tc>
        <w:tcPr>
          <w:vAlign w:val="center"/>
        </w:tcPr>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Recurrente:</w:t>
          </w:r>
        </w:p>
      </w:tc>
      <w:tc>
        <w:tcPr>
          <w:vAlign w:val="center"/>
        </w:tcPr>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both"/>
            <w:rPr>
              <w:rFonts w:ascii="Palatino Linotype" w:cs="Palatino Linotype" w:eastAsia="Palatino Linotype" w:hAnsi="Palatino Linotype"/>
              <w:b w:val="1"/>
              <w:bCs w:val="1"/>
              <w:color w:val="000000"/>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Sujeto obligado:</w:t>
          </w:r>
        </w:p>
      </w:tc>
      <w:tc>
        <w:tcPr>
          <w:vAlign w:val="center"/>
        </w:tcPr>
        <w:p w:rsidR="00000000" w:rsidDel="00000000" w:rsidP="00000000" w:rsidRDefault="00000000" w:rsidRPr="00000000" w14:paraId="0000018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316"/>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Ayuntamiento de Toluca</w:t>
          </w:r>
        </w:p>
      </w:tc>
    </w:tr>
    <w:tr>
      <w:trPr>
        <w:cantSplit w:val="0"/>
        <w:tblHeader w:val="0"/>
      </w:trPr>
      <w:tc>
        <w:tcPr>
          <w:vAlign w:val="center"/>
        </w:tcPr>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Comisionada ponente:</w:t>
          </w:r>
        </w:p>
      </w:tc>
      <w:tc>
        <w:tcPr>
          <w:vAlign w:val="center"/>
        </w:tcPr>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Guadalupe Ramírez Peña</w:t>
          </w:r>
        </w:p>
      </w:tc>
    </w:tr>
  </w:tbl>
  <w:p w:rsidR="00000000" w:rsidDel="00000000" w:rsidP="00000000" w:rsidRDefault="00000000" w:rsidRPr="00000000" w14:paraId="0000018D">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link w:val="Ttulo1"/>
    <w:rsid w:val="00FD48C3"/>
    <w:rPr>
      <w:b w:val="1"/>
      <w:sz w:val="48"/>
      <w:szCs w:val="48"/>
    </w:rPr>
  </w:style>
  <w:style w:type="character" w:styleId="Ttulo2Car" w:customStyle="1">
    <w:name w:val="Título 2 Car"/>
    <w:basedOn w:val="Fuentedeprrafopredeter"/>
    <w:link w:val="Ttulo2"/>
    <w:rsid w:val="00FD48C3"/>
    <w:rPr>
      <w:b w:val="1"/>
      <w:sz w:val="36"/>
      <w:szCs w:val="36"/>
    </w:rPr>
  </w:style>
  <w:style w:type="character" w:styleId="Ttulo3Car" w:customStyle="1">
    <w:name w:val="Título 3 Car"/>
    <w:basedOn w:val="Fuentedeprrafopredeter"/>
    <w:link w:val="Ttulo3"/>
    <w:rsid w:val="00FD48C3"/>
    <w:rPr>
      <w:b w:val="1"/>
      <w:sz w:val="28"/>
      <w:szCs w:val="28"/>
    </w:rPr>
  </w:style>
  <w:style w:type="character" w:styleId="Ttulo4Car" w:customStyle="1">
    <w:name w:val="Título 4 Car"/>
    <w:basedOn w:val="Fuentedeprrafopredeter"/>
    <w:link w:val="Ttulo4"/>
    <w:rsid w:val="00FD48C3"/>
    <w:rPr>
      <w:b w:val="1"/>
      <w:sz w:val="24"/>
      <w:szCs w:val="24"/>
    </w:rPr>
  </w:style>
  <w:style w:type="character" w:styleId="Ttulo5Car" w:customStyle="1">
    <w:name w:val="Título 5 Car"/>
    <w:basedOn w:val="Fuentedeprrafopredeter"/>
    <w:link w:val="Ttulo5"/>
    <w:rsid w:val="00FD48C3"/>
    <w:rPr>
      <w:b w:val="1"/>
    </w:rPr>
  </w:style>
  <w:style w:type="character" w:styleId="Ttulo6Car" w:customStyle="1">
    <w:name w:val="Título 6 Car"/>
    <w:basedOn w:val="Fuentedeprrafopredeter"/>
    <w:link w:val="Ttulo6"/>
    <w:rsid w:val="00FD48C3"/>
    <w:rPr>
      <w:b w:val="1"/>
      <w:sz w:val="20"/>
      <w:szCs w:val="20"/>
    </w:rPr>
  </w:style>
  <w:style w:type="table" w:styleId="TableNormal4" w:customStyle="1">
    <w:name w:val="Table Normal"/>
    <w:tblPr>
      <w:tblCellMar>
        <w:top w:w="0.0" w:type="dxa"/>
        <w:left w:w="0.0" w:type="dxa"/>
        <w:bottom w:w="0.0" w:type="dxa"/>
        <w:right w:w="0.0" w:type="dxa"/>
      </w:tblCellMar>
    </w:tblPr>
  </w:style>
  <w:style w:type="character" w:styleId="TtuloCar" w:customStyle="1">
    <w:name w:val="Título Car"/>
    <w:basedOn w:val="Fuentedeprrafopredeter"/>
    <w:link w:val="Ttulo"/>
    <w:rsid w:val="00FD48C3"/>
    <w:rPr>
      <w:b w:val="1"/>
      <w:sz w:val="72"/>
      <w:szCs w:val="72"/>
    </w:r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character" w:styleId="Hipervnculo">
    <w:name w:val="Hyperlink"/>
    <w:aliases w:val="Hipervínculo1,Hipervínculo11,Hipervínculo12,Hipervínculo13,Hipervínculo14,Hipervínculo15"/>
    <w:basedOn w:val="Fuentedeprrafopredeter"/>
    <w:uiPriority w:val="99"/>
    <w:unhideWhenUsed w:val="1"/>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cs="Times New Roman" w:eastAsia="Times New Roman" w:hAnsi="Times New Roman"/>
      <w:sz w:val="24"/>
      <w:szCs w:val="24"/>
    </w:rPr>
  </w:style>
  <w:style w:type="character" w:styleId="SubttuloCar" w:customStyle="1">
    <w:name w:val="Subtítulo Car"/>
    <w:basedOn w:val="Fuentedeprrafopredeter"/>
    <w:link w:val="Subttulo"/>
    <w:rsid w:val="00FD48C3"/>
    <w:rPr>
      <w:rFonts w:ascii="Georgia" w:cs="Georgia" w:eastAsia="Georgia" w:hAnsi="Georgia"/>
      <w:i w:val="1"/>
      <w:color w:val="666666"/>
      <w:sz w:val="48"/>
      <w:szCs w:val="48"/>
    </w:rPr>
  </w:style>
  <w:style w:type="table" w:styleId="a" w:customStyle="1">
    <w:basedOn w:val="TableNormal7"/>
    <w:tblPr>
      <w:tblStyleRowBandSize w:val="1"/>
      <w:tblStyleColBandSize w:val="1"/>
      <w:tblCellMar>
        <w:top w:w="15.0" w:type="dxa"/>
        <w:left w:w="15.0" w:type="dxa"/>
        <w:bottom w:w="15.0" w:type="dxa"/>
        <w:right w:w="15.0" w:type="dxa"/>
      </w:tblCellMar>
    </w:tblPr>
  </w:style>
  <w:style w:type="table" w:styleId="a0" w:customStyle="1">
    <w:basedOn w:val="TableNormal7"/>
    <w:tblPr>
      <w:tblStyleRowBandSize w:val="1"/>
      <w:tblStyleColBandSize w:val="1"/>
      <w:tblCellMar>
        <w:left w:w="115.0" w:type="dxa"/>
        <w:right w:w="115.0" w:type="dxa"/>
      </w:tblCellMar>
    </w:tblPr>
  </w:style>
  <w:style w:type="table" w:styleId="a1" w:customStyle="1">
    <w:basedOn w:val="TableNormal7"/>
    <w:tblPr>
      <w:tblStyleRowBandSize w:val="1"/>
      <w:tblStyleColBandSize w:val="1"/>
      <w:tblCellMar>
        <w:left w:w="115.0" w:type="dxa"/>
        <w:right w:w="115.0" w:type="dxa"/>
      </w:tblCellMar>
    </w:tblPr>
  </w:style>
  <w:style w:type="table" w:styleId="a2" w:customStyle="1">
    <w:basedOn w:val="TableNormal7"/>
    <w:tblPr>
      <w:tblStyleRowBandSize w:val="1"/>
      <w:tblStyleColBandSize w:val="1"/>
      <w:tblCellMar>
        <w:top w:w="15.0" w:type="dxa"/>
        <w:left w:w="115.0" w:type="dxa"/>
        <w:bottom w:w="15.0" w:type="dxa"/>
        <w:right w:w="115.0" w:type="dxa"/>
      </w:tblCellMar>
    </w:tblPr>
  </w:style>
  <w:style w:type="table" w:styleId="a3" w:customStyle="1">
    <w:basedOn w:val="TableNormal7"/>
    <w:tblPr>
      <w:tblStyleRowBandSize w:val="1"/>
      <w:tblStyleColBandSize w:val="1"/>
      <w:tblCellMar>
        <w:top w:w="15.0" w:type="dxa"/>
        <w:left w:w="115.0" w:type="dxa"/>
        <w:bottom w:w="15.0" w:type="dxa"/>
        <w:right w:w="115.0" w:type="dxa"/>
      </w:tblCellMar>
    </w:tblPr>
  </w:style>
  <w:style w:type="table" w:styleId="a4" w:customStyle="1">
    <w:basedOn w:val="TableNormal6"/>
    <w:tblPr>
      <w:tblStyleRowBandSize w:val="1"/>
      <w:tblStyleColBandSize w:val="1"/>
      <w:tblCellMar>
        <w:top w:w="15.0" w:type="dxa"/>
        <w:left w:w="115.0" w:type="dxa"/>
        <w:bottom w:w="15.0" w:type="dxa"/>
        <w:right w:w="115.0" w:type="dxa"/>
      </w:tblCellMar>
    </w:tblPr>
  </w:style>
  <w:style w:type="table" w:styleId="a5" w:customStyle="1">
    <w:basedOn w:val="TableNormal6"/>
    <w:tblPr>
      <w:tblStyleRowBandSize w:val="1"/>
      <w:tblStyleColBandSize w:val="1"/>
      <w:tblCellMar>
        <w:top w:w="15.0" w:type="dxa"/>
        <w:left w:w="115.0" w:type="dxa"/>
        <w:bottom w:w="15.0" w:type="dxa"/>
        <w:right w:w="115.0"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BD6BFB"/>
    <w:pPr>
      <w:spacing w:after="0" w:line="240" w:lineRule="auto"/>
    </w:pPr>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cstheme="minorBidi" w:eastAsiaTheme="minorHAnsi" w:hAnsiTheme="minorHAns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val="1"/>
    <w:qFormat w:val="1"/>
    <w:rsid w:val="00BD6BFB"/>
    <w:rPr>
      <w:vertAlign w:val="superscript"/>
    </w:rPr>
  </w:style>
  <w:style w:type="character" w:styleId="Mencinsinresolver1" w:customStyle="1">
    <w:name w:val="Mención sin resolver1"/>
    <w:basedOn w:val="Fuentedeprrafopredeter"/>
    <w:uiPriority w:val="99"/>
    <w:semiHidden w:val="1"/>
    <w:unhideWhenUsed w:val="1"/>
    <w:rsid w:val="00E64CB4"/>
    <w:rPr>
      <w:color w:val="605e5c"/>
      <w:shd w:color="auto" w:fill="e1dfdd" w:val="clear"/>
    </w:rPr>
  </w:style>
  <w:style w:type="paragraph" w:styleId="Cita">
    <w:name w:val="Quote"/>
    <w:basedOn w:val="Normal"/>
    <w:next w:val="Normal"/>
    <w:link w:val="CitaCar"/>
    <w:uiPriority w:val="29"/>
    <w:qFormat w:val="1"/>
    <w:rsid w:val="0084488A"/>
    <w:pPr>
      <w:spacing w:before="200" w:line="240" w:lineRule="auto"/>
      <w:ind w:left="864" w:right="864"/>
      <w:jc w:val="center"/>
    </w:pPr>
    <w:rPr>
      <w:rFonts w:ascii="Times New Roman" w:cs="Times New Roman" w:eastAsia="Times New Roman" w:hAnsi="Times New Roman"/>
      <w:i w:val="1"/>
      <w:iCs w:val="1"/>
      <w:color w:val="404040" w:themeColor="text1" w:themeTint="0000BF"/>
      <w:sz w:val="24"/>
      <w:szCs w:val="24"/>
    </w:rPr>
  </w:style>
  <w:style w:type="character" w:styleId="CitaCar" w:customStyle="1">
    <w:name w:val="Cita Car"/>
    <w:basedOn w:val="Fuentedeprrafopredeter"/>
    <w:link w:val="Cita"/>
    <w:uiPriority w:val="29"/>
    <w:rsid w:val="0084488A"/>
    <w:rPr>
      <w:rFonts w:ascii="Times New Roman" w:cs="Times New Roman" w:eastAsia="Times New Roman" w:hAnsi="Times New Roman"/>
      <w:i w:val="1"/>
      <w:iCs w:val="1"/>
      <w:color w:val="404040" w:themeColor="text1" w:themeTint="0000BF"/>
      <w:sz w:val="24"/>
      <w:szCs w:val="24"/>
    </w:rPr>
  </w:style>
  <w:style w:type="paragraph" w:styleId="j" w:customStyle="1">
    <w:name w:val="j"/>
    <w:basedOn w:val="Normal"/>
    <w:rsid w:val="0058558E"/>
    <w:pPr>
      <w:spacing w:after="100" w:afterAutospacing="1" w:before="100" w:beforeAutospacing="1" w:line="240" w:lineRule="auto"/>
    </w:pPr>
    <w:rPr>
      <w:rFonts w:ascii="Times New Roman" w:cs="Times New Roman" w:eastAsia="Times New Roman" w:hAnsi="Times New Roman"/>
      <w:sz w:val="24"/>
      <w:szCs w:val="24"/>
    </w:rPr>
  </w:style>
  <w:style w:type="character" w:styleId="nacep" w:customStyle="1">
    <w:name w:val="n_acep"/>
    <w:basedOn w:val="Fuentedeprrafopredeter"/>
    <w:rsid w:val="0058558E"/>
  </w:style>
  <w:style w:type="character" w:styleId="Mencinsinresolver2" w:customStyle="1">
    <w:name w:val="Mención sin resolver2"/>
    <w:basedOn w:val="Fuentedeprrafopredeter"/>
    <w:uiPriority w:val="99"/>
    <w:semiHidden w:val="1"/>
    <w:unhideWhenUsed w:val="1"/>
    <w:rsid w:val="00AD7527"/>
    <w:rPr>
      <w:color w:val="605e5c"/>
      <w:shd w:color="auto" w:fill="e1dfdd" w:val="clear"/>
    </w:rPr>
  </w:style>
  <w:style w:type="character" w:styleId="Hipervnculovisitado">
    <w:name w:val="FollowedHyperlink"/>
    <w:basedOn w:val="Fuentedeprrafopredeter"/>
    <w:uiPriority w:val="99"/>
    <w:semiHidden w:val="1"/>
    <w:unhideWhenUsed w:val="1"/>
    <w:rsid w:val="003F413F"/>
    <w:rPr>
      <w:color w:val="954f72" w:themeColor="followedHyperlink"/>
      <w:u w:val="single"/>
    </w:rPr>
  </w:style>
  <w:style w:type="table" w:styleId="a6" w:customStyle="1">
    <w:basedOn w:val="TableNormal5"/>
    <w:pPr>
      <w:spacing w:after="0" w:line="240" w:lineRule="auto"/>
    </w:pPr>
    <w:tblPr>
      <w:tblStyleRowBandSize w:val="1"/>
      <w:tblStyleColBandSize w:val="1"/>
      <w:tblCellMar>
        <w:left w:w="108.0" w:type="dxa"/>
        <w:right w:w="108.0" w:type="dxa"/>
      </w:tblCellMar>
    </w:tblPr>
  </w:style>
  <w:style w:type="table" w:styleId="a7" w:customStyle="1">
    <w:basedOn w:val="TableNormal5"/>
    <w:tblPr>
      <w:tblStyleRowBandSize w:val="1"/>
      <w:tblStyleColBandSize w:val="1"/>
      <w:tblCellMar>
        <w:top w:w="15.0" w:type="dxa"/>
        <w:left w:w="115.0" w:type="dxa"/>
        <w:bottom w:w="15.0" w:type="dxa"/>
        <w:right w:w="115.0" w:type="dxa"/>
      </w:tblCellMar>
    </w:tblPr>
  </w:style>
  <w:style w:type="table" w:styleId="a8" w:customStyle="1">
    <w:basedOn w:val="TableNormal5"/>
    <w:tblPr>
      <w:tblStyleRowBandSize w:val="1"/>
      <w:tblStyleColBandSize w:val="1"/>
      <w:tblCellMar>
        <w:top w:w="15.0" w:type="dxa"/>
        <w:left w:w="115.0" w:type="dxa"/>
        <w:bottom w:w="15.0" w:type="dxa"/>
        <w:right w:w="115.0" w:type="dxa"/>
      </w:tblCellMar>
    </w:tblPr>
  </w:style>
  <w:style w:type="character" w:styleId="Mencinsinresolver3" w:customStyle="1">
    <w:name w:val="Mención sin resolver3"/>
    <w:basedOn w:val="Fuentedeprrafopredeter"/>
    <w:uiPriority w:val="99"/>
    <w:semiHidden w:val="1"/>
    <w:unhideWhenUsed w:val="1"/>
    <w:rsid w:val="00B852ED"/>
    <w:rPr>
      <w:color w:val="605e5c"/>
      <w:shd w:color="auto" w:fill="e1dfdd" w:val="clear"/>
    </w:rPr>
  </w:style>
  <w:style w:type="table" w:styleId="Tablaconcuadrcula1" w:customStyle="1">
    <w:name w:val="Tabla con cuadrícula1"/>
    <w:basedOn w:val="Tablanormal"/>
    <w:next w:val="Tablaconcuadrcula"/>
    <w:uiPriority w:val="39"/>
    <w:rsid w:val="00080C70"/>
    <w:pPr>
      <w:spacing w:after="0" w:line="240" w:lineRule="auto"/>
    </w:pPr>
    <w:rPr>
      <w:rFonts w:ascii="Times New Roman" w:cs="Times New Roman" w:eastAsia="Times New Roman" w:hAnsi="Times New Roman"/>
      <w:sz w:val="24"/>
      <w:szCs w:val="24"/>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9" w:customStyle="1">
    <w:name w:val="Table Normal9"/>
    <w:rsid w:val="00FD48C3"/>
    <w:pPr>
      <w:spacing w:after="0" w:line="240" w:lineRule="auto"/>
    </w:pPr>
    <w:rPr>
      <w:rFonts w:ascii="Times New Roman" w:cs="Times New Roman" w:eastAsia="Times New Roman" w:hAnsi="Times New Roman"/>
      <w:sz w:val="24"/>
      <w:szCs w:val="24"/>
    </w:rPr>
    <w:tblPr>
      <w:tblCellMar>
        <w:top w:w="0.0" w:type="dxa"/>
        <w:left w:w="0.0" w:type="dxa"/>
        <w:bottom w:w="0.0" w:type="dxa"/>
        <w:right w:w="0.0" w:type="dxa"/>
      </w:tblCellMar>
    </w:tblPr>
  </w:style>
  <w:style w:type="character" w:styleId="normaltextrun" w:customStyle="1">
    <w:name w:val="normaltextrun"/>
    <w:basedOn w:val="Fuentedeprrafopredeter"/>
    <w:rsid w:val="00FD48C3"/>
  </w:style>
  <w:style w:type="character" w:styleId="apple-converted-space" w:customStyle="1">
    <w:name w:val="apple-converted-space"/>
    <w:basedOn w:val="Fuentedeprrafopredeter"/>
    <w:rsid w:val="00FD48C3"/>
  </w:style>
  <w:style w:type="character" w:styleId="TextocomentarioCar" w:customStyle="1">
    <w:name w:val="Texto comentario Car"/>
    <w:basedOn w:val="Fuentedeprrafopredeter"/>
    <w:link w:val="Textocomentario"/>
    <w:uiPriority w:val="99"/>
    <w:semiHidden w:val="1"/>
    <w:rsid w:val="00FD48C3"/>
    <w:rPr>
      <w:rFonts w:ascii="Times New Roman" w:cs="Times New Roman" w:eastAsia="Times New Roman" w:hAnsi="Times New Roman"/>
      <w:sz w:val="20"/>
      <w:szCs w:val="20"/>
      <w:lang w:eastAsia="es-ES"/>
    </w:rPr>
  </w:style>
  <w:style w:type="paragraph" w:styleId="Textocomentario">
    <w:name w:val="annotation text"/>
    <w:basedOn w:val="Normal"/>
    <w:link w:val="TextocomentarioCar"/>
    <w:uiPriority w:val="99"/>
    <w:semiHidden w:val="1"/>
    <w:unhideWhenUsed w:val="1"/>
    <w:rsid w:val="00FD48C3"/>
    <w:pPr>
      <w:spacing w:after="0" w:line="240" w:lineRule="auto"/>
    </w:pPr>
    <w:rPr>
      <w:rFonts w:ascii="Times New Roman" w:cs="Times New Roman" w:eastAsia="Times New Roman" w:hAnsi="Times New Roman"/>
      <w:sz w:val="20"/>
      <w:szCs w:val="20"/>
      <w:lang w:eastAsia="es-ES"/>
    </w:rPr>
  </w:style>
  <w:style w:type="character" w:styleId="AsuntodelcomentarioCar" w:customStyle="1">
    <w:name w:val="Asunto del comentario Car"/>
    <w:basedOn w:val="TextocomentarioCar"/>
    <w:link w:val="Asuntodelcomentario"/>
    <w:uiPriority w:val="99"/>
    <w:semiHidden w:val="1"/>
    <w:rsid w:val="00FD48C3"/>
    <w:rPr>
      <w:rFonts w:ascii="Times New Roman" w:cs="Times New Roman" w:eastAsia="Times New Roman" w:hAnsi="Times New Roman"/>
      <w:b w:val="1"/>
      <w:bCs w:val="1"/>
      <w:sz w:val="20"/>
      <w:szCs w:val="20"/>
      <w:lang w:eastAsia="es-ES"/>
    </w:rPr>
  </w:style>
  <w:style w:type="paragraph" w:styleId="Asuntodelcomentario">
    <w:name w:val="annotation subject"/>
    <w:basedOn w:val="Textocomentario"/>
    <w:next w:val="Textocomentario"/>
    <w:link w:val="AsuntodelcomentarioCar"/>
    <w:uiPriority w:val="99"/>
    <w:semiHidden w:val="1"/>
    <w:unhideWhenUsed w:val="1"/>
    <w:rsid w:val="00FD48C3"/>
    <w:rPr>
      <w:b w:val="1"/>
      <w:bCs w:val="1"/>
    </w:rPr>
  </w:style>
  <w:style w:type="character" w:styleId="TextodegloboCar" w:customStyle="1">
    <w:name w:val="Texto de globo Car"/>
    <w:basedOn w:val="Fuentedeprrafopredeter"/>
    <w:link w:val="Textodeglobo"/>
    <w:uiPriority w:val="99"/>
    <w:semiHidden w:val="1"/>
    <w:rsid w:val="00FD48C3"/>
    <w:rPr>
      <w:rFonts w:ascii="Segoe UI" w:cs="Segoe UI" w:eastAsia="Times New Roman" w:hAnsi="Segoe UI"/>
      <w:sz w:val="18"/>
      <w:szCs w:val="18"/>
      <w:lang w:eastAsia="es-ES"/>
    </w:rPr>
  </w:style>
  <w:style w:type="paragraph" w:styleId="Textodeglobo">
    <w:name w:val="Balloon Text"/>
    <w:basedOn w:val="Normal"/>
    <w:link w:val="TextodegloboCar"/>
    <w:uiPriority w:val="99"/>
    <w:semiHidden w:val="1"/>
    <w:unhideWhenUsed w:val="1"/>
    <w:rsid w:val="00FD48C3"/>
    <w:pPr>
      <w:spacing w:after="0" w:line="240" w:lineRule="auto"/>
    </w:pPr>
    <w:rPr>
      <w:rFonts w:ascii="Segoe UI" w:cs="Segoe UI" w:eastAsia="Times New Roman" w:hAnsi="Segoe UI"/>
      <w:sz w:val="18"/>
      <w:szCs w:val="18"/>
      <w:lang w:eastAsia="es-ES"/>
    </w:rPr>
  </w:style>
  <w:style w:type="paragraph" w:styleId="paragraph" w:customStyle="1">
    <w:name w:val="paragraph"/>
    <w:basedOn w:val="Normal"/>
    <w:rsid w:val="00FD48C3"/>
    <w:pPr>
      <w:spacing w:after="100" w:afterAutospacing="1" w:before="100" w:beforeAutospacing="1" w:line="240" w:lineRule="auto"/>
    </w:pPr>
    <w:rPr>
      <w:rFonts w:ascii="Times New Roman" w:cs="Times New Roman" w:eastAsia="Times New Roman" w:hAnsi="Times New Roman"/>
      <w:sz w:val="24"/>
      <w:szCs w:val="24"/>
    </w:rPr>
  </w:style>
  <w:style w:type="paragraph" w:styleId="Sinespaciado">
    <w:name w:val="No Spacing"/>
    <w:aliases w:val="Francesa,INAI"/>
    <w:link w:val="SinespaciadoCar"/>
    <w:uiPriority w:val="1"/>
    <w:qFormat w:val="1"/>
    <w:rsid w:val="00FD48C3"/>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INAI Car"/>
    <w:link w:val="Sinespaciado"/>
    <w:uiPriority w:val="1"/>
    <w:locked w:val="1"/>
    <w:rsid w:val="00FD48C3"/>
    <w:rPr>
      <w:rFonts w:ascii="Times New Roman" w:cs="Times New Roman" w:eastAsia="Times New Roman" w:hAnsi="Times New Roman"/>
      <w:sz w:val="24"/>
      <w:szCs w:val="24"/>
      <w:lang w:eastAsia="es-ES"/>
    </w:rPr>
  </w:style>
  <w:style w:type="paragraph" w:styleId="Lista">
    <w:name w:val="List"/>
    <w:basedOn w:val="Normal"/>
    <w:uiPriority w:val="99"/>
    <w:unhideWhenUsed w:val="1"/>
    <w:rsid w:val="00FD48C3"/>
    <w:pPr>
      <w:spacing w:after="0" w:line="240" w:lineRule="auto"/>
      <w:ind w:left="283" w:hanging="283"/>
      <w:contextualSpacing w:val="1"/>
    </w:pPr>
    <w:rPr>
      <w:rFonts w:ascii="Times New Roman" w:cs="Times New Roman" w:eastAsia="Times New Roman" w:hAnsi="Times New Roman"/>
      <w:sz w:val="24"/>
      <w:szCs w:val="24"/>
      <w:lang w:eastAsia="es-ES"/>
    </w:rPr>
  </w:style>
  <w:style w:type="paragraph" w:styleId="Lista2">
    <w:name w:val="List 2"/>
    <w:basedOn w:val="Normal"/>
    <w:uiPriority w:val="99"/>
    <w:unhideWhenUsed w:val="1"/>
    <w:rsid w:val="00FD48C3"/>
    <w:pPr>
      <w:spacing w:after="0" w:line="240" w:lineRule="auto"/>
      <w:ind w:left="566" w:hanging="283"/>
      <w:contextualSpacing w:val="1"/>
    </w:pPr>
    <w:rPr>
      <w:rFonts w:ascii="Times New Roman" w:cs="Times New Roman" w:eastAsia="Times New Roman" w:hAnsi="Times New Roman"/>
      <w:sz w:val="24"/>
      <w:szCs w:val="24"/>
      <w:lang w:eastAsia="es-ES"/>
    </w:rPr>
  </w:style>
  <w:style w:type="paragraph" w:styleId="Listaconvietas">
    <w:name w:val="List Bullet"/>
    <w:basedOn w:val="Normal"/>
    <w:uiPriority w:val="99"/>
    <w:unhideWhenUsed w:val="1"/>
    <w:rsid w:val="00FD48C3"/>
    <w:pPr>
      <w:numPr>
        <w:numId w:val="1"/>
      </w:numPr>
      <w:spacing w:after="0" w:line="240" w:lineRule="auto"/>
      <w:contextualSpacing w:val="1"/>
    </w:pPr>
    <w:rPr>
      <w:rFonts w:ascii="Times New Roman" w:cs="Times New Roman" w:eastAsia="Times New Roman" w:hAnsi="Times New Roman"/>
      <w:sz w:val="24"/>
      <w:szCs w:val="24"/>
      <w:lang w:eastAsia="es-ES"/>
    </w:rPr>
  </w:style>
  <w:style w:type="paragraph" w:styleId="Continuarlista">
    <w:name w:val="List Continue"/>
    <w:basedOn w:val="Normal"/>
    <w:uiPriority w:val="99"/>
    <w:unhideWhenUsed w:val="1"/>
    <w:rsid w:val="00FD48C3"/>
    <w:pPr>
      <w:spacing w:after="120" w:line="240" w:lineRule="auto"/>
      <w:ind w:left="283"/>
      <w:contextualSpacing w:val="1"/>
    </w:pPr>
    <w:rPr>
      <w:rFonts w:ascii="Times New Roman" w:cs="Times New Roman" w:eastAsia="Times New Roman" w:hAnsi="Times New Roman"/>
      <w:sz w:val="24"/>
      <w:szCs w:val="24"/>
      <w:lang w:eastAsia="es-ES"/>
    </w:rPr>
  </w:style>
  <w:style w:type="paragraph" w:styleId="Textoindependiente">
    <w:name w:val="Body Text"/>
    <w:basedOn w:val="Normal"/>
    <w:link w:val="TextoindependienteCar"/>
    <w:uiPriority w:val="99"/>
    <w:unhideWhenUsed w:val="1"/>
    <w:rsid w:val="00FD48C3"/>
    <w:pPr>
      <w:spacing w:after="120" w:line="240" w:lineRule="auto"/>
    </w:pPr>
    <w:rPr>
      <w:rFonts w:ascii="Times New Roman" w:cs="Times New Roman" w:eastAsia="Times New Roman" w:hAnsi="Times New Roman"/>
      <w:sz w:val="24"/>
      <w:szCs w:val="24"/>
      <w:lang w:eastAsia="es-ES"/>
    </w:rPr>
  </w:style>
  <w:style w:type="character" w:styleId="TextoindependienteCar" w:customStyle="1">
    <w:name w:val="Texto independiente Car"/>
    <w:basedOn w:val="Fuentedeprrafopredeter"/>
    <w:link w:val="Textoindependiente"/>
    <w:uiPriority w:val="99"/>
    <w:rsid w:val="00FD48C3"/>
    <w:rPr>
      <w:rFonts w:ascii="Times New Roman" w:cs="Times New Roman" w:eastAsia="Times New Roman" w:hAnsi="Times New Roman"/>
      <w:sz w:val="24"/>
      <w:szCs w:val="24"/>
      <w:lang w:eastAsia="es-ES"/>
    </w:rPr>
  </w:style>
  <w:style w:type="paragraph" w:styleId="Sangradetextonormal">
    <w:name w:val="Body Text Indent"/>
    <w:basedOn w:val="Normal"/>
    <w:link w:val="SangradetextonormalCar"/>
    <w:uiPriority w:val="99"/>
    <w:unhideWhenUsed w:val="1"/>
    <w:rsid w:val="00FD48C3"/>
    <w:pPr>
      <w:spacing w:after="120" w:line="240" w:lineRule="auto"/>
      <w:ind w:left="283"/>
    </w:pPr>
    <w:rPr>
      <w:rFonts w:ascii="Times New Roman" w:cs="Times New Roman" w:eastAsia="Times New Roman" w:hAnsi="Times New Roman"/>
      <w:sz w:val="24"/>
      <w:szCs w:val="24"/>
      <w:lang w:eastAsia="es-ES"/>
    </w:rPr>
  </w:style>
  <w:style w:type="character" w:styleId="SangradetextonormalCar" w:customStyle="1">
    <w:name w:val="Sangría de texto normal Car"/>
    <w:basedOn w:val="Fuentedeprrafopredeter"/>
    <w:link w:val="Sangradetextonormal"/>
    <w:uiPriority w:val="99"/>
    <w:rsid w:val="00FD48C3"/>
    <w:rPr>
      <w:rFonts w:ascii="Times New Roman" w:cs="Times New Roman" w:eastAsia="Times New Roman" w:hAnsi="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val="1"/>
    <w:rsid w:val="00FD48C3"/>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FD48C3"/>
    <w:rPr>
      <w:rFonts w:ascii="Times New Roman" w:cs="Times New Roman" w:eastAsia="Times New Roman" w:hAnsi="Times New Roman"/>
      <w:sz w:val="24"/>
      <w:szCs w:val="24"/>
      <w:lang w:eastAsia="es-ES"/>
    </w:rPr>
  </w:style>
  <w:style w:type="paragraph" w:styleId="Default" w:customStyle="1">
    <w:name w:val="Default"/>
    <w:rsid w:val="00FD48C3"/>
    <w:pPr>
      <w:autoSpaceDE w:val="0"/>
      <w:autoSpaceDN w:val="0"/>
      <w:adjustRightInd w:val="0"/>
      <w:spacing w:after="0" w:line="240" w:lineRule="auto"/>
    </w:pPr>
    <w:rPr>
      <w:rFonts w:ascii="Times New Roman" w:cs="Times New Roman" w:eastAsia="Times New Roman" w:hAnsi="Times New Roman"/>
      <w:color w:val="000000"/>
      <w:sz w:val="24"/>
      <w:szCs w:val="24"/>
    </w:rPr>
  </w:style>
  <w:style w:type="paragraph" w:styleId="Listaconvietas3">
    <w:name w:val="List Bullet 3"/>
    <w:basedOn w:val="Normal"/>
    <w:uiPriority w:val="99"/>
    <w:unhideWhenUsed w:val="1"/>
    <w:rsid w:val="00FD48C3"/>
    <w:pPr>
      <w:numPr>
        <w:numId w:val="2"/>
      </w:numPr>
      <w:spacing w:after="0" w:line="240" w:lineRule="auto"/>
      <w:ind w:left="7306"/>
      <w:contextualSpacing w:val="1"/>
    </w:pPr>
    <w:rPr>
      <w:rFonts w:ascii="Times New Roman" w:cs="Times New Roman" w:eastAsia="Times New Roman" w:hAnsi="Times New Roman"/>
      <w:sz w:val="24"/>
      <w:szCs w:val="24"/>
      <w:lang w:val="es-ES"/>
    </w:rPr>
  </w:style>
  <w:style w:type="table" w:styleId="4" w:customStyle="1">
    <w:name w:val="4"/>
    <w:basedOn w:val="TableNormal9"/>
    <w:rsid w:val="00FD48C3"/>
    <w:rPr>
      <w:rFonts w:ascii="Calibri" w:cs="Calibri" w:eastAsia="Calibri" w:hAnsi="Calibri"/>
    </w:rPr>
    <w:tblPr>
      <w:tblStyleRowBandSize w:val="1"/>
      <w:tblStyleColBandSize w:val="1"/>
      <w:tblCellMar>
        <w:left w:w="115.0" w:type="dxa"/>
        <w:right w:w="115.0" w:type="dxa"/>
      </w:tblCellMar>
    </w:tblPr>
  </w:style>
  <w:style w:type="table" w:styleId="3" w:customStyle="1">
    <w:name w:val="3"/>
    <w:basedOn w:val="TableNormal9"/>
    <w:rsid w:val="00FD48C3"/>
    <w:rPr>
      <w:rFonts w:ascii="Calibri" w:cs="Calibri" w:eastAsia="Calibri" w:hAnsi="Calibri"/>
    </w:rPr>
    <w:tblPr>
      <w:tblStyleRowBandSize w:val="1"/>
      <w:tblStyleColBandSize w:val="1"/>
      <w:tblCellMar>
        <w:left w:w="115.0" w:type="dxa"/>
        <w:right w:w="115.0" w:type="dxa"/>
      </w:tblCellMar>
    </w:tblPr>
  </w:style>
  <w:style w:type="table" w:styleId="a9" w:customStyle="1">
    <w:basedOn w:val="TableNormal4"/>
    <w:tblPr>
      <w:tblStyleRowBandSize w:val="1"/>
      <w:tblStyleColBandSize w:val="1"/>
      <w:tblCellMar>
        <w:left w:w="115.0" w:type="dxa"/>
        <w:right w:w="115.0" w:type="dxa"/>
      </w:tblCellMar>
    </w:tblPr>
  </w:style>
  <w:style w:type="table" w:styleId="aa" w:customStyle="1">
    <w:basedOn w:val="TableNormal4"/>
    <w:tblPr>
      <w:tblStyleRowBandSize w:val="1"/>
      <w:tblStyleColBandSize w:val="1"/>
      <w:tblCellMar>
        <w:left w:w="115.0" w:type="dxa"/>
        <w:right w:w="115.0" w:type="dxa"/>
      </w:tblCellMar>
    </w:tblPr>
  </w:style>
  <w:style w:type="table" w:styleId="ab" w:customStyle="1">
    <w:basedOn w:val="TableNormal4"/>
    <w:tblPr>
      <w:tblStyleRowBandSize w:val="1"/>
      <w:tblStyleColBandSize w:val="1"/>
      <w:tblCellMar>
        <w:left w:w="115.0" w:type="dxa"/>
        <w:right w:w="115.0" w:type="dxa"/>
      </w:tblCellMar>
    </w:tblPr>
  </w:style>
  <w:style w:type="table" w:styleId="ac" w:customStyle="1">
    <w:basedOn w:val="TableNormal4"/>
    <w:tblPr>
      <w:tblStyleRowBandSize w:val="1"/>
      <w:tblStyleColBandSize w:val="1"/>
      <w:tblCellMar>
        <w:left w:w="115.0" w:type="dxa"/>
        <w:right w:w="115.0" w:type="dxa"/>
      </w:tblCellMar>
    </w:tblPr>
  </w:style>
  <w:style w:type="table" w:styleId="ad" w:customStyle="1">
    <w:basedOn w:val="TableNormal4"/>
    <w:tblPr>
      <w:tblStyleRowBandSize w:val="1"/>
      <w:tblStyleColBandSize w:val="1"/>
      <w:tblCellMar>
        <w:left w:w="115.0" w:type="dxa"/>
        <w:right w:w="115.0" w:type="dxa"/>
      </w:tblCellMar>
    </w:tblPr>
  </w:style>
  <w:style w:type="table" w:styleId="ae" w:customStyle="1">
    <w:basedOn w:val="TableNormal4"/>
    <w:tblPr>
      <w:tblStyleRowBandSize w:val="1"/>
      <w:tblStyleColBandSize w:val="1"/>
      <w:tblCellMar>
        <w:left w:w="115.0" w:type="dxa"/>
        <w:right w:w="115.0" w:type="dxa"/>
      </w:tblCellMar>
    </w:tblPr>
  </w:style>
  <w:style w:type="table" w:styleId="af" w:customStyle="1">
    <w:basedOn w:val="TableNormal4"/>
    <w:tblPr>
      <w:tblStyleRowBandSize w:val="1"/>
      <w:tblStyleColBandSize w:val="1"/>
      <w:tblCellMar>
        <w:left w:w="115.0" w:type="dxa"/>
        <w:right w:w="115.0" w:type="dxa"/>
      </w:tblCellMar>
    </w:tblPr>
  </w:style>
  <w:style w:type="paragraph" w:styleId="INFOEM" w:customStyle="1">
    <w:name w:val="INFOEM"/>
    <w:basedOn w:val="Normal"/>
    <w:qFormat w:val="1"/>
    <w:rsid w:val="00616865"/>
    <w:pPr>
      <w:spacing w:before="240" w:line="360" w:lineRule="auto"/>
      <w:ind w:left="851" w:right="851"/>
      <w:jc w:val="both"/>
    </w:pPr>
    <w:rPr>
      <w:rFonts w:ascii="Palatino Linotype" w:hAnsi="Palatino Linotype" w:cstheme="minorBidi" w:eastAsiaTheme="minorHAnsi"/>
      <w:i w:val="1"/>
      <w:szCs w:val="14"/>
      <w:lang w:eastAsia="en-US"/>
    </w:rPr>
  </w:style>
  <w:style w:type="paragraph" w:styleId="Citas" w:customStyle="1">
    <w:name w:val="Citas"/>
    <w:basedOn w:val="Normal"/>
    <w:qFormat w:val="1"/>
    <w:rsid w:val="00616865"/>
    <w:pPr>
      <w:spacing w:before="240" w:line="360" w:lineRule="auto"/>
      <w:ind w:left="851" w:right="851"/>
      <w:jc w:val="both"/>
    </w:pPr>
    <w:rPr>
      <w:rFonts w:ascii="Palatino Linotype" w:cs="Arial" w:hAnsi="Palatino Linotype" w:eastAsiaTheme="minorHAnsi"/>
      <w:i w:val="1"/>
      <w:lang w:eastAsia="en-US"/>
    </w:rPr>
  </w:style>
  <w:style w:type="table" w:styleId="af0" w:customStyle="1">
    <w:basedOn w:val="TableNormal3"/>
    <w:tblPr>
      <w:tblStyleRowBandSize w:val="1"/>
      <w:tblStyleColBandSize w:val="1"/>
      <w:tblCellMar>
        <w:left w:w="115.0" w:type="dxa"/>
        <w:right w:w="115.0" w:type="dxa"/>
      </w:tblCellMar>
    </w:tblPr>
  </w:style>
  <w:style w:type="table" w:styleId="af1" w:customStyle="1">
    <w:basedOn w:val="TableNormal3"/>
    <w:tblPr>
      <w:tblStyleRowBandSize w:val="1"/>
      <w:tblStyleColBandSize w:val="1"/>
      <w:tblCellMar>
        <w:left w:w="115.0" w:type="dxa"/>
        <w:right w:w="115.0" w:type="dxa"/>
      </w:tblCellMar>
    </w:tblPr>
  </w:style>
  <w:style w:type="table" w:styleId="af2" w:customStyle="1">
    <w:basedOn w:val="TableNormal3"/>
    <w:tblPr>
      <w:tblStyleRowBandSize w:val="1"/>
      <w:tblStyleColBandSize w:val="1"/>
      <w:tblCellMar>
        <w:left w:w="115.0" w:type="dxa"/>
        <w:right w:w="115.0" w:type="dxa"/>
      </w:tblCellMar>
    </w:tblPr>
  </w:style>
  <w:style w:type="table" w:styleId="af3" w:customStyle="1">
    <w:basedOn w:val="TableNormal3"/>
    <w:tblPr>
      <w:tblStyleRowBandSize w:val="1"/>
      <w:tblStyleColBandSize w:val="1"/>
      <w:tblCellMar>
        <w:left w:w="115.0" w:type="dxa"/>
        <w:right w:w="115.0" w:type="dxa"/>
      </w:tblCellMar>
    </w:tblPr>
  </w:style>
  <w:style w:type="table" w:styleId="af4" w:customStyle="1">
    <w:basedOn w:val="TableNormal3"/>
    <w:tblPr>
      <w:tblStyleRowBandSize w:val="1"/>
      <w:tblStyleColBandSize w:val="1"/>
      <w:tblCellMar>
        <w:left w:w="115.0" w:type="dxa"/>
        <w:right w:w="115.0" w:type="dxa"/>
      </w:tblCellMar>
    </w:tblPr>
  </w:style>
  <w:style w:type="table" w:styleId="af5" w:customStyle="1">
    <w:basedOn w:val="TableNormal3"/>
    <w:tblPr>
      <w:tblStyleRowBandSize w:val="1"/>
      <w:tblStyleColBandSize w:val="1"/>
      <w:tblCellMar>
        <w:left w:w="115.0" w:type="dxa"/>
        <w:right w:w="115.0" w:type="dxa"/>
      </w:tblCellMar>
    </w:tblPr>
  </w:style>
  <w:style w:type="table" w:styleId="af6" w:customStyle="1">
    <w:basedOn w:val="TableNormal2"/>
    <w:tblPr>
      <w:tblStyleRowBandSize w:val="1"/>
      <w:tblStyleColBandSize w:val="1"/>
      <w:tblCellMar>
        <w:left w:w="115.0" w:type="dxa"/>
        <w:right w:w="115.0" w:type="dxa"/>
      </w:tblCellMar>
    </w:tblPr>
  </w:style>
  <w:style w:type="table" w:styleId="af7" w:customStyle="1">
    <w:basedOn w:val="TableNormal2"/>
    <w:tblPr>
      <w:tblStyleRowBandSize w:val="1"/>
      <w:tblStyleColBandSize w:val="1"/>
      <w:tblCellMar>
        <w:left w:w="115.0" w:type="dxa"/>
        <w:right w:w="115.0" w:type="dxa"/>
      </w:tblCellMar>
    </w:tblPr>
  </w:style>
  <w:style w:type="table" w:styleId="af8" w:customStyle="1">
    <w:basedOn w:val="TableNormal2"/>
    <w:tblPr>
      <w:tblStyleRowBandSize w:val="1"/>
      <w:tblStyleColBandSize w:val="1"/>
      <w:tblCellMar>
        <w:left w:w="115.0" w:type="dxa"/>
        <w:right w:w="115.0" w:type="dxa"/>
      </w:tblCellMar>
    </w:tblPr>
  </w:style>
  <w:style w:type="table" w:styleId="af9" w:customStyle="1">
    <w:basedOn w:val="TableNormal2"/>
    <w:tblPr>
      <w:tblStyleRowBandSize w:val="1"/>
      <w:tblStyleColBandSize w:val="1"/>
      <w:tblCellMar>
        <w:left w:w="115.0" w:type="dxa"/>
        <w:right w:w="115.0" w:type="dxa"/>
      </w:tblCellMar>
    </w:tblPr>
  </w:style>
  <w:style w:type="table" w:styleId="afa" w:customStyle="1">
    <w:basedOn w:val="TableNormal2"/>
    <w:tblPr>
      <w:tblStyleRowBandSize w:val="1"/>
      <w:tblStyleColBandSize w:val="1"/>
      <w:tblCellMar>
        <w:left w:w="115.0" w:type="dxa"/>
        <w:right w:w="115.0" w:type="dxa"/>
      </w:tblCellMar>
    </w:tblPr>
  </w:style>
  <w:style w:type="table" w:styleId="afb" w:customStyle="1">
    <w:basedOn w:val="TableNormal2"/>
    <w:tblPr>
      <w:tblStyleRowBandSize w:val="1"/>
      <w:tblStyleColBandSize w:val="1"/>
      <w:tblCellMar>
        <w:left w:w="115.0" w:type="dxa"/>
        <w:right w:w="115.0" w:type="dxa"/>
      </w:tblCellMar>
    </w:tblPr>
  </w:style>
  <w:style w:type="table" w:styleId="afc" w:customStyle="1">
    <w:basedOn w:val="TableNormal1"/>
    <w:tblPr>
      <w:tblStyleRowBandSize w:val="1"/>
      <w:tblStyleColBandSize w:val="1"/>
      <w:tblCellMar>
        <w:left w:w="115.0" w:type="dxa"/>
        <w:right w:w="115.0" w:type="dxa"/>
      </w:tblCellMar>
    </w:tblPr>
  </w:style>
  <w:style w:type="table" w:styleId="afd" w:customStyle="1">
    <w:basedOn w:val="TableNormal1"/>
    <w:tblPr>
      <w:tblStyleRowBandSize w:val="1"/>
      <w:tblStyleColBandSize w:val="1"/>
      <w:tblCellMar>
        <w:left w:w="115.0" w:type="dxa"/>
        <w:right w:w="115.0" w:type="dxa"/>
      </w:tblCellMar>
    </w:tblPr>
  </w:style>
  <w:style w:type="table" w:styleId="afe" w:customStyle="1">
    <w:basedOn w:val="TableNormal1"/>
    <w:tblPr>
      <w:tblStyleRowBandSize w:val="1"/>
      <w:tblStyleColBandSize w:val="1"/>
      <w:tblCellMar>
        <w:left w:w="115.0" w:type="dxa"/>
        <w:right w:w="115.0" w:type="dxa"/>
      </w:tblCellMar>
    </w:tblPr>
  </w:style>
  <w:style w:type="table" w:styleId="aff" w:customStyle="1">
    <w:basedOn w:val="TableNormal1"/>
    <w:tblPr>
      <w:tblStyleRowBandSize w:val="1"/>
      <w:tblStyleColBandSize w:val="1"/>
      <w:tblCellMar>
        <w:left w:w="115.0" w:type="dxa"/>
        <w:right w:w="115.0" w:type="dxa"/>
      </w:tblCellMar>
    </w:tblPr>
  </w:style>
  <w:style w:type="table" w:styleId="aff0" w:customStyle="1">
    <w:basedOn w:val="TableNormal1"/>
    <w:tblPr>
      <w:tblStyleRowBandSize w:val="1"/>
      <w:tblStyleColBandSize w:val="1"/>
      <w:tblCellMar>
        <w:left w:w="115.0" w:type="dxa"/>
        <w:right w:w="115.0" w:type="dxa"/>
      </w:tblCellMar>
    </w:tblPr>
  </w:style>
  <w:style w:type="table" w:styleId="aff1" w:customStyle="1">
    <w:basedOn w:val="TableNormal1"/>
    <w:tblPr>
      <w:tblStyleRowBandSize w:val="1"/>
      <w:tblStyleColBandSize w:val="1"/>
      <w:tblCellMar>
        <w:left w:w="115.0" w:type="dxa"/>
        <w:right w:w="115.0" w:type="dxa"/>
      </w:tblCellMar>
    </w:tblPr>
  </w:style>
  <w:style w:type="character" w:styleId="relative" w:customStyle="1">
    <w:name w:val="relative"/>
    <w:basedOn w:val="Fuentedeprrafopredeter"/>
    <w:rsid w:val="00E35917"/>
  </w:style>
  <w:style w:type="character" w:styleId="Textoennegrita">
    <w:name w:val="Strong"/>
    <w:basedOn w:val="Fuentedeprrafopredeter"/>
    <w:uiPriority w:val="22"/>
    <w:qFormat w:val="1"/>
    <w:rsid w:val="003A0900"/>
    <w:rPr>
      <w:b w:val="1"/>
      <w:bCs w:val="1"/>
    </w:rPr>
  </w:style>
  <w:style w:type="table" w:styleId="aff2" w:customStyle="1">
    <w:basedOn w:val="TableNormal0"/>
    <w:tblPr>
      <w:tblStyleRowBandSize w:val="1"/>
      <w:tblStyleColBandSize w:val="1"/>
      <w:tblCellMar>
        <w:left w:w="115.0" w:type="dxa"/>
        <w:right w:w="115.0" w:type="dxa"/>
      </w:tblCellMar>
    </w:tblPr>
  </w:style>
  <w:style w:type="table" w:styleId="aff3" w:customStyle="1">
    <w:basedOn w:val="TableNormal0"/>
    <w:tblPr>
      <w:tblStyleRowBandSize w:val="1"/>
      <w:tblStyleColBandSize w:val="1"/>
      <w:tblCellMar>
        <w:left w:w="115.0" w:type="dxa"/>
        <w:right w:w="115.0" w:type="dxa"/>
      </w:tblCellMar>
    </w:tblPr>
  </w:style>
  <w:style w:type="table" w:styleId="aff4" w:customStyle="1">
    <w:basedOn w:val="TableNormal0"/>
    <w:tblPr>
      <w:tblStyleRowBandSize w:val="1"/>
      <w:tblStyleColBandSize w:val="1"/>
      <w:tblCellMar>
        <w:left w:w="115.0" w:type="dxa"/>
        <w:right w:w="115.0" w:type="dxa"/>
      </w:tblCellMar>
    </w:tblPr>
  </w:style>
  <w:style w:type="table" w:styleId="aff5" w:customStyle="1">
    <w:basedOn w:val="TableNormal0"/>
    <w:tblPr>
      <w:tblStyleRowBandSize w:val="1"/>
      <w:tblStyleColBandSize w:val="1"/>
      <w:tblCellMar>
        <w:left w:w="115.0" w:type="dxa"/>
        <w:right w:w="115.0" w:type="dxa"/>
      </w:tblCellMar>
    </w:tblPr>
  </w:style>
  <w:style w:type="table" w:styleId="aff6"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ecretariadoejecutivo.gob.mx/work/models/SecretariadoEjecutivo/Resource/328/1/images/instructivo_final_edo_fuerza(1).pdf"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W8lwv1kk1fcXowitECNgr6QNhw==">CgMxLjAyDmguaHNhZTkxdHE4cXBjMgloLjMwajB6bGwyDmgudTUzamJzbGljbm5jMg5oLjFsYm12eW85cWdjNDIJaC4yZXQ5MnAwMghoLmdqZGd4czIJaC4xdDNoNXNmMg5oLnBjeW9qYTU3MTFrOTIOaC5vdDNxcTZ2eGEwOGYyDWguN2c1ZDRyOHc1NzAyDmguNHRrc29kNTc1ajViOAByITFTZ3NibzJXcFVqb3UtOVhtQ0VKWlpxNDM5WlZqZW9QRQ==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2025-11-14T17:58:00Z</dcterms:created>
  <dc:creator>Cuenta Microsoft</dc:creator>
</cp:coreProperties>
</file>