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8529" w14:textId="77777777" w:rsidR="001C6F05" w:rsidRPr="009544A4" w:rsidRDefault="001C6F05" w:rsidP="001C6F05">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70876682" w14:textId="77777777" w:rsidR="001C6F05" w:rsidRPr="00D438CE" w:rsidRDefault="001C6F05" w:rsidP="00D438CE">
          <w:pPr>
            <w:pStyle w:val="TtuloTDC"/>
            <w:spacing w:line="360" w:lineRule="auto"/>
            <w:contextualSpacing/>
            <w:rPr>
              <w:b w:val="0"/>
              <w:bCs/>
              <w:color w:val="auto"/>
              <w:szCs w:val="22"/>
              <w:lang w:val="es-ES"/>
            </w:rPr>
          </w:pPr>
          <w:r w:rsidRPr="00D438CE">
            <w:rPr>
              <w:b w:val="0"/>
              <w:bCs/>
              <w:color w:val="auto"/>
              <w:szCs w:val="22"/>
              <w:lang w:val="es-ES"/>
            </w:rPr>
            <w:t>RESOLUCIÓN DEL RECURSO DE REVISIÓN 12216/INFOEM/IP/RR/2025</w:t>
          </w:r>
        </w:p>
        <w:p w14:paraId="157489A8" w14:textId="77777777" w:rsidR="001C6F05" w:rsidRPr="00D438CE" w:rsidRDefault="001C6F05" w:rsidP="00D438CE">
          <w:pPr>
            <w:spacing w:line="360" w:lineRule="auto"/>
            <w:contextualSpacing/>
            <w:rPr>
              <w:rFonts w:ascii="Palatino Linotype" w:hAnsi="Palatino Linotype"/>
              <w:color w:val="FF0000"/>
              <w:sz w:val="22"/>
              <w:szCs w:val="22"/>
              <w:lang w:val="es-ES" w:eastAsia="es-MX"/>
            </w:rPr>
          </w:pPr>
        </w:p>
        <w:p w14:paraId="32D1B265" w14:textId="77777777" w:rsidR="00D438CE" w:rsidRPr="00D438CE" w:rsidRDefault="001C6F05" w:rsidP="00D438CE">
          <w:pPr>
            <w:pStyle w:val="TDC1"/>
            <w:contextualSpacing/>
            <w:rPr>
              <w:rFonts w:asciiTheme="minorHAnsi" w:eastAsiaTheme="minorEastAsia" w:hAnsiTheme="minorHAnsi" w:cstheme="minorBidi"/>
              <w:noProof/>
              <w:sz w:val="22"/>
              <w:szCs w:val="22"/>
              <w:lang w:eastAsia="es-MX"/>
            </w:rPr>
          </w:pPr>
          <w:r w:rsidRPr="00D438CE">
            <w:rPr>
              <w:rFonts w:ascii="Palatino Linotype" w:hAnsi="Palatino Linotype"/>
              <w:bCs/>
              <w:color w:val="FF0000"/>
              <w:sz w:val="22"/>
              <w:szCs w:val="22"/>
            </w:rPr>
            <w:fldChar w:fldCharType="begin"/>
          </w:r>
          <w:r w:rsidRPr="00D438CE">
            <w:rPr>
              <w:rFonts w:ascii="Palatino Linotype" w:hAnsi="Palatino Linotype"/>
              <w:bCs/>
              <w:color w:val="FF0000"/>
              <w:sz w:val="22"/>
              <w:szCs w:val="22"/>
            </w:rPr>
            <w:instrText xml:space="preserve"> TOC \o "1-3" \h \z \u </w:instrText>
          </w:r>
          <w:r w:rsidRPr="00D438CE">
            <w:rPr>
              <w:rFonts w:ascii="Palatino Linotype" w:hAnsi="Palatino Linotype"/>
              <w:bCs/>
              <w:color w:val="FF0000"/>
              <w:sz w:val="22"/>
              <w:szCs w:val="22"/>
            </w:rPr>
            <w:fldChar w:fldCharType="separate"/>
          </w:r>
          <w:hyperlink w:anchor="_Toc213938163" w:history="1">
            <w:r w:rsidR="00D438CE" w:rsidRPr="00D438CE">
              <w:rPr>
                <w:rStyle w:val="Hipervnculo"/>
                <w:rFonts w:ascii="Palatino Linotype" w:hAnsi="Palatino Linotype"/>
                <w:bCs/>
                <w:noProof/>
                <w:sz w:val="22"/>
                <w:szCs w:val="22"/>
              </w:rPr>
              <w:t>A N T E C E D E N T E S</w:t>
            </w:r>
            <w:r w:rsidR="00D438CE" w:rsidRPr="00D438CE">
              <w:rPr>
                <w:noProof/>
                <w:webHidden/>
                <w:sz w:val="22"/>
                <w:szCs w:val="22"/>
              </w:rPr>
              <w:tab/>
            </w:r>
            <w:r w:rsidR="00D438CE" w:rsidRPr="00D438CE">
              <w:rPr>
                <w:noProof/>
                <w:webHidden/>
                <w:sz w:val="22"/>
                <w:szCs w:val="22"/>
              </w:rPr>
              <w:fldChar w:fldCharType="begin"/>
            </w:r>
            <w:r w:rsidR="00D438CE" w:rsidRPr="00D438CE">
              <w:rPr>
                <w:noProof/>
                <w:webHidden/>
                <w:sz w:val="22"/>
                <w:szCs w:val="22"/>
              </w:rPr>
              <w:instrText xml:space="preserve"> PAGEREF _Toc213938163 \h </w:instrText>
            </w:r>
            <w:r w:rsidR="00D438CE" w:rsidRPr="00D438CE">
              <w:rPr>
                <w:noProof/>
                <w:webHidden/>
                <w:sz w:val="22"/>
                <w:szCs w:val="22"/>
              </w:rPr>
            </w:r>
            <w:r w:rsidR="00D438CE" w:rsidRPr="00D438CE">
              <w:rPr>
                <w:noProof/>
                <w:webHidden/>
                <w:sz w:val="22"/>
                <w:szCs w:val="22"/>
              </w:rPr>
              <w:fldChar w:fldCharType="separate"/>
            </w:r>
            <w:r w:rsidR="00BA5AE5">
              <w:rPr>
                <w:noProof/>
                <w:webHidden/>
                <w:sz w:val="22"/>
                <w:szCs w:val="22"/>
              </w:rPr>
              <w:t>2</w:t>
            </w:r>
            <w:r w:rsidR="00D438CE" w:rsidRPr="00D438CE">
              <w:rPr>
                <w:noProof/>
                <w:webHidden/>
                <w:sz w:val="22"/>
                <w:szCs w:val="22"/>
              </w:rPr>
              <w:fldChar w:fldCharType="end"/>
            </w:r>
          </w:hyperlink>
        </w:p>
        <w:p w14:paraId="31B5A7A8"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64" w:history="1">
            <w:r w:rsidRPr="00D438CE">
              <w:rPr>
                <w:rStyle w:val="Hipervnculo"/>
                <w:rFonts w:ascii="Palatino Linotype" w:hAnsi="Palatino Linotype"/>
                <w:bCs/>
                <w:noProof/>
                <w:sz w:val="22"/>
                <w:szCs w:val="22"/>
              </w:rPr>
              <w:t>I. Presentación de la solicitud de información</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_Toc213938164 \h </w:instrText>
            </w:r>
            <w:r w:rsidRPr="00D438CE">
              <w:rPr>
                <w:noProof/>
                <w:webHidden/>
                <w:sz w:val="22"/>
                <w:szCs w:val="22"/>
              </w:rPr>
            </w:r>
            <w:r w:rsidRPr="00D438CE">
              <w:rPr>
                <w:noProof/>
                <w:webHidden/>
                <w:sz w:val="22"/>
                <w:szCs w:val="22"/>
              </w:rPr>
              <w:fldChar w:fldCharType="separate"/>
            </w:r>
            <w:r w:rsidR="00BA5AE5">
              <w:rPr>
                <w:noProof/>
                <w:webHidden/>
                <w:sz w:val="22"/>
                <w:szCs w:val="22"/>
              </w:rPr>
              <w:t>2</w:t>
            </w:r>
            <w:r w:rsidRPr="00D438CE">
              <w:rPr>
                <w:noProof/>
                <w:webHidden/>
                <w:sz w:val="22"/>
                <w:szCs w:val="22"/>
              </w:rPr>
              <w:fldChar w:fldCharType="end"/>
            </w:r>
          </w:hyperlink>
        </w:p>
        <w:p w14:paraId="20ED9F24"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65" w:history="1">
            <w:r w:rsidRPr="00D438CE">
              <w:rPr>
                <w:rStyle w:val="Hipervnculo"/>
                <w:rFonts w:ascii="Palatino Linotype" w:hAnsi="Palatino Linotype"/>
                <w:bCs/>
                <w:noProof/>
                <w:sz w:val="22"/>
                <w:szCs w:val="22"/>
              </w:rPr>
              <w:t>II. Respuesta del Sujeto Obligado</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_Toc213938165 \h </w:instrText>
            </w:r>
            <w:r w:rsidRPr="00D438CE">
              <w:rPr>
                <w:noProof/>
                <w:webHidden/>
                <w:sz w:val="22"/>
                <w:szCs w:val="22"/>
              </w:rPr>
            </w:r>
            <w:r w:rsidRPr="00D438CE">
              <w:rPr>
                <w:noProof/>
                <w:webHidden/>
                <w:sz w:val="22"/>
                <w:szCs w:val="22"/>
              </w:rPr>
              <w:fldChar w:fldCharType="separate"/>
            </w:r>
            <w:r w:rsidR="00BA5AE5">
              <w:rPr>
                <w:noProof/>
                <w:webHidden/>
                <w:sz w:val="22"/>
                <w:szCs w:val="22"/>
              </w:rPr>
              <w:t>3</w:t>
            </w:r>
            <w:r w:rsidRPr="00D438CE">
              <w:rPr>
                <w:noProof/>
                <w:webHidden/>
                <w:sz w:val="22"/>
                <w:szCs w:val="22"/>
              </w:rPr>
              <w:fldChar w:fldCharType="end"/>
            </w:r>
          </w:hyperlink>
        </w:p>
        <w:p w14:paraId="56FEEA04"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66" w:history="1">
            <w:r w:rsidRPr="00D438CE">
              <w:rPr>
                <w:rStyle w:val="Hipervnculo"/>
                <w:rFonts w:ascii="Palatino Linotype" w:hAnsi="Palatino Linotype"/>
                <w:bCs/>
                <w:noProof/>
                <w:sz w:val="22"/>
                <w:szCs w:val="22"/>
                <w:lang w:eastAsia="en-US"/>
              </w:rPr>
              <w:t>III. Interposición del Recurso de Revisión</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_Toc213938166 \h </w:instrText>
            </w:r>
            <w:r w:rsidRPr="00D438CE">
              <w:rPr>
                <w:noProof/>
                <w:webHidden/>
                <w:sz w:val="22"/>
                <w:szCs w:val="22"/>
              </w:rPr>
            </w:r>
            <w:r w:rsidRPr="00D438CE">
              <w:rPr>
                <w:noProof/>
                <w:webHidden/>
                <w:sz w:val="22"/>
                <w:szCs w:val="22"/>
              </w:rPr>
              <w:fldChar w:fldCharType="separate"/>
            </w:r>
            <w:r w:rsidR="00BA5AE5">
              <w:rPr>
                <w:noProof/>
                <w:webHidden/>
                <w:sz w:val="22"/>
                <w:szCs w:val="22"/>
              </w:rPr>
              <w:t>3</w:t>
            </w:r>
            <w:r w:rsidRPr="00D438CE">
              <w:rPr>
                <w:noProof/>
                <w:webHidden/>
                <w:sz w:val="22"/>
                <w:szCs w:val="22"/>
              </w:rPr>
              <w:fldChar w:fldCharType="end"/>
            </w:r>
          </w:hyperlink>
        </w:p>
        <w:p w14:paraId="0C646F4D"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67" w:history="1">
            <w:r w:rsidRPr="00D438CE">
              <w:rPr>
                <w:rStyle w:val="Hipervnculo"/>
                <w:rFonts w:ascii="Palatino Linotype" w:hAnsi="Palatino Linotype"/>
                <w:bCs/>
                <w:noProof/>
                <w:sz w:val="22"/>
                <w:szCs w:val="22"/>
                <w:lang w:eastAsia="en-US"/>
              </w:rPr>
              <w:t>IV. Trámite del Recurso de Revisión ante el Instituto</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_Toc213938167 \h </w:instrText>
            </w:r>
            <w:r w:rsidRPr="00D438CE">
              <w:rPr>
                <w:noProof/>
                <w:webHidden/>
                <w:sz w:val="22"/>
                <w:szCs w:val="22"/>
              </w:rPr>
            </w:r>
            <w:r w:rsidRPr="00D438CE">
              <w:rPr>
                <w:noProof/>
                <w:webHidden/>
                <w:sz w:val="22"/>
                <w:szCs w:val="22"/>
              </w:rPr>
              <w:fldChar w:fldCharType="separate"/>
            </w:r>
            <w:r w:rsidR="00BA5AE5">
              <w:rPr>
                <w:noProof/>
                <w:webHidden/>
                <w:sz w:val="22"/>
                <w:szCs w:val="22"/>
              </w:rPr>
              <w:t>5</w:t>
            </w:r>
            <w:r w:rsidRPr="00D438CE">
              <w:rPr>
                <w:noProof/>
                <w:webHidden/>
                <w:sz w:val="22"/>
                <w:szCs w:val="22"/>
              </w:rPr>
              <w:fldChar w:fldCharType="end"/>
            </w:r>
          </w:hyperlink>
        </w:p>
        <w:p w14:paraId="040E9A45" w14:textId="77777777" w:rsidR="00D438CE" w:rsidRPr="00D438CE" w:rsidRDefault="00D438CE" w:rsidP="00D438CE">
          <w:pPr>
            <w:pStyle w:val="TDC1"/>
            <w:contextualSpacing/>
            <w:rPr>
              <w:rFonts w:asciiTheme="minorHAnsi" w:eastAsiaTheme="minorEastAsia" w:hAnsiTheme="minorHAnsi" w:cstheme="minorBidi"/>
              <w:noProof/>
              <w:sz w:val="22"/>
              <w:szCs w:val="22"/>
              <w:lang w:eastAsia="es-MX"/>
            </w:rPr>
          </w:pPr>
          <w:hyperlink w:anchor="_Toc213938168" w:history="1">
            <w:r w:rsidRPr="00D438CE">
              <w:rPr>
                <w:rStyle w:val="Hipervnculo"/>
                <w:rFonts w:ascii="Palatino Linotype" w:hAnsi="Palatino Linotype"/>
                <w:bCs/>
                <w:noProof/>
                <w:sz w:val="22"/>
                <w:szCs w:val="22"/>
                <w:lang w:val="es-ES"/>
              </w:rPr>
              <w:t>C O N S I D E R A N D O S</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_Toc213938168 \h </w:instrText>
            </w:r>
            <w:r w:rsidRPr="00D438CE">
              <w:rPr>
                <w:noProof/>
                <w:webHidden/>
                <w:sz w:val="22"/>
                <w:szCs w:val="22"/>
              </w:rPr>
            </w:r>
            <w:r w:rsidRPr="00D438CE">
              <w:rPr>
                <w:noProof/>
                <w:webHidden/>
                <w:sz w:val="22"/>
                <w:szCs w:val="22"/>
              </w:rPr>
              <w:fldChar w:fldCharType="separate"/>
            </w:r>
            <w:r w:rsidR="00BA5AE5">
              <w:rPr>
                <w:noProof/>
                <w:webHidden/>
                <w:sz w:val="22"/>
                <w:szCs w:val="22"/>
              </w:rPr>
              <w:t>6</w:t>
            </w:r>
            <w:r w:rsidRPr="00D438CE">
              <w:rPr>
                <w:noProof/>
                <w:webHidden/>
                <w:sz w:val="22"/>
                <w:szCs w:val="22"/>
              </w:rPr>
              <w:fldChar w:fldCharType="end"/>
            </w:r>
          </w:hyperlink>
        </w:p>
        <w:p w14:paraId="3F40EC82"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69" w:history="1">
            <w:r w:rsidRPr="00D438CE">
              <w:rPr>
                <w:rStyle w:val="Hipervnculo"/>
                <w:rFonts w:ascii="Palatino Linotype" w:eastAsia="Calibri" w:hAnsi="Palatino Linotype"/>
                <w:bCs/>
                <w:noProof/>
                <w:sz w:val="22"/>
                <w:szCs w:val="22"/>
                <w:lang w:val="es-ES" w:eastAsia="es-MX"/>
              </w:rPr>
              <w:t xml:space="preserve">PRIMERO. </w:t>
            </w:r>
            <w:r w:rsidRPr="00D438CE">
              <w:rPr>
                <w:rStyle w:val="Hipervnculo"/>
                <w:rFonts w:ascii="Palatino Linotype" w:hAnsi="Palatino Linotype"/>
                <w:bCs/>
                <w:noProof/>
                <w:sz w:val="22"/>
                <w:szCs w:val="22"/>
                <w:lang w:val="es-ES"/>
              </w:rPr>
              <w:t>Competencia</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_Toc213938169 \h </w:instrText>
            </w:r>
            <w:r w:rsidRPr="00D438CE">
              <w:rPr>
                <w:noProof/>
                <w:webHidden/>
                <w:sz w:val="22"/>
                <w:szCs w:val="22"/>
              </w:rPr>
            </w:r>
            <w:r w:rsidRPr="00D438CE">
              <w:rPr>
                <w:noProof/>
                <w:webHidden/>
                <w:sz w:val="22"/>
                <w:szCs w:val="22"/>
              </w:rPr>
              <w:fldChar w:fldCharType="separate"/>
            </w:r>
            <w:r w:rsidR="00BA5AE5">
              <w:rPr>
                <w:noProof/>
                <w:webHidden/>
                <w:sz w:val="22"/>
                <w:szCs w:val="22"/>
              </w:rPr>
              <w:t>6</w:t>
            </w:r>
            <w:r w:rsidRPr="00D438CE">
              <w:rPr>
                <w:noProof/>
                <w:webHidden/>
                <w:sz w:val="22"/>
                <w:szCs w:val="22"/>
              </w:rPr>
              <w:fldChar w:fldCharType="end"/>
            </w:r>
          </w:hyperlink>
        </w:p>
        <w:p w14:paraId="38BE0DD8"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0" w:history="1">
            <w:r w:rsidRPr="00D438CE">
              <w:rPr>
                <w:rStyle w:val="Hipervnculo"/>
                <w:rFonts w:ascii="Palatino Linotype" w:eastAsia="Calibri" w:hAnsi="Palatino Linotype"/>
                <w:bCs/>
                <w:noProof/>
                <w:sz w:val="22"/>
                <w:szCs w:val="22"/>
                <w:lang w:val="es-ES" w:eastAsia="es-MX"/>
              </w:rPr>
              <w:t xml:space="preserve">SEGUNDO. </w:t>
            </w:r>
            <w:r w:rsidRPr="00D438CE">
              <w:rPr>
                <w:rStyle w:val="Hipervnculo"/>
                <w:rFonts w:ascii="Palatino Linotype" w:hAnsi="Palatino Linotype"/>
                <w:bCs/>
                <w:noProof/>
                <w:sz w:val="22"/>
                <w:szCs w:val="22"/>
                <w:lang w:val="es-ES"/>
              </w:rPr>
              <w:t>Causales de improcedencia y Sobreseimiento</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_Toc213938170 \h </w:instrText>
            </w:r>
            <w:r w:rsidRPr="00D438CE">
              <w:rPr>
                <w:noProof/>
                <w:webHidden/>
                <w:sz w:val="22"/>
                <w:szCs w:val="22"/>
              </w:rPr>
            </w:r>
            <w:r w:rsidRPr="00D438CE">
              <w:rPr>
                <w:noProof/>
                <w:webHidden/>
                <w:sz w:val="22"/>
                <w:szCs w:val="22"/>
              </w:rPr>
              <w:fldChar w:fldCharType="separate"/>
            </w:r>
            <w:r w:rsidR="00BA5AE5">
              <w:rPr>
                <w:noProof/>
                <w:webHidden/>
                <w:sz w:val="22"/>
                <w:szCs w:val="22"/>
              </w:rPr>
              <w:t>7</w:t>
            </w:r>
            <w:r w:rsidRPr="00D438CE">
              <w:rPr>
                <w:noProof/>
                <w:webHidden/>
                <w:sz w:val="22"/>
                <w:szCs w:val="22"/>
              </w:rPr>
              <w:fldChar w:fldCharType="end"/>
            </w:r>
          </w:hyperlink>
        </w:p>
        <w:p w14:paraId="6E25F068"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1" w:history="1">
            <w:r w:rsidRPr="00D438CE">
              <w:rPr>
                <w:rStyle w:val="Hipervnculo"/>
                <w:rFonts w:ascii="Palatino Linotype" w:hAnsi="Palatino Linotype"/>
                <w:bCs/>
                <w:noProof/>
                <w:sz w:val="22"/>
                <w:szCs w:val="22"/>
                <w:lang w:val="es-ES"/>
              </w:rPr>
              <w:t>TERCERO. Determinación de la Controversia</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_Toc213938171 \h </w:instrText>
            </w:r>
            <w:r w:rsidRPr="00D438CE">
              <w:rPr>
                <w:noProof/>
                <w:webHidden/>
                <w:sz w:val="22"/>
                <w:szCs w:val="22"/>
              </w:rPr>
            </w:r>
            <w:r w:rsidRPr="00D438CE">
              <w:rPr>
                <w:noProof/>
                <w:webHidden/>
                <w:sz w:val="22"/>
                <w:szCs w:val="22"/>
              </w:rPr>
              <w:fldChar w:fldCharType="separate"/>
            </w:r>
            <w:r w:rsidR="00BA5AE5">
              <w:rPr>
                <w:noProof/>
                <w:webHidden/>
                <w:sz w:val="22"/>
                <w:szCs w:val="22"/>
              </w:rPr>
              <w:t>9</w:t>
            </w:r>
            <w:r w:rsidRPr="00D438CE">
              <w:rPr>
                <w:noProof/>
                <w:webHidden/>
                <w:sz w:val="22"/>
                <w:szCs w:val="22"/>
              </w:rPr>
              <w:fldChar w:fldCharType="end"/>
            </w:r>
          </w:hyperlink>
        </w:p>
        <w:p w14:paraId="4084B6EC"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2" w:history="1">
            <w:r w:rsidRPr="00D438CE">
              <w:rPr>
                <w:rStyle w:val="Hipervnculo"/>
                <w:rFonts w:ascii="Palatino Linotype" w:hAnsi="Palatino Linotype"/>
                <w:bCs/>
                <w:noProof/>
                <w:sz w:val="22"/>
                <w:szCs w:val="22"/>
                <w:lang w:val="es-ES"/>
              </w:rPr>
              <w:t xml:space="preserve">CUARTO. </w:t>
            </w:r>
            <w:r w:rsidRPr="00D438CE">
              <w:rPr>
                <w:rStyle w:val="Hipervnculo"/>
                <w:rFonts w:ascii="Palatino Linotype" w:hAnsi="Palatino Linotype"/>
                <w:bCs/>
                <w:noProof/>
                <w:sz w:val="22"/>
                <w:szCs w:val="22"/>
              </w:rPr>
              <w:t>Marco normativo aplicable en materia de transparencia y acceso a la información pública</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_Toc213938172 \h </w:instrText>
            </w:r>
            <w:r w:rsidRPr="00D438CE">
              <w:rPr>
                <w:noProof/>
                <w:webHidden/>
                <w:sz w:val="22"/>
                <w:szCs w:val="22"/>
              </w:rPr>
            </w:r>
            <w:r w:rsidRPr="00D438CE">
              <w:rPr>
                <w:noProof/>
                <w:webHidden/>
                <w:sz w:val="22"/>
                <w:szCs w:val="22"/>
              </w:rPr>
              <w:fldChar w:fldCharType="separate"/>
            </w:r>
            <w:r w:rsidR="00BA5AE5">
              <w:rPr>
                <w:noProof/>
                <w:webHidden/>
                <w:sz w:val="22"/>
                <w:szCs w:val="22"/>
              </w:rPr>
              <w:t>9</w:t>
            </w:r>
            <w:r w:rsidRPr="00D438CE">
              <w:rPr>
                <w:noProof/>
                <w:webHidden/>
                <w:sz w:val="22"/>
                <w:szCs w:val="22"/>
              </w:rPr>
              <w:fldChar w:fldCharType="end"/>
            </w:r>
          </w:hyperlink>
        </w:p>
        <w:p w14:paraId="3E6A605D"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3" w:history="1">
            <w:r w:rsidRPr="00D438CE">
              <w:rPr>
                <w:rStyle w:val="Hipervnculo"/>
                <w:rFonts w:ascii="Palatino Linotype" w:hAnsi="Palatino Linotype"/>
                <w:bCs/>
                <w:noProof/>
                <w:sz w:val="22"/>
                <w:szCs w:val="22"/>
                <w:lang w:val="es-ES"/>
              </w:rPr>
              <w:t>QUINTO. Estudio de Fondo</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_Toc213938173 \h </w:instrText>
            </w:r>
            <w:r w:rsidRPr="00D438CE">
              <w:rPr>
                <w:noProof/>
                <w:webHidden/>
                <w:sz w:val="22"/>
                <w:szCs w:val="22"/>
              </w:rPr>
            </w:r>
            <w:r w:rsidRPr="00D438CE">
              <w:rPr>
                <w:noProof/>
                <w:webHidden/>
                <w:sz w:val="22"/>
                <w:szCs w:val="22"/>
              </w:rPr>
              <w:fldChar w:fldCharType="separate"/>
            </w:r>
            <w:r w:rsidR="00BA5AE5">
              <w:rPr>
                <w:noProof/>
                <w:webHidden/>
                <w:sz w:val="22"/>
                <w:szCs w:val="22"/>
              </w:rPr>
              <w:t>10</w:t>
            </w:r>
            <w:r w:rsidRPr="00D438CE">
              <w:rPr>
                <w:noProof/>
                <w:webHidden/>
                <w:sz w:val="22"/>
                <w:szCs w:val="22"/>
              </w:rPr>
              <w:fldChar w:fldCharType="end"/>
            </w:r>
          </w:hyperlink>
        </w:p>
        <w:p w14:paraId="11FFA774"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4" w:history="1">
            <w:r w:rsidRPr="00D438CE">
              <w:rPr>
                <w:rStyle w:val="Hipervnculo"/>
                <w:rFonts w:ascii="Palatino Linotype" w:hAnsi="Palatino Linotype"/>
                <w:bCs/>
                <w:noProof/>
                <w:sz w:val="22"/>
                <w:szCs w:val="22"/>
              </w:rPr>
              <w:t>SEXTO. Decisión</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_Toc213938174 \h </w:instrText>
            </w:r>
            <w:r w:rsidRPr="00D438CE">
              <w:rPr>
                <w:noProof/>
                <w:webHidden/>
                <w:sz w:val="22"/>
                <w:szCs w:val="22"/>
              </w:rPr>
            </w:r>
            <w:r w:rsidRPr="00D438CE">
              <w:rPr>
                <w:noProof/>
                <w:webHidden/>
                <w:sz w:val="22"/>
                <w:szCs w:val="22"/>
              </w:rPr>
              <w:fldChar w:fldCharType="separate"/>
            </w:r>
            <w:r w:rsidR="00BA5AE5">
              <w:rPr>
                <w:noProof/>
                <w:webHidden/>
                <w:sz w:val="22"/>
                <w:szCs w:val="22"/>
              </w:rPr>
              <w:t>18</w:t>
            </w:r>
            <w:r w:rsidRPr="00D438CE">
              <w:rPr>
                <w:noProof/>
                <w:webHidden/>
                <w:sz w:val="22"/>
                <w:szCs w:val="22"/>
              </w:rPr>
              <w:fldChar w:fldCharType="end"/>
            </w:r>
          </w:hyperlink>
        </w:p>
        <w:p w14:paraId="17C7D48D" w14:textId="77777777" w:rsidR="00D438CE" w:rsidRPr="00D438CE" w:rsidRDefault="00D438CE" w:rsidP="00D438CE">
          <w:pPr>
            <w:pStyle w:val="TDC2"/>
            <w:tabs>
              <w:tab w:val="right" w:leader="dot" w:pos="9034"/>
            </w:tabs>
            <w:spacing w:line="360" w:lineRule="auto"/>
            <w:contextualSpacing/>
            <w:rPr>
              <w:rFonts w:asciiTheme="minorHAnsi" w:eastAsiaTheme="minorEastAsia" w:hAnsiTheme="minorHAnsi" w:cstheme="minorBidi"/>
              <w:noProof/>
              <w:sz w:val="22"/>
              <w:szCs w:val="22"/>
              <w:lang w:eastAsia="es-MX"/>
            </w:rPr>
          </w:pPr>
          <w:hyperlink w:anchor="_Toc213938175" w:history="1">
            <w:r w:rsidRPr="00D438CE">
              <w:rPr>
                <w:rStyle w:val="Hipervnculo"/>
                <w:rFonts w:ascii="Palatino Linotype" w:hAnsi="Palatino Linotype"/>
                <w:bCs/>
                <w:noProof/>
                <w:sz w:val="22"/>
                <w:szCs w:val="22"/>
              </w:rPr>
              <w:t>SÉPTIMO. Vista a la Secretaría</w:t>
            </w:r>
            <w:r w:rsidRPr="00D438CE">
              <w:rPr>
                <w:rStyle w:val="Hipervnculo"/>
                <w:rFonts w:ascii="Palatino Linotype" w:hAnsi="Palatino Linotype"/>
                <w:bCs/>
                <w:noProof/>
                <w:sz w:val="22"/>
                <w:szCs w:val="22"/>
                <w:lang w:val="x-none"/>
              </w:rPr>
              <w:t xml:space="preserve"> Técnica del </w:t>
            </w:r>
            <w:r w:rsidRPr="00D438CE">
              <w:rPr>
                <w:rStyle w:val="Hipervnculo"/>
                <w:rFonts w:ascii="Palatino Linotype" w:hAnsi="Palatino Linotype"/>
                <w:bCs/>
                <w:noProof/>
                <w:sz w:val="22"/>
                <w:szCs w:val="22"/>
              </w:rPr>
              <w:t>Pleno</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_Toc213938175 \h </w:instrText>
            </w:r>
            <w:r w:rsidRPr="00D438CE">
              <w:rPr>
                <w:noProof/>
                <w:webHidden/>
                <w:sz w:val="22"/>
                <w:szCs w:val="22"/>
              </w:rPr>
            </w:r>
            <w:r w:rsidRPr="00D438CE">
              <w:rPr>
                <w:noProof/>
                <w:webHidden/>
                <w:sz w:val="22"/>
                <w:szCs w:val="22"/>
              </w:rPr>
              <w:fldChar w:fldCharType="separate"/>
            </w:r>
            <w:r w:rsidR="00BA5AE5">
              <w:rPr>
                <w:noProof/>
                <w:webHidden/>
                <w:sz w:val="22"/>
                <w:szCs w:val="22"/>
              </w:rPr>
              <w:t>18</w:t>
            </w:r>
            <w:r w:rsidRPr="00D438CE">
              <w:rPr>
                <w:noProof/>
                <w:webHidden/>
                <w:sz w:val="22"/>
                <w:szCs w:val="22"/>
              </w:rPr>
              <w:fldChar w:fldCharType="end"/>
            </w:r>
          </w:hyperlink>
        </w:p>
        <w:p w14:paraId="6831DCAB" w14:textId="77777777" w:rsidR="00D438CE" w:rsidRPr="00D438CE" w:rsidRDefault="00D438CE" w:rsidP="00D438CE">
          <w:pPr>
            <w:pStyle w:val="TDC1"/>
            <w:contextualSpacing/>
            <w:rPr>
              <w:rFonts w:asciiTheme="minorHAnsi" w:eastAsiaTheme="minorEastAsia" w:hAnsiTheme="minorHAnsi" w:cstheme="minorBidi"/>
              <w:noProof/>
              <w:sz w:val="22"/>
              <w:szCs w:val="22"/>
              <w:lang w:eastAsia="es-MX"/>
            </w:rPr>
          </w:pPr>
          <w:hyperlink w:anchor="_Toc213938176" w:history="1">
            <w:r w:rsidRPr="00D438CE">
              <w:rPr>
                <w:rStyle w:val="Hipervnculo"/>
                <w:rFonts w:ascii="Palatino Linotype" w:hAnsi="Palatino Linotype"/>
                <w:bCs/>
                <w:noProof/>
                <w:sz w:val="22"/>
                <w:szCs w:val="22"/>
              </w:rPr>
              <w:t>R E S U E L V E</w:t>
            </w:r>
            <w:r w:rsidRPr="00D438CE">
              <w:rPr>
                <w:noProof/>
                <w:webHidden/>
                <w:sz w:val="22"/>
                <w:szCs w:val="22"/>
              </w:rPr>
              <w:tab/>
            </w:r>
            <w:r w:rsidRPr="00D438CE">
              <w:rPr>
                <w:noProof/>
                <w:webHidden/>
                <w:sz w:val="22"/>
                <w:szCs w:val="22"/>
              </w:rPr>
              <w:fldChar w:fldCharType="begin"/>
            </w:r>
            <w:r w:rsidRPr="00D438CE">
              <w:rPr>
                <w:noProof/>
                <w:webHidden/>
                <w:sz w:val="22"/>
                <w:szCs w:val="22"/>
              </w:rPr>
              <w:instrText xml:space="preserve"> PAGEREF _Toc213938176 \h </w:instrText>
            </w:r>
            <w:r w:rsidRPr="00D438CE">
              <w:rPr>
                <w:noProof/>
                <w:webHidden/>
                <w:sz w:val="22"/>
                <w:szCs w:val="22"/>
              </w:rPr>
            </w:r>
            <w:r w:rsidRPr="00D438CE">
              <w:rPr>
                <w:noProof/>
                <w:webHidden/>
                <w:sz w:val="22"/>
                <w:szCs w:val="22"/>
              </w:rPr>
              <w:fldChar w:fldCharType="separate"/>
            </w:r>
            <w:r w:rsidR="00BA5AE5">
              <w:rPr>
                <w:noProof/>
                <w:webHidden/>
                <w:sz w:val="22"/>
                <w:szCs w:val="22"/>
              </w:rPr>
              <w:t>20</w:t>
            </w:r>
            <w:r w:rsidRPr="00D438CE">
              <w:rPr>
                <w:noProof/>
                <w:webHidden/>
                <w:sz w:val="22"/>
                <w:szCs w:val="22"/>
              </w:rPr>
              <w:fldChar w:fldCharType="end"/>
            </w:r>
          </w:hyperlink>
        </w:p>
        <w:p w14:paraId="5BEB75D8" w14:textId="77777777" w:rsidR="001C6F05" w:rsidRPr="009544A4" w:rsidRDefault="001C6F05" w:rsidP="00D438CE">
          <w:pPr>
            <w:spacing w:line="360" w:lineRule="auto"/>
            <w:contextualSpacing/>
            <w:jc w:val="both"/>
            <w:rPr>
              <w:color w:val="FF0000"/>
            </w:rPr>
          </w:pPr>
          <w:r w:rsidRPr="00D438CE">
            <w:rPr>
              <w:rFonts w:ascii="Palatino Linotype" w:hAnsi="Palatino Linotype"/>
              <w:bCs/>
              <w:color w:val="FF0000"/>
              <w:sz w:val="22"/>
              <w:szCs w:val="22"/>
              <w:lang w:val="es-ES"/>
            </w:rPr>
            <w:fldChar w:fldCharType="end"/>
          </w:r>
        </w:p>
      </w:sdtContent>
    </w:sdt>
    <w:p w14:paraId="7314C49F" w14:textId="77777777" w:rsidR="001C6F05" w:rsidRPr="009544A4" w:rsidRDefault="001C6F05" w:rsidP="001C6F05">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7EC7E9D7" w14:textId="77777777" w:rsidR="001C6F05" w:rsidRPr="009544A4" w:rsidRDefault="001C6F05" w:rsidP="001C6F05">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 xml:space="preserve">veinte de noviembre </w:t>
      </w:r>
      <w:r w:rsidRPr="009544A4">
        <w:rPr>
          <w:rFonts w:ascii="Palatino Linotype" w:hAnsi="Palatino Linotype" w:cs="Tahoma"/>
          <w:bCs/>
          <w:sz w:val="22"/>
          <w:szCs w:val="22"/>
        </w:rPr>
        <w:t xml:space="preserve">de dos mil veinticinco. </w:t>
      </w:r>
    </w:p>
    <w:p w14:paraId="5662D477" w14:textId="77777777" w:rsidR="001C6F05" w:rsidRPr="009544A4" w:rsidRDefault="001C6F05" w:rsidP="001C6F05">
      <w:pPr>
        <w:spacing w:line="360" w:lineRule="auto"/>
        <w:contextualSpacing/>
        <w:jc w:val="both"/>
        <w:rPr>
          <w:rFonts w:ascii="Palatino Linotype" w:eastAsiaTheme="minorHAnsi" w:hAnsi="Palatino Linotype" w:cstheme="minorBidi"/>
          <w:color w:val="FF0000"/>
          <w:sz w:val="22"/>
          <w:szCs w:val="22"/>
          <w:lang w:eastAsia="en-US"/>
        </w:rPr>
      </w:pPr>
    </w:p>
    <w:p w14:paraId="287DC0B5" w14:textId="32BC1FE5" w:rsidR="001C6F05" w:rsidRDefault="001C6F05" w:rsidP="001C6F05">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2214B4">
        <w:rPr>
          <w:rFonts w:ascii="Palatino Linotype" w:eastAsiaTheme="minorHAnsi" w:hAnsi="Palatino Linotype" w:cstheme="minorBidi"/>
          <w:b/>
          <w:sz w:val="22"/>
          <w:szCs w:val="22"/>
          <w:lang w:eastAsia="en-US"/>
        </w:rPr>
        <w:t>12216/INFOEM/IP/RR/2025</w:t>
      </w:r>
      <w:r w:rsidRPr="009544A4">
        <w:rPr>
          <w:rFonts w:ascii="Palatino Linotype" w:eastAsiaTheme="minorHAnsi" w:hAnsi="Palatino Linotype" w:cstheme="minorBidi"/>
          <w:sz w:val="22"/>
          <w:szCs w:val="22"/>
          <w:lang w:eastAsia="en-US"/>
        </w:rPr>
        <w:t xml:space="preserve">, interpuesto por </w:t>
      </w:r>
      <w:r w:rsidR="00A85F56" w:rsidRPr="00A85F56">
        <w:rPr>
          <w:rFonts w:ascii="Palatino Linotype" w:eastAsia="Calibri" w:hAnsi="Palatino Linotype" w:cs="Tahoma"/>
          <w:bCs/>
          <w:sz w:val="22"/>
          <w:szCs w:val="22"/>
          <w:highlight w:val="black"/>
          <w:lang w:eastAsia="en-US"/>
        </w:rPr>
        <w:t>XXXXXXXXXXXXXXXXXXXXXXXXXXXXXXX 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en contra de la falta de respuesta del Sujeto Obligado</w:t>
      </w:r>
      <w:r w:rsidRPr="002214B4">
        <w:rPr>
          <w:rFonts w:ascii="Palatino Linotype" w:eastAsiaTheme="minorHAnsi" w:hAnsi="Palatino Linotype" w:cstheme="minorBidi"/>
          <w:b/>
          <w:sz w:val="22"/>
          <w:szCs w:val="22"/>
          <w:lang w:eastAsia="en-US"/>
        </w:rPr>
        <w:t>, Sistema Municipal Para el Desarrollo Integral de la Familia de Ixtapaluca</w:t>
      </w:r>
      <w:r w:rsidRPr="009544A4">
        <w:rPr>
          <w:rFonts w:ascii="Palatino Linotype" w:eastAsiaTheme="minorHAnsi" w:hAnsi="Palatino Linotype" w:cstheme="minorBidi"/>
          <w:sz w:val="22"/>
          <w:szCs w:val="22"/>
          <w:lang w:eastAsia="en-US"/>
        </w:rPr>
        <w:t xml:space="preserve">, a la solicitud de acceso a la información pública </w:t>
      </w:r>
      <w:r>
        <w:rPr>
          <w:rFonts w:ascii="Palatino Linotype" w:eastAsiaTheme="minorHAnsi" w:hAnsi="Palatino Linotype" w:cstheme="minorBidi"/>
          <w:sz w:val="22"/>
          <w:szCs w:val="22"/>
          <w:lang w:eastAsia="en-US"/>
        </w:rPr>
        <w:t>00241</w:t>
      </w:r>
      <w:r w:rsidRPr="009544A4">
        <w:rPr>
          <w:rFonts w:ascii="Palatino Linotype" w:eastAsiaTheme="minorHAnsi" w:hAnsi="Palatino Linotype" w:cstheme="minorBidi"/>
          <w:sz w:val="22"/>
          <w:szCs w:val="22"/>
          <w:lang w:eastAsia="en-US"/>
        </w:rPr>
        <w:t>/DIFIXTAPAL/IP/2025,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7B56B3AC" w14:textId="77777777" w:rsidR="001C6F05" w:rsidRPr="00D75A5E" w:rsidRDefault="001C6F05" w:rsidP="001C6F05">
      <w:pPr>
        <w:spacing w:line="360" w:lineRule="auto"/>
        <w:contextualSpacing/>
        <w:jc w:val="both"/>
        <w:rPr>
          <w:rFonts w:ascii="Palatino Linotype" w:eastAsiaTheme="minorHAnsi" w:hAnsi="Palatino Linotype" w:cstheme="minorBidi"/>
          <w:sz w:val="22"/>
          <w:szCs w:val="22"/>
          <w:lang w:eastAsia="en-US"/>
        </w:rPr>
      </w:pPr>
    </w:p>
    <w:p w14:paraId="4837B81B" w14:textId="77777777" w:rsidR="001C6F05" w:rsidRPr="00CD1870" w:rsidRDefault="001C6F05" w:rsidP="001C6F05">
      <w:pPr>
        <w:pStyle w:val="Ttulo1"/>
        <w:spacing w:line="360" w:lineRule="auto"/>
        <w:contextualSpacing/>
        <w:jc w:val="center"/>
        <w:rPr>
          <w:rFonts w:ascii="Palatino Linotype" w:hAnsi="Palatino Linotype"/>
          <w:b/>
          <w:bCs/>
          <w:color w:val="auto"/>
          <w:sz w:val="22"/>
          <w:szCs w:val="22"/>
        </w:rPr>
      </w:pPr>
      <w:bookmarkStart w:id="0" w:name="_Toc213938163"/>
      <w:r w:rsidRPr="00CD1870">
        <w:rPr>
          <w:rFonts w:ascii="Palatino Linotype" w:hAnsi="Palatino Linotype"/>
          <w:b/>
          <w:bCs/>
          <w:color w:val="auto"/>
          <w:sz w:val="22"/>
          <w:szCs w:val="22"/>
        </w:rPr>
        <w:t>A N T E C E D E N T E S</w:t>
      </w:r>
      <w:bookmarkEnd w:id="0"/>
    </w:p>
    <w:p w14:paraId="1C9ECFEF" w14:textId="77777777" w:rsidR="001C6F05" w:rsidRPr="00CD1870" w:rsidRDefault="001C6F05" w:rsidP="001C6F05">
      <w:pPr>
        <w:pStyle w:val="ResolucinV"/>
        <w:jc w:val="center"/>
        <w:rPr>
          <w:color w:val="FF0000"/>
        </w:rPr>
      </w:pPr>
    </w:p>
    <w:p w14:paraId="139BBB6D" w14:textId="77777777" w:rsidR="001C6F05" w:rsidRPr="00CD1870" w:rsidRDefault="001C6F05" w:rsidP="001C6F05">
      <w:pPr>
        <w:pStyle w:val="Ttulo2"/>
        <w:spacing w:line="360" w:lineRule="auto"/>
        <w:contextualSpacing/>
        <w:rPr>
          <w:rFonts w:ascii="Palatino Linotype" w:hAnsi="Palatino Linotype"/>
          <w:b/>
          <w:bCs/>
          <w:color w:val="auto"/>
          <w:sz w:val="22"/>
          <w:szCs w:val="22"/>
        </w:rPr>
      </w:pPr>
      <w:bookmarkStart w:id="1" w:name="_Toc213938164"/>
      <w:r w:rsidRPr="00CD1870">
        <w:rPr>
          <w:rFonts w:ascii="Palatino Linotype" w:hAnsi="Palatino Linotype"/>
          <w:b/>
          <w:bCs/>
          <w:color w:val="auto"/>
          <w:sz w:val="22"/>
          <w:szCs w:val="22"/>
        </w:rPr>
        <w:t>I. Presentación de la solicitud de información</w:t>
      </w:r>
      <w:bookmarkEnd w:id="1"/>
    </w:p>
    <w:p w14:paraId="5871EF88" w14:textId="77777777" w:rsidR="001C6F05" w:rsidRPr="009544A4" w:rsidRDefault="001C6F05" w:rsidP="001C6F05">
      <w:pPr>
        <w:tabs>
          <w:tab w:val="left" w:pos="567"/>
        </w:tabs>
        <w:spacing w:line="360" w:lineRule="auto"/>
        <w:contextualSpacing/>
        <w:jc w:val="both"/>
        <w:rPr>
          <w:rFonts w:ascii="Palatino Linotype" w:hAnsi="Palatino Linotype" w:cs="Tahoma"/>
          <w:color w:val="FF0000"/>
          <w:sz w:val="22"/>
          <w:szCs w:val="22"/>
        </w:rPr>
      </w:pPr>
    </w:p>
    <w:p w14:paraId="25FF1152" w14:textId="77777777" w:rsidR="001C6F05" w:rsidRPr="009544A4" w:rsidRDefault="001C6F05" w:rsidP="001C6F05">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dos de octubre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45483342" w14:textId="77777777" w:rsidR="001C6F05" w:rsidRPr="009544A4" w:rsidRDefault="001C6F05" w:rsidP="001C6F05">
      <w:pPr>
        <w:autoSpaceDE w:val="0"/>
        <w:autoSpaceDN w:val="0"/>
        <w:adjustRightInd w:val="0"/>
        <w:spacing w:line="360" w:lineRule="auto"/>
        <w:contextualSpacing/>
        <w:jc w:val="both"/>
        <w:rPr>
          <w:rFonts w:ascii="Palatino Linotype" w:hAnsi="Palatino Linotype" w:cs="Tahoma"/>
          <w:bCs/>
          <w:color w:val="FF0000"/>
          <w:sz w:val="22"/>
          <w:szCs w:val="22"/>
        </w:rPr>
      </w:pPr>
    </w:p>
    <w:p w14:paraId="7DE334DA" w14:textId="77777777" w:rsidR="001C6F05" w:rsidRPr="009544A4" w:rsidRDefault="001C6F05" w:rsidP="001C6F05">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106F9326" w14:textId="77777777" w:rsidR="001C6F05" w:rsidRPr="009544A4" w:rsidRDefault="001C6F05" w:rsidP="001C6F05">
      <w:pPr>
        <w:spacing w:line="360" w:lineRule="auto"/>
        <w:ind w:left="567" w:right="567"/>
        <w:contextualSpacing/>
        <w:jc w:val="both"/>
        <w:rPr>
          <w:rFonts w:ascii="Palatino Linotype" w:hAnsi="Palatino Linotype" w:cs="Arial"/>
          <w:bCs/>
          <w:i/>
          <w:iCs/>
        </w:rPr>
      </w:pPr>
      <w:r w:rsidRPr="001C6F05">
        <w:rPr>
          <w:rFonts w:ascii="Palatino Linotype" w:hAnsi="Palatino Linotype" w:cs="Arial"/>
          <w:bCs/>
          <w:i/>
          <w:iCs/>
        </w:rPr>
        <w:t>Relación de facturas por compras de uniformes para personal</w:t>
      </w:r>
      <w:r w:rsidRPr="00157EA7">
        <w:rPr>
          <w:rFonts w:ascii="Palatino Linotype" w:hAnsi="Palatino Linotype" w:cs="Arial"/>
          <w:bCs/>
          <w:i/>
          <w:iCs/>
        </w:rPr>
        <w:t>.</w:t>
      </w:r>
      <w:r w:rsidRPr="009544A4">
        <w:rPr>
          <w:rFonts w:ascii="Palatino Linotype" w:hAnsi="Palatino Linotype" w:cs="Arial"/>
          <w:bCs/>
          <w:i/>
          <w:iCs/>
        </w:rPr>
        <w:t>” (Sic.)</w:t>
      </w:r>
    </w:p>
    <w:p w14:paraId="236CC756" w14:textId="77777777" w:rsidR="001C6F05" w:rsidRPr="009544A4" w:rsidRDefault="001C6F05" w:rsidP="001C6F05">
      <w:pPr>
        <w:tabs>
          <w:tab w:val="left" w:pos="4667"/>
        </w:tabs>
        <w:spacing w:line="360" w:lineRule="auto"/>
        <w:ind w:left="567" w:right="567"/>
        <w:contextualSpacing/>
        <w:jc w:val="both"/>
        <w:rPr>
          <w:rFonts w:ascii="Palatino Linotype" w:hAnsi="Palatino Linotype" w:cs="Tahoma"/>
          <w:bCs/>
          <w:i/>
        </w:rPr>
      </w:pPr>
    </w:p>
    <w:p w14:paraId="1F28005E" w14:textId="77777777" w:rsidR="001C6F05" w:rsidRPr="009544A4" w:rsidRDefault="001C6F05" w:rsidP="001C6F05">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lastRenderedPageBreak/>
        <w:t>“MODALIDAD DE ENTREGA</w:t>
      </w:r>
    </w:p>
    <w:p w14:paraId="5CA2CC9F" w14:textId="77777777" w:rsidR="001C6F05" w:rsidRPr="009544A4" w:rsidRDefault="001C6F05" w:rsidP="001C6F05">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6C90CB9F" w14:textId="77777777" w:rsidR="001C6F05" w:rsidRPr="009544A4" w:rsidRDefault="001C6F05" w:rsidP="001C6F05">
      <w:pPr>
        <w:spacing w:line="360" w:lineRule="auto"/>
        <w:ind w:left="567" w:right="567"/>
        <w:contextualSpacing/>
        <w:jc w:val="both"/>
        <w:rPr>
          <w:rFonts w:ascii="Palatino Linotype" w:hAnsi="Palatino Linotype" w:cs="Arial"/>
          <w:bCs/>
          <w:i/>
          <w:iCs/>
          <w:color w:val="FF0000"/>
        </w:rPr>
      </w:pPr>
    </w:p>
    <w:p w14:paraId="09E08721" w14:textId="77777777" w:rsidR="001C6F05" w:rsidRPr="00CD1870" w:rsidRDefault="001C6F05" w:rsidP="001C6F05">
      <w:pPr>
        <w:pStyle w:val="Ttulo2"/>
        <w:spacing w:line="360" w:lineRule="auto"/>
        <w:contextualSpacing/>
        <w:rPr>
          <w:rFonts w:ascii="Palatino Linotype" w:hAnsi="Palatino Linotype"/>
          <w:b/>
          <w:bCs/>
          <w:color w:val="auto"/>
          <w:sz w:val="22"/>
          <w:szCs w:val="22"/>
        </w:rPr>
      </w:pPr>
      <w:bookmarkStart w:id="2" w:name="_Toc213938165"/>
      <w:r w:rsidRPr="00CD1870">
        <w:rPr>
          <w:rFonts w:ascii="Palatino Linotype" w:hAnsi="Palatino Linotype"/>
          <w:b/>
          <w:bCs/>
          <w:color w:val="auto"/>
          <w:sz w:val="22"/>
          <w:szCs w:val="22"/>
        </w:rPr>
        <w:t>II. Respuesta del Sujeto Obligado</w:t>
      </w:r>
      <w:bookmarkEnd w:id="2"/>
    </w:p>
    <w:p w14:paraId="05ACB3EA" w14:textId="77777777" w:rsidR="001C6F05" w:rsidRPr="009544A4" w:rsidRDefault="001C6F05" w:rsidP="001C6F05">
      <w:pPr>
        <w:spacing w:line="360" w:lineRule="auto"/>
        <w:contextualSpacing/>
        <w:jc w:val="both"/>
        <w:rPr>
          <w:rFonts w:ascii="Palatino Linotype" w:eastAsiaTheme="minorHAnsi" w:hAnsi="Palatino Linotype" w:cstheme="minorBidi"/>
          <w:sz w:val="22"/>
          <w:szCs w:val="22"/>
          <w:lang w:eastAsia="en-US"/>
        </w:rPr>
      </w:pPr>
    </w:p>
    <w:p w14:paraId="4D7ED0F4" w14:textId="77777777" w:rsidR="001C6F05" w:rsidRPr="009544A4" w:rsidRDefault="001C6F05" w:rsidP="001C6F05">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1522FC48" w14:textId="77777777" w:rsidR="001C6F05" w:rsidRPr="009544A4" w:rsidRDefault="001C6F05" w:rsidP="001C6F05">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7A350F40"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6096F3D3" w14:textId="77777777" w:rsidR="001C6F05" w:rsidRPr="00CD1870" w:rsidRDefault="001C6F05" w:rsidP="001C6F05">
      <w:pPr>
        <w:pStyle w:val="Ttulo2"/>
        <w:spacing w:line="360" w:lineRule="auto"/>
        <w:contextualSpacing/>
        <w:rPr>
          <w:rFonts w:ascii="Palatino Linotype" w:hAnsi="Palatino Linotype"/>
          <w:b/>
          <w:bCs/>
          <w:color w:val="auto"/>
          <w:sz w:val="22"/>
          <w:szCs w:val="22"/>
          <w:lang w:eastAsia="en-US"/>
        </w:rPr>
      </w:pPr>
      <w:bookmarkStart w:id="3" w:name="_Toc213938166"/>
      <w:r w:rsidRPr="00CD1870">
        <w:rPr>
          <w:rFonts w:ascii="Palatino Linotype" w:hAnsi="Palatino Linotype"/>
          <w:b/>
          <w:bCs/>
          <w:color w:val="auto"/>
          <w:sz w:val="22"/>
          <w:szCs w:val="22"/>
          <w:lang w:eastAsia="en-US"/>
        </w:rPr>
        <w:t>III. Interposición del Recurso de Revisión</w:t>
      </w:r>
      <w:bookmarkEnd w:id="3"/>
    </w:p>
    <w:p w14:paraId="1A14BCF2" w14:textId="77777777" w:rsidR="001C6F05" w:rsidRPr="009544A4" w:rsidRDefault="001C6F05" w:rsidP="001C6F05">
      <w:pPr>
        <w:spacing w:line="360" w:lineRule="auto"/>
        <w:contextualSpacing/>
        <w:jc w:val="both"/>
        <w:rPr>
          <w:rFonts w:ascii="Palatino Linotype" w:eastAsiaTheme="minorHAnsi" w:hAnsi="Palatino Linotype" w:cstheme="minorBidi"/>
          <w:b/>
          <w:bCs/>
          <w:color w:val="FF0000"/>
          <w:sz w:val="22"/>
          <w:szCs w:val="22"/>
          <w:lang w:eastAsia="en-US"/>
        </w:rPr>
      </w:pPr>
    </w:p>
    <w:p w14:paraId="28A15AD8" w14:textId="77777777" w:rsidR="001C6F05" w:rsidRPr="009544A4" w:rsidRDefault="001C6F05" w:rsidP="001C6F05">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veintisiete de octubre</w:t>
      </w:r>
      <w:r w:rsidRPr="009544A4">
        <w:rPr>
          <w:rFonts w:ascii="Palatino Linotype" w:hAnsi="Palatino Linotype" w:cs="Tahoma"/>
          <w:bCs/>
          <w:iCs/>
          <w:sz w:val="22"/>
          <w:szCs w:val="22"/>
        </w:rPr>
        <w:t xml:space="preserve"> 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w:t>
      </w:r>
      <w:r>
        <w:rPr>
          <w:rFonts w:ascii="Palatino Linotype" w:eastAsiaTheme="minorHAnsi" w:hAnsi="Palatino Linotype" w:cs="Tahoma"/>
          <w:b/>
          <w:sz w:val="22"/>
          <w:szCs w:val="22"/>
          <w:lang w:val="es-ES" w:eastAsia="en-US"/>
        </w:rPr>
        <w:t xml:space="preserve">ya que si bien se presentó el veinticinco de dicho mes y año, lo cierto es que fue inhábil, por lo que se tuvo por presentada el día hábil subsecuente, </w:t>
      </w:r>
      <w:r w:rsidRPr="009544A4">
        <w:rPr>
          <w:rFonts w:ascii="Palatino Linotype" w:eastAsiaTheme="minorHAnsi" w:hAnsi="Palatino Linotype" w:cs="Tahoma"/>
          <w:sz w:val="22"/>
          <w:szCs w:val="22"/>
          <w:lang w:val="es-ES" w:eastAsia="en-US"/>
        </w:rPr>
        <w:t xml:space="preserve">en los siguientes términos: </w:t>
      </w:r>
    </w:p>
    <w:p w14:paraId="5126DC85" w14:textId="77777777" w:rsidR="001C6F05" w:rsidRPr="009544A4" w:rsidRDefault="001C6F05" w:rsidP="001C6F05">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5AE6C22A" w14:textId="77777777" w:rsidR="001C6F05" w:rsidRPr="00CD1870" w:rsidRDefault="001C6F05" w:rsidP="001C6F05">
      <w:pPr>
        <w:spacing w:line="360" w:lineRule="auto"/>
        <w:ind w:left="567" w:right="567"/>
        <w:contextualSpacing/>
        <w:jc w:val="both"/>
        <w:rPr>
          <w:rFonts w:ascii="Palatino Linotype" w:eastAsiaTheme="minorHAnsi" w:hAnsi="Palatino Linotype" w:cstheme="minorBidi"/>
          <w:bCs/>
          <w:i/>
          <w:lang w:eastAsia="en-US"/>
        </w:rPr>
      </w:pPr>
      <w:r w:rsidRPr="00CD1870">
        <w:rPr>
          <w:rFonts w:ascii="Palatino Linotype" w:eastAsiaTheme="minorHAnsi" w:hAnsi="Palatino Linotype" w:cstheme="minorBidi"/>
          <w:b/>
          <w:bCs/>
          <w:i/>
          <w:lang w:eastAsia="en-US"/>
        </w:rPr>
        <w:t>“ACTO IMPUGNADO</w:t>
      </w:r>
    </w:p>
    <w:p w14:paraId="61B3BC04" w14:textId="77777777" w:rsidR="001C6F05" w:rsidRDefault="001C6F05" w:rsidP="001C6F05">
      <w:pPr>
        <w:spacing w:line="360" w:lineRule="auto"/>
        <w:ind w:left="567" w:right="567"/>
        <w:contextualSpacing/>
        <w:jc w:val="both"/>
        <w:rPr>
          <w:rFonts w:ascii="Palatino Linotype" w:eastAsiaTheme="minorHAnsi" w:hAnsi="Palatino Linotype" w:cstheme="minorBidi"/>
          <w:i/>
          <w:lang w:eastAsia="en-US"/>
        </w:rPr>
      </w:pPr>
      <w:r w:rsidRPr="001C6F05">
        <w:rPr>
          <w:rFonts w:ascii="Palatino Linotype" w:hAnsi="Palatino Linotype"/>
          <w:i/>
          <w:lang w:eastAsia="es-MX"/>
        </w:rPr>
        <w:t xml:space="preserve">Se formula acusación grave en contra del sujeto obligado, toda vez que ha incumplido de manera evidente y reiterada los plazos legales previstos en el artículo 163 de la Ley de Transparencia y </w:t>
      </w:r>
      <w:r w:rsidRPr="001C6F05">
        <w:rPr>
          <w:rFonts w:ascii="Palatino Linotype" w:hAnsi="Palatino Linotype"/>
          <w:i/>
          <w:lang w:eastAsia="es-MX"/>
        </w:rPr>
        <w:lastRenderedPageBreak/>
        <w:t>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w:t>
      </w:r>
      <w:r>
        <w:rPr>
          <w:rFonts w:ascii="Palatino Linotype" w:hAnsi="Palatino Linotype"/>
          <w:i/>
          <w:lang w:eastAsia="es-MX"/>
        </w:rPr>
        <w:t xml:space="preserve"> y a la confianza institucional</w:t>
      </w:r>
      <w:r w:rsidRPr="00CD1870">
        <w:rPr>
          <w:rFonts w:ascii="Palatino Linotype" w:eastAsiaTheme="minorHAnsi" w:hAnsi="Palatino Linotype" w:cstheme="minorBidi"/>
          <w:i/>
          <w:lang w:eastAsia="en-US"/>
        </w:rPr>
        <w:t xml:space="preserve">.” </w:t>
      </w:r>
    </w:p>
    <w:p w14:paraId="4740E1D5" w14:textId="77777777" w:rsidR="001C6F05" w:rsidRPr="00CD1870" w:rsidRDefault="001C6F05" w:rsidP="001C6F05">
      <w:pPr>
        <w:spacing w:line="360" w:lineRule="auto"/>
        <w:ind w:left="567" w:right="567"/>
        <w:contextualSpacing/>
        <w:jc w:val="both"/>
        <w:rPr>
          <w:rFonts w:ascii="Palatino Linotype" w:hAnsi="Palatino Linotype"/>
          <w:i/>
          <w:lang w:eastAsia="es-MX"/>
        </w:rPr>
      </w:pPr>
      <w:r w:rsidRPr="00CD1870">
        <w:rPr>
          <w:rFonts w:ascii="Palatino Linotype" w:eastAsiaTheme="minorHAnsi" w:hAnsi="Palatino Linotype" w:cstheme="minorBidi"/>
          <w:i/>
          <w:lang w:eastAsia="en-US"/>
        </w:rPr>
        <w:t>(Sic)</w:t>
      </w:r>
    </w:p>
    <w:p w14:paraId="1F24964D" w14:textId="77777777" w:rsidR="001C6F05" w:rsidRPr="009544A4" w:rsidRDefault="001C6F05" w:rsidP="001C6F05">
      <w:pPr>
        <w:spacing w:line="360" w:lineRule="auto"/>
        <w:ind w:left="567" w:right="567"/>
        <w:contextualSpacing/>
        <w:jc w:val="both"/>
        <w:rPr>
          <w:rFonts w:ascii="Palatino Linotype" w:eastAsiaTheme="minorHAnsi" w:hAnsi="Palatino Linotype" w:cstheme="minorBidi"/>
          <w:i/>
          <w:color w:val="FF0000"/>
          <w:lang w:eastAsia="en-US"/>
        </w:rPr>
      </w:pPr>
    </w:p>
    <w:p w14:paraId="59A6CD5B" w14:textId="77777777" w:rsidR="001C6F05" w:rsidRPr="009544A4" w:rsidRDefault="001C6F05" w:rsidP="001C6F05">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6F20FD8A" w14:textId="77777777" w:rsidR="001C6F05" w:rsidRDefault="001C6F05" w:rsidP="001C6F05">
      <w:pPr>
        <w:spacing w:line="360" w:lineRule="auto"/>
        <w:ind w:left="567" w:right="567"/>
        <w:contextualSpacing/>
        <w:jc w:val="both"/>
        <w:rPr>
          <w:rFonts w:ascii="Palatino Linotype" w:eastAsiaTheme="minorHAnsi" w:hAnsi="Palatino Linotype" w:cstheme="minorBidi"/>
          <w:i/>
          <w:lang w:eastAsia="en-US"/>
        </w:rPr>
      </w:pPr>
      <w:r w:rsidRPr="001C6F05">
        <w:rPr>
          <w:rFonts w:ascii="Palatino Linotype" w:eastAsiaTheme="minorHAnsi" w:hAnsi="Palatino Linotype" w:cstheme="minorBidi"/>
          <w:i/>
          <w:lang w:eastAsia="en-US"/>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w:t>
      </w:r>
      <w:r w:rsidRPr="001C6F05">
        <w:rPr>
          <w:rFonts w:ascii="Palatino Linotype" w:eastAsiaTheme="minorHAnsi" w:hAnsi="Palatino Linotype" w:cstheme="minorBidi"/>
          <w:i/>
          <w:lang w:eastAsia="en-US"/>
        </w:rPr>
        <w:lastRenderedPageBreak/>
        <w:t>generando con ello un daño al ejercicio del derecho de acceso a la información y a la confianza institucional</w:t>
      </w:r>
      <w:r w:rsidRPr="00D75A5E">
        <w:rPr>
          <w:rFonts w:ascii="Palatino Linotype" w:eastAsiaTheme="minorHAnsi" w:hAnsi="Palatino Linotype" w:cstheme="minorBidi"/>
          <w:i/>
          <w:lang w:eastAsia="en-US"/>
        </w:rPr>
        <w:t>.</w:t>
      </w:r>
      <w:r w:rsidRPr="009544A4">
        <w:rPr>
          <w:rFonts w:ascii="Palatino Linotype" w:eastAsiaTheme="minorHAnsi" w:hAnsi="Palatino Linotype" w:cstheme="minorBidi"/>
          <w:i/>
          <w:lang w:eastAsia="en-US"/>
        </w:rPr>
        <w:t xml:space="preserve">” </w:t>
      </w:r>
    </w:p>
    <w:p w14:paraId="5FAB7D09" w14:textId="77777777" w:rsidR="001C6F05" w:rsidRDefault="001C6F05" w:rsidP="001C6F05">
      <w:pPr>
        <w:spacing w:line="360" w:lineRule="auto"/>
        <w:ind w:left="567" w:right="567"/>
        <w:contextualSpacing/>
        <w:jc w:val="both"/>
        <w:rPr>
          <w:rFonts w:ascii="Palatino Linotype" w:eastAsiaTheme="minorHAnsi" w:hAnsi="Palatino Linotype" w:cstheme="minorBidi"/>
          <w:i/>
          <w:lang w:eastAsia="en-US"/>
        </w:rPr>
      </w:pPr>
      <w:r w:rsidRPr="009544A4">
        <w:rPr>
          <w:rFonts w:ascii="Palatino Linotype" w:eastAsiaTheme="minorHAnsi" w:hAnsi="Palatino Linotype" w:cstheme="minorBidi"/>
          <w:i/>
          <w:lang w:eastAsia="en-US"/>
        </w:rPr>
        <w:t>(Sic)</w:t>
      </w:r>
    </w:p>
    <w:p w14:paraId="50E89D4F" w14:textId="77777777" w:rsidR="001C6F05" w:rsidRPr="009544A4" w:rsidRDefault="001C6F05" w:rsidP="001C6F05">
      <w:pPr>
        <w:spacing w:line="360" w:lineRule="auto"/>
        <w:ind w:left="567" w:right="567"/>
        <w:contextualSpacing/>
        <w:jc w:val="both"/>
        <w:rPr>
          <w:rFonts w:ascii="Palatino Linotype" w:eastAsiaTheme="minorHAnsi" w:hAnsi="Palatino Linotype" w:cstheme="minorBidi"/>
          <w:i/>
          <w:lang w:eastAsia="en-US"/>
        </w:rPr>
      </w:pPr>
    </w:p>
    <w:p w14:paraId="06E7ADC7" w14:textId="77777777" w:rsidR="001C6F05" w:rsidRPr="00D75A5E" w:rsidRDefault="001C6F05" w:rsidP="001C6F05">
      <w:pPr>
        <w:pStyle w:val="Ttulo2"/>
        <w:spacing w:line="360" w:lineRule="auto"/>
        <w:contextualSpacing/>
        <w:rPr>
          <w:rFonts w:ascii="Palatino Linotype" w:hAnsi="Palatino Linotype"/>
          <w:b/>
          <w:bCs/>
          <w:color w:val="auto"/>
          <w:sz w:val="22"/>
          <w:szCs w:val="22"/>
          <w:lang w:eastAsia="en-US"/>
        </w:rPr>
      </w:pPr>
      <w:bookmarkStart w:id="4" w:name="_Toc213938167"/>
      <w:r w:rsidRPr="00D75A5E">
        <w:rPr>
          <w:rFonts w:ascii="Palatino Linotype" w:hAnsi="Palatino Linotype"/>
          <w:b/>
          <w:bCs/>
          <w:color w:val="auto"/>
          <w:sz w:val="22"/>
          <w:szCs w:val="22"/>
          <w:lang w:eastAsia="en-US"/>
        </w:rPr>
        <w:t>IV. Trámite del Recurso de Revisión ante el Instituto</w:t>
      </w:r>
      <w:bookmarkEnd w:id="4"/>
    </w:p>
    <w:p w14:paraId="0102691D" w14:textId="77777777" w:rsidR="001C6F05" w:rsidRPr="009544A4" w:rsidRDefault="001C6F05" w:rsidP="001C6F05">
      <w:pPr>
        <w:spacing w:line="360" w:lineRule="auto"/>
        <w:contextualSpacing/>
        <w:jc w:val="both"/>
        <w:rPr>
          <w:rFonts w:ascii="Palatino Linotype" w:eastAsiaTheme="minorHAnsi" w:hAnsi="Palatino Linotype" w:cstheme="minorBidi"/>
          <w:b/>
          <w:bCs/>
          <w:color w:val="FF0000"/>
          <w:sz w:val="22"/>
          <w:szCs w:val="22"/>
          <w:lang w:eastAsia="en-US"/>
        </w:rPr>
      </w:pPr>
    </w:p>
    <w:p w14:paraId="54872B64" w14:textId="77777777" w:rsidR="001C6F05" w:rsidRPr="009544A4" w:rsidRDefault="001C6F05" w:rsidP="001C6F05">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veinticinco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12216</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60987B76" w14:textId="77777777" w:rsidR="001C6F05" w:rsidRPr="009544A4" w:rsidRDefault="001C6F05" w:rsidP="001C6F05">
      <w:pPr>
        <w:spacing w:line="360" w:lineRule="auto"/>
        <w:contextualSpacing/>
        <w:jc w:val="both"/>
        <w:rPr>
          <w:rFonts w:ascii="Palatino Linotype" w:eastAsia="Batang" w:hAnsi="Palatino Linotype" w:cs="Tahoma"/>
          <w:b/>
          <w:bCs/>
          <w:color w:val="FF0000"/>
          <w:sz w:val="22"/>
          <w:szCs w:val="22"/>
        </w:rPr>
      </w:pPr>
    </w:p>
    <w:p w14:paraId="54C544E5" w14:textId="77777777" w:rsidR="001C6F05" w:rsidRPr="009544A4" w:rsidRDefault="001C6F05" w:rsidP="001C6F05">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treinta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EF0D5AA" w14:textId="77777777" w:rsidR="001C6F05" w:rsidRPr="009544A4" w:rsidRDefault="001C6F05" w:rsidP="001C6F05">
      <w:pPr>
        <w:spacing w:line="360" w:lineRule="auto"/>
        <w:contextualSpacing/>
        <w:jc w:val="both"/>
        <w:rPr>
          <w:rFonts w:ascii="Palatino Linotype" w:eastAsia="Batang" w:hAnsi="Palatino Linotype" w:cs="Tahoma"/>
          <w:bCs/>
          <w:color w:val="FF0000"/>
          <w:sz w:val="22"/>
          <w:szCs w:val="22"/>
          <w:lang w:val="es-ES_tradnl"/>
        </w:rPr>
      </w:pPr>
    </w:p>
    <w:p w14:paraId="6841B7BE" w14:textId="77777777" w:rsidR="001C6F05" w:rsidRPr="009544A4"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3C32DDD3" w14:textId="77777777" w:rsidR="001C6F05" w:rsidRPr="009544A4" w:rsidRDefault="001C6F05" w:rsidP="001C6F05">
      <w:pPr>
        <w:spacing w:line="360" w:lineRule="auto"/>
        <w:contextualSpacing/>
        <w:jc w:val="both"/>
        <w:rPr>
          <w:rFonts w:ascii="Palatino Linotype" w:hAnsi="Palatino Linotype" w:cs="Tahoma"/>
          <w:b/>
          <w:color w:val="FF0000"/>
          <w:sz w:val="18"/>
          <w:szCs w:val="22"/>
          <w:lang w:val="es-ES_tradnl"/>
        </w:rPr>
      </w:pPr>
    </w:p>
    <w:p w14:paraId="0674AD6A" w14:textId="77777777" w:rsidR="001C6F05" w:rsidRPr="009544A4" w:rsidRDefault="001C6F05" w:rsidP="001C6F05">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Pr>
          <w:rFonts w:ascii="Palatino Linotype" w:hAnsi="Palatino Linotype"/>
          <w:sz w:val="22"/>
          <w:szCs w:val="22"/>
        </w:rPr>
        <w:t>trece de noviembre</w:t>
      </w:r>
      <w:r w:rsidRPr="009544A4">
        <w:rPr>
          <w:rFonts w:ascii="Palatino Linotype" w:hAnsi="Palatino Linotype"/>
          <w:sz w:val="22"/>
          <w:szCs w:val="22"/>
        </w:rPr>
        <w:t xml:space="preserve"> de dos mil veinticinco, al no existir diligencias pendientes por desahogar, se emitió el acuerdo por medio del cual se declaró cerrada la </w:t>
      </w:r>
      <w:r w:rsidRPr="009544A4">
        <w:rPr>
          <w:rFonts w:ascii="Palatino Linotype" w:hAnsi="Palatino Linotype"/>
          <w:sz w:val="22"/>
          <w:szCs w:val="22"/>
        </w:rPr>
        <w:lastRenderedPageBreak/>
        <w:t xml:space="preserve">instrucción y, se pasó el expediente a resolución, en términos de lo dispuesto en los artículos 185, fracciones VI y VIII, de la Ley de Transparencia y Acceso a la Información Pública del Estado de México y Municipios; acto que fue notificado a las partes el </w:t>
      </w:r>
      <w:r>
        <w:rPr>
          <w:rFonts w:ascii="Palatino Linotype" w:hAnsi="Palatino Linotype"/>
          <w:sz w:val="22"/>
          <w:szCs w:val="22"/>
        </w:rPr>
        <w:t>mismo día</w:t>
      </w:r>
      <w:r w:rsidRPr="009544A4">
        <w:rPr>
          <w:rFonts w:ascii="Palatino Linotype" w:hAnsi="Palatino Linotype"/>
          <w:sz w:val="22"/>
          <w:szCs w:val="22"/>
        </w:rPr>
        <w:t xml:space="preserve">, a través del Sistema de Acceso a la Información Mexiquense (SAIMEX). </w:t>
      </w:r>
    </w:p>
    <w:p w14:paraId="452D731B" w14:textId="77777777" w:rsidR="001C6F05" w:rsidRPr="009544A4" w:rsidRDefault="001C6F05" w:rsidP="001C6F05">
      <w:pPr>
        <w:spacing w:line="360" w:lineRule="auto"/>
        <w:contextualSpacing/>
        <w:jc w:val="both"/>
        <w:rPr>
          <w:rFonts w:ascii="Palatino Linotype" w:hAnsi="Palatino Linotype" w:cs="Tahoma"/>
          <w:b/>
          <w:color w:val="FF0000"/>
          <w:sz w:val="18"/>
          <w:szCs w:val="22"/>
        </w:rPr>
      </w:pPr>
    </w:p>
    <w:p w14:paraId="7BA5A41A" w14:textId="77777777" w:rsidR="001C6F05"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1C957CB9" w14:textId="77777777" w:rsidR="001C6F05" w:rsidRPr="009544A4" w:rsidRDefault="001C6F05" w:rsidP="001C6F05">
      <w:pPr>
        <w:spacing w:line="360" w:lineRule="auto"/>
        <w:contextualSpacing/>
        <w:jc w:val="both"/>
        <w:rPr>
          <w:rFonts w:ascii="Palatino Linotype" w:hAnsi="Palatino Linotype" w:cs="Tahoma"/>
          <w:sz w:val="22"/>
          <w:szCs w:val="22"/>
        </w:rPr>
      </w:pPr>
    </w:p>
    <w:p w14:paraId="2DDE81AD" w14:textId="77777777" w:rsidR="001C6F05" w:rsidRPr="00D75A5E" w:rsidRDefault="001C6F05" w:rsidP="001C6F05">
      <w:pPr>
        <w:pStyle w:val="Ttulo1"/>
        <w:spacing w:line="360" w:lineRule="auto"/>
        <w:contextualSpacing/>
        <w:jc w:val="center"/>
        <w:rPr>
          <w:rFonts w:ascii="Palatino Linotype" w:hAnsi="Palatino Linotype"/>
          <w:b/>
          <w:bCs/>
          <w:color w:val="auto"/>
          <w:sz w:val="22"/>
          <w:szCs w:val="22"/>
          <w:lang w:val="es-ES"/>
        </w:rPr>
      </w:pPr>
      <w:bookmarkStart w:id="5" w:name="_Toc213938168"/>
      <w:r w:rsidRPr="00D75A5E">
        <w:rPr>
          <w:rFonts w:ascii="Palatino Linotype" w:hAnsi="Palatino Linotype"/>
          <w:b/>
          <w:bCs/>
          <w:color w:val="auto"/>
          <w:sz w:val="22"/>
          <w:szCs w:val="22"/>
          <w:lang w:val="es-ES"/>
        </w:rPr>
        <w:t>C O N S I D E R A N D O S</w:t>
      </w:r>
      <w:bookmarkEnd w:id="5"/>
    </w:p>
    <w:p w14:paraId="4C2193BA" w14:textId="77777777" w:rsidR="001C6F05" w:rsidRPr="00D75A5E" w:rsidRDefault="001C6F05" w:rsidP="001C6F05">
      <w:pPr>
        <w:spacing w:line="360" w:lineRule="auto"/>
        <w:contextualSpacing/>
        <w:jc w:val="both"/>
        <w:rPr>
          <w:rFonts w:ascii="Palatino Linotype" w:hAnsi="Palatino Linotype" w:cs="Tahoma"/>
          <w:b/>
          <w:bCs/>
          <w:sz w:val="22"/>
          <w:szCs w:val="22"/>
          <w:lang w:val="es-ES"/>
        </w:rPr>
      </w:pPr>
    </w:p>
    <w:p w14:paraId="3F2D2428" w14:textId="77777777" w:rsidR="001C6F05" w:rsidRPr="00D75A5E" w:rsidRDefault="001C6F05" w:rsidP="001C6F05">
      <w:pPr>
        <w:pStyle w:val="Ttulo2"/>
        <w:spacing w:line="360" w:lineRule="auto"/>
        <w:contextualSpacing/>
        <w:rPr>
          <w:rFonts w:ascii="Palatino Linotype" w:hAnsi="Palatino Linotype"/>
          <w:b/>
          <w:bCs/>
          <w:color w:val="auto"/>
          <w:sz w:val="22"/>
          <w:szCs w:val="22"/>
          <w:lang w:val="es-ES"/>
        </w:rPr>
      </w:pPr>
      <w:bookmarkStart w:id="6" w:name="_Toc213938169"/>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41D0E75A" w14:textId="77777777" w:rsidR="001C6F05" w:rsidRPr="009544A4" w:rsidRDefault="001C6F05" w:rsidP="001C6F05">
      <w:pPr>
        <w:autoSpaceDE w:val="0"/>
        <w:autoSpaceDN w:val="0"/>
        <w:adjustRightInd w:val="0"/>
        <w:spacing w:line="360" w:lineRule="auto"/>
        <w:contextualSpacing/>
        <w:jc w:val="both"/>
        <w:rPr>
          <w:rFonts w:ascii="Palatino Linotype" w:hAnsi="Palatino Linotype" w:cs="Tahoma"/>
          <w:b/>
          <w:color w:val="FF0000"/>
          <w:sz w:val="22"/>
          <w:lang w:val="es-ES"/>
        </w:rPr>
      </w:pPr>
    </w:p>
    <w:p w14:paraId="46443E68" w14:textId="094DF1D1" w:rsidR="00671577" w:rsidRDefault="00671577" w:rsidP="00671577">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2F2EE8" w:rsidRPr="0069652E">
        <w:rPr>
          <w:rFonts w:ascii="Palatino Linotype" w:eastAsia="Palatino Linotype" w:hAnsi="Palatino Linotype" w:cs="Palatino Linotype"/>
          <w:sz w:val="22"/>
          <w:szCs w:val="22"/>
        </w:rPr>
        <w:t xml:space="preserve">párrafos cuadragésimo </w:t>
      </w:r>
      <w:r w:rsidR="002F2EE8">
        <w:rPr>
          <w:rFonts w:ascii="Palatino Linotype" w:eastAsia="Palatino Linotype" w:hAnsi="Palatino Linotype" w:cs="Palatino Linotype"/>
          <w:sz w:val="22"/>
          <w:szCs w:val="22"/>
        </w:rPr>
        <w:t>cuarto</w:t>
      </w:r>
      <w:r w:rsidR="002F2EE8" w:rsidRPr="0069652E">
        <w:rPr>
          <w:rFonts w:ascii="Palatino Linotype" w:eastAsia="Palatino Linotype" w:hAnsi="Palatino Linotype" w:cs="Palatino Linotype"/>
          <w:sz w:val="22"/>
          <w:szCs w:val="22"/>
        </w:rPr>
        <w:t xml:space="preserve">, cuadragésimo </w:t>
      </w:r>
      <w:r w:rsidR="002F2EE8">
        <w:rPr>
          <w:rFonts w:ascii="Palatino Linotype" w:eastAsia="Palatino Linotype" w:hAnsi="Palatino Linotype" w:cs="Palatino Linotype"/>
          <w:sz w:val="22"/>
          <w:szCs w:val="22"/>
        </w:rPr>
        <w:t xml:space="preserve">quinto </w:t>
      </w:r>
      <w:r w:rsidR="002F2EE8" w:rsidRPr="0069652E">
        <w:rPr>
          <w:rFonts w:ascii="Palatino Linotype" w:eastAsia="Palatino Linotype" w:hAnsi="Palatino Linotype" w:cs="Palatino Linotype"/>
          <w:sz w:val="22"/>
          <w:szCs w:val="22"/>
        </w:rPr>
        <w:t xml:space="preserve">y cuadragésimo </w:t>
      </w:r>
      <w:r w:rsidR="002F2EE8">
        <w:rPr>
          <w:rFonts w:ascii="Palatino Linotype" w:eastAsia="Palatino Linotype" w:hAnsi="Palatino Linotype" w:cs="Palatino Linotype"/>
          <w:sz w:val="22"/>
          <w:szCs w:val="22"/>
        </w:rPr>
        <w:t>sexto</w:t>
      </w:r>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D38FCB" w14:textId="77777777" w:rsidR="001C6F05" w:rsidRPr="009544A4" w:rsidRDefault="001C6F05" w:rsidP="001C6F05">
      <w:pPr>
        <w:spacing w:line="360" w:lineRule="auto"/>
        <w:contextualSpacing/>
        <w:jc w:val="both"/>
        <w:rPr>
          <w:rFonts w:ascii="Palatino Linotype" w:eastAsia="Palatino Linotype" w:hAnsi="Palatino Linotype" w:cs="Palatino Linotype"/>
          <w:color w:val="FF0000"/>
          <w:sz w:val="22"/>
          <w:szCs w:val="22"/>
          <w:lang w:eastAsia="es-MX"/>
        </w:rPr>
      </w:pPr>
    </w:p>
    <w:p w14:paraId="414013DF" w14:textId="77777777" w:rsidR="001C6F05" w:rsidRPr="00D75A5E" w:rsidRDefault="001C6F05" w:rsidP="001C6F05">
      <w:pPr>
        <w:pStyle w:val="Ttulo2"/>
        <w:spacing w:line="360" w:lineRule="auto"/>
        <w:contextualSpacing/>
        <w:rPr>
          <w:rFonts w:ascii="Palatino Linotype" w:hAnsi="Palatino Linotype"/>
          <w:b/>
          <w:bCs/>
          <w:color w:val="auto"/>
          <w:sz w:val="22"/>
          <w:szCs w:val="22"/>
          <w:lang w:val="es-ES"/>
        </w:rPr>
      </w:pPr>
      <w:bookmarkStart w:id="7" w:name="_Toc213938170"/>
      <w:r w:rsidRPr="00D75A5E">
        <w:rPr>
          <w:rFonts w:ascii="Palatino Linotype" w:eastAsia="Calibri" w:hAnsi="Palatino Linotype"/>
          <w:b/>
          <w:bCs/>
          <w:color w:val="auto"/>
          <w:sz w:val="22"/>
          <w:szCs w:val="22"/>
          <w:lang w:val="es-ES" w:eastAsia="es-MX"/>
        </w:rPr>
        <w:lastRenderedPageBreak/>
        <w:t xml:space="preserve">SEGUNDO. </w:t>
      </w:r>
      <w:r w:rsidRPr="00D75A5E">
        <w:rPr>
          <w:rFonts w:ascii="Palatino Linotype" w:hAnsi="Palatino Linotype"/>
          <w:b/>
          <w:bCs/>
          <w:color w:val="auto"/>
          <w:sz w:val="22"/>
          <w:szCs w:val="22"/>
          <w:lang w:val="es-ES"/>
        </w:rPr>
        <w:t>Causales de improcedencia y Sobreseimiento</w:t>
      </w:r>
      <w:bookmarkEnd w:id="7"/>
    </w:p>
    <w:p w14:paraId="52472388" w14:textId="77777777" w:rsidR="001C6F05" w:rsidRPr="009544A4" w:rsidRDefault="001C6F05" w:rsidP="001C6F05">
      <w:pPr>
        <w:autoSpaceDE w:val="0"/>
        <w:autoSpaceDN w:val="0"/>
        <w:adjustRightInd w:val="0"/>
        <w:spacing w:line="360" w:lineRule="auto"/>
        <w:contextualSpacing/>
        <w:jc w:val="both"/>
        <w:rPr>
          <w:rFonts w:ascii="Palatino Linotype" w:hAnsi="Palatino Linotype" w:cs="Tahoma"/>
          <w:sz w:val="22"/>
          <w:szCs w:val="22"/>
          <w:lang w:val="es-ES"/>
        </w:rPr>
      </w:pPr>
    </w:p>
    <w:p w14:paraId="0E2B0A3A" w14:textId="77777777" w:rsidR="001C6F05" w:rsidRPr="009544A4" w:rsidRDefault="001C6F05" w:rsidP="001C6F05">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2434032D" w14:textId="77777777" w:rsidR="001C6F05" w:rsidRPr="009544A4" w:rsidRDefault="001C6F05" w:rsidP="001C6F05">
      <w:pPr>
        <w:autoSpaceDE w:val="0"/>
        <w:autoSpaceDN w:val="0"/>
        <w:adjustRightInd w:val="0"/>
        <w:spacing w:line="360" w:lineRule="auto"/>
        <w:contextualSpacing/>
        <w:jc w:val="both"/>
        <w:rPr>
          <w:rFonts w:ascii="Palatino Linotype" w:hAnsi="Palatino Linotype" w:cs="Tahoma"/>
          <w:sz w:val="22"/>
          <w:szCs w:val="22"/>
          <w:lang w:val="es-ES"/>
        </w:rPr>
      </w:pPr>
    </w:p>
    <w:p w14:paraId="7A6AA059" w14:textId="77777777" w:rsidR="001C6F05" w:rsidRPr="009544A4" w:rsidRDefault="001C6F05" w:rsidP="001C6F05">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67966FB7" w14:textId="77777777" w:rsidR="001C6F05" w:rsidRPr="009544A4" w:rsidRDefault="001C6F05" w:rsidP="001C6F05">
      <w:pPr>
        <w:spacing w:line="360" w:lineRule="auto"/>
        <w:contextualSpacing/>
        <w:jc w:val="both"/>
        <w:rPr>
          <w:rFonts w:ascii="Palatino Linotype" w:hAnsi="Palatino Linotype"/>
          <w:sz w:val="22"/>
          <w:szCs w:val="22"/>
        </w:rPr>
      </w:pPr>
    </w:p>
    <w:p w14:paraId="1148A337" w14:textId="77777777" w:rsidR="001C6F05" w:rsidRPr="009544A4"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AA1F64" w14:textId="77777777" w:rsidR="001C6F05" w:rsidRPr="009544A4" w:rsidRDefault="001C6F05" w:rsidP="001C6F05">
      <w:pPr>
        <w:spacing w:line="360" w:lineRule="auto"/>
        <w:contextualSpacing/>
        <w:jc w:val="both"/>
        <w:rPr>
          <w:rFonts w:ascii="Palatino Linotype" w:hAnsi="Palatino Linotype" w:cs="Tahoma"/>
          <w:sz w:val="22"/>
          <w:szCs w:val="22"/>
        </w:rPr>
      </w:pPr>
    </w:p>
    <w:p w14:paraId="5B8311D3" w14:textId="77777777" w:rsidR="001C6F05" w:rsidRPr="009544A4"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E4FA4F7" w14:textId="77777777" w:rsidR="001C6F05" w:rsidRPr="009544A4" w:rsidRDefault="001C6F05" w:rsidP="001C6F05">
      <w:pPr>
        <w:spacing w:line="360" w:lineRule="auto"/>
        <w:contextualSpacing/>
        <w:jc w:val="both"/>
        <w:rPr>
          <w:rFonts w:ascii="Palatino Linotype" w:hAnsi="Palatino Linotype" w:cs="Tahoma"/>
          <w:sz w:val="22"/>
          <w:szCs w:val="22"/>
          <w:lang w:val="es-ES"/>
        </w:rPr>
      </w:pPr>
    </w:p>
    <w:p w14:paraId="60788559" w14:textId="77777777" w:rsidR="001C6F05" w:rsidRPr="009544A4" w:rsidRDefault="001C6F05" w:rsidP="001C6F05">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w:t>
      </w:r>
      <w:r w:rsidRPr="009544A4">
        <w:rPr>
          <w:rFonts w:ascii="Palatino Linotype" w:hAnsi="Palatino Linotype" w:cs="Tahoma"/>
          <w:sz w:val="22"/>
          <w:szCs w:val="22"/>
          <w:lang w:val="es-ES"/>
        </w:rPr>
        <w:lastRenderedPageBreak/>
        <w:t xml:space="preserve">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AA09D93" w14:textId="77777777" w:rsidR="001C6F05" w:rsidRPr="009544A4" w:rsidRDefault="001C6F05" w:rsidP="001C6F05">
      <w:pPr>
        <w:spacing w:line="360" w:lineRule="auto"/>
        <w:contextualSpacing/>
        <w:jc w:val="both"/>
        <w:rPr>
          <w:rFonts w:ascii="Palatino Linotype" w:hAnsi="Palatino Linotype" w:cs="Tahoma"/>
          <w:sz w:val="22"/>
          <w:szCs w:val="22"/>
          <w:lang w:val="es-ES"/>
        </w:rPr>
      </w:pPr>
    </w:p>
    <w:p w14:paraId="4EC9B5A4" w14:textId="77777777" w:rsidR="001C6F05" w:rsidRPr="009544A4" w:rsidRDefault="001C6F05" w:rsidP="001C6F05">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2B4A38FC" w14:textId="77777777" w:rsidR="001C6F05" w:rsidRPr="009544A4" w:rsidRDefault="001C6F05" w:rsidP="001C6F05">
      <w:pPr>
        <w:spacing w:line="360" w:lineRule="auto"/>
        <w:contextualSpacing/>
        <w:jc w:val="both"/>
        <w:rPr>
          <w:rFonts w:ascii="Palatino Linotype" w:hAnsi="Palatino Linotype" w:cs="Tahoma"/>
          <w:bCs/>
          <w:sz w:val="22"/>
          <w:szCs w:val="22"/>
          <w:lang w:val="es-ES"/>
        </w:rPr>
      </w:pPr>
    </w:p>
    <w:p w14:paraId="5978DE4F" w14:textId="77777777" w:rsidR="001C6F05" w:rsidRPr="009544A4" w:rsidRDefault="001C6F05" w:rsidP="001C6F05">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0CF55079" w14:textId="77777777" w:rsidR="001C6F05" w:rsidRPr="009544A4" w:rsidRDefault="001C6F05" w:rsidP="001C6F05">
      <w:pPr>
        <w:spacing w:line="360" w:lineRule="auto"/>
        <w:contextualSpacing/>
        <w:jc w:val="both"/>
        <w:rPr>
          <w:rFonts w:ascii="Palatino Linotype" w:hAnsi="Palatino Linotype" w:cs="Tahoma"/>
          <w:bCs/>
          <w:color w:val="FF0000"/>
          <w:sz w:val="22"/>
          <w:szCs w:val="22"/>
        </w:rPr>
      </w:pPr>
    </w:p>
    <w:p w14:paraId="3A1CE848" w14:textId="77777777" w:rsidR="001C6F05" w:rsidRPr="009544A4" w:rsidRDefault="001C6F05" w:rsidP="001C6F05">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0207E016" w14:textId="77777777" w:rsidR="001C6F05" w:rsidRPr="009544A4" w:rsidRDefault="001C6F05" w:rsidP="001C6F05">
      <w:pPr>
        <w:spacing w:line="360" w:lineRule="auto"/>
        <w:contextualSpacing/>
        <w:jc w:val="both"/>
        <w:rPr>
          <w:rFonts w:ascii="Palatino Linotype" w:hAnsi="Palatino Linotype" w:cs="Tahoma"/>
          <w:bCs/>
          <w:sz w:val="22"/>
          <w:szCs w:val="22"/>
        </w:rPr>
      </w:pPr>
    </w:p>
    <w:p w14:paraId="032C5BE0" w14:textId="77777777" w:rsidR="001C6F05" w:rsidRPr="009544A4" w:rsidRDefault="001C6F05" w:rsidP="001C6F05">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7CD5679" w14:textId="77777777" w:rsidR="001C6F05" w:rsidRPr="009544A4" w:rsidRDefault="001C6F05" w:rsidP="001C6F05">
      <w:pPr>
        <w:spacing w:line="360" w:lineRule="auto"/>
        <w:contextualSpacing/>
        <w:jc w:val="both"/>
        <w:rPr>
          <w:rFonts w:ascii="Palatino Linotype" w:hAnsi="Palatino Linotype" w:cs="Tahoma"/>
          <w:sz w:val="22"/>
          <w:szCs w:val="28"/>
        </w:rPr>
      </w:pPr>
    </w:p>
    <w:p w14:paraId="7B7B5656" w14:textId="77777777" w:rsidR="001C6F05" w:rsidRPr="009544A4" w:rsidRDefault="001C6F05" w:rsidP="001C6F05">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45AC1981" w14:textId="77777777" w:rsidR="001C6F05" w:rsidRPr="009544A4" w:rsidRDefault="001C6F05" w:rsidP="001C6F05">
      <w:pPr>
        <w:spacing w:line="360" w:lineRule="auto"/>
        <w:contextualSpacing/>
        <w:jc w:val="both"/>
        <w:rPr>
          <w:rFonts w:ascii="Palatino Linotype" w:hAnsi="Palatino Linotype" w:cs="Tahoma"/>
          <w:bCs/>
          <w:sz w:val="22"/>
          <w:szCs w:val="22"/>
        </w:rPr>
      </w:pPr>
    </w:p>
    <w:p w14:paraId="765B31DE" w14:textId="77777777" w:rsidR="001C6F05" w:rsidRPr="00D75A5E" w:rsidRDefault="001C6F05" w:rsidP="001C6F05">
      <w:pPr>
        <w:pStyle w:val="Ttulo2"/>
        <w:spacing w:line="360" w:lineRule="auto"/>
        <w:contextualSpacing/>
        <w:rPr>
          <w:rFonts w:ascii="Palatino Linotype" w:hAnsi="Palatino Linotype"/>
          <w:b/>
          <w:bCs/>
          <w:color w:val="auto"/>
          <w:sz w:val="22"/>
          <w:szCs w:val="22"/>
          <w:lang w:val="es-ES"/>
        </w:rPr>
      </w:pPr>
      <w:bookmarkStart w:id="8" w:name="_Toc213938171"/>
      <w:r w:rsidRPr="00D75A5E">
        <w:rPr>
          <w:rFonts w:ascii="Palatino Linotype" w:hAnsi="Palatino Linotype"/>
          <w:b/>
          <w:bCs/>
          <w:color w:val="auto"/>
          <w:sz w:val="22"/>
          <w:szCs w:val="22"/>
          <w:lang w:val="es-ES"/>
        </w:rPr>
        <w:lastRenderedPageBreak/>
        <w:t>TERCERO. Determinación de la Controversia</w:t>
      </w:r>
      <w:bookmarkEnd w:id="8"/>
    </w:p>
    <w:p w14:paraId="239500D8" w14:textId="77777777" w:rsidR="001C6F05" w:rsidRPr="009544A4" w:rsidRDefault="001C6F05" w:rsidP="001C6F05">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264E273A" w14:textId="77777777" w:rsidR="001C6F05" w:rsidRPr="009544A4" w:rsidRDefault="001C6F05" w:rsidP="001C6F05">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 xml:space="preserve">Con el objeto de ilustrar la controversia planteada, resulta conveniente precisar, que una vez realizado el estudio de las constancias que integran el expediente en que se actúa, se desprende que el </w:t>
      </w:r>
      <w:r>
        <w:rPr>
          <w:rFonts w:ascii="Palatino Linotype" w:eastAsia="Calibri" w:hAnsi="Palatino Linotype" w:cs="Tahoma"/>
          <w:sz w:val="22"/>
          <w:szCs w:val="22"/>
          <w:lang w:val="es-ES" w:eastAsia="es-MX"/>
        </w:rPr>
        <w:t>Particular requirió una relación de facturas de compra de uniforme para el personal del DIF Municipal.</w:t>
      </w:r>
    </w:p>
    <w:p w14:paraId="1F439DDC" w14:textId="77777777" w:rsidR="001C6F05" w:rsidRPr="009544A4" w:rsidRDefault="001C6F05" w:rsidP="001C6F05">
      <w:pPr>
        <w:pStyle w:val="NormalWeb"/>
        <w:spacing w:after="0" w:line="360" w:lineRule="auto"/>
        <w:ind w:right="-28"/>
        <w:contextualSpacing/>
        <w:rPr>
          <w:rFonts w:ascii="Palatino Linotype" w:hAnsi="Palatino Linotype" w:cs="Tahoma"/>
          <w:bCs/>
          <w:iCs/>
          <w:color w:val="FF0000"/>
          <w:sz w:val="22"/>
          <w:szCs w:val="22"/>
          <w:lang w:val="es-ES"/>
        </w:rPr>
      </w:pPr>
    </w:p>
    <w:p w14:paraId="000BC6D6" w14:textId="77777777" w:rsidR="001C6F05" w:rsidRPr="009544A4" w:rsidRDefault="001C6F05" w:rsidP="001C6F05">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5ED79EE9" w14:textId="77777777" w:rsidR="001C6F05" w:rsidRPr="009544A4" w:rsidRDefault="001C6F05" w:rsidP="001C6F05">
      <w:pPr>
        <w:pStyle w:val="NormalWeb"/>
        <w:spacing w:after="0" w:line="360" w:lineRule="auto"/>
        <w:ind w:right="-28"/>
        <w:contextualSpacing/>
        <w:rPr>
          <w:rFonts w:ascii="Palatino Linotype" w:eastAsia="Calibri" w:hAnsi="Palatino Linotype" w:cs="Tahoma"/>
          <w:iCs/>
          <w:color w:val="FF0000"/>
          <w:sz w:val="22"/>
          <w:szCs w:val="22"/>
          <w:lang w:val="es-ES"/>
        </w:rPr>
      </w:pPr>
    </w:p>
    <w:p w14:paraId="10F84011" w14:textId="77777777" w:rsidR="001C6F05" w:rsidRPr="009544A4" w:rsidRDefault="001C6F05" w:rsidP="001C6F05">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EBE911D" w14:textId="77777777" w:rsidR="001C6F05" w:rsidRPr="009544A4" w:rsidRDefault="001C6F05" w:rsidP="001C6F05">
      <w:pPr>
        <w:tabs>
          <w:tab w:val="left" w:pos="4962"/>
        </w:tabs>
        <w:spacing w:line="360" w:lineRule="auto"/>
        <w:contextualSpacing/>
        <w:jc w:val="both"/>
        <w:rPr>
          <w:rFonts w:ascii="Palatino Linotype" w:eastAsia="Calibri" w:hAnsi="Palatino Linotype" w:cs="Tahoma"/>
          <w:bCs/>
          <w:sz w:val="22"/>
          <w:szCs w:val="22"/>
        </w:rPr>
      </w:pPr>
    </w:p>
    <w:p w14:paraId="0FD1BD36" w14:textId="77777777" w:rsidR="001C6F05" w:rsidRPr="00D75A5E" w:rsidRDefault="001C6F05" w:rsidP="001C6F05">
      <w:pPr>
        <w:pStyle w:val="Ttulo2"/>
        <w:spacing w:line="360" w:lineRule="auto"/>
        <w:contextualSpacing/>
        <w:jc w:val="both"/>
        <w:rPr>
          <w:rFonts w:ascii="Palatino Linotype" w:hAnsi="Palatino Linotype"/>
          <w:b/>
          <w:bCs/>
          <w:color w:val="auto"/>
          <w:sz w:val="22"/>
          <w:szCs w:val="22"/>
        </w:rPr>
      </w:pPr>
      <w:bookmarkStart w:id="9" w:name="_Toc213938172"/>
      <w:r w:rsidRPr="00D75A5E">
        <w:rPr>
          <w:rFonts w:ascii="Palatino Linotype" w:hAnsi="Palatino Linotype"/>
          <w:b/>
          <w:bCs/>
          <w:color w:val="auto"/>
          <w:sz w:val="22"/>
          <w:szCs w:val="22"/>
          <w:lang w:val="es-ES"/>
        </w:rPr>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7C547284" w14:textId="77777777" w:rsidR="001C6F05" w:rsidRPr="009544A4" w:rsidRDefault="001C6F05" w:rsidP="001C6F05">
      <w:pPr>
        <w:spacing w:line="360" w:lineRule="auto"/>
        <w:contextualSpacing/>
        <w:jc w:val="both"/>
        <w:rPr>
          <w:rFonts w:ascii="Palatino Linotype" w:hAnsi="Palatino Linotype" w:cs="Tahoma"/>
          <w:sz w:val="22"/>
          <w:szCs w:val="22"/>
        </w:rPr>
      </w:pPr>
    </w:p>
    <w:p w14:paraId="4EBA311B" w14:textId="77777777" w:rsidR="001C6F05" w:rsidRPr="009544A4"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7FABC16" w14:textId="77777777" w:rsidR="001C6F05" w:rsidRPr="009544A4" w:rsidRDefault="001C6F05" w:rsidP="001C6F05">
      <w:pPr>
        <w:spacing w:line="360" w:lineRule="auto"/>
        <w:contextualSpacing/>
        <w:jc w:val="both"/>
        <w:rPr>
          <w:rFonts w:ascii="Palatino Linotype" w:hAnsi="Palatino Linotype" w:cs="Tahoma"/>
          <w:sz w:val="22"/>
          <w:szCs w:val="22"/>
        </w:rPr>
      </w:pPr>
    </w:p>
    <w:p w14:paraId="490E8BAE" w14:textId="77777777" w:rsidR="001C6F05" w:rsidRPr="009544A4" w:rsidRDefault="001C6F05" w:rsidP="001C6F05">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E117D6F"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1005E265"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CCAF2B7"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20CE2EE6"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20E9EDEC"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49592B55"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CE04959"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436AC3A2"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DFF1B2" w14:textId="77777777" w:rsidR="001C6F05" w:rsidRPr="009544A4" w:rsidRDefault="001C6F05" w:rsidP="001C6F05">
      <w:pPr>
        <w:spacing w:line="360" w:lineRule="auto"/>
        <w:contextualSpacing/>
        <w:jc w:val="both"/>
        <w:rPr>
          <w:rFonts w:ascii="Palatino Linotype" w:hAnsi="Palatino Linotype" w:cs="Tahoma"/>
          <w:iCs/>
          <w:sz w:val="22"/>
          <w:szCs w:val="22"/>
          <w:lang w:val="es-ES"/>
        </w:rPr>
      </w:pPr>
    </w:p>
    <w:p w14:paraId="37481D52" w14:textId="77777777" w:rsidR="001C6F05" w:rsidRPr="00D75A5E" w:rsidRDefault="001C6F05" w:rsidP="001C6F05">
      <w:pPr>
        <w:pStyle w:val="Ttulo2"/>
        <w:spacing w:line="360" w:lineRule="auto"/>
        <w:contextualSpacing/>
        <w:rPr>
          <w:rFonts w:ascii="Palatino Linotype" w:hAnsi="Palatino Linotype"/>
          <w:b/>
          <w:bCs/>
          <w:color w:val="auto"/>
          <w:sz w:val="22"/>
          <w:szCs w:val="22"/>
          <w:lang w:val="es-ES"/>
        </w:rPr>
      </w:pPr>
      <w:bookmarkStart w:id="10" w:name="_Toc213938173"/>
      <w:r w:rsidRPr="00D75A5E">
        <w:rPr>
          <w:rFonts w:ascii="Palatino Linotype" w:hAnsi="Palatino Linotype"/>
          <w:b/>
          <w:bCs/>
          <w:color w:val="auto"/>
          <w:sz w:val="22"/>
          <w:szCs w:val="22"/>
          <w:lang w:val="es-ES"/>
        </w:rPr>
        <w:t>QUINTO. Estudio de Fondo</w:t>
      </w:r>
      <w:bookmarkEnd w:id="10"/>
    </w:p>
    <w:p w14:paraId="64999CBE" w14:textId="77777777" w:rsidR="001C6F05" w:rsidRPr="009544A4" w:rsidRDefault="001C6F05" w:rsidP="001C6F05">
      <w:pPr>
        <w:spacing w:line="360" w:lineRule="auto"/>
        <w:contextualSpacing/>
        <w:jc w:val="both"/>
        <w:rPr>
          <w:rFonts w:ascii="Palatino Linotype" w:hAnsi="Palatino Linotype" w:cs="Tahoma"/>
          <w:iCs/>
          <w:sz w:val="22"/>
          <w:szCs w:val="22"/>
          <w:lang w:val="es-ES"/>
        </w:rPr>
      </w:pPr>
    </w:p>
    <w:p w14:paraId="741F0993"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Expuestas las posturas de las partes, se procede al análisis del agravio hecho valer por la persona Recurrente, concerniente a la falta de respuesta del Sistema Municipal Para el Desarrollo Integral de la Familia de Ixtapaluca a la solicitud de información.</w:t>
      </w:r>
    </w:p>
    <w:p w14:paraId="65BF4376"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758BF7D5"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5AF8AC9"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0A6C03C9" w14:textId="77777777" w:rsidR="001C6F05" w:rsidRPr="009544A4" w:rsidRDefault="001C6F05" w:rsidP="001C6F05">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CD9E36C" w14:textId="77777777" w:rsidR="001C6F05" w:rsidRPr="009544A4" w:rsidRDefault="001C6F05" w:rsidP="001C6F05">
      <w:pPr>
        <w:spacing w:line="360" w:lineRule="auto"/>
        <w:ind w:left="720"/>
        <w:contextualSpacing/>
        <w:jc w:val="both"/>
        <w:rPr>
          <w:rFonts w:ascii="Palatino Linotype" w:hAnsi="Palatino Linotype" w:cs="Tahoma"/>
          <w:iCs/>
          <w:sz w:val="22"/>
          <w:szCs w:val="22"/>
        </w:rPr>
      </w:pPr>
    </w:p>
    <w:p w14:paraId="7DF6A948" w14:textId="77777777" w:rsidR="001C6F05" w:rsidRPr="009544A4" w:rsidRDefault="001C6F05" w:rsidP="001C6F05">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7AC92384" w14:textId="77777777" w:rsidR="001C6F05" w:rsidRPr="009544A4" w:rsidRDefault="001C6F05" w:rsidP="001C6F05">
      <w:pPr>
        <w:pStyle w:val="Prrafodelista"/>
        <w:spacing w:line="360" w:lineRule="auto"/>
        <w:rPr>
          <w:rFonts w:ascii="Palatino Linotype" w:hAnsi="Palatino Linotype" w:cs="Tahoma"/>
          <w:iCs/>
          <w:szCs w:val="22"/>
        </w:rPr>
      </w:pPr>
    </w:p>
    <w:p w14:paraId="1164829B" w14:textId="77777777" w:rsidR="001C6F05" w:rsidRPr="009544A4" w:rsidRDefault="001C6F05" w:rsidP="001C6F05">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57F32D54"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271ED220"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6FCA99"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2FBC3988"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2F7EA19"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5BDCBD29"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E51C64E"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62317434"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E43CEE0" w14:textId="77777777" w:rsidR="001C6F05" w:rsidRPr="009544A4" w:rsidRDefault="001C6F05" w:rsidP="001C6F05">
      <w:pPr>
        <w:spacing w:line="360" w:lineRule="auto"/>
        <w:ind w:left="720"/>
        <w:contextualSpacing/>
        <w:jc w:val="both"/>
        <w:rPr>
          <w:rFonts w:ascii="Palatino Linotype" w:hAnsi="Palatino Linotype" w:cs="Tahoma"/>
          <w:iCs/>
          <w:sz w:val="22"/>
          <w:szCs w:val="22"/>
        </w:rPr>
      </w:pPr>
    </w:p>
    <w:p w14:paraId="2A643501"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5221BB" w14:textId="77777777" w:rsidR="001C6F05" w:rsidRPr="009544A4" w:rsidRDefault="001C6F05" w:rsidP="001C6F05">
      <w:pPr>
        <w:pStyle w:val="Prrafodelista"/>
        <w:spacing w:line="360" w:lineRule="auto"/>
        <w:rPr>
          <w:rFonts w:ascii="Palatino Linotype" w:hAnsi="Palatino Linotype" w:cs="Tahoma"/>
          <w:iCs/>
          <w:szCs w:val="22"/>
        </w:rPr>
      </w:pPr>
    </w:p>
    <w:p w14:paraId="26E4EFE2"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w:t>
      </w:r>
      <w:r w:rsidRPr="009544A4">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37D368A0" w14:textId="77777777" w:rsidR="001C6F05" w:rsidRPr="009544A4" w:rsidRDefault="001C6F05" w:rsidP="001C6F05">
      <w:pPr>
        <w:pStyle w:val="Prrafodelista"/>
        <w:spacing w:line="360" w:lineRule="auto"/>
        <w:rPr>
          <w:rFonts w:ascii="Palatino Linotype" w:hAnsi="Palatino Linotype" w:cs="Tahoma"/>
          <w:iCs/>
          <w:szCs w:val="22"/>
        </w:rPr>
      </w:pPr>
    </w:p>
    <w:p w14:paraId="44618C74"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D561F2C" w14:textId="77777777" w:rsidR="001C6F05" w:rsidRPr="009544A4" w:rsidRDefault="001C6F05" w:rsidP="001C6F05">
      <w:pPr>
        <w:spacing w:line="360" w:lineRule="auto"/>
        <w:contextualSpacing/>
        <w:rPr>
          <w:rFonts w:ascii="Palatino Linotype" w:hAnsi="Palatino Linotype" w:cs="Tahoma"/>
          <w:iCs/>
          <w:szCs w:val="22"/>
        </w:rPr>
      </w:pPr>
    </w:p>
    <w:p w14:paraId="1BF6BD71"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3CE659A" w14:textId="77777777" w:rsidR="001C6F05" w:rsidRPr="009544A4" w:rsidRDefault="001C6F05" w:rsidP="001C6F05">
      <w:pPr>
        <w:pStyle w:val="Prrafodelista"/>
        <w:spacing w:line="360" w:lineRule="auto"/>
        <w:rPr>
          <w:rFonts w:ascii="Palatino Linotype" w:hAnsi="Palatino Linotype" w:cs="Tahoma"/>
          <w:iCs/>
          <w:szCs w:val="22"/>
        </w:rPr>
      </w:pPr>
    </w:p>
    <w:p w14:paraId="001C9EB7" w14:textId="77777777" w:rsidR="001C6F05" w:rsidRPr="009544A4" w:rsidRDefault="001C6F05" w:rsidP="001C6F05">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50176D2"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043833CE"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w:t>
      </w:r>
      <w:r w:rsidRPr="009544A4">
        <w:rPr>
          <w:rFonts w:ascii="Palatino Linotype" w:hAnsi="Palatino Linotype"/>
          <w:bCs/>
          <w:sz w:val="22"/>
          <w:szCs w:val="14"/>
        </w:rPr>
        <w:lastRenderedPageBreak/>
        <w:t>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dos de octubre</w:t>
      </w:r>
      <w:r w:rsidRPr="009544A4">
        <w:rPr>
          <w:rFonts w:ascii="Palatino Linotype" w:hAnsi="Palatino Linotype" w:cs="Tahoma"/>
          <w:iCs/>
          <w:sz w:val="22"/>
          <w:szCs w:val="22"/>
        </w:rPr>
        <w:t xml:space="preserve"> de dos mil veinticinco. </w:t>
      </w:r>
    </w:p>
    <w:p w14:paraId="7B281BB5"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4CBBDF98"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 xml:space="preserve">dos y feneció el veintidós de octubre </w:t>
      </w:r>
      <w:r w:rsidRPr="009544A4">
        <w:rPr>
          <w:rFonts w:ascii="Palatino Linotype" w:hAnsi="Palatino Linotype" w:cs="Tahoma"/>
          <w:iCs/>
          <w:sz w:val="22"/>
          <w:szCs w:val="22"/>
        </w:rPr>
        <w:t>de dos mil veinticinco; lo anterior, sin contar los</w:t>
      </w:r>
      <w:r>
        <w:rPr>
          <w:rFonts w:ascii="Palatino Linotype" w:hAnsi="Palatino Linotype" w:cs="Tahoma"/>
          <w:iCs/>
          <w:sz w:val="22"/>
          <w:szCs w:val="22"/>
        </w:rPr>
        <w:t xml:space="preserve"> días cuatro, cinco, once, doce, dieciocho y diecinueve de dicho mes y año</w:t>
      </w:r>
      <w:r w:rsidRPr="009544A4">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5E7DB956" w14:textId="77777777" w:rsidR="001C6F05" w:rsidRPr="009544A4" w:rsidRDefault="001C6F05" w:rsidP="001C6F05">
      <w:pPr>
        <w:spacing w:line="360" w:lineRule="auto"/>
        <w:contextualSpacing/>
        <w:jc w:val="both"/>
        <w:rPr>
          <w:rFonts w:ascii="Palatino Linotype" w:hAnsi="Palatino Linotype" w:cs="Tahoma"/>
          <w:iCs/>
          <w:sz w:val="22"/>
          <w:szCs w:val="22"/>
        </w:rPr>
      </w:pPr>
    </w:p>
    <w:p w14:paraId="183C0065" w14:textId="77777777" w:rsidR="001C6F05" w:rsidRPr="009544A4" w:rsidRDefault="001C6F05" w:rsidP="001C6F05">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50E7E899" w14:textId="77777777" w:rsidR="001C6F05" w:rsidRPr="009544A4" w:rsidRDefault="001C6F05" w:rsidP="001C6F05">
      <w:pPr>
        <w:spacing w:line="360" w:lineRule="auto"/>
        <w:contextualSpacing/>
        <w:jc w:val="both"/>
        <w:rPr>
          <w:rFonts w:ascii="Palatino Linotype" w:hAnsi="Palatino Linotype" w:cs="Tahoma"/>
          <w:iCs/>
          <w:color w:val="FF0000"/>
          <w:sz w:val="22"/>
          <w:szCs w:val="22"/>
          <w:lang w:val="es-ES"/>
        </w:rPr>
      </w:pPr>
    </w:p>
    <w:p w14:paraId="6BD3217A" w14:textId="77777777" w:rsidR="001C6F05" w:rsidRPr="009544A4" w:rsidRDefault="001C6F05" w:rsidP="001C6F05">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0AF90489" wp14:editId="0E2FB7A4">
            <wp:extent cx="2324100" cy="1256106"/>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405" cy="1258973"/>
                    </a:xfrm>
                    <a:prstGeom prst="rect">
                      <a:avLst/>
                    </a:prstGeom>
                    <a:noFill/>
                  </pic:spPr>
                </pic:pic>
              </a:graphicData>
            </a:graphic>
          </wp:inline>
        </w:drawing>
      </w:r>
    </w:p>
    <w:p w14:paraId="1DB834BE" w14:textId="77777777" w:rsidR="001C6F05" w:rsidRDefault="001C6F05" w:rsidP="001C6F05">
      <w:pPr>
        <w:spacing w:line="360" w:lineRule="auto"/>
        <w:contextualSpacing/>
        <w:jc w:val="both"/>
        <w:rPr>
          <w:rFonts w:ascii="Palatino Linotype" w:hAnsi="Palatino Linotype" w:cs="Tahoma"/>
          <w:iCs/>
          <w:color w:val="FF0000"/>
          <w:sz w:val="22"/>
          <w:szCs w:val="22"/>
        </w:rPr>
      </w:pPr>
    </w:p>
    <w:p w14:paraId="3ECC1465" w14:textId="77777777" w:rsidR="001C6F05" w:rsidRPr="009544A4" w:rsidRDefault="001C6F05" w:rsidP="001C6F05">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w:t>
      </w:r>
      <w:r w:rsidRPr="009544A4">
        <w:rPr>
          <w:rFonts w:ascii="Palatino Linotype" w:hAnsi="Palatino Linotype" w:cs="Tahoma"/>
          <w:iCs/>
          <w:sz w:val="22"/>
          <w:szCs w:val="22"/>
        </w:rPr>
        <w:lastRenderedPageBreak/>
        <w:t xml:space="preserve">del Estado de México y Municipios, pues tenía hasta el </w:t>
      </w:r>
      <w:r w:rsidR="00B70068">
        <w:rPr>
          <w:rFonts w:ascii="Palatino Linotype" w:hAnsi="Palatino Linotype" w:cs="Tahoma"/>
          <w:iCs/>
          <w:sz w:val="22"/>
          <w:szCs w:val="22"/>
        </w:rPr>
        <w:t>veintitrés</w:t>
      </w:r>
      <w:r>
        <w:rPr>
          <w:rFonts w:ascii="Palatino Linotype" w:hAnsi="Palatino Linotype" w:cs="Tahoma"/>
          <w:iCs/>
          <w:sz w:val="22"/>
          <w:szCs w:val="22"/>
        </w:rPr>
        <w:t xml:space="preserve"> 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36374973" w14:textId="77777777" w:rsidR="001C6F05" w:rsidRPr="009544A4" w:rsidRDefault="001C6F05" w:rsidP="001C6F05">
      <w:pPr>
        <w:spacing w:line="360" w:lineRule="auto"/>
        <w:contextualSpacing/>
        <w:jc w:val="both"/>
        <w:rPr>
          <w:rFonts w:ascii="Palatino Linotype" w:hAnsi="Palatino Linotype" w:cs="Tahoma"/>
          <w:iCs/>
          <w:color w:val="FF0000"/>
          <w:sz w:val="22"/>
          <w:szCs w:val="22"/>
        </w:rPr>
      </w:pPr>
    </w:p>
    <w:p w14:paraId="020983B1" w14:textId="77777777" w:rsidR="001C6F05" w:rsidRDefault="001C6F05" w:rsidP="001C6F05">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20DD8A5" w14:textId="77777777" w:rsidR="001C6F05" w:rsidRDefault="001C6F05" w:rsidP="001C6F05">
      <w:pPr>
        <w:tabs>
          <w:tab w:val="left" w:pos="4962"/>
        </w:tabs>
        <w:spacing w:line="360" w:lineRule="auto"/>
        <w:contextualSpacing/>
        <w:jc w:val="both"/>
        <w:rPr>
          <w:rFonts w:ascii="Palatino Linotype" w:eastAsia="Calibri" w:hAnsi="Palatino Linotype" w:cs="Tahoma"/>
          <w:bCs/>
          <w:sz w:val="22"/>
          <w:szCs w:val="22"/>
        </w:rPr>
      </w:pPr>
    </w:p>
    <w:p w14:paraId="283D0664" w14:textId="77777777" w:rsidR="001C6F05" w:rsidRPr="008A6BEE" w:rsidRDefault="001C6F05" w:rsidP="001C6F05">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482AE9A4"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31522513" w14:textId="77777777" w:rsidR="001C6F05" w:rsidRDefault="001C6F05" w:rsidP="001C6F05">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37652457" w14:textId="77777777" w:rsidR="001C6F05" w:rsidRPr="008A6BEE" w:rsidRDefault="001C6F05" w:rsidP="001C6F05">
      <w:pPr>
        <w:spacing w:line="360" w:lineRule="auto"/>
        <w:contextualSpacing/>
        <w:jc w:val="both"/>
        <w:rPr>
          <w:rFonts w:ascii="Palatino Linotype" w:hAnsi="Palatino Linotype"/>
          <w:color w:val="0D0D0D"/>
          <w:sz w:val="22"/>
          <w:szCs w:val="22"/>
        </w:rPr>
      </w:pPr>
    </w:p>
    <w:p w14:paraId="3E3000A9"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96322E"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670FDFEE"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lastRenderedPageBreak/>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70EA9C4"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3893AB28" w14:textId="77777777" w:rsidR="001C6F05" w:rsidRPr="008A6BEE" w:rsidRDefault="001C6F05" w:rsidP="001C6F05">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1419E70A" w14:textId="77777777" w:rsidR="001C6F05" w:rsidRDefault="001C6F05" w:rsidP="001C6F05">
      <w:pPr>
        <w:spacing w:line="360" w:lineRule="auto"/>
        <w:contextualSpacing/>
        <w:jc w:val="both"/>
        <w:rPr>
          <w:rFonts w:ascii="Palatino Linotype" w:hAnsi="Palatino Linotype" w:cs="Tahoma"/>
          <w:bCs/>
          <w:iCs/>
          <w:color w:val="000000"/>
          <w:sz w:val="22"/>
          <w:szCs w:val="22"/>
          <w:lang w:val="es-ES" w:eastAsia="es-MX"/>
        </w:rPr>
      </w:pPr>
    </w:p>
    <w:p w14:paraId="40C12560" w14:textId="77777777" w:rsidR="00B70068" w:rsidRPr="003C4218" w:rsidRDefault="001C6F05" w:rsidP="00B70068">
      <w:pPr>
        <w:spacing w:line="360" w:lineRule="auto"/>
        <w:contextualSpacing/>
        <w:jc w:val="both"/>
        <w:rPr>
          <w:rFonts w:ascii="Palatino Linotype" w:eastAsia="Calibri" w:hAnsi="Palatino Linotype" w:cs="Tahoma"/>
          <w:sz w:val="22"/>
          <w:szCs w:val="22"/>
        </w:rPr>
      </w:pPr>
      <w:r w:rsidRPr="006462A8">
        <w:rPr>
          <w:rFonts w:ascii="Palatino Linotype" w:hAnsi="Palatino Linotype"/>
          <w:bCs/>
          <w:sz w:val="22"/>
          <w:szCs w:val="22"/>
        </w:rPr>
        <w:t xml:space="preserve">Ahora bien, </w:t>
      </w:r>
      <w:r w:rsidR="00B70068" w:rsidRPr="003C4218">
        <w:rPr>
          <w:rFonts w:ascii="Palatino Linotype" w:eastAsia="Calibri" w:hAnsi="Palatino Linotype" w:cs="Tahoma"/>
          <w:sz w:val="22"/>
          <w:szCs w:val="22"/>
        </w:rPr>
        <w:t xml:space="preserve">resulta necesario traer a colación, la Resolución Miscelánea Fiscal para el </w:t>
      </w:r>
      <w:r w:rsidR="00B70068">
        <w:rPr>
          <w:rFonts w:ascii="Palatino Linotype" w:eastAsia="Calibri" w:hAnsi="Palatino Linotype" w:cs="Tahoma"/>
          <w:sz w:val="22"/>
          <w:szCs w:val="22"/>
        </w:rPr>
        <w:t>2024</w:t>
      </w:r>
      <w:r w:rsidR="00B70068" w:rsidRPr="003C4218">
        <w:rPr>
          <w:rFonts w:ascii="Palatino Linotype" w:eastAsia="Calibri" w:hAnsi="Palatino Linotype" w:cs="Tahoma"/>
          <w:sz w:val="22"/>
          <w:szCs w:val="22"/>
        </w:rPr>
        <w:t>,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4CC3BD4C" w14:textId="77777777" w:rsidR="00B70068" w:rsidRPr="003C4218" w:rsidRDefault="00B70068" w:rsidP="00B70068">
      <w:pPr>
        <w:spacing w:line="360" w:lineRule="auto"/>
        <w:contextualSpacing/>
        <w:jc w:val="both"/>
        <w:rPr>
          <w:rFonts w:ascii="Palatino Linotype" w:eastAsia="Calibri" w:hAnsi="Palatino Linotype" w:cs="Tahoma"/>
          <w:sz w:val="22"/>
          <w:szCs w:val="22"/>
        </w:rPr>
      </w:pPr>
    </w:p>
    <w:p w14:paraId="0C41FC42" w14:textId="77777777" w:rsidR="00B70068" w:rsidRPr="003C4218" w:rsidRDefault="00B70068" w:rsidP="00B70068">
      <w:pPr>
        <w:spacing w:line="360" w:lineRule="auto"/>
        <w:contextualSpacing/>
        <w:jc w:val="both"/>
        <w:rPr>
          <w:rFonts w:ascii="Palatino Linotype" w:eastAsia="Calibri" w:hAnsi="Palatino Linotype"/>
          <w:bCs/>
          <w:sz w:val="22"/>
          <w:szCs w:val="22"/>
        </w:rPr>
      </w:pPr>
      <w:r w:rsidRPr="003C4218">
        <w:rPr>
          <w:rFonts w:ascii="Palatino Linotype" w:eastAsia="Calibri" w:hAnsi="Palatino Linotype"/>
          <w:bCs/>
          <w:sz w:val="22"/>
          <w:szCs w:val="22"/>
        </w:rPr>
        <w:t xml:space="preserve">En ese orden de ideas, los Lineamientos para la Integración y Entrega del Informe Trimestral Municipal, dos mil veintidós, entre los formatos que maneja en el </w:t>
      </w:r>
      <w:r w:rsidRPr="003C4218">
        <w:rPr>
          <w:rFonts w:ascii="Palatino Linotype" w:eastAsia="Calibri" w:hAnsi="Palatino Linotype"/>
          <w:b/>
          <w:bCs/>
          <w:sz w:val="22"/>
          <w:szCs w:val="22"/>
        </w:rPr>
        <w:t>Módulo 1</w:t>
      </w:r>
      <w:r w:rsidRPr="003C4218">
        <w:rPr>
          <w:rFonts w:ascii="Palatino Linotype" w:eastAsia="Calibri" w:hAnsi="Palatino Linotype"/>
          <w:bCs/>
          <w:sz w:val="22"/>
          <w:szCs w:val="22"/>
        </w:rPr>
        <w:t>, se advierte que se encuentran Póliza de Egresos y Póliza Cheque, con los documentos comprobatorios, mismos que serán entregados al Órgano Superior de Fiscalización del Estado de México.</w:t>
      </w:r>
    </w:p>
    <w:p w14:paraId="5A7715D0" w14:textId="77777777" w:rsidR="00B70068" w:rsidRPr="003C4218" w:rsidRDefault="00B70068" w:rsidP="00B70068">
      <w:pPr>
        <w:spacing w:line="360" w:lineRule="auto"/>
        <w:contextualSpacing/>
        <w:jc w:val="both"/>
        <w:rPr>
          <w:rFonts w:ascii="Palatino Linotype" w:eastAsia="Calibri" w:hAnsi="Palatino Linotype"/>
          <w:b/>
          <w:bCs/>
          <w:sz w:val="22"/>
          <w:szCs w:val="22"/>
        </w:rPr>
      </w:pPr>
    </w:p>
    <w:p w14:paraId="258CC25A" w14:textId="77777777" w:rsidR="00B70068" w:rsidRPr="003C4218" w:rsidRDefault="00B70068" w:rsidP="00B70068">
      <w:pPr>
        <w:spacing w:line="360" w:lineRule="auto"/>
        <w:contextualSpacing/>
        <w:jc w:val="both"/>
        <w:rPr>
          <w:rFonts w:ascii="Palatino Linotype" w:eastAsia="Calibri" w:hAnsi="Palatino Linotype"/>
          <w:bCs/>
          <w:sz w:val="22"/>
          <w:szCs w:val="22"/>
        </w:rPr>
      </w:pPr>
      <w:r w:rsidRPr="003C4218">
        <w:rPr>
          <w:rFonts w:ascii="Palatino Linotype" w:eastAsia="Calibri" w:hAnsi="Palatino Linotype"/>
          <w:bCs/>
          <w:sz w:val="22"/>
          <w:szCs w:val="22"/>
        </w:rPr>
        <w:t xml:space="preserve">Además, en el apartado de </w:t>
      </w:r>
      <w:r w:rsidRPr="003C4218">
        <w:rPr>
          <w:rFonts w:ascii="Palatino Linotype" w:eastAsia="Calibri" w:hAnsi="Palatino Linotype"/>
          <w:b/>
          <w:bCs/>
          <w:sz w:val="22"/>
          <w:szCs w:val="22"/>
        </w:rPr>
        <w:t xml:space="preserve">“Aspectos a tomar en cuenta para la integración de las Pólizas contables y documentación comprobatoria”, </w:t>
      </w:r>
      <w:r w:rsidRPr="003C4218">
        <w:rPr>
          <w:rFonts w:ascii="Palatino Linotype" w:eastAsia="Calibri" w:hAnsi="Palatino Linotype"/>
          <w:bCs/>
          <w:sz w:val="22"/>
          <w:szCs w:val="22"/>
        </w:rPr>
        <w:t xml:space="preserve">se precisa que dichos documentos deberán contener las imágenes de la documentación comprobatoria y justificativa de los egresos y de </w:t>
      </w:r>
      <w:r w:rsidRPr="003C4218">
        <w:rPr>
          <w:rFonts w:ascii="Palatino Linotype" w:eastAsia="Calibri" w:hAnsi="Palatino Linotype"/>
          <w:bCs/>
          <w:sz w:val="22"/>
          <w:szCs w:val="22"/>
        </w:rPr>
        <w:lastRenderedPageBreak/>
        <w:t>las respectivas pólizas, de la entidad, los cuales incluyen los Comprobantes Fiscales Digitales por Internet o facturas.</w:t>
      </w:r>
      <w:r w:rsidRPr="003C4218">
        <w:rPr>
          <w:rFonts w:ascii="Palatino Linotype" w:eastAsia="Calibri" w:hAnsi="Palatino Linotype" w:cs="Tahoma"/>
          <w:bCs/>
          <w:sz w:val="22"/>
          <w:szCs w:val="22"/>
        </w:rPr>
        <w:t xml:space="preserve"> </w:t>
      </w:r>
    </w:p>
    <w:p w14:paraId="2408BEDA" w14:textId="77777777" w:rsidR="00B70068" w:rsidRPr="003C4218" w:rsidRDefault="00B70068" w:rsidP="00B70068">
      <w:pPr>
        <w:spacing w:line="360" w:lineRule="auto"/>
        <w:contextualSpacing/>
        <w:jc w:val="both"/>
        <w:rPr>
          <w:rFonts w:ascii="Palatino Linotype" w:eastAsia="Calibri" w:hAnsi="Palatino Linotype" w:cs="Tahoma"/>
          <w:bCs/>
          <w:sz w:val="22"/>
          <w:szCs w:val="22"/>
        </w:rPr>
      </w:pPr>
    </w:p>
    <w:p w14:paraId="7E8E87F5" w14:textId="77777777" w:rsidR="00B70068" w:rsidRPr="003C4218" w:rsidRDefault="00B70068" w:rsidP="00B70068">
      <w:pPr>
        <w:spacing w:line="360" w:lineRule="auto"/>
        <w:contextualSpacing/>
        <w:jc w:val="both"/>
        <w:rPr>
          <w:rFonts w:ascii="Palatino Linotype" w:hAnsi="Palatino Linotype" w:cs="Tahoma"/>
          <w:bCs/>
          <w:iCs/>
          <w:sz w:val="22"/>
          <w:szCs w:val="22"/>
          <w:lang w:val="es-ES"/>
        </w:rPr>
      </w:pPr>
      <w:r w:rsidRPr="003C4218">
        <w:rPr>
          <w:rFonts w:ascii="Palatino Linotype" w:eastAsia="Calibri" w:hAnsi="Palatino Linotype" w:cs="Tahoma"/>
          <w:bCs/>
          <w:sz w:val="22"/>
          <w:szCs w:val="22"/>
        </w:rPr>
        <w:t>A</w:t>
      </w:r>
      <w:r w:rsidRPr="003C4218">
        <w:rPr>
          <w:rFonts w:ascii="Palatino Linotype" w:hAnsi="Palatino Linotype"/>
          <w:sz w:val="22"/>
          <w:szCs w:val="22"/>
        </w:rPr>
        <w:t>hora bien, el artículo 92 fracción XXV de la Ley de Transparencia y Acceso a la Información Pública del Estado de México y Municipios, establece que la información financiera sobre el presupuesto asignado, así como los informes del ejercicio trimestral del gasto, es información pública de oficio, que se deberá mantener permanente y actualizada.</w:t>
      </w:r>
    </w:p>
    <w:p w14:paraId="3D02CF3F" w14:textId="77777777" w:rsidR="001C6F05" w:rsidRPr="009544A4" w:rsidRDefault="001C6F05" w:rsidP="00B70068">
      <w:pPr>
        <w:spacing w:line="360" w:lineRule="auto"/>
        <w:ind w:right="-28"/>
        <w:contextualSpacing/>
        <w:jc w:val="both"/>
        <w:rPr>
          <w:rFonts w:ascii="Palatino Linotype" w:eastAsia="Calibri" w:hAnsi="Palatino Linotype" w:cs="Tahoma"/>
          <w:bCs/>
          <w:color w:val="FF0000"/>
          <w:sz w:val="22"/>
          <w:szCs w:val="22"/>
        </w:rPr>
      </w:pPr>
    </w:p>
    <w:p w14:paraId="2FD56680" w14:textId="77777777" w:rsidR="001C6F05" w:rsidRPr="003F5B57" w:rsidRDefault="001C6F05" w:rsidP="001C6F05">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8CA0256" w14:textId="77777777" w:rsidR="001C6F05" w:rsidRPr="009544A4" w:rsidRDefault="001C6F05" w:rsidP="001C6F05">
      <w:pPr>
        <w:tabs>
          <w:tab w:val="left" w:pos="4962"/>
        </w:tabs>
        <w:spacing w:line="360" w:lineRule="auto"/>
        <w:contextualSpacing/>
        <w:jc w:val="both"/>
        <w:rPr>
          <w:rFonts w:ascii="Palatino Linotype" w:eastAsia="Calibri" w:hAnsi="Palatino Linotype" w:cs="Tahoma"/>
          <w:bCs/>
          <w:color w:val="FF0000"/>
          <w:sz w:val="22"/>
          <w:szCs w:val="22"/>
        </w:rPr>
      </w:pPr>
    </w:p>
    <w:p w14:paraId="68C85BCE" w14:textId="77777777" w:rsidR="001C6F05" w:rsidRDefault="001C6F05" w:rsidP="001C6F05">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976E160" w14:textId="77777777" w:rsidR="001C6F05" w:rsidRDefault="001C6F05" w:rsidP="001C6F05">
      <w:pPr>
        <w:spacing w:line="360" w:lineRule="auto"/>
        <w:contextualSpacing/>
        <w:jc w:val="both"/>
        <w:rPr>
          <w:rFonts w:ascii="Palatino Linotype" w:hAnsi="Palatino Linotype" w:cs="Tahoma"/>
          <w:bCs/>
          <w:iCs/>
          <w:sz w:val="22"/>
          <w:szCs w:val="22"/>
          <w:lang w:val="es-ES"/>
        </w:rPr>
      </w:pPr>
    </w:p>
    <w:p w14:paraId="10B0FD2A" w14:textId="77777777" w:rsidR="001C6F05" w:rsidRPr="003F5B57" w:rsidRDefault="001C6F05" w:rsidP="001C6F05">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3F5B57">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2"/>
    </w:p>
    <w:p w14:paraId="70ECED33" w14:textId="77777777" w:rsidR="001C6F05" w:rsidRPr="003F5B57" w:rsidRDefault="001C6F05" w:rsidP="001C6F05">
      <w:pPr>
        <w:spacing w:line="360" w:lineRule="auto"/>
        <w:contextualSpacing/>
        <w:jc w:val="both"/>
        <w:rPr>
          <w:rFonts w:ascii="Palatino Linotype" w:eastAsia="Calibri" w:hAnsi="Palatino Linotype" w:cs="Tahoma"/>
          <w:bCs/>
          <w:sz w:val="22"/>
          <w:szCs w:val="22"/>
        </w:rPr>
      </w:pPr>
    </w:p>
    <w:p w14:paraId="4C54BF87" w14:textId="77777777" w:rsidR="001C6F05" w:rsidRPr="003C4911" w:rsidRDefault="001C6F05" w:rsidP="001C6F05">
      <w:pPr>
        <w:pStyle w:val="Ttulo2"/>
        <w:spacing w:line="360" w:lineRule="auto"/>
        <w:contextualSpacing/>
        <w:rPr>
          <w:rFonts w:ascii="Palatino Linotype" w:hAnsi="Palatino Linotype"/>
          <w:b/>
          <w:bCs/>
          <w:color w:val="auto"/>
          <w:sz w:val="22"/>
          <w:szCs w:val="22"/>
        </w:rPr>
      </w:pPr>
      <w:bookmarkStart w:id="13" w:name="_Toc213938174"/>
      <w:r w:rsidRPr="003C4911">
        <w:rPr>
          <w:rFonts w:ascii="Palatino Linotype" w:hAnsi="Palatino Linotype"/>
          <w:b/>
          <w:bCs/>
          <w:color w:val="auto"/>
          <w:sz w:val="22"/>
          <w:szCs w:val="22"/>
        </w:rPr>
        <w:t>SEXTO. Decisión</w:t>
      </w:r>
      <w:bookmarkEnd w:id="13"/>
    </w:p>
    <w:p w14:paraId="6A447D93" w14:textId="77777777" w:rsidR="001C6F05" w:rsidRPr="009544A4" w:rsidRDefault="001C6F05" w:rsidP="001C6F05">
      <w:pPr>
        <w:spacing w:line="360" w:lineRule="auto"/>
        <w:contextualSpacing/>
        <w:jc w:val="both"/>
        <w:rPr>
          <w:rFonts w:ascii="Palatino Linotype" w:hAnsi="Palatino Linotype" w:cs="Tahoma"/>
          <w:color w:val="FF0000"/>
          <w:sz w:val="22"/>
          <w:szCs w:val="22"/>
        </w:rPr>
      </w:pPr>
    </w:p>
    <w:p w14:paraId="609260F1" w14:textId="77777777" w:rsidR="001C6F05" w:rsidRPr="003F5B57" w:rsidRDefault="001C6F05" w:rsidP="001C6F05">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sidR="00B70068">
        <w:rPr>
          <w:rFonts w:ascii="Palatino Linotype" w:eastAsiaTheme="minorHAnsi" w:hAnsi="Palatino Linotype" w:cstheme="minorBidi"/>
          <w:sz w:val="22"/>
          <w:szCs w:val="22"/>
          <w:lang w:eastAsia="en-US"/>
        </w:rPr>
        <w:t>00241</w:t>
      </w:r>
      <w:r w:rsidRPr="003F5B57">
        <w:rPr>
          <w:rFonts w:ascii="Palatino Linotype" w:eastAsiaTheme="minorHAnsi" w:hAnsi="Palatino Linotype" w:cstheme="minorBidi"/>
          <w:sz w:val="22"/>
          <w:szCs w:val="22"/>
          <w:lang w:eastAsia="en-US"/>
        </w:rPr>
        <w:t>/DIFIXTAPAL/IP/2025</w:t>
      </w:r>
      <w:r w:rsidRPr="003F5B57">
        <w:rPr>
          <w:rFonts w:ascii="Palatino Linotype" w:hAnsi="Palatino Linotype" w:cs="Tahoma"/>
          <w:sz w:val="22"/>
          <w:szCs w:val="22"/>
        </w:rPr>
        <w:t>.</w:t>
      </w:r>
    </w:p>
    <w:p w14:paraId="6A9DF702"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lang w:val="es-ES"/>
        </w:rPr>
      </w:pPr>
    </w:p>
    <w:p w14:paraId="4919F26D" w14:textId="77777777" w:rsidR="001C6F05" w:rsidRPr="003C4911" w:rsidRDefault="001C6F05" w:rsidP="001C6F05">
      <w:pPr>
        <w:pStyle w:val="Ttulo2"/>
        <w:spacing w:line="360" w:lineRule="auto"/>
        <w:contextualSpacing/>
        <w:rPr>
          <w:rFonts w:ascii="Palatino Linotype" w:hAnsi="Palatino Linotype"/>
          <w:b/>
          <w:bCs/>
          <w:color w:val="auto"/>
          <w:sz w:val="22"/>
          <w:szCs w:val="22"/>
        </w:rPr>
      </w:pPr>
      <w:bookmarkStart w:id="14" w:name="_Toc213938175"/>
      <w:r w:rsidRPr="003C4911">
        <w:rPr>
          <w:rFonts w:ascii="Palatino Linotype" w:hAnsi="Palatino Linotype"/>
          <w:b/>
          <w:bCs/>
          <w:color w:val="auto"/>
          <w:sz w:val="22"/>
          <w:szCs w:val="22"/>
        </w:rPr>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03760C41" w14:textId="77777777" w:rsidR="001C6F05" w:rsidRPr="003F5B57" w:rsidRDefault="001C6F05" w:rsidP="001C6F05">
      <w:pPr>
        <w:spacing w:line="360" w:lineRule="auto"/>
        <w:contextualSpacing/>
        <w:jc w:val="both"/>
        <w:rPr>
          <w:rFonts w:ascii="Palatino Linotype" w:hAnsi="Palatino Linotype" w:cs="Tahoma"/>
          <w:bCs/>
          <w:sz w:val="22"/>
          <w:szCs w:val="22"/>
        </w:rPr>
      </w:pPr>
    </w:p>
    <w:p w14:paraId="62C0C61E"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187D690F"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p>
    <w:p w14:paraId="1E34171A"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F671231"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p>
    <w:p w14:paraId="4031C229"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FF268FF"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p>
    <w:p w14:paraId="21B2F121"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8D94771"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p>
    <w:p w14:paraId="7296ACB0" w14:textId="77777777" w:rsidR="001C6F05" w:rsidRPr="003F5B57" w:rsidRDefault="001C6F05" w:rsidP="001C6F05">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196BD8B2" w14:textId="77777777" w:rsidR="001C6F05" w:rsidRPr="003F5B57" w:rsidRDefault="001C6F05" w:rsidP="001C6F05">
      <w:pPr>
        <w:spacing w:line="360" w:lineRule="auto"/>
        <w:contextualSpacing/>
        <w:jc w:val="both"/>
        <w:rPr>
          <w:rFonts w:ascii="Palatino Linotype" w:hAnsi="Palatino Linotype" w:cs="Tahoma"/>
          <w:bCs/>
          <w:iCs/>
          <w:sz w:val="22"/>
          <w:szCs w:val="22"/>
          <w:lang w:val="es-ES"/>
        </w:rPr>
      </w:pPr>
    </w:p>
    <w:p w14:paraId="5964E8C6" w14:textId="77777777" w:rsidR="001C6F05" w:rsidRPr="003F5B57" w:rsidRDefault="001C6F05" w:rsidP="001C6F05">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0F42D20B" w14:textId="77777777" w:rsidR="001C6F05" w:rsidRPr="003F5B57" w:rsidRDefault="001C6F05" w:rsidP="001C6F05">
      <w:pPr>
        <w:spacing w:line="360" w:lineRule="auto"/>
        <w:contextualSpacing/>
        <w:jc w:val="both"/>
        <w:rPr>
          <w:rFonts w:ascii="Palatino Linotype" w:hAnsi="Palatino Linotype" w:cs="Tahoma"/>
          <w:b/>
          <w:bCs/>
          <w:iCs/>
          <w:sz w:val="22"/>
          <w:szCs w:val="22"/>
          <w:lang w:val="es-ES"/>
        </w:rPr>
      </w:pPr>
    </w:p>
    <w:p w14:paraId="1180A8DF" w14:textId="77777777" w:rsidR="001C6F05" w:rsidRPr="003F5B57" w:rsidRDefault="001C6F05" w:rsidP="001C6F05">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FDB2152" w14:textId="77777777" w:rsidR="001C6F05" w:rsidRPr="003F5B57" w:rsidRDefault="001C6F05" w:rsidP="001C6F05">
      <w:pPr>
        <w:spacing w:line="360" w:lineRule="auto"/>
        <w:contextualSpacing/>
        <w:jc w:val="both"/>
        <w:rPr>
          <w:rFonts w:ascii="Palatino Linotype" w:hAnsi="Palatino Linotype" w:cs="Tahoma"/>
          <w:bCs/>
          <w:iCs/>
          <w:sz w:val="22"/>
          <w:szCs w:val="22"/>
        </w:rPr>
      </w:pPr>
    </w:p>
    <w:p w14:paraId="649A0401" w14:textId="579083DF" w:rsidR="001C6F05" w:rsidRPr="003F5B57" w:rsidRDefault="00F160DC" w:rsidP="001C6F05">
      <w:pPr>
        <w:spacing w:line="360" w:lineRule="auto"/>
        <w:contextualSpacing/>
        <w:jc w:val="both"/>
        <w:rPr>
          <w:rFonts w:ascii="Palatino Linotype" w:eastAsia="Calibri" w:hAnsi="Palatino Linotype"/>
          <w:sz w:val="22"/>
          <w:szCs w:val="22"/>
          <w:lang w:eastAsia="en-US"/>
        </w:rPr>
      </w:pPr>
      <w:r>
        <w:rPr>
          <w:rFonts w:ascii="Palatino Linotype" w:eastAsia="Calibri" w:hAnsi="Palatino Linotype"/>
          <w:sz w:val="22"/>
          <w:szCs w:val="22"/>
          <w:lang w:eastAsia="en-US"/>
        </w:rPr>
        <w:t>L</w:t>
      </w:r>
      <w:r w:rsidR="001C6F05" w:rsidRPr="003F5B57">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03988391" w14:textId="77777777" w:rsidR="001C6F05" w:rsidRPr="003F5B57" w:rsidRDefault="001C6F05" w:rsidP="001C6F05">
      <w:pPr>
        <w:spacing w:line="360" w:lineRule="auto"/>
        <w:contextualSpacing/>
        <w:jc w:val="both"/>
        <w:rPr>
          <w:rFonts w:ascii="Palatino Linotype" w:eastAsia="Calibri" w:hAnsi="Palatino Linotype"/>
          <w:sz w:val="22"/>
          <w:szCs w:val="22"/>
          <w:lang w:eastAsia="en-US"/>
        </w:rPr>
      </w:pPr>
    </w:p>
    <w:p w14:paraId="0CFC060E" w14:textId="77777777" w:rsidR="001C6F05" w:rsidRPr="003F5B57" w:rsidRDefault="001C6F05" w:rsidP="001C6F05">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 xml:space="preserve">Por lo </w:t>
      </w:r>
      <w:r w:rsidR="00D438CE">
        <w:rPr>
          <w:rFonts w:ascii="Palatino Linotype" w:hAnsi="Palatino Linotype" w:cs="Tahoma"/>
          <w:bCs/>
          <w:iCs/>
          <w:sz w:val="22"/>
          <w:szCs w:val="22"/>
        </w:rPr>
        <w:t>expuesto y fundado, este Pleno:</w:t>
      </w:r>
    </w:p>
    <w:p w14:paraId="3B80F94A" w14:textId="77777777" w:rsidR="001C6F05" w:rsidRPr="003C4911" w:rsidRDefault="001C6F05" w:rsidP="001C6F05">
      <w:pPr>
        <w:pStyle w:val="Ttulo1"/>
        <w:spacing w:line="360" w:lineRule="auto"/>
        <w:contextualSpacing/>
        <w:jc w:val="center"/>
        <w:rPr>
          <w:rFonts w:ascii="Palatino Linotype" w:hAnsi="Palatino Linotype"/>
          <w:b/>
          <w:bCs/>
          <w:color w:val="auto"/>
          <w:sz w:val="22"/>
          <w:szCs w:val="22"/>
        </w:rPr>
      </w:pPr>
      <w:bookmarkStart w:id="15" w:name="_Toc213938176"/>
      <w:r w:rsidRPr="003C4911">
        <w:rPr>
          <w:rFonts w:ascii="Palatino Linotype" w:hAnsi="Palatino Linotype"/>
          <w:b/>
          <w:bCs/>
          <w:color w:val="auto"/>
          <w:sz w:val="22"/>
          <w:szCs w:val="22"/>
        </w:rPr>
        <w:t>R E S U E L V E</w:t>
      </w:r>
      <w:bookmarkEnd w:id="15"/>
    </w:p>
    <w:p w14:paraId="5DE85A2E" w14:textId="77777777" w:rsidR="001C6F05" w:rsidRPr="003F5B57" w:rsidRDefault="001C6F05" w:rsidP="001C6F05">
      <w:pPr>
        <w:spacing w:line="360" w:lineRule="auto"/>
        <w:contextualSpacing/>
        <w:jc w:val="both"/>
        <w:rPr>
          <w:rFonts w:ascii="Palatino Linotype" w:hAnsi="Palatino Linotype" w:cs="Tahoma"/>
          <w:b/>
          <w:bCs/>
          <w:iCs/>
          <w:sz w:val="22"/>
          <w:szCs w:val="22"/>
        </w:rPr>
      </w:pPr>
    </w:p>
    <w:p w14:paraId="35D88FCC" w14:textId="77777777" w:rsidR="001C6F05" w:rsidRPr="003F5B57" w:rsidRDefault="001C6F05" w:rsidP="001C6F05">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sidR="00B70068">
        <w:rPr>
          <w:rFonts w:ascii="Palatino Linotype" w:hAnsi="Palatino Linotype" w:cs="Tahoma"/>
          <w:bCs/>
          <w:iCs/>
          <w:sz w:val="22"/>
          <w:szCs w:val="22"/>
        </w:rPr>
        <w:t>12216</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50114CF7"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42C280FD" w14:textId="77777777" w:rsidR="001C6F05" w:rsidRPr="003F5B57" w:rsidRDefault="001C6F05" w:rsidP="001C6F05">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sidR="00B70068">
        <w:rPr>
          <w:rFonts w:ascii="Palatino Linotype" w:hAnsi="Palatino Linotype" w:cs="Tahoma"/>
          <w:sz w:val="22"/>
          <w:szCs w:val="22"/>
        </w:rPr>
        <w:t>00241</w:t>
      </w:r>
      <w:r w:rsidRPr="003F5B57">
        <w:rPr>
          <w:rFonts w:ascii="Palatino Linotype" w:hAnsi="Palatino Linotype" w:cs="Tahoma"/>
          <w:sz w:val="22"/>
          <w:szCs w:val="22"/>
        </w:rPr>
        <w:t xml:space="preserve">/DIFIXTAPAL/IP/2025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3ADB3AE9" w14:textId="77777777" w:rsidR="001C6F05" w:rsidRPr="003F5B57" w:rsidRDefault="001C6F05" w:rsidP="001C6F05">
      <w:pPr>
        <w:spacing w:line="360" w:lineRule="auto"/>
        <w:contextualSpacing/>
        <w:jc w:val="both"/>
        <w:rPr>
          <w:rFonts w:ascii="Palatino Linotype" w:hAnsi="Palatino Linotype" w:cs="Tahoma"/>
          <w:bCs/>
          <w:iCs/>
          <w:sz w:val="22"/>
          <w:szCs w:val="22"/>
        </w:rPr>
      </w:pPr>
    </w:p>
    <w:p w14:paraId="076FBDB0" w14:textId="77777777" w:rsidR="001C6F05" w:rsidRPr="003F5B57" w:rsidRDefault="001C6F05" w:rsidP="001C6F05">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4CCAF86" w14:textId="77777777" w:rsidR="001C6F05" w:rsidRPr="003F5B57" w:rsidRDefault="001C6F05" w:rsidP="001C6F05">
      <w:pPr>
        <w:spacing w:line="360" w:lineRule="auto"/>
        <w:contextualSpacing/>
        <w:jc w:val="both"/>
        <w:rPr>
          <w:rFonts w:ascii="Palatino Linotype" w:hAnsi="Palatino Linotype" w:cs="Tahoma"/>
          <w:bCs/>
          <w:iCs/>
          <w:sz w:val="22"/>
          <w:szCs w:val="22"/>
        </w:rPr>
      </w:pPr>
    </w:p>
    <w:p w14:paraId="1B76966D" w14:textId="77777777" w:rsidR="001C6F05" w:rsidRPr="003F5B57" w:rsidRDefault="001C6F05" w:rsidP="001C6F05">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3F5B57">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F7598E8" w14:textId="77777777" w:rsidR="001C6F05" w:rsidRPr="003F5B57" w:rsidRDefault="001C6F05" w:rsidP="001C6F05">
      <w:pPr>
        <w:spacing w:line="360" w:lineRule="auto"/>
        <w:contextualSpacing/>
        <w:jc w:val="both"/>
        <w:rPr>
          <w:rFonts w:ascii="Palatino Linotype" w:hAnsi="Palatino Linotype" w:cs="Tahoma"/>
          <w:bCs/>
          <w:iCs/>
          <w:sz w:val="22"/>
          <w:szCs w:val="22"/>
        </w:rPr>
      </w:pPr>
    </w:p>
    <w:p w14:paraId="4D77D6CB" w14:textId="77777777" w:rsidR="001C6F05" w:rsidRPr="003F5B57" w:rsidRDefault="001C6F05" w:rsidP="001C6F05">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97813C6" w14:textId="77777777" w:rsidR="001C6F05" w:rsidRPr="003F5B57" w:rsidRDefault="001C6F05" w:rsidP="001C6F05">
      <w:pPr>
        <w:spacing w:line="360" w:lineRule="auto"/>
        <w:contextualSpacing/>
        <w:jc w:val="both"/>
        <w:rPr>
          <w:rFonts w:ascii="Palatino Linotype" w:hAnsi="Palatino Linotype" w:cs="Tahoma"/>
          <w:bCs/>
          <w:iCs/>
          <w:sz w:val="22"/>
          <w:szCs w:val="22"/>
        </w:rPr>
      </w:pPr>
    </w:p>
    <w:p w14:paraId="5E9B473A" w14:textId="77777777" w:rsidR="001C6F05" w:rsidRPr="003F5B57" w:rsidRDefault="001C6F05" w:rsidP="001C6F05">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6087409" w14:textId="77777777" w:rsidR="001C6F05" w:rsidRPr="009544A4" w:rsidRDefault="001C6F05" w:rsidP="001C6F05">
      <w:pPr>
        <w:spacing w:line="360" w:lineRule="auto"/>
        <w:contextualSpacing/>
        <w:jc w:val="both"/>
        <w:rPr>
          <w:rFonts w:ascii="Palatino Linotype" w:hAnsi="Palatino Linotype" w:cs="Tahoma"/>
          <w:b/>
          <w:bCs/>
          <w:iCs/>
          <w:color w:val="FF0000"/>
          <w:sz w:val="22"/>
          <w:szCs w:val="22"/>
        </w:rPr>
      </w:pPr>
    </w:p>
    <w:p w14:paraId="0D582955" w14:textId="77777777" w:rsidR="001C6F05" w:rsidRPr="003F5B57" w:rsidRDefault="001C6F05" w:rsidP="001C6F05">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CUADRAGÉSIMA</w:t>
      </w:r>
      <w:r w:rsidR="00B70068">
        <w:rPr>
          <w:rFonts w:ascii="Palatino Linotype" w:hAnsi="Palatino Linotype" w:cs="Tahoma"/>
          <w:bCs/>
          <w:iCs/>
          <w:sz w:val="22"/>
          <w:szCs w:val="22"/>
        </w:rPr>
        <w:t xml:space="preserve"> PRIMERA</w:t>
      </w:r>
      <w:r>
        <w:rPr>
          <w:rFonts w:ascii="Palatino Linotype" w:hAnsi="Palatino Linotype" w:cs="Tahoma"/>
          <w:bCs/>
          <w:iCs/>
          <w:sz w:val="22"/>
          <w:szCs w:val="22"/>
        </w:rPr>
        <w:t xml:space="preserve"> </w:t>
      </w:r>
      <w:r w:rsidRPr="003F5B57">
        <w:rPr>
          <w:rFonts w:ascii="Palatino Linotype" w:hAnsi="Palatino Linotype" w:cs="Tahoma"/>
          <w:bCs/>
          <w:iCs/>
          <w:sz w:val="22"/>
          <w:szCs w:val="22"/>
        </w:rPr>
        <w:t xml:space="preserve">SESIÓN ORDINARIA, CELEBRADA EL </w:t>
      </w:r>
      <w:r w:rsidR="00B70068">
        <w:rPr>
          <w:rFonts w:ascii="Palatino Linotype" w:hAnsi="Palatino Linotype" w:cs="Tahoma"/>
          <w:bCs/>
          <w:iCs/>
          <w:sz w:val="22"/>
          <w:szCs w:val="22"/>
        </w:rPr>
        <w:t>VEINTE</w:t>
      </w:r>
      <w:r>
        <w:rPr>
          <w:rFonts w:ascii="Palatino Linotype" w:hAnsi="Palatino Linotype" w:cs="Tahoma"/>
          <w:bCs/>
          <w:iCs/>
          <w:sz w:val="22"/>
          <w:szCs w:val="22"/>
        </w:rPr>
        <w:t xml:space="preserve"> DE NOVIEMBRE </w:t>
      </w:r>
      <w:r w:rsidRPr="003F5B57">
        <w:rPr>
          <w:rFonts w:ascii="Palatino Linotype" w:hAnsi="Palatino Linotype" w:cs="Tahoma"/>
          <w:bCs/>
          <w:iCs/>
          <w:sz w:val="22"/>
          <w:szCs w:val="22"/>
        </w:rPr>
        <w:t>DE DOS MIL VEINTICINCO, ANTE EL SECRETARIO TÉCNICO DEL PLENO, ALEXIS TAPIA RAMÍREZ.</w:t>
      </w:r>
    </w:p>
    <w:p w14:paraId="0A364DDE"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lang w:val="es-ES"/>
        </w:rPr>
      </w:pPr>
    </w:p>
    <w:p w14:paraId="6055E2A9"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lang w:val="es-ES"/>
        </w:rPr>
      </w:pPr>
    </w:p>
    <w:p w14:paraId="59E56341"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lang w:val="es-ES"/>
        </w:rPr>
      </w:pPr>
    </w:p>
    <w:p w14:paraId="501DAA1A"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1D137A18"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0F3FAB9C"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18A73EB0"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631CB68F"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5F9476DF"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5DA12A91"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0AEAE98D"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710E76C6"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52EF7EBE"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48DE1FC1"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0C751C10"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03C24957"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4F843292"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1D94EC13"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753150FE"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7FFD1409"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2AF68F89"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4FED54C2"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5ED97615"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5793FB23"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6316630D" w14:textId="77777777" w:rsidR="001C6F05" w:rsidRPr="009544A4" w:rsidRDefault="001C6F05" w:rsidP="001C6F05">
      <w:pPr>
        <w:spacing w:line="360" w:lineRule="auto"/>
        <w:contextualSpacing/>
        <w:jc w:val="both"/>
        <w:rPr>
          <w:rFonts w:ascii="Palatino Linotype" w:hAnsi="Palatino Linotype" w:cs="Tahoma"/>
          <w:bCs/>
          <w:iCs/>
          <w:color w:val="FF0000"/>
          <w:sz w:val="22"/>
          <w:szCs w:val="22"/>
        </w:rPr>
      </w:pPr>
    </w:p>
    <w:p w14:paraId="6CE2D4CB" w14:textId="77777777" w:rsidR="001C6F05" w:rsidRPr="009544A4" w:rsidRDefault="001C6F05" w:rsidP="001C6F05">
      <w:pPr>
        <w:spacing w:line="360" w:lineRule="auto"/>
        <w:contextualSpacing/>
        <w:jc w:val="both"/>
        <w:rPr>
          <w:rFonts w:ascii="Palatino Linotype" w:hAnsi="Palatino Linotype" w:cs="Tahoma"/>
          <w:iCs/>
          <w:color w:val="FF0000"/>
          <w:sz w:val="22"/>
          <w:szCs w:val="22"/>
        </w:rPr>
      </w:pPr>
    </w:p>
    <w:p w14:paraId="7B51C4D4" w14:textId="77777777" w:rsidR="00A87B71" w:rsidRDefault="00A87B71"/>
    <w:sectPr w:rsidR="00A87B71" w:rsidSect="001C6F05">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9BC7" w14:textId="77777777" w:rsidR="000F74E6" w:rsidRDefault="000F74E6" w:rsidP="001C6F05">
      <w:r>
        <w:separator/>
      </w:r>
    </w:p>
  </w:endnote>
  <w:endnote w:type="continuationSeparator" w:id="0">
    <w:p w14:paraId="32B28F32" w14:textId="77777777" w:rsidR="000F74E6" w:rsidRDefault="000F74E6" w:rsidP="001C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1800C64" w14:textId="77777777" w:rsidR="001C6F05" w:rsidRPr="00C13895" w:rsidRDefault="001C6F05">
            <w:pPr>
              <w:pStyle w:val="Piedepgina"/>
              <w:jc w:val="right"/>
              <w:rPr>
                <w:sz w:val="26"/>
                <w:szCs w:val="26"/>
              </w:rPr>
            </w:pPr>
          </w:p>
          <w:p w14:paraId="38683D08" w14:textId="77777777" w:rsidR="001C6F05" w:rsidRDefault="001C6F0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5AE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5AE5">
              <w:rPr>
                <w:b/>
                <w:bCs/>
                <w:noProof/>
              </w:rPr>
              <w:t>22</w:t>
            </w:r>
            <w:r>
              <w:rPr>
                <w:b/>
                <w:bCs/>
                <w:sz w:val="24"/>
                <w:szCs w:val="24"/>
              </w:rPr>
              <w:fldChar w:fldCharType="end"/>
            </w:r>
          </w:p>
        </w:sdtContent>
      </w:sdt>
    </w:sdtContent>
  </w:sdt>
  <w:p w14:paraId="11FA3A8B" w14:textId="77777777" w:rsidR="001C6F05" w:rsidRDefault="001C6F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367F7D3" w14:textId="77777777" w:rsidR="001C6F05" w:rsidRDefault="001C6F05">
            <w:pPr>
              <w:pStyle w:val="Piedepgina"/>
              <w:jc w:val="right"/>
            </w:pPr>
          </w:p>
          <w:p w14:paraId="169B1320" w14:textId="77777777" w:rsidR="001C6F05" w:rsidRDefault="001C6F0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5A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5AE5">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45B7" w14:textId="77777777" w:rsidR="000F74E6" w:rsidRDefault="000F74E6" w:rsidP="001C6F05">
      <w:r>
        <w:separator/>
      </w:r>
    </w:p>
  </w:footnote>
  <w:footnote w:type="continuationSeparator" w:id="0">
    <w:p w14:paraId="5A9FA4DF" w14:textId="77777777" w:rsidR="000F74E6" w:rsidRDefault="000F74E6" w:rsidP="001C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1C6F05" w:rsidRPr="005C106F" w14:paraId="1336A042" w14:textId="77777777" w:rsidTr="001C6F05">
      <w:trPr>
        <w:trHeight w:val="1412"/>
      </w:trPr>
      <w:tc>
        <w:tcPr>
          <w:tcW w:w="8222" w:type="dxa"/>
        </w:tcPr>
        <w:p w14:paraId="2E69E95E" w14:textId="77777777" w:rsidR="001C6F05" w:rsidRDefault="001C6F05"/>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1C6F05" w14:paraId="7C933CD4" w14:textId="77777777" w:rsidTr="001C6F05">
            <w:trPr>
              <w:trHeight w:val="144"/>
            </w:trPr>
            <w:tc>
              <w:tcPr>
                <w:tcW w:w="2552" w:type="dxa"/>
              </w:tcPr>
              <w:p w14:paraId="302A77FE" w14:textId="77777777" w:rsidR="001C6F05" w:rsidRPr="00026EBB" w:rsidRDefault="001C6F05"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684A11A1" w14:textId="77777777" w:rsidR="001C6F05" w:rsidRPr="009C44AA" w:rsidRDefault="001C6F05"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12216</w:t>
                </w:r>
                <w:r w:rsidRPr="009544A4">
                  <w:rPr>
                    <w:rFonts w:ascii="Palatino Linotype" w:eastAsia="Calibri" w:hAnsi="Palatino Linotype" w:cs="Tahoma"/>
                    <w:sz w:val="22"/>
                    <w:szCs w:val="22"/>
                    <w:lang w:eastAsia="en-US"/>
                  </w:rPr>
                  <w:t>/INFOEM/IP/RR/2025</w:t>
                </w:r>
              </w:p>
            </w:tc>
          </w:tr>
          <w:tr w:rsidR="001C6F05" w14:paraId="48936A4E" w14:textId="77777777" w:rsidTr="001C6F05">
            <w:trPr>
              <w:trHeight w:val="144"/>
            </w:trPr>
            <w:tc>
              <w:tcPr>
                <w:tcW w:w="2552" w:type="dxa"/>
              </w:tcPr>
              <w:p w14:paraId="37918E12" w14:textId="77777777" w:rsidR="001C6F05" w:rsidRPr="00026EBB" w:rsidRDefault="001C6F05"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66042885" w14:textId="77777777" w:rsidR="001C6F05" w:rsidRPr="009C44AA" w:rsidRDefault="001C6F05" w:rsidP="001C6F05">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1C6F05" w14:paraId="47AE6326" w14:textId="77777777" w:rsidTr="001C6F05">
            <w:trPr>
              <w:trHeight w:val="138"/>
            </w:trPr>
            <w:tc>
              <w:tcPr>
                <w:tcW w:w="2552" w:type="dxa"/>
              </w:tcPr>
              <w:p w14:paraId="5A621311" w14:textId="77777777" w:rsidR="001C6F05" w:rsidRPr="00026EBB" w:rsidRDefault="001C6F05"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82601E" w14:textId="77777777" w:rsidR="001C6F05" w:rsidRPr="009C44AA" w:rsidRDefault="001C6F05"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81E7336" w14:textId="77777777" w:rsidR="001C6F05" w:rsidRPr="005C106F" w:rsidRDefault="001C6F05" w:rsidP="001C6F05">
          <w:pPr>
            <w:tabs>
              <w:tab w:val="right" w:pos="8838"/>
            </w:tabs>
            <w:ind w:left="-28"/>
            <w:jc w:val="both"/>
            <w:rPr>
              <w:rFonts w:ascii="Arial" w:eastAsia="Calibri" w:hAnsi="Arial" w:cs="Arial"/>
              <w:b/>
              <w:sz w:val="22"/>
              <w:szCs w:val="22"/>
              <w:lang w:eastAsia="en-US"/>
            </w:rPr>
          </w:pPr>
        </w:p>
      </w:tc>
    </w:tr>
  </w:tbl>
  <w:p w14:paraId="31AEBBF3" w14:textId="77777777" w:rsidR="001C6F05" w:rsidRDefault="001C6F05" w:rsidP="001C6F05">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4F825577" wp14:editId="56159B28">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3BD8" w14:textId="77777777" w:rsidR="001C6F05" w:rsidRDefault="00000000">
    <w:r>
      <w:rPr>
        <w:rFonts w:ascii="Palatino Linotype" w:eastAsia="Calibri" w:hAnsi="Palatino Linotype" w:cs="Tahoma"/>
        <w:b/>
        <w:noProof/>
        <w:sz w:val="22"/>
        <w:szCs w:val="22"/>
        <w:lang w:eastAsia="es-MX"/>
      </w:rPr>
      <w:pict w14:anchorId="15EE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1C6F05" w:rsidRPr="00264223" w14:paraId="1E5881C9" w14:textId="77777777" w:rsidTr="001C6F05">
      <w:trPr>
        <w:trHeight w:val="466"/>
      </w:trPr>
      <w:tc>
        <w:tcPr>
          <w:tcW w:w="2977" w:type="dxa"/>
          <w:vAlign w:val="bottom"/>
        </w:tcPr>
        <w:p w14:paraId="3D8E8D4F" w14:textId="77777777" w:rsidR="001C6F05" w:rsidRPr="00026EBB" w:rsidRDefault="001C6F05" w:rsidP="001C6F05">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20CFE040" w14:textId="77777777" w:rsidR="001C6F05" w:rsidRPr="0091633A" w:rsidRDefault="001C6F05" w:rsidP="001C6F05">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61DAB4D7" w14:textId="77777777" w:rsidR="001C6F05" w:rsidRPr="00A404EA" w:rsidRDefault="001C6F05" w:rsidP="001C6F05">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12216</w:t>
          </w:r>
          <w:r w:rsidRPr="009544A4">
            <w:rPr>
              <w:rFonts w:ascii="Palatino Linotype" w:eastAsia="Calibri" w:hAnsi="Palatino Linotype" w:cs="Tahoma"/>
              <w:sz w:val="22"/>
              <w:szCs w:val="22"/>
              <w:lang w:eastAsia="en-US"/>
            </w:rPr>
            <w:t>/INFOEM/IP/RR/2025</w:t>
          </w:r>
        </w:p>
      </w:tc>
    </w:tr>
    <w:tr w:rsidR="001C6F05" w:rsidRPr="00264223" w14:paraId="7C85E391" w14:textId="77777777" w:rsidTr="001C6F05">
      <w:trPr>
        <w:trHeight w:val="119"/>
      </w:trPr>
      <w:tc>
        <w:tcPr>
          <w:tcW w:w="2977" w:type="dxa"/>
        </w:tcPr>
        <w:p w14:paraId="4477C227" w14:textId="77777777" w:rsidR="001C6F05" w:rsidRPr="00026EBB" w:rsidRDefault="001C6F05"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41602C9B" w14:textId="77777777" w:rsidR="001C6F05" w:rsidRPr="00026EBB" w:rsidRDefault="001C6F05" w:rsidP="001C6F05">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219C195E" w14:textId="3E01DFA6" w:rsidR="001C6F05" w:rsidRPr="00474ED7" w:rsidRDefault="00A85F56" w:rsidP="001C6F05">
          <w:pPr>
            <w:tabs>
              <w:tab w:val="right" w:pos="8838"/>
            </w:tabs>
            <w:spacing w:line="276" w:lineRule="auto"/>
            <w:ind w:right="317"/>
            <w:jc w:val="both"/>
            <w:rPr>
              <w:rFonts w:ascii="Palatino Linotype" w:eastAsia="Calibri" w:hAnsi="Palatino Linotype" w:cs="Tahoma"/>
              <w:sz w:val="22"/>
              <w:szCs w:val="22"/>
              <w:lang w:eastAsia="en-US"/>
            </w:rPr>
          </w:pPr>
          <w:r w:rsidRPr="00A85F56">
            <w:rPr>
              <w:rFonts w:ascii="Palatino Linotype" w:eastAsia="Calibri" w:hAnsi="Palatino Linotype" w:cs="Tahoma"/>
              <w:sz w:val="22"/>
              <w:szCs w:val="22"/>
              <w:highlight w:val="black"/>
              <w:lang w:eastAsia="en-US"/>
            </w:rPr>
            <w:t>XXXXXXXXXXXXXXXXXXXXXXXXXXXXXXXXXXXXXXXXXXXXXXXXXXXXX</w:t>
          </w:r>
        </w:p>
      </w:tc>
    </w:tr>
    <w:tr w:rsidR="001C6F05" w:rsidRPr="00264223" w14:paraId="7FA8F5AC" w14:textId="77777777" w:rsidTr="001C6F05">
      <w:trPr>
        <w:trHeight w:val="234"/>
      </w:trPr>
      <w:tc>
        <w:tcPr>
          <w:tcW w:w="2977" w:type="dxa"/>
        </w:tcPr>
        <w:p w14:paraId="37782943" w14:textId="77777777" w:rsidR="001C6F05" w:rsidRPr="00026EBB" w:rsidRDefault="001C6F05"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17D3C549" w14:textId="77777777" w:rsidR="001C6F05" w:rsidRPr="00026EBB" w:rsidRDefault="001C6F05" w:rsidP="001C6F05">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3244421C" w14:textId="77777777" w:rsidR="001C6F05" w:rsidRPr="006273CC" w:rsidRDefault="001C6F05" w:rsidP="001C6F05">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1C6F05" w:rsidRPr="00264223" w14:paraId="3FA605DB" w14:textId="77777777" w:rsidTr="001C6F05">
      <w:trPr>
        <w:trHeight w:val="234"/>
      </w:trPr>
      <w:tc>
        <w:tcPr>
          <w:tcW w:w="2977" w:type="dxa"/>
        </w:tcPr>
        <w:p w14:paraId="0FE5CEF5" w14:textId="77777777" w:rsidR="001C6F05" w:rsidRPr="00026EBB" w:rsidRDefault="001C6F05"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7E415010" w14:textId="77777777" w:rsidR="001C6F05" w:rsidRPr="00026EBB" w:rsidRDefault="001C6F05" w:rsidP="001C6F05">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2AA96575" w14:textId="77777777" w:rsidR="001C6F05" w:rsidRDefault="001C6F05" w:rsidP="001C6F05">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5F3B7FEB" w14:textId="77777777" w:rsidR="001C6F05" w:rsidRPr="00E67009" w:rsidRDefault="001C6F05" w:rsidP="001C6F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8047811">
    <w:abstractNumId w:val="1"/>
  </w:num>
  <w:num w:numId="2" w16cid:durableId="596449274">
    <w:abstractNumId w:val="3"/>
  </w:num>
  <w:num w:numId="3" w16cid:durableId="1202205563">
    <w:abstractNumId w:val="0"/>
  </w:num>
  <w:num w:numId="4" w16cid:durableId="19786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05"/>
    <w:rsid w:val="000F74E6"/>
    <w:rsid w:val="001C6F05"/>
    <w:rsid w:val="002214B4"/>
    <w:rsid w:val="002F2EE8"/>
    <w:rsid w:val="00671577"/>
    <w:rsid w:val="00A85F56"/>
    <w:rsid w:val="00A87B71"/>
    <w:rsid w:val="00B5063F"/>
    <w:rsid w:val="00B70068"/>
    <w:rsid w:val="00BA33B1"/>
    <w:rsid w:val="00BA5AE5"/>
    <w:rsid w:val="00D17FF3"/>
    <w:rsid w:val="00D438CE"/>
    <w:rsid w:val="00F160DC"/>
    <w:rsid w:val="00F94640"/>
    <w:rsid w:val="00FA3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79F6"/>
  <w15:chartTrackingRefBased/>
  <w15:docId w15:val="{919CABDF-FEEF-4B85-8FF0-3EE493B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0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1C6F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1C6F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F05"/>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1C6F05"/>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6F05"/>
    <w:pPr>
      <w:ind w:left="720"/>
      <w:contextualSpacing/>
    </w:pPr>
  </w:style>
  <w:style w:type="paragraph" w:styleId="Encabezado">
    <w:name w:val="header"/>
    <w:basedOn w:val="Normal"/>
    <w:link w:val="EncabezadoCar"/>
    <w:uiPriority w:val="99"/>
    <w:unhideWhenUsed/>
    <w:rsid w:val="001C6F05"/>
    <w:pPr>
      <w:tabs>
        <w:tab w:val="center" w:pos="4419"/>
        <w:tab w:val="right" w:pos="8838"/>
      </w:tabs>
    </w:pPr>
  </w:style>
  <w:style w:type="character" w:customStyle="1" w:styleId="EncabezadoCar">
    <w:name w:val="Encabezado Car"/>
    <w:basedOn w:val="Fuentedeprrafopredeter"/>
    <w:link w:val="Encabezado"/>
    <w:uiPriority w:val="99"/>
    <w:rsid w:val="001C6F0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C6F05"/>
    <w:pPr>
      <w:tabs>
        <w:tab w:val="center" w:pos="4419"/>
        <w:tab w:val="right" w:pos="8838"/>
      </w:tabs>
    </w:pPr>
  </w:style>
  <w:style w:type="character" w:customStyle="1" w:styleId="PiedepginaCar">
    <w:name w:val="Pie de página Car"/>
    <w:basedOn w:val="Fuentedeprrafopredeter"/>
    <w:link w:val="Piedepgina"/>
    <w:uiPriority w:val="99"/>
    <w:rsid w:val="001C6F05"/>
    <w:rPr>
      <w:rFonts w:ascii="Times New Roman" w:eastAsia="Times New Roman" w:hAnsi="Times New Roman" w:cs="Times New Roman"/>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C6F05"/>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1C6F05"/>
    <w:rPr>
      <w:color w:val="0563C1" w:themeColor="hyperlink"/>
      <w:u w:val="single"/>
    </w:rPr>
  </w:style>
  <w:style w:type="table" w:styleId="Tablaconcuadrcula">
    <w:name w:val="Table Grid"/>
    <w:basedOn w:val="Tablanormal"/>
    <w:uiPriority w:val="59"/>
    <w:rsid w:val="001C6F0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F05"/>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1C6F0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1C6F0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1C6F05"/>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1C6F05"/>
    <w:pPr>
      <w:tabs>
        <w:tab w:val="right" w:leader="dot" w:pos="9034"/>
      </w:tabs>
      <w:spacing w:after="100" w:line="360" w:lineRule="auto"/>
      <w:jc w:val="both"/>
    </w:pPr>
  </w:style>
  <w:style w:type="paragraph" w:styleId="TDC2">
    <w:name w:val="toc 2"/>
    <w:basedOn w:val="Normal"/>
    <w:next w:val="Normal"/>
    <w:autoRedefine/>
    <w:uiPriority w:val="39"/>
    <w:unhideWhenUsed/>
    <w:rsid w:val="001C6F0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5257</Words>
  <Characters>28915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IVAN PEÑA VARA</cp:lastModifiedBy>
  <cp:revision>4</cp:revision>
  <cp:lastPrinted>2025-11-24T15:00:00Z</cp:lastPrinted>
  <dcterms:created xsi:type="dcterms:W3CDTF">2025-11-24T15:00:00Z</dcterms:created>
  <dcterms:modified xsi:type="dcterms:W3CDTF">2025-11-28T19:10:00Z</dcterms:modified>
</cp:coreProperties>
</file>