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85" w:rsidRPr="0024200F" w:rsidRDefault="00D14485" w:rsidP="00D14485">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seis de marzo de dos mil veinticinco.</w:t>
      </w:r>
      <w:bookmarkStart w:id="0" w:name="_GoBack"/>
      <w:bookmarkEnd w:id="0"/>
    </w:p>
    <w:p w:rsidR="00D14485" w:rsidRPr="0024200F" w:rsidRDefault="00D14485" w:rsidP="00D14485">
      <w:pPr>
        <w:spacing w:line="360" w:lineRule="auto"/>
        <w:jc w:val="both"/>
        <w:rPr>
          <w:rFonts w:ascii="Palatino Linotype" w:hAnsi="Palatino Linotype"/>
        </w:rPr>
      </w:pPr>
    </w:p>
    <w:p w:rsidR="00D14485" w:rsidRPr="002C3EC8" w:rsidRDefault="00D14485" w:rsidP="00D14485">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w:t>
      </w:r>
      <w:r w:rsidR="00991207">
        <w:rPr>
          <w:rFonts w:ascii="Palatino Linotype" w:hAnsi="Palatino Linotype" w:cs="Arial"/>
          <w:b/>
          <w:bCs/>
          <w:lang w:eastAsia="es-MX"/>
        </w:rPr>
        <w:t>0</w:t>
      </w:r>
      <w:r>
        <w:rPr>
          <w:rFonts w:ascii="Palatino Linotype" w:hAnsi="Palatino Linotype" w:cs="Arial"/>
          <w:b/>
          <w:bCs/>
          <w:lang w:eastAsia="es-MX"/>
        </w:rPr>
        <w:t>465/INFOEM/IP/RR/2025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Pr="00C14D07">
        <w:rPr>
          <w:rFonts w:ascii="Palatino Linotype" w:hAnsi="Palatino Linotype"/>
          <w:b/>
        </w:rPr>
        <w:t>“</w:t>
      </w:r>
      <w:r w:rsidR="00526DFC">
        <w:rPr>
          <w:rFonts w:ascii="Palatino Linotype" w:hAnsi="Palatino Linotype"/>
          <w:b/>
        </w:rPr>
        <w:t>XXXXXXXX</w:t>
      </w:r>
      <w:r w:rsidRPr="00C14D07">
        <w:rPr>
          <w:rFonts w:ascii="Palatino Linotype" w:hAnsi="Palatino Linotype"/>
          <w:b/>
        </w:rPr>
        <w:t>”</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6C3A2B">
        <w:rPr>
          <w:rFonts w:ascii="Palatino Linotype" w:hAnsi="Palatino Linotype"/>
          <w:b/>
        </w:rPr>
        <w:t>Ayuntamiento de la Paz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D14485" w:rsidRPr="002C3EC8" w:rsidRDefault="00D14485" w:rsidP="00D14485">
      <w:pPr>
        <w:tabs>
          <w:tab w:val="left" w:pos="1701"/>
        </w:tabs>
        <w:spacing w:before="240" w:line="360" w:lineRule="auto"/>
        <w:jc w:val="both"/>
        <w:rPr>
          <w:rFonts w:ascii="Palatino Linotype" w:hAnsi="Palatino Linotype" w:cs="Arial"/>
          <w:b/>
        </w:rPr>
      </w:pPr>
    </w:p>
    <w:p w:rsidR="00D14485" w:rsidRDefault="00D14485" w:rsidP="00D14485">
      <w:pPr>
        <w:pStyle w:val="infoemcitas"/>
        <w:jc w:val="center"/>
        <w:rPr>
          <w:b/>
          <w:bCs/>
          <w:i w:val="0"/>
          <w:iCs/>
          <w:sz w:val="28"/>
          <w:szCs w:val="28"/>
        </w:rPr>
      </w:pPr>
      <w:r w:rsidRPr="002C3EC8">
        <w:rPr>
          <w:b/>
          <w:bCs/>
          <w:i w:val="0"/>
          <w:iCs/>
          <w:sz w:val="28"/>
          <w:szCs w:val="28"/>
        </w:rPr>
        <w:t>A N T E C E D E N T E S   D E L   A S U N T O</w:t>
      </w:r>
    </w:p>
    <w:p w:rsidR="00D14485" w:rsidRPr="002C3EC8" w:rsidRDefault="00D14485" w:rsidP="00D14485">
      <w:pPr>
        <w:pStyle w:val="infoemcitas"/>
        <w:jc w:val="center"/>
        <w:rPr>
          <w:b/>
          <w:bCs/>
          <w:i w:val="0"/>
          <w:iCs/>
          <w:sz w:val="28"/>
          <w:szCs w:val="28"/>
        </w:rPr>
      </w:pPr>
    </w:p>
    <w:p w:rsidR="00D14485" w:rsidRPr="002C3EC8" w:rsidRDefault="00D14485" w:rsidP="00D14485">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D14485" w:rsidRPr="00D705FF" w:rsidRDefault="00D14485" w:rsidP="00D14485">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2B4923">
        <w:rPr>
          <w:rFonts w:ascii="Palatino Linotype" w:hAnsi="Palatino Linotype" w:cs="Arial"/>
        </w:rPr>
        <w:t>dieciséis</w:t>
      </w:r>
      <w:r>
        <w:rPr>
          <w:rFonts w:ascii="Palatino Linotype" w:hAnsi="Palatino Linotype" w:cs="Arial"/>
        </w:rPr>
        <w:t xml:space="preserve"> de enero de dos mil veinticinco,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 xml:space="preserve">presentó a través </w:t>
      </w:r>
      <w:r>
        <w:rPr>
          <w:rFonts w:ascii="Palatino Linotype" w:hAnsi="Palatino Linotype" w:cs="Arial"/>
        </w:rPr>
        <w:t xml:space="preserve">del </w:t>
      </w:r>
      <w:r w:rsidRPr="00D705FF">
        <w:rPr>
          <w:rFonts w:ascii="Palatino Linotype" w:hAnsi="Palatino Linotype" w:cs="Arial"/>
        </w:rPr>
        <w:t>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2B4923">
        <w:rPr>
          <w:rFonts w:ascii="Palatino Linotype" w:hAnsi="Palatino Linotype" w:cs="Arial"/>
          <w:b/>
        </w:rPr>
        <w:t>00049/LAPAZ/IP/2025</w:t>
      </w:r>
      <w:r w:rsidRPr="00D705FF">
        <w:rPr>
          <w:rFonts w:ascii="Palatino Linotype" w:hAnsi="Palatino Linotype" w:cs="Arial"/>
          <w:b/>
        </w:rPr>
        <w:t xml:space="preserve">, </w:t>
      </w:r>
      <w:r w:rsidRPr="00D705FF">
        <w:rPr>
          <w:rFonts w:ascii="Palatino Linotype" w:hAnsi="Palatino Linotype" w:cs="Arial"/>
        </w:rPr>
        <w:t xml:space="preserve">mediante la cual solicitó información en el tenor </w:t>
      </w:r>
      <w:proofErr w:type="gramStart"/>
      <w:r w:rsidRPr="00D705FF">
        <w:rPr>
          <w:rFonts w:ascii="Palatino Linotype" w:hAnsi="Palatino Linotype" w:cs="Arial"/>
        </w:rPr>
        <w:t>siguiente</w:t>
      </w:r>
      <w:proofErr w:type="gramEnd"/>
      <w:r w:rsidRPr="00D705FF">
        <w:rPr>
          <w:rFonts w:ascii="Palatino Linotype" w:hAnsi="Palatino Linotype" w:cs="Arial"/>
        </w:rPr>
        <w:t>:</w:t>
      </w:r>
    </w:p>
    <w:p w:rsidR="00D14485" w:rsidRPr="001C7F6F" w:rsidRDefault="00D14485" w:rsidP="00D14485">
      <w:pPr>
        <w:pStyle w:val="INFOEM"/>
        <w:rPr>
          <w:lang w:val="es-ES_tradnl" w:eastAsia="es-ES"/>
        </w:rPr>
      </w:pPr>
      <w:r w:rsidRPr="00D705FF">
        <w:rPr>
          <w:lang w:val="es-ES_tradnl" w:eastAsia="es-ES"/>
        </w:rPr>
        <w:t>“</w:t>
      </w:r>
      <w:r w:rsidR="002B4923" w:rsidRPr="002B4923">
        <w:rPr>
          <w:lang w:val="es-ES" w:eastAsia="es-ES"/>
        </w:rPr>
        <w:t xml:space="preserve">quiero que me </w:t>
      </w:r>
      <w:proofErr w:type="spellStart"/>
      <w:r w:rsidR="002B4923" w:rsidRPr="002B4923">
        <w:rPr>
          <w:lang w:val="es-ES" w:eastAsia="es-ES"/>
        </w:rPr>
        <w:t>envie</w:t>
      </w:r>
      <w:proofErr w:type="spellEnd"/>
      <w:r w:rsidR="002B4923" w:rsidRPr="002B4923">
        <w:rPr>
          <w:lang w:val="es-ES" w:eastAsia="es-ES"/>
        </w:rPr>
        <w:t xml:space="preserve"> el monto total de lo que se ha recaudado por concepto de pago de predio a la fecha, del 01 de enero 2025 a la fecha</w:t>
      </w:r>
      <w:r w:rsidRPr="00D705FF">
        <w:rPr>
          <w:lang w:val="es-ES_tradnl" w:eastAsia="es-ES"/>
        </w:rPr>
        <w:t>” (Sic)</w:t>
      </w:r>
    </w:p>
    <w:p w:rsidR="00D14485" w:rsidRPr="002C3EC8" w:rsidRDefault="00D14485" w:rsidP="00D14485">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r>
        <w:rPr>
          <w:rFonts w:ascii="Palatino Linotype" w:eastAsia="Palatino Linotype" w:hAnsi="Palatino Linotype" w:cs="Palatino Linotype"/>
          <w:b/>
          <w:sz w:val="22"/>
          <w:szCs w:val="22"/>
          <w:lang w:eastAsia="es-MX"/>
        </w:rPr>
        <w:t>.</w:t>
      </w:r>
    </w:p>
    <w:p w:rsidR="00D14485" w:rsidRDefault="00D14485" w:rsidP="00D14485">
      <w:pPr>
        <w:spacing w:before="240" w:line="360" w:lineRule="auto"/>
        <w:jc w:val="both"/>
        <w:rPr>
          <w:rFonts w:ascii="Palatino Linotype" w:hAnsi="Palatino Linotype" w:cs="Arial"/>
          <w:b/>
          <w:sz w:val="28"/>
        </w:rPr>
      </w:pPr>
    </w:p>
    <w:p w:rsidR="00D14485" w:rsidRDefault="00D14485" w:rsidP="00D14485">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D14485" w:rsidRPr="009062B2" w:rsidRDefault="00D14485" w:rsidP="00D14485">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w:t>
      </w:r>
      <w:r w:rsidR="002B4923">
        <w:rPr>
          <w:rFonts w:ascii="Palatino Linotype" w:hAnsi="Palatino Linotype" w:cs="Arial"/>
          <w:b/>
          <w:sz w:val="24"/>
        </w:rPr>
        <w:t>e</w:t>
      </w:r>
      <w:r>
        <w:rPr>
          <w:rFonts w:ascii="Palatino Linotype" w:hAnsi="Palatino Linotype" w:cs="Arial"/>
          <w:b/>
          <w:sz w:val="24"/>
        </w:rPr>
        <w:t xml:space="preserve"> de enero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D14485" w:rsidRPr="00E818A5" w:rsidRDefault="00D14485" w:rsidP="00D14485">
      <w:pPr>
        <w:spacing w:line="360" w:lineRule="auto"/>
        <w:jc w:val="both"/>
        <w:rPr>
          <w:rFonts w:ascii="Palatino Linotype" w:hAnsi="Palatino Linotype" w:cs="Arial"/>
        </w:rPr>
      </w:pPr>
    </w:p>
    <w:p w:rsidR="00D14485" w:rsidRDefault="00D14485" w:rsidP="00D14485">
      <w:pPr>
        <w:ind w:left="567" w:right="567"/>
        <w:jc w:val="both"/>
        <w:rPr>
          <w:rFonts w:ascii="Palatino Linotype" w:hAnsi="Palatino Linotype" w:cs="Arial"/>
          <w:i/>
        </w:rPr>
      </w:pPr>
      <w:r>
        <w:rPr>
          <w:rFonts w:ascii="Palatino Linotype" w:hAnsi="Palatino Linotype" w:cs="Arial"/>
          <w:i/>
        </w:rPr>
        <w:t>“</w:t>
      </w:r>
      <w:r w:rsidR="002B4923" w:rsidRPr="002B4923">
        <w:rPr>
          <w:rFonts w:ascii="Palatino Linotype" w:hAnsi="Palatino Linotype" w:cs="Arial"/>
          <w:i/>
        </w:rPr>
        <w:t>RESPUESTA</w:t>
      </w:r>
      <w:r w:rsidRPr="008125B1">
        <w:rPr>
          <w:rFonts w:ascii="Palatino Linotype" w:hAnsi="Palatino Linotype" w:cs="Arial"/>
          <w:i/>
        </w:rPr>
        <w:t xml:space="preserve"> </w:t>
      </w:r>
      <w:r w:rsidRPr="00667998">
        <w:rPr>
          <w:rFonts w:ascii="Palatino Linotype" w:hAnsi="Palatino Linotype" w:cs="Arial"/>
          <w:i/>
        </w:rPr>
        <w:t>“(Sic).</w:t>
      </w:r>
    </w:p>
    <w:p w:rsidR="00D14485" w:rsidRDefault="00D14485" w:rsidP="00D14485">
      <w:pPr>
        <w:spacing w:line="360" w:lineRule="auto"/>
        <w:ind w:right="567"/>
        <w:jc w:val="both"/>
        <w:rPr>
          <w:rFonts w:ascii="Palatino Linotype" w:hAnsi="Palatino Linotype" w:cs="Arial"/>
        </w:rPr>
      </w:pPr>
    </w:p>
    <w:p w:rsidR="00D14485" w:rsidRDefault="00D14485" w:rsidP="002B4923">
      <w:pPr>
        <w:spacing w:line="360" w:lineRule="auto"/>
        <w:jc w:val="both"/>
        <w:rPr>
          <w:rFonts w:ascii="Palatino Linotype" w:hAnsi="Palatino Linotype" w:cs="Arial"/>
        </w:rPr>
      </w:pPr>
      <w:r>
        <w:rPr>
          <w:rFonts w:ascii="Palatino Linotype" w:hAnsi="Palatino Linotype" w:cs="Arial"/>
        </w:rPr>
        <w:t xml:space="preserve"> Adicionalmente, la parte Recurrente adjuntó los archivos electrónicos denominados “</w:t>
      </w:r>
      <w:r w:rsidR="002B4923" w:rsidRPr="002B4923">
        <w:rPr>
          <w:rFonts w:ascii="Palatino Linotype" w:hAnsi="Palatino Linotype" w:cs="Arial"/>
          <w:b/>
          <w:i/>
        </w:rPr>
        <w:t>00049resp.pdf</w:t>
      </w:r>
      <w:r w:rsidR="002B4923">
        <w:rPr>
          <w:rFonts w:ascii="Palatino Linotype" w:hAnsi="Palatino Linotype" w:cs="Arial"/>
          <w:b/>
          <w:i/>
        </w:rPr>
        <w:t>” y “</w:t>
      </w:r>
      <w:r w:rsidR="002B4923" w:rsidRPr="002B4923">
        <w:rPr>
          <w:rFonts w:ascii="Palatino Linotype" w:hAnsi="Palatino Linotype" w:cs="Arial"/>
          <w:b/>
          <w:i/>
        </w:rPr>
        <w:t>SOLICITUD DE RESPUESTA 00049.pdf</w:t>
      </w:r>
      <w:r w:rsidRPr="008125B1">
        <w:rPr>
          <w:rFonts w:ascii="Palatino Linotype" w:hAnsi="Palatino Linotype" w:cs="Arial"/>
          <w:b/>
          <w:i/>
        </w:rPr>
        <w:t>”</w:t>
      </w:r>
      <w:r>
        <w:rPr>
          <w:rFonts w:ascii="Palatino Linotype" w:hAnsi="Palatino Linotype" w:cs="Arial"/>
        </w:rPr>
        <w:t xml:space="preserve">, mismos que no se reproducen por ser del conocimiento de las partes, sin embargo, sería materia de estudio en el </w:t>
      </w:r>
      <w:r w:rsidRPr="008125B1">
        <w:rPr>
          <w:rFonts w:ascii="Palatino Linotype" w:hAnsi="Palatino Linotype" w:cs="Arial"/>
          <w:b/>
        </w:rPr>
        <w:t>Considerando</w:t>
      </w:r>
      <w:r>
        <w:rPr>
          <w:rFonts w:ascii="Palatino Linotype" w:hAnsi="Palatino Linotype" w:cs="Arial"/>
        </w:rPr>
        <w:t xml:space="preserve"> respectivo. </w:t>
      </w:r>
    </w:p>
    <w:p w:rsidR="00D14485" w:rsidRDefault="00D14485" w:rsidP="00D14485">
      <w:pPr>
        <w:spacing w:line="360" w:lineRule="auto"/>
        <w:jc w:val="both"/>
        <w:rPr>
          <w:rFonts w:ascii="Palatino Linotype" w:hAnsi="Palatino Linotype" w:cs="Arial"/>
        </w:rPr>
      </w:pPr>
    </w:p>
    <w:p w:rsidR="00D14485" w:rsidRPr="002C3EC8" w:rsidRDefault="00D14485" w:rsidP="00D14485">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D14485" w:rsidRDefault="00D14485" w:rsidP="00D14485">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2B4923">
        <w:rPr>
          <w:rFonts w:ascii="Palatino Linotype" w:hAnsi="Palatino Linotype" w:cs="Arial"/>
          <w:b/>
        </w:rPr>
        <w:t>tres</w:t>
      </w:r>
      <w:r>
        <w:rPr>
          <w:rFonts w:ascii="Palatino Linotype" w:hAnsi="Palatino Linotype" w:cs="Arial"/>
          <w:b/>
        </w:rPr>
        <w:t xml:space="preserve"> de febrero de dos mil veinticinco</w:t>
      </w:r>
      <w:r w:rsidRPr="002C3EC8">
        <w:rPr>
          <w:rFonts w:ascii="Palatino Linotype" w:hAnsi="Palatino Linotype" w:cs="Arial"/>
        </w:rPr>
        <w:t xml:space="preserve">, </w:t>
      </w:r>
      <w:r w:rsidR="002B4923">
        <w:rPr>
          <w:rFonts w:ascii="Palatino Linotype" w:hAnsi="Palatino Linotype" w:cs="Arial"/>
        </w:rPr>
        <w:t xml:space="preserve">mismo que se tuvo por presentado al día hábil siguiente,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991207">
        <w:rPr>
          <w:rFonts w:ascii="Palatino Linotype" w:hAnsi="Palatino Linotype" w:cs="Arial"/>
          <w:b/>
        </w:rPr>
        <w:t>0</w:t>
      </w:r>
      <w:r>
        <w:rPr>
          <w:rFonts w:ascii="Palatino Linotype" w:hAnsi="Palatino Linotype" w:cs="Arial"/>
          <w:b/>
        </w:rPr>
        <w:t>465/INFOEM/IP/RR/2025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D14485" w:rsidRDefault="00D14485" w:rsidP="00D14485">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D14485" w:rsidRPr="007E4713" w:rsidRDefault="00D14485" w:rsidP="00D14485">
      <w:pPr>
        <w:pStyle w:val="INFOEM"/>
      </w:pPr>
      <w:r w:rsidRPr="007E4713">
        <w:t>“</w:t>
      </w:r>
      <w:r w:rsidR="002B4923" w:rsidRPr="002B4923">
        <w:t>SE ME ENTREGA LA INFORMACION INCOMPLETA....NO ESTOY CONFORME CON LO QUE SE ME ENTREGA</w:t>
      </w:r>
      <w:r>
        <w:t>” (sic)</w:t>
      </w:r>
    </w:p>
    <w:p w:rsidR="00D14485" w:rsidRPr="0033050B" w:rsidRDefault="00D14485" w:rsidP="00D14485">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lastRenderedPageBreak/>
        <w:t>Razones o motivos de inconformidad</w:t>
      </w:r>
    </w:p>
    <w:p w:rsidR="00D14485" w:rsidRPr="009068C9" w:rsidRDefault="00D14485" w:rsidP="00D14485">
      <w:pPr>
        <w:pStyle w:val="INFOEM"/>
      </w:pPr>
      <w:r>
        <w:t>“</w:t>
      </w:r>
      <w:r w:rsidRPr="008125B1">
        <w:t>SE ME ENTREGA LA INFORMACION INCOMPLETA....NO ESTOY CONFORME CON LO QUE SE ME ENTREGA</w:t>
      </w:r>
      <w:r>
        <w:t>” (sic)</w:t>
      </w:r>
    </w:p>
    <w:p w:rsidR="00D14485" w:rsidRDefault="00D14485" w:rsidP="00D14485">
      <w:pPr>
        <w:spacing w:line="360" w:lineRule="auto"/>
        <w:jc w:val="both"/>
        <w:rPr>
          <w:rFonts w:ascii="Palatino Linotype" w:hAnsi="Palatino Linotype" w:cs="Arial"/>
        </w:rPr>
      </w:pPr>
    </w:p>
    <w:p w:rsidR="00D14485" w:rsidRPr="002C3EC8" w:rsidRDefault="00D14485" w:rsidP="00D14485">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14485" w:rsidRDefault="00D14485" w:rsidP="00D14485">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seis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D14485" w:rsidRPr="004C20B7" w:rsidRDefault="00D14485" w:rsidP="00D14485">
      <w:pPr>
        <w:spacing w:before="240" w:line="360" w:lineRule="auto"/>
        <w:jc w:val="both"/>
        <w:rPr>
          <w:rFonts w:ascii="Palatino Linotype" w:hAnsi="Palatino Linotype" w:cs="Arial"/>
          <w:sz w:val="28"/>
        </w:rPr>
      </w:pPr>
    </w:p>
    <w:p w:rsidR="00D14485" w:rsidRPr="00E52C83" w:rsidRDefault="00D14485" w:rsidP="00D14485">
      <w:pPr>
        <w:pStyle w:val="Prrafodelista"/>
        <w:spacing w:line="360" w:lineRule="auto"/>
        <w:ind w:left="0"/>
        <w:jc w:val="both"/>
        <w:rPr>
          <w:rFonts w:ascii="Palatino Linotype" w:hAnsi="Palatino Linotype" w:cs="Arial"/>
          <w:b/>
          <w:sz w:val="28"/>
          <w:szCs w:val="28"/>
        </w:rPr>
      </w:pPr>
      <w:r w:rsidRPr="00673ACE">
        <w:rPr>
          <w:rFonts w:ascii="Palatino Linotype" w:hAnsi="Palatino Linotype" w:cs="Arial"/>
          <w:b/>
          <w:sz w:val="28"/>
        </w:rPr>
        <w:t>QUINTO</w:t>
      </w:r>
      <w:r w:rsidRPr="00673ACE">
        <w:rPr>
          <w:rFonts w:ascii="Palatino Linotype" w:hAnsi="Palatino Linotype" w:cs="Arial"/>
          <w:b/>
          <w:sz w:val="28"/>
          <w:szCs w:val="28"/>
        </w:rPr>
        <w:t>. De la etapa de instrucción.</w:t>
      </w:r>
    </w:p>
    <w:p w:rsidR="00D14485" w:rsidRPr="00590166" w:rsidRDefault="00D14485" w:rsidP="00D14485">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2B4923">
        <w:rPr>
          <w:rFonts w:ascii="Palatino Linotype" w:hAnsi="Palatino Linotype" w:cs="Arial"/>
        </w:rPr>
        <w:t>once</w:t>
      </w:r>
      <w:r>
        <w:rPr>
          <w:rFonts w:ascii="Palatino Linotype" w:hAnsi="Palatino Linotype" w:cs="Arial"/>
        </w:rPr>
        <w:t xml:space="preserve"> de febrero de dos mil veinticinco</w:t>
      </w:r>
      <w:r w:rsidRPr="00D32665">
        <w:rPr>
          <w:rFonts w:ascii="Palatino Linotype" w:hAnsi="Palatino Linotype" w:cs="Arial"/>
        </w:rPr>
        <w:t>, por medio del archivo electrónico “</w:t>
      </w:r>
      <w:r w:rsidR="002B4923" w:rsidRPr="002B4923">
        <w:rPr>
          <w:rFonts w:ascii="Palatino Linotype" w:hAnsi="Palatino Linotype" w:cs="Arial"/>
          <w:b/>
          <w:i/>
        </w:rPr>
        <w:t>00049resp (1).</w:t>
      </w:r>
      <w:proofErr w:type="spellStart"/>
      <w:r w:rsidR="002B4923" w:rsidRPr="002B4923">
        <w:rPr>
          <w:rFonts w:ascii="Palatino Linotype" w:hAnsi="Palatino Linotype" w:cs="Arial"/>
          <w:b/>
          <w:i/>
        </w:rPr>
        <w:t>pdf</w:t>
      </w:r>
      <w:proofErr w:type="spellEnd"/>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Pr>
          <w:rFonts w:ascii="Palatino Linotype" w:hAnsi="Palatino Linotype" w:cs="Arial"/>
        </w:rPr>
        <w:t>veinte de febrero de dos mil veinticinco</w:t>
      </w:r>
      <w:r w:rsidRPr="00D32665">
        <w:rPr>
          <w:rFonts w:ascii="Palatino Linotype" w:hAnsi="Palatino Linotype" w:cs="Arial"/>
          <w:b/>
          <w:i/>
        </w:rPr>
        <w:t>.</w:t>
      </w:r>
    </w:p>
    <w:p w:rsidR="00D14485" w:rsidRPr="00D32665" w:rsidRDefault="00D14485" w:rsidP="00D14485">
      <w:pPr>
        <w:spacing w:line="360" w:lineRule="auto"/>
        <w:jc w:val="both"/>
        <w:rPr>
          <w:rFonts w:ascii="Palatino Linotype" w:hAnsi="Palatino Linotype"/>
        </w:rPr>
      </w:pPr>
    </w:p>
    <w:p w:rsidR="00D14485" w:rsidRPr="00D32665" w:rsidRDefault="00D14485" w:rsidP="00D14485">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xml:space="preserve">; todo lo </w:t>
      </w:r>
      <w:r w:rsidRPr="00D32665">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rsidR="00D14485" w:rsidRDefault="00D14485" w:rsidP="00D14485">
      <w:pPr>
        <w:spacing w:line="360" w:lineRule="auto"/>
        <w:jc w:val="both"/>
        <w:rPr>
          <w:rFonts w:ascii="Palatino Linotype" w:hAnsi="Palatino Linotype" w:cs="Arial"/>
          <w:b/>
          <w:sz w:val="28"/>
          <w:szCs w:val="28"/>
        </w:rPr>
      </w:pPr>
    </w:p>
    <w:p w:rsidR="00D14485" w:rsidRPr="002C3EC8" w:rsidRDefault="00D14485" w:rsidP="00D14485">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14485" w:rsidRDefault="00D14485" w:rsidP="00D14485">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Pr>
          <w:rFonts w:ascii="Palatino Linotype" w:hAnsi="Palatino Linotype" w:cs="Arial"/>
          <w:b/>
        </w:rPr>
        <w:t>veintiséis de febrero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w:t>
      </w:r>
      <w:r>
        <w:rPr>
          <w:rFonts w:ascii="Palatino Linotype" w:hAnsi="Palatino Linotype" w:cs="Arial"/>
        </w:rPr>
        <w:t>solución que en derecho proceda.</w:t>
      </w:r>
    </w:p>
    <w:p w:rsidR="00D14485" w:rsidRPr="009A3812" w:rsidRDefault="00D14485" w:rsidP="00D14485">
      <w:pPr>
        <w:spacing w:line="360" w:lineRule="auto"/>
        <w:jc w:val="both"/>
        <w:rPr>
          <w:rFonts w:ascii="Palatino Linotype" w:hAnsi="Palatino Linotype" w:cs="Arial"/>
        </w:rPr>
      </w:pPr>
    </w:p>
    <w:p w:rsidR="00D14485" w:rsidRPr="0024200F" w:rsidRDefault="00D14485" w:rsidP="00D14485">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D14485" w:rsidRPr="00825F67" w:rsidRDefault="00D14485" w:rsidP="00D14485">
      <w:pPr>
        <w:spacing w:line="360" w:lineRule="auto"/>
        <w:ind w:right="49"/>
        <w:jc w:val="both"/>
        <w:rPr>
          <w:rFonts w:ascii="Palatino Linotype" w:hAnsi="Palatino Linotype"/>
          <w:szCs w:val="28"/>
        </w:rPr>
      </w:pPr>
    </w:p>
    <w:p w:rsidR="00D14485" w:rsidRPr="002C3EC8" w:rsidRDefault="00D14485" w:rsidP="00D14485">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14485" w:rsidRPr="007C6AB6" w:rsidRDefault="00D14485" w:rsidP="00D14485">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C6AB6">
        <w:rPr>
          <w:rFonts w:ascii="Palatino Linotype" w:hAnsi="Palatino Linotype"/>
        </w:rPr>
        <w:lastRenderedPageBreak/>
        <w:t>Acceso a la Información Pública y Protección de Datos Personales del Estado de México y Municipios.</w:t>
      </w:r>
    </w:p>
    <w:p w:rsidR="00D14485" w:rsidRPr="002C3EC8" w:rsidRDefault="00D14485" w:rsidP="00D14485">
      <w:pPr>
        <w:spacing w:before="240" w:line="360" w:lineRule="auto"/>
        <w:jc w:val="both"/>
        <w:rPr>
          <w:rFonts w:ascii="Palatino Linotype" w:eastAsia="Calibri" w:hAnsi="Palatino Linotype"/>
          <w:b/>
          <w:color w:val="000000" w:themeColor="text1"/>
        </w:rPr>
      </w:pPr>
    </w:p>
    <w:p w:rsidR="00D14485" w:rsidRPr="002C3EC8" w:rsidRDefault="00D14485" w:rsidP="00D14485">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D14485" w:rsidRDefault="00D14485" w:rsidP="00D14485">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14485" w:rsidRDefault="00D14485" w:rsidP="00D14485">
      <w:pPr>
        <w:pStyle w:val="Prrafodelista"/>
        <w:autoSpaceDE w:val="0"/>
        <w:autoSpaceDN w:val="0"/>
        <w:adjustRightInd w:val="0"/>
        <w:spacing w:before="240" w:after="160" w:line="360" w:lineRule="auto"/>
        <w:ind w:left="0"/>
        <w:jc w:val="both"/>
        <w:rPr>
          <w:rFonts w:ascii="Palatino Linotype" w:hAnsi="Palatino Linotype" w:cs="Arial"/>
          <w:b/>
          <w:sz w:val="28"/>
        </w:rPr>
      </w:pPr>
    </w:p>
    <w:p w:rsidR="00D14485" w:rsidRPr="002C3EC8" w:rsidRDefault="00D14485" w:rsidP="00D1448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D14485" w:rsidRPr="002C3EC8" w:rsidRDefault="00D14485" w:rsidP="00D14485">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14485" w:rsidRPr="002C3EC8" w:rsidRDefault="00D14485" w:rsidP="00D14485">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D14485" w:rsidRDefault="00D14485" w:rsidP="00D14485">
      <w:pPr>
        <w:tabs>
          <w:tab w:val="left" w:pos="709"/>
        </w:tabs>
        <w:spacing w:before="240" w:line="360" w:lineRule="auto"/>
        <w:ind w:right="51"/>
        <w:jc w:val="both"/>
        <w:rPr>
          <w:rFonts w:ascii="Palatino Linotype" w:hAnsi="Palatino Linotype"/>
          <w:b/>
          <w:sz w:val="28"/>
          <w:szCs w:val="28"/>
        </w:rPr>
      </w:pPr>
    </w:p>
    <w:p w:rsidR="00D14485" w:rsidRPr="002C3EC8" w:rsidRDefault="00D14485" w:rsidP="00D14485">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D14485" w:rsidRPr="007379EE" w:rsidRDefault="00D14485" w:rsidP="00D1448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D14485" w:rsidRDefault="00D14485" w:rsidP="00D14485">
      <w:pPr>
        <w:autoSpaceDE w:val="0"/>
        <w:autoSpaceDN w:val="0"/>
        <w:adjustRightInd w:val="0"/>
        <w:ind w:right="567"/>
        <w:rPr>
          <w:rFonts w:ascii="Palatino Linotype" w:eastAsia="Calibri" w:hAnsi="Palatino Linotype" w:cs="Arial"/>
        </w:rPr>
      </w:pPr>
    </w:p>
    <w:p w:rsidR="00D14485" w:rsidRDefault="00D14485" w:rsidP="00D1448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D14485" w:rsidRDefault="00D14485" w:rsidP="00D14485">
      <w:pPr>
        <w:pStyle w:val="Citas"/>
      </w:pPr>
      <w:r w:rsidRPr="002E7A81">
        <w:t xml:space="preserve">Artículo 179. El recurso de revisión es un medio de protección que la Ley otorga a los particulares, para hacer valer su derecho de acceso a la información pública, y procederá en contra de las siguientes causas: </w:t>
      </w:r>
    </w:p>
    <w:p w:rsidR="00D14485" w:rsidRDefault="00D14485" w:rsidP="00D14485">
      <w:pPr>
        <w:pStyle w:val="Citas"/>
        <w:numPr>
          <w:ilvl w:val="0"/>
          <w:numId w:val="3"/>
        </w:numPr>
        <w:spacing w:line="240" w:lineRule="auto"/>
      </w:pPr>
      <w:r w:rsidRPr="002E7A81">
        <w:t xml:space="preserve">La negativa a la información solicitada; </w:t>
      </w:r>
    </w:p>
    <w:p w:rsidR="00D14485" w:rsidRDefault="00D14485" w:rsidP="00D14485">
      <w:pPr>
        <w:pStyle w:val="Citas"/>
        <w:numPr>
          <w:ilvl w:val="0"/>
          <w:numId w:val="3"/>
        </w:numPr>
        <w:spacing w:line="240" w:lineRule="auto"/>
      </w:pPr>
      <w:r w:rsidRPr="002E7A81">
        <w:t xml:space="preserve">La clasificación de la información; </w:t>
      </w:r>
    </w:p>
    <w:p w:rsidR="00D14485" w:rsidRDefault="00D14485" w:rsidP="00D14485">
      <w:pPr>
        <w:pStyle w:val="Citas"/>
        <w:numPr>
          <w:ilvl w:val="0"/>
          <w:numId w:val="3"/>
        </w:numPr>
        <w:spacing w:line="240" w:lineRule="auto"/>
      </w:pPr>
      <w:r w:rsidRPr="002E7A81">
        <w:t xml:space="preserve">La declaración de inexistencia de la información; </w:t>
      </w:r>
    </w:p>
    <w:p w:rsidR="00D14485" w:rsidRDefault="00D14485" w:rsidP="00D14485">
      <w:pPr>
        <w:pStyle w:val="Citas"/>
        <w:numPr>
          <w:ilvl w:val="0"/>
          <w:numId w:val="3"/>
        </w:numPr>
        <w:spacing w:line="240" w:lineRule="auto"/>
      </w:pPr>
      <w:r w:rsidRPr="002E7A81">
        <w:t xml:space="preserve">La declaración de incompetencia por el sujeto obligado; </w:t>
      </w:r>
    </w:p>
    <w:p w:rsidR="00D14485" w:rsidRPr="00673ACE" w:rsidRDefault="00D14485" w:rsidP="00D14485">
      <w:pPr>
        <w:pStyle w:val="Citas"/>
        <w:numPr>
          <w:ilvl w:val="0"/>
          <w:numId w:val="3"/>
        </w:numPr>
        <w:spacing w:line="240" w:lineRule="auto"/>
        <w:rPr>
          <w:b/>
        </w:rPr>
      </w:pPr>
      <w:r w:rsidRPr="00673ACE">
        <w:rPr>
          <w:b/>
        </w:rPr>
        <w:t xml:space="preserve">La entrega de información incompleta; </w:t>
      </w:r>
    </w:p>
    <w:p w:rsidR="00D14485" w:rsidRPr="000E31EC" w:rsidRDefault="00D14485" w:rsidP="00D14485">
      <w:pPr>
        <w:pStyle w:val="Citas"/>
        <w:numPr>
          <w:ilvl w:val="0"/>
          <w:numId w:val="3"/>
        </w:numPr>
        <w:spacing w:line="240" w:lineRule="auto"/>
      </w:pPr>
      <w:r w:rsidRPr="000E31EC">
        <w:t xml:space="preserve">La entrega de información que no corresponda con lo solicitado; </w:t>
      </w:r>
    </w:p>
    <w:p w:rsidR="00D14485" w:rsidRDefault="00D14485" w:rsidP="00D14485">
      <w:pPr>
        <w:pStyle w:val="Citas"/>
        <w:numPr>
          <w:ilvl w:val="0"/>
          <w:numId w:val="3"/>
        </w:numPr>
        <w:spacing w:line="240" w:lineRule="auto"/>
      </w:pPr>
      <w:r w:rsidRPr="002E7A81">
        <w:t xml:space="preserve">La falta de respuesta a una solicitud de acceso a la información; </w:t>
      </w:r>
    </w:p>
    <w:p w:rsidR="00D14485" w:rsidRDefault="00D14485" w:rsidP="00D14485">
      <w:pPr>
        <w:pStyle w:val="Citas"/>
        <w:numPr>
          <w:ilvl w:val="0"/>
          <w:numId w:val="3"/>
        </w:numPr>
        <w:spacing w:line="240" w:lineRule="auto"/>
      </w:pPr>
      <w:r w:rsidRPr="002E7A81">
        <w:t xml:space="preserve">La notificación, entrega o puesta a disposición de información en una modalidad o formato distinto al solicitado; </w:t>
      </w:r>
    </w:p>
    <w:p w:rsidR="00D14485" w:rsidRDefault="00D14485" w:rsidP="00D14485">
      <w:pPr>
        <w:pStyle w:val="Citas"/>
        <w:numPr>
          <w:ilvl w:val="0"/>
          <w:numId w:val="3"/>
        </w:numPr>
        <w:spacing w:line="240" w:lineRule="auto"/>
      </w:pPr>
      <w:r w:rsidRPr="002E7A81">
        <w:lastRenderedPageBreak/>
        <w:t xml:space="preserve">La entrega o puesta a disposición de información en un formato incomprensible y/o no accesible para el solicitante; </w:t>
      </w:r>
    </w:p>
    <w:p w:rsidR="00D14485" w:rsidRDefault="00D14485" w:rsidP="00D14485">
      <w:pPr>
        <w:pStyle w:val="Citas"/>
        <w:numPr>
          <w:ilvl w:val="0"/>
          <w:numId w:val="3"/>
        </w:numPr>
        <w:spacing w:line="240" w:lineRule="auto"/>
      </w:pPr>
      <w:r w:rsidRPr="002E7A81">
        <w:t xml:space="preserve">Los costos o tiempos de entrega de la información; </w:t>
      </w:r>
    </w:p>
    <w:p w:rsidR="00D14485" w:rsidRDefault="00D14485" w:rsidP="00D14485">
      <w:pPr>
        <w:pStyle w:val="Citas"/>
        <w:numPr>
          <w:ilvl w:val="0"/>
          <w:numId w:val="3"/>
        </w:numPr>
        <w:spacing w:line="240" w:lineRule="auto"/>
      </w:pPr>
      <w:r w:rsidRPr="002E7A81">
        <w:t xml:space="preserve">La falta de trámite a una solicitud; </w:t>
      </w:r>
    </w:p>
    <w:p w:rsidR="00D14485" w:rsidRDefault="00D14485" w:rsidP="00D14485">
      <w:pPr>
        <w:pStyle w:val="Citas"/>
        <w:numPr>
          <w:ilvl w:val="0"/>
          <w:numId w:val="3"/>
        </w:numPr>
        <w:spacing w:line="240" w:lineRule="auto"/>
      </w:pPr>
      <w:r w:rsidRPr="002E7A81">
        <w:t xml:space="preserve">La negativa a permitir la consulta directa de la información; </w:t>
      </w:r>
    </w:p>
    <w:p w:rsidR="00D14485" w:rsidRDefault="00D14485" w:rsidP="00D14485">
      <w:pPr>
        <w:pStyle w:val="Citas"/>
        <w:numPr>
          <w:ilvl w:val="0"/>
          <w:numId w:val="3"/>
        </w:numPr>
        <w:spacing w:line="240" w:lineRule="auto"/>
      </w:pPr>
      <w:r w:rsidRPr="002E7A81">
        <w:t xml:space="preserve">La falta, deficiencia o insuficiencia de la fundamentación y/o motivación en la respuesta; y </w:t>
      </w:r>
    </w:p>
    <w:p w:rsidR="00D14485" w:rsidRDefault="00D14485" w:rsidP="00D14485">
      <w:pPr>
        <w:pStyle w:val="Citas"/>
        <w:numPr>
          <w:ilvl w:val="0"/>
          <w:numId w:val="3"/>
        </w:numPr>
        <w:spacing w:line="240" w:lineRule="auto"/>
      </w:pPr>
      <w:r w:rsidRPr="002E7A81">
        <w:t xml:space="preserve">La orientación a un trámite específico. </w:t>
      </w:r>
    </w:p>
    <w:p w:rsidR="00D14485" w:rsidRPr="007379EE" w:rsidRDefault="00D14485" w:rsidP="00D14485">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D14485" w:rsidRDefault="00D14485" w:rsidP="00D14485">
      <w:pPr>
        <w:autoSpaceDE w:val="0"/>
        <w:autoSpaceDN w:val="0"/>
        <w:adjustRightInd w:val="0"/>
        <w:ind w:right="567"/>
        <w:rPr>
          <w:rFonts w:ascii="Palatino Linotype" w:eastAsia="Calibri" w:hAnsi="Palatino Linotype" w:cs="Arial"/>
        </w:rPr>
      </w:pPr>
    </w:p>
    <w:p w:rsidR="00D14485" w:rsidRDefault="00D14485" w:rsidP="00D14485">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D14485" w:rsidRPr="009A3812" w:rsidRDefault="00D14485" w:rsidP="00D14485">
      <w:pPr>
        <w:tabs>
          <w:tab w:val="left" w:pos="1828"/>
        </w:tabs>
        <w:spacing w:line="360" w:lineRule="auto"/>
        <w:jc w:val="both"/>
        <w:rPr>
          <w:rFonts w:ascii="Palatino Linotype" w:hAnsi="Palatino Linotype" w:cs="Tahoma"/>
          <w:bCs/>
        </w:rPr>
      </w:pPr>
    </w:p>
    <w:p w:rsidR="00D14485" w:rsidRDefault="00012062" w:rsidP="00012062">
      <w:pPr>
        <w:pStyle w:val="Prrafodelista"/>
        <w:numPr>
          <w:ilvl w:val="0"/>
          <w:numId w:val="2"/>
        </w:numPr>
        <w:tabs>
          <w:tab w:val="left" w:pos="1828"/>
        </w:tabs>
        <w:spacing w:line="360" w:lineRule="auto"/>
        <w:jc w:val="both"/>
        <w:rPr>
          <w:rFonts w:ascii="Palatino Linotype" w:hAnsi="Palatino Linotype" w:cs="Tahoma"/>
          <w:bCs/>
        </w:rPr>
      </w:pPr>
      <w:r>
        <w:rPr>
          <w:rFonts w:ascii="Palatino Linotype" w:hAnsi="Palatino Linotype" w:cs="Tahoma"/>
          <w:bCs/>
        </w:rPr>
        <w:t>M</w:t>
      </w:r>
      <w:r w:rsidRPr="00012062">
        <w:rPr>
          <w:rFonts w:ascii="Palatino Linotype" w:hAnsi="Palatino Linotype" w:cs="Tahoma"/>
          <w:bCs/>
        </w:rPr>
        <w:t>onto total de lo que se ha recaudado por concepto de pago de predio, del 01 a</w:t>
      </w:r>
      <w:r>
        <w:rPr>
          <w:rFonts w:ascii="Palatino Linotype" w:hAnsi="Palatino Linotype" w:cs="Tahoma"/>
          <w:bCs/>
        </w:rPr>
        <w:t>l 16 de enero de 2025</w:t>
      </w:r>
      <w:r w:rsidR="00D14485">
        <w:rPr>
          <w:rFonts w:ascii="Palatino Linotype" w:hAnsi="Palatino Linotype" w:cs="Tahoma"/>
          <w:bCs/>
        </w:rPr>
        <w:t xml:space="preserve">. </w:t>
      </w:r>
    </w:p>
    <w:p w:rsidR="00D14485" w:rsidRDefault="00D14485" w:rsidP="00D14485">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2B4923">
        <w:rPr>
          <w:rFonts w:ascii="Palatino Linotype" w:hAnsi="Palatino Linotype" w:cs="Arial"/>
          <w:b/>
        </w:rPr>
        <w:t>00049/LAPAZ/IP/2025</w:t>
      </w:r>
      <w:r w:rsidRPr="001106D5">
        <w:rPr>
          <w:rFonts w:ascii="Palatino Linotype" w:hAnsi="Palatino Linotype" w:cs="Arial"/>
          <w:b/>
        </w:rPr>
        <w:t xml:space="preserve">; </w:t>
      </w:r>
      <w:r>
        <w:rPr>
          <w:rFonts w:ascii="Palatino Linotype" w:hAnsi="Palatino Linotype" w:cs="Arial"/>
        </w:rPr>
        <w:t>a través de los archivos electrónicos siguientes</w:t>
      </w:r>
      <w:r w:rsidRPr="001106D5">
        <w:rPr>
          <w:rFonts w:ascii="Palatino Linotype" w:hAnsi="Palatino Linotype" w:cs="Arial"/>
          <w:b/>
        </w:rPr>
        <w:t>:</w:t>
      </w:r>
    </w:p>
    <w:p w:rsidR="00D14485" w:rsidRDefault="00012062" w:rsidP="00012062">
      <w:pPr>
        <w:pStyle w:val="Prrafodelista"/>
        <w:numPr>
          <w:ilvl w:val="0"/>
          <w:numId w:val="6"/>
        </w:numPr>
        <w:spacing w:before="240" w:line="360" w:lineRule="auto"/>
        <w:jc w:val="both"/>
        <w:rPr>
          <w:rFonts w:ascii="Palatino Linotype" w:hAnsi="Palatino Linotype" w:cs="Arial"/>
        </w:rPr>
      </w:pPr>
      <w:r w:rsidRPr="00012062">
        <w:rPr>
          <w:rFonts w:ascii="Palatino Linotype" w:hAnsi="Palatino Linotype" w:cs="Arial"/>
          <w:b/>
          <w:i/>
        </w:rPr>
        <w:t>00049resp.pdf</w:t>
      </w:r>
      <w:r w:rsidR="00D14485">
        <w:rPr>
          <w:rFonts w:ascii="Palatino Linotype" w:hAnsi="Palatino Linotype" w:cs="Arial"/>
        </w:rPr>
        <w:t xml:space="preserve">: contante de </w:t>
      </w:r>
      <w:r>
        <w:rPr>
          <w:rFonts w:ascii="Palatino Linotype" w:hAnsi="Palatino Linotype" w:cs="Arial"/>
        </w:rPr>
        <w:t>una</w:t>
      </w:r>
      <w:r w:rsidR="00D14485">
        <w:rPr>
          <w:rFonts w:ascii="Palatino Linotype" w:hAnsi="Palatino Linotype" w:cs="Arial"/>
        </w:rPr>
        <w:t xml:space="preserve"> foja, en formato </w:t>
      </w:r>
      <w:proofErr w:type="spellStart"/>
      <w:r w:rsidR="00D14485">
        <w:rPr>
          <w:rFonts w:ascii="Palatino Linotype" w:hAnsi="Palatino Linotype" w:cs="Arial"/>
        </w:rPr>
        <w:t>pdf</w:t>
      </w:r>
      <w:proofErr w:type="spellEnd"/>
      <w:r w:rsidR="00D14485">
        <w:rPr>
          <w:rFonts w:ascii="Palatino Linotype" w:hAnsi="Palatino Linotype" w:cs="Arial"/>
        </w:rPr>
        <w:t>, contiene el oficio número LAPAZ/PM/</w:t>
      </w:r>
      <w:r>
        <w:rPr>
          <w:rFonts w:ascii="Palatino Linotype" w:hAnsi="Palatino Linotype" w:cs="Arial"/>
        </w:rPr>
        <w:t>INGRESOS/2025/0009</w:t>
      </w:r>
      <w:r w:rsidR="00D14485">
        <w:rPr>
          <w:rFonts w:ascii="Palatino Linotype" w:hAnsi="Palatino Linotype" w:cs="Arial"/>
        </w:rPr>
        <w:t>,  de fecha veint</w:t>
      </w:r>
      <w:r>
        <w:rPr>
          <w:rFonts w:ascii="Palatino Linotype" w:hAnsi="Palatino Linotype" w:cs="Arial"/>
        </w:rPr>
        <w:t>e</w:t>
      </w:r>
      <w:r w:rsidR="00D14485">
        <w:rPr>
          <w:rFonts w:ascii="Palatino Linotype" w:hAnsi="Palatino Linotype" w:cs="Arial"/>
        </w:rPr>
        <w:t xml:space="preserve"> de enero de dos mil veinticinco, firmado por la </w:t>
      </w:r>
      <w:r w:rsidR="00D14485" w:rsidRPr="00012062">
        <w:rPr>
          <w:rFonts w:ascii="Palatino Linotype" w:hAnsi="Palatino Linotype" w:cs="Arial"/>
          <w:b/>
        </w:rPr>
        <w:t xml:space="preserve">Directora de </w:t>
      </w:r>
      <w:r w:rsidRPr="00012062">
        <w:rPr>
          <w:rFonts w:ascii="Palatino Linotype" w:hAnsi="Palatino Linotype" w:cs="Arial"/>
          <w:b/>
        </w:rPr>
        <w:t>Ingresos</w:t>
      </w:r>
      <w:r w:rsidR="00D14485">
        <w:rPr>
          <w:rFonts w:ascii="Palatino Linotype" w:hAnsi="Palatino Linotype" w:cs="Arial"/>
        </w:rPr>
        <w:t>, en el que refiere lo siguiente:</w:t>
      </w:r>
    </w:p>
    <w:p w:rsidR="00D14485" w:rsidRDefault="00D14485" w:rsidP="00D14485">
      <w:pPr>
        <w:pStyle w:val="Citas"/>
      </w:pPr>
      <w:r>
        <w:t>“…</w:t>
      </w:r>
    </w:p>
    <w:p w:rsidR="00D14485" w:rsidRPr="00012062" w:rsidRDefault="00012062" w:rsidP="00012062">
      <w:pPr>
        <w:pStyle w:val="Citas"/>
        <w:ind w:firstLine="565"/>
      </w:pPr>
      <w:r>
        <w:lastRenderedPageBreak/>
        <w:t xml:space="preserve">Al respecto me permito informarle que se ha recaudado la cantidad de </w:t>
      </w:r>
      <w:r>
        <w:rPr>
          <w:b/>
        </w:rPr>
        <w:t xml:space="preserve">$12, 122,634.50 </w:t>
      </w:r>
      <w:r>
        <w:t>(doce millones ciento veinte y dos mil seiscientos treinta y cuatro pesos 50/100 --------- M.N.), del 2 de enero al 18 de enero de 2025.</w:t>
      </w:r>
    </w:p>
    <w:p w:rsidR="00D14485" w:rsidRDefault="00D14485" w:rsidP="00D14485">
      <w:pPr>
        <w:pStyle w:val="Citas"/>
      </w:pPr>
      <w:r>
        <w:t>…” (Sic)</w:t>
      </w:r>
    </w:p>
    <w:p w:rsidR="00D14485" w:rsidRPr="00BA3E40" w:rsidRDefault="00012062" w:rsidP="00012062">
      <w:pPr>
        <w:pStyle w:val="Prrafodelista"/>
        <w:numPr>
          <w:ilvl w:val="0"/>
          <w:numId w:val="6"/>
        </w:numPr>
        <w:spacing w:before="240" w:line="360" w:lineRule="auto"/>
        <w:jc w:val="both"/>
        <w:rPr>
          <w:rFonts w:ascii="Palatino Linotype" w:hAnsi="Palatino Linotype" w:cs="Arial"/>
        </w:rPr>
      </w:pPr>
      <w:r w:rsidRPr="00012062">
        <w:rPr>
          <w:rFonts w:ascii="Palatino Linotype" w:hAnsi="Palatino Linotype" w:cs="Arial"/>
          <w:b/>
          <w:i/>
        </w:rPr>
        <w:t>SOLICITUD DE RESPUESTA 00049.pdf</w:t>
      </w:r>
      <w:r w:rsidR="00D14485">
        <w:rPr>
          <w:rFonts w:ascii="Palatino Linotype" w:hAnsi="Palatino Linotype" w:cs="Arial"/>
        </w:rPr>
        <w:t xml:space="preserve">: constante de una foja, en formato </w:t>
      </w:r>
      <w:proofErr w:type="spellStart"/>
      <w:r w:rsidR="00D14485">
        <w:rPr>
          <w:rFonts w:ascii="Palatino Linotype" w:hAnsi="Palatino Linotype" w:cs="Arial"/>
        </w:rPr>
        <w:t>pdf</w:t>
      </w:r>
      <w:proofErr w:type="spellEnd"/>
      <w:r w:rsidR="00D14485">
        <w:rPr>
          <w:rFonts w:ascii="Palatino Linotype" w:hAnsi="Palatino Linotype" w:cs="Arial"/>
        </w:rPr>
        <w:t xml:space="preserve">, contiene la respuesta de la solicitud, sustancialmente la Titular de Unidad de Transparencia remite al recurrente el archivo antes descrito. </w:t>
      </w:r>
    </w:p>
    <w:p w:rsidR="00D14485" w:rsidRDefault="00D14485" w:rsidP="00D14485">
      <w:pPr>
        <w:spacing w:line="360" w:lineRule="auto"/>
        <w:jc w:val="both"/>
        <w:rPr>
          <w:rFonts w:ascii="Palatino Linotype" w:hAnsi="Palatino Linotype" w:cs="Arial"/>
          <w:bCs/>
        </w:rPr>
      </w:pPr>
    </w:p>
    <w:p w:rsidR="00D14485" w:rsidRDefault="00D14485" w:rsidP="00D14485">
      <w:pPr>
        <w:spacing w:line="360" w:lineRule="auto"/>
        <w:jc w:val="both"/>
        <w:rPr>
          <w:rFonts w:ascii="Palatino Linotype" w:hAnsi="Palatino Linotype" w:cs="Arial"/>
          <w:bCs/>
        </w:rPr>
      </w:pPr>
    </w:p>
    <w:p w:rsidR="00D14485" w:rsidRDefault="00D14485" w:rsidP="00D14485">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Pr="00273C8E">
        <w:rPr>
          <w:rFonts w:ascii="Palatino Linotype" w:hAnsi="Palatino Linotype"/>
          <w:i/>
        </w:rPr>
        <w:t>SE ME ENTREGA LA INFORMACION INCOMPLETA....NO ESTOY CONFORME CON LO QUE SE ME ENTREGA</w:t>
      </w:r>
      <w:r>
        <w:rPr>
          <w:rFonts w:ascii="Palatino Linotype" w:hAnsi="Palatino Linotype"/>
          <w:i/>
        </w:rPr>
        <w:t>” (Sic).</w:t>
      </w:r>
    </w:p>
    <w:p w:rsidR="00D14485" w:rsidRDefault="00D14485" w:rsidP="00D14485">
      <w:pPr>
        <w:spacing w:line="360" w:lineRule="auto"/>
        <w:jc w:val="both"/>
        <w:rPr>
          <w:rFonts w:ascii="Palatino Linotype" w:hAnsi="Palatino Linotype"/>
          <w:i/>
        </w:rPr>
      </w:pPr>
    </w:p>
    <w:p w:rsidR="00D14485" w:rsidRPr="000A1740" w:rsidRDefault="00D14485" w:rsidP="00D14485">
      <w:pPr>
        <w:spacing w:line="360" w:lineRule="auto"/>
        <w:jc w:val="both"/>
        <w:rPr>
          <w:rFonts w:ascii="Palatino Linotype" w:hAnsi="Palatino Linotype"/>
        </w:rPr>
      </w:pPr>
      <w:r w:rsidRPr="000A1740">
        <w:rPr>
          <w:rFonts w:ascii="Palatino Linotype" w:hAnsi="Palatino Linotype"/>
          <w:lang w:val="es-ES_tradnl"/>
        </w:rPr>
        <w:t xml:space="preserve">Asimismo, en la etapa de manifestaciones </w:t>
      </w:r>
      <w:r w:rsidRPr="000A1740">
        <w:rPr>
          <w:rFonts w:ascii="Palatino Linotype" w:hAnsi="Palatino Linotype"/>
        </w:rPr>
        <w:t xml:space="preserve">se advierte que el </w:t>
      </w:r>
      <w:r w:rsidRPr="000A1740">
        <w:rPr>
          <w:rFonts w:ascii="Palatino Linotype" w:hAnsi="Palatino Linotype"/>
          <w:b/>
        </w:rPr>
        <w:t>Sujeto Obligado</w:t>
      </w:r>
      <w:r w:rsidRPr="000A1740">
        <w:rPr>
          <w:rFonts w:ascii="Palatino Linotype" w:hAnsi="Palatino Linotype"/>
        </w:rPr>
        <w:t xml:space="preserve"> rindió su informe justificado mediante el archivo electrónico denominado “</w:t>
      </w:r>
      <w:r w:rsidRPr="0060492F">
        <w:rPr>
          <w:rFonts w:ascii="Palatino Linotype" w:hAnsi="Palatino Linotype"/>
          <w:b/>
          <w:i/>
        </w:rPr>
        <w:t>00008resp.pdf</w:t>
      </w:r>
      <w:r>
        <w:rPr>
          <w:rFonts w:ascii="Palatino Linotype" w:hAnsi="Palatino Linotype"/>
          <w:b/>
          <w:i/>
        </w:rPr>
        <w:t>”</w:t>
      </w:r>
      <w:r w:rsidRPr="000A1740">
        <w:rPr>
          <w:rFonts w:ascii="Palatino Linotype" w:hAnsi="Palatino Linotype"/>
        </w:rPr>
        <w:t>,</w:t>
      </w:r>
      <w:r>
        <w:rPr>
          <w:rFonts w:ascii="Palatino Linotype" w:hAnsi="Palatino Linotype"/>
        </w:rPr>
        <w:t xml:space="preserve"> </w:t>
      </w:r>
      <w:r w:rsidRPr="000A1740">
        <w:rPr>
          <w:rFonts w:ascii="Palatino Linotype" w:hAnsi="Palatino Linotype"/>
        </w:rPr>
        <w:t xml:space="preserve"> en el que sustancialmente ratifica su </w:t>
      </w:r>
      <w:r>
        <w:rPr>
          <w:rFonts w:ascii="Palatino Linotype" w:hAnsi="Palatino Linotype"/>
        </w:rPr>
        <w:t>respuesta.</w:t>
      </w:r>
      <w:r w:rsidRPr="000A1740">
        <w:rPr>
          <w:rFonts w:ascii="Palatino Linotype" w:hAnsi="Palatino Linotype"/>
        </w:rPr>
        <w:t xml:space="preserve"> </w:t>
      </w:r>
    </w:p>
    <w:p w:rsidR="00D14485" w:rsidRDefault="00D14485" w:rsidP="00D14485">
      <w:pPr>
        <w:rPr>
          <w:rFonts w:ascii="Palatino Linotype" w:eastAsia="Calibri" w:hAnsi="Palatino Linotype" w:cs="Calibri"/>
          <w:lang w:val="es-ES_tradnl" w:eastAsia="es-MX"/>
        </w:rPr>
      </w:pPr>
    </w:p>
    <w:p w:rsidR="00D14485" w:rsidRDefault="00D14485" w:rsidP="00D14485">
      <w:pPr>
        <w:spacing w:line="360" w:lineRule="auto"/>
        <w:ind w:right="214"/>
        <w:jc w:val="both"/>
        <w:rPr>
          <w:rFonts w:ascii="Palatino Linotype" w:hAnsi="Palatino Linotype"/>
        </w:rPr>
      </w:pPr>
      <w:r>
        <w:rPr>
          <w:rFonts w:ascii="Palatino Linotype" w:hAnsi="Palatino Linotype"/>
        </w:rPr>
        <w:t>En ese orden de ideas, el Reglamento Orgánico Municipal del Ayuntamiento de La Paz</w:t>
      </w:r>
      <w:r w:rsidRPr="00112C93">
        <w:rPr>
          <w:rFonts w:ascii="Palatino Linotype" w:hAnsi="Palatino Linotype"/>
        </w:rPr>
        <w:t xml:space="preserve">, </w:t>
      </w:r>
      <w:r>
        <w:rPr>
          <w:rFonts w:ascii="Palatino Linotype" w:hAnsi="Palatino Linotype"/>
        </w:rPr>
        <w:t>establece que la Dirección de Servicios Públicos y Mejoramiento Urbano cuenta con un Departamento de Servicios de Limpia, tal como se cita:</w:t>
      </w:r>
    </w:p>
    <w:p w:rsidR="00D14485" w:rsidRPr="00112C93" w:rsidRDefault="00D14485" w:rsidP="00D14485">
      <w:pPr>
        <w:spacing w:line="360" w:lineRule="auto"/>
        <w:ind w:right="214"/>
        <w:jc w:val="center"/>
        <w:rPr>
          <w:rFonts w:ascii="Palatino Linotype" w:hAnsi="Palatino Linotype"/>
        </w:rPr>
      </w:pPr>
    </w:p>
    <w:p w:rsidR="00D14485" w:rsidRDefault="00D14485" w:rsidP="00D14485">
      <w:pPr>
        <w:spacing w:before="240" w:after="240" w:line="276" w:lineRule="auto"/>
        <w:ind w:left="567" w:right="900"/>
        <w:jc w:val="both"/>
        <w:rPr>
          <w:rFonts w:ascii="Palatino Linotype" w:eastAsia="Palatino Linotype" w:hAnsi="Palatino Linotype" w:cs="Palatino Linotype"/>
          <w:i/>
          <w:sz w:val="22"/>
          <w:szCs w:val="22"/>
        </w:rPr>
      </w:pPr>
      <w:r w:rsidRPr="00797C7C">
        <w:rPr>
          <w:rFonts w:ascii="Palatino Linotype" w:eastAsia="Palatino Linotype" w:hAnsi="Palatino Linotype" w:cs="Palatino Linotype"/>
          <w:b/>
          <w:i/>
          <w:sz w:val="22"/>
          <w:szCs w:val="22"/>
        </w:rPr>
        <w:t xml:space="preserve">ARTÍCULO 12.- </w:t>
      </w:r>
      <w:r w:rsidRPr="00797C7C">
        <w:rPr>
          <w:rFonts w:ascii="Palatino Linotype" w:eastAsia="Palatino Linotype" w:hAnsi="Palatino Linotype" w:cs="Palatino Linotype"/>
          <w:i/>
          <w:sz w:val="22"/>
          <w:szCs w:val="22"/>
        </w:rPr>
        <w:t xml:space="preserve">Para el ejercicio de sus atribuciones y con el propósito de garantizar un despacho eficiente, eficaz y expedito de las responsabilidades administrativas asignadas a la Presidencia Municipal como órgano ejecutivo del Ayuntamiento, la </w:t>
      </w:r>
      <w:r w:rsidRPr="00797C7C">
        <w:rPr>
          <w:rFonts w:ascii="Palatino Linotype" w:eastAsia="Palatino Linotype" w:hAnsi="Palatino Linotype" w:cs="Palatino Linotype"/>
          <w:i/>
          <w:sz w:val="22"/>
          <w:szCs w:val="22"/>
        </w:rPr>
        <w:lastRenderedPageBreak/>
        <w:t>administración pública municipal centralizada estará integrada por las siguientes dependencias:</w:t>
      </w:r>
    </w:p>
    <w:p w:rsidR="00D14485" w:rsidRPr="00797C7C" w:rsidRDefault="00D14485" w:rsidP="00D14485">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rsidR="00D14485" w:rsidRDefault="00012062" w:rsidP="00D14485">
      <w:pPr>
        <w:spacing w:before="240" w:after="240" w:line="276" w:lineRule="auto"/>
        <w:ind w:left="567" w:right="900"/>
        <w:jc w:val="both"/>
        <w:rPr>
          <w:rFonts w:ascii="Palatino Linotype" w:eastAsia="Palatino Linotype" w:hAnsi="Palatino Linotype" w:cs="Palatino Linotype"/>
          <w:b/>
          <w:i/>
          <w:sz w:val="22"/>
          <w:szCs w:val="22"/>
        </w:rPr>
      </w:pPr>
      <w:r w:rsidRPr="00012062">
        <w:rPr>
          <w:rFonts w:ascii="Palatino Linotype" w:eastAsia="Palatino Linotype" w:hAnsi="Palatino Linotype" w:cs="Palatino Linotype"/>
          <w:b/>
          <w:i/>
          <w:sz w:val="22"/>
          <w:szCs w:val="22"/>
        </w:rPr>
        <w:t>III.- TESORERÍA MUNICIPAL.</w:t>
      </w:r>
    </w:p>
    <w:p w:rsidR="00012062" w:rsidRPr="00012062" w:rsidRDefault="00012062" w:rsidP="00D14485">
      <w:pPr>
        <w:spacing w:before="240" w:after="240" w:line="276" w:lineRule="auto"/>
        <w:ind w:left="567" w:right="900"/>
        <w:jc w:val="both"/>
        <w:rPr>
          <w:rFonts w:ascii="Palatino Linotype" w:eastAsia="Palatino Linotype" w:hAnsi="Palatino Linotype" w:cs="Palatino Linotype"/>
          <w:i/>
          <w:sz w:val="22"/>
          <w:szCs w:val="22"/>
          <w:u w:val="single"/>
        </w:rPr>
      </w:pPr>
      <w:r w:rsidRPr="00012062">
        <w:rPr>
          <w:rFonts w:ascii="Palatino Linotype" w:eastAsia="Palatino Linotype" w:hAnsi="Palatino Linotype" w:cs="Palatino Linotype"/>
          <w:i/>
          <w:sz w:val="22"/>
          <w:szCs w:val="22"/>
          <w:u w:val="single"/>
        </w:rPr>
        <w:t>III.III.- Dirección de Ingresos.</w:t>
      </w:r>
    </w:p>
    <w:p w:rsidR="00012062" w:rsidRDefault="00012062" w:rsidP="00D14485">
      <w:pPr>
        <w:spacing w:before="240" w:after="240" w:line="276" w:lineRule="auto"/>
        <w:ind w:left="567" w:right="900"/>
        <w:jc w:val="both"/>
        <w:rPr>
          <w:rFonts w:ascii="Palatino Linotype" w:eastAsia="Palatino Linotype" w:hAnsi="Palatino Linotype" w:cs="Palatino Linotype"/>
          <w:i/>
          <w:sz w:val="22"/>
          <w:szCs w:val="22"/>
        </w:rPr>
      </w:pPr>
    </w:p>
    <w:p w:rsidR="00012062" w:rsidRDefault="00012062" w:rsidP="00D14485">
      <w:pPr>
        <w:spacing w:before="240" w:after="240" w:line="276" w:lineRule="auto"/>
        <w:ind w:left="567" w:right="900"/>
        <w:jc w:val="both"/>
        <w:rPr>
          <w:rFonts w:ascii="Palatino Linotype" w:eastAsia="Palatino Linotype" w:hAnsi="Palatino Linotype" w:cs="Palatino Linotype"/>
          <w:i/>
          <w:sz w:val="22"/>
          <w:szCs w:val="22"/>
        </w:rPr>
      </w:pPr>
      <w:r w:rsidRPr="00012062">
        <w:rPr>
          <w:rFonts w:ascii="Palatino Linotype" w:eastAsia="Palatino Linotype" w:hAnsi="Palatino Linotype" w:cs="Palatino Linotype"/>
          <w:b/>
          <w:i/>
          <w:sz w:val="22"/>
          <w:szCs w:val="22"/>
        </w:rPr>
        <w:t xml:space="preserve">ARTÍCULO 54.- La Dirección de Ingresos, </w:t>
      </w:r>
      <w:r w:rsidRPr="00012062">
        <w:rPr>
          <w:rFonts w:ascii="Palatino Linotype" w:eastAsia="Palatino Linotype" w:hAnsi="Palatino Linotype" w:cs="Palatino Linotype"/>
          <w:i/>
          <w:sz w:val="22"/>
          <w:szCs w:val="22"/>
        </w:rPr>
        <w:t>por conducto de su Titular y mediante delegación de funciones, a través de los Titulares de las unidades administrativas que tiene adscritas, tendrá las atribuciones siguientes:</w:t>
      </w:r>
    </w:p>
    <w:p w:rsidR="00FE2133" w:rsidRPr="00FE2133" w:rsidRDefault="00FE2133" w:rsidP="00D14485">
      <w:pPr>
        <w:spacing w:before="240" w:after="240" w:line="276" w:lineRule="auto"/>
        <w:ind w:left="567" w:right="900"/>
        <w:jc w:val="both"/>
        <w:rPr>
          <w:rFonts w:ascii="Palatino Linotype" w:eastAsia="Palatino Linotype" w:hAnsi="Palatino Linotype" w:cs="Palatino Linotype"/>
          <w:i/>
          <w:sz w:val="22"/>
          <w:szCs w:val="22"/>
          <w:u w:val="single"/>
        </w:rPr>
      </w:pPr>
      <w:r w:rsidRPr="00FE2133">
        <w:rPr>
          <w:rFonts w:ascii="Palatino Linotype" w:eastAsia="Palatino Linotype" w:hAnsi="Palatino Linotype" w:cs="Palatino Linotype"/>
          <w:i/>
          <w:sz w:val="22"/>
          <w:szCs w:val="22"/>
          <w:u w:val="single"/>
        </w:rPr>
        <w:t xml:space="preserve">I.- Coordinar y organizar acciones de recaudación, concentración y custodia que correspondan al municipio;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II.- Vigilar, organizar las acciones de recaudación, concentración y custodia de los </w:t>
      </w:r>
      <w:r>
        <w:rPr>
          <w:rFonts w:ascii="Palatino Linotype" w:eastAsia="Palatino Linotype" w:hAnsi="Palatino Linotype" w:cs="Palatino Linotype"/>
          <w:i/>
          <w:sz w:val="22"/>
          <w:szCs w:val="22"/>
        </w:rPr>
        <w:t>créditos f</w:t>
      </w:r>
      <w:r w:rsidRPr="00FE2133">
        <w:rPr>
          <w:rFonts w:ascii="Palatino Linotype" w:eastAsia="Palatino Linotype" w:hAnsi="Palatino Linotype" w:cs="Palatino Linotype"/>
          <w:i/>
          <w:sz w:val="22"/>
          <w:szCs w:val="22"/>
        </w:rPr>
        <w:t xml:space="preserve">iscales propios de los contribuyentes conforme a la ley de Ingresos Municipales, de la misma forma responsabilizarse de otros conceptos que deba percibir el municipio por cuenta propia; </w:t>
      </w:r>
    </w:p>
    <w:p w:rsidR="00FE2133" w:rsidRPr="00FE2133" w:rsidRDefault="00FE2133" w:rsidP="00FE2133">
      <w:pPr>
        <w:spacing w:before="240" w:after="240" w:line="276" w:lineRule="auto"/>
        <w:ind w:left="567" w:right="900"/>
        <w:jc w:val="both"/>
        <w:rPr>
          <w:rFonts w:ascii="Palatino Linotype" w:eastAsia="Palatino Linotype" w:hAnsi="Palatino Linotype" w:cs="Palatino Linotype"/>
          <w:i/>
          <w:sz w:val="22"/>
          <w:szCs w:val="22"/>
          <w:u w:val="single"/>
        </w:rPr>
      </w:pPr>
      <w:r w:rsidRPr="00FE2133">
        <w:rPr>
          <w:rFonts w:ascii="Palatino Linotype" w:eastAsia="Palatino Linotype" w:hAnsi="Palatino Linotype" w:cs="Palatino Linotype"/>
          <w:i/>
          <w:sz w:val="22"/>
          <w:szCs w:val="22"/>
          <w:u w:val="single"/>
        </w:rPr>
        <w:t xml:space="preserve">III.- Realizar acciones de manera continua de depósito de la recaudación en las cuentas bancarias que determine la Tesorería Municipal;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IV.- Llevar a cabo un análisis y evaluación financiera de los recaudos, definiendo las posibles causas de variaciones y proponiendo medidas y estrategias administrativas que procedan; </w:t>
      </w:r>
    </w:p>
    <w:p w:rsidR="00FE2133" w:rsidRPr="00FE2133" w:rsidRDefault="00FE2133" w:rsidP="00FE2133">
      <w:pPr>
        <w:spacing w:before="240" w:after="240" w:line="276" w:lineRule="auto"/>
        <w:ind w:left="567" w:right="900"/>
        <w:jc w:val="both"/>
        <w:rPr>
          <w:rFonts w:ascii="Palatino Linotype" w:eastAsia="Palatino Linotype" w:hAnsi="Palatino Linotype" w:cs="Palatino Linotype"/>
          <w:i/>
          <w:sz w:val="22"/>
          <w:szCs w:val="22"/>
          <w:u w:val="single"/>
        </w:rPr>
      </w:pPr>
      <w:r w:rsidRPr="00FE2133">
        <w:rPr>
          <w:rFonts w:ascii="Palatino Linotype" w:eastAsia="Palatino Linotype" w:hAnsi="Palatino Linotype" w:cs="Palatino Linotype"/>
          <w:i/>
          <w:sz w:val="22"/>
          <w:szCs w:val="22"/>
          <w:u w:val="single"/>
        </w:rPr>
        <w:t xml:space="preserve">V.- Vigilar que los ingresos municipales se entreguen a la Tesorería Municipal conforme a los procedimientos contables y disposiciones legales aplicables;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VI.- Ejecutar acciones de control y revisión de las cantidades que por concepto de participaciones federales y estatales le confieran al municipio, determinando, los procedimientos para su tramitación;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lastRenderedPageBreak/>
        <w:t xml:space="preserve">VII.- Celebrar convenios con los contribuyentes respecto a los pagos parciales o diferidos de los impuestos, las contribuciones especiales y los derechos municipales, con previa autorización de la Tesorería Municipal y comprobación de la garantía del interés fiscal;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VIII.- Supervisar y evaluar las operaciones que realizan las oficinas receptoras;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IX.- Proyectar las políticas de planeación y organización de las oficinas recaudadoras, mediante manuales de procedimientos y organización para su debido funcionamiento en la recaudación, control y seguimiento de ingresos;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X.- Integrar el anteproyecto anual de la Ley de Ingresos Municipal y someterlos a supervisión de la Tesorería; </w:t>
      </w:r>
    </w:p>
    <w:p w:rsidR="00FE2133" w:rsidRPr="00FE2133" w:rsidRDefault="00FE2133" w:rsidP="00FE2133">
      <w:pPr>
        <w:spacing w:before="240" w:after="240" w:line="276" w:lineRule="auto"/>
        <w:ind w:left="567" w:right="900"/>
        <w:jc w:val="both"/>
        <w:rPr>
          <w:rFonts w:ascii="Palatino Linotype" w:eastAsia="Palatino Linotype" w:hAnsi="Palatino Linotype" w:cs="Palatino Linotype"/>
          <w:i/>
          <w:sz w:val="22"/>
          <w:szCs w:val="22"/>
          <w:u w:val="single"/>
        </w:rPr>
      </w:pPr>
      <w:r w:rsidRPr="00FE2133">
        <w:rPr>
          <w:rFonts w:ascii="Palatino Linotype" w:eastAsia="Palatino Linotype" w:hAnsi="Palatino Linotype" w:cs="Palatino Linotype"/>
          <w:i/>
          <w:sz w:val="22"/>
          <w:szCs w:val="22"/>
          <w:u w:val="single"/>
        </w:rPr>
        <w:t xml:space="preserve">XI.- Asesorar a los contribuyentes respecto al pago de obligaciones fiscales del ámbito municipal;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XII.- Atender el debido cumplimiento de las leyes fiscales, reglamentos y decretos, acuerdos y convenios de colaboración administrativa en materia federal, estatal y demás disposiciones de carácter general;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XIII.- Vigilar el cumplimiento de cada una de las variaciones del índice de inflación con el propósito de tomarlas en cuenta de la programación y en el presupuesto del ingreso; </w:t>
      </w:r>
    </w:p>
    <w:p w:rsidR="00FE2133" w:rsidRPr="00FE2133" w:rsidRDefault="00FE2133" w:rsidP="00FE2133">
      <w:pPr>
        <w:spacing w:before="240" w:after="240" w:line="276" w:lineRule="auto"/>
        <w:ind w:left="567" w:right="900"/>
        <w:jc w:val="both"/>
        <w:rPr>
          <w:rFonts w:ascii="Palatino Linotype" w:eastAsia="Palatino Linotype" w:hAnsi="Palatino Linotype" w:cs="Palatino Linotype"/>
          <w:i/>
          <w:sz w:val="22"/>
          <w:szCs w:val="22"/>
          <w:u w:val="single"/>
        </w:rPr>
      </w:pPr>
      <w:r w:rsidRPr="00FE2133">
        <w:rPr>
          <w:rFonts w:ascii="Palatino Linotype" w:eastAsia="Palatino Linotype" w:hAnsi="Palatino Linotype" w:cs="Palatino Linotype"/>
          <w:i/>
          <w:sz w:val="22"/>
          <w:szCs w:val="22"/>
          <w:u w:val="single"/>
        </w:rPr>
        <w:t xml:space="preserve">XIV.- Elaborar y actualizar el padrón de contribuyentes del municipio; </w:t>
      </w:r>
    </w:p>
    <w:p w:rsid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XV.- Realizar los informes correspondientes en términos de la legislación vigente; y </w:t>
      </w:r>
    </w:p>
    <w:p w:rsidR="00012062" w:rsidRPr="00FE2133" w:rsidRDefault="00FE2133" w:rsidP="00FE2133">
      <w:pPr>
        <w:spacing w:before="240" w:after="240" w:line="276" w:lineRule="auto"/>
        <w:ind w:left="567" w:right="900"/>
        <w:jc w:val="both"/>
        <w:rPr>
          <w:rFonts w:ascii="Palatino Linotype" w:eastAsia="Palatino Linotype" w:hAnsi="Palatino Linotype" w:cs="Palatino Linotype"/>
          <w:i/>
          <w:sz w:val="22"/>
          <w:szCs w:val="22"/>
        </w:rPr>
      </w:pPr>
      <w:r w:rsidRPr="00FE2133">
        <w:rPr>
          <w:rFonts w:ascii="Palatino Linotype" w:eastAsia="Palatino Linotype" w:hAnsi="Palatino Linotype" w:cs="Palatino Linotype"/>
          <w:i/>
          <w:sz w:val="22"/>
          <w:szCs w:val="22"/>
        </w:rPr>
        <w:t xml:space="preserve">XVI.- Realizar las demás atribuciones que la Presidenta le asigne, así como aquellas previstas en los ordenamientos jurídicos aplicables.  </w:t>
      </w:r>
    </w:p>
    <w:p w:rsidR="00D14485" w:rsidRDefault="00D14485" w:rsidP="00D14485">
      <w:pPr>
        <w:rPr>
          <w:rFonts w:ascii="Palatino Linotype" w:eastAsia="Calibri" w:hAnsi="Palatino Linotype" w:cs="Calibri"/>
          <w:lang w:val="es-ES_tradnl" w:eastAsia="es-MX"/>
        </w:rPr>
      </w:pPr>
    </w:p>
    <w:p w:rsidR="00012062" w:rsidRDefault="00012062" w:rsidP="00D14485">
      <w:pPr>
        <w:rPr>
          <w:rFonts w:ascii="Palatino Linotype" w:eastAsia="Calibri" w:hAnsi="Palatino Linotype" w:cs="Calibri"/>
          <w:lang w:val="es-ES_tradnl" w:eastAsia="es-MX"/>
        </w:rPr>
      </w:pPr>
    </w:p>
    <w:p w:rsidR="00D14485" w:rsidRDefault="00D14485" w:rsidP="00D14485">
      <w:pPr>
        <w:pBdr>
          <w:top w:val="nil"/>
          <w:left w:val="nil"/>
          <w:bottom w:val="nil"/>
          <w:right w:val="nil"/>
          <w:between w:val="nil"/>
        </w:pBdr>
        <w:spacing w:line="360" w:lineRule="auto"/>
        <w:contextualSpacing/>
        <w:jc w:val="both"/>
        <w:rPr>
          <w:rFonts w:ascii="Palatino Linotype" w:eastAsiaTheme="minorHAnsi" w:hAnsi="Palatino Linotype" w:cs="Arial"/>
          <w:i/>
          <w:sz w:val="22"/>
          <w:szCs w:val="22"/>
          <w:lang w:val="es-MX" w:eastAsia="en-US"/>
        </w:rPr>
      </w:pPr>
    </w:p>
    <w:p w:rsidR="00D14485" w:rsidRPr="00177253" w:rsidRDefault="00D14485" w:rsidP="00D1448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24BF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D14485" w:rsidRDefault="00D14485" w:rsidP="00D14485">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D14485" w:rsidTr="00CE1F8D">
        <w:trPr>
          <w:trHeight w:val="828"/>
        </w:trPr>
        <w:tc>
          <w:tcPr>
            <w:tcW w:w="3014" w:type="dxa"/>
            <w:shd w:val="clear" w:color="auto" w:fill="E7E6E6" w:themeFill="background2"/>
          </w:tcPr>
          <w:p w:rsidR="00D14485" w:rsidRPr="00B94808" w:rsidRDefault="00D14485" w:rsidP="00CE1F8D">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rsidR="00D14485" w:rsidRPr="00B94808" w:rsidRDefault="00D14485" w:rsidP="00CE1F8D">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D14485" w:rsidRPr="00B94808" w:rsidRDefault="00D14485" w:rsidP="00CE1F8D">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D14485" w:rsidRPr="00C73DD1" w:rsidTr="00CE1F8D">
        <w:trPr>
          <w:trHeight w:val="1205"/>
        </w:trPr>
        <w:tc>
          <w:tcPr>
            <w:tcW w:w="3014" w:type="dxa"/>
          </w:tcPr>
          <w:p w:rsidR="00D14485" w:rsidRPr="00425592" w:rsidRDefault="00FE2133" w:rsidP="00CE1F8D">
            <w:pPr>
              <w:jc w:val="both"/>
              <w:rPr>
                <w:rFonts w:ascii="Palatino Linotype" w:hAnsi="Palatino Linotype" w:cs="Tahoma"/>
                <w:sz w:val="22"/>
              </w:rPr>
            </w:pPr>
            <w:r>
              <w:rPr>
                <w:rFonts w:ascii="Palatino Linotype" w:hAnsi="Palatino Linotype" w:cs="Tahoma"/>
                <w:bCs/>
              </w:rPr>
              <w:t>M</w:t>
            </w:r>
            <w:r w:rsidRPr="00012062">
              <w:rPr>
                <w:rFonts w:ascii="Palatino Linotype" w:hAnsi="Palatino Linotype" w:cs="Tahoma"/>
                <w:bCs/>
              </w:rPr>
              <w:t>onto total recaudado por concepto de pago de predio, del 01 a</w:t>
            </w:r>
            <w:r>
              <w:rPr>
                <w:rFonts w:ascii="Palatino Linotype" w:hAnsi="Palatino Linotype" w:cs="Tahoma"/>
                <w:bCs/>
              </w:rPr>
              <w:t>l 16 de enero de 2025</w:t>
            </w:r>
          </w:p>
        </w:tc>
        <w:tc>
          <w:tcPr>
            <w:tcW w:w="4201" w:type="dxa"/>
          </w:tcPr>
          <w:p w:rsidR="00D14485" w:rsidRPr="000234C7" w:rsidRDefault="00CE1F8D" w:rsidP="000234C7">
            <w:pPr>
              <w:pStyle w:val="INFOEM"/>
              <w:spacing w:before="0" w:line="240" w:lineRule="auto"/>
              <w:ind w:left="0" w:right="0"/>
              <w:rPr>
                <w:rFonts w:cs="Arial"/>
                <w:b/>
                <w:i w:val="0"/>
              </w:rPr>
            </w:pPr>
            <w:r w:rsidRPr="000234C7">
              <w:rPr>
                <w:rFonts w:cs="Arial"/>
                <w:i w:val="0"/>
              </w:rPr>
              <w:t xml:space="preserve">la </w:t>
            </w:r>
            <w:r w:rsidRPr="000234C7">
              <w:rPr>
                <w:rFonts w:cs="Arial"/>
                <w:b/>
                <w:i w:val="0"/>
              </w:rPr>
              <w:t xml:space="preserve">Directora de Ingresos </w:t>
            </w:r>
            <w:r w:rsidRPr="000234C7">
              <w:rPr>
                <w:rFonts w:cs="Arial"/>
                <w:i w:val="0"/>
              </w:rPr>
              <w:t>refirió que:</w:t>
            </w:r>
          </w:p>
          <w:p w:rsidR="00CE1F8D" w:rsidRPr="000234C7" w:rsidRDefault="00CE1F8D" w:rsidP="000234C7">
            <w:pPr>
              <w:pStyle w:val="Citas"/>
              <w:spacing w:line="240" w:lineRule="auto"/>
              <w:ind w:left="0" w:right="176"/>
              <w:rPr>
                <w:i w:val="0"/>
              </w:rPr>
            </w:pPr>
            <w:r w:rsidRPr="000234C7">
              <w:rPr>
                <w:i w:val="0"/>
              </w:rPr>
              <w:t xml:space="preserve">Al respecto me permito informarle que se ha recaudado la cantidad de </w:t>
            </w:r>
            <w:r w:rsidRPr="000234C7">
              <w:rPr>
                <w:b/>
                <w:i w:val="0"/>
              </w:rPr>
              <w:t xml:space="preserve">$12, 122,634.50 </w:t>
            </w:r>
            <w:r w:rsidRPr="000234C7">
              <w:rPr>
                <w:i w:val="0"/>
              </w:rPr>
              <w:t>(doce millones ciento veinte y dos mil seiscientos treinta y cuatro pesos 50/100 --------- M.N.), del 2 de enero al 18 de enero de 2025.</w:t>
            </w:r>
          </w:p>
          <w:p w:rsidR="00CE1F8D" w:rsidRPr="00425592" w:rsidRDefault="00CE1F8D" w:rsidP="00CE1F8D">
            <w:pPr>
              <w:pStyle w:val="INFOEM"/>
              <w:spacing w:before="0" w:line="276" w:lineRule="auto"/>
              <w:ind w:left="0" w:right="0"/>
              <w:rPr>
                <w:i w:val="0"/>
                <w:lang w:val="es-ES"/>
              </w:rPr>
            </w:pPr>
          </w:p>
        </w:tc>
        <w:tc>
          <w:tcPr>
            <w:tcW w:w="1829" w:type="dxa"/>
          </w:tcPr>
          <w:p w:rsidR="00D14485" w:rsidRPr="00CE1F8D" w:rsidRDefault="00CE1F8D" w:rsidP="00CE1F8D">
            <w:pPr>
              <w:jc w:val="center"/>
              <w:rPr>
                <w:rFonts w:ascii="Palatino Linotype" w:hAnsi="Palatino Linotype"/>
                <w:b/>
                <w:i/>
                <w:color w:val="000000"/>
              </w:rPr>
            </w:pPr>
            <w:r w:rsidRPr="00CE1F8D">
              <w:rPr>
                <w:rFonts w:ascii="Palatino Linotype" w:hAnsi="Palatino Linotype"/>
                <w:b/>
                <w:i/>
                <w:color w:val="000000"/>
              </w:rPr>
              <w:t>Sí</w:t>
            </w:r>
          </w:p>
        </w:tc>
      </w:tr>
    </w:tbl>
    <w:p w:rsidR="00D14485" w:rsidRDefault="00D14485" w:rsidP="00D14485">
      <w:pPr>
        <w:spacing w:line="360" w:lineRule="auto"/>
        <w:jc w:val="both"/>
        <w:rPr>
          <w:rFonts w:ascii="Palatino Linotype" w:hAnsi="Palatino Linotype" w:cs="Arial"/>
        </w:rPr>
      </w:pPr>
    </w:p>
    <w:p w:rsidR="00D14485" w:rsidRPr="00D16770" w:rsidRDefault="00D14485" w:rsidP="00D14485">
      <w:pPr>
        <w:spacing w:line="360" w:lineRule="auto"/>
        <w:ind w:right="142"/>
        <w:jc w:val="both"/>
        <w:rPr>
          <w:rFonts w:ascii="Palatino Linotype" w:hAnsi="Palatino Linotype"/>
        </w:rPr>
      </w:pPr>
      <w:r>
        <w:rPr>
          <w:rFonts w:ascii="Palatino Linotype" w:hAnsi="Palatino Linotype"/>
        </w:rPr>
        <w:t xml:space="preserve">Una vez sentado lo anterior, </w:t>
      </w:r>
      <w:r w:rsidRPr="00D16770">
        <w:rPr>
          <w:rFonts w:ascii="Palatino Linotype" w:hAnsi="Palatino Linotype"/>
        </w:rPr>
        <w:t xml:space="preserve">de una interpretación armónica a la solicitud de información </w:t>
      </w:r>
      <w:r w:rsidR="002B4923" w:rsidRPr="00CE1F8D">
        <w:rPr>
          <w:rFonts w:ascii="Palatino Linotype" w:hAnsi="Palatino Linotype"/>
          <w:b/>
        </w:rPr>
        <w:t>00049/LAPAZ/IP/2025</w:t>
      </w:r>
      <w:r>
        <w:rPr>
          <w:rFonts w:ascii="Palatino Linotype" w:hAnsi="Palatino Linotype"/>
        </w:rPr>
        <w:t xml:space="preserve">, </w:t>
      </w:r>
      <w:r w:rsidRPr="00D16770">
        <w:rPr>
          <w:rFonts w:ascii="Palatino Linotype" w:hAnsi="Palatino Linotype"/>
        </w:rPr>
        <w:t xml:space="preserve">se desprenden las siguientes consideraciones: </w:t>
      </w:r>
    </w:p>
    <w:p w:rsidR="00D14485" w:rsidRPr="00D16770" w:rsidRDefault="00D14485" w:rsidP="00D14485">
      <w:pPr>
        <w:spacing w:line="360" w:lineRule="auto"/>
        <w:ind w:right="142"/>
        <w:jc w:val="both"/>
        <w:rPr>
          <w:rFonts w:ascii="Palatino Linotype" w:hAnsi="Palatino Linotype"/>
        </w:rPr>
      </w:pPr>
    </w:p>
    <w:p w:rsidR="00D14485" w:rsidRDefault="00D14485" w:rsidP="00D14485">
      <w:pPr>
        <w:pStyle w:val="Prrafodelista"/>
        <w:numPr>
          <w:ilvl w:val="0"/>
          <w:numId w:val="6"/>
        </w:numPr>
        <w:spacing w:line="360" w:lineRule="auto"/>
        <w:ind w:right="142"/>
        <w:jc w:val="both"/>
        <w:rPr>
          <w:rFonts w:ascii="Palatino Linotype" w:hAnsi="Palatino Linotype"/>
        </w:rPr>
      </w:pPr>
      <w:r w:rsidRPr="00D16770">
        <w:rPr>
          <w:rFonts w:ascii="Palatino Linotype" w:hAnsi="Palatino Linotype"/>
        </w:rPr>
        <w:t>Que el derecho de acceso a la información pública estriba en la prerrogativa de carácter constitucional que reconoce la potestad de los ciudadanos para solicitar soportes documentales generados, poseídos o administrados por los Sujetos Obligados.</w:t>
      </w:r>
    </w:p>
    <w:p w:rsidR="00D14485" w:rsidRPr="00D16770" w:rsidRDefault="00D14485" w:rsidP="00D14485">
      <w:pPr>
        <w:spacing w:line="360" w:lineRule="auto"/>
        <w:ind w:right="142"/>
        <w:jc w:val="both"/>
        <w:rPr>
          <w:rFonts w:ascii="Palatino Linotype" w:hAnsi="Palatino Linotype"/>
        </w:rPr>
      </w:pPr>
    </w:p>
    <w:p w:rsidR="00D14485" w:rsidRDefault="00D14485" w:rsidP="00D14485">
      <w:pPr>
        <w:pStyle w:val="Prrafodelista"/>
        <w:numPr>
          <w:ilvl w:val="0"/>
          <w:numId w:val="6"/>
        </w:numPr>
        <w:spacing w:line="360" w:lineRule="auto"/>
        <w:ind w:right="142"/>
        <w:jc w:val="both"/>
        <w:rPr>
          <w:rFonts w:ascii="Palatino Linotype" w:hAnsi="Palatino Linotype"/>
        </w:rPr>
      </w:pPr>
      <w:r w:rsidRPr="00D16770">
        <w:rPr>
          <w:rFonts w:ascii="Palatino Linotype" w:hAnsi="Palatino Linotype"/>
        </w:rPr>
        <w:t xml:space="preserve">En este sentido, al tomar en consideración que el derecho de acceso a la información fue ejercido el </w:t>
      </w:r>
      <w:r w:rsidR="00CE1F8D">
        <w:rPr>
          <w:rFonts w:ascii="Palatino Linotype" w:hAnsi="Palatino Linotype"/>
        </w:rPr>
        <w:t>dieciséis</w:t>
      </w:r>
      <w:r>
        <w:rPr>
          <w:rFonts w:ascii="Palatino Linotype" w:hAnsi="Palatino Linotype"/>
        </w:rPr>
        <w:t xml:space="preserve"> de enero de dos mil veinticinco</w:t>
      </w:r>
      <w:r w:rsidR="00CE1F8D">
        <w:rPr>
          <w:rFonts w:ascii="Palatino Linotype" w:hAnsi="Palatino Linotype"/>
        </w:rPr>
        <w:t>, y la temporalidad requerida fue del 1 al 16 de enero de 2025, la respuesta se tiene por colmada, ya que, conforme a la Ley Federal del Trabajo en su artículo 74, fracción I, el día 1º. de enero es día de descanso obligatorio, tal como se transcribe:</w:t>
      </w:r>
    </w:p>
    <w:p w:rsidR="00CE1F8D" w:rsidRPr="00CE1F8D" w:rsidRDefault="00CE1F8D" w:rsidP="00CE1F8D">
      <w:pPr>
        <w:pStyle w:val="Prrafodelista"/>
        <w:rPr>
          <w:rFonts w:ascii="Palatino Linotype" w:hAnsi="Palatino Linotype"/>
        </w:rPr>
      </w:pPr>
    </w:p>
    <w:p w:rsidR="00CE1F8D" w:rsidRPr="00CE1F8D" w:rsidRDefault="00CE1F8D" w:rsidP="00CE1F8D">
      <w:pPr>
        <w:pStyle w:val="Citas"/>
        <w:rPr>
          <w:b/>
        </w:rPr>
      </w:pPr>
      <w:r w:rsidRPr="00CE1F8D">
        <w:rPr>
          <w:b/>
        </w:rPr>
        <w:lastRenderedPageBreak/>
        <w:t>Artículo 74. Son días de descanso obligatorio:</w:t>
      </w:r>
    </w:p>
    <w:p w:rsidR="00CE1F8D" w:rsidRPr="00CE1F8D" w:rsidRDefault="00CE1F8D" w:rsidP="00CE1F8D">
      <w:pPr>
        <w:pStyle w:val="Citas"/>
        <w:numPr>
          <w:ilvl w:val="0"/>
          <w:numId w:val="7"/>
        </w:numPr>
        <w:rPr>
          <w:b/>
        </w:rPr>
      </w:pPr>
      <w:r w:rsidRPr="00CE1F8D">
        <w:rPr>
          <w:b/>
        </w:rPr>
        <w:t>El 1º. de enero;</w:t>
      </w:r>
    </w:p>
    <w:p w:rsidR="00CE1F8D" w:rsidRPr="00D16770" w:rsidRDefault="00CE1F8D" w:rsidP="00CE1F8D">
      <w:pPr>
        <w:pStyle w:val="Citas"/>
        <w:numPr>
          <w:ilvl w:val="0"/>
          <w:numId w:val="7"/>
        </w:numPr>
      </w:pPr>
      <w:r>
        <w:t>…</w:t>
      </w:r>
    </w:p>
    <w:p w:rsidR="00D14485" w:rsidRDefault="00D14485" w:rsidP="00D14485">
      <w:pPr>
        <w:spacing w:line="360" w:lineRule="auto"/>
        <w:ind w:right="142"/>
        <w:jc w:val="both"/>
        <w:rPr>
          <w:rFonts w:ascii="Palatino Linotype" w:hAnsi="Palatino Linotype"/>
        </w:rPr>
      </w:pPr>
    </w:p>
    <w:p w:rsidR="00D14485" w:rsidRDefault="00D14485" w:rsidP="00D14485">
      <w:pPr>
        <w:spacing w:line="360" w:lineRule="auto"/>
        <w:ind w:right="142"/>
        <w:jc w:val="both"/>
        <w:rPr>
          <w:rFonts w:ascii="Palatino Linotype" w:hAnsi="Palatino Linotype"/>
        </w:rPr>
      </w:pPr>
    </w:p>
    <w:p w:rsidR="00D14485" w:rsidRPr="009E63DA" w:rsidRDefault="00D14485" w:rsidP="00D14485">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D14485" w:rsidRPr="009E63DA" w:rsidRDefault="00D14485" w:rsidP="00D14485">
      <w:pPr>
        <w:spacing w:line="360" w:lineRule="auto"/>
        <w:jc w:val="both"/>
        <w:rPr>
          <w:rFonts w:ascii="Palatino Linotype" w:hAnsi="Palatino Linotype"/>
          <w:color w:val="000000"/>
        </w:rPr>
      </w:pPr>
    </w:p>
    <w:p w:rsidR="00D14485" w:rsidRPr="009E63DA" w:rsidRDefault="00D14485" w:rsidP="00D14485">
      <w:pPr>
        <w:ind w:left="567" w:right="567"/>
        <w:jc w:val="both"/>
        <w:rPr>
          <w:rFonts w:ascii="Palatino Linotype" w:hAnsi="Palatino Linotype"/>
          <w:b/>
          <w:i/>
        </w:rPr>
      </w:pPr>
      <w:r w:rsidRPr="009E63DA">
        <w:rPr>
          <w:rFonts w:ascii="Palatino Linotype" w:hAnsi="Palatino Linotype"/>
          <w:b/>
          <w:i/>
        </w:rPr>
        <w:t>Artículo 6</w:t>
      </w:r>
    </w:p>
    <w:p w:rsidR="00D14485" w:rsidRPr="009E63DA" w:rsidRDefault="00D14485" w:rsidP="00D14485">
      <w:pPr>
        <w:ind w:left="567" w:right="567"/>
        <w:jc w:val="both"/>
        <w:rPr>
          <w:rFonts w:ascii="Palatino Linotype" w:hAnsi="Palatino Linotype"/>
          <w:i/>
        </w:rPr>
      </w:pPr>
      <w:r w:rsidRPr="009E63DA">
        <w:rPr>
          <w:rFonts w:ascii="Palatino Linotype" w:hAnsi="Palatino Linotype"/>
          <w:i/>
        </w:rPr>
        <w:t>…</w:t>
      </w:r>
    </w:p>
    <w:p w:rsidR="00D14485" w:rsidRPr="009E63DA" w:rsidRDefault="00D14485" w:rsidP="00D14485">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D14485" w:rsidRPr="009E63DA" w:rsidRDefault="00D14485" w:rsidP="00D14485">
      <w:pPr>
        <w:ind w:left="567" w:right="567"/>
        <w:jc w:val="both"/>
        <w:rPr>
          <w:rFonts w:ascii="Palatino Linotype" w:hAnsi="Palatino Linotype"/>
          <w:i/>
        </w:rPr>
      </w:pPr>
    </w:p>
    <w:p w:rsidR="00D14485" w:rsidRPr="009E63DA" w:rsidRDefault="00D14485" w:rsidP="00D14485">
      <w:pPr>
        <w:numPr>
          <w:ilvl w:val="0"/>
          <w:numId w:val="5"/>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w:t>
      </w:r>
      <w:r w:rsidRPr="009E63DA">
        <w:rPr>
          <w:rFonts w:ascii="Palatino Linotype" w:hAnsi="Palatino Linotype"/>
          <w:i/>
        </w:rPr>
        <w:lastRenderedPageBreak/>
        <w:t>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14485" w:rsidRPr="009E63DA" w:rsidRDefault="00D14485" w:rsidP="00D14485">
      <w:pPr>
        <w:spacing w:line="360" w:lineRule="auto"/>
        <w:jc w:val="both"/>
        <w:rPr>
          <w:rFonts w:ascii="Palatino Linotype" w:hAnsi="Palatino Linotype"/>
        </w:rPr>
      </w:pPr>
    </w:p>
    <w:p w:rsidR="00D14485" w:rsidRPr="009E63DA" w:rsidRDefault="00D14485" w:rsidP="00D14485">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D14485" w:rsidRPr="009E63DA" w:rsidRDefault="00D14485" w:rsidP="00D14485">
      <w:pPr>
        <w:ind w:left="567" w:right="567"/>
        <w:jc w:val="both"/>
        <w:rPr>
          <w:rFonts w:ascii="Palatino Linotype" w:hAnsi="Palatino Linotype"/>
        </w:rPr>
      </w:pPr>
    </w:p>
    <w:p w:rsidR="00D14485" w:rsidRPr="009E63DA" w:rsidRDefault="00D14485" w:rsidP="00D14485">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D14485" w:rsidRPr="009E63DA" w:rsidRDefault="00D14485" w:rsidP="00D14485">
      <w:pPr>
        <w:ind w:left="851" w:right="851"/>
        <w:jc w:val="both"/>
        <w:rPr>
          <w:rFonts w:ascii="Palatino Linotype" w:hAnsi="Palatino Linotype"/>
          <w:i/>
        </w:rPr>
      </w:pPr>
      <w:r w:rsidRPr="009E63DA">
        <w:rPr>
          <w:rFonts w:ascii="Palatino Linotype" w:hAnsi="Palatino Linotype"/>
          <w:i/>
        </w:rPr>
        <w:t>…</w:t>
      </w:r>
    </w:p>
    <w:p w:rsidR="00D14485" w:rsidRPr="009E63DA" w:rsidRDefault="00D14485" w:rsidP="00D14485">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D14485" w:rsidRPr="009E63DA" w:rsidRDefault="00D14485" w:rsidP="00D14485">
      <w:pPr>
        <w:ind w:left="851" w:right="851"/>
        <w:jc w:val="both"/>
        <w:rPr>
          <w:rFonts w:ascii="Palatino Linotype" w:hAnsi="Palatino Linotype"/>
          <w:i/>
        </w:rPr>
      </w:pPr>
    </w:p>
    <w:p w:rsidR="00D14485" w:rsidRPr="009E63DA" w:rsidRDefault="00D14485" w:rsidP="00D14485">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14485" w:rsidRPr="009E63DA" w:rsidRDefault="00D14485" w:rsidP="00D14485">
      <w:pPr>
        <w:ind w:left="851" w:right="851"/>
        <w:jc w:val="both"/>
        <w:rPr>
          <w:rFonts w:ascii="Palatino Linotype" w:hAnsi="Palatino Linotype"/>
          <w:bCs/>
          <w:i/>
        </w:rPr>
      </w:pPr>
    </w:p>
    <w:p w:rsidR="00D14485" w:rsidRPr="009E63DA" w:rsidRDefault="00D14485" w:rsidP="00D14485">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14485" w:rsidRPr="009E63DA" w:rsidRDefault="00D14485" w:rsidP="00D14485">
      <w:pPr>
        <w:ind w:left="851" w:right="851"/>
        <w:jc w:val="both"/>
        <w:rPr>
          <w:rFonts w:ascii="Palatino Linotype" w:hAnsi="Palatino Linotype"/>
          <w:bCs/>
          <w:i/>
        </w:rPr>
      </w:pPr>
    </w:p>
    <w:p w:rsidR="00D14485" w:rsidRPr="009E63DA" w:rsidRDefault="00D14485" w:rsidP="00D14485">
      <w:pPr>
        <w:ind w:left="851" w:right="851"/>
        <w:jc w:val="both"/>
        <w:rPr>
          <w:rFonts w:ascii="Palatino Linotype" w:hAnsi="Palatino Linotype"/>
          <w:bCs/>
          <w:i/>
        </w:rPr>
      </w:pPr>
      <w:r w:rsidRPr="009E63DA">
        <w:rPr>
          <w:rFonts w:ascii="Palatino Linotype" w:hAnsi="Palatino Linotype"/>
          <w:bCs/>
          <w:i/>
        </w:rPr>
        <w:lastRenderedPageBreak/>
        <w:t>Los sujetos obligados deben poner en práctica, políticas y programas de acceso a la información que se apeguen a criterios de publicidad, veracidad, oportunidad, precisión y suficiencia en beneficio de los solicitantes.</w:t>
      </w:r>
    </w:p>
    <w:p w:rsidR="00D14485" w:rsidRPr="009E63DA" w:rsidRDefault="00D14485" w:rsidP="00D14485">
      <w:pPr>
        <w:ind w:left="851" w:right="851"/>
        <w:jc w:val="both"/>
        <w:rPr>
          <w:rFonts w:ascii="Palatino Linotype" w:hAnsi="Palatino Linotype"/>
          <w:i/>
        </w:rPr>
      </w:pPr>
    </w:p>
    <w:p w:rsidR="00D14485" w:rsidRPr="009E63DA" w:rsidRDefault="00D14485" w:rsidP="00D14485">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D14485" w:rsidRPr="009E63DA" w:rsidRDefault="00D14485" w:rsidP="00D14485">
      <w:pPr>
        <w:ind w:left="851" w:right="851"/>
        <w:jc w:val="both"/>
        <w:rPr>
          <w:rFonts w:ascii="Palatino Linotype" w:hAnsi="Palatino Linotype"/>
          <w:i/>
        </w:rPr>
      </w:pPr>
    </w:p>
    <w:p w:rsidR="00D14485" w:rsidRPr="009E63DA" w:rsidRDefault="00D14485" w:rsidP="00D14485">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D14485" w:rsidRPr="009E63DA" w:rsidRDefault="00D14485" w:rsidP="00D14485">
      <w:pPr>
        <w:spacing w:line="360" w:lineRule="auto"/>
        <w:jc w:val="both"/>
        <w:rPr>
          <w:rFonts w:ascii="Palatino Linotype" w:hAnsi="Palatino Linotype"/>
        </w:rPr>
      </w:pPr>
    </w:p>
    <w:p w:rsidR="00D14485" w:rsidRPr="009E63DA" w:rsidRDefault="00D14485" w:rsidP="00D14485">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D14485" w:rsidRPr="009E63DA" w:rsidRDefault="00D14485" w:rsidP="00D14485">
      <w:pPr>
        <w:spacing w:line="360" w:lineRule="auto"/>
        <w:jc w:val="both"/>
        <w:rPr>
          <w:rFonts w:ascii="Palatino Linotype" w:hAnsi="Palatino Linotype"/>
        </w:rPr>
      </w:pPr>
    </w:p>
    <w:p w:rsidR="00D14485" w:rsidRPr="009E63DA" w:rsidRDefault="00D14485" w:rsidP="00D14485">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rsidR="00D14485" w:rsidRPr="009E63DA" w:rsidRDefault="00D14485" w:rsidP="00D14485">
      <w:pPr>
        <w:spacing w:line="360" w:lineRule="auto"/>
        <w:jc w:val="both"/>
        <w:rPr>
          <w:rFonts w:ascii="Palatino Linotype" w:eastAsia="Calibri" w:hAnsi="Palatino Linotype" w:cs="Arial"/>
          <w:color w:val="000000"/>
          <w:lang w:val="es-ES_tradnl" w:eastAsia="es-MX"/>
        </w:rPr>
      </w:pPr>
    </w:p>
    <w:p w:rsidR="00D14485" w:rsidRPr="009E63DA" w:rsidRDefault="00D14485" w:rsidP="00D14485">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w:t>
      </w:r>
      <w:r w:rsidRPr="009E63DA">
        <w:rPr>
          <w:rFonts w:ascii="Palatino Linotype" w:eastAsia="Calibri" w:hAnsi="Palatino Linotype" w:cs="Arial"/>
          <w:color w:val="000000"/>
          <w:lang w:val="es-ES_tradnl" w:eastAsia="es-MX"/>
        </w:rPr>
        <w:lastRenderedPageBreak/>
        <w:t xml:space="preserve">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rsidR="00D14485" w:rsidRPr="009E63DA" w:rsidRDefault="00D14485" w:rsidP="00D14485">
      <w:pPr>
        <w:spacing w:line="360" w:lineRule="auto"/>
        <w:jc w:val="both"/>
        <w:rPr>
          <w:rFonts w:ascii="Palatino Linotype" w:eastAsia="Calibri" w:hAnsi="Palatino Linotype" w:cs="Arial"/>
          <w:color w:val="000000"/>
          <w:lang w:val="es-ES_tradnl" w:eastAsia="es-MX"/>
        </w:rPr>
      </w:pPr>
    </w:p>
    <w:p w:rsidR="00D14485" w:rsidRPr="009E63DA" w:rsidRDefault="00D14485" w:rsidP="00D14485">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rsidR="00D14485" w:rsidRPr="009E63DA" w:rsidRDefault="00D14485" w:rsidP="00D14485">
      <w:pPr>
        <w:spacing w:line="360" w:lineRule="auto"/>
        <w:jc w:val="both"/>
        <w:rPr>
          <w:rFonts w:ascii="Palatino Linotype" w:hAnsi="Palatino Linotype"/>
          <w:lang w:val="es-ES_tradnl"/>
        </w:rPr>
      </w:pPr>
    </w:p>
    <w:p w:rsidR="00D14485" w:rsidRPr="009E63DA" w:rsidRDefault="00D14485" w:rsidP="00D14485">
      <w:pPr>
        <w:spacing w:line="360" w:lineRule="auto"/>
        <w:ind w:left="851" w:right="850"/>
        <w:jc w:val="both"/>
        <w:rPr>
          <w:rFonts w:ascii="Palatino Linotype" w:eastAsia="Calibri" w:hAnsi="Palatino Linotype" w:cs="Arial"/>
          <w:color w:val="000000"/>
          <w:sz w:val="2"/>
          <w:lang w:val="es-ES_tradnl" w:eastAsia="es-MX"/>
        </w:rPr>
      </w:pPr>
    </w:p>
    <w:p w:rsidR="00D14485" w:rsidRPr="009E63DA" w:rsidRDefault="00D14485" w:rsidP="00D14485">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14485" w:rsidRPr="009E63DA" w:rsidRDefault="00D14485" w:rsidP="00D14485">
      <w:pPr>
        <w:ind w:left="567" w:right="567"/>
        <w:jc w:val="both"/>
        <w:rPr>
          <w:rFonts w:ascii="Palatino Linotype" w:eastAsia="Calibri" w:hAnsi="Palatino Linotype" w:cs="Arial"/>
          <w:i/>
          <w:color w:val="000000"/>
          <w:sz w:val="2"/>
          <w:lang w:val="es-ES_tradnl" w:eastAsia="es-MX"/>
        </w:rPr>
      </w:pPr>
    </w:p>
    <w:p w:rsidR="00D14485" w:rsidRPr="00F55BA2" w:rsidRDefault="00D14485" w:rsidP="00D14485">
      <w:pPr>
        <w:spacing w:line="360" w:lineRule="auto"/>
        <w:jc w:val="both"/>
        <w:rPr>
          <w:rFonts w:ascii="Palatino Linotype" w:eastAsia="Calibri" w:hAnsi="Palatino Linotype" w:cs="Arial"/>
          <w:color w:val="000000"/>
          <w:lang w:val="es-ES_tradnl" w:eastAsia="es-MX"/>
        </w:rPr>
      </w:pPr>
    </w:p>
    <w:p w:rsidR="00D14485" w:rsidRPr="009E63DA" w:rsidRDefault="00D14485" w:rsidP="00D14485">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rsidR="00D14485" w:rsidRPr="009E63DA" w:rsidRDefault="00D14485" w:rsidP="00D14485">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rsidR="00D14485" w:rsidRPr="009E63DA" w:rsidRDefault="00D14485" w:rsidP="00D14485">
      <w:pPr>
        <w:spacing w:before="240" w:line="360" w:lineRule="auto"/>
        <w:ind w:left="851" w:right="851"/>
        <w:jc w:val="both"/>
        <w:rPr>
          <w:rFonts w:ascii="Palatino Linotype" w:hAnsi="Palatino Linotype" w:cs="Arial"/>
          <w:i/>
        </w:rPr>
      </w:pPr>
      <w:r w:rsidRPr="009E63DA">
        <w:rPr>
          <w:rFonts w:ascii="Palatino Linotype" w:hAnsi="Palatino Linotype" w:cs="Arial"/>
          <w:i/>
        </w:rPr>
        <w:lastRenderedPageBreak/>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D14485" w:rsidRPr="009E63DA" w:rsidRDefault="00D14485" w:rsidP="00D14485">
      <w:pPr>
        <w:numPr>
          <w:ilvl w:val="0"/>
          <w:numId w:val="4"/>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rsidR="00D14485" w:rsidRPr="009E63DA" w:rsidRDefault="00D14485" w:rsidP="00D14485">
      <w:pPr>
        <w:numPr>
          <w:ilvl w:val="0"/>
          <w:numId w:val="4"/>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rsidR="00D14485" w:rsidRPr="009E63DA" w:rsidRDefault="00D14485" w:rsidP="00D14485">
      <w:pPr>
        <w:numPr>
          <w:ilvl w:val="0"/>
          <w:numId w:val="4"/>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rsidR="00D14485" w:rsidRPr="009E63DA" w:rsidRDefault="00D14485" w:rsidP="00D14485">
      <w:pPr>
        <w:spacing w:line="360" w:lineRule="auto"/>
        <w:jc w:val="both"/>
        <w:rPr>
          <w:rFonts w:ascii="Palatino Linotype" w:hAnsi="Palatino Linotype" w:cs="Arial"/>
          <w:noProof/>
          <w:color w:val="000000"/>
          <w:lang w:eastAsia="es-MX"/>
        </w:rPr>
      </w:pPr>
    </w:p>
    <w:p w:rsidR="00D14485" w:rsidRPr="009E63DA" w:rsidRDefault="00D14485" w:rsidP="00D14485">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rsidR="00D14485" w:rsidRDefault="00D14485" w:rsidP="00D1448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D14485" w:rsidRPr="009E63DA" w:rsidRDefault="00D14485" w:rsidP="00D14485">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sidR="002B4923">
        <w:rPr>
          <w:rFonts w:ascii="Palatino Linotype" w:hAnsi="Palatino Linotype"/>
          <w:b/>
        </w:rPr>
        <w:t>00049/LAPAZ/IP/2025</w:t>
      </w:r>
      <w:r>
        <w:rPr>
          <w:rFonts w:ascii="Palatino Linotype" w:hAnsi="Palatino Linotype"/>
          <w:b/>
        </w:rPr>
        <w:t xml:space="preserve"> </w:t>
      </w:r>
      <w:r w:rsidRPr="009E63DA">
        <w:rPr>
          <w:rFonts w:ascii="Palatino Linotype" w:hAnsi="Palatino Linotype"/>
        </w:rPr>
        <w:t xml:space="preserve">que ha sido materia del presente fallo. </w:t>
      </w:r>
    </w:p>
    <w:p w:rsidR="00D14485" w:rsidRPr="009E63DA" w:rsidRDefault="00D14485" w:rsidP="00D14485">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rsidR="00D14485" w:rsidRPr="009E63DA" w:rsidRDefault="00D14485" w:rsidP="00D14485">
      <w:pPr>
        <w:spacing w:line="360" w:lineRule="auto"/>
        <w:jc w:val="both"/>
        <w:rPr>
          <w:rFonts w:ascii="Palatino Linotype" w:hAnsi="Palatino Linotype"/>
        </w:rPr>
      </w:pPr>
    </w:p>
    <w:p w:rsidR="00D14485" w:rsidRPr="009E63DA" w:rsidRDefault="00D14485" w:rsidP="00D14485">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rsidR="00D14485" w:rsidRPr="009E63DA" w:rsidRDefault="00D14485" w:rsidP="00D14485">
      <w:pPr>
        <w:autoSpaceDE w:val="0"/>
        <w:autoSpaceDN w:val="0"/>
        <w:adjustRightInd w:val="0"/>
        <w:spacing w:line="360" w:lineRule="auto"/>
        <w:ind w:right="49"/>
        <w:jc w:val="both"/>
        <w:rPr>
          <w:rFonts w:ascii="Palatino Linotype" w:hAnsi="Palatino Linotype" w:cs="Arial"/>
          <w:sz w:val="28"/>
          <w:szCs w:val="28"/>
          <w:lang w:val="es-ES_tradnl"/>
        </w:rPr>
      </w:pPr>
    </w:p>
    <w:p w:rsidR="00D14485" w:rsidRPr="009E63DA" w:rsidRDefault="00D14485" w:rsidP="00D14485">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sidR="002B4923">
        <w:rPr>
          <w:rFonts w:ascii="Palatino Linotype" w:hAnsi="Palatino Linotype"/>
          <w:b/>
        </w:rPr>
        <w:t>00049/LAPAZ/IP/2025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rsidR="00D14485" w:rsidRDefault="00D14485" w:rsidP="00D14485">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rsidR="00CE1F8D" w:rsidRPr="009E63DA" w:rsidRDefault="00CE1F8D" w:rsidP="00D14485">
      <w:pPr>
        <w:autoSpaceDE w:val="0"/>
        <w:autoSpaceDN w:val="0"/>
        <w:adjustRightInd w:val="0"/>
        <w:spacing w:before="240" w:line="360" w:lineRule="auto"/>
        <w:jc w:val="both"/>
        <w:rPr>
          <w:rFonts w:ascii="Palatino Linotype" w:hAnsi="Palatino Linotype" w:cs="Arial"/>
          <w:b/>
        </w:rPr>
      </w:pPr>
    </w:p>
    <w:p w:rsidR="00D14485" w:rsidRDefault="00D14485" w:rsidP="00D14485">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rsidR="00CE1F8D" w:rsidRPr="009E63DA" w:rsidRDefault="00CE1F8D" w:rsidP="00D14485">
      <w:pPr>
        <w:autoSpaceDE w:val="0"/>
        <w:autoSpaceDN w:val="0"/>
        <w:adjustRightInd w:val="0"/>
        <w:spacing w:before="240" w:line="360" w:lineRule="auto"/>
        <w:jc w:val="both"/>
        <w:rPr>
          <w:rFonts w:ascii="Palatino Linotype" w:hAnsi="Palatino Linotype" w:cs="Arial"/>
          <w:b/>
        </w:rPr>
      </w:pPr>
    </w:p>
    <w:p w:rsidR="00D14485" w:rsidRDefault="00D14485" w:rsidP="00D14485">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D14485" w:rsidRPr="007C3942" w:rsidRDefault="00D14485" w:rsidP="00D14485">
      <w:pPr>
        <w:spacing w:line="360" w:lineRule="auto"/>
        <w:jc w:val="both"/>
        <w:rPr>
          <w:rFonts w:ascii="Palatino Linotype" w:hAnsi="Palatino Linotype"/>
          <w:lang w:eastAsia="es-ES_tradnl"/>
        </w:rPr>
      </w:pPr>
    </w:p>
    <w:p w:rsidR="00D14485" w:rsidRDefault="00D14485" w:rsidP="00D14485">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OCTAVA </w:t>
      </w:r>
      <w:r w:rsidRPr="007C3942">
        <w:rPr>
          <w:rFonts w:ascii="Palatino Linotype" w:hAnsi="Palatino Linotype" w:cs="Arial"/>
        </w:rPr>
        <w:t>SESIÓN ORDINARIA CELEBRADA EL</w:t>
      </w:r>
      <w:r>
        <w:rPr>
          <w:rFonts w:ascii="Palatino Linotype" w:hAnsi="Palatino Linotype" w:cs="Arial"/>
        </w:rPr>
        <w:t xml:space="preserve"> </w:t>
      </w:r>
      <w:r w:rsidR="004F2D22">
        <w:rPr>
          <w:rFonts w:ascii="Palatino Linotype" w:hAnsi="Palatino Linotype" w:cs="Arial"/>
        </w:rPr>
        <w:t xml:space="preserve">SEIS </w:t>
      </w:r>
      <w:r>
        <w:rPr>
          <w:rFonts w:ascii="Palatino Linotype" w:hAnsi="Palatino Linotype" w:cs="Arial"/>
        </w:rPr>
        <w:t>DE MARZO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991207">
        <w:rPr>
          <w:rFonts w:ascii="Palatino Linotype" w:hAnsi="Palatino Linotype" w:cs="Arial"/>
        </w:rPr>
        <w:t>----------</w:t>
      </w:r>
      <w:r>
        <w:rPr>
          <w:rFonts w:ascii="Palatino Linotype" w:hAnsi="Palatino Linotype" w:cs="Arial"/>
        </w:rPr>
        <w:t xml:space="preserve">- </w:t>
      </w:r>
    </w:p>
    <w:p w:rsidR="00D14485" w:rsidRPr="00A151D0" w:rsidRDefault="00D14485" w:rsidP="00D14485">
      <w:pPr>
        <w:spacing w:line="360" w:lineRule="auto"/>
        <w:jc w:val="both"/>
        <w:rPr>
          <w:rFonts w:ascii="Palatino Linotype" w:hAnsi="Palatino Linotype" w:cs="Arial"/>
          <w:sz w:val="20"/>
        </w:rPr>
      </w:pPr>
      <w:r>
        <w:rPr>
          <w:rFonts w:ascii="Palatino Linotype" w:hAnsi="Palatino Linotype" w:cs="Arial"/>
        </w:rPr>
        <w:t>-</w:t>
      </w:r>
      <w:r w:rsidRPr="00692461">
        <w:rPr>
          <w:rFonts w:ascii="Palatino Linotype" w:hAnsi="Palatino Linotype" w:cs="Arial"/>
        </w:rPr>
        <w:t>-----------------------------------------------------------------------------------------------------------------------------------------------------------------------------------------------------------------------------------------------------------------------------------------------------------------------------------------------------</w:t>
      </w:r>
    </w:p>
    <w:p w:rsidR="004F2D22" w:rsidRPr="00991207" w:rsidRDefault="00D14485" w:rsidP="00991207">
      <w:pPr>
        <w:spacing w:line="360" w:lineRule="auto"/>
        <w:jc w:val="both"/>
        <w:rPr>
          <w:rFonts w:ascii="Palatino Linotype" w:hAnsi="Palatino Linotype" w:cs="Arial"/>
          <w:sz w:val="16"/>
        </w:rPr>
      </w:pPr>
      <w:r>
        <w:rPr>
          <w:rFonts w:ascii="Palatino Linotype" w:hAnsi="Palatino Linotype" w:cs="Arial"/>
          <w:sz w:val="16"/>
        </w:rPr>
        <w:t>JMV/CCR/</w:t>
      </w:r>
      <w:r w:rsidR="00522693">
        <w:rPr>
          <w:rFonts w:ascii="Palatino Linotype" w:hAnsi="Palatino Linotype" w:cs="Arial"/>
          <w:sz w:val="16"/>
        </w:rPr>
        <w:t>LMST</w:t>
      </w:r>
    </w:p>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4F2D22" w:rsidRDefault="004F2D22"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D14485" w:rsidRDefault="00D14485" w:rsidP="00D14485"/>
    <w:p w:rsidR="006D2D53" w:rsidRDefault="006D2D53"/>
    <w:sectPr w:rsidR="006D2D53" w:rsidSect="00CE1F8D">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8D" w:rsidRDefault="00CE1F8D" w:rsidP="00D14485">
      <w:r>
        <w:separator/>
      </w:r>
    </w:p>
  </w:endnote>
  <w:endnote w:type="continuationSeparator" w:id="0">
    <w:p w:rsidR="00CE1F8D" w:rsidRDefault="00CE1F8D" w:rsidP="00D1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8D" w:rsidRPr="00A2780F" w:rsidRDefault="00CE1F8D" w:rsidP="00CE1F8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26DFC">
      <w:rPr>
        <w:rFonts w:ascii="Arial" w:hAnsi="Arial" w:cs="Arial"/>
        <w:b/>
        <w:bCs/>
        <w:noProof/>
        <w:sz w:val="20"/>
        <w:szCs w:val="20"/>
      </w:rPr>
      <w:t>20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26DFC">
      <w:rPr>
        <w:rFonts w:ascii="Arial" w:hAnsi="Arial" w:cs="Arial"/>
        <w:b/>
        <w:bCs/>
        <w:noProof/>
        <w:sz w:val="20"/>
        <w:szCs w:val="20"/>
      </w:rPr>
      <w:t>20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8D" w:rsidRPr="00070856" w:rsidRDefault="00CE1F8D" w:rsidP="00CE1F8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26DF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26DFC">
      <w:rPr>
        <w:rFonts w:ascii="Arial" w:hAnsi="Arial" w:cs="Arial"/>
        <w:b/>
        <w:bCs/>
        <w:noProof/>
        <w:sz w:val="20"/>
        <w:szCs w:val="20"/>
      </w:rPr>
      <w:t>20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8D" w:rsidRDefault="00CE1F8D" w:rsidP="00D14485">
      <w:r>
        <w:separator/>
      </w:r>
    </w:p>
  </w:footnote>
  <w:footnote w:type="continuationSeparator" w:id="0">
    <w:p w:rsidR="00CE1F8D" w:rsidRDefault="00CE1F8D" w:rsidP="00D14485">
      <w:r>
        <w:continuationSeparator/>
      </w:r>
    </w:p>
  </w:footnote>
  <w:footnote w:id="1">
    <w:p w:rsidR="00CE1F8D" w:rsidRPr="005552A8" w:rsidRDefault="00CE1F8D" w:rsidP="00D14485">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E1F8D" w:rsidRPr="005552A8" w:rsidRDefault="00CE1F8D" w:rsidP="00D1448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E1F8D" w:rsidRPr="008F2CCC" w:rsidTr="00CE1F8D">
      <w:tc>
        <w:tcPr>
          <w:tcW w:w="3620" w:type="dxa"/>
          <w:shd w:val="clear" w:color="auto" w:fill="auto"/>
        </w:tcPr>
        <w:p w:rsidR="00CE1F8D" w:rsidRPr="007E5FC4" w:rsidRDefault="00CE1F8D" w:rsidP="00CE1F8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CE1F8D" w:rsidRPr="00664658" w:rsidRDefault="00CE1F8D" w:rsidP="00CE1F8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991207">
            <w:rPr>
              <w:rFonts w:ascii="Palatino Linotype" w:hAnsi="Palatino Linotype"/>
              <w:b/>
              <w:sz w:val="22"/>
              <w:szCs w:val="22"/>
              <w:lang w:val="es-ES_tradnl"/>
            </w:rPr>
            <w:t>0</w:t>
          </w:r>
          <w:r>
            <w:rPr>
              <w:rFonts w:ascii="Palatino Linotype" w:hAnsi="Palatino Linotype"/>
              <w:b/>
              <w:sz w:val="22"/>
              <w:szCs w:val="22"/>
              <w:lang w:val="es-ES_tradnl"/>
            </w:rPr>
            <w:t>465/INFOEM/IP/RR/2025</w:t>
          </w:r>
        </w:p>
      </w:tc>
    </w:tr>
    <w:tr w:rsidR="00CE1F8D" w:rsidRPr="008F2CCC" w:rsidTr="00CE1F8D">
      <w:tc>
        <w:tcPr>
          <w:tcW w:w="3620" w:type="dxa"/>
          <w:shd w:val="clear" w:color="auto" w:fill="auto"/>
        </w:tcPr>
        <w:p w:rsidR="00CE1F8D" w:rsidRPr="007E5FC4" w:rsidRDefault="00CE1F8D" w:rsidP="00CE1F8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CE1F8D" w:rsidRPr="00664658" w:rsidRDefault="00CE1F8D" w:rsidP="00CE1F8D">
          <w:pPr>
            <w:spacing w:line="276" w:lineRule="auto"/>
            <w:jc w:val="right"/>
            <w:rPr>
              <w:rFonts w:ascii="Palatino Linotype" w:hAnsi="Palatino Linotype"/>
              <w:b/>
              <w:sz w:val="22"/>
              <w:szCs w:val="22"/>
              <w:lang w:val="es-ES_tradnl"/>
            </w:rPr>
          </w:pPr>
          <w:r w:rsidRPr="006C3A2B">
            <w:rPr>
              <w:rFonts w:ascii="Palatino Linotype" w:hAnsi="Palatino Linotype"/>
              <w:b/>
              <w:sz w:val="22"/>
              <w:szCs w:val="22"/>
            </w:rPr>
            <w:t>Ayuntamiento de la Paz</w:t>
          </w:r>
        </w:p>
      </w:tc>
    </w:tr>
    <w:tr w:rsidR="00CE1F8D" w:rsidRPr="008F2CCC" w:rsidTr="00CE1F8D">
      <w:trPr>
        <w:trHeight w:val="228"/>
      </w:trPr>
      <w:tc>
        <w:tcPr>
          <w:tcW w:w="3620" w:type="dxa"/>
          <w:shd w:val="clear" w:color="auto" w:fill="auto"/>
        </w:tcPr>
        <w:p w:rsidR="00CE1F8D" w:rsidRPr="007E5FC4" w:rsidRDefault="00CE1F8D" w:rsidP="00CE1F8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CE1F8D" w:rsidRPr="00664658" w:rsidRDefault="00CE1F8D" w:rsidP="00CE1F8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E1F8D" w:rsidRDefault="00CE1F8D" w:rsidP="00CE1F8D">
    <w:pPr>
      <w:pStyle w:val="Encabezado"/>
      <w:tabs>
        <w:tab w:val="clear" w:pos="4252"/>
        <w:tab w:val="clear" w:pos="8504"/>
        <w:tab w:val="left" w:pos="2326"/>
      </w:tabs>
      <w:rPr>
        <w:rFonts w:ascii="Palatino Linotype" w:hAnsi="Palatino Linotype"/>
        <w:sz w:val="20"/>
      </w:rPr>
    </w:pPr>
  </w:p>
  <w:p w:rsidR="00CE1F8D" w:rsidRPr="001779E0" w:rsidRDefault="00CE1F8D" w:rsidP="00CE1F8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59DE567" wp14:editId="45769BF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E1F8D" w:rsidRPr="008F2CCC" w:rsidTr="00CE1F8D">
      <w:tc>
        <w:tcPr>
          <w:tcW w:w="2977" w:type="dxa"/>
          <w:shd w:val="clear" w:color="auto" w:fill="auto"/>
        </w:tcPr>
        <w:p w:rsidR="00CE1F8D" w:rsidRPr="007E5FC4" w:rsidRDefault="00CE1F8D" w:rsidP="00CE1F8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CE1F8D" w:rsidRPr="008F2CCC" w:rsidRDefault="00CE1F8D" w:rsidP="00CE1F8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991207">
            <w:rPr>
              <w:rFonts w:ascii="Palatino Linotype" w:hAnsi="Palatino Linotype"/>
              <w:b/>
              <w:sz w:val="22"/>
              <w:szCs w:val="22"/>
              <w:lang w:val="es-ES_tradnl"/>
            </w:rPr>
            <w:t>0</w:t>
          </w:r>
          <w:r>
            <w:rPr>
              <w:rFonts w:ascii="Palatino Linotype" w:hAnsi="Palatino Linotype"/>
              <w:b/>
              <w:sz w:val="22"/>
              <w:szCs w:val="22"/>
              <w:lang w:val="es-ES_tradnl"/>
            </w:rPr>
            <w:t>465/INFOEM/IP/RR/2025</w:t>
          </w:r>
        </w:p>
      </w:tc>
    </w:tr>
    <w:tr w:rsidR="00CE1F8D" w:rsidRPr="008F2CCC" w:rsidTr="00CE1F8D">
      <w:tc>
        <w:tcPr>
          <w:tcW w:w="2977" w:type="dxa"/>
          <w:shd w:val="clear" w:color="auto" w:fill="auto"/>
          <w:vAlign w:val="center"/>
        </w:tcPr>
        <w:p w:rsidR="00CE1F8D" w:rsidRPr="007E5FC4" w:rsidRDefault="00CE1F8D" w:rsidP="00CE1F8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CE1F8D" w:rsidRPr="008F2CCC" w:rsidRDefault="00526DFC" w:rsidP="00CE1F8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w:t>
          </w:r>
        </w:p>
      </w:tc>
    </w:tr>
    <w:tr w:rsidR="00CE1F8D" w:rsidRPr="008F2CCC" w:rsidTr="00CE1F8D">
      <w:trPr>
        <w:trHeight w:val="228"/>
      </w:trPr>
      <w:tc>
        <w:tcPr>
          <w:tcW w:w="2977" w:type="dxa"/>
          <w:shd w:val="clear" w:color="auto" w:fill="auto"/>
        </w:tcPr>
        <w:p w:rsidR="00CE1F8D" w:rsidRPr="007E5FC4" w:rsidRDefault="00CE1F8D" w:rsidP="00CE1F8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CE1F8D" w:rsidRPr="00DC41C8" w:rsidRDefault="00CE1F8D" w:rsidP="00CE1F8D">
          <w:pPr>
            <w:spacing w:line="360" w:lineRule="auto"/>
            <w:jc w:val="right"/>
            <w:rPr>
              <w:rFonts w:ascii="Palatino Linotype" w:hAnsi="Palatino Linotype"/>
              <w:b/>
              <w:sz w:val="22"/>
              <w:szCs w:val="22"/>
            </w:rPr>
          </w:pPr>
          <w:r w:rsidRPr="006C3A2B">
            <w:rPr>
              <w:rFonts w:ascii="Palatino Linotype" w:hAnsi="Palatino Linotype"/>
              <w:b/>
              <w:sz w:val="22"/>
              <w:szCs w:val="22"/>
            </w:rPr>
            <w:t>Ayuntamiento de la Paz</w:t>
          </w:r>
        </w:p>
      </w:tc>
    </w:tr>
    <w:tr w:rsidR="00CE1F8D" w:rsidRPr="008F2CCC" w:rsidTr="00CE1F8D">
      <w:tc>
        <w:tcPr>
          <w:tcW w:w="2977" w:type="dxa"/>
          <w:shd w:val="clear" w:color="auto" w:fill="auto"/>
        </w:tcPr>
        <w:p w:rsidR="00CE1F8D" w:rsidRPr="007E5FC4" w:rsidRDefault="00CE1F8D" w:rsidP="00CE1F8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CE1F8D" w:rsidRPr="008F2CCC" w:rsidRDefault="00CE1F8D" w:rsidP="00CE1F8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E1F8D" w:rsidRPr="009F1AB6" w:rsidRDefault="00CE1F8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24A8D86" wp14:editId="3124475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0984745"/>
    <w:multiLevelType w:val="hybridMultilevel"/>
    <w:tmpl w:val="31120BC2"/>
    <w:lvl w:ilvl="0" w:tplc="080A0001">
      <w:start w:val="1"/>
      <w:numFmt w:val="bullet"/>
      <w:lvlText w:val=""/>
      <w:lvlJc w:val="left"/>
      <w:pPr>
        <w:ind w:left="720" w:hanging="360"/>
      </w:pPr>
      <w:rPr>
        <w:rFonts w:ascii="Symbol" w:hAnsi="Symbol" w:hint="default"/>
      </w:rPr>
    </w:lvl>
    <w:lvl w:ilvl="1" w:tplc="4E2C7F9C">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EE6EDD"/>
    <w:multiLevelType w:val="hybridMultilevel"/>
    <w:tmpl w:val="C5DC08D2"/>
    <w:lvl w:ilvl="0" w:tplc="823EE7D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85"/>
    <w:rsid w:val="00012062"/>
    <w:rsid w:val="000234C7"/>
    <w:rsid w:val="002B4923"/>
    <w:rsid w:val="004F2D22"/>
    <w:rsid w:val="00522693"/>
    <w:rsid w:val="00526DFC"/>
    <w:rsid w:val="006D2D53"/>
    <w:rsid w:val="00991207"/>
    <w:rsid w:val="00CE1F8D"/>
    <w:rsid w:val="00D14485"/>
    <w:rsid w:val="00FE2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1E2CD-58EB-4C3A-927E-7D7DA7D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48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14485"/>
    <w:rPr>
      <w:rFonts w:eastAsiaTheme="minorEastAsia"/>
      <w:sz w:val="24"/>
      <w:szCs w:val="24"/>
      <w:lang w:val="es-ES_tradnl" w:eastAsia="es-ES"/>
    </w:rPr>
  </w:style>
  <w:style w:type="paragraph" w:styleId="Piedepgina">
    <w:name w:val="footer"/>
    <w:basedOn w:val="Normal"/>
    <w:link w:val="PiedepginaCar"/>
    <w:uiPriority w:val="99"/>
    <w:unhideWhenUsed/>
    <w:rsid w:val="00D1448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1448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1448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1448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14485"/>
    <w:pPr>
      <w:spacing w:after="0" w:line="240" w:lineRule="auto"/>
    </w:pPr>
  </w:style>
  <w:style w:type="character" w:customStyle="1" w:styleId="SinespaciadoCar">
    <w:name w:val="Sin espaciado Car"/>
    <w:aliases w:val="Francesa Car,INAI Car"/>
    <w:link w:val="Sinespaciado"/>
    <w:uiPriority w:val="1"/>
    <w:locked/>
    <w:rsid w:val="00D14485"/>
  </w:style>
  <w:style w:type="character" w:styleId="Hipervnculo">
    <w:name w:val="Hyperlink"/>
    <w:aliases w:val="Hipervínculo1,Hipervínculo11,Hipervínculo12,Hipervínculo13,Hipervínculo14,Hipervínculo15"/>
    <w:basedOn w:val="Fuentedeprrafopredeter"/>
    <w:uiPriority w:val="99"/>
    <w:unhideWhenUsed/>
    <w:rsid w:val="00D14485"/>
    <w:rPr>
      <w:color w:val="0563C1" w:themeColor="hyperlink"/>
      <w:u w:val="single"/>
    </w:rPr>
  </w:style>
  <w:style w:type="paragraph" w:customStyle="1" w:styleId="INFOEM">
    <w:name w:val="INFOEM"/>
    <w:basedOn w:val="Normal"/>
    <w:qFormat/>
    <w:rsid w:val="00D1448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1448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14485"/>
    <w:rPr>
      <w:vertAlign w:val="superscript"/>
    </w:rPr>
  </w:style>
  <w:style w:type="paragraph" w:customStyle="1" w:styleId="infoemcitas">
    <w:name w:val="infoem citas"/>
    <w:basedOn w:val="Normal"/>
    <w:qFormat/>
    <w:rsid w:val="00D14485"/>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D1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14485"/>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4294</Words>
  <Characters>23618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6</cp:revision>
  <dcterms:created xsi:type="dcterms:W3CDTF">2025-02-24T16:16:00Z</dcterms:created>
  <dcterms:modified xsi:type="dcterms:W3CDTF">2025-03-26T16:38:00Z</dcterms:modified>
</cp:coreProperties>
</file>