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AF3" w:rsidRPr="00F64B5E" w:rsidRDefault="00DB08F4" w:rsidP="001A241E">
      <w:pPr>
        <w:spacing w:line="360" w:lineRule="auto"/>
        <w:jc w:val="both"/>
        <w:rPr>
          <w:rFonts w:ascii="Palatino Linotype" w:eastAsia="Palatino Linotype" w:hAnsi="Palatino Linotype" w:cs="Palatino Linotype"/>
          <w:color w:val="000000" w:themeColor="text1"/>
        </w:rPr>
      </w:pPr>
      <w:bookmarkStart w:id="0" w:name="_GoBack"/>
      <w:bookmarkEnd w:id="0"/>
      <w:r w:rsidRPr="00F64B5E">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1A241E" w:rsidRPr="00F64B5E">
        <w:rPr>
          <w:rFonts w:ascii="Palatino Linotype" w:eastAsia="Palatino Linotype" w:hAnsi="Palatino Linotype" w:cs="Palatino Linotype"/>
          <w:b/>
          <w:color w:val="000000" w:themeColor="text1"/>
        </w:rPr>
        <w:t xml:space="preserve">de </w:t>
      </w:r>
      <w:r w:rsidR="000240DD">
        <w:rPr>
          <w:rFonts w:ascii="Palatino Linotype" w:eastAsia="Palatino Linotype" w:hAnsi="Palatino Linotype" w:cs="Palatino Linotype"/>
          <w:b/>
          <w:color w:val="000000" w:themeColor="text1"/>
        </w:rPr>
        <w:t xml:space="preserve">fecha </w:t>
      </w:r>
      <w:r w:rsidR="00F74D20" w:rsidRPr="00F64B5E">
        <w:rPr>
          <w:rFonts w:ascii="Palatino Linotype" w:eastAsia="Palatino Linotype" w:hAnsi="Palatino Linotype" w:cs="Palatino Linotype"/>
          <w:b/>
          <w:color w:val="000000" w:themeColor="text1"/>
        </w:rPr>
        <w:t>dieciséis</w:t>
      </w:r>
      <w:r w:rsidR="000240DD">
        <w:rPr>
          <w:rFonts w:ascii="Palatino Linotype" w:eastAsia="Palatino Linotype" w:hAnsi="Palatino Linotype" w:cs="Palatino Linotype"/>
          <w:b/>
          <w:color w:val="000000" w:themeColor="text1"/>
        </w:rPr>
        <w:t xml:space="preserve"> (16)</w:t>
      </w:r>
      <w:r w:rsidR="001A241E" w:rsidRPr="00F64B5E">
        <w:rPr>
          <w:rFonts w:ascii="Palatino Linotype" w:eastAsia="Palatino Linotype" w:hAnsi="Palatino Linotype" w:cs="Palatino Linotype"/>
          <w:b/>
          <w:color w:val="000000" w:themeColor="text1"/>
        </w:rPr>
        <w:t xml:space="preserve"> d</w:t>
      </w:r>
      <w:r w:rsidRPr="00F64B5E">
        <w:rPr>
          <w:rFonts w:ascii="Palatino Linotype" w:eastAsia="Palatino Linotype" w:hAnsi="Palatino Linotype" w:cs="Palatino Linotype"/>
          <w:b/>
          <w:color w:val="000000" w:themeColor="text1"/>
        </w:rPr>
        <w:t>e julio de dos mil veinticinco</w:t>
      </w:r>
      <w:r w:rsidRPr="00F64B5E">
        <w:rPr>
          <w:rFonts w:ascii="Palatino Linotype" w:eastAsia="Palatino Linotype" w:hAnsi="Palatino Linotype" w:cs="Palatino Linotype"/>
          <w:color w:val="000000" w:themeColor="text1"/>
        </w:rPr>
        <w:t>.</w:t>
      </w:r>
    </w:p>
    <w:p w:rsidR="00F97AF3" w:rsidRPr="00F64B5E" w:rsidRDefault="00F97AF3" w:rsidP="001A241E">
      <w:pPr>
        <w:spacing w:line="360" w:lineRule="auto"/>
        <w:jc w:val="both"/>
        <w:rPr>
          <w:rFonts w:ascii="Palatino Linotype" w:eastAsia="Palatino Linotype" w:hAnsi="Palatino Linotype" w:cs="Palatino Linotype"/>
          <w:color w:val="000000" w:themeColor="text1"/>
        </w:rPr>
      </w:pPr>
    </w:p>
    <w:p w:rsidR="00F97AF3" w:rsidRPr="00F64B5E" w:rsidRDefault="00DB08F4" w:rsidP="001A241E">
      <w:pPr>
        <w:spacing w:line="360" w:lineRule="auto"/>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b/>
          <w:color w:val="000000" w:themeColor="text1"/>
        </w:rPr>
        <w:t>VISTO</w:t>
      </w:r>
      <w:r w:rsidRPr="00F64B5E">
        <w:rPr>
          <w:rFonts w:ascii="Palatino Linotype" w:eastAsia="Palatino Linotype" w:hAnsi="Palatino Linotype" w:cs="Palatino Linotype"/>
          <w:color w:val="000000" w:themeColor="text1"/>
        </w:rPr>
        <w:t xml:space="preserve"> l</w:t>
      </w:r>
      <w:r w:rsidR="001A241E" w:rsidRPr="00F64B5E">
        <w:rPr>
          <w:rFonts w:ascii="Palatino Linotype" w:eastAsia="Palatino Linotype" w:hAnsi="Palatino Linotype" w:cs="Palatino Linotype"/>
          <w:color w:val="000000" w:themeColor="text1"/>
        </w:rPr>
        <w:t>os</w:t>
      </w:r>
      <w:r w:rsidRPr="00F64B5E">
        <w:rPr>
          <w:rFonts w:ascii="Palatino Linotype" w:eastAsia="Palatino Linotype" w:hAnsi="Palatino Linotype" w:cs="Palatino Linotype"/>
          <w:color w:val="000000" w:themeColor="text1"/>
        </w:rPr>
        <w:t xml:space="preserve"> expediente</w:t>
      </w:r>
      <w:r w:rsidR="001A241E" w:rsidRPr="00F64B5E">
        <w:rPr>
          <w:rFonts w:ascii="Palatino Linotype" w:eastAsia="Palatino Linotype" w:hAnsi="Palatino Linotype" w:cs="Palatino Linotype"/>
          <w:color w:val="000000" w:themeColor="text1"/>
        </w:rPr>
        <w:t>s</w:t>
      </w:r>
      <w:r w:rsidRPr="00F64B5E">
        <w:rPr>
          <w:rFonts w:ascii="Palatino Linotype" w:eastAsia="Palatino Linotype" w:hAnsi="Palatino Linotype" w:cs="Palatino Linotype"/>
          <w:color w:val="000000" w:themeColor="text1"/>
        </w:rPr>
        <w:t xml:space="preserve"> electrónico</w:t>
      </w:r>
      <w:r w:rsidR="001A241E" w:rsidRPr="00F64B5E">
        <w:rPr>
          <w:rFonts w:ascii="Palatino Linotype" w:eastAsia="Palatino Linotype" w:hAnsi="Palatino Linotype" w:cs="Palatino Linotype"/>
          <w:color w:val="000000" w:themeColor="text1"/>
        </w:rPr>
        <w:t>s</w:t>
      </w:r>
      <w:r w:rsidRPr="00F64B5E">
        <w:rPr>
          <w:rFonts w:ascii="Palatino Linotype" w:eastAsia="Palatino Linotype" w:hAnsi="Palatino Linotype" w:cs="Palatino Linotype"/>
          <w:color w:val="000000" w:themeColor="text1"/>
        </w:rPr>
        <w:t xml:space="preserve"> formado</w:t>
      </w:r>
      <w:r w:rsidR="001A241E" w:rsidRPr="00F64B5E">
        <w:rPr>
          <w:rFonts w:ascii="Palatino Linotype" w:eastAsia="Palatino Linotype" w:hAnsi="Palatino Linotype" w:cs="Palatino Linotype"/>
          <w:color w:val="000000" w:themeColor="text1"/>
        </w:rPr>
        <w:t>s</w:t>
      </w:r>
      <w:r w:rsidRPr="00F64B5E">
        <w:rPr>
          <w:rFonts w:ascii="Palatino Linotype" w:eastAsia="Palatino Linotype" w:hAnsi="Palatino Linotype" w:cs="Palatino Linotype"/>
          <w:color w:val="000000" w:themeColor="text1"/>
        </w:rPr>
        <w:t xml:space="preserve"> con motivo de</w:t>
      </w:r>
      <w:r w:rsidR="001A241E" w:rsidRPr="00F64B5E">
        <w:rPr>
          <w:rFonts w:ascii="Palatino Linotype" w:eastAsia="Palatino Linotype" w:hAnsi="Palatino Linotype" w:cs="Palatino Linotype"/>
          <w:color w:val="000000" w:themeColor="text1"/>
        </w:rPr>
        <w:t xml:space="preserve"> </w:t>
      </w:r>
      <w:r w:rsidRPr="00F64B5E">
        <w:rPr>
          <w:rFonts w:ascii="Palatino Linotype" w:eastAsia="Palatino Linotype" w:hAnsi="Palatino Linotype" w:cs="Palatino Linotype"/>
          <w:color w:val="000000" w:themeColor="text1"/>
        </w:rPr>
        <w:t>l</w:t>
      </w:r>
      <w:r w:rsidR="001A241E" w:rsidRPr="00F64B5E">
        <w:rPr>
          <w:rFonts w:ascii="Palatino Linotype" w:eastAsia="Palatino Linotype" w:hAnsi="Palatino Linotype" w:cs="Palatino Linotype"/>
          <w:color w:val="000000" w:themeColor="text1"/>
        </w:rPr>
        <w:t>os</w:t>
      </w:r>
      <w:r w:rsidRPr="00F64B5E">
        <w:rPr>
          <w:rFonts w:ascii="Palatino Linotype" w:eastAsia="Palatino Linotype" w:hAnsi="Palatino Linotype" w:cs="Palatino Linotype"/>
          <w:color w:val="000000" w:themeColor="text1"/>
        </w:rPr>
        <w:t xml:space="preserve"> recurso</w:t>
      </w:r>
      <w:r w:rsidR="001A241E" w:rsidRPr="00F64B5E">
        <w:rPr>
          <w:rFonts w:ascii="Palatino Linotype" w:eastAsia="Palatino Linotype" w:hAnsi="Palatino Linotype" w:cs="Palatino Linotype"/>
          <w:color w:val="000000" w:themeColor="text1"/>
        </w:rPr>
        <w:t>s</w:t>
      </w:r>
      <w:r w:rsidRPr="00F64B5E">
        <w:rPr>
          <w:rFonts w:ascii="Palatino Linotype" w:eastAsia="Palatino Linotype" w:hAnsi="Palatino Linotype" w:cs="Palatino Linotype"/>
          <w:color w:val="000000" w:themeColor="text1"/>
        </w:rPr>
        <w:t xml:space="preserve"> de revisión </w:t>
      </w:r>
      <w:r w:rsidRPr="00F64B5E">
        <w:rPr>
          <w:rFonts w:ascii="Palatino Linotype" w:eastAsia="Palatino Linotype" w:hAnsi="Palatino Linotype" w:cs="Palatino Linotype"/>
          <w:b/>
          <w:color w:val="000000" w:themeColor="text1"/>
        </w:rPr>
        <w:t xml:space="preserve"> 06513/INFOEM/IP/RR</w:t>
      </w:r>
      <w:r w:rsidR="001A241E" w:rsidRPr="00F64B5E">
        <w:rPr>
          <w:rFonts w:ascii="Palatino Linotype" w:eastAsia="Palatino Linotype" w:hAnsi="Palatino Linotype" w:cs="Palatino Linotype"/>
          <w:b/>
          <w:color w:val="000000" w:themeColor="text1"/>
        </w:rPr>
        <w:t>/2025 y 06514/INFOEM/IP/RR/2025</w:t>
      </w:r>
      <w:r w:rsidRPr="00F64B5E">
        <w:rPr>
          <w:rFonts w:ascii="Palatino Linotype" w:eastAsia="Palatino Linotype" w:hAnsi="Palatino Linotype" w:cs="Palatino Linotype"/>
          <w:b/>
          <w:color w:val="000000" w:themeColor="text1"/>
        </w:rPr>
        <w:t xml:space="preserve">, </w:t>
      </w:r>
      <w:r w:rsidRPr="00F64B5E">
        <w:rPr>
          <w:rFonts w:ascii="Palatino Linotype" w:eastAsia="Palatino Linotype" w:hAnsi="Palatino Linotype" w:cs="Palatino Linotype"/>
          <w:color w:val="000000" w:themeColor="text1"/>
        </w:rPr>
        <w:t xml:space="preserve">promovidos por </w:t>
      </w:r>
      <w:r w:rsidRPr="00F64B5E">
        <w:rPr>
          <w:rFonts w:ascii="Palatino Linotype" w:eastAsia="Palatino Linotype" w:hAnsi="Palatino Linotype" w:cs="Palatino Linotype"/>
          <w:b/>
          <w:color w:val="000000" w:themeColor="text1"/>
        </w:rPr>
        <w:t xml:space="preserve">un usuario que no proporcionó nombre, </w:t>
      </w:r>
      <w:r w:rsidRPr="00F64B5E">
        <w:rPr>
          <w:rFonts w:ascii="Palatino Linotype" w:eastAsia="Palatino Linotype" w:hAnsi="Palatino Linotype" w:cs="Palatino Linotype"/>
          <w:color w:val="000000" w:themeColor="text1"/>
        </w:rPr>
        <w:t>a quien en lo sucesivo se le denominará</w:t>
      </w:r>
      <w:r w:rsidRPr="00F64B5E">
        <w:rPr>
          <w:rFonts w:ascii="Palatino Linotype" w:eastAsia="Palatino Linotype" w:hAnsi="Palatino Linotype" w:cs="Palatino Linotype"/>
          <w:b/>
          <w:color w:val="000000" w:themeColor="text1"/>
        </w:rPr>
        <w:t xml:space="preserve"> </w:t>
      </w:r>
      <w:r w:rsidR="001A241E" w:rsidRPr="00F64B5E">
        <w:rPr>
          <w:rFonts w:ascii="Palatino Linotype" w:eastAsia="Palatino Linotype" w:hAnsi="Palatino Linotype" w:cs="Palatino Linotype"/>
          <w:color w:val="000000" w:themeColor="text1"/>
        </w:rPr>
        <w:t xml:space="preserve">EL </w:t>
      </w:r>
      <w:r w:rsidRPr="00F64B5E">
        <w:rPr>
          <w:rFonts w:ascii="Palatino Linotype" w:eastAsia="Palatino Linotype" w:hAnsi="Palatino Linotype" w:cs="Palatino Linotype"/>
          <w:b/>
          <w:color w:val="000000" w:themeColor="text1"/>
        </w:rPr>
        <w:t>RECURRENTE</w:t>
      </w:r>
      <w:r w:rsidRPr="00F64B5E">
        <w:rPr>
          <w:rFonts w:ascii="Palatino Linotype" w:eastAsia="Palatino Linotype" w:hAnsi="Palatino Linotype" w:cs="Palatino Linotype"/>
          <w:color w:val="000000" w:themeColor="text1"/>
        </w:rPr>
        <w:t xml:space="preserve">, en contra de la respuesta del </w:t>
      </w:r>
      <w:r w:rsidRPr="00F64B5E">
        <w:rPr>
          <w:rFonts w:ascii="Palatino Linotype" w:eastAsia="Palatino Linotype" w:hAnsi="Palatino Linotype" w:cs="Palatino Linotype"/>
          <w:b/>
          <w:color w:val="000000" w:themeColor="text1"/>
        </w:rPr>
        <w:t xml:space="preserve">Ayuntamiento de Toluca, </w:t>
      </w:r>
      <w:r w:rsidRPr="00F64B5E">
        <w:rPr>
          <w:rFonts w:ascii="Palatino Linotype" w:eastAsia="Palatino Linotype" w:hAnsi="Palatino Linotype" w:cs="Palatino Linotype"/>
          <w:color w:val="000000" w:themeColor="text1"/>
        </w:rPr>
        <w:t>en lo sucesivo el</w:t>
      </w:r>
      <w:r w:rsidRPr="00F64B5E">
        <w:rPr>
          <w:rFonts w:ascii="Palatino Linotype" w:eastAsia="Palatino Linotype" w:hAnsi="Palatino Linotype" w:cs="Palatino Linotype"/>
          <w:b/>
          <w:color w:val="000000" w:themeColor="text1"/>
        </w:rPr>
        <w:t xml:space="preserve"> SUJETO OBLIGADO</w:t>
      </w:r>
      <w:r w:rsidRPr="00F64B5E">
        <w:rPr>
          <w:rFonts w:ascii="Palatino Linotype" w:eastAsia="Palatino Linotype" w:hAnsi="Palatino Linotype" w:cs="Palatino Linotype"/>
          <w:color w:val="000000" w:themeColor="text1"/>
        </w:rPr>
        <w:t>, por lo que se procede a dictar la presente resolución, con base en los siguientes:</w:t>
      </w:r>
    </w:p>
    <w:p w:rsidR="00F97AF3" w:rsidRPr="00F64B5E" w:rsidRDefault="00F97AF3" w:rsidP="001A241E">
      <w:pPr>
        <w:spacing w:line="360" w:lineRule="auto"/>
        <w:jc w:val="both"/>
        <w:rPr>
          <w:rFonts w:ascii="Palatino Linotype" w:eastAsia="Palatino Linotype" w:hAnsi="Palatino Linotype" w:cs="Palatino Linotype"/>
          <w:color w:val="000000" w:themeColor="text1"/>
        </w:rPr>
      </w:pPr>
    </w:p>
    <w:p w:rsidR="00F97AF3" w:rsidRPr="00F64B5E" w:rsidRDefault="00DB08F4" w:rsidP="001A241E">
      <w:pPr>
        <w:keepNext/>
        <w:keepLines/>
        <w:spacing w:line="360" w:lineRule="auto"/>
        <w:jc w:val="center"/>
        <w:rPr>
          <w:rFonts w:ascii="Palatino Linotype" w:eastAsia="Palatino Linotype" w:hAnsi="Palatino Linotype" w:cs="Palatino Linotype"/>
          <w:b/>
          <w:color w:val="000000" w:themeColor="text1"/>
        </w:rPr>
      </w:pPr>
      <w:bookmarkStart w:id="1" w:name="_heading=h.gjdgxs" w:colFirst="0" w:colLast="0"/>
      <w:bookmarkEnd w:id="1"/>
      <w:r w:rsidRPr="00F64B5E">
        <w:rPr>
          <w:rFonts w:ascii="Palatino Linotype" w:eastAsia="Palatino Linotype" w:hAnsi="Palatino Linotype" w:cs="Palatino Linotype"/>
          <w:b/>
          <w:color w:val="000000" w:themeColor="text1"/>
        </w:rPr>
        <w:t>A N T E C E D E N T E S</w:t>
      </w:r>
    </w:p>
    <w:p w:rsidR="00F97AF3" w:rsidRPr="00F64B5E" w:rsidRDefault="00F97AF3" w:rsidP="001A241E">
      <w:pPr>
        <w:spacing w:line="360" w:lineRule="auto"/>
        <w:rPr>
          <w:rFonts w:ascii="Palatino Linotype" w:eastAsia="Palatino Linotype" w:hAnsi="Palatino Linotype" w:cs="Palatino Linotype"/>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El veintitrés de abril de dos mil veinticinco, el</w:t>
      </w:r>
      <w:r w:rsidRPr="00F64B5E">
        <w:rPr>
          <w:rFonts w:ascii="Palatino Linotype" w:eastAsia="Palatino Linotype" w:hAnsi="Palatino Linotype" w:cs="Palatino Linotype"/>
          <w:b/>
          <w:color w:val="000000" w:themeColor="text1"/>
        </w:rPr>
        <w:t xml:space="preserve"> RECURRENTE </w:t>
      </w:r>
      <w:r w:rsidRPr="00F64B5E">
        <w:rPr>
          <w:rFonts w:ascii="Palatino Linotype" w:eastAsia="Palatino Linotype" w:hAnsi="Palatino Linotype" w:cs="Palatino Linotype"/>
          <w:color w:val="000000" w:themeColor="text1"/>
        </w:rPr>
        <w:t xml:space="preserve">presentó ante el </w:t>
      </w:r>
      <w:r w:rsidRPr="00F64B5E">
        <w:rPr>
          <w:rFonts w:ascii="Palatino Linotype" w:eastAsia="Palatino Linotype" w:hAnsi="Palatino Linotype" w:cs="Palatino Linotype"/>
          <w:b/>
          <w:color w:val="000000" w:themeColor="text1"/>
        </w:rPr>
        <w:t>SUJETO OBLIGADO,</w:t>
      </w:r>
      <w:r w:rsidRPr="00F64B5E">
        <w:rPr>
          <w:rFonts w:ascii="Palatino Linotype" w:eastAsia="Palatino Linotype" w:hAnsi="Palatino Linotype" w:cs="Palatino Linotype"/>
          <w:color w:val="000000" w:themeColor="text1"/>
        </w:rPr>
        <w:t xml:space="preserve"> a través del el Sistema de Acceso a la Información Mexiquense </w:t>
      </w:r>
      <w:r w:rsidRPr="00F64B5E">
        <w:rPr>
          <w:rFonts w:ascii="Palatino Linotype" w:eastAsia="Palatino Linotype" w:hAnsi="Palatino Linotype" w:cs="Palatino Linotype"/>
          <w:b/>
          <w:color w:val="000000" w:themeColor="text1"/>
        </w:rPr>
        <w:t>(SAIMEX),</w:t>
      </w:r>
      <w:r w:rsidRPr="00F64B5E">
        <w:rPr>
          <w:rFonts w:ascii="Palatino Linotype" w:eastAsia="Palatino Linotype" w:hAnsi="Palatino Linotype" w:cs="Palatino Linotype"/>
          <w:color w:val="000000" w:themeColor="text1"/>
        </w:rPr>
        <w:t xml:space="preserve"> la</w:t>
      </w:r>
      <w:r w:rsidR="001A241E" w:rsidRPr="00F64B5E">
        <w:rPr>
          <w:rFonts w:ascii="Palatino Linotype" w:eastAsia="Palatino Linotype" w:hAnsi="Palatino Linotype" w:cs="Palatino Linotype"/>
          <w:color w:val="000000" w:themeColor="text1"/>
        </w:rPr>
        <w:t>s</w:t>
      </w:r>
      <w:r w:rsidRPr="00F64B5E">
        <w:rPr>
          <w:rFonts w:ascii="Palatino Linotype" w:eastAsia="Palatino Linotype" w:hAnsi="Palatino Linotype" w:cs="Palatino Linotype"/>
          <w:color w:val="000000" w:themeColor="text1"/>
        </w:rPr>
        <w:t xml:space="preserve"> solicitud</w:t>
      </w:r>
      <w:r w:rsidR="001A241E" w:rsidRPr="00F64B5E">
        <w:rPr>
          <w:rFonts w:ascii="Palatino Linotype" w:eastAsia="Palatino Linotype" w:hAnsi="Palatino Linotype" w:cs="Palatino Linotype"/>
          <w:color w:val="000000" w:themeColor="text1"/>
        </w:rPr>
        <w:t>es</w:t>
      </w:r>
      <w:r w:rsidRPr="00F64B5E">
        <w:rPr>
          <w:rFonts w:ascii="Palatino Linotype" w:eastAsia="Palatino Linotype" w:hAnsi="Palatino Linotype" w:cs="Palatino Linotype"/>
          <w:color w:val="000000" w:themeColor="text1"/>
        </w:rPr>
        <w:t xml:space="preserve"> de información pública</w:t>
      </w:r>
      <w:r w:rsidR="001A241E" w:rsidRPr="00F64B5E">
        <w:rPr>
          <w:rFonts w:ascii="Palatino Linotype" w:eastAsia="Palatino Linotype" w:hAnsi="Palatino Linotype" w:cs="Palatino Linotype"/>
          <w:color w:val="000000" w:themeColor="text1"/>
        </w:rPr>
        <w:t>s</w:t>
      </w:r>
      <w:r w:rsidRPr="00F64B5E">
        <w:rPr>
          <w:rFonts w:ascii="Palatino Linotype" w:eastAsia="Palatino Linotype" w:hAnsi="Palatino Linotype" w:cs="Palatino Linotype"/>
          <w:color w:val="000000" w:themeColor="text1"/>
        </w:rPr>
        <w:t xml:space="preserve"> </w:t>
      </w:r>
      <w:r w:rsidRPr="00F64B5E">
        <w:rPr>
          <w:rFonts w:ascii="Palatino Linotype" w:eastAsia="Palatino Linotype" w:hAnsi="Palatino Linotype" w:cs="Palatino Linotype"/>
          <w:b/>
          <w:color w:val="000000" w:themeColor="text1"/>
        </w:rPr>
        <w:t>02422/TOLUCA/IP/2025 y 02421/TOLUCA/IP/2025</w:t>
      </w:r>
      <w:r w:rsidR="001A241E" w:rsidRPr="00F64B5E">
        <w:rPr>
          <w:rFonts w:ascii="Palatino Linotype" w:eastAsia="Palatino Linotype" w:hAnsi="Palatino Linotype" w:cs="Palatino Linotype"/>
          <w:color w:val="000000" w:themeColor="text1"/>
        </w:rPr>
        <w:t xml:space="preserve">, </w:t>
      </w:r>
      <w:r w:rsidR="000240DD">
        <w:rPr>
          <w:rFonts w:ascii="Palatino Linotype" w:eastAsia="Palatino Linotype" w:hAnsi="Palatino Linotype" w:cs="Palatino Linotype"/>
          <w:color w:val="000000" w:themeColor="text1"/>
        </w:rPr>
        <w:t>en la que se</w:t>
      </w:r>
      <w:r w:rsidRPr="00F64B5E">
        <w:rPr>
          <w:rFonts w:ascii="Palatino Linotype" w:eastAsia="Palatino Linotype" w:hAnsi="Palatino Linotype" w:cs="Palatino Linotype"/>
          <w:color w:val="000000" w:themeColor="text1"/>
        </w:rPr>
        <w:t xml:space="preserve"> solicitó:</w:t>
      </w:r>
    </w:p>
    <w:p w:rsidR="00F97AF3" w:rsidRPr="00F64B5E" w:rsidRDefault="00F97AF3" w:rsidP="001A241E">
      <w:pPr>
        <w:jc w:val="both"/>
        <w:rPr>
          <w:rFonts w:ascii="Palatino Linotype" w:eastAsia="Palatino Linotype" w:hAnsi="Palatino Linotype" w:cs="Palatino Linotype"/>
          <w:i/>
          <w:color w:val="000000" w:themeColor="text1"/>
        </w:rPr>
      </w:pPr>
    </w:p>
    <w:tbl>
      <w:tblPr>
        <w:tblStyle w:val="a"/>
        <w:tblW w:w="8642"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670"/>
      </w:tblGrid>
      <w:tr w:rsidR="001A241E" w:rsidRPr="00F64B5E" w:rsidTr="001A241E">
        <w:tc>
          <w:tcPr>
            <w:tcW w:w="2972" w:type="dxa"/>
            <w:shd w:val="clear" w:color="auto" w:fill="D9D9D9"/>
          </w:tcPr>
          <w:p w:rsidR="00F97AF3" w:rsidRPr="00F64B5E" w:rsidRDefault="00DB08F4" w:rsidP="001A241E">
            <w:pP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b/>
                <w:color w:val="000000" w:themeColor="text1"/>
              </w:rPr>
              <w:t xml:space="preserve">02422/TOLUCA/IP/2025 </w:t>
            </w:r>
          </w:p>
        </w:tc>
        <w:tc>
          <w:tcPr>
            <w:tcW w:w="5670" w:type="dxa"/>
          </w:tcPr>
          <w:p w:rsidR="00F97AF3" w:rsidRPr="00F64B5E" w:rsidRDefault="00DB08F4" w:rsidP="001A241E">
            <w:pPr>
              <w:tabs>
                <w:tab w:val="left" w:pos="2175"/>
              </w:tabs>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“Los programas de las Tics del año 2025 -y los resultados resultados.” (Sic)</w:t>
            </w:r>
          </w:p>
        </w:tc>
      </w:tr>
      <w:tr w:rsidR="001A241E" w:rsidRPr="00F64B5E" w:rsidTr="001A241E">
        <w:tc>
          <w:tcPr>
            <w:tcW w:w="2972" w:type="dxa"/>
            <w:shd w:val="clear" w:color="auto" w:fill="D9D9D9"/>
          </w:tcPr>
          <w:p w:rsidR="00F97AF3" w:rsidRPr="00F64B5E" w:rsidRDefault="00DB08F4" w:rsidP="001A241E">
            <w:pP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b/>
                <w:color w:val="000000" w:themeColor="text1"/>
              </w:rPr>
              <w:t>02421/TOLUCA/IP/2025</w:t>
            </w:r>
          </w:p>
        </w:tc>
        <w:tc>
          <w:tcPr>
            <w:tcW w:w="5670" w:type="dxa"/>
          </w:tcPr>
          <w:p w:rsidR="00F97AF3" w:rsidRPr="00F64B5E" w:rsidRDefault="00DB08F4" w:rsidP="001A241E">
            <w:pP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“Los programas de las Tics del año 2022 a 2024 -y los resultados resultados.” (Sic)</w:t>
            </w:r>
          </w:p>
        </w:tc>
      </w:tr>
    </w:tbl>
    <w:p w:rsidR="00F97AF3" w:rsidRDefault="00F97AF3" w:rsidP="001A241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240DD" w:rsidRPr="00F64B5E" w:rsidRDefault="000240DD" w:rsidP="001A241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 xml:space="preserve">Se hace constar que se señaló como modalidad de entrega de la información a través del </w:t>
      </w:r>
      <w:r w:rsidRPr="00F64B5E">
        <w:rPr>
          <w:rFonts w:ascii="Palatino Linotype" w:eastAsia="Palatino Linotype" w:hAnsi="Palatino Linotype" w:cs="Palatino Linotype"/>
          <w:b/>
          <w:color w:val="000000" w:themeColor="text1"/>
        </w:rPr>
        <w:t>SAIMEX.</w:t>
      </w:r>
    </w:p>
    <w:p w:rsidR="00F97AF3" w:rsidRPr="00F64B5E" w:rsidRDefault="00F97AF3" w:rsidP="001A241E">
      <w:pPr>
        <w:spacing w:line="360" w:lineRule="auto"/>
        <w:jc w:val="both"/>
        <w:rPr>
          <w:rFonts w:ascii="Palatino Linotype" w:eastAsia="Palatino Linotype" w:hAnsi="Palatino Linotype" w:cs="Palatino Linotype"/>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lastRenderedPageBreak/>
        <w:t xml:space="preserve">El catorce de mayo de dos mil veinticinco, el </w:t>
      </w:r>
      <w:r w:rsidRPr="00F64B5E">
        <w:rPr>
          <w:rFonts w:ascii="Palatino Linotype" w:eastAsia="Palatino Linotype" w:hAnsi="Palatino Linotype" w:cs="Palatino Linotype"/>
          <w:b/>
          <w:color w:val="000000" w:themeColor="text1"/>
        </w:rPr>
        <w:t>SUJETO OBLIGADO</w:t>
      </w:r>
      <w:r w:rsidRPr="00F64B5E">
        <w:rPr>
          <w:rFonts w:ascii="Palatino Linotype" w:eastAsia="Palatino Linotype" w:hAnsi="Palatino Linotype" w:cs="Palatino Linotype"/>
          <w:b/>
          <w:i/>
          <w:color w:val="000000" w:themeColor="text1"/>
        </w:rPr>
        <w:t xml:space="preserve"> </w:t>
      </w:r>
      <w:r w:rsidRPr="00F64B5E">
        <w:rPr>
          <w:rFonts w:ascii="Palatino Linotype" w:eastAsia="Palatino Linotype" w:hAnsi="Palatino Linotype" w:cs="Palatino Linotype"/>
          <w:color w:val="000000" w:themeColor="text1"/>
        </w:rPr>
        <w:t>dio respuesta a la solicitud de información, en los siguientes términos:</w:t>
      </w:r>
    </w:p>
    <w:p w:rsidR="00F97AF3" w:rsidRPr="00F64B5E" w:rsidRDefault="00F97AF3" w:rsidP="001A241E">
      <w:pPr>
        <w:spacing w:line="360" w:lineRule="auto"/>
        <w:jc w:val="both"/>
        <w:rPr>
          <w:rFonts w:ascii="Palatino Linotype" w:eastAsia="Palatino Linotype" w:hAnsi="Palatino Linotype" w:cs="Palatino Linotype"/>
          <w:color w:val="000000" w:themeColor="text1"/>
        </w:rPr>
      </w:pPr>
    </w:p>
    <w:tbl>
      <w:tblPr>
        <w:tblStyle w:val="a0"/>
        <w:tblW w:w="892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812"/>
      </w:tblGrid>
      <w:tr w:rsidR="001A241E" w:rsidRPr="00F64B5E" w:rsidTr="001A241E">
        <w:tc>
          <w:tcPr>
            <w:tcW w:w="3114" w:type="dxa"/>
            <w:shd w:val="clear" w:color="auto" w:fill="D9D9D9"/>
          </w:tcPr>
          <w:p w:rsidR="00F97AF3" w:rsidRPr="00F64B5E" w:rsidRDefault="00DB08F4" w:rsidP="001A241E">
            <w:pP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b/>
                <w:color w:val="000000" w:themeColor="text1"/>
              </w:rPr>
              <w:t xml:space="preserve">02422/TOLUCA/IP/2025 </w:t>
            </w:r>
          </w:p>
        </w:tc>
        <w:tc>
          <w:tcPr>
            <w:tcW w:w="5812" w:type="dxa"/>
          </w:tcPr>
          <w:p w:rsidR="00F97AF3" w:rsidRPr="00F64B5E" w:rsidRDefault="00DB08F4" w:rsidP="001A241E">
            <w:pPr>
              <w:tabs>
                <w:tab w:val="left" w:pos="1005"/>
              </w:tabs>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“En atención a la solicitud con folio 02422/TOLUCA/IP/2025, me permito adjuntar al presente la respuesta correspondiente, Sin más por el momento, reciba un saludo.” (Sic)</w:t>
            </w:r>
          </w:p>
          <w:p w:rsidR="00F97AF3" w:rsidRPr="00F64B5E" w:rsidRDefault="00F97AF3" w:rsidP="001A241E">
            <w:pPr>
              <w:tabs>
                <w:tab w:val="left" w:pos="1005"/>
              </w:tabs>
              <w:jc w:val="both"/>
              <w:rPr>
                <w:rFonts w:ascii="Palatino Linotype" w:eastAsia="Palatino Linotype" w:hAnsi="Palatino Linotype" w:cs="Palatino Linotype"/>
                <w:color w:val="000000" w:themeColor="text1"/>
              </w:rPr>
            </w:pPr>
          </w:p>
          <w:p w:rsidR="00F97AF3" w:rsidRPr="00F64B5E" w:rsidRDefault="00DB08F4" w:rsidP="001A241E">
            <w:pPr>
              <w:tabs>
                <w:tab w:val="left" w:pos="1005"/>
              </w:tabs>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Archivos electrónicos adjuntos:</w:t>
            </w:r>
          </w:p>
          <w:p w:rsidR="00F97AF3" w:rsidRPr="00F64B5E" w:rsidRDefault="00F97AF3" w:rsidP="001A241E">
            <w:pPr>
              <w:tabs>
                <w:tab w:val="left" w:pos="1005"/>
              </w:tabs>
              <w:jc w:val="both"/>
              <w:rPr>
                <w:rFonts w:ascii="Palatino Linotype" w:eastAsia="Palatino Linotype" w:hAnsi="Palatino Linotype" w:cs="Palatino Linotype"/>
                <w:color w:val="000000" w:themeColor="text1"/>
              </w:rPr>
            </w:pPr>
          </w:p>
          <w:p w:rsidR="00F97AF3" w:rsidRPr="00F64B5E" w:rsidRDefault="00722FA1" w:rsidP="001A241E">
            <w:pPr>
              <w:tabs>
                <w:tab w:val="left" w:pos="1005"/>
              </w:tabs>
              <w:jc w:val="both"/>
              <w:rPr>
                <w:rFonts w:ascii="Palatino Linotype" w:eastAsia="Palatino Linotype" w:hAnsi="Palatino Linotype" w:cs="Palatino Linotype"/>
                <w:color w:val="000000" w:themeColor="text1"/>
              </w:rPr>
            </w:pPr>
            <w:hyperlink r:id="rId9">
              <w:r w:rsidR="00DB08F4" w:rsidRPr="00F64B5E">
                <w:rPr>
                  <w:rFonts w:ascii="Palatino Linotype" w:eastAsia="Palatino Linotype" w:hAnsi="Palatino Linotype" w:cs="Palatino Linotype"/>
                  <w:b/>
                  <w:color w:val="000000" w:themeColor="text1"/>
                </w:rPr>
                <w:t>2025_120286.pdf</w:t>
              </w:r>
            </w:hyperlink>
            <w:r w:rsidR="00DB08F4" w:rsidRPr="00F64B5E">
              <w:rPr>
                <w:rFonts w:ascii="Palatino Linotype" w:eastAsia="Palatino Linotype" w:hAnsi="Palatino Linotype" w:cs="Palatino Linotype"/>
                <w:color w:val="000000" w:themeColor="text1"/>
              </w:rPr>
              <w:t>: Documento consistente en el Avance del Programa Sectorial de Tecnologías de información y Comunicaciones 2025 del Municipio de Toluca, al 28 de abril de 2025.</w:t>
            </w:r>
          </w:p>
          <w:p w:rsidR="00F97AF3" w:rsidRPr="00F64B5E" w:rsidRDefault="00F97AF3" w:rsidP="001A241E">
            <w:pPr>
              <w:tabs>
                <w:tab w:val="left" w:pos="1005"/>
              </w:tabs>
              <w:jc w:val="both"/>
              <w:rPr>
                <w:rFonts w:ascii="Palatino Linotype" w:eastAsia="Palatino Linotype" w:hAnsi="Palatino Linotype" w:cs="Palatino Linotype"/>
                <w:color w:val="000000" w:themeColor="text1"/>
              </w:rPr>
            </w:pPr>
          </w:p>
          <w:p w:rsidR="00F97AF3" w:rsidRPr="00F64B5E" w:rsidRDefault="00722FA1" w:rsidP="001A241E">
            <w:pPr>
              <w:tabs>
                <w:tab w:val="left" w:pos="1005"/>
              </w:tabs>
              <w:jc w:val="both"/>
              <w:rPr>
                <w:rFonts w:ascii="Palatino Linotype" w:eastAsia="Palatino Linotype" w:hAnsi="Palatino Linotype" w:cs="Palatino Linotype"/>
                <w:color w:val="000000" w:themeColor="text1"/>
              </w:rPr>
            </w:pPr>
            <w:hyperlink r:id="rId10">
              <w:r w:rsidR="00DB08F4" w:rsidRPr="00F64B5E">
                <w:rPr>
                  <w:rFonts w:ascii="Palatino Linotype" w:eastAsia="Palatino Linotype" w:hAnsi="Palatino Linotype" w:cs="Palatino Linotype"/>
                  <w:b/>
                  <w:color w:val="000000" w:themeColor="text1"/>
                </w:rPr>
                <w:t>R. 02422_25.pdf</w:t>
              </w:r>
            </w:hyperlink>
            <w:r w:rsidR="00DB08F4" w:rsidRPr="00F64B5E">
              <w:rPr>
                <w:rFonts w:ascii="Palatino Linotype" w:eastAsia="Palatino Linotype" w:hAnsi="Palatino Linotype" w:cs="Palatino Linotype"/>
                <w:color w:val="000000" w:themeColor="text1"/>
              </w:rPr>
              <w:t>: Oficio suscrito por el Titular de la Unidad de Transparencia, por medio del cual, informó que la Dirección General de Administración y Servidora Pública Habilitada, refirieron que la Dirección de Innovación y Gobierno Digital, después de haber realizado una búsqueda exhaustiva y razonable en sus archivos, hizo entrega de la información disponible a la fecha, es decir, el reporte que incluye los datos recopilados, así como, un análisis preliminar de los progresos alcanzados.</w:t>
            </w:r>
          </w:p>
          <w:p w:rsidR="00F97AF3" w:rsidRPr="00F64B5E" w:rsidRDefault="00F97AF3" w:rsidP="001A241E">
            <w:pPr>
              <w:tabs>
                <w:tab w:val="left" w:pos="1005"/>
              </w:tabs>
              <w:jc w:val="both"/>
              <w:rPr>
                <w:rFonts w:ascii="Palatino Linotype" w:eastAsia="Palatino Linotype" w:hAnsi="Palatino Linotype" w:cs="Palatino Linotype"/>
                <w:i/>
                <w:color w:val="000000" w:themeColor="text1"/>
              </w:rPr>
            </w:pPr>
          </w:p>
        </w:tc>
      </w:tr>
      <w:tr w:rsidR="001A241E" w:rsidRPr="00F64B5E" w:rsidTr="001A241E">
        <w:tc>
          <w:tcPr>
            <w:tcW w:w="3114" w:type="dxa"/>
            <w:shd w:val="clear" w:color="auto" w:fill="D9D9D9"/>
          </w:tcPr>
          <w:p w:rsidR="00F97AF3" w:rsidRPr="00F64B5E" w:rsidRDefault="00DB08F4" w:rsidP="001A241E">
            <w:pP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b/>
                <w:color w:val="000000" w:themeColor="text1"/>
              </w:rPr>
              <w:t>02421/TOLUCA/IP/2025</w:t>
            </w:r>
          </w:p>
        </w:tc>
        <w:tc>
          <w:tcPr>
            <w:tcW w:w="5812" w:type="dxa"/>
          </w:tcPr>
          <w:p w:rsidR="00F97AF3" w:rsidRPr="00F64B5E" w:rsidRDefault="00DB08F4" w:rsidP="001A241E">
            <w:pP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“En atención a la solicitud con folio 02421/TOLUCA/IP/2025, me permito adjuntar al presente la respuesta correspondiente, Sin más por el momento, reciba un saludo.” (Sic)</w:t>
            </w:r>
          </w:p>
          <w:p w:rsidR="00F97AF3" w:rsidRPr="00F64B5E" w:rsidRDefault="00F97AF3" w:rsidP="001A241E">
            <w:pPr>
              <w:jc w:val="both"/>
              <w:rPr>
                <w:rFonts w:ascii="Palatino Linotype" w:eastAsia="Palatino Linotype" w:hAnsi="Palatino Linotype" w:cs="Palatino Linotype"/>
                <w:color w:val="000000" w:themeColor="text1"/>
              </w:rPr>
            </w:pPr>
          </w:p>
          <w:p w:rsidR="00F97AF3" w:rsidRPr="00F64B5E" w:rsidRDefault="00DB08F4" w:rsidP="001A241E">
            <w:pPr>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Archivos electrónicos adjuntos:</w:t>
            </w:r>
          </w:p>
          <w:p w:rsidR="00F97AF3" w:rsidRPr="00F64B5E" w:rsidRDefault="00F97AF3" w:rsidP="001A241E">
            <w:pPr>
              <w:jc w:val="both"/>
              <w:rPr>
                <w:rFonts w:ascii="Palatino Linotype" w:eastAsia="Palatino Linotype" w:hAnsi="Palatino Linotype" w:cs="Palatino Linotype"/>
                <w:color w:val="000000" w:themeColor="text1"/>
              </w:rPr>
            </w:pPr>
          </w:p>
          <w:p w:rsidR="00F97AF3" w:rsidRPr="00F64B5E" w:rsidRDefault="00722FA1" w:rsidP="001A241E">
            <w:pPr>
              <w:jc w:val="both"/>
              <w:rPr>
                <w:rFonts w:ascii="Palatino Linotype" w:eastAsia="Palatino Linotype" w:hAnsi="Palatino Linotype" w:cs="Palatino Linotype"/>
                <w:color w:val="000000" w:themeColor="text1"/>
              </w:rPr>
            </w:pPr>
            <w:hyperlink r:id="rId11">
              <w:r w:rsidR="00DB08F4" w:rsidRPr="00F64B5E">
                <w:rPr>
                  <w:rFonts w:ascii="Palatino Linotype" w:eastAsia="Palatino Linotype" w:hAnsi="Palatino Linotype" w:cs="Palatino Linotype"/>
                  <w:b/>
                  <w:color w:val="000000" w:themeColor="text1"/>
                </w:rPr>
                <w:t>2022 2024_120280.pdf</w:t>
              </w:r>
            </w:hyperlink>
            <w:r w:rsidR="00DB08F4" w:rsidRPr="00F64B5E">
              <w:rPr>
                <w:rFonts w:ascii="Palatino Linotype" w:eastAsia="Palatino Linotype" w:hAnsi="Palatino Linotype" w:cs="Palatino Linotype"/>
                <w:color w:val="000000" w:themeColor="text1"/>
              </w:rPr>
              <w:t xml:space="preserve">: Documento consistente en el Avance del Programa Sectorial de Tecnologías de </w:t>
            </w:r>
            <w:r w:rsidR="00DB08F4" w:rsidRPr="00F64B5E">
              <w:rPr>
                <w:rFonts w:ascii="Palatino Linotype" w:eastAsia="Palatino Linotype" w:hAnsi="Palatino Linotype" w:cs="Palatino Linotype"/>
                <w:color w:val="000000" w:themeColor="text1"/>
              </w:rPr>
              <w:lastRenderedPageBreak/>
              <w:t>información y Comunicaciones 2022, 2023 y 2024 del Municipio de Toluca, al 28 de abril de 2025.</w:t>
            </w:r>
          </w:p>
          <w:p w:rsidR="00F97AF3" w:rsidRPr="00F64B5E" w:rsidRDefault="00F97AF3" w:rsidP="001A241E">
            <w:pPr>
              <w:jc w:val="both"/>
              <w:rPr>
                <w:rFonts w:ascii="Palatino Linotype" w:eastAsia="Palatino Linotype" w:hAnsi="Palatino Linotype" w:cs="Palatino Linotype"/>
                <w:color w:val="000000" w:themeColor="text1"/>
              </w:rPr>
            </w:pPr>
          </w:p>
          <w:p w:rsidR="00F97AF3" w:rsidRPr="00F64B5E" w:rsidRDefault="00722FA1" w:rsidP="001A241E">
            <w:pPr>
              <w:jc w:val="both"/>
              <w:rPr>
                <w:rFonts w:ascii="Palatino Linotype" w:eastAsia="Palatino Linotype" w:hAnsi="Palatino Linotype" w:cs="Palatino Linotype"/>
                <w:color w:val="000000" w:themeColor="text1"/>
              </w:rPr>
            </w:pPr>
            <w:hyperlink r:id="rId12">
              <w:r w:rsidR="00DB08F4" w:rsidRPr="00F64B5E">
                <w:rPr>
                  <w:rFonts w:ascii="Palatino Linotype" w:eastAsia="Palatino Linotype" w:hAnsi="Palatino Linotype" w:cs="Palatino Linotype"/>
                  <w:b/>
                  <w:color w:val="000000" w:themeColor="text1"/>
                </w:rPr>
                <w:t>R. 02421_25.pdf</w:t>
              </w:r>
            </w:hyperlink>
            <w:r w:rsidR="00DB08F4" w:rsidRPr="00F64B5E">
              <w:rPr>
                <w:rFonts w:ascii="Palatino Linotype" w:eastAsia="Palatino Linotype" w:hAnsi="Palatino Linotype" w:cs="Palatino Linotype"/>
                <w:color w:val="000000" w:themeColor="text1"/>
              </w:rPr>
              <w:t>: Oficio suscrito por el Titular de la Unidad de Transparencia, por medio del cual, informó que la Dirección General de Administración y Servidora Pública Habilitada, refirieron que la Dirección de Innovación y Gobierno Digital, después de haber realizado una búsqueda exhaustiva y razonable en sus archivos, hizo entrega de la información disponible a la fecha, es decir, el reporte que incluye los datos recopilados, así como, un análisis preliminar de los progresos alcanzados.</w:t>
            </w:r>
          </w:p>
          <w:p w:rsidR="00F97AF3" w:rsidRPr="00F64B5E" w:rsidRDefault="00F97AF3" w:rsidP="001A241E">
            <w:pPr>
              <w:jc w:val="both"/>
              <w:rPr>
                <w:rFonts w:ascii="Palatino Linotype" w:eastAsia="Palatino Linotype" w:hAnsi="Palatino Linotype" w:cs="Palatino Linotype"/>
                <w:i/>
                <w:color w:val="000000" w:themeColor="text1"/>
              </w:rPr>
            </w:pPr>
          </w:p>
        </w:tc>
      </w:tr>
    </w:tbl>
    <w:p w:rsidR="00F97AF3" w:rsidRPr="00F64B5E" w:rsidRDefault="00F97AF3" w:rsidP="001A241E">
      <w:pPr>
        <w:spacing w:line="360" w:lineRule="auto"/>
        <w:rPr>
          <w:rFonts w:ascii="Palatino Linotype" w:eastAsia="Palatino Linotype" w:hAnsi="Palatino Linotype" w:cs="Palatino Linotype"/>
          <w:b/>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El tres de junio de dos mil veinticinco,</w:t>
      </w:r>
      <w:r w:rsidRPr="00F64B5E">
        <w:rPr>
          <w:rFonts w:ascii="Palatino Linotype" w:eastAsia="Palatino Linotype" w:hAnsi="Palatino Linotype" w:cs="Palatino Linotype"/>
          <w:b/>
          <w:color w:val="000000" w:themeColor="text1"/>
        </w:rPr>
        <w:t xml:space="preserve"> </w:t>
      </w:r>
      <w:r w:rsidRPr="00F64B5E">
        <w:rPr>
          <w:rFonts w:ascii="Palatino Linotype" w:eastAsia="Palatino Linotype" w:hAnsi="Palatino Linotype" w:cs="Palatino Linotype"/>
          <w:color w:val="000000" w:themeColor="text1"/>
        </w:rPr>
        <w:t xml:space="preserve">el </w:t>
      </w:r>
      <w:r w:rsidRPr="00F64B5E">
        <w:rPr>
          <w:rFonts w:ascii="Palatino Linotype" w:eastAsia="Palatino Linotype" w:hAnsi="Palatino Linotype" w:cs="Palatino Linotype"/>
          <w:b/>
          <w:color w:val="000000" w:themeColor="text1"/>
        </w:rPr>
        <w:t>RECURRENTE</w:t>
      </w:r>
      <w:r w:rsidRPr="00F64B5E">
        <w:rPr>
          <w:rFonts w:ascii="Palatino Linotype" w:eastAsia="Palatino Linotype" w:hAnsi="Palatino Linotype" w:cs="Palatino Linotype"/>
          <w:color w:val="000000" w:themeColor="text1"/>
        </w:rPr>
        <w:t xml:space="preserve"> interpuso el recurso de revisión en contra de la respuesta respectivamente, en los mismos términos, señalando como:</w:t>
      </w:r>
    </w:p>
    <w:p w:rsidR="00F97AF3" w:rsidRPr="00F64B5E" w:rsidRDefault="00F97AF3" w:rsidP="001A241E">
      <w:pPr>
        <w:jc w:val="both"/>
        <w:rPr>
          <w:rFonts w:ascii="Palatino Linotype" w:eastAsia="Palatino Linotype" w:hAnsi="Palatino Linotype" w:cs="Palatino Linotype"/>
          <w:color w:val="000000" w:themeColor="text1"/>
        </w:rPr>
      </w:pPr>
    </w:p>
    <w:tbl>
      <w:tblPr>
        <w:tblStyle w:val="a1"/>
        <w:tblW w:w="8467"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070"/>
      </w:tblGrid>
      <w:tr w:rsidR="001A241E" w:rsidRPr="00F64B5E" w:rsidTr="001A241E">
        <w:tc>
          <w:tcPr>
            <w:tcW w:w="3397" w:type="dxa"/>
            <w:shd w:val="clear" w:color="auto" w:fill="D9D9D9"/>
          </w:tcPr>
          <w:p w:rsidR="00F97AF3" w:rsidRPr="00F64B5E" w:rsidRDefault="00DB08F4" w:rsidP="001A241E">
            <w:pPr>
              <w:jc w:val="both"/>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b/>
                <w:color w:val="000000" w:themeColor="text1"/>
              </w:rPr>
              <w:t>06513/INFOEM/IP/RR/2025 02422/TOLUCA/IP/2025</w:t>
            </w:r>
          </w:p>
          <w:p w:rsidR="00F97AF3" w:rsidRPr="00F64B5E" w:rsidRDefault="00F97AF3" w:rsidP="001A241E">
            <w:pPr>
              <w:jc w:val="both"/>
              <w:rPr>
                <w:rFonts w:ascii="Palatino Linotype" w:eastAsia="Palatino Linotype" w:hAnsi="Palatino Linotype" w:cs="Palatino Linotype"/>
                <w:i/>
                <w:color w:val="000000" w:themeColor="text1"/>
              </w:rPr>
            </w:pPr>
          </w:p>
        </w:tc>
        <w:tc>
          <w:tcPr>
            <w:tcW w:w="5070" w:type="dxa"/>
          </w:tcPr>
          <w:p w:rsidR="00F97AF3" w:rsidRPr="00F64B5E" w:rsidRDefault="00DB08F4" w:rsidP="001A241E">
            <w:pP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b/>
                <w:color w:val="000000" w:themeColor="text1"/>
              </w:rPr>
              <w:t>Acto impugnado</w:t>
            </w:r>
            <w:r w:rsidRPr="00F64B5E">
              <w:rPr>
                <w:rFonts w:ascii="Palatino Linotype" w:eastAsia="Palatino Linotype" w:hAnsi="Palatino Linotype" w:cs="Palatino Linotype"/>
                <w:b/>
                <w:i/>
                <w:color w:val="000000" w:themeColor="text1"/>
              </w:rPr>
              <w:t>:</w:t>
            </w:r>
            <w:r w:rsidRPr="00F64B5E">
              <w:rPr>
                <w:rFonts w:ascii="Palatino Linotype" w:eastAsia="Palatino Linotype" w:hAnsi="Palatino Linotype" w:cs="Palatino Linotype"/>
                <w:i/>
                <w:color w:val="000000" w:themeColor="text1"/>
              </w:rPr>
              <w:t xml:space="preserve"> “la respuesta no es lo solicitado entrega uno de gobienro del estado” (Sic)</w:t>
            </w:r>
          </w:p>
          <w:p w:rsidR="00F97AF3" w:rsidRPr="00F64B5E" w:rsidRDefault="00F97AF3" w:rsidP="001A241E">
            <w:pPr>
              <w:jc w:val="both"/>
              <w:rPr>
                <w:rFonts w:ascii="Palatino Linotype" w:eastAsia="Palatino Linotype" w:hAnsi="Palatino Linotype" w:cs="Palatino Linotype"/>
                <w:i/>
                <w:color w:val="000000" w:themeColor="text1"/>
              </w:rPr>
            </w:pPr>
          </w:p>
          <w:p w:rsidR="00F97AF3" w:rsidRPr="00F64B5E" w:rsidRDefault="00DB08F4" w:rsidP="001A241E">
            <w:pP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b/>
                <w:color w:val="000000" w:themeColor="text1"/>
              </w:rPr>
              <w:t xml:space="preserve">Razones o Motivos de inconformidad: </w:t>
            </w:r>
            <w:r w:rsidRPr="00F64B5E">
              <w:rPr>
                <w:rFonts w:ascii="Palatino Linotype" w:eastAsia="Palatino Linotype" w:hAnsi="Palatino Linotype" w:cs="Palatino Linotype"/>
                <w:i/>
                <w:color w:val="000000" w:themeColor="text1"/>
              </w:rPr>
              <w:t>“se solicito uno del municipio se pide se entregue” (Sic)</w:t>
            </w:r>
          </w:p>
        </w:tc>
      </w:tr>
      <w:tr w:rsidR="001A241E" w:rsidRPr="00F64B5E" w:rsidTr="001A241E">
        <w:tc>
          <w:tcPr>
            <w:tcW w:w="3397" w:type="dxa"/>
            <w:shd w:val="clear" w:color="auto" w:fill="D9D9D9"/>
          </w:tcPr>
          <w:p w:rsidR="00F97AF3" w:rsidRPr="00F64B5E" w:rsidRDefault="00DB08F4" w:rsidP="001A241E">
            <w:pPr>
              <w:jc w:val="both"/>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b/>
                <w:color w:val="000000" w:themeColor="text1"/>
              </w:rPr>
              <w:t>06514/INFOEM/IP/RR/2025</w:t>
            </w:r>
          </w:p>
          <w:p w:rsidR="00F97AF3" w:rsidRPr="00F64B5E" w:rsidRDefault="00DB08F4" w:rsidP="001A241E">
            <w:pPr>
              <w:jc w:val="both"/>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b/>
                <w:color w:val="000000" w:themeColor="text1"/>
              </w:rPr>
              <w:t>02421/TOLUCA/IP/2025</w:t>
            </w:r>
          </w:p>
          <w:p w:rsidR="00F97AF3" w:rsidRPr="00F64B5E" w:rsidRDefault="00F97AF3" w:rsidP="001A241E">
            <w:pPr>
              <w:jc w:val="both"/>
              <w:rPr>
                <w:rFonts w:ascii="Palatino Linotype" w:eastAsia="Palatino Linotype" w:hAnsi="Palatino Linotype" w:cs="Palatino Linotype"/>
                <w:i/>
                <w:color w:val="000000" w:themeColor="text1"/>
              </w:rPr>
            </w:pPr>
          </w:p>
        </w:tc>
        <w:tc>
          <w:tcPr>
            <w:tcW w:w="5070" w:type="dxa"/>
          </w:tcPr>
          <w:p w:rsidR="00F97AF3" w:rsidRPr="00F64B5E" w:rsidRDefault="00DB08F4" w:rsidP="001A241E">
            <w:pP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b/>
                <w:color w:val="000000" w:themeColor="text1"/>
              </w:rPr>
              <w:t>Acto impugnado</w:t>
            </w:r>
            <w:r w:rsidRPr="00F64B5E">
              <w:rPr>
                <w:rFonts w:ascii="Palatino Linotype" w:eastAsia="Palatino Linotype" w:hAnsi="Palatino Linotype" w:cs="Palatino Linotype"/>
                <w:b/>
                <w:i/>
                <w:color w:val="000000" w:themeColor="text1"/>
              </w:rPr>
              <w:t>:</w:t>
            </w:r>
            <w:r w:rsidRPr="00F64B5E">
              <w:rPr>
                <w:rFonts w:ascii="Palatino Linotype" w:eastAsia="Palatino Linotype" w:hAnsi="Palatino Linotype" w:cs="Palatino Linotype"/>
                <w:i/>
                <w:color w:val="000000" w:themeColor="text1"/>
              </w:rPr>
              <w:t xml:space="preserve"> “la respuesta no es lo solicitado” (Sic)</w:t>
            </w:r>
          </w:p>
          <w:p w:rsidR="00F97AF3" w:rsidRPr="00F64B5E" w:rsidRDefault="00F97AF3" w:rsidP="001A241E">
            <w:pPr>
              <w:jc w:val="both"/>
              <w:rPr>
                <w:rFonts w:ascii="Palatino Linotype" w:eastAsia="Palatino Linotype" w:hAnsi="Palatino Linotype" w:cs="Palatino Linotype"/>
                <w:i/>
                <w:color w:val="000000" w:themeColor="text1"/>
              </w:rPr>
            </w:pPr>
          </w:p>
          <w:p w:rsidR="00F97AF3" w:rsidRPr="00F64B5E" w:rsidRDefault="00DB08F4" w:rsidP="001A241E">
            <w:pP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b/>
                <w:color w:val="000000" w:themeColor="text1"/>
              </w:rPr>
              <w:t xml:space="preserve">Razones o Motivos de inconformidad: </w:t>
            </w:r>
            <w:r w:rsidRPr="00F64B5E">
              <w:rPr>
                <w:rFonts w:ascii="Palatino Linotype" w:eastAsia="Palatino Linotype" w:hAnsi="Palatino Linotype" w:cs="Palatino Linotype"/>
                <w:i/>
                <w:color w:val="000000" w:themeColor="text1"/>
              </w:rPr>
              <w:t>“no enttega lo soclicitado no crresponde a lo solicitado” (Sic)</w:t>
            </w:r>
          </w:p>
        </w:tc>
      </w:tr>
    </w:tbl>
    <w:p w:rsidR="00F97AF3" w:rsidRPr="00F64B5E" w:rsidRDefault="00F97AF3" w:rsidP="001A241E">
      <w:pPr>
        <w:jc w:val="both"/>
        <w:rPr>
          <w:rFonts w:ascii="Palatino Linotype" w:eastAsia="Palatino Linotype" w:hAnsi="Palatino Linotype" w:cs="Palatino Linotype"/>
          <w:b/>
          <w:color w:val="000000" w:themeColor="text1"/>
        </w:rPr>
      </w:pPr>
    </w:p>
    <w:p w:rsidR="001A241E" w:rsidRPr="00F64B5E" w:rsidRDefault="001A241E" w:rsidP="001A241E">
      <w:pPr>
        <w:jc w:val="both"/>
        <w:rPr>
          <w:rFonts w:ascii="Palatino Linotype" w:eastAsia="Palatino Linotype" w:hAnsi="Palatino Linotype" w:cs="Palatino Linotype"/>
          <w:b/>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 xml:space="preserve">Se registraron los recursos de revisión bajo los números de expediente </w:t>
      </w:r>
      <w:r w:rsidRPr="00F64B5E">
        <w:rPr>
          <w:rFonts w:ascii="Palatino Linotype" w:eastAsia="Palatino Linotype" w:hAnsi="Palatino Linotype" w:cs="Palatino Linotype"/>
          <w:b/>
          <w:color w:val="000000" w:themeColor="text1"/>
        </w:rPr>
        <w:t>06513/INFOEM/IP/RR/2025 y 06514/INFOEM/IP/RR/2025</w:t>
      </w:r>
      <w:r w:rsidRPr="00F64B5E">
        <w:rPr>
          <w:rFonts w:ascii="Palatino Linotype" w:eastAsia="Palatino Linotype" w:hAnsi="Palatino Linotype" w:cs="Palatino Linotype"/>
          <w:color w:val="000000" w:themeColor="text1"/>
        </w:rPr>
        <w:t xml:space="preserve">; asimismo, con fundamento en lo </w:t>
      </w:r>
      <w:r w:rsidRPr="00F64B5E">
        <w:rPr>
          <w:rFonts w:ascii="Palatino Linotype" w:eastAsia="Palatino Linotype" w:hAnsi="Palatino Linotype" w:cs="Palatino Linotype"/>
          <w:color w:val="000000" w:themeColor="text1"/>
        </w:rPr>
        <w:lastRenderedPageBreak/>
        <w:t xml:space="preserve">dispuesto por el artículo 185, fracción I, de la Ley de Transparencia y Acceso a la Información Pública del Estado de México y Municipios se turnaron a la </w:t>
      </w:r>
      <w:r w:rsidRPr="00F64B5E">
        <w:rPr>
          <w:rFonts w:ascii="Palatino Linotype" w:eastAsia="Palatino Linotype" w:hAnsi="Palatino Linotype" w:cs="Palatino Linotype"/>
          <w:b/>
          <w:color w:val="000000" w:themeColor="text1"/>
        </w:rPr>
        <w:t>Comisionada María del Rosario Mejía Ayala y a la</w:t>
      </w:r>
      <w:r w:rsidRPr="00F64B5E">
        <w:rPr>
          <w:rFonts w:ascii="Palatino Linotype" w:eastAsia="Palatino Linotype" w:hAnsi="Palatino Linotype" w:cs="Palatino Linotype"/>
          <w:color w:val="000000" w:themeColor="text1"/>
        </w:rPr>
        <w:t xml:space="preserve"> </w:t>
      </w:r>
      <w:r w:rsidRPr="00F64B5E">
        <w:rPr>
          <w:rFonts w:ascii="Palatino Linotype" w:eastAsia="Palatino Linotype" w:hAnsi="Palatino Linotype" w:cs="Palatino Linotype"/>
          <w:b/>
          <w:color w:val="000000" w:themeColor="text1"/>
        </w:rPr>
        <w:t>Comisionada Guadalupe Ramírez Peña,</w:t>
      </w:r>
      <w:r w:rsidRPr="00F64B5E">
        <w:rPr>
          <w:rFonts w:ascii="Palatino Linotype" w:eastAsia="Palatino Linotype" w:hAnsi="Palatino Linotype" w:cs="Palatino Linotype"/>
          <w:color w:val="000000" w:themeColor="text1"/>
        </w:rPr>
        <w:t xml:space="preserve"> </w:t>
      </w:r>
      <w:r w:rsidR="000240DD">
        <w:rPr>
          <w:rFonts w:ascii="Palatino Linotype" w:eastAsia="Palatino Linotype" w:hAnsi="Palatino Linotype" w:cs="Palatino Linotype"/>
          <w:color w:val="000000" w:themeColor="text1"/>
        </w:rPr>
        <w:t xml:space="preserve">para </w:t>
      </w:r>
      <w:r w:rsidRPr="00F64B5E">
        <w:rPr>
          <w:rFonts w:ascii="Palatino Linotype" w:eastAsia="Palatino Linotype" w:hAnsi="Palatino Linotype" w:cs="Palatino Linotype"/>
          <w:color w:val="000000" w:themeColor="text1"/>
        </w:rPr>
        <w:t>su análisis.</w:t>
      </w:r>
    </w:p>
    <w:p w:rsidR="00F97AF3" w:rsidRPr="00F64B5E" w:rsidRDefault="00F97AF3" w:rsidP="001A241E">
      <w:pPr>
        <w:spacing w:line="360" w:lineRule="auto"/>
        <w:jc w:val="both"/>
        <w:rPr>
          <w:rFonts w:ascii="Palatino Linotype" w:eastAsia="Palatino Linotype" w:hAnsi="Palatino Linotype" w:cs="Palatino Linotype"/>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Posteriormente, en la</w:t>
      </w:r>
      <w:r w:rsidRPr="00F64B5E">
        <w:rPr>
          <w:rFonts w:ascii="Palatino Linotype" w:eastAsia="Palatino Linotype" w:hAnsi="Palatino Linotype" w:cs="Palatino Linotype"/>
          <w:b/>
          <w:color w:val="000000" w:themeColor="text1"/>
        </w:rPr>
        <w:t xml:space="preserve"> Vigésima Segunda Novena Sesión Ordinaria, </w:t>
      </w:r>
      <w:r w:rsidRPr="00F64B5E">
        <w:rPr>
          <w:rFonts w:ascii="Palatino Linotype" w:eastAsia="Palatino Linotype" w:hAnsi="Palatino Linotype" w:cs="Palatino Linotype"/>
          <w:color w:val="000000" w:themeColor="text1"/>
        </w:rPr>
        <w:t>celebrada el dieciocho de junio de dos mil veinticinco, el Pleno de este Órgano Autónomo ordenó la acumulación del recurso de revisión</w:t>
      </w:r>
      <w:r w:rsidRPr="00F64B5E">
        <w:rPr>
          <w:rFonts w:ascii="Palatino Linotype" w:eastAsia="Palatino Linotype" w:hAnsi="Palatino Linotype" w:cs="Palatino Linotype"/>
          <w:b/>
          <w:color w:val="000000" w:themeColor="text1"/>
        </w:rPr>
        <w:t xml:space="preserve"> 06514/INFOEM/IP/RR/2025 </w:t>
      </w:r>
      <w:r w:rsidRPr="00F64B5E">
        <w:rPr>
          <w:rFonts w:ascii="Palatino Linotype" w:eastAsia="Palatino Linotype" w:hAnsi="Palatino Linotype" w:cs="Palatino Linotype"/>
          <w:color w:val="000000" w:themeColor="text1"/>
        </w:rPr>
        <w:t xml:space="preserve">al diverso </w:t>
      </w:r>
      <w:r w:rsidRPr="00F64B5E">
        <w:rPr>
          <w:rFonts w:ascii="Palatino Linotype" w:eastAsia="Palatino Linotype" w:hAnsi="Palatino Linotype" w:cs="Palatino Linotype"/>
          <w:b/>
          <w:color w:val="000000" w:themeColor="text1"/>
        </w:rPr>
        <w:t>06513/INFOEM/IP/RR/2025</w:t>
      </w:r>
      <w:r w:rsidRPr="00F64B5E">
        <w:rPr>
          <w:rFonts w:ascii="Palatino Linotype" w:eastAsia="Palatino Linotype" w:hAnsi="Palatino Linotype" w:cs="Palatino Linotype"/>
          <w:color w:val="000000" w:themeColor="text1"/>
        </w:rPr>
        <w:t>, a efecto de que está Órgano Garante formulará y presentará el proyecto de resolución correspondiente, de conformidad con el numeral ONCE, incisos b) y c), de los Lineamientos para la Recepción, Trámite y Resolución de las Solicitudes de Acceso a la Información Pública.</w:t>
      </w:r>
    </w:p>
    <w:p w:rsidR="00F97AF3" w:rsidRPr="00F64B5E" w:rsidRDefault="00F97AF3" w:rsidP="001A241E">
      <w:pPr>
        <w:spacing w:line="360" w:lineRule="auto"/>
        <w:jc w:val="both"/>
        <w:rPr>
          <w:rFonts w:ascii="Palatino Linotype" w:eastAsia="Palatino Linotype" w:hAnsi="Palatino Linotype" w:cs="Palatino Linotype"/>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acuerdo de admisión seis y nueve de junio de dos mil veinticinco, puso a disposición de las partes el expediente electrónico vía </w:t>
      </w:r>
      <w:r w:rsidRPr="00F64B5E">
        <w:rPr>
          <w:rFonts w:ascii="Palatino Linotype" w:eastAsia="Palatino Linotype" w:hAnsi="Palatino Linotype" w:cs="Palatino Linotype"/>
          <w:b/>
          <w:color w:val="000000" w:themeColor="text1"/>
        </w:rPr>
        <w:t xml:space="preserve">SAIMEX </w:t>
      </w:r>
      <w:r w:rsidRPr="00F64B5E">
        <w:rPr>
          <w:rFonts w:ascii="Palatino Linotype" w:eastAsia="Palatino Linotype" w:hAnsi="Palatino Linotype" w:cs="Palatino Linotype"/>
          <w:color w:val="000000" w:themeColor="text1"/>
        </w:rPr>
        <w:t xml:space="preserve">a efecto de que en un plazo máximo de siete días manifestara lo que a derecho conviniera, ofreciera pruebas y alegatos según corresponda al caso concreto, de esta forma para que el </w:t>
      </w:r>
      <w:r w:rsidRPr="00F64B5E">
        <w:rPr>
          <w:rFonts w:ascii="Palatino Linotype" w:eastAsia="Palatino Linotype" w:hAnsi="Palatino Linotype" w:cs="Palatino Linotype"/>
          <w:b/>
          <w:color w:val="000000" w:themeColor="text1"/>
        </w:rPr>
        <w:t>SUJETO OBLIGADO</w:t>
      </w:r>
      <w:r w:rsidRPr="00F64B5E">
        <w:rPr>
          <w:rFonts w:ascii="Palatino Linotype" w:eastAsia="Palatino Linotype" w:hAnsi="Palatino Linotype" w:cs="Palatino Linotype"/>
          <w:color w:val="000000" w:themeColor="text1"/>
        </w:rPr>
        <w:t xml:space="preserve"> presentará el informe justificado procedente.</w:t>
      </w:r>
    </w:p>
    <w:p w:rsidR="00F97AF3" w:rsidRPr="00F64B5E" w:rsidRDefault="00F97AF3" w:rsidP="001A241E">
      <w:pPr>
        <w:spacing w:line="360" w:lineRule="auto"/>
        <w:jc w:val="both"/>
        <w:rPr>
          <w:rFonts w:ascii="Palatino Linotype" w:eastAsia="Palatino Linotype" w:hAnsi="Palatino Linotype" w:cs="Palatino Linotype"/>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 xml:space="preserve">El dieciocho y diecisiete de junio de dos mil veinticinco, el </w:t>
      </w:r>
      <w:r w:rsidRPr="00F64B5E">
        <w:rPr>
          <w:rFonts w:ascii="Palatino Linotype" w:eastAsia="Palatino Linotype" w:hAnsi="Palatino Linotype" w:cs="Palatino Linotype"/>
          <w:b/>
          <w:color w:val="000000" w:themeColor="text1"/>
        </w:rPr>
        <w:t>SUJETO OBLIGADO</w:t>
      </w:r>
      <w:r w:rsidRPr="00F64B5E">
        <w:rPr>
          <w:rFonts w:ascii="Palatino Linotype" w:eastAsia="Palatino Linotype" w:hAnsi="Palatino Linotype" w:cs="Palatino Linotype"/>
          <w:color w:val="000000" w:themeColor="text1"/>
        </w:rPr>
        <w:t xml:space="preserve"> rindió el informe justificado correspondiente, por medio de los siguientes archivos electrónicos:</w:t>
      </w:r>
    </w:p>
    <w:p w:rsidR="00F97AF3" w:rsidRPr="00F64B5E" w:rsidRDefault="00F97AF3" w:rsidP="001A241E">
      <w:pPr>
        <w:rPr>
          <w:rFonts w:ascii="Palatino Linotype" w:eastAsia="Palatino Linotype" w:hAnsi="Palatino Linotype" w:cs="Palatino Linotype"/>
          <w:color w:val="000000" w:themeColor="text1"/>
        </w:rPr>
      </w:pPr>
    </w:p>
    <w:tbl>
      <w:tblPr>
        <w:tblStyle w:val="a2"/>
        <w:tblW w:w="8467"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4928"/>
      </w:tblGrid>
      <w:tr w:rsidR="001A241E" w:rsidRPr="00F64B5E" w:rsidTr="001A241E">
        <w:tc>
          <w:tcPr>
            <w:tcW w:w="3539" w:type="dxa"/>
            <w:shd w:val="clear" w:color="auto" w:fill="D9D9D9"/>
          </w:tcPr>
          <w:p w:rsidR="00F97AF3" w:rsidRPr="00F64B5E" w:rsidRDefault="00DB08F4" w:rsidP="001A241E">
            <w:pPr>
              <w:jc w:val="both"/>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b/>
                <w:color w:val="000000" w:themeColor="text1"/>
              </w:rPr>
              <w:t>06513/INFOEM/IP/RR/2025 02422/TOLUCA/IP/2025</w:t>
            </w:r>
          </w:p>
          <w:p w:rsidR="00F97AF3" w:rsidRPr="00F64B5E" w:rsidRDefault="00F97AF3" w:rsidP="001A241E">
            <w:pPr>
              <w:jc w:val="both"/>
              <w:rPr>
                <w:rFonts w:ascii="Palatino Linotype" w:eastAsia="Palatino Linotype" w:hAnsi="Palatino Linotype" w:cs="Palatino Linotype"/>
                <w:i/>
                <w:color w:val="000000" w:themeColor="text1"/>
              </w:rPr>
            </w:pPr>
          </w:p>
        </w:tc>
        <w:tc>
          <w:tcPr>
            <w:tcW w:w="4928" w:type="dxa"/>
          </w:tcPr>
          <w:p w:rsidR="00F97AF3" w:rsidRPr="00F64B5E" w:rsidRDefault="00722FA1" w:rsidP="001A241E">
            <w:pPr>
              <w:rPr>
                <w:rFonts w:ascii="Palatino Linotype" w:eastAsia="Palatino Linotype" w:hAnsi="Palatino Linotype" w:cs="Palatino Linotype"/>
                <w:color w:val="000000" w:themeColor="text1"/>
              </w:rPr>
            </w:pPr>
            <w:hyperlink r:id="rId13">
              <w:r w:rsidR="00DB08F4" w:rsidRPr="00F64B5E">
                <w:rPr>
                  <w:rFonts w:ascii="Palatino Linotype" w:eastAsia="Palatino Linotype" w:hAnsi="Palatino Linotype" w:cs="Palatino Linotype"/>
                  <w:b/>
                  <w:color w:val="000000" w:themeColor="text1"/>
                </w:rPr>
                <w:t>2. Ratificación RR-6513-2025.pdf</w:t>
              </w:r>
            </w:hyperlink>
            <w:r w:rsidR="00DB08F4" w:rsidRPr="00F64B5E">
              <w:rPr>
                <w:rFonts w:ascii="Palatino Linotype" w:eastAsia="Palatino Linotype" w:hAnsi="Palatino Linotype" w:cs="Palatino Linotype"/>
                <w:color w:val="000000" w:themeColor="text1"/>
              </w:rPr>
              <w:t xml:space="preserve">: Oficio suscrito por el Titular de la Unidad de </w:t>
            </w:r>
            <w:r w:rsidR="00DB08F4" w:rsidRPr="00F64B5E">
              <w:rPr>
                <w:rFonts w:ascii="Palatino Linotype" w:eastAsia="Palatino Linotype" w:hAnsi="Palatino Linotype" w:cs="Palatino Linotype"/>
                <w:color w:val="000000" w:themeColor="text1"/>
              </w:rPr>
              <w:lastRenderedPageBreak/>
              <w:t>Transparencia, por medio del cual, ratificó la respuesta.</w:t>
            </w:r>
          </w:p>
        </w:tc>
      </w:tr>
      <w:tr w:rsidR="001A241E" w:rsidRPr="00F64B5E" w:rsidTr="001A241E">
        <w:tc>
          <w:tcPr>
            <w:tcW w:w="3539" w:type="dxa"/>
            <w:shd w:val="clear" w:color="auto" w:fill="D9D9D9"/>
          </w:tcPr>
          <w:p w:rsidR="00F97AF3" w:rsidRPr="00F64B5E" w:rsidRDefault="00DB08F4" w:rsidP="001A241E">
            <w:pPr>
              <w:jc w:val="both"/>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b/>
                <w:color w:val="000000" w:themeColor="text1"/>
              </w:rPr>
              <w:lastRenderedPageBreak/>
              <w:t>06514/INFOEM/IP/RR/2025</w:t>
            </w:r>
          </w:p>
          <w:p w:rsidR="00F97AF3" w:rsidRPr="00F64B5E" w:rsidRDefault="00DB08F4" w:rsidP="001A241E">
            <w:pPr>
              <w:jc w:val="both"/>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b/>
                <w:color w:val="000000" w:themeColor="text1"/>
              </w:rPr>
              <w:t>02421/TOLUCA/IP/2025</w:t>
            </w:r>
          </w:p>
          <w:p w:rsidR="00F97AF3" w:rsidRPr="00F64B5E" w:rsidRDefault="00F97AF3" w:rsidP="001A241E">
            <w:pPr>
              <w:jc w:val="both"/>
              <w:rPr>
                <w:rFonts w:ascii="Palatino Linotype" w:eastAsia="Palatino Linotype" w:hAnsi="Palatino Linotype" w:cs="Palatino Linotype"/>
                <w:i/>
                <w:color w:val="000000" w:themeColor="text1"/>
              </w:rPr>
            </w:pPr>
          </w:p>
        </w:tc>
        <w:tc>
          <w:tcPr>
            <w:tcW w:w="4928" w:type="dxa"/>
          </w:tcPr>
          <w:p w:rsidR="00F97AF3" w:rsidRPr="00F64B5E" w:rsidRDefault="00722FA1" w:rsidP="001A241E">
            <w:pPr>
              <w:jc w:val="both"/>
              <w:rPr>
                <w:rFonts w:ascii="Palatino Linotype" w:eastAsia="Palatino Linotype" w:hAnsi="Palatino Linotype" w:cs="Palatino Linotype"/>
                <w:b/>
                <w:color w:val="000000" w:themeColor="text1"/>
              </w:rPr>
            </w:pPr>
            <w:hyperlink r:id="rId14">
              <w:r w:rsidR="00DB08F4" w:rsidRPr="00F64B5E">
                <w:rPr>
                  <w:rFonts w:ascii="Palatino Linotype" w:eastAsia="Palatino Linotype" w:hAnsi="Palatino Linotype" w:cs="Palatino Linotype"/>
                  <w:b/>
                  <w:color w:val="000000" w:themeColor="text1"/>
                </w:rPr>
                <w:t>2. Ratificación RR-6514-2025.pdf</w:t>
              </w:r>
            </w:hyperlink>
            <w:r w:rsidR="00DB08F4" w:rsidRPr="00F64B5E">
              <w:rPr>
                <w:rFonts w:ascii="Palatino Linotype" w:eastAsia="Palatino Linotype" w:hAnsi="Palatino Linotype" w:cs="Palatino Linotype"/>
                <w:color w:val="000000" w:themeColor="text1"/>
              </w:rPr>
              <w:t>: Oficio suscrito por el Titular de la Unidad de Transparencia, por medio del cual, ratificó la respuesta.</w:t>
            </w:r>
          </w:p>
        </w:tc>
      </w:tr>
    </w:tbl>
    <w:p w:rsidR="00F97AF3" w:rsidRPr="00F64B5E" w:rsidRDefault="00F97AF3" w:rsidP="001A241E">
      <w:pPr>
        <w:rPr>
          <w:rFonts w:ascii="Palatino Linotype" w:eastAsia="Palatino Linotype" w:hAnsi="Palatino Linotype" w:cs="Palatino Linotype"/>
          <w:color w:val="000000" w:themeColor="text1"/>
        </w:rPr>
      </w:pPr>
    </w:p>
    <w:p w:rsidR="001A241E" w:rsidRPr="00F64B5E" w:rsidRDefault="001A241E" w:rsidP="001A241E">
      <w:pPr>
        <w:rPr>
          <w:rFonts w:ascii="Palatino Linotype" w:eastAsia="Palatino Linotype" w:hAnsi="Palatino Linotype" w:cs="Palatino Linotype"/>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bookmarkStart w:id="2" w:name="_heading=h.1fob9te" w:colFirst="0" w:colLast="0"/>
      <w:bookmarkEnd w:id="2"/>
      <w:r w:rsidRPr="00F64B5E">
        <w:rPr>
          <w:rFonts w:ascii="Palatino Linotype" w:eastAsia="Palatino Linotype" w:hAnsi="Palatino Linotype" w:cs="Palatino Linotype"/>
          <w:color w:val="000000" w:themeColor="text1"/>
        </w:rPr>
        <w:t xml:space="preserve">Por su parte, el </w:t>
      </w:r>
      <w:r w:rsidRPr="00F64B5E">
        <w:rPr>
          <w:rFonts w:ascii="Palatino Linotype" w:eastAsia="Palatino Linotype" w:hAnsi="Palatino Linotype" w:cs="Palatino Linotype"/>
          <w:b/>
          <w:color w:val="000000" w:themeColor="text1"/>
        </w:rPr>
        <w:t xml:space="preserve">RECURRENTE </w:t>
      </w:r>
      <w:r w:rsidRPr="00F64B5E">
        <w:rPr>
          <w:rFonts w:ascii="Palatino Linotype" w:eastAsia="Palatino Linotype" w:hAnsi="Palatino Linotype" w:cs="Palatino Linotype"/>
          <w:color w:val="000000" w:themeColor="text1"/>
        </w:rPr>
        <w:t>no realizó manifestaciones, ni ofreció pruebas o alegatos que a su derecho conviniera.</w:t>
      </w:r>
    </w:p>
    <w:p w:rsidR="00F97AF3" w:rsidRPr="00F64B5E" w:rsidRDefault="00F97AF3" w:rsidP="001A241E">
      <w:pPr>
        <w:spacing w:line="360" w:lineRule="auto"/>
        <w:jc w:val="both"/>
        <w:rPr>
          <w:rFonts w:ascii="Palatino Linotype" w:eastAsia="Palatino Linotype" w:hAnsi="Palatino Linotype" w:cs="Palatino Linotype"/>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color w:val="000000" w:themeColor="text1"/>
        </w:rPr>
        <w:t>La Comisionada Ponente decretó el cierre de instrucción mediante el acuerdo del dos d</w:t>
      </w:r>
      <w:r w:rsidR="001A241E" w:rsidRPr="00F64B5E">
        <w:rPr>
          <w:rFonts w:ascii="Palatino Linotype" w:eastAsia="Palatino Linotype" w:hAnsi="Palatino Linotype" w:cs="Palatino Linotype"/>
          <w:color w:val="000000" w:themeColor="text1"/>
        </w:rPr>
        <w:t>e julio de dos mil veinticinco.</w:t>
      </w:r>
    </w:p>
    <w:p w:rsidR="00F97AF3" w:rsidRPr="00F64B5E" w:rsidRDefault="00F97AF3" w:rsidP="001A241E">
      <w:pPr>
        <w:spacing w:line="360" w:lineRule="auto"/>
        <w:jc w:val="both"/>
        <w:rPr>
          <w:rFonts w:ascii="Palatino Linotype" w:eastAsia="Palatino Linotype" w:hAnsi="Palatino Linotype" w:cs="Palatino Linotype"/>
          <w:b/>
          <w:color w:val="000000" w:themeColor="text1"/>
        </w:rPr>
      </w:pPr>
    </w:p>
    <w:p w:rsidR="00F97AF3" w:rsidRPr="00F64B5E" w:rsidRDefault="00DB08F4" w:rsidP="001A241E">
      <w:pPr>
        <w:keepNext/>
        <w:keepLines/>
        <w:spacing w:line="360" w:lineRule="auto"/>
        <w:jc w:val="center"/>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b/>
          <w:color w:val="000000" w:themeColor="text1"/>
        </w:rPr>
        <w:t xml:space="preserve">C O N S I D E R A N D O </w:t>
      </w:r>
    </w:p>
    <w:p w:rsidR="00F97AF3" w:rsidRPr="00F64B5E" w:rsidRDefault="00F97AF3" w:rsidP="001A241E">
      <w:pPr>
        <w:spacing w:line="360" w:lineRule="auto"/>
        <w:rPr>
          <w:rFonts w:ascii="Palatino Linotype" w:eastAsia="Palatino Linotype" w:hAnsi="Palatino Linotype" w:cs="Palatino Linotype"/>
          <w:color w:val="000000" w:themeColor="text1"/>
        </w:rPr>
      </w:pPr>
    </w:p>
    <w:p w:rsidR="00F97AF3" w:rsidRPr="00F64B5E" w:rsidRDefault="00DB08F4" w:rsidP="001A241E">
      <w:pPr>
        <w:keepNext/>
        <w:keepLines/>
        <w:spacing w:line="360" w:lineRule="auto"/>
        <w:rPr>
          <w:rFonts w:ascii="Palatino Linotype" w:eastAsia="Palatino Linotype" w:hAnsi="Palatino Linotype" w:cs="Palatino Linotype"/>
          <w:b/>
          <w:color w:val="000000" w:themeColor="text1"/>
        </w:rPr>
      </w:pPr>
      <w:bookmarkStart w:id="3" w:name="_heading=h.3znysh7" w:colFirst="0" w:colLast="0"/>
      <w:bookmarkEnd w:id="3"/>
      <w:r w:rsidRPr="00F64B5E">
        <w:rPr>
          <w:rFonts w:ascii="Palatino Linotype" w:eastAsia="Palatino Linotype" w:hAnsi="Palatino Linotype" w:cs="Palatino Linotype"/>
          <w:b/>
          <w:color w:val="000000" w:themeColor="text1"/>
        </w:rPr>
        <w:t>PRIMERO. De la competencia.</w:t>
      </w: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rsidR="00F97AF3" w:rsidRPr="00F64B5E" w:rsidRDefault="00F97AF3" w:rsidP="001A241E">
      <w:pPr>
        <w:spacing w:line="360" w:lineRule="auto"/>
        <w:jc w:val="both"/>
        <w:rPr>
          <w:rFonts w:ascii="Palatino Linotype" w:eastAsia="Palatino Linotype" w:hAnsi="Palatino Linotype" w:cs="Palatino Linotype"/>
          <w:color w:val="000000" w:themeColor="text1"/>
        </w:rPr>
      </w:pPr>
    </w:p>
    <w:p w:rsidR="00F97AF3" w:rsidRPr="00F64B5E" w:rsidRDefault="00DB08F4" w:rsidP="001A241E">
      <w:pPr>
        <w:keepNext/>
        <w:keepLines/>
        <w:spacing w:line="360" w:lineRule="auto"/>
        <w:rPr>
          <w:rFonts w:ascii="Palatino Linotype" w:eastAsia="Palatino Linotype" w:hAnsi="Palatino Linotype" w:cs="Palatino Linotype"/>
          <w:b/>
          <w:color w:val="000000" w:themeColor="text1"/>
        </w:rPr>
      </w:pPr>
      <w:bookmarkStart w:id="4" w:name="_heading=h.2et92p0" w:colFirst="0" w:colLast="0"/>
      <w:bookmarkEnd w:id="4"/>
      <w:r w:rsidRPr="00F64B5E">
        <w:rPr>
          <w:rFonts w:ascii="Palatino Linotype" w:eastAsia="Palatino Linotype" w:hAnsi="Palatino Linotype" w:cs="Palatino Linotype"/>
          <w:b/>
          <w:color w:val="000000" w:themeColor="text1"/>
        </w:rPr>
        <w:lastRenderedPageBreak/>
        <w:t>SEGUNDO. De la oportunidad y procedencia.</w:t>
      </w: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 xml:space="preserve">El medio de impugnación fue presentado a través del </w:t>
      </w:r>
      <w:r w:rsidRPr="00F64B5E">
        <w:rPr>
          <w:rFonts w:ascii="Palatino Linotype" w:eastAsia="Palatino Linotype" w:hAnsi="Palatino Linotype" w:cs="Palatino Linotype"/>
          <w:b/>
          <w:color w:val="000000" w:themeColor="text1"/>
        </w:rPr>
        <w:t>SAIMEX,</w:t>
      </w:r>
      <w:r w:rsidRPr="00F64B5E">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siendo así que el </w:t>
      </w:r>
      <w:r w:rsidRPr="00F64B5E">
        <w:rPr>
          <w:rFonts w:ascii="Palatino Linotype" w:eastAsia="Palatino Linotype" w:hAnsi="Palatino Linotype" w:cs="Palatino Linotype"/>
          <w:b/>
          <w:color w:val="000000" w:themeColor="text1"/>
        </w:rPr>
        <w:t>SUJETO OBLIGADO</w:t>
      </w:r>
      <w:r w:rsidRPr="00F64B5E">
        <w:rPr>
          <w:rFonts w:ascii="Palatino Linotype" w:eastAsia="Palatino Linotype" w:hAnsi="Palatino Linotype" w:cs="Palatino Linotype"/>
          <w:color w:val="000000" w:themeColor="text1"/>
        </w:rPr>
        <w:t xml:space="preserve"> entregó respuesta el catorce de mayo de dos mil veinticinco, de tal forma que el plazo para interponer el recurso de revisión transcurrió del quince de mayo al cuatro de junio de dos mil veinticinco; en consecuencia, presentó su inconformidad el tres de junio de dos mil veinticinco, por lo que se encuentra dentro de los márgenes temporales previstos en el artículo 178 de la </w:t>
      </w:r>
      <w:r w:rsidRPr="00F64B5E">
        <w:rPr>
          <w:rFonts w:ascii="Palatino Linotype" w:eastAsia="Palatino Linotype" w:hAnsi="Palatino Linotype" w:cs="Palatino Linotype"/>
          <w:b/>
          <w:color w:val="000000" w:themeColor="text1"/>
        </w:rPr>
        <w:t xml:space="preserve">Ley de Transparencia y Acceso a la Información Pública del Estado de México y Municipios </w:t>
      </w:r>
      <w:r w:rsidRPr="00F64B5E">
        <w:rPr>
          <w:rFonts w:ascii="Palatino Linotype" w:eastAsia="Palatino Linotype" w:hAnsi="Palatino Linotype" w:cs="Palatino Linotype"/>
          <w:color w:val="000000" w:themeColor="text1"/>
        </w:rPr>
        <w:t>vigente.</w:t>
      </w:r>
    </w:p>
    <w:p w:rsidR="00F97AF3" w:rsidRPr="00F64B5E" w:rsidRDefault="00F97AF3" w:rsidP="001A241E">
      <w:pPr>
        <w:spacing w:line="360" w:lineRule="auto"/>
        <w:jc w:val="both"/>
        <w:rPr>
          <w:rFonts w:ascii="Palatino Linotype" w:eastAsia="Palatino Linotype" w:hAnsi="Palatino Linotype" w:cs="Palatino Linotype"/>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bookmarkStart w:id="5" w:name="_heading=h.3dy6vkm" w:colFirst="0" w:colLast="0"/>
      <w:bookmarkEnd w:id="5"/>
      <w:r w:rsidRPr="00F64B5E">
        <w:rPr>
          <w:rFonts w:ascii="Palatino Linotype" w:eastAsia="Palatino Linotype" w:hAnsi="Palatino Linotype" w:cs="Palatino Linotype"/>
          <w:color w:val="000000" w:themeColor="text1"/>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97AF3" w:rsidRPr="00F64B5E" w:rsidRDefault="00F97AF3" w:rsidP="001A241E">
      <w:pPr>
        <w:spacing w:line="360" w:lineRule="auto"/>
        <w:jc w:val="both"/>
        <w:rPr>
          <w:rFonts w:ascii="Palatino Linotype" w:eastAsia="Palatino Linotype" w:hAnsi="Palatino Linotype" w:cs="Palatino Linotype"/>
          <w:color w:val="000000" w:themeColor="text1"/>
        </w:rPr>
      </w:pPr>
    </w:p>
    <w:p w:rsidR="00F97AF3" w:rsidRPr="00F64B5E" w:rsidRDefault="00DB08F4" w:rsidP="001A241E">
      <w:pPr>
        <w:spacing w:line="360" w:lineRule="auto"/>
        <w:jc w:val="both"/>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b/>
          <w:color w:val="000000" w:themeColor="text1"/>
        </w:rPr>
        <w:t xml:space="preserve">TERCERO. Del planteamiento de la </w:t>
      </w:r>
      <w:r w:rsidRPr="00F64B5E">
        <w:rPr>
          <w:rFonts w:ascii="Palatino Linotype" w:eastAsia="Palatino Linotype" w:hAnsi="Palatino Linotype" w:cs="Palatino Linotype"/>
          <w:b/>
          <w:i/>
          <w:color w:val="000000" w:themeColor="text1"/>
        </w:rPr>
        <w:t>Litis</w:t>
      </w:r>
      <w:r w:rsidRPr="00F64B5E">
        <w:rPr>
          <w:rFonts w:ascii="Palatino Linotype" w:eastAsia="Palatino Linotype" w:hAnsi="Palatino Linotype" w:cs="Palatino Linotype"/>
          <w:b/>
          <w:color w:val="000000" w:themeColor="text1"/>
        </w:rPr>
        <w:t>.</w:t>
      </w: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 xml:space="preserve">El </w:t>
      </w:r>
      <w:r w:rsidRPr="00F64B5E">
        <w:rPr>
          <w:rFonts w:ascii="Palatino Linotype" w:eastAsia="Palatino Linotype" w:hAnsi="Palatino Linotype" w:cs="Palatino Linotype"/>
          <w:b/>
          <w:color w:val="000000" w:themeColor="text1"/>
        </w:rPr>
        <w:t xml:space="preserve">RECURRENTE </w:t>
      </w:r>
      <w:r w:rsidRPr="00F64B5E">
        <w:rPr>
          <w:rFonts w:ascii="Palatino Linotype" w:eastAsia="Palatino Linotype" w:hAnsi="Palatino Linotype" w:cs="Palatino Linotype"/>
          <w:color w:val="000000" w:themeColor="text1"/>
        </w:rPr>
        <w:t>solicitó los programas de las TICS (Tecnologías de la Información y la Comunicación) de 2022, 2023, 2024 y 2025 y los resultados.</w:t>
      </w:r>
    </w:p>
    <w:p w:rsidR="00F97AF3" w:rsidRPr="00F64B5E" w:rsidRDefault="00F97AF3" w:rsidP="001A241E">
      <w:pPr>
        <w:spacing w:line="360" w:lineRule="auto"/>
        <w:jc w:val="both"/>
        <w:rPr>
          <w:rFonts w:ascii="Palatino Linotype" w:eastAsia="Palatino Linotype" w:hAnsi="Palatino Linotype" w:cs="Palatino Linotype"/>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 xml:space="preserve">En respuesta, el </w:t>
      </w:r>
      <w:r w:rsidRPr="00F64B5E">
        <w:rPr>
          <w:rFonts w:ascii="Palatino Linotype" w:eastAsia="Palatino Linotype" w:hAnsi="Palatino Linotype" w:cs="Palatino Linotype"/>
          <w:b/>
          <w:color w:val="000000" w:themeColor="text1"/>
        </w:rPr>
        <w:t>SUJETO OBLIGADO</w:t>
      </w:r>
      <w:r w:rsidRPr="00F64B5E">
        <w:rPr>
          <w:rFonts w:ascii="Palatino Linotype" w:eastAsia="Palatino Linotype" w:hAnsi="Palatino Linotype" w:cs="Palatino Linotype"/>
          <w:color w:val="000000" w:themeColor="text1"/>
        </w:rPr>
        <w:t xml:space="preserve"> por medio de la Dirección General de Administración y la Dirección de Innovación, remitió el Avance del </w:t>
      </w:r>
      <w:r w:rsidRPr="00F64B5E">
        <w:rPr>
          <w:rFonts w:ascii="Palatino Linotype" w:eastAsia="Palatino Linotype" w:hAnsi="Palatino Linotype" w:cs="Palatino Linotype"/>
          <w:b/>
          <w:color w:val="000000" w:themeColor="text1"/>
        </w:rPr>
        <w:t>Programa Sectorial de Tecnologías de Información y Comunicaciones</w:t>
      </w:r>
      <w:r w:rsidRPr="00F64B5E">
        <w:rPr>
          <w:rFonts w:ascii="Palatino Linotype" w:eastAsia="Palatino Linotype" w:hAnsi="Palatino Linotype" w:cs="Palatino Linotype"/>
          <w:color w:val="000000" w:themeColor="text1"/>
        </w:rPr>
        <w:t xml:space="preserve"> 2022, 2023, 2024 y 2025 del Municipio de Toluca, al 28 de abril de 2025.</w:t>
      </w:r>
    </w:p>
    <w:p w:rsidR="00F97AF3" w:rsidRPr="00F64B5E" w:rsidRDefault="00F97AF3" w:rsidP="001A241E">
      <w:pPr>
        <w:spacing w:line="360" w:lineRule="auto"/>
        <w:jc w:val="both"/>
        <w:rPr>
          <w:rFonts w:ascii="Palatino Linotype" w:eastAsia="Palatino Linotype" w:hAnsi="Palatino Linotype" w:cs="Palatino Linotype"/>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lastRenderedPageBreak/>
        <w:t xml:space="preserve">El </w:t>
      </w:r>
      <w:r w:rsidRPr="00F64B5E">
        <w:rPr>
          <w:rFonts w:ascii="Palatino Linotype" w:eastAsia="Palatino Linotype" w:hAnsi="Palatino Linotype" w:cs="Palatino Linotype"/>
          <w:b/>
          <w:color w:val="000000" w:themeColor="text1"/>
        </w:rPr>
        <w:t>RECURRENTE</w:t>
      </w:r>
      <w:r w:rsidRPr="00F64B5E">
        <w:rPr>
          <w:rFonts w:ascii="Palatino Linotype" w:eastAsia="Palatino Linotype" w:hAnsi="Palatino Linotype" w:cs="Palatino Linotype"/>
          <w:color w:val="000000" w:themeColor="text1"/>
        </w:rPr>
        <w:t xml:space="preserve"> interpuso el recurso de revisión en el manifestó que la respuesta no corresponde a lo solicitado porque se entregó información del Gobierno del Estado.</w:t>
      </w:r>
    </w:p>
    <w:p w:rsidR="00F97AF3" w:rsidRPr="00F64B5E" w:rsidRDefault="00F97AF3" w:rsidP="001A241E">
      <w:pPr>
        <w:spacing w:line="360" w:lineRule="auto"/>
        <w:jc w:val="both"/>
        <w:rPr>
          <w:rFonts w:ascii="Palatino Linotype" w:eastAsia="Palatino Linotype" w:hAnsi="Palatino Linotype" w:cs="Palatino Linotype"/>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 xml:space="preserve">En dichas condiciones, la </w:t>
      </w:r>
      <w:r w:rsidRPr="00F64B5E">
        <w:rPr>
          <w:rFonts w:ascii="Palatino Linotype" w:eastAsia="Palatino Linotype" w:hAnsi="Palatino Linotype" w:cs="Palatino Linotype"/>
          <w:i/>
          <w:color w:val="000000" w:themeColor="text1"/>
        </w:rPr>
        <w:t>Litis</w:t>
      </w:r>
      <w:r w:rsidRPr="00F64B5E">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w:t>
      </w:r>
      <w:r w:rsidRPr="00F64B5E">
        <w:rPr>
          <w:rFonts w:ascii="Palatino Linotype" w:eastAsia="Palatino Linotype" w:hAnsi="Palatino Linotype" w:cs="Palatino Linotype"/>
          <w:b/>
          <w:color w:val="000000" w:themeColor="text1"/>
        </w:rPr>
        <w:t>artículo 179</w:t>
      </w:r>
      <w:r w:rsidRPr="00F64B5E">
        <w:rPr>
          <w:rFonts w:ascii="Palatino Linotype" w:eastAsia="Palatino Linotype" w:hAnsi="Palatino Linotype" w:cs="Palatino Linotype"/>
          <w:color w:val="000000" w:themeColor="text1"/>
        </w:rPr>
        <w:t xml:space="preserve">, </w:t>
      </w:r>
      <w:r w:rsidRPr="00F64B5E">
        <w:rPr>
          <w:rFonts w:ascii="Palatino Linotype" w:eastAsia="Palatino Linotype" w:hAnsi="Palatino Linotype" w:cs="Palatino Linotype"/>
          <w:b/>
          <w:color w:val="000000" w:themeColor="text1"/>
        </w:rPr>
        <w:t xml:space="preserve">fracción VI </w:t>
      </w:r>
      <w:r w:rsidRPr="00F64B5E">
        <w:rPr>
          <w:rFonts w:ascii="Palatino Linotype" w:eastAsia="Palatino Linotype" w:hAnsi="Palatino Linotype" w:cs="Palatino Linotype"/>
          <w:color w:val="000000" w:themeColor="text1"/>
        </w:rPr>
        <w:t>de la Ley</w:t>
      </w:r>
      <w:r w:rsidRPr="00F64B5E">
        <w:rPr>
          <w:rFonts w:ascii="Palatino Linotype" w:eastAsia="Palatino Linotype" w:hAnsi="Palatino Linotype" w:cs="Palatino Linotype"/>
          <w:b/>
          <w:color w:val="000000" w:themeColor="text1"/>
        </w:rPr>
        <w:t xml:space="preserve"> de Transparencia y Acceso a la Información Pública del Estado de </w:t>
      </w:r>
      <w:r w:rsidRPr="00F64B5E">
        <w:rPr>
          <w:rFonts w:ascii="Palatino Linotype" w:eastAsia="Palatino Linotype" w:hAnsi="Palatino Linotype" w:cs="Palatino Linotype"/>
          <w:color w:val="000000" w:themeColor="text1"/>
        </w:rPr>
        <w:t>México</w:t>
      </w:r>
      <w:r w:rsidRPr="00F64B5E">
        <w:rPr>
          <w:rFonts w:ascii="Palatino Linotype" w:eastAsia="Palatino Linotype" w:hAnsi="Palatino Linotype" w:cs="Palatino Linotype"/>
          <w:b/>
          <w:color w:val="000000" w:themeColor="text1"/>
        </w:rPr>
        <w:t xml:space="preserve"> y Municipios</w:t>
      </w:r>
      <w:r w:rsidRPr="00F64B5E">
        <w:rPr>
          <w:rFonts w:ascii="Palatino Linotype" w:eastAsia="Palatino Linotype" w:hAnsi="Palatino Linotype" w:cs="Palatino Linotype"/>
          <w:color w:val="000000" w:themeColor="text1"/>
        </w:rPr>
        <w:t xml:space="preserve">; fracción que determina la hipótesis jurídica relativa a </w:t>
      </w:r>
      <w:r w:rsidRPr="00F64B5E">
        <w:rPr>
          <w:rFonts w:ascii="Palatino Linotype" w:eastAsia="Palatino Linotype" w:hAnsi="Palatino Linotype" w:cs="Palatino Linotype"/>
          <w:b/>
          <w:color w:val="000000" w:themeColor="text1"/>
        </w:rPr>
        <w:t>la entrega de información que no corresponde a lo solicitado.</w:t>
      </w:r>
    </w:p>
    <w:p w:rsidR="00F97AF3" w:rsidRPr="00F64B5E" w:rsidRDefault="00F97AF3" w:rsidP="001A241E">
      <w:pPr>
        <w:pStyle w:val="Ttulo1"/>
        <w:spacing w:before="0" w:line="360" w:lineRule="auto"/>
        <w:rPr>
          <w:b w:val="0"/>
          <w:color w:val="000000" w:themeColor="text1"/>
        </w:rPr>
      </w:pPr>
    </w:p>
    <w:p w:rsidR="00F97AF3" w:rsidRPr="00F64B5E" w:rsidRDefault="00DB08F4" w:rsidP="001A241E">
      <w:pPr>
        <w:pStyle w:val="Ttulo1"/>
        <w:spacing w:before="0" w:line="360" w:lineRule="auto"/>
        <w:rPr>
          <w:color w:val="000000" w:themeColor="text1"/>
        </w:rPr>
      </w:pPr>
      <w:r w:rsidRPr="00F64B5E">
        <w:rPr>
          <w:color w:val="000000" w:themeColor="text1"/>
        </w:rPr>
        <w:t>CUARTO. Del estudio y resolución del asunto.</w:t>
      </w: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 xml:space="preserve">Acotada la </w:t>
      </w:r>
      <w:r w:rsidRPr="00F64B5E">
        <w:rPr>
          <w:rFonts w:ascii="Palatino Linotype" w:eastAsia="Palatino Linotype" w:hAnsi="Palatino Linotype" w:cs="Palatino Linotype"/>
          <w:i/>
          <w:color w:val="000000" w:themeColor="text1"/>
        </w:rPr>
        <w:t>Litis</w:t>
      </w:r>
      <w:r w:rsidRPr="00F64B5E">
        <w:rPr>
          <w:rFonts w:ascii="Palatino Linotype" w:eastAsia="Palatino Linotype" w:hAnsi="Palatino Linotype" w:cs="Palatino Linotype"/>
          <w:color w:val="000000" w:themeColor="text1"/>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rsidR="00F97AF3" w:rsidRPr="00F64B5E" w:rsidRDefault="00F97AF3" w:rsidP="001A241E">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F97AF3" w:rsidRPr="00F64B5E" w:rsidRDefault="00DB08F4" w:rsidP="001A241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 xml:space="preserve">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sidRPr="00F64B5E">
        <w:rPr>
          <w:rFonts w:ascii="Palatino Linotype" w:eastAsia="Palatino Linotype" w:hAnsi="Palatino Linotype" w:cs="Palatino Linotype"/>
          <w:color w:val="000000" w:themeColor="text1"/>
        </w:rPr>
        <w:lastRenderedPageBreak/>
        <w:t>como la información referente a la intimidad de la vida privada y la imagen de las personas, con las excepciones que establezca la ley reglamentaria.</w:t>
      </w:r>
    </w:p>
    <w:p w:rsidR="00F97AF3" w:rsidRPr="00F64B5E" w:rsidRDefault="00F97AF3" w:rsidP="001A241E">
      <w:pPr>
        <w:spacing w:line="360" w:lineRule="auto"/>
        <w:jc w:val="both"/>
        <w:rPr>
          <w:rFonts w:ascii="Palatino Linotype" w:eastAsia="Palatino Linotype" w:hAnsi="Palatino Linotype" w:cs="Palatino Linotype"/>
          <w:color w:val="000000" w:themeColor="text1"/>
        </w:rPr>
      </w:pPr>
    </w:p>
    <w:p w:rsidR="00F97AF3" w:rsidRPr="00F64B5E" w:rsidRDefault="00DB08F4" w:rsidP="001A241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F97AF3" w:rsidRPr="00F64B5E" w:rsidRDefault="00F97AF3" w:rsidP="001A241E">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F97AF3" w:rsidRPr="00F64B5E" w:rsidRDefault="00DB08F4" w:rsidP="001A241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F97AF3" w:rsidRPr="00F64B5E" w:rsidRDefault="00F97AF3" w:rsidP="001A241E">
      <w:pPr>
        <w:pBdr>
          <w:top w:val="nil"/>
          <w:left w:val="nil"/>
          <w:bottom w:val="nil"/>
          <w:right w:val="nil"/>
          <w:between w:val="nil"/>
        </w:pBdr>
        <w:rPr>
          <w:rFonts w:ascii="Palatino Linotype" w:eastAsia="Palatino Linotype" w:hAnsi="Palatino Linotype" w:cs="Palatino Linotype"/>
          <w:color w:val="000000" w:themeColor="text1"/>
        </w:rPr>
      </w:pPr>
    </w:p>
    <w:p w:rsidR="00F97AF3" w:rsidRPr="00F64B5E" w:rsidRDefault="00DB08F4" w:rsidP="001A241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color w:val="000000" w:themeColor="text1"/>
        </w:rPr>
        <w:t xml:space="preserve">Acotada la Litis del presente asunto, es de reiterar que el </w:t>
      </w:r>
      <w:r w:rsidRPr="00F64B5E">
        <w:rPr>
          <w:rFonts w:ascii="Palatino Linotype" w:eastAsia="Palatino Linotype" w:hAnsi="Palatino Linotype" w:cs="Palatino Linotype"/>
          <w:b/>
          <w:color w:val="000000" w:themeColor="text1"/>
        </w:rPr>
        <w:t>RECURRENTE</w:t>
      </w:r>
      <w:r w:rsidRPr="00F64B5E">
        <w:rPr>
          <w:rFonts w:ascii="Palatino Linotype" w:eastAsia="Palatino Linotype" w:hAnsi="Palatino Linotype" w:cs="Palatino Linotype"/>
          <w:color w:val="000000" w:themeColor="text1"/>
        </w:rPr>
        <w:t xml:space="preserve"> solicitó los </w:t>
      </w:r>
      <w:r w:rsidRPr="00F64B5E">
        <w:rPr>
          <w:rFonts w:ascii="Palatino Linotype" w:eastAsia="Palatino Linotype" w:hAnsi="Palatino Linotype" w:cs="Palatino Linotype"/>
          <w:b/>
          <w:color w:val="000000" w:themeColor="text1"/>
        </w:rPr>
        <w:t>programas de las TICS (Tecnologías de la Información y la Comunicación) de 2022, 2023, 2024 y 2025 y los resultados.</w:t>
      </w:r>
    </w:p>
    <w:p w:rsidR="00F97AF3" w:rsidRPr="00F64B5E" w:rsidRDefault="00F97AF3" w:rsidP="001A241E">
      <w:pPr>
        <w:spacing w:line="360" w:lineRule="auto"/>
        <w:jc w:val="both"/>
        <w:rPr>
          <w:rFonts w:ascii="Palatino Linotype" w:eastAsia="Palatino Linotype" w:hAnsi="Palatino Linotype" w:cs="Palatino Linotype"/>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color w:val="000000" w:themeColor="text1"/>
        </w:rPr>
        <w:t xml:space="preserve">En respuesta, el </w:t>
      </w:r>
      <w:r w:rsidRPr="00F64B5E">
        <w:rPr>
          <w:rFonts w:ascii="Palatino Linotype" w:eastAsia="Palatino Linotype" w:hAnsi="Palatino Linotype" w:cs="Palatino Linotype"/>
          <w:b/>
          <w:color w:val="000000" w:themeColor="text1"/>
        </w:rPr>
        <w:t>SUJETO OBLIGADO</w:t>
      </w:r>
      <w:r w:rsidRPr="00F64B5E">
        <w:rPr>
          <w:rFonts w:ascii="Palatino Linotype" w:eastAsia="Palatino Linotype" w:hAnsi="Palatino Linotype" w:cs="Palatino Linotype"/>
          <w:color w:val="000000" w:themeColor="text1"/>
        </w:rPr>
        <w:t xml:space="preserve"> por medio de la Dirección General de Administración y la Dirección de Innovación, remitió </w:t>
      </w:r>
      <w:r w:rsidRPr="00F64B5E">
        <w:rPr>
          <w:rFonts w:ascii="Palatino Linotype" w:eastAsia="Palatino Linotype" w:hAnsi="Palatino Linotype" w:cs="Palatino Linotype"/>
          <w:b/>
          <w:color w:val="000000" w:themeColor="text1"/>
        </w:rPr>
        <w:t>el Avance del Programa Sectorial de Tecnologías de Información y Comunicaciones (TIC) 2022, 2023, 2024 y 2025 del Municipio de Toluca, al 28 de abril de 2025.</w:t>
      </w: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lastRenderedPageBreak/>
        <w:t xml:space="preserve">El </w:t>
      </w:r>
      <w:r w:rsidRPr="00F64B5E">
        <w:rPr>
          <w:rFonts w:ascii="Palatino Linotype" w:eastAsia="Palatino Linotype" w:hAnsi="Palatino Linotype" w:cs="Palatino Linotype"/>
          <w:b/>
          <w:color w:val="000000" w:themeColor="text1"/>
        </w:rPr>
        <w:t>RECURRENTE</w:t>
      </w:r>
      <w:r w:rsidRPr="00F64B5E">
        <w:rPr>
          <w:rFonts w:ascii="Palatino Linotype" w:eastAsia="Palatino Linotype" w:hAnsi="Palatino Linotype" w:cs="Palatino Linotype"/>
          <w:color w:val="000000" w:themeColor="text1"/>
        </w:rPr>
        <w:t xml:space="preserve"> interpuso el recurso de revisión en el manifestó que la respuesta</w:t>
      </w:r>
      <w:r w:rsidRPr="00F64B5E">
        <w:rPr>
          <w:rFonts w:ascii="Palatino Linotype" w:eastAsia="Palatino Linotype" w:hAnsi="Palatino Linotype" w:cs="Palatino Linotype"/>
          <w:b/>
          <w:color w:val="000000" w:themeColor="text1"/>
        </w:rPr>
        <w:t xml:space="preserve"> no corresponde a lo solicitado porque se entregó información del Gobierno del Estado.</w:t>
      </w:r>
    </w:p>
    <w:p w:rsidR="00F97AF3" w:rsidRPr="00F64B5E" w:rsidRDefault="00F97AF3" w:rsidP="001A241E">
      <w:pPr>
        <w:spacing w:line="360" w:lineRule="auto"/>
        <w:jc w:val="both"/>
        <w:rPr>
          <w:rFonts w:ascii="Palatino Linotype" w:eastAsia="Palatino Linotype" w:hAnsi="Palatino Linotype" w:cs="Palatino Linotype"/>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 xml:space="preserve">En atención a lo expuesto, es necesario señalar que se obvia el análisis de la competencia por parte del </w:t>
      </w:r>
      <w:r w:rsidRPr="00F64B5E">
        <w:rPr>
          <w:rFonts w:ascii="Palatino Linotype" w:eastAsia="Palatino Linotype" w:hAnsi="Palatino Linotype" w:cs="Palatino Linotype"/>
          <w:b/>
          <w:color w:val="000000" w:themeColor="text1"/>
        </w:rPr>
        <w:t>SUJETO OBLIGADO</w:t>
      </w:r>
      <w:r w:rsidRPr="00F64B5E">
        <w:rPr>
          <w:rFonts w:ascii="Palatino Linotype" w:eastAsia="Palatino Linotype" w:hAnsi="Palatino Linotype" w:cs="Palatino Linotype"/>
          <w:color w:val="000000" w:themeColor="text1"/>
        </w:rPr>
        <w:t>, para generar, administrar o poseer la información relativa a los programas de las TICS (Tecnologías de la Información y la Comunicación) de 2022, 2023, 2024 y 2025 del Ayuntamiento de Toluca y los resultados, dado que éste ha asumido la misma, tan es así que hizo entrega de la información, como se observa:</w:t>
      </w:r>
    </w:p>
    <w:p w:rsidR="00F97AF3" w:rsidRPr="00F64B5E" w:rsidRDefault="00DB08F4" w:rsidP="001A241E">
      <w:pPr>
        <w:spacing w:line="360" w:lineRule="auto"/>
        <w:jc w:val="both"/>
        <w:rPr>
          <w:rFonts w:ascii="Palatino Linotype" w:eastAsia="Palatino Linotype" w:hAnsi="Palatino Linotype" w:cs="Palatino Linotype"/>
          <w:color w:val="000000" w:themeColor="text1"/>
        </w:rPr>
      </w:pPr>
      <w:r w:rsidRPr="00F64B5E">
        <w:rPr>
          <w:rFonts w:ascii="Palatino Linotype" w:hAnsi="Palatino Linotype"/>
          <w:noProof/>
          <w:color w:val="000000" w:themeColor="text1"/>
        </w:rPr>
        <mc:AlternateContent>
          <mc:Choice Requires="wpg">
            <w:drawing>
              <wp:anchor distT="0" distB="0" distL="114300" distR="114300" simplePos="0" relativeHeight="251658240" behindDoc="0" locked="0" layoutInCell="1" hidden="0" allowOverlap="1">
                <wp:simplePos x="0" y="0"/>
                <wp:positionH relativeFrom="column">
                  <wp:posOffset>4102100</wp:posOffset>
                </wp:positionH>
                <wp:positionV relativeFrom="paragraph">
                  <wp:posOffset>203200</wp:posOffset>
                </wp:positionV>
                <wp:extent cx="1362075" cy="228600"/>
                <wp:effectExtent l="0" t="0" r="0" b="0"/>
                <wp:wrapNone/>
                <wp:docPr id="13" name="Rectángulo 13"/>
                <wp:cNvGraphicFramePr/>
                <a:graphic xmlns:a="http://schemas.openxmlformats.org/drawingml/2006/main">
                  <a:graphicData uri="http://schemas.microsoft.com/office/word/2010/wordprocessingShape">
                    <wps:wsp>
                      <wps:cNvSpPr/>
                      <wps:spPr>
                        <a:xfrm>
                          <a:off x="4679250" y="3679988"/>
                          <a:ext cx="1333500" cy="200025"/>
                        </a:xfrm>
                        <a:prstGeom prst="rect">
                          <a:avLst/>
                        </a:prstGeom>
                        <a:noFill/>
                        <a:ln w="28575" cap="flat" cmpd="sng">
                          <a:solidFill>
                            <a:srgbClr val="C00000"/>
                          </a:solidFill>
                          <a:prstDash val="solid"/>
                          <a:miter lim="800000"/>
                          <a:headEnd type="none" w="sm" len="sm"/>
                          <a:tailEnd type="none" w="sm" len="sm"/>
                        </a:ln>
                      </wps:spPr>
                      <wps:txbx>
                        <w:txbxContent>
                          <w:p w:rsidR="00F97AF3" w:rsidRDefault="00F97AF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4102100</wp:posOffset>
                </wp:positionH>
                <wp:positionV relativeFrom="paragraph">
                  <wp:posOffset>203200</wp:posOffset>
                </wp:positionV>
                <wp:extent cx="1362075" cy="228600"/>
                <wp:effectExtent b="0" l="0" r="0" t="0"/>
                <wp:wrapNone/>
                <wp:docPr id="13"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1362075" cy="228600"/>
                        </a:xfrm>
                        <a:prstGeom prst="rect"/>
                        <a:ln/>
                      </pic:spPr>
                    </pic:pic>
                  </a:graphicData>
                </a:graphic>
              </wp:anchor>
            </w:drawing>
          </mc:Fallback>
        </mc:AlternateContent>
      </w:r>
    </w:p>
    <w:p w:rsidR="00F97AF3" w:rsidRPr="00F64B5E" w:rsidRDefault="00DB08F4" w:rsidP="001A241E">
      <w:pPr>
        <w:spacing w:line="360" w:lineRule="auto"/>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noProof/>
          <w:color w:val="000000" w:themeColor="text1"/>
        </w:rPr>
        <w:drawing>
          <wp:inline distT="0" distB="0" distL="0" distR="0">
            <wp:extent cx="5742940" cy="153797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42940" cy="1537970"/>
                    </a:xfrm>
                    <a:prstGeom prst="rect">
                      <a:avLst/>
                    </a:prstGeom>
                    <a:ln/>
                  </pic:spPr>
                </pic:pic>
              </a:graphicData>
            </a:graphic>
          </wp:inline>
        </w:drawing>
      </w:r>
      <w:r w:rsidRPr="00F64B5E">
        <w:rPr>
          <w:rFonts w:ascii="Palatino Linotype" w:hAnsi="Palatino Linotype"/>
          <w:noProof/>
          <w:color w:val="000000" w:themeColor="text1"/>
        </w:rPr>
        <mc:AlternateContent>
          <mc:Choice Requires="wpg">
            <w:drawing>
              <wp:anchor distT="0" distB="0" distL="114300" distR="114300" simplePos="0" relativeHeight="251659264" behindDoc="0" locked="0" layoutInCell="1" hidden="0" allowOverlap="1">
                <wp:simplePos x="0" y="0"/>
                <wp:positionH relativeFrom="column">
                  <wp:posOffset>63501</wp:posOffset>
                </wp:positionH>
                <wp:positionV relativeFrom="paragraph">
                  <wp:posOffset>228600</wp:posOffset>
                </wp:positionV>
                <wp:extent cx="1752600" cy="209550"/>
                <wp:effectExtent l="0" t="0" r="0" b="0"/>
                <wp:wrapNone/>
                <wp:docPr id="20" name="Rectángulo 20"/>
                <wp:cNvGraphicFramePr/>
                <a:graphic xmlns:a="http://schemas.openxmlformats.org/drawingml/2006/main">
                  <a:graphicData uri="http://schemas.microsoft.com/office/word/2010/wordprocessingShape">
                    <wps:wsp>
                      <wps:cNvSpPr/>
                      <wps:spPr>
                        <a:xfrm>
                          <a:off x="4483988" y="3689513"/>
                          <a:ext cx="1724025" cy="180975"/>
                        </a:xfrm>
                        <a:prstGeom prst="rect">
                          <a:avLst/>
                        </a:prstGeom>
                        <a:noFill/>
                        <a:ln w="28575" cap="flat" cmpd="sng">
                          <a:solidFill>
                            <a:srgbClr val="C00000"/>
                          </a:solidFill>
                          <a:prstDash val="solid"/>
                          <a:miter lim="800000"/>
                          <a:headEnd type="none" w="sm" len="sm"/>
                          <a:tailEnd type="none" w="sm" len="sm"/>
                        </a:ln>
                      </wps:spPr>
                      <wps:txbx>
                        <w:txbxContent>
                          <w:p w:rsidR="00F97AF3" w:rsidRDefault="00F97AF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63501</wp:posOffset>
                </wp:positionH>
                <wp:positionV relativeFrom="paragraph">
                  <wp:posOffset>228600</wp:posOffset>
                </wp:positionV>
                <wp:extent cx="1752600" cy="209550"/>
                <wp:effectExtent b="0" l="0" r="0" t="0"/>
                <wp:wrapNone/>
                <wp:docPr id="20"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1752600" cy="209550"/>
                        </a:xfrm>
                        <a:prstGeom prst="rect"/>
                        <a:ln/>
                      </pic:spPr>
                    </pic:pic>
                  </a:graphicData>
                </a:graphic>
              </wp:anchor>
            </w:drawing>
          </mc:Fallback>
        </mc:AlternateContent>
      </w:r>
    </w:p>
    <w:p w:rsidR="00F97AF3" w:rsidRPr="00F64B5E" w:rsidRDefault="00DB08F4" w:rsidP="001A241E">
      <w:pPr>
        <w:spacing w:line="360" w:lineRule="auto"/>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noProof/>
          <w:color w:val="000000" w:themeColor="text1"/>
        </w:rPr>
        <w:drawing>
          <wp:inline distT="0" distB="0" distL="0" distR="0">
            <wp:extent cx="5742940" cy="1539875"/>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742940" cy="1539875"/>
                    </a:xfrm>
                    <a:prstGeom prst="rect">
                      <a:avLst/>
                    </a:prstGeom>
                    <a:ln/>
                  </pic:spPr>
                </pic:pic>
              </a:graphicData>
            </a:graphic>
          </wp:inline>
        </w:drawing>
      </w:r>
      <w:r w:rsidRPr="00F64B5E">
        <w:rPr>
          <w:rFonts w:ascii="Palatino Linotype" w:hAnsi="Palatino Linotype"/>
          <w:noProof/>
          <w:color w:val="000000" w:themeColor="text1"/>
        </w:rPr>
        <mc:AlternateContent>
          <mc:Choice Requires="wpg">
            <w:drawing>
              <wp:anchor distT="0" distB="0" distL="114300" distR="114300" simplePos="0" relativeHeight="251660288" behindDoc="0" locked="0" layoutInCell="1" hidden="0" allowOverlap="1">
                <wp:simplePos x="0" y="0"/>
                <wp:positionH relativeFrom="column">
                  <wp:posOffset>50801</wp:posOffset>
                </wp:positionH>
                <wp:positionV relativeFrom="paragraph">
                  <wp:posOffset>241300</wp:posOffset>
                </wp:positionV>
                <wp:extent cx="1733550" cy="247650"/>
                <wp:effectExtent l="0" t="0" r="0" b="0"/>
                <wp:wrapNone/>
                <wp:docPr id="19" name="Rectángulo 19"/>
                <wp:cNvGraphicFramePr/>
                <a:graphic xmlns:a="http://schemas.openxmlformats.org/drawingml/2006/main">
                  <a:graphicData uri="http://schemas.microsoft.com/office/word/2010/wordprocessingShape">
                    <wps:wsp>
                      <wps:cNvSpPr/>
                      <wps:spPr>
                        <a:xfrm>
                          <a:off x="4493513" y="3670463"/>
                          <a:ext cx="1704975" cy="219075"/>
                        </a:xfrm>
                        <a:prstGeom prst="rect">
                          <a:avLst/>
                        </a:prstGeom>
                        <a:noFill/>
                        <a:ln w="28575" cap="flat" cmpd="sng">
                          <a:solidFill>
                            <a:srgbClr val="C00000"/>
                          </a:solidFill>
                          <a:prstDash val="solid"/>
                          <a:miter lim="800000"/>
                          <a:headEnd type="none" w="sm" len="sm"/>
                          <a:tailEnd type="none" w="sm" len="sm"/>
                        </a:ln>
                      </wps:spPr>
                      <wps:txbx>
                        <w:txbxContent>
                          <w:p w:rsidR="00F97AF3" w:rsidRDefault="00F97AF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50801</wp:posOffset>
                </wp:positionH>
                <wp:positionV relativeFrom="paragraph">
                  <wp:posOffset>241300</wp:posOffset>
                </wp:positionV>
                <wp:extent cx="1733550" cy="247650"/>
                <wp:effectExtent b="0" l="0" r="0" t="0"/>
                <wp:wrapNone/>
                <wp:docPr id="19"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1733550" cy="247650"/>
                        </a:xfrm>
                        <a:prstGeom prst="rect"/>
                        <a:ln/>
                      </pic:spPr>
                    </pic:pic>
                  </a:graphicData>
                </a:graphic>
              </wp:anchor>
            </w:drawing>
          </mc:Fallback>
        </mc:AlternateContent>
      </w:r>
      <w:r w:rsidRPr="00F64B5E">
        <w:rPr>
          <w:rFonts w:ascii="Palatino Linotype" w:hAnsi="Palatino Linotype"/>
          <w:noProof/>
          <w:color w:val="000000" w:themeColor="text1"/>
        </w:rPr>
        <mc:AlternateContent>
          <mc:Choice Requires="wpg">
            <w:drawing>
              <wp:anchor distT="0" distB="0" distL="114300" distR="114300" simplePos="0" relativeHeight="251661312" behindDoc="0" locked="0" layoutInCell="1" hidden="0" allowOverlap="1">
                <wp:simplePos x="0" y="0"/>
                <wp:positionH relativeFrom="column">
                  <wp:posOffset>4051300</wp:posOffset>
                </wp:positionH>
                <wp:positionV relativeFrom="paragraph">
                  <wp:posOffset>12700</wp:posOffset>
                </wp:positionV>
                <wp:extent cx="1362075" cy="228600"/>
                <wp:effectExtent l="0" t="0" r="0" b="0"/>
                <wp:wrapNone/>
                <wp:docPr id="16" name="Rectángulo 16"/>
                <wp:cNvGraphicFramePr/>
                <a:graphic xmlns:a="http://schemas.openxmlformats.org/drawingml/2006/main">
                  <a:graphicData uri="http://schemas.microsoft.com/office/word/2010/wordprocessingShape">
                    <wps:wsp>
                      <wps:cNvSpPr/>
                      <wps:spPr>
                        <a:xfrm>
                          <a:off x="4679250" y="3679988"/>
                          <a:ext cx="1333500" cy="200025"/>
                        </a:xfrm>
                        <a:prstGeom prst="rect">
                          <a:avLst/>
                        </a:prstGeom>
                        <a:noFill/>
                        <a:ln w="28575" cap="flat" cmpd="sng">
                          <a:solidFill>
                            <a:srgbClr val="C00000"/>
                          </a:solidFill>
                          <a:prstDash val="solid"/>
                          <a:miter lim="800000"/>
                          <a:headEnd type="none" w="sm" len="sm"/>
                          <a:tailEnd type="none" w="sm" len="sm"/>
                        </a:ln>
                      </wps:spPr>
                      <wps:txbx>
                        <w:txbxContent>
                          <w:p w:rsidR="00F97AF3" w:rsidRDefault="00F97AF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4051300</wp:posOffset>
                </wp:positionH>
                <wp:positionV relativeFrom="paragraph">
                  <wp:posOffset>12700</wp:posOffset>
                </wp:positionV>
                <wp:extent cx="1362075" cy="228600"/>
                <wp:effectExtent b="0" l="0" r="0" t="0"/>
                <wp:wrapNone/>
                <wp:docPr id="16"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1362075" cy="228600"/>
                        </a:xfrm>
                        <a:prstGeom prst="rect"/>
                        <a:ln/>
                      </pic:spPr>
                    </pic:pic>
                  </a:graphicData>
                </a:graphic>
              </wp:anchor>
            </w:drawing>
          </mc:Fallback>
        </mc:AlternateContent>
      </w:r>
    </w:p>
    <w:p w:rsidR="00F97AF3" w:rsidRPr="00F64B5E" w:rsidRDefault="00DB08F4" w:rsidP="001A241E">
      <w:pPr>
        <w:spacing w:line="360" w:lineRule="auto"/>
        <w:jc w:val="center"/>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b/>
          <w:color w:val="000000" w:themeColor="text1"/>
        </w:rPr>
        <w:t>(…)</w:t>
      </w:r>
    </w:p>
    <w:p w:rsidR="00F97AF3" w:rsidRPr="00F64B5E" w:rsidRDefault="00F97AF3" w:rsidP="001A241E">
      <w:pPr>
        <w:spacing w:line="360" w:lineRule="auto"/>
        <w:jc w:val="center"/>
        <w:rPr>
          <w:rFonts w:ascii="Palatino Linotype" w:eastAsia="Palatino Linotype" w:hAnsi="Palatino Linotype" w:cs="Palatino Linotype"/>
          <w:b/>
          <w:color w:val="000000" w:themeColor="text1"/>
        </w:rPr>
      </w:pPr>
    </w:p>
    <w:p w:rsidR="00F97AF3" w:rsidRPr="00F64B5E" w:rsidRDefault="00DB08F4" w:rsidP="001A241E">
      <w:pPr>
        <w:spacing w:line="360" w:lineRule="auto"/>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noProof/>
          <w:color w:val="000000" w:themeColor="text1"/>
        </w:rPr>
        <w:lastRenderedPageBreak/>
        <w:drawing>
          <wp:inline distT="0" distB="0" distL="0" distR="0">
            <wp:extent cx="5742940" cy="1868805"/>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742940" cy="1868805"/>
                    </a:xfrm>
                    <a:prstGeom prst="rect">
                      <a:avLst/>
                    </a:prstGeom>
                    <a:ln/>
                  </pic:spPr>
                </pic:pic>
              </a:graphicData>
            </a:graphic>
          </wp:inline>
        </w:drawing>
      </w:r>
      <w:r w:rsidRPr="00F64B5E">
        <w:rPr>
          <w:rFonts w:ascii="Palatino Linotype" w:hAnsi="Palatino Linotype"/>
          <w:noProof/>
          <w:color w:val="000000" w:themeColor="text1"/>
        </w:rPr>
        <mc:AlternateContent>
          <mc:Choice Requires="wpg">
            <w:drawing>
              <wp:anchor distT="0" distB="0" distL="114300" distR="114300" simplePos="0" relativeHeight="251662336" behindDoc="0" locked="0" layoutInCell="1" hidden="0" allowOverlap="1">
                <wp:simplePos x="0" y="0"/>
                <wp:positionH relativeFrom="column">
                  <wp:posOffset>-12699</wp:posOffset>
                </wp:positionH>
                <wp:positionV relativeFrom="paragraph">
                  <wp:posOffset>304800</wp:posOffset>
                </wp:positionV>
                <wp:extent cx="1828800" cy="219075"/>
                <wp:effectExtent l="0" t="0" r="0" b="0"/>
                <wp:wrapNone/>
                <wp:docPr id="15" name="Rectángulo 15"/>
                <wp:cNvGraphicFramePr/>
                <a:graphic xmlns:a="http://schemas.openxmlformats.org/drawingml/2006/main">
                  <a:graphicData uri="http://schemas.microsoft.com/office/word/2010/wordprocessingShape">
                    <wps:wsp>
                      <wps:cNvSpPr/>
                      <wps:spPr>
                        <a:xfrm>
                          <a:off x="4445888" y="3684750"/>
                          <a:ext cx="1800225" cy="190500"/>
                        </a:xfrm>
                        <a:prstGeom prst="rect">
                          <a:avLst/>
                        </a:prstGeom>
                        <a:noFill/>
                        <a:ln w="28575" cap="flat" cmpd="sng">
                          <a:solidFill>
                            <a:srgbClr val="C00000"/>
                          </a:solidFill>
                          <a:prstDash val="solid"/>
                          <a:miter lim="800000"/>
                          <a:headEnd type="none" w="sm" len="sm"/>
                          <a:tailEnd type="none" w="sm" len="sm"/>
                        </a:ln>
                      </wps:spPr>
                      <wps:txbx>
                        <w:txbxContent>
                          <w:p w:rsidR="00F97AF3" w:rsidRDefault="00F97AF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-12699</wp:posOffset>
                </wp:positionH>
                <wp:positionV relativeFrom="paragraph">
                  <wp:posOffset>304800</wp:posOffset>
                </wp:positionV>
                <wp:extent cx="1828800" cy="219075"/>
                <wp:effectExtent b="0" l="0" r="0" t="0"/>
                <wp:wrapNone/>
                <wp:docPr id="15"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1828800" cy="219075"/>
                        </a:xfrm>
                        <a:prstGeom prst="rect"/>
                        <a:ln/>
                      </pic:spPr>
                    </pic:pic>
                  </a:graphicData>
                </a:graphic>
              </wp:anchor>
            </w:drawing>
          </mc:Fallback>
        </mc:AlternateContent>
      </w:r>
      <w:r w:rsidRPr="00F64B5E">
        <w:rPr>
          <w:rFonts w:ascii="Palatino Linotype" w:hAnsi="Palatino Linotype"/>
          <w:noProof/>
          <w:color w:val="000000" w:themeColor="text1"/>
        </w:rPr>
        <mc:AlternateContent>
          <mc:Choice Requires="wpg">
            <w:drawing>
              <wp:anchor distT="0" distB="0" distL="114300" distR="114300" simplePos="0" relativeHeight="251663360" behindDoc="0" locked="0" layoutInCell="1" hidden="0" allowOverlap="1">
                <wp:simplePos x="0" y="0"/>
                <wp:positionH relativeFrom="column">
                  <wp:posOffset>4013200</wp:posOffset>
                </wp:positionH>
                <wp:positionV relativeFrom="paragraph">
                  <wp:posOffset>38100</wp:posOffset>
                </wp:positionV>
                <wp:extent cx="1362075" cy="228600"/>
                <wp:effectExtent l="0" t="0" r="0" b="0"/>
                <wp:wrapNone/>
                <wp:docPr id="17" name="Rectángulo 17"/>
                <wp:cNvGraphicFramePr/>
                <a:graphic xmlns:a="http://schemas.openxmlformats.org/drawingml/2006/main">
                  <a:graphicData uri="http://schemas.microsoft.com/office/word/2010/wordprocessingShape">
                    <wps:wsp>
                      <wps:cNvSpPr/>
                      <wps:spPr>
                        <a:xfrm>
                          <a:off x="4679250" y="3679988"/>
                          <a:ext cx="1333500" cy="200025"/>
                        </a:xfrm>
                        <a:prstGeom prst="rect">
                          <a:avLst/>
                        </a:prstGeom>
                        <a:noFill/>
                        <a:ln w="28575" cap="flat" cmpd="sng">
                          <a:solidFill>
                            <a:srgbClr val="C00000"/>
                          </a:solidFill>
                          <a:prstDash val="solid"/>
                          <a:miter lim="800000"/>
                          <a:headEnd type="none" w="sm" len="sm"/>
                          <a:tailEnd type="none" w="sm" len="sm"/>
                        </a:ln>
                      </wps:spPr>
                      <wps:txbx>
                        <w:txbxContent>
                          <w:p w:rsidR="00F97AF3" w:rsidRDefault="00F97AF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4013200</wp:posOffset>
                </wp:positionH>
                <wp:positionV relativeFrom="paragraph">
                  <wp:posOffset>38100</wp:posOffset>
                </wp:positionV>
                <wp:extent cx="1362075" cy="228600"/>
                <wp:effectExtent b="0" l="0" r="0" t="0"/>
                <wp:wrapNone/>
                <wp:docPr id="17"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1362075" cy="228600"/>
                        </a:xfrm>
                        <a:prstGeom prst="rect"/>
                        <a:ln/>
                      </pic:spPr>
                    </pic:pic>
                  </a:graphicData>
                </a:graphic>
              </wp:anchor>
            </w:drawing>
          </mc:Fallback>
        </mc:AlternateContent>
      </w:r>
    </w:p>
    <w:p w:rsidR="00F97AF3" w:rsidRPr="00F64B5E" w:rsidRDefault="00DB08F4" w:rsidP="001A241E">
      <w:pPr>
        <w:spacing w:line="360" w:lineRule="auto"/>
        <w:jc w:val="center"/>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b/>
          <w:color w:val="000000" w:themeColor="text1"/>
        </w:rPr>
        <w:t>(…)</w:t>
      </w:r>
    </w:p>
    <w:p w:rsidR="00F97AF3" w:rsidRPr="00F64B5E" w:rsidRDefault="00DB08F4" w:rsidP="001A241E">
      <w:pPr>
        <w:spacing w:line="360" w:lineRule="auto"/>
        <w:jc w:val="center"/>
        <w:rPr>
          <w:rFonts w:ascii="Palatino Linotype" w:eastAsia="Palatino Linotype" w:hAnsi="Palatino Linotype" w:cs="Palatino Linotype"/>
          <w:b/>
          <w:color w:val="000000" w:themeColor="text1"/>
        </w:rPr>
      </w:pPr>
      <w:r w:rsidRPr="00F64B5E">
        <w:rPr>
          <w:rFonts w:ascii="Palatino Linotype" w:hAnsi="Palatino Linotype"/>
          <w:noProof/>
          <w:color w:val="000000" w:themeColor="text1"/>
        </w:rPr>
        <mc:AlternateContent>
          <mc:Choice Requires="wpg">
            <w:drawing>
              <wp:anchor distT="0" distB="0" distL="114300" distR="114300" simplePos="0" relativeHeight="251664384" behindDoc="0" locked="0" layoutInCell="1" hidden="0" allowOverlap="1">
                <wp:simplePos x="0" y="0"/>
                <wp:positionH relativeFrom="column">
                  <wp:posOffset>4013200</wp:posOffset>
                </wp:positionH>
                <wp:positionV relativeFrom="paragraph">
                  <wp:posOffset>228600</wp:posOffset>
                </wp:positionV>
                <wp:extent cx="1362075" cy="228600"/>
                <wp:effectExtent l="0" t="0" r="0" b="0"/>
                <wp:wrapNone/>
                <wp:docPr id="14" name="Rectángulo 14"/>
                <wp:cNvGraphicFramePr/>
                <a:graphic xmlns:a="http://schemas.openxmlformats.org/drawingml/2006/main">
                  <a:graphicData uri="http://schemas.microsoft.com/office/word/2010/wordprocessingShape">
                    <wps:wsp>
                      <wps:cNvSpPr/>
                      <wps:spPr>
                        <a:xfrm>
                          <a:off x="4679250" y="3679988"/>
                          <a:ext cx="1333500" cy="200025"/>
                        </a:xfrm>
                        <a:prstGeom prst="rect">
                          <a:avLst/>
                        </a:prstGeom>
                        <a:noFill/>
                        <a:ln w="28575" cap="flat" cmpd="sng">
                          <a:solidFill>
                            <a:srgbClr val="C00000"/>
                          </a:solidFill>
                          <a:prstDash val="solid"/>
                          <a:miter lim="800000"/>
                          <a:headEnd type="none" w="sm" len="sm"/>
                          <a:tailEnd type="none" w="sm" len="sm"/>
                        </a:ln>
                      </wps:spPr>
                      <wps:txbx>
                        <w:txbxContent>
                          <w:p w:rsidR="00F97AF3" w:rsidRDefault="00F97AF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4013200</wp:posOffset>
                </wp:positionH>
                <wp:positionV relativeFrom="paragraph">
                  <wp:posOffset>228600</wp:posOffset>
                </wp:positionV>
                <wp:extent cx="1362075" cy="228600"/>
                <wp:effectExtent b="0" l="0" r="0" t="0"/>
                <wp:wrapNone/>
                <wp:docPr id="14"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1362075" cy="228600"/>
                        </a:xfrm>
                        <a:prstGeom prst="rect"/>
                        <a:ln/>
                      </pic:spPr>
                    </pic:pic>
                  </a:graphicData>
                </a:graphic>
              </wp:anchor>
            </w:drawing>
          </mc:Fallback>
        </mc:AlternateContent>
      </w:r>
    </w:p>
    <w:p w:rsidR="00F97AF3" w:rsidRPr="00F64B5E" w:rsidRDefault="00DB08F4" w:rsidP="001A241E">
      <w:pPr>
        <w:spacing w:line="360" w:lineRule="auto"/>
        <w:jc w:val="center"/>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b/>
          <w:noProof/>
          <w:color w:val="000000" w:themeColor="text1"/>
        </w:rPr>
        <w:drawing>
          <wp:inline distT="0" distB="0" distL="0" distR="0">
            <wp:extent cx="5742940" cy="1857375"/>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742940" cy="1857375"/>
                    </a:xfrm>
                    <a:prstGeom prst="rect">
                      <a:avLst/>
                    </a:prstGeom>
                    <a:ln/>
                  </pic:spPr>
                </pic:pic>
              </a:graphicData>
            </a:graphic>
          </wp:inline>
        </w:drawing>
      </w:r>
      <w:r w:rsidRPr="00F64B5E">
        <w:rPr>
          <w:rFonts w:ascii="Palatino Linotype" w:hAnsi="Palatino Linotype"/>
          <w:noProof/>
          <w:color w:val="000000" w:themeColor="text1"/>
        </w:rPr>
        <mc:AlternateContent>
          <mc:Choice Requires="wpg">
            <w:drawing>
              <wp:anchor distT="0" distB="0" distL="114300" distR="114300" simplePos="0" relativeHeight="251665408" behindDoc="0" locked="0" layoutInCell="1" hidden="0" allowOverlap="1">
                <wp:simplePos x="0" y="0"/>
                <wp:positionH relativeFrom="column">
                  <wp:posOffset>-12699</wp:posOffset>
                </wp:positionH>
                <wp:positionV relativeFrom="paragraph">
                  <wp:posOffset>266700</wp:posOffset>
                </wp:positionV>
                <wp:extent cx="1752600" cy="219075"/>
                <wp:effectExtent l="0" t="0" r="0" b="0"/>
                <wp:wrapNone/>
                <wp:docPr id="18" name="Rectángulo 18"/>
                <wp:cNvGraphicFramePr/>
                <a:graphic xmlns:a="http://schemas.openxmlformats.org/drawingml/2006/main">
                  <a:graphicData uri="http://schemas.microsoft.com/office/word/2010/wordprocessingShape">
                    <wps:wsp>
                      <wps:cNvSpPr/>
                      <wps:spPr>
                        <a:xfrm>
                          <a:off x="4483988" y="3684750"/>
                          <a:ext cx="1724025" cy="190500"/>
                        </a:xfrm>
                        <a:prstGeom prst="rect">
                          <a:avLst/>
                        </a:prstGeom>
                        <a:noFill/>
                        <a:ln w="28575" cap="flat" cmpd="sng">
                          <a:solidFill>
                            <a:srgbClr val="C00000"/>
                          </a:solidFill>
                          <a:prstDash val="solid"/>
                          <a:miter lim="800000"/>
                          <a:headEnd type="none" w="sm" len="sm"/>
                          <a:tailEnd type="none" w="sm" len="sm"/>
                        </a:ln>
                      </wps:spPr>
                      <wps:txbx>
                        <w:txbxContent>
                          <w:p w:rsidR="00F97AF3" w:rsidRDefault="00F97AF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-12699</wp:posOffset>
                </wp:positionH>
                <wp:positionV relativeFrom="paragraph">
                  <wp:posOffset>266700</wp:posOffset>
                </wp:positionV>
                <wp:extent cx="1752600" cy="219075"/>
                <wp:effectExtent b="0" l="0" r="0" t="0"/>
                <wp:wrapNone/>
                <wp:docPr id="18"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1752600" cy="219075"/>
                        </a:xfrm>
                        <a:prstGeom prst="rect"/>
                        <a:ln/>
                      </pic:spPr>
                    </pic:pic>
                  </a:graphicData>
                </a:graphic>
              </wp:anchor>
            </w:drawing>
          </mc:Fallback>
        </mc:AlternateContent>
      </w:r>
    </w:p>
    <w:p w:rsidR="00F97AF3" w:rsidRPr="00F64B5E" w:rsidRDefault="00DB08F4" w:rsidP="001A241E">
      <w:pPr>
        <w:spacing w:line="360" w:lineRule="auto"/>
        <w:jc w:val="center"/>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b/>
          <w:color w:val="000000" w:themeColor="text1"/>
        </w:rPr>
        <w:t>(…)</w:t>
      </w:r>
    </w:p>
    <w:p w:rsidR="00F97AF3" w:rsidRPr="00F64B5E" w:rsidRDefault="00F97AF3" w:rsidP="001A241E">
      <w:pPr>
        <w:shd w:val="clear" w:color="auto" w:fill="FFFFFF"/>
        <w:jc w:val="both"/>
        <w:rPr>
          <w:rFonts w:ascii="Palatino Linotype" w:eastAsia="Palatino Linotype" w:hAnsi="Palatino Linotype" w:cs="Palatino Linotype"/>
          <w:i/>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 xml:space="preserve">No obstante a lo anterior, es necesario referir que del análisis realizado a las documentales remitidas, se advierte que el </w:t>
      </w:r>
      <w:r w:rsidRPr="00F64B5E">
        <w:rPr>
          <w:rFonts w:ascii="Palatino Linotype" w:eastAsia="Palatino Linotype" w:hAnsi="Palatino Linotype" w:cs="Palatino Linotype"/>
          <w:b/>
          <w:color w:val="000000" w:themeColor="text1"/>
        </w:rPr>
        <w:t>SUJETO OBLIGADO</w:t>
      </w:r>
      <w:r w:rsidRPr="00F64B5E">
        <w:rPr>
          <w:rFonts w:ascii="Palatino Linotype" w:eastAsia="Palatino Linotype" w:hAnsi="Palatino Linotype" w:cs="Palatino Linotype"/>
          <w:color w:val="000000" w:themeColor="text1"/>
        </w:rPr>
        <w:t xml:space="preserve"> h</w:t>
      </w:r>
      <w:r w:rsidRPr="00F64B5E">
        <w:rPr>
          <w:rFonts w:ascii="Palatino Linotype" w:eastAsia="Palatino Linotype" w:hAnsi="Palatino Linotype" w:cs="Palatino Linotype"/>
          <w:b/>
          <w:color w:val="000000" w:themeColor="text1"/>
        </w:rPr>
        <w:t xml:space="preserve">izo entrega de información incompleta, </w:t>
      </w:r>
      <w:r w:rsidRPr="00F64B5E">
        <w:rPr>
          <w:rFonts w:ascii="Palatino Linotype" w:eastAsia="Palatino Linotype" w:hAnsi="Palatino Linotype" w:cs="Palatino Linotype"/>
          <w:color w:val="000000" w:themeColor="text1"/>
        </w:rPr>
        <w:t>toda vez que, relativo al periodo 2022 y 2024 únicamente se pronunció respecto al cuarto trimestre, asimismo, del periodo 2025 solo se remitió información del segundo trimestre.</w:t>
      </w:r>
    </w:p>
    <w:p w:rsidR="00F97AF3" w:rsidRPr="00F64B5E" w:rsidRDefault="00F97AF3" w:rsidP="001A241E">
      <w:pPr>
        <w:spacing w:line="360" w:lineRule="auto"/>
        <w:jc w:val="both"/>
        <w:rPr>
          <w:rFonts w:ascii="Palatino Linotype" w:eastAsia="Palatino Linotype" w:hAnsi="Palatino Linotype" w:cs="Palatino Linotype"/>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 xml:space="preserve">Precisado </w:t>
      </w:r>
      <w:r w:rsidR="001A241E" w:rsidRPr="00F64B5E">
        <w:rPr>
          <w:rFonts w:ascii="Palatino Linotype" w:eastAsia="Palatino Linotype" w:hAnsi="Palatino Linotype" w:cs="Palatino Linotype"/>
          <w:color w:val="000000" w:themeColor="text1"/>
        </w:rPr>
        <w:t xml:space="preserve">lo anterior, cabe </w:t>
      </w:r>
      <w:r w:rsidRPr="00F64B5E">
        <w:rPr>
          <w:rFonts w:ascii="Palatino Linotype" w:eastAsia="Palatino Linotype" w:hAnsi="Palatino Linotype" w:cs="Palatino Linotype"/>
          <w:color w:val="000000" w:themeColor="text1"/>
        </w:rPr>
        <w:t xml:space="preserve">resaltar que, la Ley de Transparencia y Acceso a la Información Pública del Estado de México y Municipios, en su artículo 150, establece que el </w:t>
      </w:r>
      <w:r w:rsidRPr="00F64B5E">
        <w:rPr>
          <w:rFonts w:ascii="Palatino Linotype" w:eastAsia="Palatino Linotype" w:hAnsi="Palatino Linotype" w:cs="Palatino Linotype"/>
          <w:color w:val="000000" w:themeColor="text1"/>
        </w:rPr>
        <w:lastRenderedPageBreak/>
        <w:t>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F97AF3" w:rsidRPr="00F64B5E" w:rsidRDefault="00F97AF3" w:rsidP="001A241E">
      <w:pPr>
        <w:rPr>
          <w:rFonts w:ascii="Palatino Linotype" w:eastAsia="Palatino Linotype" w:hAnsi="Palatino Linotype" w:cs="Palatino Linotype"/>
          <w:color w:val="000000" w:themeColor="text1"/>
        </w:rPr>
      </w:pPr>
    </w:p>
    <w:p w:rsidR="00F97AF3" w:rsidRPr="00F64B5E" w:rsidRDefault="00DB08F4" w:rsidP="001A241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En este sentido, para atender las solicitudes de información, los Sujetos Obligados contarán con un área denominada Unidad de Transparencia</w:t>
      </w:r>
      <w:r w:rsidRPr="00F64B5E">
        <w:rPr>
          <w:rFonts w:ascii="Palatino Linotype" w:eastAsia="Palatino Linotype" w:hAnsi="Palatino Linotype" w:cs="Palatino Linotype"/>
          <w:color w:val="000000" w:themeColor="text1"/>
          <w:vertAlign w:val="superscript"/>
        </w:rPr>
        <w:footnoteReference w:id="1"/>
      </w:r>
      <w:r w:rsidRPr="00F64B5E">
        <w:rPr>
          <w:rFonts w:ascii="Palatino Linotype" w:eastAsia="Palatino Linotype" w:hAnsi="Palatino Linotype" w:cs="Palatino Linotype"/>
          <w:color w:val="000000" w:themeColor="text1"/>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F64B5E">
        <w:rPr>
          <w:rFonts w:ascii="Palatino Linotype" w:eastAsia="Palatino Linotype" w:hAnsi="Palatino Linotype" w:cs="Palatino Linotype"/>
          <w:b/>
          <w:color w:val="000000" w:themeColor="text1"/>
        </w:rPr>
        <w:t xml:space="preserve"> </w:t>
      </w:r>
      <w:r w:rsidRPr="00F64B5E">
        <w:rPr>
          <w:rFonts w:ascii="Palatino Linotype" w:eastAsia="Palatino Linotype" w:hAnsi="Palatino Linotype" w:cs="Palatino Linotype"/>
          <w:color w:val="000000" w:themeColor="text1"/>
        </w:rPr>
        <w:t>en los términos de la Ley General y la Ley de Transparencia y Acceso a la Información Pública del Estado de México y Municipios</w:t>
      </w:r>
      <w:r w:rsidRPr="00F64B5E">
        <w:rPr>
          <w:rFonts w:ascii="Palatino Linotype" w:eastAsia="Palatino Linotype" w:hAnsi="Palatino Linotype" w:cs="Palatino Linotype"/>
          <w:color w:val="000000" w:themeColor="text1"/>
          <w:vertAlign w:val="superscript"/>
        </w:rPr>
        <w:footnoteReference w:id="2"/>
      </w:r>
      <w:r w:rsidRPr="00F64B5E">
        <w:rPr>
          <w:rFonts w:ascii="Palatino Linotype" w:eastAsia="Palatino Linotype" w:hAnsi="Palatino Linotype" w:cs="Palatino Linotype"/>
          <w:color w:val="000000" w:themeColor="text1"/>
        </w:rPr>
        <w:t>.</w:t>
      </w:r>
    </w:p>
    <w:p w:rsidR="00F97AF3" w:rsidRPr="00F64B5E" w:rsidRDefault="00F97AF3" w:rsidP="001A241E">
      <w:pPr>
        <w:rPr>
          <w:rFonts w:ascii="Palatino Linotype" w:eastAsia="Palatino Linotype" w:hAnsi="Palatino Linotype" w:cs="Palatino Linotype"/>
          <w:color w:val="000000" w:themeColor="text1"/>
        </w:rPr>
      </w:pPr>
    </w:p>
    <w:p w:rsidR="00F97AF3" w:rsidRPr="00F64B5E" w:rsidRDefault="00DB08F4" w:rsidP="001A241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color w:val="000000" w:themeColor="text1"/>
        </w:rPr>
        <w:t>De conformidad con lo dispuesto en la Ley de Transparencia y Acceso a la Información Pública del Estado de México y Municipios, las Unidades de Transparencia tendrán, entre sus atribuciones, las siguientes:</w:t>
      </w:r>
    </w:p>
    <w:p w:rsidR="00F97AF3" w:rsidRPr="00F64B5E" w:rsidRDefault="00DB08F4" w:rsidP="001A241E">
      <w:pPr>
        <w:numPr>
          <w:ilvl w:val="1"/>
          <w:numId w:val="2"/>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Recibir, tramitar y dar respuesta a las solicitudes de acceso a la información;</w:t>
      </w:r>
    </w:p>
    <w:p w:rsidR="00F97AF3" w:rsidRPr="00F64B5E" w:rsidRDefault="00DB08F4" w:rsidP="001A241E">
      <w:pPr>
        <w:numPr>
          <w:ilvl w:val="1"/>
          <w:numId w:val="2"/>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 xml:space="preserve">Realizar, con efectividad, los trámites internos necesarios para la atención de las solicitudes de acceso a la información; </w:t>
      </w:r>
    </w:p>
    <w:p w:rsidR="00F97AF3" w:rsidRPr="00F64B5E" w:rsidRDefault="00DB08F4" w:rsidP="001A241E">
      <w:pPr>
        <w:numPr>
          <w:ilvl w:val="1"/>
          <w:numId w:val="2"/>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 xml:space="preserve">Entregar, en su caso, a los particulares la información solicitada; y </w:t>
      </w:r>
    </w:p>
    <w:p w:rsidR="00F97AF3" w:rsidRPr="00F64B5E" w:rsidRDefault="00DB08F4" w:rsidP="001A241E">
      <w:pPr>
        <w:numPr>
          <w:ilvl w:val="1"/>
          <w:numId w:val="2"/>
        </w:numPr>
        <w:pBdr>
          <w:top w:val="nil"/>
          <w:left w:val="nil"/>
          <w:bottom w:val="nil"/>
          <w:right w:val="nil"/>
          <w:between w:val="nil"/>
        </w:pBdr>
        <w:spacing w:after="240"/>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Efectuar las notificaciones a los solicitantes.</w:t>
      </w: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color w:val="000000" w:themeColor="text1"/>
        </w:rPr>
        <w:lastRenderedPageBreak/>
        <w:t xml:space="preserve">Otros sujetos del proceso de atención a las solicitudes de información son los servidores públicos habilitados, quienes serán designados por el titular del </w:t>
      </w:r>
      <w:r w:rsidRPr="00F64B5E">
        <w:rPr>
          <w:rFonts w:ascii="Palatino Linotype" w:eastAsia="Palatino Linotype" w:hAnsi="Palatino Linotype" w:cs="Palatino Linotype"/>
          <w:b/>
          <w:color w:val="000000" w:themeColor="text1"/>
        </w:rPr>
        <w:t xml:space="preserve">SUJETO OBLIGADO </w:t>
      </w:r>
      <w:r w:rsidRPr="00F64B5E">
        <w:rPr>
          <w:rFonts w:ascii="Palatino Linotype" w:eastAsia="Palatino Linotype" w:hAnsi="Palatino Linotype" w:cs="Palatino Linotype"/>
          <w:color w:val="000000" w:themeColor="text1"/>
        </w:rPr>
        <w:t>a propuesta del responsable de la Unidad de Transparencia</w:t>
      </w:r>
      <w:r w:rsidRPr="00F64B5E">
        <w:rPr>
          <w:rFonts w:ascii="Palatino Linotype" w:eastAsia="Palatino Linotype" w:hAnsi="Palatino Linotype" w:cs="Palatino Linotype"/>
          <w:color w:val="000000" w:themeColor="text1"/>
          <w:vertAlign w:val="superscript"/>
        </w:rPr>
        <w:footnoteReference w:id="3"/>
      </w:r>
      <w:r w:rsidRPr="00F64B5E">
        <w:rPr>
          <w:rFonts w:ascii="Palatino Linotype" w:eastAsia="Palatino Linotype" w:hAnsi="Palatino Linotype" w:cs="Palatino Linotype"/>
          <w:color w:val="000000" w:themeColor="text1"/>
        </w:rPr>
        <w:t xml:space="preserve"> y tendrán, entre sus atribuciones, las siguientes</w:t>
      </w:r>
      <w:r w:rsidRPr="00F64B5E">
        <w:rPr>
          <w:rFonts w:ascii="Palatino Linotype" w:eastAsia="Palatino Linotype" w:hAnsi="Palatino Linotype" w:cs="Palatino Linotype"/>
          <w:color w:val="000000" w:themeColor="text1"/>
          <w:vertAlign w:val="superscript"/>
        </w:rPr>
        <w:footnoteReference w:id="4"/>
      </w:r>
      <w:r w:rsidRPr="00F64B5E">
        <w:rPr>
          <w:rFonts w:ascii="Palatino Linotype" w:eastAsia="Palatino Linotype" w:hAnsi="Palatino Linotype" w:cs="Palatino Linotype"/>
          <w:color w:val="000000" w:themeColor="text1"/>
        </w:rPr>
        <w:t>:</w:t>
      </w:r>
    </w:p>
    <w:p w:rsidR="00F97AF3" w:rsidRPr="00F64B5E" w:rsidRDefault="00DB08F4" w:rsidP="001A241E">
      <w:pPr>
        <w:numPr>
          <w:ilvl w:val="1"/>
          <w:numId w:val="3"/>
        </w:numPr>
        <w:pBdr>
          <w:top w:val="nil"/>
          <w:left w:val="nil"/>
          <w:bottom w:val="nil"/>
          <w:right w:val="nil"/>
          <w:between w:val="nil"/>
        </w:pBdr>
        <w:spacing w:before="240"/>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Localizar la información que le solicite la Unidad de Transparencia; y</w:t>
      </w:r>
    </w:p>
    <w:p w:rsidR="00F97AF3" w:rsidRPr="00F64B5E" w:rsidRDefault="00DB08F4" w:rsidP="001A241E">
      <w:pPr>
        <w:numPr>
          <w:ilvl w:val="1"/>
          <w:numId w:val="3"/>
        </w:numPr>
        <w:pBdr>
          <w:top w:val="nil"/>
          <w:left w:val="nil"/>
          <w:bottom w:val="nil"/>
          <w:right w:val="nil"/>
          <w:between w:val="nil"/>
        </w:pBdr>
        <w:spacing w:after="240"/>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Proporcionar la información que obre en los archivos y que le sea solicitada por la Unidad de Transparencia.</w:t>
      </w:r>
    </w:p>
    <w:p w:rsidR="00F97AF3" w:rsidRPr="00F64B5E" w:rsidRDefault="00F97AF3" w:rsidP="001A241E">
      <w:pPr>
        <w:jc w:val="both"/>
        <w:rPr>
          <w:rFonts w:ascii="Palatino Linotype" w:eastAsia="Palatino Linotype" w:hAnsi="Palatino Linotype" w:cs="Palatino Linotype"/>
          <w:b/>
          <w:color w:val="000000" w:themeColor="text1"/>
        </w:rPr>
      </w:pPr>
    </w:p>
    <w:p w:rsidR="00F97AF3" w:rsidRPr="00F64B5E" w:rsidRDefault="00DB08F4" w:rsidP="001A241E">
      <w:pPr>
        <w:numPr>
          <w:ilvl w:val="0"/>
          <w:numId w:val="1"/>
        </w:numPr>
        <w:tabs>
          <w:tab w:val="left" w:pos="142"/>
        </w:tabs>
        <w:spacing w:line="360" w:lineRule="auto"/>
        <w:ind w:left="0" w:firstLine="0"/>
        <w:jc w:val="both"/>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color w:val="000000" w:themeColor="text1"/>
        </w:rPr>
        <w:t xml:space="preserve">De tal manera que cada una de las áreas administrativas del </w:t>
      </w:r>
      <w:r w:rsidRPr="00F64B5E">
        <w:rPr>
          <w:rFonts w:ascii="Palatino Linotype" w:eastAsia="Palatino Linotype" w:hAnsi="Palatino Linotype" w:cs="Palatino Linotype"/>
          <w:b/>
          <w:color w:val="000000" w:themeColor="text1"/>
        </w:rPr>
        <w:t>SUJETO OBLIGADO</w:t>
      </w:r>
      <w:r w:rsidRPr="00F64B5E">
        <w:rPr>
          <w:rFonts w:ascii="Palatino Linotype" w:eastAsia="Palatino Linotype" w:hAnsi="Palatino Linotype" w:cs="Palatino Linotype"/>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rsidR="00F97AF3" w:rsidRPr="00F64B5E" w:rsidRDefault="00F97AF3" w:rsidP="001A241E">
      <w:pPr>
        <w:tabs>
          <w:tab w:val="left" w:pos="142"/>
        </w:tabs>
        <w:spacing w:line="360" w:lineRule="auto"/>
        <w:jc w:val="both"/>
        <w:rPr>
          <w:rFonts w:ascii="Palatino Linotype" w:eastAsia="Palatino Linotype" w:hAnsi="Palatino Linotype" w:cs="Palatino Linotype"/>
          <w:b/>
          <w:color w:val="000000" w:themeColor="text1"/>
        </w:rPr>
      </w:pPr>
    </w:p>
    <w:p w:rsidR="00F97AF3" w:rsidRPr="00F64B5E" w:rsidRDefault="00DB08F4" w:rsidP="001A241E">
      <w:pPr>
        <w:numPr>
          <w:ilvl w:val="0"/>
          <w:numId w:val="1"/>
        </w:numPr>
        <w:tabs>
          <w:tab w:val="left" w:pos="142"/>
        </w:tabs>
        <w:spacing w:line="360" w:lineRule="auto"/>
        <w:ind w:left="0" w:firstLine="0"/>
        <w:jc w:val="both"/>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color w:val="000000" w:themeColor="text1"/>
        </w:rPr>
        <w:t>Aunado a lo anterior, la Ley de Transparencia y Acceso a la Información Pública del Estado de México y Municipios, en su artículo 53, establece las funciones correspondientes a esta Unidad; mismas que se inserta a continuación:</w:t>
      </w:r>
    </w:p>
    <w:p w:rsidR="00F97AF3" w:rsidRPr="00F64B5E" w:rsidRDefault="00DB08F4" w:rsidP="001A241E">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b/>
          <w:i/>
          <w:color w:val="000000" w:themeColor="text1"/>
        </w:rPr>
        <w:t>“Artículo 53</w:t>
      </w:r>
      <w:r w:rsidRPr="00F64B5E">
        <w:rPr>
          <w:rFonts w:ascii="Palatino Linotype" w:eastAsia="Palatino Linotype" w:hAnsi="Palatino Linotype" w:cs="Palatino Linotype"/>
          <w:i/>
          <w:color w:val="000000" w:themeColor="text1"/>
        </w:rPr>
        <w:t xml:space="preserve">. Las Unidades de Transparencia tendrán las siguientes funciones: </w:t>
      </w:r>
    </w:p>
    <w:p w:rsidR="00F97AF3" w:rsidRPr="00F64B5E" w:rsidRDefault="00F97AF3" w:rsidP="001A241E">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p>
    <w:p w:rsidR="00F97AF3" w:rsidRPr="00F64B5E" w:rsidRDefault="00DB08F4" w:rsidP="001A241E">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F97AF3" w:rsidRPr="00F64B5E" w:rsidRDefault="00DB08F4" w:rsidP="001A241E">
      <w:pPr>
        <w:pBdr>
          <w:top w:val="nil"/>
          <w:left w:val="nil"/>
          <w:bottom w:val="nil"/>
          <w:right w:val="nil"/>
          <w:between w:val="nil"/>
        </w:pBdr>
        <w:tabs>
          <w:tab w:val="left" w:pos="426"/>
        </w:tabs>
        <w:jc w:val="both"/>
        <w:rPr>
          <w:rFonts w:ascii="Palatino Linotype" w:eastAsia="Palatino Linotype" w:hAnsi="Palatino Linotype" w:cs="Palatino Linotype"/>
          <w:b/>
          <w:i/>
          <w:color w:val="000000" w:themeColor="text1"/>
        </w:rPr>
      </w:pPr>
      <w:r w:rsidRPr="00F64B5E">
        <w:rPr>
          <w:rFonts w:ascii="Palatino Linotype" w:eastAsia="Palatino Linotype" w:hAnsi="Palatino Linotype" w:cs="Palatino Linotype"/>
          <w:b/>
          <w:i/>
          <w:color w:val="000000" w:themeColor="text1"/>
        </w:rPr>
        <w:t xml:space="preserve">II. Recibir, tramitar y dar respuesta a las solicitudes de acceso a la información; </w:t>
      </w:r>
    </w:p>
    <w:p w:rsidR="00F97AF3" w:rsidRPr="00F64B5E" w:rsidRDefault="00DB08F4" w:rsidP="001A241E">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III. Auxiliar a los particulares en la elaboración de solicitudes de acceso a la información y, en su caso, orientarlos sobre los sujetos obligados competentes conforme a la normatividad aplicable; </w:t>
      </w:r>
    </w:p>
    <w:p w:rsidR="00F97AF3" w:rsidRPr="00F64B5E" w:rsidRDefault="00DB08F4" w:rsidP="001A241E">
      <w:pPr>
        <w:pBdr>
          <w:top w:val="nil"/>
          <w:left w:val="nil"/>
          <w:bottom w:val="nil"/>
          <w:right w:val="nil"/>
          <w:between w:val="nil"/>
        </w:pBdr>
        <w:tabs>
          <w:tab w:val="left" w:pos="426"/>
        </w:tabs>
        <w:jc w:val="both"/>
        <w:rPr>
          <w:rFonts w:ascii="Palatino Linotype" w:eastAsia="Palatino Linotype" w:hAnsi="Palatino Linotype" w:cs="Palatino Linotype"/>
          <w:b/>
          <w:i/>
          <w:color w:val="000000" w:themeColor="text1"/>
        </w:rPr>
      </w:pPr>
      <w:r w:rsidRPr="00F64B5E">
        <w:rPr>
          <w:rFonts w:ascii="Palatino Linotype" w:eastAsia="Palatino Linotype" w:hAnsi="Palatino Linotype" w:cs="Palatino Linotype"/>
          <w:b/>
          <w:i/>
          <w:color w:val="000000" w:themeColor="text1"/>
        </w:rPr>
        <w:lastRenderedPageBreak/>
        <w:t xml:space="preserve">IV. Realizar, con efectividad, los trámites internos necesarios para la atención de las solicitudes de acceso a la información; </w:t>
      </w:r>
    </w:p>
    <w:p w:rsidR="00F97AF3" w:rsidRPr="00F64B5E" w:rsidRDefault="00DB08F4" w:rsidP="001A241E">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V. Entregar, en su caso, a los particulares la información solicitada; </w:t>
      </w:r>
    </w:p>
    <w:p w:rsidR="00F97AF3" w:rsidRPr="00F64B5E" w:rsidRDefault="00DB08F4" w:rsidP="001A241E">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VI. Efectuar las notificaciones a los solicitantes; </w:t>
      </w:r>
    </w:p>
    <w:p w:rsidR="00F97AF3" w:rsidRPr="00F64B5E" w:rsidRDefault="00DB08F4" w:rsidP="001A241E">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VII. Proponer al Comité de Transparencia, los procedimientos internos que aseguren la mayor eficiencia en la gestión de las solicitudes de acceso a la información, conforme a la normatividad aplicable; </w:t>
      </w:r>
    </w:p>
    <w:p w:rsidR="00F97AF3" w:rsidRPr="00F64B5E" w:rsidRDefault="00DB08F4" w:rsidP="001A241E">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VIII. Proponer a quien preside el Comité de Transparencia, personal habilitado que sea necesario para recibir y dar trámite a las solicitudes de acceso a la información; </w:t>
      </w:r>
    </w:p>
    <w:p w:rsidR="00F97AF3" w:rsidRPr="00F64B5E" w:rsidRDefault="00DB08F4" w:rsidP="001A241E">
      <w:pPr>
        <w:pBdr>
          <w:top w:val="nil"/>
          <w:left w:val="nil"/>
          <w:bottom w:val="nil"/>
          <w:right w:val="nil"/>
          <w:between w:val="nil"/>
        </w:pBdr>
        <w:tabs>
          <w:tab w:val="left" w:pos="426"/>
        </w:tabs>
        <w:jc w:val="both"/>
        <w:rPr>
          <w:rFonts w:ascii="Palatino Linotype" w:eastAsia="Palatino Linotype" w:hAnsi="Palatino Linotype" w:cs="Palatino Linotype"/>
          <w:b/>
          <w:i/>
          <w:color w:val="000000" w:themeColor="text1"/>
        </w:rPr>
      </w:pPr>
      <w:r w:rsidRPr="00F64B5E">
        <w:rPr>
          <w:rFonts w:ascii="Palatino Linotype" w:eastAsia="Palatino Linotype" w:hAnsi="Palatino Linotype" w:cs="Palatino Linotype"/>
          <w:b/>
          <w:i/>
          <w:color w:val="000000" w:themeColor="text1"/>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F97AF3" w:rsidRPr="00F64B5E" w:rsidRDefault="00DB08F4" w:rsidP="001A241E">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X. Presentar ante el Comité, el proyecto de clasificación de información; </w:t>
      </w:r>
    </w:p>
    <w:p w:rsidR="00F97AF3" w:rsidRPr="00F64B5E" w:rsidRDefault="00DB08F4" w:rsidP="001A241E">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XI. Promover e implementar políticas de transparencia proactiva procurando su accesibilidad; </w:t>
      </w:r>
    </w:p>
    <w:p w:rsidR="00F97AF3" w:rsidRPr="00F64B5E" w:rsidRDefault="00DB08F4" w:rsidP="001A241E">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XII. Fomentar la transparencia y accesibilidad al interior del sujeto obligado; </w:t>
      </w:r>
    </w:p>
    <w:p w:rsidR="00F97AF3" w:rsidRPr="00F64B5E" w:rsidRDefault="00DB08F4" w:rsidP="001A241E">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XIII. Hacer del conocimiento de la instancia competente la probable responsabilidad por el incumplimiento de las obligaciones previstas en la presente Ley; y</w:t>
      </w:r>
    </w:p>
    <w:p w:rsidR="00F97AF3" w:rsidRPr="00F64B5E" w:rsidRDefault="00DB08F4" w:rsidP="001A241E">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XIV. Las demás que resulten necesarias para facilitar el acceso a la información y aquellas que se desprenden de la presente Ley y demás disposiciones jurídicas aplicables. (…)</w:t>
      </w:r>
    </w:p>
    <w:p w:rsidR="00F97AF3" w:rsidRPr="00F64B5E" w:rsidRDefault="00DB08F4" w:rsidP="001A241E">
      <w:pPr>
        <w:pBdr>
          <w:top w:val="nil"/>
          <w:left w:val="nil"/>
          <w:bottom w:val="nil"/>
          <w:right w:val="nil"/>
          <w:between w:val="nil"/>
        </w:pBdr>
        <w:tabs>
          <w:tab w:val="left" w:pos="426"/>
        </w:tabs>
        <w:spacing w:after="240"/>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rsidR="00F97AF3" w:rsidRPr="00F64B5E" w:rsidRDefault="00F97AF3" w:rsidP="001A241E">
      <w:pPr>
        <w:jc w:val="both"/>
        <w:rPr>
          <w:rFonts w:ascii="Palatino Linotype" w:eastAsia="Palatino Linotype" w:hAnsi="Palatino Linotype" w:cs="Palatino Linotype"/>
          <w:b/>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color w:val="000000" w:themeColor="text1"/>
        </w:rPr>
        <w:t>De lo expuesto y con relación a lo solicitado, se tiene que, en efecto, la Unidad de Transparencia es la encargada de recibir, tramitar y dar respuesta a las solicitudes de acceso a la información.</w:t>
      </w:r>
      <w:r w:rsidRPr="00F64B5E">
        <w:rPr>
          <w:rFonts w:ascii="Palatino Linotype" w:eastAsia="Palatino Linotype" w:hAnsi="Palatino Linotype" w:cs="Palatino Linotype"/>
          <w:b/>
          <w:color w:val="000000" w:themeColor="text1"/>
        </w:rPr>
        <w:t xml:space="preserve"> </w:t>
      </w:r>
    </w:p>
    <w:p w:rsidR="00F97AF3" w:rsidRPr="00F64B5E" w:rsidRDefault="00F97AF3" w:rsidP="001A241E">
      <w:pPr>
        <w:spacing w:line="360" w:lineRule="auto"/>
        <w:jc w:val="both"/>
        <w:rPr>
          <w:rFonts w:ascii="Palatino Linotype" w:eastAsia="Palatino Linotype" w:hAnsi="Palatino Linotype" w:cs="Palatino Linotype"/>
          <w:b/>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 xml:space="preserve">En atención a lo anterior, se advierte el </w:t>
      </w:r>
      <w:r w:rsidRPr="00F64B5E">
        <w:rPr>
          <w:rFonts w:ascii="Palatino Linotype" w:eastAsia="Palatino Linotype" w:hAnsi="Palatino Linotype" w:cs="Palatino Linotype"/>
          <w:b/>
          <w:color w:val="000000" w:themeColor="text1"/>
        </w:rPr>
        <w:t>SUJETO OBLIGADO</w:t>
      </w:r>
      <w:r w:rsidRPr="00F64B5E">
        <w:rPr>
          <w:rFonts w:ascii="Palatino Linotype" w:eastAsia="Palatino Linotype" w:hAnsi="Palatino Linotype" w:cs="Palatino Linotype"/>
          <w:color w:val="000000" w:themeColor="text1"/>
        </w:rPr>
        <w:t xml:space="preserve"> se pronunció por medio del Servidor Público Habilitado competente, en el presente caso, </w:t>
      </w:r>
      <w:r w:rsidRPr="00F64B5E">
        <w:rPr>
          <w:rFonts w:ascii="Palatino Linotype" w:eastAsia="Palatino Linotype" w:hAnsi="Palatino Linotype" w:cs="Palatino Linotype"/>
          <w:b/>
          <w:color w:val="000000" w:themeColor="text1"/>
        </w:rPr>
        <w:t xml:space="preserve">de la Dirección General de </w:t>
      </w:r>
      <w:r w:rsidRPr="00F64B5E">
        <w:rPr>
          <w:rFonts w:ascii="Palatino Linotype" w:eastAsia="Palatino Linotype" w:hAnsi="Palatino Linotype" w:cs="Palatino Linotype"/>
          <w:b/>
          <w:color w:val="000000" w:themeColor="text1"/>
        </w:rPr>
        <w:lastRenderedPageBreak/>
        <w:t xml:space="preserve">Administración y la Dirección de Innovación y Gobierno Digital, </w:t>
      </w:r>
      <w:r w:rsidRPr="00F64B5E">
        <w:rPr>
          <w:rFonts w:ascii="Palatino Linotype" w:eastAsia="Palatino Linotype" w:hAnsi="Palatino Linotype" w:cs="Palatino Linotype"/>
          <w:color w:val="000000" w:themeColor="text1"/>
        </w:rPr>
        <w:t>quien remitió la información solicitada que obra en sus archivos.</w:t>
      </w:r>
    </w:p>
    <w:p w:rsidR="00F97AF3" w:rsidRPr="00F64B5E" w:rsidRDefault="00F97AF3" w:rsidP="001A241E">
      <w:pPr>
        <w:rPr>
          <w:rFonts w:ascii="Palatino Linotype" w:eastAsia="Palatino Linotype" w:hAnsi="Palatino Linotype" w:cs="Palatino Linotype"/>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 xml:space="preserve">En este sentido, el Manual de Organización de la Dirección de Administración, establece que esta tiene por objetivo definir establecer, difundir y aplicar la normatividad para la administración de personal, adquisición, asignación, uso y mantenimiento de bienes, contratación y prestación de servicios, ministración y </w:t>
      </w:r>
      <w:r w:rsidRPr="00F64B5E">
        <w:rPr>
          <w:rFonts w:ascii="Palatino Linotype" w:eastAsia="Palatino Linotype" w:hAnsi="Palatino Linotype" w:cs="Palatino Linotype"/>
          <w:b/>
          <w:color w:val="000000" w:themeColor="text1"/>
        </w:rPr>
        <w:t xml:space="preserve">aplicación de la tecnología de la información y comunicaciones, </w:t>
      </w:r>
      <w:r w:rsidRPr="00F64B5E">
        <w:rPr>
          <w:rFonts w:ascii="Palatino Linotype" w:eastAsia="Palatino Linotype" w:hAnsi="Palatino Linotype" w:cs="Palatino Linotype"/>
          <w:color w:val="000000" w:themeColor="text1"/>
        </w:rPr>
        <w:t>que requieran las diferentes dependencias y órganos que integran la administración pública municipal, para la ejecución de sus funciones, buscando siempre las mejores condiciones de oportunidad, precio, calidad y financiamiento, bajo un esquema de transparencia, a fin de racionalizar los recursos humanos, materiales, técnicos y tecnológicos, así como el adecuado control del parque vehicular y de bienes muebles e inmuebles. Y, cuenta con las siguientes funciones:</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b/>
          <w:i/>
          <w:color w:val="000000" w:themeColor="text1"/>
        </w:rPr>
        <w:t>“-</w:t>
      </w:r>
      <w:r w:rsidRPr="00F64B5E">
        <w:rPr>
          <w:rFonts w:ascii="Palatino Linotype" w:eastAsia="Palatino Linotype" w:hAnsi="Palatino Linotype" w:cs="Palatino Linotype"/>
          <w:i/>
          <w:color w:val="000000" w:themeColor="text1"/>
        </w:rPr>
        <w:t xml:space="preserve">Definir mecanismos respecto a los procesos de reclutamiento y selección, contratación, inducción y control del personal, a efecto de que desarrollen de manera óptima eficaz y eficiente las tareas asignadas dentro de la administración pública municipal; </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-Instruir el cumplimiento de disposiciones relacionadas con seguridad e higiene laboral, además de las relativas a los derechos y obligaciones del personal establecidas en el Código Reglamentario; </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-Aprobar y controlar los movimientos administrativos y licencias del personal, a fin de ser remitidos en tiempo y forma al área competente para su correcta aplicación; </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-Validar la elaboración y distribución de la nómina del personal que labora en el ayuntamiento con la finalidad de que cada trabajador devengue su sueldo correspondiente, lo anterior conforme a la normatividad aplicable y el presupuesto autorizado; </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-Establecer y coordinar políticas y lineamientos en materia de capacitación y adiestramiento del personal que coadyuven al mejoramiento de conocimientos, habilidades, aptitudes y actitudes para cubrir las necesidades institucionales; </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-Conducir y vigilar las relaciones laborales del Ayuntamiento con sus trabajadores, así como el cumplimiento de los convenios sindicales, con la finalidad de fortalecer las relaciones entre las instituciones;  </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lastRenderedPageBreak/>
        <w:t xml:space="preserve">-Organizar y autorizar procedimientos de adquisiciones y contratación de servicios, arrendamiento de inmuebles, así como enajenación y subasta de bienes de una manera eficiente y transparente, apegados a la normatividad correspondiente; </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-Autorizar y coordinar el programa anual de adquisición de bienes de uso general, así como los procesos adquisitivos para la compra y entrega oportuna a las unidades administrativas;</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-Vigilar y aprobar la integración y actualización del catálogo de artículos para su utilización en las operaciones de compra solicitadas por las diferentes dependencias; </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-Coordinar la adquisición de bienes y servicios mediante los procedimientos establecidos en la normatividad aplicable, procurando obtener el mejor precio de mercado sin renunciar a la calidad de los mismos, para cubrir las necesidades de las diferentes áreas que integran la administración pública municipal; </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-Vigilar la implementación de mecanismos técnicos y tecnológicos necesarios y suficientes que permitan realizar investigación y estudios de mercado; </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-Aprobar y formalizar los contratos para la adquisición de bienes y prestación de servicios, que deriven de cualquiera de los procedimientos establecidos en la normatividad vigente y aplicable; Instruir la aplicación de sanciones a los proveedores debido al incumplimiento en los contratos celebrados con el Ayuntamiento;  </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-Establecer y controlar los comités de adquisiciones y servicios, de arrendamientos y adquisición de inmuebles y enajenación de bienes, con la finalidad de proveer a las unidades administrativas de los recursos e insumos necesarios para el desarrollo de sus funciones conforme a las normas y procedimientos aplicables; </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-Establecer y controlar los mecanismos de entrada, resguardo y salida de materiales que se reciben en los almacenes y sub-almacenes, para su distribución a las diferentes dependencias que integran la administración pública municipal;  </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-Controlar, los bienes muebles e inmuebles arrendados o en arrendamiento, con la finalidad de dar cumplimiento a las relaciones contractuales, procurando su óptimo funcionamiento; </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-Establecer y coordinar programas y acciones de mantenimiento, aseo y limpieza a los inmuebles del gobierno municipal que permitan el correcto y adecuado desarrollo de las actividades de los servidores públicos; </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-Vigilar los lineamientos y procedimientos para la distribución de combustibles, requeridos por el parque vehicular, de acuerdo al presupuesto y necesidades propias de cada dependencia; </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-Establecer las medidas necesarias para el mantenimiento preventivo y correctivo del parque vehicular del ayuntamiento, asegurando el buen funcionamiento para el desempeño de las actividades que realizan las dependencias y órganos; </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-Coadyuvar con las diversas áreas que integran la administración pública municipal en la organización de actos y eventos oficiales; </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b/>
          <w:i/>
          <w:color w:val="000000" w:themeColor="text1"/>
        </w:rPr>
      </w:pPr>
      <w:r w:rsidRPr="00F64B5E">
        <w:rPr>
          <w:rFonts w:ascii="Palatino Linotype" w:eastAsia="Palatino Linotype" w:hAnsi="Palatino Linotype" w:cs="Palatino Linotype"/>
          <w:b/>
          <w:i/>
          <w:color w:val="000000" w:themeColor="text1"/>
        </w:rPr>
        <w:lastRenderedPageBreak/>
        <w:t xml:space="preserve">-Establecer mecanismos relacionados con la dotación y operación de las tecnologías de la información y comunicaciones conforme a las necesidades de las unidades administrativas; </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b/>
          <w:i/>
          <w:color w:val="000000" w:themeColor="text1"/>
        </w:rPr>
      </w:pPr>
      <w:r w:rsidRPr="00F64B5E">
        <w:rPr>
          <w:rFonts w:ascii="Palatino Linotype" w:eastAsia="Palatino Linotype" w:hAnsi="Palatino Linotype" w:cs="Palatino Linotype"/>
          <w:b/>
          <w:i/>
          <w:color w:val="000000" w:themeColor="text1"/>
        </w:rPr>
        <w:t xml:space="preserve">-Establecer y controlar servicios de comunicación a las áreas del gobierno municipal, facilitando el intercambio de información entre el personal, la ciudadanía y representantes de las empresas e instituciones públicas y/o privadas; </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b/>
          <w:i/>
          <w:color w:val="000000" w:themeColor="text1"/>
        </w:rPr>
      </w:pPr>
      <w:r w:rsidRPr="00F64B5E">
        <w:rPr>
          <w:rFonts w:ascii="Palatino Linotype" w:eastAsia="Palatino Linotype" w:hAnsi="Palatino Linotype" w:cs="Palatino Linotype"/>
          <w:b/>
          <w:i/>
          <w:color w:val="000000" w:themeColor="text1"/>
        </w:rPr>
        <w:t>-Autorizar, de ser necesario, la utilización del servicio de internet a las unidades administrativas para el desarrollo de sus actividades, que permita el acceso rápido a la información de consulta;</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b/>
          <w:i/>
          <w:color w:val="000000" w:themeColor="text1"/>
        </w:rPr>
      </w:pPr>
      <w:r w:rsidRPr="00F64B5E">
        <w:rPr>
          <w:rFonts w:ascii="Palatino Linotype" w:eastAsia="Palatino Linotype" w:hAnsi="Palatino Linotype" w:cs="Palatino Linotype"/>
          <w:b/>
          <w:i/>
          <w:color w:val="000000" w:themeColor="text1"/>
        </w:rPr>
        <w:t xml:space="preserve">-Establecer y controlar la comunicación a través de la página de internet; </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-Planear, organizar, coordinar, tramitar y controlar las acciones en cuanto a recursos humanos, financieros, materiales y servicios generales o técnicos, necesarios para el eficiente y eficaz funcionamiento de las unidades administrativas de la Dirección General de Administración;</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-Organizar, programar y dar seguimiento a la agenda de trabajo y asuntos propios de la Dirección General de Administración para el logro de los objetivos institucionales; Planear, organizar, coordinar y controlar los procedimientos técnicos para la identificación, registro, actualización y asignación de los bienes patrimoniales, propiedad del ayuntamiento de Toluca; </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-Proponer, establecer y controlar normas, políticas y proyectos que optimicen y garanticen la integridad de la infraestructura tecnológica y sistemas utilizados en la administración pública municipal de Toluca; </w:t>
      </w:r>
    </w:p>
    <w:p w:rsidR="00F97AF3" w:rsidRPr="00F64B5E" w:rsidRDefault="00DB08F4" w:rsidP="001A241E">
      <w:pPr>
        <w:pBdr>
          <w:top w:val="nil"/>
          <w:left w:val="nil"/>
          <w:bottom w:val="nil"/>
          <w:right w:val="nil"/>
          <w:between w:val="nil"/>
        </w:pBd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-Planear, proponer e impulsar campañas de fomento para la utilización adecuada de los recursos de procesamiento electrónico de datos y mantenimiento de software y hardware; y </w:t>
      </w:r>
    </w:p>
    <w:p w:rsidR="00F97AF3" w:rsidRPr="00F64B5E" w:rsidRDefault="00DB08F4" w:rsidP="001A241E">
      <w:pPr>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i/>
          <w:color w:val="000000" w:themeColor="text1"/>
        </w:rPr>
        <w:t>-Realizar todas aquellas actividades que sean inherentes y aplicables al área de su competencia y las demás que le sean encomendadas por instrucción de la o el C. Presidente Municipal.”</w:t>
      </w:r>
    </w:p>
    <w:p w:rsidR="00F97AF3" w:rsidRPr="00F64B5E" w:rsidRDefault="00F97AF3" w:rsidP="001A241E">
      <w:pPr>
        <w:spacing w:line="360" w:lineRule="auto"/>
        <w:jc w:val="both"/>
        <w:rPr>
          <w:rFonts w:ascii="Palatino Linotype" w:eastAsia="Palatino Linotype" w:hAnsi="Palatino Linotype" w:cs="Palatino Linotype"/>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Correlativo a lo anterior, el artículo 3.48 del Código Reglamentario Municipal de Toluca, establece que el Titular de la Dirección de Gobierno Digital cuenta con las siguientes atribuciones:</w:t>
      </w:r>
    </w:p>
    <w:p w:rsidR="00F97AF3" w:rsidRPr="00F64B5E" w:rsidRDefault="00DB08F4" w:rsidP="001A241E">
      <w:pPr>
        <w:jc w:val="both"/>
        <w:rPr>
          <w:rFonts w:ascii="Palatino Linotype" w:eastAsia="Palatino Linotype" w:hAnsi="Palatino Linotype" w:cs="Palatino Linotype"/>
          <w:b/>
          <w:i/>
          <w:color w:val="000000" w:themeColor="text1"/>
        </w:rPr>
      </w:pPr>
      <w:r w:rsidRPr="00F64B5E">
        <w:rPr>
          <w:rFonts w:ascii="Palatino Linotype" w:eastAsia="Palatino Linotype" w:hAnsi="Palatino Linotype" w:cs="Palatino Linotype"/>
          <w:b/>
          <w:i/>
          <w:color w:val="000000" w:themeColor="text1"/>
        </w:rPr>
        <w:t xml:space="preserve">I. Desarrollar y aplicar políticas de seguridad informática y de telecomunicaciones para asegurar la protección de la información; </w:t>
      </w:r>
    </w:p>
    <w:p w:rsidR="00F97AF3" w:rsidRPr="00F64B5E" w:rsidRDefault="00DB08F4" w:rsidP="001A241E">
      <w:pPr>
        <w:jc w:val="both"/>
        <w:rPr>
          <w:rFonts w:ascii="Palatino Linotype" w:eastAsia="Palatino Linotype" w:hAnsi="Palatino Linotype" w:cs="Palatino Linotype"/>
          <w:b/>
          <w:i/>
          <w:color w:val="000000" w:themeColor="text1"/>
        </w:rPr>
      </w:pPr>
      <w:r w:rsidRPr="00F64B5E">
        <w:rPr>
          <w:rFonts w:ascii="Palatino Linotype" w:eastAsia="Palatino Linotype" w:hAnsi="Palatino Linotype" w:cs="Palatino Linotype"/>
          <w:b/>
          <w:i/>
          <w:color w:val="000000" w:themeColor="text1"/>
        </w:rPr>
        <w:t xml:space="preserve">II. Implementar aplicaciones cartográficas y sistemas con enfoque digital integral que permitan presentar información municipal actualizada con mayor eficiencia, eficacia y transparencia; </w:t>
      </w:r>
    </w:p>
    <w:p w:rsidR="00F97AF3" w:rsidRPr="00F64B5E" w:rsidRDefault="00DB08F4" w:rsidP="001A241E">
      <w:pPr>
        <w:jc w:val="both"/>
        <w:rPr>
          <w:rFonts w:ascii="Palatino Linotype" w:eastAsia="Palatino Linotype" w:hAnsi="Palatino Linotype" w:cs="Palatino Linotype"/>
          <w:b/>
          <w:i/>
          <w:color w:val="000000" w:themeColor="text1"/>
        </w:rPr>
      </w:pPr>
      <w:r w:rsidRPr="00F64B5E">
        <w:rPr>
          <w:rFonts w:ascii="Palatino Linotype" w:eastAsia="Palatino Linotype" w:hAnsi="Palatino Linotype" w:cs="Palatino Linotype"/>
          <w:b/>
          <w:i/>
          <w:color w:val="000000" w:themeColor="text1"/>
        </w:rPr>
        <w:t xml:space="preserve">III. Diseñar y administrar programas automatizados para atender los requerimientos técnicos de los procesos del Ayuntamiento;  </w:t>
      </w:r>
    </w:p>
    <w:p w:rsidR="00F97AF3" w:rsidRPr="00F64B5E" w:rsidRDefault="00DB08F4" w:rsidP="001A241E">
      <w:pPr>
        <w:jc w:val="both"/>
        <w:rPr>
          <w:rFonts w:ascii="Palatino Linotype" w:eastAsia="Palatino Linotype" w:hAnsi="Palatino Linotype" w:cs="Palatino Linotype"/>
          <w:b/>
          <w:i/>
          <w:color w:val="000000" w:themeColor="text1"/>
        </w:rPr>
      </w:pPr>
      <w:r w:rsidRPr="00F64B5E">
        <w:rPr>
          <w:rFonts w:ascii="Palatino Linotype" w:eastAsia="Palatino Linotype" w:hAnsi="Palatino Linotype" w:cs="Palatino Linotype"/>
          <w:b/>
          <w:i/>
          <w:color w:val="000000" w:themeColor="text1"/>
        </w:rPr>
        <w:lastRenderedPageBreak/>
        <w:t xml:space="preserve">IV. Implementar un programa de mantenimiento preventivo y correctivo al equipo propiedad del Ayuntamiento, a fin de que éste se conserve en buen estado;  </w:t>
      </w:r>
    </w:p>
    <w:p w:rsidR="00F97AF3" w:rsidRPr="00F64B5E" w:rsidRDefault="00DB08F4" w:rsidP="001A241E">
      <w:pPr>
        <w:jc w:val="both"/>
        <w:rPr>
          <w:rFonts w:ascii="Palatino Linotype" w:eastAsia="Palatino Linotype" w:hAnsi="Palatino Linotype" w:cs="Palatino Linotype"/>
          <w:b/>
          <w:i/>
          <w:color w:val="000000" w:themeColor="text1"/>
        </w:rPr>
      </w:pPr>
      <w:r w:rsidRPr="00F64B5E">
        <w:rPr>
          <w:rFonts w:ascii="Palatino Linotype" w:eastAsia="Palatino Linotype" w:hAnsi="Palatino Linotype" w:cs="Palatino Linotype"/>
          <w:b/>
          <w:i/>
          <w:color w:val="000000" w:themeColor="text1"/>
        </w:rPr>
        <w:t xml:space="preserve">V. Planear y controlar lo referente a las telecomunicaciones, redes de voz, datos y video del Ayuntamiento;  </w:t>
      </w:r>
    </w:p>
    <w:p w:rsidR="00F97AF3" w:rsidRPr="00F64B5E" w:rsidRDefault="00DB08F4" w:rsidP="001A241E">
      <w:pPr>
        <w:jc w:val="both"/>
        <w:rPr>
          <w:rFonts w:ascii="Palatino Linotype" w:eastAsia="Palatino Linotype" w:hAnsi="Palatino Linotype" w:cs="Palatino Linotype"/>
          <w:b/>
          <w:i/>
          <w:color w:val="000000" w:themeColor="text1"/>
        </w:rPr>
      </w:pPr>
      <w:r w:rsidRPr="00F64B5E">
        <w:rPr>
          <w:rFonts w:ascii="Palatino Linotype" w:eastAsia="Palatino Linotype" w:hAnsi="Palatino Linotype" w:cs="Palatino Linotype"/>
          <w:b/>
          <w:i/>
          <w:color w:val="000000" w:themeColor="text1"/>
        </w:rPr>
        <w:t xml:space="preserve">VI. Evaluar, sugerir, corregir, dictaminar y dar el visto bueno para cualquier proyecto tecnológico en materia de telecomunicaciones que implique la contratación o adquisición de infraestructura o servicios;  </w:t>
      </w:r>
    </w:p>
    <w:p w:rsidR="00F97AF3" w:rsidRPr="00F64B5E" w:rsidRDefault="00DB08F4" w:rsidP="001A241E">
      <w:pPr>
        <w:jc w:val="both"/>
        <w:rPr>
          <w:rFonts w:ascii="Palatino Linotype" w:eastAsia="Palatino Linotype" w:hAnsi="Palatino Linotype" w:cs="Palatino Linotype"/>
          <w:b/>
          <w:i/>
          <w:color w:val="000000" w:themeColor="text1"/>
        </w:rPr>
      </w:pPr>
      <w:r w:rsidRPr="00F64B5E">
        <w:rPr>
          <w:rFonts w:ascii="Palatino Linotype" w:eastAsia="Palatino Linotype" w:hAnsi="Palatino Linotype" w:cs="Palatino Linotype"/>
          <w:b/>
          <w:i/>
          <w:color w:val="000000" w:themeColor="text1"/>
        </w:rPr>
        <w:t xml:space="preserve">VII. Proponer la implementación de tecnologías de la información y comunicación para eficientar los procesos de las dependencias municipales y el acceso a la ciudadanía para la realización de trámites y servicios electrónicos;  </w:t>
      </w:r>
    </w:p>
    <w:p w:rsidR="00F97AF3" w:rsidRPr="00F64B5E" w:rsidRDefault="00DB08F4" w:rsidP="001A241E">
      <w:pP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VIII. Derogada;  </w:t>
      </w:r>
    </w:p>
    <w:p w:rsidR="00F97AF3" w:rsidRPr="00F64B5E" w:rsidRDefault="00DB08F4" w:rsidP="001A241E">
      <w:pP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IX. Derogada;  </w:t>
      </w:r>
    </w:p>
    <w:p w:rsidR="00F97AF3" w:rsidRPr="00F64B5E" w:rsidRDefault="00DB08F4" w:rsidP="001A241E">
      <w:pP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X. Derogada;</w:t>
      </w:r>
    </w:p>
    <w:p w:rsidR="00F97AF3" w:rsidRPr="00F64B5E" w:rsidRDefault="00DB08F4" w:rsidP="001A241E">
      <w:pP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XI. Derogada;  </w:t>
      </w:r>
    </w:p>
    <w:p w:rsidR="00F97AF3" w:rsidRPr="00F64B5E" w:rsidRDefault="00DB08F4" w:rsidP="001A241E">
      <w:pP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XII. Derogada; y </w:t>
      </w:r>
    </w:p>
    <w:p w:rsidR="00F97AF3" w:rsidRPr="00F64B5E" w:rsidRDefault="00DB08F4" w:rsidP="001A241E">
      <w:pPr>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XIII. Las demás que le asignen otros ordenamientos, el presidente municipal y la o el Director General de Administración.</w:t>
      </w:r>
    </w:p>
    <w:p w:rsidR="00F97AF3" w:rsidRPr="00F64B5E" w:rsidRDefault="00F97AF3" w:rsidP="001A241E">
      <w:pPr>
        <w:spacing w:line="360" w:lineRule="auto"/>
        <w:jc w:val="both"/>
        <w:rPr>
          <w:rFonts w:ascii="Palatino Linotype" w:eastAsia="Palatino Linotype" w:hAnsi="Palatino Linotype" w:cs="Palatino Linotype"/>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 xml:space="preserve">Así, se sostiene que al haber existido un pronunciamiento por parte del </w:t>
      </w:r>
      <w:r w:rsidRPr="00F64B5E">
        <w:rPr>
          <w:rFonts w:ascii="Palatino Linotype" w:eastAsia="Palatino Linotype" w:hAnsi="Palatino Linotype" w:cs="Palatino Linotype"/>
          <w:b/>
          <w:color w:val="000000" w:themeColor="text1"/>
        </w:rPr>
        <w:t xml:space="preserve">SUJETO OBLIGADO, </w:t>
      </w:r>
      <w:r w:rsidRPr="00F64B5E">
        <w:rPr>
          <w:rFonts w:ascii="Palatino Linotype" w:eastAsia="Palatino Linotype" w:hAnsi="Palatino Linotype" w:cs="Palatino Linotype"/>
          <w:color w:val="000000" w:themeColor="text1"/>
        </w:rPr>
        <w:t>aún más de los Servidores Públicos Habilitados correspondientes, este Instituto no está facultado para manifestarse sobre la veracidad de este, pues no existe precepto legal alguno en la Ley de la materia que lo faculte para que, vía recurso de revisión, pueda pronunciarse al respecto.</w:t>
      </w:r>
    </w:p>
    <w:p w:rsidR="00F97AF3" w:rsidRPr="00F64B5E" w:rsidRDefault="00F97AF3" w:rsidP="001A241E">
      <w:pPr>
        <w:spacing w:line="360" w:lineRule="auto"/>
        <w:jc w:val="both"/>
        <w:rPr>
          <w:rFonts w:ascii="Palatino Linotype" w:eastAsia="Palatino Linotype" w:hAnsi="Palatino Linotype" w:cs="Palatino Linotype"/>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 xml:space="preserve">No obstante a lo anterior, se reitera que el </w:t>
      </w:r>
      <w:r w:rsidRPr="00F64B5E">
        <w:rPr>
          <w:rFonts w:ascii="Palatino Linotype" w:eastAsia="Palatino Linotype" w:hAnsi="Palatino Linotype" w:cs="Palatino Linotype"/>
          <w:b/>
          <w:color w:val="000000" w:themeColor="text1"/>
        </w:rPr>
        <w:t>SUJETO OBLIGADO</w:t>
      </w:r>
      <w:r w:rsidRPr="00F64B5E">
        <w:rPr>
          <w:rFonts w:ascii="Palatino Linotype" w:eastAsia="Palatino Linotype" w:hAnsi="Palatino Linotype" w:cs="Palatino Linotype"/>
          <w:color w:val="000000" w:themeColor="text1"/>
        </w:rPr>
        <w:t xml:space="preserve"> hizo entrega parcial de la información solicitada, motivo por el cual, no se puede tener por atendido el requerimiento del Particular.</w:t>
      </w:r>
    </w:p>
    <w:p w:rsidR="00F97AF3" w:rsidRPr="00F64B5E" w:rsidRDefault="00F97AF3" w:rsidP="001A241E">
      <w:pPr>
        <w:spacing w:line="360" w:lineRule="auto"/>
        <w:jc w:val="both"/>
        <w:rPr>
          <w:rFonts w:ascii="Palatino Linotype" w:eastAsia="Palatino Linotype" w:hAnsi="Palatino Linotype" w:cs="Palatino Linotype"/>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 xml:space="preserve">En consecuencia, analizadas las constancias que forman el expediente electrónico, resultan fundadas las razones o motivos de inconformidad hechos valer por el </w:t>
      </w:r>
      <w:r w:rsidRPr="00F64B5E">
        <w:rPr>
          <w:rFonts w:ascii="Palatino Linotype" w:eastAsia="Palatino Linotype" w:hAnsi="Palatino Linotype" w:cs="Palatino Linotype"/>
          <w:b/>
          <w:color w:val="000000" w:themeColor="text1"/>
        </w:rPr>
        <w:lastRenderedPageBreak/>
        <w:t>RECURRENTE</w:t>
      </w:r>
      <w:r w:rsidRPr="00F64B5E">
        <w:rPr>
          <w:rFonts w:ascii="Palatino Linotype" w:eastAsia="Palatino Linotype" w:hAnsi="Palatino Linotype" w:cs="Palatino Linotype"/>
          <w:color w:val="000000" w:themeColor="text1"/>
        </w:rPr>
        <w:t xml:space="preserve"> dentro del recurso de revisión </w:t>
      </w:r>
      <w:r w:rsidRPr="00F64B5E">
        <w:rPr>
          <w:rFonts w:ascii="Palatino Linotype" w:eastAsia="Palatino Linotype" w:hAnsi="Palatino Linotype" w:cs="Palatino Linotype"/>
          <w:b/>
          <w:color w:val="000000" w:themeColor="text1"/>
        </w:rPr>
        <w:t>06513/INFOEM/IP/RR/2025 y 06514/INFOEM/IP/RR/2025 acumulados</w:t>
      </w:r>
      <w:r w:rsidRPr="00F64B5E">
        <w:rPr>
          <w:rFonts w:ascii="Palatino Linotype" w:eastAsia="Palatino Linotype" w:hAnsi="Palatino Linotype" w:cs="Palatino Linotype"/>
          <w:color w:val="000000" w:themeColor="text1"/>
        </w:rPr>
        <w:t xml:space="preserve">, por ello, y con fundamento en la fracción III del numeral 186 de la Ley de Transparencia y Acceso a la Información Pública del Estado de México y Municipios, se </w:t>
      </w:r>
      <w:r w:rsidRPr="00F64B5E">
        <w:rPr>
          <w:rFonts w:ascii="Palatino Linotype" w:eastAsia="Palatino Linotype" w:hAnsi="Palatino Linotype" w:cs="Palatino Linotype"/>
          <w:b/>
          <w:color w:val="000000" w:themeColor="text1"/>
        </w:rPr>
        <w:t>MODIFICA</w:t>
      </w:r>
      <w:r w:rsidRPr="00F64B5E">
        <w:rPr>
          <w:rFonts w:ascii="Palatino Linotype" w:eastAsia="Palatino Linotype" w:hAnsi="Palatino Linotype" w:cs="Palatino Linotype"/>
          <w:color w:val="000000" w:themeColor="text1"/>
        </w:rPr>
        <w:t xml:space="preserve"> la respuesta del </w:t>
      </w:r>
      <w:r w:rsidRPr="00F64B5E">
        <w:rPr>
          <w:rFonts w:ascii="Palatino Linotype" w:eastAsia="Palatino Linotype" w:hAnsi="Palatino Linotype" w:cs="Palatino Linotype"/>
          <w:b/>
          <w:color w:val="000000" w:themeColor="text1"/>
        </w:rPr>
        <w:t>SUJETO OBLIGADO</w:t>
      </w:r>
      <w:r w:rsidRPr="00F64B5E">
        <w:rPr>
          <w:rFonts w:ascii="Palatino Linotype" w:eastAsia="Palatino Linotype" w:hAnsi="Palatino Linotype" w:cs="Palatino Linotype"/>
          <w:color w:val="000000" w:themeColor="text1"/>
        </w:rPr>
        <w:t xml:space="preserve"> y se </w:t>
      </w:r>
      <w:r w:rsidRPr="00F64B5E">
        <w:rPr>
          <w:rFonts w:ascii="Palatino Linotype" w:eastAsia="Palatino Linotype" w:hAnsi="Palatino Linotype" w:cs="Palatino Linotype"/>
          <w:b/>
          <w:color w:val="000000" w:themeColor="text1"/>
        </w:rPr>
        <w:t>ORDENA</w:t>
      </w:r>
      <w:r w:rsidRPr="00F64B5E">
        <w:rPr>
          <w:rFonts w:ascii="Palatino Linotype" w:eastAsia="Palatino Linotype" w:hAnsi="Palatino Linotype" w:cs="Palatino Linotype"/>
          <w:color w:val="000000" w:themeColor="text1"/>
        </w:rPr>
        <w:t xml:space="preserve"> la entrega de </w:t>
      </w:r>
      <w:r w:rsidRPr="00F64B5E">
        <w:rPr>
          <w:rFonts w:ascii="Palatino Linotype" w:eastAsia="Palatino Linotype" w:hAnsi="Palatino Linotype" w:cs="Palatino Linotype"/>
          <w:b/>
          <w:color w:val="000000" w:themeColor="text1"/>
        </w:rPr>
        <w:t>los documentos donde conste la información relativa a los programas de las TICS (Tecnologías de la Información y la Comunicación) y los resultados de los trimestres faltantes de 2022, 2024 y del 1 al 23 de abril 2025.</w:t>
      </w:r>
    </w:p>
    <w:p w:rsidR="00F97AF3" w:rsidRPr="00F64B5E" w:rsidRDefault="00F97AF3" w:rsidP="001A241E">
      <w:pPr>
        <w:spacing w:line="360" w:lineRule="auto"/>
        <w:jc w:val="both"/>
        <w:rPr>
          <w:rFonts w:ascii="Palatino Linotype" w:eastAsia="Palatino Linotype" w:hAnsi="Palatino Linotype" w:cs="Palatino Linotype"/>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color w:val="000000" w:themeColor="text1"/>
        </w:rPr>
        <w:t>Ahora bien, es importante señalar que el artículo 4, párrafo segundo de la Ley de Transparencia y Acceso a la Información Pública del Estado de México y Municipios, dispone:</w:t>
      </w:r>
    </w:p>
    <w:p w:rsidR="00F97AF3" w:rsidRPr="00F64B5E" w:rsidRDefault="00DB08F4" w:rsidP="001A241E">
      <w:pPr>
        <w:pBdr>
          <w:top w:val="nil"/>
          <w:left w:val="nil"/>
          <w:bottom w:val="nil"/>
          <w:right w:val="nil"/>
          <w:between w:val="nil"/>
        </w:pBdr>
        <w:tabs>
          <w:tab w:val="left" w:pos="426"/>
          <w:tab w:val="left" w:pos="567"/>
        </w:tabs>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w:t>
      </w:r>
      <w:r w:rsidRPr="00F64B5E">
        <w:rPr>
          <w:rFonts w:ascii="Palatino Linotype" w:eastAsia="Palatino Linotype" w:hAnsi="Palatino Linotype" w:cs="Palatino Linotype"/>
          <w:b/>
          <w:i/>
          <w:color w:val="000000" w:themeColor="text1"/>
        </w:rPr>
        <w:t>Artículo 4. …</w:t>
      </w:r>
    </w:p>
    <w:p w:rsidR="00F97AF3" w:rsidRPr="00F64B5E" w:rsidRDefault="00DB08F4" w:rsidP="001A241E">
      <w:pPr>
        <w:pBdr>
          <w:top w:val="nil"/>
          <w:left w:val="nil"/>
          <w:bottom w:val="nil"/>
          <w:right w:val="nil"/>
          <w:between w:val="nil"/>
        </w:pBdr>
        <w:tabs>
          <w:tab w:val="left" w:pos="426"/>
          <w:tab w:val="left" w:pos="567"/>
        </w:tabs>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97AF3" w:rsidRPr="00F64B5E" w:rsidRDefault="00F97AF3" w:rsidP="001A241E">
      <w:pPr>
        <w:rPr>
          <w:rFonts w:ascii="Palatino Linotype" w:eastAsia="Palatino Linotype" w:hAnsi="Palatino Linotype" w:cs="Palatino Linotype"/>
          <w:color w:val="000000" w:themeColor="text1"/>
        </w:rPr>
      </w:pPr>
    </w:p>
    <w:p w:rsidR="00F97AF3" w:rsidRPr="00F64B5E" w:rsidRDefault="00DB08F4" w:rsidP="001A241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color w:val="000000" w:themeColor="text1"/>
        </w:rPr>
        <w:t xml:space="preserve">De lo anterior, se desprende que la información generada, obtenida, adquirida, transmitida, administrada o en posesión de los Sujetos Obligados, será accesible de manera permanente a cualquier persona, privilegiando el principio de máxima publicidad de la información. </w:t>
      </w:r>
    </w:p>
    <w:p w:rsidR="00F97AF3" w:rsidRPr="00F64B5E" w:rsidRDefault="00F97AF3" w:rsidP="001A241E">
      <w:pPr>
        <w:spacing w:line="360" w:lineRule="auto"/>
        <w:jc w:val="both"/>
        <w:rPr>
          <w:rFonts w:ascii="Palatino Linotype" w:eastAsia="Palatino Linotype" w:hAnsi="Palatino Linotype" w:cs="Palatino Linotype"/>
          <w:b/>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color w:val="000000" w:themeColor="text1"/>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w:t>
      </w:r>
      <w:r w:rsidRPr="00F64B5E">
        <w:rPr>
          <w:rFonts w:ascii="Palatino Linotype" w:eastAsia="Palatino Linotype" w:hAnsi="Palatino Linotype" w:cs="Palatino Linotype"/>
          <w:color w:val="000000" w:themeColor="text1"/>
        </w:rPr>
        <w:lastRenderedPageBreak/>
        <w:t xml:space="preserve">estado en el que se encuentre, sin la obligación de generarla, resumirla, efectuar cálculos o practicar investigaciones; tal y como se señala a continuación: </w:t>
      </w:r>
    </w:p>
    <w:p w:rsidR="00F97AF3" w:rsidRPr="00F64B5E" w:rsidRDefault="00DB08F4" w:rsidP="001A241E">
      <w:pPr>
        <w:pBdr>
          <w:top w:val="nil"/>
          <w:left w:val="nil"/>
          <w:bottom w:val="nil"/>
          <w:right w:val="nil"/>
          <w:between w:val="nil"/>
        </w:pBdr>
        <w:tabs>
          <w:tab w:val="left" w:pos="1134"/>
        </w:tabs>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w:t>
      </w:r>
      <w:r w:rsidRPr="00F64B5E">
        <w:rPr>
          <w:rFonts w:ascii="Palatino Linotype" w:eastAsia="Palatino Linotype" w:hAnsi="Palatino Linotype" w:cs="Palatino Linotype"/>
          <w:b/>
          <w:i/>
          <w:color w:val="000000" w:themeColor="text1"/>
        </w:rPr>
        <w:t>Artículo 12.</w:t>
      </w:r>
      <w:r w:rsidRPr="00F64B5E">
        <w:rPr>
          <w:rFonts w:ascii="Palatino Linotype" w:eastAsia="Palatino Linotype" w:hAnsi="Palatino Linotype" w:cs="Palatino Linotype"/>
          <w:i/>
          <w:color w:val="000000" w:themeColor="text1"/>
        </w:rPr>
        <w:t xml:space="preserve"> Quienes generen, recopilen, administren, manejen, procesen, archiven o conserven información pública serán responsables de la misma en los términos de las disposiciones jurídicas aplicables. </w:t>
      </w:r>
    </w:p>
    <w:p w:rsidR="00F97AF3" w:rsidRPr="00F64B5E" w:rsidRDefault="00F97AF3" w:rsidP="001A241E">
      <w:pPr>
        <w:pBdr>
          <w:top w:val="nil"/>
          <w:left w:val="nil"/>
          <w:bottom w:val="nil"/>
          <w:right w:val="nil"/>
          <w:between w:val="nil"/>
        </w:pBdr>
        <w:tabs>
          <w:tab w:val="left" w:pos="1134"/>
        </w:tabs>
        <w:jc w:val="both"/>
        <w:rPr>
          <w:rFonts w:ascii="Palatino Linotype" w:eastAsia="Palatino Linotype" w:hAnsi="Palatino Linotype" w:cs="Palatino Linotype"/>
          <w:i/>
          <w:color w:val="000000" w:themeColor="text1"/>
        </w:rPr>
      </w:pPr>
    </w:p>
    <w:p w:rsidR="00F97AF3" w:rsidRPr="00F64B5E" w:rsidRDefault="00DB08F4" w:rsidP="001A241E">
      <w:pPr>
        <w:tabs>
          <w:tab w:val="left" w:pos="1134"/>
        </w:tabs>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F97AF3" w:rsidRPr="00F64B5E" w:rsidRDefault="00F97AF3" w:rsidP="001A241E">
      <w:pPr>
        <w:tabs>
          <w:tab w:val="left" w:pos="1134"/>
        </w:tabs>
        <w:jc w:val="both"/>
        <w:rPr>
          <w:rFonts w:ascii="Palatino Linotype" w:eastAsia="Palatino Linotype" w:hAnsi="Palatino Linotype" w:cs="Palatino Linotype"/>
          <w:i/>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color w:val="000000" w:themeColor="text1"/>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 </w:t>
      </w:r>
    </w:p>
    <w:p w:rsidR="00F97AF3" w:rsidRPr="00F64B5E" w:rsidRDefault="00F97AF3" w:rsidP="001A241E">
      <w:pPr>
        <w:spacing w:line="360" w:lineRule="auto"/>
        <w:jc w:val="both"/>
        <w:rPr>
          <w:rFonts w:ascii="Palatino Linotype" w:eastAsia="Palatino Linotype" w:hAnsi="Palatino Linotype" w:cs="Palatino Linotype"/>
          <w:b/>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color w:val="000000" w:themeColor="text1"/>
        </w:rPr>
        <w:t xml:space="preserve">Como apoyo a lo anterior, es aplicable el Criterio 03-17, emitido por el Instituto Nacional de Transparencia, Acceso a la Información y Protección de Datos Personales, que dice: </w:t>
      </w:r>
    </w:p>
    <w:p w:rsidR="00F97AF3" w:rsidRPr="00F64B5E" w:rsidRDefault="00DB08F4" w:rsidP="001A241E">
      <w:pPr>
        <w:pBdr>
          <w:top w:val="nil"/>
          <w:left w:val="nil"/>
          <w:bottom w:val="nil"/>
          <w:right w:val="nil"/>
          <w:between w:val="nil"/>
        </w:pBdr>
        <w:tabs>
          <w:tab w:val="left" w:pos="709"/>
          <w:tab w:val="left" w:pos="1985"/>
        </w:tabs>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b/>
          <w:i/>
          <w:color w:val="000000" w:themeColor="text1"/>
        </w:rPr>
        <w:t>“No existe obligación de elaborar documentos ad hoc para atender las solicitudes de acceso a la información.</w:t>
      </w:r>
      <w:r w:rsidRPr="00F64B5E">
        <w:rPr>
          <w:rFonts w:ascii="Palatino Linotype" w:eastAsia="Palatino Linotype" w:hAnsi="Palatino Linotype" w:cs="Palatino Linotype"/>
          <w:i/>
          <w:color w:val="000000" w:themeColor="text1"/>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F97AF3" w:rsidRPr="00F64B5E" w:rsidRDefault="00F97AF3" w:rsidP="001A241E">
      <w:pPr>
        <w:pBdr>
          <w:top w:val="nil"/>
          <w:left w:val="nil"/>
          <w:bottom w:val="nil"/>
          <w:right w:val="nil"/>
          <w:between w:val="nil"/>
        </w:pBdr>
        <w:tabs>
          <w:tab w:val="left" w:pos="709"/>
          <w:tab w:val="left" w:pos="1985"/>
        </w:tabs>
        <w:jc w:val="both"/>
        <w:rPr>
          <w:rFonts w:ascii="Palatino Linotype" w:eastAsia="Palatino Linotype" w:hAnsi="Palatino Linotype" w:cs="Palatino Linotype"/>
          <w:i/>
          <w:color w:val="000000" w:themeColor="text1"/>
        </w:rPr>
      </w:pPr>
    </w:p>
    <w:p w:rsidR="00F97AF3" w:rsidRPr="00F64B5E" w:rsidRDefault="00DB08F4" w:rsidP="001A241E">
      <w:pPr>
        <w:pBdr>
          <w:top w:val="nil"/>
          <w:left w:val="nil"/>
          <w:bottom w:val="nil"/>
          <w:right w:val="nil"/>
          <w:between w:val="nil"/>
        </w:pBdr>
        <w:tabs>
          <w:tab w:val="left" w:pos="709"/>
          <w:tab w:val="left" w:pos="1985"/>
        </w:tabs>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Resoluciones: </w:t>
      </w:r>
    </w:p>
    <w:p w:rsidR="00F97AF3" w:rsidRPr="00F64B5E" w:rsidRDefault="00DB08F4" w:rsidP="001A241E">
      <w:pPr>
        <w:pBdr>
          <w:top w:val="nil"/>
          <w:left w:val="nil"/>
          <w:bottom w:val="nil"/>
          <w:right w:val="nil"/>
          <w:between w:val="nil"/>
        </w:pBdr>
        <w:tabs>
          <w:tab w:val="left" w:pos="709"/>
          <w:tab w:val="left" w:pos="1985"/>
        </w:tabs>
        <w:jc w:val="both"/>
        <w:rPr>
          <w:rFonts w:ascii="Palatino Linotype" w:eastAsia="Palatino Linotype" w:hAnsi="Palatino Linotype" w:cs="Palatino Linotype"/>
          <w:i/>
          <w:color w:val="000000" w:themeColor="text1"/>
        </w:rPr>
      </w:pPr>
      <w:r w:rsidRPr="00F64B5E">
        <w:rPr>
          <w:rFonts w:ascii="Palatino Linotype" w:eastAsia="Symbol" w:hAnsi="Palatino Linotype" w:cs="Symbol"/>
          <w:i/>
          <w:color w:val="000000" w:themeColor="text1"/>
        </w:rPr>
        <w:lastRenderedPageBreak/>
        <w:t>∙</w:t>
      </w:r>
      <w:r w:rsidRPr="00F64B5E">
        <w:rPr>
          <w:rFonts w:ascii="Palatino Linotype" w:eastAsia="Palatino Linotype" w:hAnsi="Palatino Linotype" w:cs="Palatino Linotype"/>
          <w:i/>
          <w:color w:val="000000" w:themeColor="text1"/>
        </w:rPr>
        <w:t xml:space="preserve"> RRA 0050/16. Instituto Nacional para la Evaluación de la Educación. 13 julio de 2016. Por unanimidad. Comisionado Ponente: Francisco Javier Acuña Llamas. </w:t>
      </w:r>
    </w:p>
    <w:p w:rsidR="00F97AF3" w:rsidRPr="00F64B5E" w:rsidRDefault="00DB08F4" w:rsidP="001A241E">
      <w:pPr>
        <w:pBdr>
          <w:top w:val="nil"/>
          <w:left w:val="nil"/>
          <w:bottom w:val="nil"/>
          <w:right w:val="nil"/>
          <w:between w:val="nil"/>
        </w:pBdr>
        <w:tabs>
          <w:tab w:val="left" w:pos="709"/>
          <w:tab w:val="left" w:pos="1985"/>
        </w:tabs>
        <w:jc w:val="both"/>
        <w:rPr>
          <w:rFonts w:ascii="Palatino Linotype" w:eastAsia="Palatino Linotype" w:hAnsi="Palatino Linotype" w:cs="Palatino Linotype"/>
          <w:i/>
          <w:color w:val="000000" w:themeColor="text1"/>
        </w:rPr>
      </w:pPr>
      <w:r w:rsidRPr="00F64B5E">
        <w:rPr>
          <w:rFonts w:ascii="Palatino Linotype" w:eastAsia="Symbol" w:hAnsi="Palatino Linotype" w:cs="Symbol"/>
          <w:i/>
          <w:color w:val="000000" w:themeColor="text1"/>
        </w:rPr>
        <w:t>∙</w:t>
      </w:r>
      <w:r w:rsidRPr="00F64B5E">
        <w:rPr>
          <w:rFonts w:ascii="Palatino Linotype" w:eastAsia="Palatino Linotype" w:hAnsi="Palatino Linotype" w:cs="Palatino Linotype"/>
          <w:i/>
          <w:color w:val="000000" w:themeColor="text1"/>
        </w:rPr>
        <w:t xml:space="preserve"> RRA 0310/16. Instituto Nacional de Transparencia, Acceso a la Información y Protección de Datos Personales. 10 de agosto de 2016. Por unanimidad. Comisionada Ponente. Areli Cano Guadiana. </w:t>
      </w:r>
    </w:p>
    <w:p w:rsidR="00F97AF3" w:rsidRPr="00F64B5E" w:rsidRDefault="00DB08F4" w:rsidP="001A241E">
      <w:pPr>
        <w:tabs>
          <w:tab w:val="left" w:pos="709"/>
          <w:tab w:val="left" w:pos="1985"/>
        </w:tabs>
        <w:jc w:val="both"/>
        <w:rPr>
          <w:rFonts w:ascii="Palatino Linotype" w:eastAsia="Palatino Linotype" w:hAnsi="Palatino Linotype" w:cs="Palatino Linotype"/>
          <w:color w:val="000000" w:themeColor="text1"/>
        </w:rPr>
      </w:pPr>
      <w:r w:rsidRPr="00F64B5E">
        <w:rPr>
          <w:rFonts w:ascii="Palatino Linotype" w:eastAsia="Symbol" w:hAnsi="Palatino Linotype" w:cs="Symbol"/>
          <w:i/>
          <w:color w:val="000000" w:themeColor="text1"/>
        </w:rPr>
        <w:t>∙</w:t>
      </w:r>
      <w:r w:rsidRPr="00F64B5E">
        <w:rPr>
          <w:rFonts w:ascii="Palatino Linotype" w:eastAsia="Palatino Linotype" w:hAnsi="Palatino Linotype" w:cs="Palatino Linotype"/>
          <w:i/>
          <w:color w:val="000000" w:themeColor="text1"/>
        </w:rPr>
        <w:t xml:space="preserve"> RRA 1889/16. Secretaría de Hacienda y Crédito Público. 05 de octubre de 2016. Por unanimidad. Comisionada Ponente. Ximena Puente de la Mora.”</w:t>
      </w:r>
    </w:p>
    <w:p w:rsidR="00F97AF3" w:rsidRPr="00F64B5E" w:rsidRDefault="00F97AF3" w:rsidP="001A241E">
      <w:pPr>
        <w:spacing w:line="360" w:lineRule="auto"/>
        <w:jc w:val="both"/>
        <w:rPr>
          <w:rFonts w:ascii="Palatino Linotype" w:eastAsia="Palatino Linotype" w:hAnsi="Palatino Linotype" w:cs="Palatino Linotype"/>
          <w:b/>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color w:val="000000" w:themeColor="text1"/>
        </w:rPr>
        <w:t xml:space="preserve">Asimos,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rsidR="00F97AF3" w:rsidRPr="00F64B5E" w:rsidRDefault="00F97AF3" w:rsidP="001A241E">
      <w:pPr>
        <w:spacing w:line="360" w:lineRule="auto"/>
        <w:jc w:val="both"/>
        <w:rPr>
          <w:rFonts w:ascii="Palatino Linotype" w:eastAsia="Palatino Linotype" w:hAnsi="Palatino Linotype" w:cs="Palatino Linotype"/>
          <w:b/>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color w:val="000000" w:themeColor="text1"/>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F97AF3" w:rsidRPr="00F64B5E" w:rsidRDefault="00DB08F4" w:rsidP="001A241E">
      <w:pPr>
        <w:pBdr>
          <w:top w:val="nil"/>
          <w:left w:val="nil"/>
          <w:bottom w:val="nil"/>
          <w:right w:val="nil"/>
          <w:between w:val="nil"/>
        </w:pBdr>
        <w:tabs>
          <w:tab w:val="left" w:pos="426"/>
          <w:tab w:val="left" w:pos="567"/>
        </w:tabs>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b/>
          <w:i/>
          <w:color w:val="000000" w:themeColor="text1"/>
        </w:rPr>
        <w:t>“Artículo 3.</w:t>
      </w:r>
      <w:r w:rsidRPr="00F64B5E">
        <w:rPr>
          <w:rFonts w:ascii="Palatino Linotype" w:eastAsia="Palatino Linotype" w:hAnsi="Palatino Linotype" w:cs="Palatino Linotype"/>
          <w:i/>
          <w:color w:val="000000" w:themeColor="text1"/>
        </w:rPr>
        <w:t xml:space="preserve"> Para los efectos de la presente Ley se entenderá por: </w:t>
      </w:r>
    </w:p>
    <w:p w:rsidR="00F97AF3" w:rsidRPr="00F64B5E" w:rsidRDefault="00DB08F4" w:rsidP="001A241E">
      <w:pPr>
        <w:pBdr>
          <w:top w:val="nil"/>
          <w:left w:val="nil"/>
          <w:bottom w:val="nil"/>
          <w:right w:val="nil"/>
          <w:between w:val="nil"/>
        </w:pBdr>
        <w:tabs>
          <w:tab w:val="left" w:pos="426"/>
          <w:tab w:val="left" w:pos="567"/>
        </w:tabs>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 xml:space="preserve">(…) </w:t>
      </w:r>
    </w:p>
    <w:p w:rsidR="00F97AF3" w:rsidRPr="00F64B5E" w:rsidRDefault="00DB08F4" w:rsidP="001A241E">
      <w:pPr>
        <w:pBdr>
          <w:top w:val="nil"/>
          <w:left w:val="nil"/>
          <w:bottom w:val="nil"/>
          <w:right w:val="nil"/>
          <w:between w:val="nil"/>
        </w:pBdr>
        <w:tabs>
          <w:tab w:val="left" w:pos="426"/>
          <w:tab w:val="left" w:pos="567"/>
        </w:tabs>
        <w:jc w:val="both"/>
        <w:rPr>
          <w:rFonts w:ascii="Palatino Linotype" w:eastAsia="Palatino Linotype" w:hAnsi="Palatino Linotype" w:cs="Palatino Linotype"/>
          <w:b/>
          <w:i/>
          <w:color w:val="000000" w:themeColor="text1"/>
        </w:rPr>
      </w:pPr>
      <w:r w:rsidRPr="00F64B5E">
        <w:rPr>
          <w:rFonts w:ascii="Palatino Linotype" w:eastAsia="Palatino Linotype" w:hAnsi="Palatino Linotype" w:cs="Palatino Linotype"/>
          <w:b/>
          <w:i/>
          <w:color w:val="000000" w:themeColor="text1"/>
        </w:rPr>
        <w:t>XI. Documento:</w:t>
      </w:r>
      <w:r w:rsidRPr="00F64B5E">
        <w:rPr>
          <w:rFonts w:ascii="Palatino Linotype" w:eastAsia="Palatino Linotype" w:hAnsi="Palatino Linotype" w:cs="Palatino Linotype"/>
          <w:i/>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w:t>
      </w:r>
      <w:r w:rsidRPr="00F64B5E">
        <w:rPr>
          <w:rFonts w:ascii="Palatino Linotype" w:eastAsia="Palatino Linotype" w:hAnsi="Palatino Linotype" w:cs="Palatino Linotype"/>
          <w:i/>
          <w:color w:val="000000" w:themeColor="text1"/>
        </w:rPr>
        <w:lastRenderedPageBreak/>
        <w:t xml:space="preserve">fecha de elaboración. </w:t>
      </w:r>
      <w:r w:rsidRPr="00F64B5E">
        <w:rPr>
          <w:rFonts w:ascii="Palatino Linotype" w:eastAsia="Palatino Linotype" w:hAnsi="Palatino Linotype" w:cs="Palatino Linotype"/>
          <w:b/>
          <w:i/>
          <w:color w:val="000000" w:themeColor="text1"/>
        </w:rPr>
        <w:t xml:space="preserve">Los documentos podrán estar en cualquier medio, sea escrito, impreso, sonoro, visual, electrónico, informático u holográfico; </w:t>
      </w:r>
    </w:p>
    <w:p w:rsidR="00F97AF3" w:rsidRPr="00F64B5E" w:rsidRDefault="00DB08F4" w:rsidP="001A241E">
      <w:pPr>
        <w:pBdr>
          <w:top w:val="nil"/>
          <w:left w:val="nil"/>
          <w:bottom w:val="nil"/>
          <w:right w:val="nil"/>
          <w:between w:val="nil"/>
        </w:pBdr>
        <w:tabs>
          <w:tab w:val="left" w:pos="426"/>
          <w:tab w:val="left" w:pos="567"/>
        </w:tabs>
        <w:jc w:val="both"/>
        <w:rPr>
          <w:rFonts w:ascii="Palatino Linotype" w:eastAsia="Palatino Linotype" w:hAnsi="Palatino Linotype" w:cs="Palatino Linotype"/>
          <w:i/>
          <w:color w:val="000000" w:themeColor="text1"/>
        </w:rPr>
      </w:pPr>
      <w:r w:rsidRPr="00F64B5E">
        <w:rPr>
          <w:rFonts w:ascii="Palatino Linotype" w:eastAsia="Palatino Linotype" w:hAnsi="Palatino Linotype" w:cs="Palatino Linotype"/>
          <w:i/>
          <w:color w:val="000000" w:themeColor="text1"/>
        </w:rPr>
        <w:t>(…)”</w:t>
      </w:r>
    </w:p>
    <w:p w:rsidR="00F97AF3" w:rsidRPr="00F64B5E" w:rsidRDefault="00F97AF3" w:rsidP="001A241E">
      <w:pPr>
        <w:spacing w:line="360" w:lineRule="auto"/>
        <w:jc w:val="both"/>
        <w:rPr>
          <w:rFonts w:ascii="Palatino Linotype" w:eastAsia="Palatino Linotype" w:hAnsi="Palatino Linotype" w:cs="Palatino Linotype"/>
          <w:b/>
          <w:color w:val="000000" w:themeColor="text1"/>
        </w:rPr>
      </w:pPr>
    </w:p>
    <w:p w:rsidR="00F97AF3" w:rsidRPr="00F64B5E" w:rsidRDefault="00DB08F4" w:rsidP="001A241E">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color w:val="000000" w:themeColor="text1"/>
        </w:rPr>
        <w:t>Siendo 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F97AF3" w:rsidRPr="00F64B5E" w:rsidRDefault="00DB08F4" w:rsidP="001A241E">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i/>
          <w:color w:val="000000" w:themeColor="text1"/>
        </w:rPr>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rsidR="00F97AF3" w:rsidRPr="00F64B5E" w:rsidRDefault="00F97AF3" w:rsidP="001A241E">
      <w:pPr>
        <w:spacing w:line="360" w:lineRule="auto"/>
        <w:jc w:val="both"/>
        <w:rPr>
          <w:rFonts w:ascii="Palatino Linotype" w:eastAsia="Palatino Linotype" w:hAnsi="Palatino Linotype" w:cs="Palatino Linotype"/>
          <w:color w:val="000000" w:themeColor="text1"/>
        </w:rPr>
      </w:pPr>
    </w:p>
    <w:p w:rsidR="00F97AF3" w:rsidRDefault="00DB08F4" w:rsidP="001A241E">
      <w:pPr>
        <w:numPr>
          <w:ilvl w:val="0"/>
          <w:numId w:val="1"/>
        </w:numPr>
        <w:spacing w:line="360" w:lineRule="auto"/>
        <w:ind w:left="0" w:firstLine="0"/>
        <w:jc w:val="both"/>
        <w:rPr>
          <w:rFonts w:ascii="Palatino Linotype" w:eastAsia="Palatino Linotype" w:hAnsi="Palatino Linotype" w:cs="Palatino Linotype"/>
          <w:color w:val="000000" w:themeColor="text1"/>
        </w:rPr>
      </w:pPr>
      <w:bookmarkStart w:id="6" w:name="_heading=h.3rdcrjn" w:colFirst="0" w:colLast="0"/>
      <w:bookmarkEnd w:id="6"/>
      <w:r w:rsidRPr="00F64B5E">
        <w:rPr>
          <w:rFonts w:ascii="Palatino Linotype" w:eastAsia="Palatino Linotype" w:hAnsi="Palatino Linotype" w:cs="Palatino Linotype"/>
          <w:color w:val="000000" w:themeColor="text1"/>
        </w:rPr>
        <w:t xml:space="preserve">Por lo anteriormente expuesto y fundado, este </w:t>
      </w:r>
      <w:r w:rsidRPr="00F64B5E">
        <w:rPr>
          <w:rFonts w:ascii="Palatino Linotype" w:eastAsia="Palatino Linotype" w:hAnsi="Palatino Linotype" w:cs="Palatino Linotype"/>
          <w:b/>
          <w:color w:val="000000" w:themeColor="text1"/>
        </w:rPr>
        <w:t>ÓRGANO GARANTE</w:t>
      </w:r>
      <w:r w:rsidRPr="00F64B5E">
        <w:rPr>
          <w:rFonts w:ascii="Palatino Linotype" w:eastAsia="Palatino Linotype" w:hAnsi="Palatino Linotype" w:cs="Palatino Linotype"/>
          <w:color w:val="000000" w:themeColor="text1"/>
        </w:rPr>
        <w:t xml:space="preserve"> emite los siguientes:</w:t>
      </w:r>
      <w:r w:rsidR="000240DD">
        <w:rPr>
          <w:rFonts w:ascii="Palatino Linotype" w:eastAsia="Palatino Linotype" w:hAnsi="Palatino Linotype" w:cs="Palatino Linotype"/>
          <w:color w:val="000000" w:themeColor="text1"/>
        </w:rPr>
        <w:t>-----------------------------------------------------------------------------------------------------------</w:t>
      </w:r>
    </w:p>
    <w:p w:rsidR="000240DD" w:rsidRPr="00F64B5E" w:rsidRDefault="000240DD" w:rsidP="000240DD">
      <w:pPr>
        <w:spacing w:line="360" w:lineRule="auto"/>
        <w:jc w:val="both"/>
        <w:rPr>
          <w:rFonts w:ascii="Palatino Linotype" w:eastAsia="Palatino Linotype" w:hAnsi="Palatino Linotype" w:cs="Palatino Linotype"/>
          <w:color w:val="000000" w:themeColor="text1"/>
        </w:rPr>
      </w:pPr>
    </w:p>
    <w:p w:rsidR="00F97AF3" w:rsidRPr="00F64B5E" w:rsidRDefault="00DB08F4" w:rsidP="001A241E">
      <w:pPr>
        <w:keepNext/>
        <w:keepLines/>
        <w:spacing w:line="360" w:lineRule="auto"/>
        <w:jc w:val="center"/>
        <w:rPr>
          <w:rFonts w:ascii="Palatino Linotype" w:eastAsia="Palatino Linotype" w:hAnsi="Palatino Linotype" w:cs="Palatino Linotype"/>
          <w:b/>
          <w:color w:val="000000" w:themeColor="text1"/>
        </w:rPr>
      </w:pPr>
      <w:r w:rsidRPr="00F64B5E">
        <w:rPr>
          <w:rFonts w:ascii="Palatino Linotype" w:eastAsia="Palatino Linotype" w:hAnsi="Palatino Linotype" w:cs="Palatino Linotype"/>
          <w:b/>
          <w:color w:val="000000" w:themeColor="text1"/>
        </w:rPr>
        <w:lastRenderedPageBreak/>
        <w:t>R E S O L U T I V O S</w:t>
      </w:r>
    </w:p>
    <w:p w:rsidR="00F97AF3" w:rsidRPr="00F64B5E" w:rsidRDefault="00F97AF3" w:rsidP="001A241E">
      <w:pPr>
        <w:keepNext/>
        <w:keepLines/>
        <w:rPr>
          <w:rFonts w:ascii="Palatino Linotype" w:eastAsia="Palatino Linotype" w:hAnsi="Palatino Linotype" w:cs="Palatino Linotype"/>
          <w:b/>
          <w:color w:val="000000" w:themeColor="text1"/>
        </w:rPr>
      </w:pPr>
    </w:p>
    <w:p w:rsidR="00F97AF3" w:rsidRPr="00F64B5E" w:rsidRDefault="00DB08F4" w:rsidP="001A241E">
      <w:pPr>
        <w:spacing w:line="360" w:lineRule="auto"/>
        <w:jc w:val="both"/>
        <w:rPr>
          <w:rFonts w:ascii="Palatino Linotype" w:eastAsia="Palatino Linotype" w:hAnsi="Palatino Linotype" w:cs="Palatino Linotype"/>
          <w:color w:val="000000" w:themeColor="text1"/>
        </w:rPr>
      </w:pPr>
      <w:bookmarkStart w:id="7" w:name="_heading=h.krrsd25mjy70" w:colFirst="0" w:colLast="0"/>
      <w:bookmarkEnd w:id="7"/>
      <w:r w:rsidRPr="00F64B5E">
        <w:rPr>
          <w:rFonts w:ascii="Palatino Linotype" w:eastAsia="Palatino Linotype" w:hAnsi="Palatino Linotype" w:cs="Palatino Linotype"/>
          <w:b/>
          <w:color w:val="000000" w:themeColor="text1"/>
        </w:rPr>
        <w:t xml:space="preserve">PRIMERO. </w:t>
      </w:r>
      <w:r w:rsidRPr="00F64B5E">
        <w:rPr>
          <w:rFonts w:ascii="Palatino Linotype" w:eastAsia="Palatino Linotype" w:hAnsi="Palatino Linotype" w:cs="Palatino Linotype"/>
          <w:color w:val="000000" w:themeColor="text1"/>
        </w:rPr>
        <w:t>Resultan fundadas las</w:t>
      </w:r>
      <w:r w:rsidRPr="00F64B5E">
        <w:rPr>
          <w:rFonts w:ascii="Palatino Linotype" w:eastAsia="Palatino Linotype" w:hAnsi="Palatino Linotype" w:cs="Palatino Linotype"/>
          <w:b/>
          <w:color w:val="000000" w:themeColor="text1"/>
        </w:rPr>
        <w:t xml:space="preserve"> </w:t>
      </w:r>
      <w:r w:rsidRPr="00F64B5E">
        <w:rPr>
          <w:rFonts w:ascii="Palatino Linotype" w:eastAsia="Palatino Linotype" w:hAnsi="Palatino Linotype" w:cs="Palatino Linotype"/>
          <w:color w:val="000000" w:themeColor="text1"/>
        </w:rPr>
        <w:t xml:space="preserve">razones o motivos de inconformidad hechos valer en el recurso de revisión </w:t>
      </w:r>
      <w:r w:rsidRPr="00F64B5E">
        <w:rPr>
          <w:rFonts w:ascii="Palatino Linotype" w:eastAsia="Palatino Linotype" w:hAnsi="Palatino Linotype" w:cs="Palatino Linotype"/>
          <w:b/>
          <w:color w:val="000000" w:themeColor="text1"/>
        </w:rPr>
        <w:t xml:space="preserve">06513/INFOEM/IP/RR/2025 y 06514/INFOEM/IP/RR/2025 acumulados, </w:t>
      </w:r>
      <w:r w:rsidRPr="00F64B5E">
        <w:rPr>
          <w:rFonts w:ascii="Palatino Linotype" w:eastAsia="Palatino Linotype" w:hAnsi="Palatino Linotype" w:cs="Palatino Linotype"/>
          <w:color w:val="000000" w:themeColor="text1"/>
        </w:rPr>
        <w:t>en términos del</w:t>
      </w:r>
      <w:r w:rsidRPr="00F64B5E">
        <w:rPr>
          <w:rFonts w:ascii="Palatino Linotype" w:eastAsia="Palatino Linotype" w:hAnsi="Palatino Linotype" w:cs="Palatino Linotype"/>
          <w:b/>
          <w:color w:val="000000" w:themeColor="text1"/>
        </w:rPr>
        <w:t xml:space="preserve"> Considerando</w:t>
      </w:r>
      <w:r w:rsidRPr="00F64B5E">
        <w:rPr>
          <w:rFonts w:ascii="Palatino Linotype" w:eastAsia="Palatino Linotype" w:hAnsi="Palatino Linotype" w:cs="Palatino Linotype"/>
          <w:color w:val="000000" w:themeColor="text1"/>
        </w:rPr>
        <w:t xml:space="preserve"> </w:t>
      </w:r>
      <w:r w:rsidRPr="00F64B5E">
        <w:rPr>
          <w:rFonts w:ascii="Palatino Linotype" w:eastAsia="Palatino Linotype" w:hAnsi="Palatino Linotype" w:cs="Palatino Linotype"/>
          <w:b/>
          <w:color w:val="000000" w:themeColor="text1"/>
        </w:rPr>
        <w:t>CUARTO</w:t>
      </w:r>
      <w:r w:rsidRPr="00F64B5E">
        <w:rPr>
          <w:rFonts w:ascii="Palatino Linotype" w:eastAsia="Palatino Linotype" w:hAnsi="Palatino Linotype" w:cs="Palatino Linotype"/>
          <w:color w:val="000000" w:themeColor="text1"/>
        </w:rPr>
        <w:t xml:space="preserve"> de la presente resolución.</w:t>
      </w:r>
    </w:p>
    <w:p w:rsidR="00F97AF3" w:rsidRPr="00F64B5E" w:rsidRDefault="00F97AF3" w:rsidP="001A241E">
      <w:pPr>
        <w:jc w:val="both"/>
        <w:rPr>
          <w:rFonts w:ascii="Palatino Linotype" w:eastAsia="Palatino Linotype" w:hAnsi="Palatino Linotype" w:cs="Palatino Linotype"/>
          <w:color w:val="000000" w:themeColor="text1"/>
        </w:rPr>
      </w:pPr>
    </w:p>
    <w:p w:rsidR="00F97AF3" w:rsidRPr="00F64B5E" w:rsidRDefault="00DB08F4" w:rsidP="001A241E">
      <w:pPr>
        <w:spacing w:line="360" w:lineRule="auto"/>
        <w:jc w:val="both"/>
        <w:rPr>
          <w:rFonts w:ascii="Palatino Linotype" w:eastAsia="Palatino Linotype" w:hAnsi="Palatino Linotype" w:cs="Palatino Linotype"/>
          <w:color w:val="000000" w:themeColor="text1"/>
        </w:rPr>
      </w:pPr>
      <w:bookmarkStart w:id="8" w:name="_heading=h.uq7j3npikwy6" w:colFirst="0" w:colLast="0"/>
      <w:bookmarkEnd w:id="8"/>
      <w:r w:rsidRPr="00F64B5E">
        <w:rPr>
          <w:rFonts w:ascii="Palatino Linotype" w:eastAsia="Palatino Linotype" w:hAnsi="Palatino Linotype" w:cs="Palatino Linotype"/>
          <w:b/>
          <w:color w:val="000000" w:themeColor="text1"/>
        </w:rPr>
        <w:t xml:space="preserve">SEGUNDO. </w:t>
      </w:r>
      <w:r w:rsidRPr="00F64B5E">
        <w:rPr>
          <w:rFonts w:ascii="Palatino Linotype" w:eastAsia="Palatino Linotype" w:hAnsi="Palatino Linotype" w:cs="Palatino Linotype"/>
          <w:color w:val="000000" w:themeColor="text1"/>
        </w:rPr>
        <w:t xml:space="preserve">Se </w:t>
      </w:r>
      <w:r w:rsidRPr="00F64B5E">
        <w:rPr>
          <w:rFonts w:ascii="Palatino Linotype" w:eastAsia="Palatino Linotype" w:hAnsi="Palatino Linotype" w:cs="Palatino Linotype"/>
          <w:b/>
          <w:color w:val="000000" w:themeColor="text1"/>
        </w:rPr>
        <w:t>MODIFICA</w:t>
      </w:r>
      <w:r w:rsidR="001A241E" w:rsidRPr="00F64B5E">
        <w:rPr>
          <w:rFonts w:ascii="Palatino Linotype" w:eastAsia="Palatino Linotype" w:hAnsi="Palatino Linotype" w:cs="Palatino Linotype"/>
          <w:b/>
          <w:color w:val="000000" w:themeColor="text1"/>
        </w:rPr>
        <w:t>N</w:t>
      </w:r>
      <w:r w:rsidRPr="00F64B5E">
        <w:rPr>
          <w:rFonts w:ascii="Palatino Linotype" w:eastAsia="Palatino Linotype" w:hAnsi="Palatino Linotype" w:cs="Palatino Linotype"/>
          <w:b/>
          <w:color w:val="000000" w:themeColor="text1"/>
        </w:rPr>
        <w:t xml:space="preserve"> </w:t>
      </w:r>
      <w:r w:rsidRPr="00F64B5E">
        <w:rPr>
          <w:rFonts w:ascii="Palatino Linotype" w:eastAsia="Palatino Linotype" w:hAnsi="Palatino Linotype" w:cs="Palatino Linotype"/>
          <w:color w:val="000000" w:themeColor="text1"/>
        </w:rPr>
        <w:t>la</w:t>
      </w:r>
      <w:r w:rsidR="001A241E" w:rsidRPr="00F64B5E">
        <w:rPr>
          <w:rFonts w:ascii="Palatino Linotype" w:eastAsia="Palatino Linotype" w:hAnsi="Palatino Linotype" w:cs="Palatino Linotype"/>
          <w:color w:val="000000" w:themeColor="text1"/>
        </w:rPr>
        <w:t>s</w:t>
      </w:r>
      <w:r w:rsidRPr="00F64B5E">
        <w:rPr>
          <w:rFonts w:ascii="Palatino Linotype" w:eastAsia="Palatino Linotype" w:hAnsi="Palatino Linotype" w:cs="Palatino Linotype"/>
          <w:color w:val="000000" w:themeColor="text1"/>
        </w:rPr>
        <w:t xml:space="preserve"> respuesta</w:t>
      </w:r>
      <w:r w:rsidR="001A241E" w:rsidRPr="00F64B5E">
        <w:rPr>
          <w:rFonts w:ascii="Palatino Linotype" w:eastAsia="Palatino Linotype" w:hAnsi="Palatino Linotype" w:cs="Palatino Linotype"/>
          <w:color w:val="000000" w:themeColor="text1"/>
        </w:rPr>
        <w:t>s</w:t>
      </w:r>
      <w:r w:rsidRPr="00F64B5E">
        <w:rPr>
          <w:rFonts w:ascii="Palatino Linotype" w:eastAsia="Palatino Linotype" w:hAnsi="Palatino Linotype" w:cs="Palatino Linotype"/>
          <w:color w:val="000000" w:themeColor="text1"/>
        </w:rPr>
        <w:t xml:space="preserve"> emitida</w:t>
      </w:r>
      <w:r w:rsidR="001A241E" w:rsidRPr="00F64B5E">
        <w:rPr>
          <w:rFonts w:ascii="Palatino Linotype" w:eastAsia="Palatino Linotype" w:hAnsi="Palatino Linotype" w:cs="Palatino Linotype"/>
          <w:color w:val="000000" w:themeColor="text1"/>
        </w:rPr>
        <w:t>s</w:t>
      </w:r>
      <w:r w:rsidRPr="00F64B5E">
        <w:rPr>
          <w:rFonts w:ascii="Palatino Linotype" w:eastAsia="Palatino Linotype" w:hAnsi="Palatino Linotype" w:cs="Palatino Linotype"/>
          <w:color w:val="000000" w:themeColor="text1"/>
        </w:rPr>
        <w:t xml:space="preserve"> por el </w:t>
      </w:r>
      <w:r w:rsidRPr="00F64B5E">
        <w:rPr>
          <w:rFonts w:ascii="Palatino Linotype" w:eastAsia="Palatino Linotype" w:hAnsi="Palatino Linotype" w:cs="Palatino Linotype"/>
          <w:b/>
          <w:color w:val="000000" w:themeColor="text1"/>
        </w:rPr>
        <w:t xml:space="preserve">Ayuntamiento de Toluca, </w:t>
      </w:r>
      <w:r w:rsidRPr="00F64B5E">
        <w:rPr>
          <w:rFonts w:ascii="Palatino Linotype" w:eastAsia="Palatino Linotype" w:hAnsi="Palatino Linotype" w:cs="Palatino Linotype"/>
          <w:color w:val="000000" w:themeColor="text1"/>
        </w:rPr>
        <w:t>a la</w:t>
      </w:r>
      <w:r w:rsidR="003F3257" w:rsidRPr="00F64B5E">
        <w:rPr>
          <w:rFonts w:ascii="Palatino Linotype" w:eastAsia="Palatino Linotype" w:hAnsi="Palatino Linotype" w:cs="Palatino Linotype"/>
          <w:color w:val="000000" w:themeColor="text1"/>
        </w:rPr>
        <w:t>s</w:t>
      </w:r>
      <w:r w:rsidRPr="00F64B5E">
        <w:rPr>
          <w:rFonts w:ascii="Palatino Linotype" w:eastAsia="Palatino Linotype" w:hAnsi="Palatino Linotype" w:cs="Palatino Linotype"/>
          <w:color w:val="000000" w:themeColor="text1"/>
        </w:rPr>
        <w:t xml:space="preserve"> solicitud</w:t>
      </w:r>
      <w:r w:rsidR="003F3257" w:rsidRPr="00F64B5E">
        <w:rPr>
          <w:rFonts w:ascii="Palatino Linotype" w:eastAsia="Palatino Linotype" w:hAnsi="Palatino Linotype" w:cs="Palatino Linotype"/>
          <w:color w:val="000000" w:themeColor="text1"/>
        </w:rPr>
        <w:t>es</w:t>
      </w:r>
      <w:r w:rsidRPr="00F64B5E">
        <w:rPr>
          <w:rFonts w:ascii="Palatino Linotype" w:eastAsia="Palatino Linotype" w:hAnsi="Palatino Linotype" w:cs="Palatino Linotype"/>
          <w:color w:val="000000" w:themeColor="text1"/>
        </w:rPr>
        <w:t xml:space="preserve"> de información pública</w:t>
      </w:r>
      <w:r w:rsidR="003F3257" w:rsidRPr="00F64B5E">
        <w:rPr>
          <w:rFonts w:ascii="Palatino Linotype" w:eastAsia="Palatino Linotype" w:hAnsi="Palatino Linotype" w:cs="Palatino Linotype"/>
          <w:color w:val="000000" w:themeColor="text1"/>
        </w:rPr>
        <w:t>,</w:t>
      </w:r>
      <w:r w:rsidRPr="00F64B5E">
        <w:rPr>
          <w:rFonts w:ascii="Palatino Linotype" w:eastAsia="Palatino Linotype" w:hAnsi="Palatino Linotype" w:cs="Palatino Linotype"/>
          <w:color w:val="000000" w:themeColor="text1"/>
        </w:rPr>
        <w:t xml:space="preserve"> registrada</w:t>
      </w:r>
      <w:r w:rsidR="003F3257" w:rsidRPr="00F64B5E">
        <w:rPr>
          <w:rFonts w:ascii="Palatino Linotype" w:eastAsia="Palatino Linotype" w:hAnsi="Palatino Linotype" w:cs="Palatino Linotype"/>
          <w:color w:val="000000" w:themeColor="text1"/>
        </w:rPr>
        <w:t xml:space="preserve">s con </w:t>
      </w:r>
      <w:r w:rsidRPr="00F64B5E">
        <w:rPr>
          <w:rFonts w:ascii="Palatino Linotype" w:eastAsia="Palatino Linotype" w:hAnsi="Palatino Linotype" w:cs="Palatino Linotype"/>
          <w:color w:val="000000" w:themeColor="text1"/>
        </w:rPr>
        <w:t>l</w:t>
      </w:r>
      <w:r w:rsidR="003F3257" w:rsidRPr="00F64B5E">
        <w:rPr>
          <w:rFonts w:ascii="Palatino Linotype" w:eastAsia="Palatino Linotype" w:hAnsi="Palatino Linotype" w:cs="Palatino Linotype"/>
          <w:color w:val="000000" w:themeColor="text1"/>
        </w:rPr>
        <w:t>os</w:t>
      </w:r>
      <w:r w:rsidRPr="00F64B5E">
        <w:rPr>
          <w:rFonts w:ascii="Palatino Linotype" w:eastAsia="Palatino Linotype" w:hAnsi="Palatino Linotype" w:cs="Palatino Linotype"/>
          <w:color w:val="000000" w:themeColor="text1"/>
        </w:rPr>
        <w:t xml:space="preserve"> número</w:t>
      </w:r>
      <w:r w:rsidR="003F3257" w:rsidRPr="00F64B5E">
        <w:rPr>
          <w:rFonts w:ascii="Palatino Linotype" w:eastAsia="Palatino Linotype" w:hAnsi="Palatino Linotype" w:cs="Palatino Linotype"/>
          <w:color w:val="000000" w:themeColor="text1"/>
        </w:rPr>
        <w:t>s</w:t>
      </w:r>
      <w:r w:rsidRPr="00F64B5E">
        <w:rPr>
          <w:rFonts w:ascii="Palatino Linotype" w:eastAsia="Palatino Linotype" w:hAnsi="Palatino Linotype" w:cs="Palatino Linotype"/>
          <w:color w:val="000000" w:themeColor="text1"/>
        </w:rPr>
        <w:t xml:space="preserve"> </w:t>
      </w:r>
      <w:r w:rsidRPr="00F64B5E">
        <w:rPr>
          <w:rFonts w:ascii="Palatino Linotype" w:eastAsia="Palatino Linotype" w:hAnsi="Palatino Linotype" w:cs="Palatino Linotype"/>
          <w:b/>
          <w:color w:val="000000" w:themeColor="text1"/>
        </w:rPr>
        <w:t xml:space="preserve">02422/TOLUCA/IP/2025 y 02421/TOLUCA/IP/2025 </w:t>
      </w:r>
      <w:r w:rsidRPr="00F64B5E">
        <w:rPr>
          <w:rFonts w:ascii="Palatino Linotype" w:eastAsia="Palatino Linotype" w:hAnsi="Palatino Linotype" w:cs="Palatino Linotype"/>
          <w:color w:val="000000" w:themeColor="text1"/>
        </w:rPr>
        <w:t xml:space="preserve">y se </w:t>
      </w:r>
      <w:r w:rsidRPr="00F64B5E">
        <w:rPr>
          <w:rFonts w:ascii="Palatino Linotype" w:eastAsia="Palatino Linotype" w:hAnsi="Palatino Linotype" w:cs="Palatino Linotype"/>
          <w:b/>
          <w:color w:val="000000" w:themeColor="text1"/>
        </w:rPr>
        <w:t xml:space="preserve">ORDENA </w:t>
      </w:r>
      <w:r w:rsidRPr="00F64B5E">
        <w:rPr>
          <w:rFonts w:ascii="Palatino Linotype" w:eastAsia="Palatino Linotype" w:hAnsi="Palatino Linotype" w:cs="Palatino Linotype"/>
          <w:color w:val="000000" w:themeColor="text1"/>
        </w:rPr>
        <w:t>entregar vía Sistema de Acceso a la Información Mexiquense</w:t>
      </w:r>
      <w:r w:rsidRPr="00F64B5E">
        <w:rPr>
          <w:rFonts w:ascii="Palatino Linotype" w:eastAsia="Palatino Linotype" w:hAnsi="Palatino Linotype" w:cs="Palatino Linotype"/>
          <w:b/>
          <w:color w:val="000000" w:themeColor="text1"/>
        </w:rPr>
        <w:t xml:space="preserve"> (SAIMEX)</w:t>
      </w:r>
      <w:r w:rsidRPr="00F64B5E">
        <w:rPr>
          <w:rFonts w:ascii="Palatino Linotype" w:eastAsia="Palatino Linotype" w:hAnsi="Palatino Linotype" w:cs="Palatino Linotype"/>
          <w:color w:val="000000" w:themeColor="text1"/>
        </w:rPr>
        <w:t xml:space="preserve">, </w:t>
      </w:r>
      <w:r w:rsidRPr="00F64B5E">
        <w:rPr>
          <w:rFonts w:ascii="Palatino Linotype" w:eastAsia="Palatino Linotype" w:hAnsi="Palatino Linotype" w:cs="Palatino Linotype"/>
          <w:b/>
          <w:color w:val="000000" w:themeColor="text1"/>
        </w:rPr>
        <w:t>los documentos donde conste la información relativa a los programas de las TICS (Tecnologías de la Información y la Comunicación) y los resultados de los trimestres faltantes de 2022, 2024 y del 1 al 23 de abril 2025.</w:t>
      </w:r>
    </w:p>
    <w:p w:rsidR="00F97AF3" w:rsidRPr="00F64B5E" w:rsidRDefault="00F97AF3" w:rsidP="001A241E">
      <w:pPr>
        <w:jc w:val="both"/>
        <w:rPr>
          <w:rFonts w:ascii="Palatino Linotype" w:eastAsia="Palatino Linotype" w:hAnsi="Palatino Linotype" w:cs="Palatino Linotype"/>
          <w:b/>
          <w:color w:val="000000" w:themeColor="text1"/>
        </w:rPr>
      </w:pPr>
    </w:p>
    <w:p w:rsidR="00F97AF3" w:rsidRPr="00F64B5E" w:rsidRDefault="00DB08F4" w:rsidP="001A241E">
      <w:pPr>
        <w:tabs>
          <w:tab w:val="left" w:pos="8080"/>
        </w:tabs>
        <w:spacing w:line="360" w:lineRule="auto"/>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b/>
          <w:color w:val="000000" w:themeColor="text1"/>
        </w:rPr>
        <w:t>TERCERO.</w:t>
      </w:r>
      <w:r w:rsidRPr="00F64B5E">
        <w:rPr>
          <w:rFonts w:ascii="Palatino Linotype" w:eastAsia="Palatino Linotype" w:hAnsi="Palatino Linotype" w:cs="Palatino Linotype"/>
          <w:color w:val="000000" w:themeColor="text1"/>
        </w:rPr>
        <w:t xml:space="preserve"> </w:t>
      </w:r>
      <w:r w:rsidRPr="00F64B5E">
        <w:rPr>
          <w:rFonts w:ascii="Palatino Linotype" w:eastAsia="Palatino Linotype" w:hAnsi="Palatino Linotype" w:cs="Palatino Linotype"/>
          <w:b/>
          <w:color w:val="000000" w:themeColor="text1"/>
        </w:rPr>
        <w:t xml:space="preserve">Notifíquese </w:t>
      </w:r>
      <w:r w:rsidRPr="00F64B5E">
        <w:rPr>
          <w:rFonts w:ascii="Palatino Linotype" w:eastAsia="Palatino Linotype" w:hAnsi="Palatino Linotype" w:cs="Palatino Linotype"/>
          <w:color w:val="000000" w:themeColor="text1"/>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F64B5E">
        <w:rPr>
          <w:rFonts w:ascii="Palatino Linotype" w:eastAsia="Palatino Linotype" w:hAnsi="Palatino Linotype" w:cs="Palatino Linotype"/>
          <w:b/>
          <w:color w:val="000000" w:themeColor="text1"/>
        </w:rPr>
        <w:t>dé cumplimiento a lo ordenado dentro del plazo de diez días hábiles,</w:t>
      </w:r>
      <w:r w:rsidRPr="00F64B5E">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F97AF3" w:rsidRPr="00F64B5E" w:rsidRDefault="00F97AF3" w:rsidP="001A241E">
      <w:pPr>
        <w:tabs>
          <w:tab w:val="left" w:pos="8080"/>
        </w:tabs>
        <w:jc w:val="both"/>
        <w:rPr>
          <w:rFonts w:ascii="Palatino Linotype" w:eastAsia="Palatino Linotype" w:hAnsi="Palatino Linotype" w:cs="Palatino Linotype"/>
          <w:b/>
          <w:color w:val="000000" w:themeColor="text1"/>
        </w:rPr>
      </w:pPr>
    </w:p>
    <w:p w:rsidR="00F97AF3" w:rsidRPr="00F64B5E" w:rsidRDefault="00DB08F4" w:rsidP="001A241E">
      <w:pPr>
        <w:shd w:val="clear" w:color="auto" w:fill="FFFFFF"/>
        <w:spacing w:line="360" w:lineRule="auto"/>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b/>
          <w:color w:val="000000" w:themeColor="text1"/>
        </w:rPr>
        <w:t xml:space="preserve">CUARTO. </w:t>
      </w:r>
      <w:r w:rsidRPr="00F64B5E">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F64B5E">
        <w:rPr>
          <w:rFonts w:ascii="Palatino Linotype" w:eastAsia="Palatino Linotype" w:hAnsi="Palatino Linotype" w:cs="Palatino Linotype"/>
          <w:b/>
          <w:color w:val="000000" w:themeColor="text1"/>
        </w:rPr>
        <w:lastRenderedPageBreak/>
        <w:t xml:space="preserve">SUJETO OBLIGADO </w:t>
      </w:r>
      <w:r w:rsidRPr="00F64B5E">
        <w:rPr>
          <w:rFonts w:ascii="Palatino Linotype" w:eastAsia="Palatino Linotype" w:hAnsi="Palatino Linotype" w:cs="Palatino Linotype"/>
          <w:color w:val="000000" w:themeColor="text1"/>
        </w:rPr>
        <w:t>de manera fundada y motivada, podrá solicitar una ampliación de plazo para el cumplimiento de la presente resolución.</w:t>
      </w:r>
    </w:p>
    <w:p w:rsidR="003F3257" w:rsidRPr="00F64B5E" w:rsidRDefault="003F3257" w:rsidP="001A241E">
      <w:pPr>
        <w:shd w:val="clear" w:color="auto" w:fill="FFFFFF"/>
        <w:spacing w:line="360" w:lineRule="auto"/>
        <w:jc w:val="both"/>
        <w:rPr>
          <w:rFonts w:ascii="Palatino Linotype" w:eastAsia="Palatino Linotype" w:hAnsi="Palatino Linotype" w:cs="Palatino Linotype"/>
          <w:b/>
          <w:color w:val="000000" w:themeColor="text1"/>
        </w:rPr>
      </w:pPr>
    </w:p>
    <w:p w:rsidR="00F97AF3" w:rsidRPr="00F64B5E" w:rsidRDefault="00DB08F4" w:rsidP="001A241E">
      <w:pPr>
        <w:shd w:val="clear" w:color="auto" w:fill="FFFFFF"/>
        <w:spacing w:line="360" w:lineRule="auto"/>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b/>
          <w:color w:val="000000" w:themeColor="text1"/>
        </w:rPr>
        <w:t>QUINTO. Notifíquese al RECURRENTE</w:t>
      </w:r>
      <w:r w:rsidRPr="00F64B5E">
        <w:rPr>
          <w:rFonts w:ascii="Palatino Linotype" w:eastAsia="Palatino Linotype" w:hAnsi="Palatino Linotype" w:cs="Palatino Linotype"/>
          <w:color w:val="000000" w:themeColor="text1"/>
        </w:rPr>
        <w:t xml:space="preserve"> la presente resolución, vía Sistema de Acceso a la Información Mexiquense </w:t>
      </w:r>
      <w:r w:rsidRPr="00F64B5E">
        <w:rPr>
          <w:rFonts w:ascii="Palatino Linotype" w:eastAsia="Palatino Linotype" w:hAnsi="Palatino Linotype" w:cs="Palatino Linotype"/>
          <w:b/>
          <w:color w:val="000000" w:themeColor="text1"/>
        </w:rPr>
        <w:t>(SAIMEX).</w:t>
      </w:r>
    </w:p>
    <w:p w:rsidR="00F97AF3" w:rsidRPr="00F64B5E" w:rsidRDefault="00F97AF3" w:rsidP="001A241E">
      <w:pPr>
        <w:shd w:val="clear" w:color="auto" w:fill="FFFFFF"/>
        <w:jc w:val="both"/>
        <w:rPr>
          <w:rFonts w:ascii="Palatino Linotype" w:eastAsia="Palatino Linotype" w:hAnsi="Palatino Linotype" w:cs="Palatino Linotype"/>
          <w:color w:val="000000" w:themeColor="text1"/>
        </w:rPr>
      </w:pPr>
    </w:p>
    <w:p w:rsidR="00F97AF3" w:rsidRPr="00F64B5E" w:rsidRDefault="00DB08F4" w:rsidP="001A241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64B5E">
        <w:rPr>
          <w:rFonts w:ascii="Palatino Linotype" w:eastAsia="Palatino Linotype" w:hAnsi="Palatino Linotype" w:cs="Palatino Linotype"/>
          <w:b/>
          <w:color w:val="000000" w:themeColor="text1"/>
        </w:rPr>
        <w:t>SEXTO.</w:t>
      </w:r>
      <w:r w:rsidRPr="00F64B5E">
        <w:rPr>
          <w:rFonts w:ascii="Palatino Linotype" w:eastAsia="Palatino Linotype" w:hAnsi="Palatino Linotype" w:cs="Palatino Linotype"/>
          <w:color w:val="000000" w:themeColor="text1"/>
        </w:rPr>
        <w:t xml:space="preserve"> Se hace del conocimiento del </w:t>
      </w:r>
      <w:r w:rsidRPr="00F64B5E">
        <w:rPr>
          <w:rFonts w:ascii="Palatino Linotype" w:eastAsia="Palatino Linotype" w:hAnsi="Palatino Linotype" w:cs="Palatino Linotype"/>
          <w:b/>
          <w:color w:val="000000" w:themeColor="text1"/>
        </w:rPr>
        <w:t>RECURRENTE</w:t>
      </w:r>
      <w:r w:rsidRPr="00F64B5E">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w:t>
      </w:r>
      <w:r w:rsidR="0063297D" w:rsidRPr="00F64B5E">
        <w:rPr>
          <w:rFonts w:ascii="Palatino Linotype" w:eastAsia="Palatino Linotype" w:hAnsi="Palatino Linotype" w:cs="Palatino Linotype"/>
          <w:color w:val="000000" w:themeColor="text1"/>
        </w:rPr>
        <w:t>érminos de las leyes aplicable</w:t>
      </w:r>
    </w:p>
    <w:p w:rsidR="00F97AF3" w:rsidRPr="00F64B5E" w:rsidRDefault="00F97AF3" w:rsidP="001A241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74D20" w:rsidRDefault="00F64B5E" w:rsidP="00F74D20">
      <w:pPr>
        <w:spacing w:before="240" w:after="240" w:line="360" w:lineRule="auto"/>
        <w:ind w:firstLine="1"/>
        <w:jc w:val="both"/>
        <w:rPr>
          <w:rFonts w:ascii="Palatino Linotype" w:hAnsi="Palatino Linotype"/>
        </w:rPr>
      </w:pPr>
      <w:bookmarkStart w:id="9" w:name="_Hlk99014733"/>
      <w:r w:rsidRPr="00F64B5E">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DIECISÉIS (16) DE JULIO DE DOS MIL VEINTICINCO, ANTE EL SECRETARIO TÉCNICO DEL PLENO </w:t>
      </w:r>
      <w:r w:rsidRPr="00F64B5E">
        <w:rPr>
          <w:rFonts w:ascii="Palatino Linotype" w:eastAsia="Palatino Linotype" w:hAnsi="Palatino Linotype" w:cs="Palatino Linotype"/>
          <w:color w:val="000000" w:themeColor="text1"/>
        </w:rPr>
        <w:t>ALEXIS TAPIA RAMÍREZ</w:t>
      </w:r>
      <w:r w:rsidR="00F74D20" w:rsidRPr="00F64B5E">
        <w:rPr>
          <w:rFonts w:ascii="Palatino Linotype" w:eastAsia="Palatino Linotype" w:hAnsi="Palatino Linotype" w:cs="Palatino Linotype"/>
          <w:color w:val="000000" w:themeColor="text1"/>
        </w:rPr>
        <w:t>.</w:t>
      </w:r>
    </w:p>
    <w:p w:rsidR="00F74D20" w:rsidRDefault="00F74D20" w:rsidP="00F74D20">
      <w:pPr>
        <w:spacing w:before="240" w:after="240" w:line="360" w:lineRule="auto"/>
        <w:ind w:firstLine="1"/>
        <w:jc w:val="both"/>
        <w:rPr>
          <w:rFonts w:ascii="Palatino Linotype" w:hAnsi="Palatino Linotype"/>
        </w:rPr>
      </w:pPr>
    </w:p>
    <w:bookmarkEnd w:id="9"/>
    <w:p w:rsidR="00F97AF3" w:rsidRPr="001A241E" w:rsidRDefault="00F97AF3" w:rsidP="001A241E">
      <w:pPr>
        <w:spacing w:line="360" w:lineRule="auto"/>
        <w:jc w:val="both"/>
        <w:rPr>
          <w:rFonts w:ascii="Palatino Linotype" w:eastAsia="Palatino Linotype" w:hAnsi="Palatino Linotype" w:cs="Palatino Linotype"/>
          <w:color w:val="000000" w:themeColor="text1"/>
        </w:rPr>
      </w:pPr>
    </w:p>
    <w:p w:rsidR="00F97AF3" w:rsidRPr="001A241E" w:rsidRDefault="00F97AF3" w:rsidP="001A241E">
      <w:pPr>
        <w:spacing w:line="360" w:lineRule="auto"/>
        <w:jc w:val="both"/>
        <w:rPr>
          <w:rFonts w:ascii="Palatino Linotype" w:eastAsia="Palatino Linotype" w:hAnsi="Palatino Linotype" w:cs="Palatino Linotype"/>
          <w:color w:val="000000" w:themeColor="text1"/>
        </w:rPr>
      </w:pPr>
    </w:p>
    <w:p w:rsidR="00F97AF3" w:rsidRPr="001A241E" w:rsidRDefault="00F97AF3" w:rsidP="001A241E">
      <w:pPr>
        <w:spacing w:line="360" w:lineRule="auto"/>
        <w:jc w:val="both"/>
        <w:rPr>
          <w:rFonts w:ascii="Palatino Linotype" w:eastAsia="Palatino Linotype" w:hAnsi="Palatino Linotype" w:cs="Palatino Linotype"/>
          <w:color w:val="000000" w:themeColor="text1"/>
        </w:rPr>
      </w:pPr>
    </w:p>
    <w:p w:rsidR="00F97AF3" w:rsidRPr="001A241E" w:rsidRDefault="00F97AF3" w:rsidP="001A241E">
      <w:pPr>
        <w:spacing w:line="360" w:lineRule="auto"/>
        <w:jc w:val="both"/>
        <w:rPr>
          <w:rFonts w:ascii="Palatino Linotype" w:eastAsia="Palatino Linotype" w:hAnsi="Palatino Linotype" w:cs="Palatino Linotype"/>
          <w:color w:val="000000" w:themeColor="text1"/>
        </w:rPr>
      </w:pPr>
    </w:p>
    <w:p w:rsidR="00F97AF3" w:rsidRPr="001A241E" w:rsidRDefault="00F97AF3" w:rsidP="001A241E">
      <w:pPr>
        <w:spacing w:line="360" w:lineRule="auto"/>
        <w:jc w:val="both"/>
        <w:rPr>
          <w:rFonts w:ascii="Palatino Linotype" w:eastAsia="Palatino Linotype" w:hAnsi="Palatino Linotype" w:cs="Palatino Linotype"/>
          <w:color w:val="000000" w:themeColor="text1"/>
        </w:rPr>
      </w:pPr>
    </w:p>
    <w:p w:rsidR="00F97AF3" w:rsidRPr="001A241E" w:rsidRDefault="00F97AF3" w:rsidP="001A241E">
      <w:pPr>
        <w:spacing w:line="360" w:lineRule="auto"/>
        <w:jc w:val="both"/>
        <w:rPr>
          <w:rFonts w:ascii="Palatino Linotype" w:eastAsia="Palatino Linotype" w:hAnsi="Palatino Linotype" w:cs="Palatino Linotype"/>
          <w:color w:val="000000" w:themeColor="text1"/>
        </w:rPr>
      </w:pPr>
    </w:p>
    <w:p w:rsidR="00F97AF3" w:rsidRPr="001A241E" w:rsidRDefault="00F97AF3" w:rsidP="001A241E">
      <w:pPr>
        <w:spacing w:line="360" w:lineRule="auto"/>
        <w:jc w:val="both"/>
        <w:rPr>
          <w:rFonts w:ascii="Palatino Linotype" w:eastAsia="Palatino Linotype" w:hAnsi="Palatino Linotype" w:cs="Palatino Linotype"/>
          <w:color w:val="000000" w:themeColor="text1"/>
        </w:rPr>
      </w:pPr>
    </w:p>
    <w:p w:rsidR="00F97AF3" w:rsidRPr="001A241E" w:rsidRDefault="00F97AF3" w:rsidP="001A241E">
      <w:pPr>
        <w:spacing w:line="360" w:lineRule="auto"/>
        <w:jc w:val="both"/>
        <w:rPr>
          <w:rFonts w:ascii="Palatino Linotype" w:eastAsia="Palatino Linotype" w:hAnsi="Palatino Linotype" w:cs="Palatino Linotype"/>
          <w:color w:val="000000" w:themeColor="text1"/>
        </w:rPr>
      </w:pPr>
    </w:p>
    <w:p w:rsidR="00F97AF3" w:rsidRPr="001A241E" w:rsidRDefault="00F97AF3" w:rsidP="001A241E">
      <w:pPr>
        <w:spacing w:line="360" w:lineRule="auto"/>
        <w:jc w:val="both"/>
        <w:rPr>
          <w:rFonts w:ascii="Palatino Linotype" w:eastAsia="Palatino Linotype" w:hAnsi="Palatino Linotype" w:cs="Palatino Linotype"/>
          <w:color w:val="000000" w:themeColor="text1"/>
        </w:rPr>
      </w:pPr>
    </w:p>
    <w:p w:rsidR="00F97AF3" w:rsidRPr="001A241E" w:rsidRDefault="00F97AF3" w:rsidP="001A241E">
      <w:pPr>
        <w:spacing w:line="360" w:lineRule="auto"/>
        <w:jc w:val="both"/>
        <w:rPr>
          <w:rFonts w:ascii="Palatino Linotype" w:eastAsia="Palatino Linotype" w:hAnsi="Palatino Linotype" w:cs="Palatino Linotype"/>
          <w:color w:val="000000" w:themeColor="text1"/>
        </w:rPr>
      </w:pPr>
    </w:p>
    <w:p w:rsidR="00F97AF3" w:rsidRPr="001A241E" w:rsidRDefault="00F97AF3" w:rsidP="001A241E">
      <w:pPr>
        <w:spacing w:line="360" w:lineRule="auto"/>
        <w:jc w:val="both"/>
        <w:rPr>
          <w:rFonts w:ascii="Palatino Linotype" w:eastAsia="Palatino Linotype" w:hAnsi="Palatino Linotype" w:cs="Palatino Linotype"/>
          <w:color w:val="000000" w:themeColor="text1"/>
        </w:rPr>
      </w:pPr>
    </w:p>
    <w:p w:rsidR="00F97AF3" w:rsidRPr="001A241E" w:rsidRDefault="00F97AF3" w:rsidP="001A241E">
      <w:pPr>
        <w:spacing w:line="360" w:lineRule="auto"/>
        <w:rPr>
          <w:rFonts w:ascii="Palatino Linotype" w:eastAsia="Palatino Linotype" w:hAnsi="Palatino Linotype" w:cs="Palatino Linotype"/>
          <w:color w:val="000000" w:themeColor="text1"/>
        </w:rPr>
      </w:pPr>
    </w:p>
    <w:p w:rsidR="00F97AF3" w:rsidRPr="001A241E" w:rsidRDefault="00F97AF3" w:rsidP="001A241E">
      <w:pPr>
        <w:spacing w:line="360" w:lineRule="auto"/>
        <w:rPr>
          <w:rFonts w:ascii="Palatino Linotype" w:eastAsia="Palatino Linotype" w:hAnsi="Palatino Linotype" w:cs="Palatino Linotype"/>
          <w:color w:val="000000" w:themeColor="text1"/>
        </w:rPr>
      </w:pPr>
    </w:p>
    <w:p w:rsidR="00F97AF3" w:rsidRPr="001A241E" w:rsidRDefault="00F97AF3" w:rsidP="001A241E">
      <w:pPr>
        <w:spacing w:line="360" w:lineRule="auto"/>
        <w:rPr>
          <w:rFonts w:ascii="Palatino Linotype" w:eastAsia="Palatino Linotype" w:hAnsi="Palatino Linotype" w:cs="Palatino Linotype"/>
          <w:color w:val="000000" w:themeColor="text1"/>
        </w:rPr>
      </w:pPr>
    </w:p>
    <w:p w:rsidR="00F97AF3" w:rsidRPr="001A241E" w:rsidRDefault="00F97AF3" w:rsidP="001A241E">
      <w:pPr>
        <w:spacing w:line="360" w:lineRule="auto"/>
        <w:rPr>
          <w:rFonts w:ascii="Palatino Linotype" w:eastAsia="Palatino Linotype" w:hAnsi="Palatino Linotype" w:cs="Palatino Linotype"/>
          <w:color w:val="000000" w:themeColor="text1"/>
        </w:rPr>
      </w:pPr>
    </w:p>
    <w:p w:rsidR="00F97AF3" w:rsidRPr="001A241E" w:rsidRDefault="00F97AF3" w:rsidP="001A241E">
      <w:pPr>
        <w:spacing w:line="360" w:lineRule="auto"/>
        <w:rPr>
          <w:rFonts w:ascii="Palatino Linotype" w:eastAsia="Palatino Linotype" w:hAnsi="Palatino Linotype" w:cs="Palatino Linotype"/>
          <w:color w:val="000000" w:themeColor="text1"/>
        </w:rPr>
      </w:pPr>
    </w:p>
    <w:p w:rsidR="00F97AF3" w:rsidRPr="001A241E" w:rsidRDefault="00F97AF3" w:rsidP="001A241E">
      <w:pPr>
        <w:spacing w:line="360" w:lineRule="auto"/>
        <w:rPr>
          <w:rFonts w:ascii="Palatino Linotype" w:eastAsia="Palatino Linotype" w:hAnsi="Palatino Linotype" w:cs="Palatino Linotype"/>
          <w:color w:val="000000" w:themeColor="text1"/>
        </w:rPr>
      </w:pPr>
    </w:p>
    <w:p w:rsidR="00F97AF3" w:rsidRPr="001A241E" w:rsidRDefault="00F97AF3" w:rsidP="001A241E">
      <w:pPr>
        <w:rPr>
          <w:rFonts w:ascii="Palatino Linotype" w:eastAsia="Palatino Linotype" w:hAnsi="Palatino Linotype" w:cs="Palatino Linotype"/>
          <w:color w:val="000000" w:themeColor="text1"/>
        </w:rPr>
      </w:pPr>
    </w:p>
    <w:sectPr w:rsidR="00F97AF3" w:rsidRPr="001A241E" w:rsidSect="000240DD">
      <w:headerReference w:type="even" r:id="rId20"/>
      <w:headerReference w:type="default" r:id="rId21"/>
      <w:footerReference w:type="default" r:id="rId22"/>
      <w:headerReference w:type="first" r:id="rId23"/>
      <w:footerReference w:type="first" r:id="rId24"/>
      <w:pgSz w:w="12240" w:h="15840"/>
      <w:pgMar w:top="80" w:right="900"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FA1" w:rsidRDefault="00722FA1">
      <w:r>
        <w:separator/>
      </w:r>
    </w:p>
  </w:endnote>
  <w:endnote w:type="continuationSeparator" w:id="0">
    <w:p w:rsidR="00722FA1" w:rsidRDefault="00722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AF3" w:rsidRDefault="00DB08F4">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40479B">
      <w:rPr>
        <w:b/>
        <w:noProof/>
        <w:color w:val="000000"/>
      </w:rPr>
      <w:t>2</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40479B">
      <w:rPr>
        <w:b/>
        <w:noProof/>
        <w:color w:val="000000"/>
      </w:rPr>
      <w:t>24</w:t>
    </w:r>
    <w:r>
      <w:rPr>
        <w:b/>
        <w:color w:val="000000"/>
      </w:rPr>
      <w:fldChar w:fldCharType="end"/>
    </w:r>
  </w:p>
  <w:p w:rsidR="00F97AF3" w:rsidRDefault="00F97AF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AF3" w:rsidRDefault="00DB08F4">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40479B">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40479B">
      <w:rPr>
        <w:b/>
        <w:noProof/>
        <w:color w:val="000000"/>
      </w:rPr>
      <w:t>24</w:t>
    </w:r>
    <w:r>
      <w:rPr>
        <w:b/>
        <w:color w:val="000000"/>
      </w:rPr>
      <w:fldChar w:fldCharType="end"/>
    </w:r>
  </w:p>
  <w:p w:rsidR="00F97AF3" w:rsidRDefault="00F97AF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FA1" w:rsidRDefault="00722FA1">
      <w:r>
        <w:separator/>
      </w:r>
    </w:p>
  </w:footnote>
  <w:footnote w:type="continuationSeparator" w:id="0">
    <w:p w:rsidR="00722FA1" w:rsidRDefault="00722FA1">
      <w:r>
        <w:continuationSeparator/>
      </w:r>
    </w:p>
  </w:footnote>
  <w:footnote w:id="1">
    <w:p w:rsidR="00F97AF3" w:rsidRDefault="00DB08F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50, Ley de Transparencia y Acceso a la Información Pública del Estado de México y Municipios.</w:t>
      </w:r>
    </w:p>
  </w:footnote>
  <w:footnote w:id="2">
    <w:p w:rsidR="00F97AF3" w:rsidRDefault="00DB08F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51, Ídem.</w:t>
      </w:r>
    </w:p>
  </w:footnote>
  <w:footnote w:id="3">
    <w:p w:rsidR="00F97AF3" w:rsidRDefault="00DB08F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58, Ley de Transparencia y Acceso a la Información Pública del Estado de México y Municipios.</w:t>
      </w:r>
    </w:p>
  </w:footnote>
  <w:footnote w:id="4">
    <w:p w:rsidR="00F97AF3" w:rsidRDefault="00DB08F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AF3" w:rsidRDefault="00722FA1">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10490" w:type="dxa"/>
      <w:tblInd w:w="0" w:type="dxa"/>
      <w:tblLayout w:type="fixed"/>
      <w:tblLook w:val="0400" w:firstRow="0" w:lastRow="0" w:firstColumn="0" w:lastColumn="0" w:noHBand="0" w:noVBand="1"/>
    </w:tblPr>
    <w:tblGrid>
      <w:gridCol w:w="2268"/>
      <w:gridCol w:w="8222"/>
    </w:tblGrid>
    <w:tr w:rsidR="00F97AF3" w:rsidTr="001A241E">
      <w:trPr>
        <w:trHeight w:val="1435"/>
      </w:trPr>
      <w:tc>
        <w:tcPr>
          <w:tcW w:w="2268" w:type="dxa"/>
          <w:shd w:val="clear" w:color="auto" w:fill="auto"/>
        </w:tcPr>
        <w:p w:rsidR="00F97AF3" w:rsidRDefault="00F97AF3">
          <w:pPr>
            <w:tabs>
              <w:tab w:val="right" w:pos="4273"/>
            </w:tabs>
            <w:rPr>
              <w:rFonts w:ascii="Garamond" w:eastAsia="Garamond" w:hAnsi="Garamond" w:cs="Garamond"/>
              <w:sz w:val="16"/>
              <w:szCs w:val="16"/>
            </w:rPr>
          </w:pPr>
        </w:p>
      </w:tc>
      <w:tc>
        <w:tcPr>
          <w:tcW w:w="8222" w:type="dxa"/>
          <w:shd w:val="clear" w:color="auto" w:fill="auto"/>
        </w:tcPr>
        <w:tbl>
          <w:tblPr>
            <w:tblStyle w:val="a4"/>
            <w:tblW w:w="8067" w:type="dxa"/>
            <w:tblInd w:w="40" w:type="dxa"/>
            <w:tblLayout w:type="fixed"/>
            <w:tblLook w:val="0400" w:firstRow="0" w:lastRow="0" w:firstColumn="0" w:lastColumn="0" w:noHBand="0" w:noVBand="1"/>
          </w:tblPr>
          <w:tblGrid>
            <w:gridCol w:w="2822"/>
            <w:gridCol w:w="5245"/>
          </w:tblGrid>
          <w:tr w:rsidR="00F97AF3" w:rsidTr="001A241E">
            <w:trPr>
              <w:trHeight w:val="150"/>
            </w:trPr>
            <w:tc>
              <w:tcPr>
                <w:tcW w:w="2822" w:type="dxa"/>
                <w:shd w:val="clear" w:color="auto" w:fill="auto"/>
              </w:tcPr>
              <w:p w:rsidR="00F97AF3" w:rsidRPr="001A241E" w:rsidRDefault="00DB08F4" w:rsidP="001A241E">
                <w:pPr>
                  <w:tabs>
                    <w:tab w:val="right" w:pos="8838"/>
                  </w:tabs>
                  <w:ind w:right="-105"/>
                  <w:jc w:val="right"/>
                  <w:rPr>
                    <w:rFonts w:ascii="Palatino Linotype" w:eastAsia="Palatino Linotype" w:hAnsi="Palatino Linotype" w:cs="Palatino Linotype"/>
                    <w:b/>
                  </w:rPr>
                </w:pPr>
                <w:r w:rsidRPr="001A241E">
                  <w:rPr>
                    <w:rFonts w:ascii="Palatino Linotype" w:eastAsia="Palatino Linotype" w:hAnsi="Palatino Linotype" w:cs="Palatino Linotype"/>
                    <w:b/>
                  </w:rPr>
                  <w:t>Recurso de Revisión:</w:t>
                </w:r>
              </w:p>
            </w:tc>
            <w:tc>
              <w:tcPr>
                <w:tcW w:w="5245" w:type="dxa"/>
                <w:shd w:val="clear" w:color="auto" w:fill="auto"/>
              </w:tcPr>
              <w:p w:rsidR="00F97AF3" w:rsidRPr="001A241E" w:rsidRDefault="00DB08F4" w:rsidP="001A241E">
                <w:pPr>
                  <w:tabs>
                    <w:tab w:val="right" w:pos="8838"/>
                  </w:tabs>
                  <w:ind w:left="27" w:right="-102"/>
                  <w:jc w:val="both"/>
                  <w:rPr>
                    <w:rFonts w:ascii="Palatino Linotype" w:eastAsia="Palatino Linotype" w:hAnsi="Palatino Linotype" w:cs="Palatino Linotype"/>
                  </w:rPr>
                </w:pPr>
                <w:r w:rsidRPr="001A241E">
                  <w:rPr>
                    <w:rFonts w:ascii="Palatino Linotype" w:eastAsia="Palatino Linotype" w:hAnsi="Palatino Linotype" w:cs="Palatino Linotype"/>
                  </w:rPr>
                  <w:t>06513/INFOEM/IP/RR/2025 y Acumulado</w:t>
                </w:r>
              </w:p>
            </w:tc>
          </w:tr>
          <w:tr w:rsidR="00F97AF3" w:rsidTr="001A241E">
            <w:trPr>
              <w:trHeight w:val="295"/>
            </w:trPr>
            <w:tc>
              <w:tcPr>
                <w:tcW w:w="2822" w:type="dxa"/>
                <w:shd w:val="clear" w:color="auto" w:fill="auto"/>
              </w:tcPr>
              <w:p w:rsidR="00F97AF3" w:rsidRPr="001A241E" w:rsidRDefault="00DB08F4" w:rsidP="001A241E">
                <w:pPr>
                  <w:tabs>
                    <w:tab w:val="right" w:pos="8838"/>
                  </w:tabs>
                  <w:ind w:right="-105"/>
                  <w:jc w:val="right"/>
                  <w:rPr>
                    <w:rFonts w:ascii="Palatino Linotype" w:eastAsia="Palatino Linotype" w:hAnsi="Palatino Linotype" w:cs="Palatino Linotype"/>
                    <w:b/>
                  </w:rPr>
                </w:pPr>
                <w:r w:rsidRPr="001A241E">
                  <w:rPr>
                    <w:rFonts w:ascii="Palatino Linotype" w:eastAsia="Palatino Linotype" w:hAnsi="Palatino Linotype" w:cs="Palatino Linotype"/>
                    <w:b/>
                  </w:rPr>
                  <w:t>Sujeto Obligado:</w:t>
                </w:r>
              </w:p>
            </w:tc>
            <w:tc>
              <w:tcPr>
                <w:tcW w:w="5245" w:type="dxa"/>
                <w:shd w:val="clear" w:color="auto" w:fill="auto"/>
              </w:tcPr>
              <w:p w:rsidR="00F97AF3" w:rsidRPr="001A241E" w:rsidRDefault="00DB08F4" w:rsidP="001A241E">
                <w:pPr>
                  <w:tabs>
                    <w:tab w:val="left" w:pos="2834"/>
                    <w:tab w:val="right" w:pos="8838"/>
                  </w:tabs>
                  <w:ind w:left="27" w:right="-102"/>
                  <w:jc w:val="both"/>
                  <w:rPr>
                    <w:rFonts w:ascii="Palatino Linotype" w:eastAsia="Palatino Linotype" w:hAnsi="Palatino Linotype" w:cs="Palatino Linotype"/>
                  </w:rPr>
                </w:pPr>
                <w:r w:rsidRPr="001A241E">
                  <w:rPr>
                    <w:rFonts w:ascii="Palatino Linotype" w:eastAsia="Palatino Linotype" w:hAnsi="Palatino Linotype" w:cs="Palatino Linotype"/>
                  </w:rPr>
                  <w:t>Ayuntamiento de Toluca</w:t>
                </w:r>
              </w:p>
            </w:tc>
          </w:tr>
          <w:tr w:rsidR="00F97AF3" w:rsidTr="001A241E">
            <w:trPr>
              <w:trHeight w:val="295"/>
            </w:trPr>
            <w:tc>
              <w:tcPr>
                <w:tcW w:w="2822" w:type="dxa"/>
                <w:shd w:val="clear" w:color="auto" w:fill="auto"/>
              </w:tcPr>
              <w:p w:rsidR="00F97AF3" w:rsidRPr="001A241E" w:rsidRDefault="00DB08F4" w:rsidP="001A241E">
                <w:pPr>
                  <w:tabs>
                    <w:tab w:val="right" w:pos="8838"/>
                  </w:tabs>
                  <w:ind w:right="-105"/>
                  <w:jc w:val="right"/>
                  <w:rPr>
                    <w:rFonts w:ascii="Palatino Linotype" w:eastAsia="Palatino Linotype" w:hAnsi="Palatino Linotype" w:cs="Palatino Linotype"/>
                    <w:b/>
                  </w:rPr>
                </w:pPr>
                <w:r w:rsidRPr="001A241E">
                  <w:rPr>
                    <w:rFonts w:ascii="Palatino Linotype" w:eastAsia="Palatino Linotype" w:hAnsi="Palatino Linotype" w:cs="Palatino Linotype"/>
                    <w:b/>
                  </w:rPr>
                  <w:t>Comisionada ponente:</w:t>
                </w:r>
              </w:p>
            </w:tc>
            <w:tc>
              <w:tcPr>
                <w:tcW w:w="5245" w:type="dxa"/>
                <w:shd w:val="clear" w:color="auto" w:fill="auto"/>
              </w:tcPr>
              <w:p w:rsidR="00F97AF3" w:rsidRPr="001A241E" w:rsidRDefault="00DB08F4" w:rsidP="001A241E">
                <w:pPr>
                  <w:tabs>
                    <w:tab w:val="right" w:pos="8838"/>
                  </w:tabs>
                  <w:ind w:left="27" w:right="171"/>
                  <w:jc w:val="both"/>
                  <w:rPr>
                    <w:rFonts w:ascii="Palatino Linotype" w:eastAsia="Palatino Linotype" w:hAnsi="Palatino Linotype" w:cs="Palatino Linotype"/>
                  </w:rPr>
                </w:pPr>
                <w:r w:rsidRPr="001A241E">
                  <w:rPr>
                    <w:rFonts w:ascii="Palatino Linotype" w:eastAsia="Palatino Linotype" w:hAnsi="Palatino Linotype" w:cs="Palatino Linotype"/>
                  </w:rPr>
                  <w:t>María del Rosario Mejía Ayala</w:t>
                </w:r>
              </w:p>
              <w:p w:rsidR="00F97AF3" w:rsidRPr="001A241E" w:rsidRDefault="00F97AF3" w:rsidP="001A241E">
                <w:pPr>
                  <w:tabs>
                    <w:tab w:val="right" w:pos="8838"/>
                  </w:tabs>
                  <w:ind w:left="27" w:right="171"/>
                  <w:jc w:val="both"/>
                  <w:rPr>
                    <w:rFonts w:ascii="Palatino Linotype" w:eastAsia="Palatino Linotype" w:hAnsi="Palatino Linotype" w:cs="Palatino Linotype"/>
                  </w:rPr>
                </w:pPr>
              </w:p>
            </w:tc>
          </w:tr>
        </w:tbl>
        <w:p w:rsidR="00F97AF3" w:rsidRDefault="00F97AF3">
          <w:pPr>
            <w:tabs>
              <w:tab w:val="right" w:pos="8838"/>
            </w:tabs>
            <w:ind w:left="-28"/>
            <w:jc w:val="both"/>
            <w:rPr>
              <w:rFonts w:ascii="Arial" w:eastAsia="Arial" w:hAnsi="Arial" w:cs="Arial"/>
              <w:b/>
              <w:sz w:val="22"/>
              <w:szCs w:val="22"/>
            </w:rPr>
          </w:pPr>
        </w:p>
      </w:tc>
    </w:tr>
  </w:tbl>
  <w:p w:rsidR="00F97AF3" w:rsidRDefault="00722FA1">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10632" w:type="dxa"/>
      <w:tblInd w:w="0" w:type="dxa"/>
      <w:tblLayout w:type="fixed"/>
      <w:tblLook w:val="0400" w:firstRow="0" w:lastRow="0" w:firstColumn="0" w:lastColumn="0" w:noHBand="0" w:noVBand="1"/>
    </w:tblPr>
    <w:tblGrid>
      <w:gridCol w:w="2268"/>
      <w:gridCol w:w="8364"/>
    </w:tblGrid>
    <w:tr w:rsidR="00F97AF3" w:rsidTr="001A241E">
      <w:trPr>
        <w:trHeight w:val="1435"/>
      </w:trPr>
      <w:tc>
        <w:tcPr>
          <w:tcW w:w="2268" w:type="dxa"/>
          <w:shd w:val="clear" w:color="auto" w:fill="auto"/>
        </w:tcPr>
        <w:p w:rsidR="00F97AF3" w:rsidRDefault="00F97AF3">
          <w:pPr>
            <w:tabs>
              <w:tab w:val="right" w:pos="4273"/>
            </w:tabs>
            <w:rPr>
              <w:rFonts w:ascii="Garamond" w:eastAsia="Garamond" w:hAnsi="Garamond" w:cs="Garamond"/>
              <w:sz w:val="22"/>
              <w:szCs w:val="22"/>
            </w:rPr>
          </w:pPr>
        </w:p>
      </w:tc>
      <w:tc>
        <w:tcPr>
          <w:tcW w:w="8364" w:type="dxa"/>
          <w:shd w:val="clear" w:color="auto" w:fill="auto"/>
        </w:tcPr>
        <w:tbl>
          <w:tblPr>
            <w:tblStyle w:val="a6"/>
            <w:tblW w:w="7500" w:type="dxa"/>
            <w:tblInd w:w="40" w:type="dxa"/>
            <w:tblLayout w:type="fixed"/>
            <w:tblLook w:val="0400" w:firstRow="0" w:lastRow="0" w:firstColumn="0" w:lastColumn="0" w:noHBand="0" w:noVBand="1"/>
          </w:tblPr>
          <w:tblGrid>
            <w:gridCol w:w="2822"/>
            <w:gridCol w:w="4678"/>
          </w:tblGrid>
          <w:tr w:rsidR="00F97AF3" w:rsidTr="001A241E">
            <w:trPr>
              <w:trHeight w:val="144"/>
            </w:trPr>
            <w:tc>
              <w:tcPr>
                <w:tcW w:w="2822" w:type="dxa"/>
                <w:shd w:val="clear" w:color="auto" w:fill="auto"/>
              </w:tcPr>
              <w:p w:rsidR="00F97AF3" w:rsidRPr="001A241E" w:rsidRDefault="00DB08F4" w:rsidP="001A241E">
                <w:pPr>
                  <w:tabs>
                    <w:tab w:val="right" w:pos="8838"/>
                  </w:tabs>
                  <w:ind w:left="-264" w:right="-105" w:firstLine="195"/>
                  <w:jc w:val="right"/>
                  <w:rPr>
                    <w:rFonts w:ascii="Palatino Linotype" w:eastAsia="Palatino Linotype" w:hAnsi="Palatino Linotype" w:cs="Palatino Linotype"/>
                    <w:b/>
                  </w:rPr>
                </w:pPr>
                <w:r w:rsidRPr="001A241E">
                  <w:rPr>
                    <w:rFonts w:ascii="Palatino Linotype" w:eastAsia="Palatino Linotype" w:hAnsi="Palatino Linotype" w:cs="Palatino Linotype"/>
                    <w:b/>
                  </w:rPr>
                  <w:t>Recurso de Revisión:</w:t>
                </w:r>
              </w:p>
            </w:tc>
            <w:tc>
              <w:tcPr>
                <w:tcW w:w="4678" w:type="dxa"/>
                <w:shd w:val="clear" w:color="auto" w:fill="auto"/>
              </w:tcPr>
              <w:p w:rsidR="00F97AF3" w:rsidRPr="001A241E" w:rsidRDefault="00DB08F4" w:rsidP="001A241E">
                <w:pPr>
                  <w:tabs>
                    <w:tab w:val="right" w:pos="8838"/>
                  </w:tabs>
                  <w:ind w:left="27" w:right="-105"/>
                  <w:jc w:val="both"/>
                  <w:rPr>
                    <w:rFonts w:ascii="Palatino Linotype" w:eastAsia="Palatino Linotype" w:hAnsi="Palatino Linotype" w:cs="Palatino Linotype"/>
                  </w:rPr>
                </w:pPr>
                <w:r w:rsidRPr="001A241E">
                  <w:rPr>
                    <w:rFonts w:ascii="Palatino Linotype" w:eastAsia="Palatino Linotype" w:hAnsi="Palatino Linotype" w:cs="Palatino Linotype"/>
                  </w:rPr>
                  <w:t>06513/INFOEM/IP/RR/2025 y Acumulado</w:t>
                </w:r>
              </w:p>
            </w:tc>
          </w:tr>
          <w:tr w:rsidR="00F97AF3" w:rsidTr="001A241E">
            <w:trPr>
              <w:trHeight w:val="144"/>
            </w:trPr>
            <w:tc>
              <w:tcPr>
                <w:tcW w:w="2822" w:type="dxa"/>
                <w:shd w:val="clear" w:color="auto" w:fill="auto"/>
              </w:tcPr>
              <w:p w:rsidR="00F97AF3" w:rsidRPr="001A241E" w:rsidRDefault="00DB08F4" w:rsidP="001A241E">
                <w:pPr>
                  <w:tabs>
                    <w:tab w:val="right" w:pos="8838"/>
                  </w:tabs>
                  <w:ind w:left="-74" w:right="-105"/>
                  <w:jc w:val="right"/>
                  <w:rPr>
                    <w:rFonts w:ascii="Palatino Linotype" w:eastAsia="Palatino Linotype" w:hAnsi="Palatino Linotype" w:cs="Palatino Linotype"/>
                    <w:b/>
                  </w:rPr>
                </w:pPr>
                <w:r w:rsidRPr="001A241E">
                  <w:rPr>
                    <w:rFonts w:ascii="Palatino Linotype" w:eastAsia="Palatino Linotype" w:hAnsi="Palatino Linotype" w:cs="Palatino Linotype"/>
                    <w:b/>
                  </w:rPr>
                  <w:t>Recurrente:</w:t>
                </w:r>
              </w:p>
            </w:tc>
            <w:tc>
              <w:tcPr>
                <w:tcW w:w="4678" w:type="dxa"/>
                <w:shd w:val="clear" w:color="auto" w:fill="auto"/>
              </w:tcPr>
              <w:p w:rsidR="00F97AF3" w:rsidRPr="001A241E" w:rsidRDefault="00F97AF3" w:rsidP="001A241E">
                <w:pPr>
                  <w:tabs>
                    <w:tab w:val="left" w:pos="3122"/>
                    <w:tab w:val="right" w:pos="8838"/>
                  </w:tabs>
                  <w:ind w:left="27" w:right="-105"/>
                  <w:jc w:val="both"/>
                  <w:rPr>
                    <w:rFonts w:ascii="Palatino Linotype" w:eastAsia="Palatino Linotype" w:hAnsi="Palatino Linotype" w:cs="Palatino Linotype"/>
                  </w:rPr>
                </w:pPr>
              </w:p>
            </w:tc>
          </w:tr>
          <w:tr w:rsidR="00F97AF3" w:rsidTr="001A241E">
            <w:trPr>
              <w:trHeight w:val="283"/>
            </w:trPr>
            <w:tc>
              <w:tcPr>
                <w:tcW w:w="2822" w:type="dxa"/>
                <w:shd w:val="clear" w:color="auto" w:fill="auto"/>
              </w:tcPr>
              <w:p w:rsidR="00F97AF3" w:rsidRPr="001A241E" w:rsidRDefault="00DB08F4" w:rsidP="001A241E">
                <w:pPr>
                  <w:tabs>
                    <w:tab w:val="right" w:pos="8838"/>
                  </w:tabs>
                  <w:ind w:left="-74" w:right="-105"/>
                  <w:jc w:val="right"/>
                  <w:rPr>
                    <w:rFonts w:ascii="Palatino Linotype" w:eastAsia="Palatino Linotype" w:hAnsi="Palatino Linotype" w:cs="Palatino Linotype"/>
                    <w:b/>
                  </w:rPr>
                </w:pPr>
                <w:r w:rsidRPr="001A241E">
                  <w:rPr>
                    <w:rFonts w:ascii="Palatino Linotype" w:eastAsia="Palatino Linotype" w:hAnsi="Palatino Linotype" w:cs="Palatino Linotype"/>
                    <w:b/>
                  </w:rPr>
                  <w:t>Sujeto Obligado:</w:t>
                </w:r>
              </w:p>
            </w:tc>
            <w:tc>
              <w:tcPr>
                <w:tcW w:w="4678" w:type="dxa"/>
                <w:shd w:val="clear" w:color="auto" w:fill="auto"/>
              </w:tcPr>
              <w:p w:rsidR="00F97AF3" w:rsidRPr="001A241E" w:rsidRDefault="00DB08F4" w:rsidP="001A241E">
                <w:pPr>
                  <w:tabs>
                    <w:tab w:val="left" w:pos="2834"/>
                    <w:tab w:val="right" w:pos="8838"/>
                  </w:tabs>
                  <w:ind w:left="27" w:right="-105"/>
                  <w:jc w:val="both"/>
                  <w:rPr>
                    <w:rFonts w:ascii="Palatino Linotype" w:eastAsia="Palatino Linotype" w:hAnsi="Palatino Linotype" w:cs="Palatino Linotype"/>
                  </w:rPr>
                </w:pPr>
                <w:r w:rsidRPr="001A241E">
                  <w:rPr>
                    <w:rFonts w:ascii="Palatino Linotype" w:eastAsia="Palatino Linotype" w:hAnsi="Palatino Linotype" w:cs="Palatino Linotype"/>
                  </w:rPr>
                  <w:t>Ayuntamiento de Toluca</w:t>
                </w:r>
              </w:p>
            </w:tc>
          </w:tr>
          <w:tr w:rsidR="00F97AF3" w:rsidTr="001A241E">
            <w:trPr>
              <w:trHeight w:val="283"/>
            </w:trPr>
            <w:tc>
              <w:tcPr>
                <w:tcW w:w="2822" w:type="dxa"/>
                <w:shd w:val="clear" w:color="auto" w:fill="auto"/>
              </w:tcPr>
              <w:p w:rsidR="00F97AF3" w:rsidRPr="001A241E" w:rsidRDefault="00DB08F4" w:rsidP="001A241E">
                <w:pPr>
                  <w:tabs>
                    <w:tab w:val="right" w:pos="8838"/>
                  </w:tabs>
                  <w:ind w:left="-74" w:right="-105"/>
                  <w:jc w:val="right"/>
                  <w:rPr>
                    <w:rFonts w:ascii="Palatino Linotype" w:eastAsia="Palatino Linotype" w:hAnsi="Palatino Linotype" w:cs="Palatino Linotype"/>
                    <w:b/>
                  </w:rPr>
                </w:pPr>
                <w:r w:rsidRPr="001A241E">
                  <w:rPr>
                    <w:rFonts w:ascii="Palatino Linotype" w:eastAsia="Palatino Linotype" w:hAnsi="Palatino Linotype" w:cs="Palatino Linotype"/>
                    <w:b/>
                  </w:rPr>
                  <w:t>Comisionada ponente:</w:t>
                </w:r>
              </w:p>
            </w:tc>
            <w:tc>
              <w:tcPr>
                <w:tcW w:w="4678" w:type="dxa"/>
                <w:shd w:val="clear" w:color="auto" w:fill="auto"/>
              </w:tcPr>
              <w:p w:rsidR="00F97AF3" w:rsidRPr="001A241E" w:rsidRDefault="00DB08F4" w:rsidP="001A241E">
                <w:pPr>
                  <w:tabs>
                    <w:tab w:val="right" w:pos="8838"/>
                  </w:tabs>
                  <w:ind w:left="27" w:right="-105"/>
                  <w:jc w:val="both"/>
                  <w:rPr>
                    <w:rFonts w:ascii="Palatino Linotype" w:eastAsia="Palatino Linotype" w:hAnsi="Palatino Linotype" w:cs="Palatino Linotype"/>
                  </w:rPr>
                </w:pPr>
                <w:r w:rsidRPr="001A241E">
                  <w:rPr>
                    <w:rFonts w:ascii="Palatino Linotype" w:eastAsia="Palatino Linotype" w:hAnsi="Palatino Linotype" w:cs="Palatino Linotype"/>
                  </w:rPr>
                  <w:t>María del Rosario Mejía Ayala</w:t>
                </w:r>
              </w:p>
              <w:p w:rsidR="00F97AF3" w:rsidRPr="001A241E" w:rsidRDefault="00F97AF3" w:rsidP="001A241E">
                <w:pPr>
                  <w:tabs>
                    <w:tab w:val="right" w:pos="8838"/>
                  </w:tabs>
                  <w:ind w:left="27" w:right="-105"/>
                  <w:jc w:val="both"/>
                  <w:rPr>
                    <w:rFonts w:ascii="Palatino Linotype" w:eastAsia="Palatino Linotype" w:hAnsi="Palatino Linotype" w:cs="Palatino Linotype"/>
                  </w:rPr>
                </w:pPr>
              </w:p>
            </w:tc>
          </w:tr>
        </w:tbl>
        <w:p w:rsidR="00F97AF3" w:rsidRDefault="00F97AF3">
          <w:pPr>
            <w:tabs>
              <w:tab w:val="right" w:pos="8838"/>
            </w:tabs>
            <w:ind w:left="-28"/>
            <w:jc w:val="both"/>
            <w:rPr>
              <w:rFonts w:ascii="Arial" w:eastAsia="Arial" w:hAnsi="Arial" w:cs="Arial"/>
              <w:b/>
              <w:sz w:val="22"/>
              <w:szCs w:val="22"/>
            </w:rPr>
          </w:pPr>
        </w:p>
      </w:tc>
    </w:tr>
  </w:tbl>
  <w:p w:rsidR="00F97AF3" w:rsidRDefault="00722FA1">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E46C8E"/>
    <w:multiLevelType w:val="multilevel"/>
    <w:tmpl w:val="BDFE3A40"/>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96001C"/>
    <w:multiLevelType w:val="multilevel"/>
    <w:tmpl w:val="AC0CB86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18E3EE3"/>
    <w:multiLevelType w:val="multilevel"/>
    <w:tmpl w:val="8D0C6E7E"/>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AF3"/>
    <w:rsid w:val="000240DD"/>
    <w:rsid w:val="001A241E"/>
    <w:rsid w:val="00250CA2"/>
    <w:rsid w:val="003F3257"/>
    <w:rsid w:val="0040479B"/>
    <w:rsid w:val="004D7D22"/>
    <w:rsid w:val="005E624F"/>
    <w:rsid w:val="0063297D"/>
    <w:rsid w:val="00722FA1"/>
    <w:rsid w:val="00A75F9D"/>
    <w:rsid w:val="00B55183"/>
    <w:rsid w:val="00DB08F4"/>
    <w:rsid w:val="00F64B5E"/>
    <w:rsid w:val="00F74D20"/>
    <w:rsid w:val="00F97A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BD917B0-6451-49E4-9FF2-E205DE589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line="259" w:lineRule="auto"/>
      <w:outlineLvl w:val="0"/>
    </w:pPr>
    <w:rPr>
      <w:rFonts w:ascii="Palatino Linotype" w:eastAsia="Palatino Linotype" w:hAnsi="Palatino Linotype" w:cs="Palatino Linotype"/>
      <w:b/>
      <w:color w:val="000000"/>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A31C4F"/>
    <w:pPr>
      <w:tabs>
        <w:tab w:val="center" w:pos="4419"/>
        <w:tab w:val="right" w:pos="8838"/>
      </w:tabs>
    </w:pPr>
  </w:style>
  <w:style w:type="character" w:customStyle="1" w:styleId="PiedepginaCar">
    <w:name w:val="Pie de página Car"/>
    <w:basedOn w:val="Fuentedeprrafopredeter"/>
    <w:link w:val="Piedepgina"/>
    <w:uiPriority w:val="99"/>
    <w:rsid w:val="00A31C4F"/>
    <w:rPr>
      <w:rFonts w:ascii="Times New Roman" w:eastAsia="Times New Roman" w:hAnsi="Times New Roman" w:cs="Times New Roman"/>
      <w:sz w:val="24"/>
      <w:szCs w:val="24"/>
      <w:lang w:eastAsia="es-MX"/>
    </w:rPr>
  </w:style>
  <w:style w:type="paragraph" w:customStyle="1" w:styleId="Default">
    <w:name w:val="Default"/>
    <w:rsid w:val="0081249D"/>
    <w:pPr>
      <w:autoSpaceDE w:val="0"/>
      <w:autoSpaceDN w:val="0"/>
      <w:adjustRightInd w:val="0"/>
    </w:pPr>
    <w:rPr>
      <w:rFonts w:ascii="Calibri" w:hAnsi="Calibri" w:cs="Calibri"/>
      <w:color w:val="000000"/>
    </w:rPr>
  </w:style>
  <w:style w:type="table" w:styleId="Tablaconcuadrcula">
    <w:name w:val="Table Grid"/>
    <w:basedOn w:val="Tablanormal"/>
    <w:uiPriority w:val="39"/>
    <w:rsid w:val="00BF79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F12817"/>
    <w:rPr>
      <w:sz w:val="16"/>
      <w:szCs w:val="16"/>
    </w:rPr>
  </w:style>
  <w:style w:type="paragraph" w:styleId="Textocomentario">
    <w:name w:val="annotation text"/>
    <w:basedOn w:val="Normal"/>
    <w:link w:val="TextocomentarioCar"/>
    <w:uiPriority w:val="99"/>
    <w:semiHidden/>
    <w:unhideWhenUsed/>
    <w:rsid w:val="00F12817"/>
    <w:rPr>
      <w:rFonts w:ascii="Cambria" w:eastAsia="Cambria" w:hAnsi="Cambria" w:cs="Cambria"/>
      <w:sz w:val="20"/>
      <w:szCs w:val="20"/>
      <w:lang w:val="es-ES_tradnl"/>
    </w:rPr>
  </w:style>
  <w:style w:type="character" w:customStyle="1" w:styleId="TextocomentarioCar">
    <w:name w:val="Texto comentario Car"/>
    <w:basedOn w:val="Fuentedeprrafopredeter"/>
    <w:link w:val="Textocomentario"/>
    <w:uiPriority w:val="99"/>
    <w:semiHidden/>
    <w:rsid w:val="00F12817"/>
    <w:rPr>
      <w:rFonts w:ascii="Cambria" w:eastAsia="Cambria" w:hAnsi="Cambria" w:cs="Cambria"/>
      <w:sz w:val="20"/>
      <w:szCs w:val="20"/>
      <w:lang w:val="es-ES_tradnl" w:eastAsia="es-MX"/>
    </w:rPr>
  </w:style>
  <w:style w:type="paragraph" w:styleId="Textodeglobo">
    <w:name w:val="Balloon Text"/>
    <w:basedOn w:val="Normal"/>
    <w:link w:val="TextodegloboCar"/>
    <w:uiPriority w:val="99"/>
    <w:semiHidden/>
    <w:unhideWhenUsed/>
    <w:rsid w:val="00F1281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12817"/>
    <w:rPr>
      <w:rFonts w:ascii="Segoe UI" w:eastAsia="Times New Roman" w:hAnsi="Segoe UI" w:cs="Segoe UI"/>
      <w:sz w:val="18"/>
      <w:szCs w:val="18"/>
      <w:lang w:eastAsia="es-MX"/>
    </w:rPr>
  </w:style>
  <w:style w:type="paragraph" w:styleId="Asuntodelcomentario">
    <w:name w:val="annotation subject"/>
    <w:basedOn w:val="Textocomentario"/>
    <w:next w:val="Textocomentario"/>
    <w:link w:val="AsuntodelcomentarioCar"/>
    <w:uiPriority w:val="99"/>
    <w:semiHidden/>
    <w:unhideWhenUsed/>
    <w:rsid w:val="009F2EA1"/>
    <w:rPr>
      <w:rFonts w:ascii="Times New Roman" w:eastAsia="Times New Roman" w:hAnsi="Times New Roman" w:cs="Times New Roman"/>
      <w:b/>
      <w:bCs/>
      <w:lang w:val="es-MX"/>
    </w:rPr>
  </w:style>
  <w:style w:type="character" w:customStyle="1" w:styleId="AsuntodelcomentarioCar">
    <w:name w:val="Asunto del comentario Car"/>
    <w:basedOn w:val="TextocomentarioCar"/>
    <w:link w:val="Asuntodelcomentario"/>
    <w:uiPriority w:val="99"/>
    <w:semiHidden/>
    <w:rsid w:val="009F2EA1"/>
    <w:rPr>
      <w:rFonts w:ascii="Times New Roman" w:eastAsia="Times New Roman" w:hAnsi="Times New Roman" w:cs="Times New Roman"/>
      <w:b/>
      <w:bCs/>
      <w:sz w:val="20"/>
      <w:szCs w:val="20"/>
      <w:lang w:val="es-ES_tradnl" w:eastAsia="es-MX"/>
    </w:rPr>
  </w:style>
  <w:style w:type="character" w:customStyle="1" w:styleId="Ttulo1Car">
    <w:name w:val="Título 1 Car"/>
    <w:basedOn w:val="Fuentedeprrafopredeter"/>
    <w:uiPriority w:val="9"/>
    <w:rsid w:val="00B54D85"/>
    <w:rPr>
      <w:rFonts w:ascii="Palatino Linotype" w:eastAsiaTheme="majorEastAsia" w:hAnsi="Palatino Linotype" w:cstheme="majorBidi"/>
      <w:b/>
      <w:color w:val="000000" w:themeColor="text1"/>
      <w:sz w:val="24"/>
      <w:szCs w:val="32"/>
    </w:rPr>
  </w:style>
  <w:style w:type="paragraph" w:styleId="Textoindependiente">
    <w:name w:val="Body Text"/>
    <w:basedOn w:val="Normal"/>
    <w:link w:val="TextoindependienteCar"/>
    <w:rsid w:val="00030A97"/>
    <w:pPr>
      <w:jc w:val="both"/>
    </w:pPr>
    <w:rPr>
      <w:rFonts w:ascii="Arial" w:hAnsi="Arial"/>
      <w:szCs w:val="20"/>
      <w:lang w:val="es-ES_tradnl"/>
    </w:rPr>
  </w:style>
  <w:style w:type="character" w:customStyle="1" w:styleId="TextoindependienteCar">
    <w:name w:val="Texto independiente Car"/>
    <w:basedOn w:val="Fuentedeprrafopredeter"/>
    <w:link w:val="Textoindependiente"/>
    <w:rsid w:val="00030A97"/>
    <w:rPr>
      <w:rFonts w:ascii="Arial" w:eastAsia="Times New Roman" w:hAnsi="Arial" w:cs="Times New Roman"/>
      <w:sz w:val="24"/>
      <w:szCs w:val="20"/>
      <w:lang w:val="es-ES_tradnl"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aimex.org.mx/saimex/solicitud/downloadAttach/2481262.page"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saimex.org.mx/saimex/solicitud/downloadAttach/2441284.page"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2433592.page"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hyperlink" Target="https://saimex.org.mx/saimex/solicitud/downloadAttach/2441290.page"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https://saimex.org.mx/saimex/solicitud/downloadAttach/2433593.page" TargetMode="External"/><Relationship Id="rId14" Type="http://schemas.openxmlformats.org/officeDocument/2006/relationships/hyperlink" Target="https://saimex.org.mx/saimex/solicitud/downloadAttach/2479976.pag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48jIwka+MVdVuCxGb9zla8va1Q==">CgMxLjAyCGguZ2pkZ3hzMgloLjFmb2I5dGUyCWguM3pueXNoNzIJaC4yZXQ5MnAwMgloLjNkeTZ2a20yCWguM3JkY3JqbjIOaC5rcnJzZDI1bWp5NzAyDmgudXE3ajNucGlrd3k2OAByITEzRm5sc1hkNDJwV1FHTy1VS0UwTHVLdmphbW5DRktoWA==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4AE2843-F286-4D05-A03C-4B0D4579D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24</Pages>
  <Words>6129</Words>
  <Characters>33713</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39763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INFOEM521</dc:creator>
  <cp:lastModifiedBy>Cuenta Microsoft</cp:lastModifiedBy>
  <cp:revision>8</cp:revision>
  <cp:lastPrinted>2025-07-17T16:33:00Z</cp:lastPrinted>
  <dcterms:created xsi:type="dcterms:W3CDTF">2025-07-03T00:49:00Z</dcterms:created>
  <dcterms:modified xsi:type="dcterms:W3CDTF">2025-08-04T20:29:00Z</dcterms:modified>
</cp:coreProperties>
</file>