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2AD0" w:rsidRDefault="00703F9D">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quince de octubre de dos mil veinticinco. </w:t>
      </w:r>
    </w:p>
    <w:p w:rsidR="000E2AD0" w:rsidRDefault="000E2AD0">
      <w:pPr>
        <w:spacing w:after="0" w:line="360" w:lineRule="auto"/>
        <w:ind w:right="49"/>
        <w:jc w:val="center"/>
        <w:rPr>
          <w:rFonts w:ascii="Palatino Linotype" w:eastAsia="Palatino Linotype" w:hAnsi="Palatino Linotype" w:cs="Palatino Linotype"/>
        </w:rPr>
      </w:pPr>
    </w:p>
    <w:p w:rsidR="000E2AD0" w:rsidRDefault="00703F9D">
      <w:pPr>
        <w:spacing w:after="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rPr>
        <w:t xml:space="preserve">Visto el expediente relativo al recurso de revisión </w:t>
      </w:r>
      <w:r>
        <w:rPr>
          <w:rFonts w:ascii="Palatino Linotype" w:eastAsia="Palatino Linotype" w:hAnsi="Palatino Linotype" w:cs="Palatino Linotype"/>
          <w:b/>
        </w:rPr>
        <w:t>07974/INFOEM/IP/RR/2025</w:t>
      </w:r>
      <w:r>
        <w:rPr>
          <w:rFonts w:ascii="Palatino Linotype" w:eastAsia="Palatino Linotype" w:hAnsi="Palatino Linotype" w:cs="Palatino Linotype"/>
        </w:rPr>
        <w:t xml:space="preserve">, interpuesto por </w:t>
      </w:r>
      <w:r>
        <w:rPr>
          <w:rFonts w:ascii="Palatino Linotype" w:eastAsia="Palatino Linotype" w:hAnsi="Palatino Linotype" w:cs="Palatino Linotype"/>
          <w:b/>
        </w:rPr>
        <w:t>XXXX XXXXXXXX XXXXXX</w:t>
      </w:r>
      <w:bookmarkStart w:id="0" w:name="_GoBack"/>
      <w:bookmarkEnd w:id="0"/>
      <w:r>
        <w:rPr>
          <w:rFonts w:ascii="Palatino Linotype" w:eastAsia="Palatino Linotype" w:hAnsi="Palatino Linotype" w:cs="Palatino Linotype"/>
        </w:rPr>
        <w:t xml:space="preserve">, al cual en lo sucesivo se le denominará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de información identificada con número </w:t>
      </w:r>
      <w:r>
        <w:rPr>
          <w:rFonts w:ascii="Palatino Linotype" w:eastAsia="Palatino Linotype" w:hAnsi="Palatino Linotype" w:cs="Palatino Linotype"/>
        </w:rPr>
        <w:t xml:space="preserve">de folio </w:t>
      </w:r>
      <w:r>
        <w:rPr>
          <w:rFonts w:ascii="Palatino Linotype" w:eastAsia="Palatino Linotype" w:hAnsi="Palatino Linotype" w:cs="Palatino Linotype"/>
          <w:b/>
        </w:rPr>
        <w:t xml:space="preserve">00024/DIFMORELOS/IP/2025 </w:t>
      </w:r>
      <w:r>
        <w:rPr>
          <w:rFonts w:ascii="Palatino Linotype" w:eastAsia="Palatino Linotype" w:hAnsi="Palatino Linotype" w:cs="Palatino Linotype"/>
        </w:rPr>
        <w:t xml:space="preserve">proporcionada por parte del </w:t>
      </w:r>
      <w:r>
        <w:rPr>
          <w:rFonts w:ascii="Palatino Linotype" w:eastAsia="Palatino Linotype" w:hAnsi="Palatino Linotype" w:cs="Palatino Linotype"/>
          <w:b/>
        </w:rPr>
        <w:t>Sistema Municipal para el Desarrollo Integral de la Familia de Morelos</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Sujeto Obligado</w:t>
      </w:r>
      <w:r>
        <w:rPr>
          <w:rFonts w:ascii="Palatino Linotype" w:eastAsia="Palatino Linotype" w:hAnsi="Palatino Linotype" w:cs="Palatino Linotype"/>
        </w:rPr>
        <w:t>; se procede a dictar la presente resolución, con base en los siguientes:</w:t>
      </w:r>
    </w:p>
    <w:p w:rsidR="000E2AD0" w:rsidRDefault="000E2AD0">
      <w:pPr>
        <w:spacing w:after="0" w:line="360" w:lineRule="auto"/>
        <w:ind w:right="49"/>
        <w:jc w:val="both"/>
        <w:rPr>
          <w:rFonts w:ascii="Palatino Linotype" w:eastAsia="Palatino Linotype" w:hAnsi="Palatino Linotype" w:cs="Palatino Linotype"/>
        </w:rPr>
      </w:pPr>
    </w:p>
    <w:p w:rsidR="000E2AD0" w:rsidRDefault="00703F9D">
      <w:pPr>
        <w:spacing w:after="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rPr>
        <w:t>I.</w:t>
      </w:r>
      <w:r>
        <w:rPr>
          <w:rFonts w:ascii="Palatino Linotype" w:eastAsia="Palatino Linotype" w:hAnsi="Palatino Linotype" w:cs="Palatino Linotype"/>
          <w:b/>
        </w:rPr>
        <w:tab/>
        <w:t>A N T E C E</w:t>
      </w:r>
      <w:r>
        <w:rPr>
          <w:rFonts w:ascii="Palatino Linotype" w:eastAsia="Palatino Linotype" w:hAnsi="Palatino Linotype" w:cs="Palatino Linotype"/>
          <w:b/>
        </w:rPr>
        <w:t xml:space="preserve"> D E N T E S</w:t>
      </w:r>
    </w:p>
    <w:p w:rsidR="000E2AD0" w:rsidRDefault="00703F9D">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b/>
        </w:rPr>
        <w:t>Solicitud de acceso a la información.</w:t>
      </w:r>
      <w:r>
        <w:rPr>
          <w:rFonts w:ascii="Palatino Linotype" w:eastAsia="Palatino Linotype" w:hAnsi="Palatino Linotype" w:cs="Palatino Linotype"/>
        </w:rPr>
        <w:t xml:space="preserve"> Con fecha </w:t>
      </w:r>
      <w:r>
        <w:rPr>
          <w:rFonts w:ascii="Palatino Linotype" w:eastAsia="Palatino Linotype" w:hAnsi="Palatino Linotype" w:cs="Palatino Linotype"/>
          <w:b/>
        </w:rPr>
        <w:t>doce de junio de dos mil veinticinco</w:t>
      </w:r>
      <w:r>
        <w:rPr>
          <w:rFonts w:ascii="Palatino Linotype" w:eastAsia="Palatino Linotype" w:hAnsi="Palatino Linotype" w:cs="Palatino Linotype"/>
        </w:rPr>
        <w:t xml:space="preserv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 de acceso a información pública al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xml:space="preserve"> a través del Sistema de Acceso a la Información Mexiquense, en adela</w:t>
      </w:r>
      <w:r>
        <w:rPr>
          <w:rFonts w:ascii="Palatino Linotype" w:eastAsia="Palatino Linotype" w:hAnsi="Palatino Linotype" w:cs="Palatino Linotype"/>
        </w:rPr>
        <w:t xml:space="preserve">nte SAIMEX, en la que requirió lo siguiente: </w:t>
      </w:r>
    </w:p>
    <w:p w:rsidR="000E2AD0" w:rsidRDefault="000E2AD0">
      <w:pPr>
        <w:spacing w:after="0"/>
        <w:ind w:left="851" w:right="843"/>
        <w:jc w:val="both"/>
        <w:rPr>
          <w:rFonts w:ascii="Palatino Linotype" w:eastAsia="Palatino Linotype" w:hAnsi="Palatino Linotype" w:cs="Palatino Linotype"/>
          <w:i/>
        </w:rPr>
      </w:pPr>
      <w:bookmarkStart w:id="1" w:name="_heading=h.30j0zll" w:colFirst="0" w:colLast="0"/>
      <w:bookmarkEnd w:id="1"/>
    </w:p>
    <w:p w:rsidR="000E2AD0" w:rsidRDefault="00703F9D">
      <w:pPr>
        <w:spacing w:after="0"/>
        <w:ind w:left="851" w:right="843"/>
        <w:jc w:val="both"/>
        <w:rPr>
          <w:rFonts w:ascii="Palatino Linotype" w:eastAsia="Palatino Linotype" w:hAnsi="Palatino Linotype" w:cs="Palatino Linotype"/>
          <w:i/>
        </w:rPr>
      </w:pPr>
      <w:r>
        <w:rPr>
          <w:rFonts w:ascii="Palatino Linotype" w:eastAsia="Palatino Linotype" w:hAnsi="Palatino Linotype" w:cs="Palatino Linotype"/>
          <w:i/>
        </w:rPr>
        <w:t>“requiero las bitácoras del consumo de combustible del mes de marzo 2025 de todas las unidades del Sistema DIF Municipal de Morelos, las facturas de combustible y el contrato que se realizó con la gasolinería”</w:t>
      </w:r>
      <w:r>
        <w:rPr>
          <w:rFonts w:ascii="Palatino Linotype" w:eastAsia="Palatino Linotype" w:hAnsi="Palatino Linotype" w:cs="Palatino Linotype"/>
          <w:i/>
        </w:rPr>
        <w:t xml:space="preserve">. </w:t>
      </w:r>
    </w:p>
    <w:p w:rsidR="000E2AD0" w:rsidRDefault="000E2AD0">
      <w:pPr>
        <w:spacing w:after="0" w:line="360" w:lineRule="auto"/>
        <w:ind w:right="49"/>
        <w:jc w:val="both"/>
        <w:rPr>
          <w:rFonts w:ascii="Palatino Linotype" w:eastAsia="Palatino Linotype" w:hAnsi="Palatino Linotype" w:cs="Palatino Linotype"/>
          <w:i/>
        </w:rPr>
      </w:pPr>
    </w:p>
    <w:p w:rsidR="000E2AD0" w:rsidRDefault="00703F9D">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Modalidad elegida para la entrega de la información:</w:t>
      </w:r>
      <w:r>
        <w:rPr>
          <w:rFonts w:ascii="Palatino Linotype" w:eastAsia="Palatino Linotype" w:hAnsi="Palatino Linotype" w:cs="Palatino Linotype"/>
        </w:rPr>
        <w:t xml:space="preserve"> a través del Sistema de Acceso a la Información Mexiquense (SAIMEX). </w:t>
      </w:r>
    </w:p>
    <w:p w:rsidR="000E2AD0" w:rsidRDefault="000E2AD0">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rsidR="000E2AD0" w:rsidRDefault="00703F9D">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Respuesta.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primero de julio de dos mil veinticinco</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proporcionó respuesta a la solicitud de información, al tenor de lo siguiente: </w:t>
      </w:r>
    </w:p>
    <w:p w:rsidR="000E2AD0" w:rsidRDefault="000E2AD0">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rsidR="000E2AD0" w:rsidRDefault="00703F9D">
      <w:pPr>
        <w:pBdr>
          <w:top w:val="nil"/>
          <w:left w:val="nil"/>
          <w:bottom w:val="nil"/>
          <w:right w:val="nil"/>
          <w:between w:val="nil"/>
        </w:pBdr>
        <w:spacing w:after="0"/>
        <w:ind w:left="851" w:right="843"/>
        <w:jc w:val="both"/>
        <w:rPr>
          <w:rFonts w:ascii="Palatino Linotype" w:eastAsia="Palatino Linotype" w:hAnsi="Palatino Linotype" w:cs="Palatino Linotype"/>
          <w:i/>
        </w:rPr>
      </w:pPr>
      <w:r>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w:t>
      </w:r>
      <w:r>
        <w:rPr>
          <w:rFonts w:ascii="Palatino Linotype" w:eastAsia="Palatino Linotype" w:hAnsi="Palatino Linotype" w:cs="Palatino Linotype"/>
          <w:i/>
        </w:rPr>
        <w:t xml:space="preserve"> a la Información Pública del Estado de México y Municipios, le contestamos que:</w:t>
      </w:r>
    </w:p>
    <w:p w:rsidR="000E2AD0" w:rsidRDefault="00703F9D">
      <w:pPr>
        <w:pBdr>
          <w:top w:val="nil"/>
          <w:left w:val="nil"/>
          <w:bottom w:val="nil"/>
          <w:right w:val="nil"/>
          <w:between w:val="nil"/>
        </w:pBdr>
        <w:spacing w:after="0"/>
        <w:ind w:left="851" w:right="843"/>
        <w:jc w:val="both"/>
        <w:rPr>
          <w:rFonts w:ascii="Palatino Linotype" w:eastAsia="Palatino Linotype" w:hAnsi="Palatino Linotype" w:cs="Palatino Linotype"/>
          <w:i/>
        </w:rPr>
      </w:pPr>
      <w:r>
        <w:rPr>
          <w:rFonts w:ascii="Palatino Linotype" w:eastAsia="Palatino Linotype" w:hAnsi="Palatino Linotype" w:cs="Palatino Linotype"/>
          <w:i/>
        </w:rPr>
        <w:t>SE ADJUNTA RESPUESTA A LA SOLICITUD 00024/DIFMORELOS/IP/2025</w:t>
      </w:r>
    </w:p>
    <w:p w:rsidR="000E2AD0" w:rsidRDefault="00703F9D">
      <w:pPr>
        <w:pBdr>
          <w:top w:val="nil"/>
          <w:left w:val="nil"/>
          <w:bottom w:val="nil"/>
          <w:right w:val="nil"/>
          <w:between w:val="nil"/>
        </w:pBdr>
        <w:spacing w:after="0"/>
        <w:ind w:left="851" w:right="843"/>
        <w:jc w:val="both"/>
        <w:rPr>
          <w:rFonts w:ascii="Palatino Linotype" w:eastAsia="Palatino Linotype" w:hAnsi="Palatino Linotype" w:cs="Palatino Linotype"/>
          <w:i/>
        </w:rPr>
      </w:pPr>
      <w:r>
        <w:rPr>
          <w:rFonts w:ascii="Palatino Linotype" w:eastAsia="Palatino Linotype" w:hAnsi="Palatino Linotype" w:cs="Palatino Linotype"/>
          <w:i/>
        </w:rPr>
        <w:t>ATENTAMENTE</w:t>
      </w:r>
    </w:p>
    <w:p w:rsidR="000E2AD0" w:rsidRDefault="00703F9D">
      <w:pPr>
        <w:pBdr>
          <w:top w:val="nil"/>
          <w:left w:val="nil"/>
          <w:bottom w:val="nil"/>
          <w:right w:val="nil"/>
          <w:between w:val="nil"/>
        </w:pBdr>
        <w:spacing w:after="0"/>
        <w:ind w:left="851" w:right="843"/>
        <w:jc w:val="both"/>
        <w:rPr>
          <w:rFonts w:ascii="Palatino Linotype" w:eastAsia="Palatino Linotype" w:hAnsi="Palatino Linotype" w:cs="Palatino Linotype"/>
          <w:i/>
        </w:rPr>
      </w:pPr>
      <w:r>
        <w:rPr>
          <w:rFonts w:ascii="Palatino Linotype" w:eastAsia="Palatino Linotype" w:hAnsi="Palatino Linotype" w:cs="Palatino Linotype"/>
          <w:i/>
        </w:rPr>
        <w:t>C. Moises Pérez Rosales”</w:t>
      </w:r>
    </w:p>
    <w:p w:rsidR="000E2AD0" w:rsidRDefault="000E2AD0">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rsidR="000E2AD0" w:rsidRDefault="00703F9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bookmarkStart w:id="2" w:name="_heading=h.nd52iu62ex8j" w:colFirst="0" w:colLast="0"/>
      <w:bookmarkEnd w:id="2"/>
      <w:r>
        <w:rPr>
          <w:rFonts w:ascii="Palatino Linotype" w:eastAsia="Palatino Linotype" w:hAnsi="Palatino Linotype" w:cs="Palatino Linotype"/>
        </w:rPr>
        <w:t>Asimismo, adjuntó el archivo electrónico que se describe a continuación:</w:t>
      </w:r>
    </w:p>
    <w:p w:rsidR="000E2AD0" w:rsidRDefault="000E2AD0">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rsidR="000E2AD0" w:rsidRDefault="00703F9D">
      <w:pPr>
        <w:numPr>
          <w:ilvl w:val="0"/>
          <w:numId w:val="3"/>
        </w:numPr>
        <w:pBdr>
          <w:top w:val="nil"/>
          <w:left w:val="nil"/>
          <w:bottom w:val="nil"/>
          <w:right w:val="nil"/>
          <w:between w:val="nil"/>
        </w:pBdr>
        <w:spacing w:after="0" w:line="360" w:lineRule="auto"/>
        <w:ind w:right="49"/>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00024.pdf: </w:t>
      </w:r>
      <w:r>
        <w:rPr>
          <w:rFonts w:ascii="Palatino Linotype" w:eastAsia="Palatino Linotype" w:hAnsi="Palatino Linotype" w:cs="Palatino Linotype"/>
        </w:rPr>
        <w:t xml:space="preserve">Contiene los siguientes documentos: </w:t>
      </w:r>
    </w:p>
    <w:p w:rsidR="000E2AD0" w:rsidRDefault="00703F9D">
      <w:pPr>
        <w:numPr>
          <w:ilvl w:val="0"/>
          <w:numId w:val="4"/>
        </w:numPr>
        <w:pBdr>
          <w:top w:val="nil"/>
          <w:left w:val="nil"/>
          <w:bottom w:val="nil"/>
          <w:right w:val="nil"/>
          <w:between w:val="nil"/>
        </w:pBdr>
        <w:spacing w:after="0" w:line="360" w:lineRule="auto"/>
        <w:ind w:left="851"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Oficio número SMDIF/0035/06/2025 de fecha veintiséis de junio de dos mil veinticinco, suscrito por el Tesorero Municipal del DIF Municipal, en el que informó la entrega de la siguiente información: </w:t>
      </w:r>
    </w:p>
    <w:p w:rsidR="000E2AD0" w:rsidRDefault="00703F9D">
      <w:pPr>
        <w:numPr>
          <w:ilvl w:val="0"/>
          <w:numId w:val="5"/>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Bitácoras de combustible (Anexo 1)</w:t>
      </w:r>
    </w:p>
    <w:p w:rsidR="000E2AD0" w:rsidRDefault="00703F9D">
      <w:pPr>
        <w:numPr>
          <w:ilvl w:val="0"/>
          <w:numId w:val="5"/>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Facturas de Combustible (Anexo 2)</w:t>
      </w:r>
    </w:p>
    <w:p w:rsidR="000E2AD0" w:rsidRDefault="00703F9D">
      <w:pPr>
        <w:numPr>
          <w:ilvl w:val="0"/>
          <w:numId w:val="5"/>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Contrato con la gasolinera (Anexo 3)</w:t>
      </w:r>
    </w:p>
    <w:p w:rsidR="000E2AD0" w:rsidRDefault="00703F9D">
      <w:pPr>
        <w:numPr>
          <w:ilvl w:val="0"/>
          <w:numId w:val="4"/>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Anexo 1. Contiene nueve Bitácoras de Consumo de Gasolina / Diésel en versión pública, testando placas, serie, número de inventario, proveedor, nombre </w:t>
      </w:r>
      <w:r>
        <w:rPr>
          <w:rFonts w:ascii="Palatino Linotype" w:eastAsia="Palatino Linotype" w:hAnsi="Palatino Linotype" w:cs="Palatino Linotype"/>
          <w:color w:val="000000"/>
        </w:rPr>
        <w:t xml:space="preserve">del operador, firma y observaciones. </w:t>
      </w:r>
    </w:p>
    <w:p w:rsidR="000E2AD0" w:rsidRDefault="00703F9D">
      <w:pPr>
        <w:numPr>
          <w:ilvl w:val="0"/>
          <w:numId w:val="4"/>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Anexo 2. Contiene factura de pago, en versión pública. </w:t>
      </w:r>
    </w:p>
    <w:p w:rsidR="000E2AD0" w:rsidRDefault="00703F9D">
      <w:pPr>
        <w:numPr>
          <w:ilvl w:val="0"/>
          <w:numId w:val="4"/>
        </w:numPr>
        <w:pBdr>
          <w:top w:val="nil"/>
          <w:left w:val="nil"/>
          <w:bottom w:val="nil"/>
          <w:right w:val="nil"/>
          <w:between w:val="nil"/>
        </w:pBdr>
        <w:spacing w:after="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Anexo 3. Contrato de Suministro de Combustible y Lubricantes que tiene como objetivo el suministro de combustible, con vigencia del primero de enero al treinta y </w:t>
      </w:r>
      <w:r>
        <w:rPr>
          <w:rFonts w:ascii="Palatino Linotype" w:eastAsia="Palatino Linotype" w:hAnsi="Palatino Linotype" w:cs="Palatino Linotype"/>
          <w:color w:val="000000"/>
        </w:rPr>
        <w:t xml:space="preserve">uno de diciembre de dos mil veinticinco. </w:t>
      </w:r>
    </w:p>
    <w:p w:rsidR="000E2AD0" w:rsidRDefault="000E2AD0">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rsidR="000E2AD0" w:rsidRDefault="00703F9D">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b/>
        </w:rPr>
        <w:t xml:space="preserve">Recurso de Revisión.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 xml:space="preserve">primero de julio de dos mil veinticinco, </w:t>
      </w:r>
      <w:r>
        <w:rPr>
          <w:rFonts w:ascii="Palatino Linotype" w:eastAsia="Palatino Linotype" w:hAnsi="Palatino Linotype" w:cs="Palatino Linotype"/>
        </w:rPr>
        <w:t xml:space="preserve">la persona Solicitante interpuso Recurso de Revisión a través del </w:t>
      </w:r>
      <w:r>
        <w:rPr>
          <w:rFonts w:ascii="Palatino Linotype" w:eastAsia="Palatino Linotype" w:hAnsi="Palatino Linotype" w:cs="Palatino Linotype"/>
          <w:b/>
        </w:rPr>
        <w:t>SAIMEX</w:t>
      </w:r>
      <w:r>
        <w:rPr>
          <w:rFonts w:ascii="Palatino Linotype" w:eastAsia="Palatino Linotype" w:hAnsi="Palatino Linotype" w:cs="Palatino Linotype"/>
        </w:rPr>
        <w:t>, a través del cual expresó lo siguiente:</w:t>
      </w:r>
    </w:p>
    <w:p w:rsidR="000E2AD0" w:rsidRDefault="000E2AD0">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b/>
        </w:rPr>
      </w:pPr>
    </w:p>
    <w:p w:rsidR="000E2AD0" w:rsidRDefault="00703F9D">
      <w:pPr>
        <w:pBdr>
          <w:top w:val="nil"/>
          <w:left w:val="nil"/>
          <w:bottom w:val="nil"/>
          <w:right w:val="nil"/>
          <w:between w:val="nil"/>
        </w:pBdr>
        <w:tabs>
          <w:tab w:val="left" w:pos="1276"/>
        </w:tabs>
        <w:spacing w:after="0"/>
        <w:ind w:left="851" w:right="843"/>
        <w:jc w:val="both"/>
        <w:rPr>
          <w:rFonts w:ascii="Palatino Linotype" w:eastAsia="Palatino Linotype" w:hAnsi="Palatino Linotype" w:cs="Palatino Linotype"/>
          <w:b/>
        </w:rPr>
      </w:pPr>
      <w:r>
        <w:rPr>
          <w:rFonts w:ascii="Palatino Linotype" w:eastAsia="Palatino Linotype" w:hAnsi="Palatino Linotype" w:cs="Palatino Linotype"/>
          <w:b/>
        </w:rPr>
        <w:t>Acto impugnado</w:t>
      </w:r>
      <w:r>
        <w:rPr>
          <w:rFonts w:ascii="Palatino Linotype" w:eastAsia="Palatino Linotype" w:hAnsi="Palatino Linotype" w:cs="Palatino Linotype"/>
          <w:b/>
          <w:i/>
        </w:rPr>
        <w:t xml:space="preserve">. </w:t>
      </w:r>
      <w:r>
        <w:rPr>
          <w:rFonts w:ascii="Palatino Linotype" w:eastAsia="Palatino Linotype" w:hAnsi="Palatino Linotype" w:cs="Palatino Linotype"/>
          <w:i/>
        </w:rPr>
        <w:t>“LA CLASIFICACIÓN EXAGERADA DE LA INFORMACIÓN”.</w:t>
      </w:r>
    </w:p>
    <w:p w:rsidR="000E2AD0" w:rsidRDefault="000E2AD0">
      <w:pPr>
        <w:pBdr>
          <w:top w:val="nil"/>
          <w:left w:val="nil"/>
          <w:bottom w:val="nil"/>
          <w:right w:val="nil"/>
          <w:between w:val="nil"/>
        </w:pBdr>
        <w:tabs>
          <w:tab w:val="left" w:pos="1276"/>
        </w:tabs>
        <w:spacing w:after="0"/>
        <w:ind w:left="851" w:right="843"/>
        <w:jc w:val="both"/>
        <w:rPr>
          <w:rFonts w:ascii="Palatino Linotype" w:eastAsia="Palatino Linotype" w:hAnsi="Palatino Linotype" w:cs="Palatino Linotype"/>
          <w:b/>
        </w:rPr>
      </w:pPr>
    </w:p>
    <w:p w:rsidR="000E2AD0" w:rsidRDefault="00703F9D">
      <w:pPr>
        <w:pBdr>
          <w:top w:val="nil"/>
          <w:left w:val="nil"/>
          <w:bottom w:val="nil"/>
          <w:right w:val="nil"/>
          <w:between w:val="nil"/>
        </w:pBdr>
        <w:tabs>
          <w:tab w:val="left" w:pos="1276"/>
        </w:tabs>
        <w:spacing w:after="0"/>
        <w:ind w:left="851" w:right="843"/>
        <w:jc w:val="both"/>
        <w:rPr>
          <w:rFonts w:ascii="Palatino Linotype" w:eastAsia="Palatino Linotype" w:hAnsi="Palatino Linotype" w:cs="Palatino Linotype"/>
          <w:i/>
        </w:rPr>
      </w:pPr>
      <w:r>
        <w:rPr>
          <w:rFonts w:ascii="Palatino Linotype" w:eastAsia="Palatino Linotype" w:hAnsi="Palatino Linotype" w:cs="Palatino Linotype"/>
          <w:b/>
        </w:rPr>
        <w:t xml:space="preserve">Razones o motivos de la inconformidad: </w:t>
      </w:r>
      <w:r>
        <w:rPr>
          <w:rFonts w:ascii="Palatino Linotype" w:eastAsia="Palatino Linotype" w:hAnsi="Palatino Linotype" w:cs="Palatino Linotype"/>
          <w:i/>
        </w:rPr>
        <w:t>“NO SE PRESENTA UN SUSTENTO PARA TODO LA INFORMACIÓN SUPRIMIDA ASI COMO TAMBIÉN ES NOTABLE QUE SE SUPRIME INFORMACIÓN QUE SE CONSIDERA DE CARACTER PÚBLICO”.</w:t>
      </w:r>
    </w:p>
    <w:p w:rsidR="000E2AD0" w:rsidRDefault="000E2AD0">
      <w:pPr>
        <w:pBdr>
          <w:top w:val="nil"/>
          <w:left w:val="nil"/>
          <w:bottom w:val="nil"/>
          <w:right w:val="nil"/>
          <w:between w:val="nil"/>
        </w:pBdr>
        <w:tabs>
          <w:tab w:val="left" w:pos="1276"/>
        </w:tabs>
        <w:spacing w:after="0" w:line="360" w:lineRule="auto"/>
        <w:ind w:right="701"/>
        <w:jc w:val="both"/>
        <w:rPr>
          <w:rFonts w:ascii="Palatino Linotype" w:eastAsia="Palatino Linotype" w:hAnsi="Palatino Linotype" w:cs="Palatino Linotype"/>
        </w:rPr>
      </w:pPr>
    </w:p>
    <w:p w:rsidR="000E2AD0" w:rsidRDefault="00703F9D">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b/>
        </w:rPr>
        <w:t>Turno.</w:t>
      </w:r>
      <w:r>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el recurso de revisión número </w:t>
      </w:r>
      <w:r>
        <w:rPr>
          <w:rFonts w:ascii="Palatino Linotype" w:eastAsia="Palatino Linotype" w:hAnsi="Palatino Linotype" w:cs="Palatino Linotype"/>
          <w:b/>
        </w:rPr>
        <w:t>07974/INFOEM/IP/RR/2025</w:t>
      </w:r>
      <w:r>
        <w:rPr>
          <w:rFonts w:ascii="Palatino Linotype" w:eastAsia="Palatino Linotype" w:hAnsi="Palatino Linotype" w:cs="Palatino Linotype"/>
        </w:rPr>
        <w:t>, se turnó por el sistema electrónico del Instituto de Tran</w:t>
      </w:r>
      <w:r>
        <w:rPr>
          <w:rFonts w:ascii="Palatino Linotype" w:eastAsia="Palatino Linotype" w:hAnsi="Palatino Linotype" w:cs="Palatino Linotype"/>
        </w:rPr>
        <w:t>sparencia, Acceso a la Información Pública y Protección de Datos Personales del Estado de México y Municipios, a la Comisionada Guadalupe Ramírez Peña para su análisis, estudio, elaboración del proyecto y presentación ante el Pleno de este Instituto.</w:t>
      </w:r>
    </w:p>
    <w:p w:rsidR="000E2AD0" w:rsidRDefault="000E2AD0">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rsidR="000E2AD0" w:rsidRDefault="00703F9D">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b/>
        </w:rPr>
        <w:t>Admi</w:t>
      </w:r>
      <w:r>
        <w:rPr>
          <w:rFonts w:ascii="Palatino Linotype" w:eastAsia="Palatino Linotype" w:hAnsi="Palatino Linotype" w:cs="Palatino Linotype"/>
          <w:b/>
        </w:rPr>
        <w:t>sión del recurso de revisión</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cuatro de julio de dos mil veinticinco</w:t>
      </w:r>
      <w:r>
        <w:rPr>
          <w:rFonts w:ascii="Palatino Linotype" w:eastAsia="Palatino Linotype" w:hAnsi="Palatino Linotype" w:cs="Palatino Linotype"/>
        </w:rPr>
        <w:t>, la Comisionada Ponente admitió a trámite el recurso de revisión que ahora se resuelve, dando un plazo máximo de siete días hábiles para que las partes manifestaran lo que a su d</w:t>
      </w:r>
      <w:r>
        <w:rPr>
          <w:rFonts w:ascii="Palatino Linotype" w:eastAsia="Palatino Linotype" w:hAnsi="Palatino Linotype" w:cs="Palatino Linotype"/>
        </w:rPr>
        <w:t xml:space="preserve">erecho resultara conveniente, ofrecieran pruebas, formularan alegatos y el Sujeto Obligado presentara su informe justificado. </w:t>
      </w:r>
    </w:p>
    <w:p w:rsidR="000E2AD0" w:rsidRDefault="000E2AD0">
      <w:pPr>
        <w:pBdr>
          <w:top w:val="nil"/>
          <w:left w:val="nil"/>
          <w:bottom w:val="nil"/>
          <w:right w:val="nil"/>
          <w:between w:val="nil"/>
        </w:pBdr>
        <w:spacing w:after="0"/>
        <w:ind w:left="720"/>
        <w:rPr>
          <w:rFonts w:ascii="Palatino Linotype" w:eastAsia="Palatino Linotype" w:hAnsi="Palatino Linotype" w:cs="Palatino Linotype"/>
        </w:rPr>
      </w:pPr>
    </w:p>
    <w:p w:rsidR="000E2AD0" w:rsidRDefault="00703F9D">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i/>
        </w:rPr>
      </w:pPr>
      <w:r>
        <w:rPr>
          <w:rFonts w:ascii="Palatino Linotype" w:eastAsia="Palatino Linotype" w:hAnsi="Palatino Linotype" w:cs="Palatino Linotype"/>
          <w:b/>
        </w:rPr>
        <w:t xml:space="preserve">Manifestaciones. </w:t>
      </w:r>
      <w:r>
        <w:rPr>
          <w:rFonts w:ascii="Palatino Linotype" w:eastAsia="Palatino Linotype" w:hAnsi="Palatino Linotype" w:cs="Palatino Linotype"/>
        </w:rPr>
        <w:t xml:space="preserve">De las constancias que integran el expediente en que se actúa se advierte que durante el periodo de manifestaciones,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fue omiso en rendir su informe justificado y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fue omisa en hacer valer manifestaciones o rendir alega</w:t>
      </w:r>
      <w:r>
        <w:rPr>
          <w:rFonts w:ascii="Palatino Linotype" w:eastAsia="Palatino Linotype" w:hAnsi="Palatino Linotype" w:cs="Palatino Linotype"/>
        </w:rPr>
        <w:t>tos que conforme a derecho resultaran procedentes, como se muestra de la siguiente digitalización:</w:t>
      </w:r>
    </w:p>
    <w:p w:rsidR="000E2AD0" w:rsidRDefault="00703F9D">
      <w:pPr>
        <w:pBdr>
          <w:top w:val="nil"/>
          <w:left w:val="nil"/>
          <w:bottom w:val="nil"/>
          <w:right w:val="nil"/>
          <w:between w:val="nil"/>
        </w:pBdr>
        <w:spacing w:after="0" w:line="360" w:lineRule="auto"/>
        <w:ind w:right="49"/>
        <w:jc w:val="both"/>
        <w:rPr>
          <w:rFonts w:ascii="Palatino Linotype" w:eastAsia="Palatino Linotype" w:hAnsi="Palatino Linotype" w:cs="Palatino Linotype"/>
          <w:i/>
        </w:rPr>
      </w:pPr>
      <w:r>
        <w:rPr>
          <w:rFonts w:ascii="Palatino Linotype" w:eastAsia="Palatino Linotype" w:hAnsi="Palatino Linotype" w:cs="Palatino Linotype"/>
          <w:i/>
          <w:noProof/>
        </w:rPr>
        <w:drawing>
          <wp:inline distT="0" distB="0" distL="0" distR="0">
            <wp:extent cx="5756275" cy="1273810"/>
            <wp:effectExtent l="0" t="0" r="0" b="0"/>
            <wp:docPr id="8983244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756275" cy="1273810"/>
                    </a:xfrm>
                    <a:prstGeom prst="rect">
                      <a:avLst/>
                    </a:prstGeom>
                    <a:ln/>
                  </pic:spPr>
                </pic:pic>
              </a:graphicData>
            </a:graphic>
          </wp:inline>
        </w:drawing>
      </w:r>
    </w:p>
    <w:p w:rsidR="000E2AD0" w:rsidRDefault="000E2AD0">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rsidR="000E2AD0" w:rsidRDefault="00703F9D">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b/>
        </w:rPr>
        <w:t>Ampliación del plazo para emitir resolución.</w:t>
      </w:r>
      <w:r>
        <w:rPr>
          <w:rFonts w:ascii="Palatino Linotype" w:eastAsia="Palatino Linotype" w:hAnsi="Palatino Linotype" w:cs="Palatino Linotype"/>
        </w:rPr>
        <w:t xml:space="preserve"> El </w:t>
      </w:r>
      <w:r>
        <w:rPr>
          <w:rFonts w:ascii="Palatino Linotype" w:eastAsia="Palatino Linotype" w:hAnsi="Palatino Linotype" w:cs="Palatino Linotype"/>
          <w:b/>
        </w:rPr>
        <w:t>siete de octubre de dos mil veinticinco</w:t>
      </w:r>
      <w:r>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rsidR="000E2AD0" w:rsidRDefault="000E2AD0">
      <w:pPr>
        <w:spacing w:after="0" w:line="360" w:lineRule="auto"/>
        <w:jc w:val="both"/>
        <w:rPr>
          <w:rFonts w:ascii="Palatino Linotype" w:eastAsia="Palatino Linotype" w:hAnsi="Palatino Linotype" w:cs="Palatino Linotype"/>
        </w:rPr>
      </w:pPr>
    </w:p>
    <w:p w:rsidR="000E2AD0" w:rsidRDefault="00703F9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Este organismo garante no pasa por alto justificar, </w:t>
      </w:r>
      <w:r>
        <w:rPr>
          <w:rFonts w:ascii="Palatino Linotype" w:eastAsia="Palatino Linotype" w:hAnsi="Palatino Linotype" w:cs="Palatino Linotype"/>
        </w:rPr>
        <w:t>que el plazo para emitir la resolución en el presente asunto encuentra justificación en el alto número de recursos de revisión recibidos circunstancia atípica que ha rebasado las capacidades técnicas y humanas del personal encargado de la proyección de las</w:t>
      </w:r>
      <w:r>
        <w:rPr>
          <w:rFonts w:ascii="Palatino Linotype" w:eastAsia="Palatino Linotype" w:hAnsi="Palatino Linotype" w:cs="Palatino Linotype"/>
        </w:rPr>
        <w:t xml:space="preserve"> resoluciones a dichos medios de impugnación.</w:t>
      </w:r>
    </w:p>
    <w:p w:rsidR="000E2AD0" w:rsidRDefault="000E2AD0">
      <w:pPr>
        <w:spacing w:after="0" w:line="360" w:lineRule="auto"/>
        <w:jc w:val="both"/>
        <w:rPr>
          <w:rFonts w:ascii="Palatino Linotype" w:eastAsia="Palatino Linotype" w:hAnsi="Palatino Linotype" w:cs="Palatino Linotype"/>
        </w:rPr>
      </w:pPr>
    </w:p>
    <w:p w:rsidR="000E2AD0" w:rsidRDefault="00703F9D">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w:t>
      </w:r>
      <w:r>
        <w:rPr>
          <w:rFonts w:ascii="Palatino Linotype" w:eastAsia="Palatino Linotype" w:hAnsi="Palatino Linotype" w:cs="Palatino Linotype"/>
        </w:rPr>
        <w:t>ad de asuntos conforme a los parámetros establecidos por diversos órganos jurisdiccionales federales, aplicables también en procedimientos análogos, como el que nos ocupa.</w:t>
      </w:r>
    </w:p>
    <w:p w:rsidR="000E2AD0" w:rsidRDefault="000E2AD0">
      <w:pPr>
        <w:spacing w:after="0" w:line="360" w:lineRule="auto"/>
        <w:ind w:right="49"/>
        <w:jc w:val="both"/>
        <w:rPr>
          <w:rFonts w:ascii="Palatino Linotype" w:eastAsia="Palatino Linotype" w:hAnsi="Palatino Linotype" w:cs="Palatino Linotype"/>
        </w:rPr>
      </w:pPr>
    </w:p>
    <w:p w:rsidR="000E2AD0" w:rsidRDefault="00703F9D">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w:t>
      </w:r>
      <w:r>
        <w:rPr>
          <w:rFonts w:ascii="Palatino Linotype" w:eastAsia="Palatino Linotype" w:hAnsi="Palatino Linotype" w:cs="Palatino Linotype"/>
        </w:rPr>
        <w:t>cana sobre Derechos Humanos, los recursos deben ser sencillos y resolverse en el menor tiempo posible, tomando en consideración la dilación total del procedimiento; esto es, en un plazo razonable.</w:t>
      </w:r>
    </w:p>
    <w:p w:rsidR="000E2AD0" w:rsidRDefault="000E2AD0">
      <w:pPr>
        <w:spacing w:after="0" w:line="360" w:lineRule="auto"/>
        <w:ind w:right="49"/>
        <w:jc w:val="both"/>
        <w:rPr>
          <w:rFonts w:ascii="Palatino Linotype" w:eastAsia="Palatino Linotype" w:hAnsi="Palatino Linotype" w:cs="Palatino Linotype"/>
        </w:rPr>
      </w:pPr>
    </w:p>
    <w:p w:rsidR="000E2AD0" w:rsidRDefault="00703F9D">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ese sentido, el legislador fijó los términos procesales</w:t>
      </w:r>
      <w:r>
        <w:rPr>
          <w:rFonts w:ascii="Palatino Linotype" w:eastAsia="Palatino Linotype" w:hAnsi="Palatino Linotype" w:cs="Palatino Linotype"/>
        </w:rPr>
        <w:t xml:space="preserve"> en las leyes, de manera general, sin que pudiera prever la variada gama de casos que son resueltos por los órganos jurisdiccionales o cuasi jurisdiccionales, tanto por la complejidad de los hechos, como por el número de casos que conocen.</w:t>
      </w:r>
    </w:p>
    <w:p w:rsidR="000E2AD0" w:rsidRDefault="000E2AD0">
      <w:pPr>
        <w:spacing w:after="0" w:line="360" w:lineRule="auto"/>
        <w:ind w:right="49"/>
        <w:jc w:val="both"/>
        <w:rPr>
          <w:rFonts w:ascii="Palatino Linotype" w:eastAsia="Palatino Linotype" w:hAnsi="Palatino Linotype" w:cs="Palatino Linotype"/>
        </w:rPr>
      </w:pPr>
    </w:p>
    <w:p w:rsidR="000E2AD0" w:rsidRDefault="00703F9D">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Por ello, excep</w:t>
      </w:r>
      <w:r>
        <w:rPr>
          <w:rFonts w:ascii="Palatino Linotype" w:eastAsia="Palatino Linotype" w:hAnsi="Palatino Linotype" w:cs="Palatino Linotype"/>
        </w:rPr>
        <w:t xml:space="preserve">cionalmente, si un asunto es resuelto con posterioridad a los plazos señalados por la norma debe analizarse la razonabilidad del tiempo necesario para su resolución, atentos a los siguientes criterios:  </w:t>
      </w:r>
    </w:p>
    <w:p w:rsidR="000E2AD0" w:rsidRDefault="000E2AD0">
      <w:pPr>
        <w:tabs>
          <w:tab w:val="left" w:pos="709"/>
        </w:tabs>
        <w:spacing w:after="0" w:line="360" w:lineRule="auto"/>
        <w:ind w:left="567" w:right="560"/>
        <w:jc w:val="both"/>
        <w:rPr>
          <w:rFonts w:ascii="Palatino Linotype" w:eastAsia="Palatino Linotype" w:hAnsi="Palatino Linotype" w:cs="Palatino Linotype"/>
          <w:b/>
        </w:rPr>
      </w:pPr>
    </w:p>
    <w:p w:rsidR="000E2AD0" w:rsidRDefault="00703F9D">
      <w:pPr>
        <w:tabs>
          <w:tab w:val="left" w:pos="709"/>
        </w:tabs>
        <w:spacing w:after="0" w:line="360" w:lineRule="auto"/>
        <w:ind w:left="567" w:right="560"/>
        <w:jc w:val="both"/>
        <w:rPr>
          <w:rFonts w:ascii="Palatino Linotype" w:eastAsia="Palatino Linotype" w:hAnsi="Palatino Linotype" w:cs="Palatino Linotype"/>
        </w:rPr>
      </w:pPr>
      <w:r>
        <w:rPr>
          <w:rFonts w:ascii="Palatino Linotype" w:eastAsia="Palatino Linotype" w:hAnsi="Palatino Linotype" w:cs="Palatino Linotype"/>
          <w:b/>
        </w:rPr>
        <w:t>a)    Complejidad del asunto:</w:t>
      </w:r>
      <w:r>
        <w:rPr>
          <w:rFonts w:ascii="Palatino Linotype" w:eastAsia="Palatino Linotype" w:hAnsi="Palatino Linotype" w:cs="Palatino Linotype"/>
        </w:rPr>
        <w:t xml:space="preserve"> La complejidad de la </w:t>
      </w:r>
      <w:r>
        <w:rPr>
          <w:rFonts w:ascii="Palatino Linotype" w:eastAsia="Palatino Linotype" w:hAnsi="Palatino Linotype" w:cs="Palatino Linotype"/>
        </w:rPr>
        <w:t>prueba, la pluralidad de sujetos procesales, el tiempo transcurrido, las características y contexto del recurso.</w:t>
      </w:r>
    </w:p>
    <w:p w:rsidR="000E2AD0" w:rsidRDefault="00703F9D">
      <w:pPr>
        <w:tabs>
          <w:tab w:val="left" w:pos="709"/>
        </w:tabs>
        <w:spacing w:after="0" w:line="360" w:lineRule="auto"/>
        <w:ind w:left="567" w:right="560"/>
        <w:jc w:val="both"/>
        <w:rPr>
          <w:rFonts w:ascii="Palatino Linotype" w:eastAsia="Palatino Linotype" w:hAnsi="Palatino Linotype" w:cs="Palatino Linotype"/>
        </w:rPr>
      </w:pPr>
      <w:r>
        <w:rPr>
          <w:rFonts w:ascii="Palatino Linotype" w:eastAsia="Palatino Linotype" w:hAnsi="Palatino Linotype" w:cs="Palatino Linotype"/>
          <w:b/>
        </w:rPr>
        <w:t>b)   Actividad Procesal del interesado</w:t>
      </w:r>
      <w:r>
        <w:rPr>
          <w:rFonts w:ascii="Palatino Linotype" w:eastAsia="Palatino Linotype" w:hAnsi="Palatino Linotype" w:cs="Palatino Linotype"/>
        </w:rPr>
        <w:t>: Acciones u omisiones del interesado.</w:t>
      </w:r>
    </w:p>
    <w:p w:rsidR="000E2AD0" w:rsidRDefault="00703F9D">
      <w:pPr>
        <w:tabs>
          <w:tab w:val="left" w:pos="851"/>
        </w:tabs>
        <w:spacing w:after="0" w:line="360" w:lineRule="auto"/>
        <w:ind w:left="567" w:right="560"/>
        <w:jc w:val="both"/>
        <w:rPr>
          <w:rFonts w:ascii="Palatino Linotype" w:eastAsia="Palatino Linotype" w:hAnsi="Palatino Linotype" w:cs="Palatino Linotype"/>
        </w:rPr>
      </w:pPr>
      <w:r>
        <w:rPr>
          <w:rFonts w:ascii="Palatino Linotype" w:eastAsia="Palatino Linotype" w:hAnsi="Palatino Linotype" w:cs="Palatino Linotype"/>
          <w:b/>
        </w:rPr>
        <w:t>c)  Conducta de la Autoridad:</w:t>
      </w:r>
      <w:r>
        <w:rPr>
          <w:rFonts w:ascii="Palatino Linotype" w:eastAsia="Palatino Linotype" w:hAnsi="Palatino Linotype" w:cs="Palatino Linotype"/>
        </w:rPr>
        <w:t xml:space="preserve"> Las Acciones u omisiones realizadas </w:t>
      </w:r>
      <w:r>
        <w:rPr>
          <w:rFonts w:ascii="Palatino Linotype" w:eastAsia="Palatino Linotype" w:hAnsi="Palatino Linotype" w:cs="Palatino Linotype"/>
        </w:rPr>
        <w:t>en el procedimiento. Así como si la autoridad actuó con la debida diligencia.</w:t>
      </w:r>
    </w:p>
    <w:p w:rsidR="000E2AD0" w:rsidRDefault="00703F9D">
      <w:pPr>
        <w:tabs>
          <w:tab w:val="left" w:pos="851"/>
        </w:tabs>
        <w:spacing w:after="0" w:line="360" w:lineRule="auto"/>
        <w:ind w:left="567" w:right="560"/>
        <w:jc w:val="both"/>
        <w:rPr>
          <w:rFonts w:ascii="Palatino Linotype" w:eastAsia="Palatino Linotype" w:hAnsi="Palatino Linotype" w:cs="Palatino Linotype"/>
        </w:rPr>
      </w:pPr>
      <w:r>
        <w:rPr>
          <w:rFonts w:ascii="Palatino Linotype" w:eastAsia="Palatino Linotype" w:hAnsi="Palatino Linotype" w:cs="Palatino Linotype"/>
          <w:b/>
        </w:rPr>
        <w:t>d) La afectación generada en la situación jurídica de la persona involucrada en el proceso:</w:t>
      </w:r>
      <w:r>
        <w:rPr>
          <w:rFonts w:ascii="Palatino Linotype" w:eastAsia="Palatino Linotype" w:hAnsi="Palatino Linotype" w:cs="Palatino Linotype"/>
        </w:rPr>
        <w:t xml:space="preserve"> Violación a sus derechos humanos.</w:t>
      </w:r>
    </w:p>
    <w:p w:rsidR="000E2AD0" w:rsidRDefault="000E2AD0">
      <w:pPr>
        <w:tabs>
          <w:tab w:val="left" w:pos="851"/>
        </w:tabs>
        <w:spacing w:after="0" w:line="360" w:lineRule="auto"/>
        <w:ind w:left="567" w:right="560"/>
        <w:jc w:val="both"/>
        <w:rPr>
          <w:rFonts w:ascii="Palatino Linotype" w:eastAsia="Palatino Linotype" w:hAnsi="Palatino Linotype" w:cs="Palatino Linotype"/>
        </w:rPr>
      </w:pPr>
    </w:p>
    <w:p w:rsidR="000E2AD0" w:rsidRDefault="00703F9D">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w:t>
      </w:r>
      <w:r>
        <w:rPr>
          <w:rFonts w:ascii="Palatino Linotype" w:eastAsia="Palatino Linotype" w:hAnsi="Palatino Linotype" w:cs="Palatino Linotype"/>
        </w:rPr>
        <w:t>al, por alguna o todas las características mencionadas o bien, cuando el ingreso de asuntos al órgano jurisdiccional o cuasi jurisdiccional respectivo supere notoriamente al que podría considerarse normal, debe concluirse que es una excluyente de responsab</w:t>
      </w:r>
      <w:r>
        <w:rPr>
          <w:rFonts w:ascii="Palatino Linotype" w:eastAsia="Palatino Linotype" w:hAnsi="Palatino Linotype" w:cs="Palatino Linotype"/>
        </w:rPr>
        <w:t>ilidad en relación con la actuación del funcionario, como ha acontecido en el caso que nos ocupa.</w:t>
      </w:r>
    </w:p>
    <w:p w:rsidR="000E2AD0" w:rsidRDefault="000E2AD0">
      <w:pPr>
        <w:spacing w:after="0" w:line="360" w:lineRule="auto"/>
        <w:ind w:right="49"/>
        <w:jc w:val="both"/>
        <w:rPr>
          <w:rFonts w:ascii="Palatino Linotype" w:eastAsia="Palatino Linotype" w:hAnsi="Palatino Linotype" w:cs="Palatino Linotype"/>
        </w:rPr>
      </w:pPr>
    </w:p>
    <w:p w:rsidR="000E2AD0" w:rsidRDefault="00703F9D">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Argumento que encuentra sustento en la jurisprudencia P./J. 32/92 emitida por el Pleno de la Suprema Corte de Justicia de la Nación de rubro “</w:t>
      </w:r>
      <w:r>
        <w:rPr>
          <w:rFonts w:ascii="Palatino Linotype" w:eastAsia="Palatino Linotype" w:hAnsi="Palatino Linotype" w:cs="Palatino Linotype"/>
          <w:b/>
        </w:rPr>
        <w:t>TÉRMINOS PROCES</w:t>
      </w:r>
      <w:r>
        <w:rPr>
          <w:rFonts w:ascii="Palatino Linotype" w:eastAsia="Palatino Linotype" w:hAnsi="Palatino Linotype" w:cs="Palatino Linotype"/>
          <w:b/>
        </w:rPr>
        <w:t>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w:t>
      </w:r>
      <w:r>
        <w:rPr>
          <w:rFonts w:ascii="Palatino Linotype" w:eastAsia="Palatino Linotype" w:hAnsi="Palatino Linotype" w:cs="Palatino Linotype"/>
        </w:rPr>
        <w:t>n el registro digital 205635.</w:t>
      </w:r>
    </w:p>
    <w:p w:rsidR="000E2AD0" w:rsidRDefault="000E2AD0">
      <w:pPr>
        <w:spacing w:after="0" w:line="360" w:lineRule="auto"/>
        <w:ind w:right="49"/>
        <w:jc w:val="both"/>
        <w:rPr>
          <w:rFonts w:ascii="Palatino Linotype" w:eastAsia="Palatino Linotype" w:hAnsi="Palatino Linotype" w:cs="Palatino Linotype"/>
        </w:rPr>
      </w:pPr>
    </w:p>
    <w:p w:rsidR="000E2AD0" w:rsidRDefault="00703F9D">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w:t>
      </w:r>
      <w:r>
        <w:rPr>
          <w:rFonts w:ascii="Palatino Linotype" w:eastAsia="Palatino Linotype" w:hAnsi="Palatino Linotype" w:cs="Palatino Linotype"/>
        </w:rPr>
        <w:t>os con que cuenta este Instituto para atender la enorme demanda de usuarios que acuden para que se les garantice su Derecho de acceso a la información Pública y Protección de Datos Personales, aunado a la complejidad de los hechos a los que se refieren, as</w:t>
      </w:r>
      <w:r>
        <w:rPr>
          <w:rFonts w:ascii="Palatino Linotype" w:eastAsia="Palatino Linotype" w:hAnsi="Palatino Linotype" w:cs="Palatino Linotype"/>
        </w:rPr>
        <w:t>í como al volumen del expediente, la extensión de los escritos y pruebas aportadas y desahogadas por las partes; lo que impide la tramitación de los recursos dentro de los términos legales previamente establecidos por la Ley, por tratarse de causas de fuer</w:t>
      </w:r>
      <w:r>
        <w:rPr>
          <w:rFonts w:ascii="Palatino Linotype" w:eastAsia="Palatino Linotype" w:hAnsi="Palatino Linotype" w:cs="Palatino Linotype"/>
        </w:rPr>
        <w:t>za mayor.</w:t>
      </w:r>
    </w:p>
    <w:p w:rsidR="000E2AD0" w:rsidRDefault="000E2AD0">
      <w:pPr>
        <w:spacing w:after="0" w:line="360" w:lineRule="auto"/>
        <w:ind w:right="49"/>
        <w:jc w:val="both"/>
        <w:rPr>
          <w:rFonts w:ascii="Palatino Linotype" w:eastAsia="Palatino Linotype" w:hAnsi="Palatino Linotype" w:cs="Palatino Linotype"/>
        </w:rPr>
      </w:pPr>
    </w:p>
    <w:p w:rsidR="000E2AD0" w:rsidRDefault="00703F9D">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0E2AD0" w:rsidRDefault="000E2AD0">
      <w:pPr>
        <w:spacing w:after="0"/>
        <w:ind w:left="851" w:right="616"/>
        <w:jc w:val="both"/>
        <w:rPr>
          <w:rFonts w:ascii="Palatino Linotype" w:eastAsia="Palatino Linotype" w:hAnsi="Palatino Linotype" w:cs="Palatino Linotype"/>
          <w:b/>
          <w:i/>
        </w:rPr>
      </w:pPr>
    </w:p>
    <w:p w:rsidR="000E2AD0" w:rsidRDefault="00703F9D">
      <w:pPr>
        <w:spacing w:after="0"/>
        <w:ind w:left="851" w:right="616"/>
        <w:jc w:val="both"/>
        <w:rPr>
          <w:rFonts w:ascii="Palatino Linotype" w:eastAsia="Palatino Linotype" w:hAnsi="Palatino Linotype" w:cs="Palatino Linotype"/>
          <w:i/>
        </w:rPr>
      </w:pPr>
      <w:r>
        <w:rPr>
          <w:rFonts w:ascii="Palatino Linotype" w:eastAsia="Palatino Linotype" w:hAnsi="Palatino Linotype" w:cs="Palatino Linotype"/>
          <w:b/>
          <w:i/>
        </w:rPr>
        <w:t>“PLAZO RAZONABLE PARA RESOLVER. DIMENSIÓN Y EFECTOS DE ESTE CONCEPTO CUANDO SE ADUCE EXCESIVA CARGA DE TRABAJO.”</w:t>
      </w:r>
      <w:r>
        <w:rPr>
          <w:rFonts w:ascii="Palatino Linotype" w:eastAsia="Palatino Linotype" w:hAnsi="Palatino Linotype" w:cs="Palatino Linotype"/>
          <w:i/>
        </w:rPr>
        <w:t xml:space="preserve"> consultable en el Seminario Judicial de la Federación y su gaceta, con el registro digital 2002351.</w:t>
      </w:r>
    </w:p>
    <w:p w:rsidR="000E2AD0" w:rsidRDefault="00703F9D">
      <w:pPr>
        <w:spacing w:after="0"/>
        <w:ind w:left="851" w:right="616"/>
        <w:jc w:val="both"/>
        <w:rPr>
          <w:rFonts w:ascii="Palatino Linotype" w:eastAsia="Palatino Linotype" w:hAnsi="Palatino Linotype" w:cs="Palatino Linotype"/>
        </w:rPr>
      </w:pPr>
      <w:r>
        <w:rPr>
          <w:rFonts w:ascii="Palatino Linotype" w:eastAsia="Palatino Linotype" w:hAnsi="Palatino Linotype" w:cs="Palatino Linotype"/>
          <w:b/>
          <w:i/>
        </w:rPr>
        <w:t xml:space="preserve">“PLAZO RAZONABLE PARA RESOLVER. CONCEPTO Y </w:t>
      </w:r>
      <w:r>
        <w:rPr>
          <w:rFonts w:ascii="Palatino Linotype" w:eastAsia="Palatino Linotype" w:hAnsi="Palatino Linotype" w:cs="Palatino Linotype"/>
          <w:b/>
          <w:i/>
        </w:rPr>
        <w:t>ELEMENTOS QUE LO INTEGRAN A LA LUZ DEL DERECHO INTERNACIONAL DE LOS DERECHOS HUMANOS.”,</w:t>
      </w:r>
      <w:r>
        <w:rPr>
          <w:rFonts w:ascii="Palatino Linotype" w:eastAsia="Palatino Linotype" w:hAnsi="Palatino Linotype" w:cs="Palatino Linotype"/>
          <w:i/>
        </w:rPr>
        <w:t xml:space="preserve"> visible en el Seminario Judicial de la Federación y su gaceta, con el registro digital 2002350</w:t>
      </w:r>
      <w:r>
        <w:rPr>
          <w:rFonts w:ascii="Palatino Linotype" w:eastAsia="Palatino Linotype" w:hAnsi="Palatino Linotype" w:cs="Palatino Linotype"/>
        </w:rPr>
        <w:t>.</w:t>
      </w:r>
    </w:p>
    <w:p w:rsidR="000E2AD0" w:rsidRDefault="000E2AD0">
      <w:pPr>
        <w:spacing w:after="0"/>
        <w:ind w:left="851" w:right="616"/>
        <w:jc w:val="both"/>
        <w:rPr>
          <w:rFonts w:ascii="Palatino Linotype" w:eastAsia="Palatino Linotype" w:hAnsi="Palatino Linotype" w:cs="Palatino Linotype"/>
        </w:rPr>
      </w:pPr>
    </w:p>
    <w:p w:rsidR="000E2AD0" w:rsidRDefault="00703F9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w:t>
      </w:r>
      <w:r>
        <w:rPr>
          <w:rFonts w:ascii="Palatino Linotype" w:eastAsia="Palatino Linotype" w:hAnsi="Palatino Linotype" w:cs="Palatino Linotype"/>
        </w:rPr>
        <w:t>chos humanos confiados señala que este exceso del plazo legal para resolver el presente asunto resulta de carácter excepcional.</w:t>
      </w:r>
    </w:p>
    <w:p w:rsidR="000E2AD0" w:rsidRDefault="000E2AD0">
      <w:pPr>
        <w:spacing w:after="0" w:line="360" w:lineRule="auto"/>
        <w:jc w:val="both"/>
        <w:rPr>
          <w:rFonts w:ascii="Palatino Linotype" w:eastAsia="Palatino Linotype" w:hAnsi="Palatino Linotype" w:cs="Palatino Linotype"/>
        </w:rPr>
      </w:pPr>
    </w:p>
    <w:p w:rsidR="000E2AD0" w:rsidRDefault="00703F9D">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Pr>
          <w:rFonts w:ascii="Palatino Linotype" w:eastAsia="Palatino Linotype" w:hAnsi="Palatino Linotype" w:cs="Palatino Linotype"/>
          <w:b/>
        </w:rPr>
        <w:t>Cierre de instrucción</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siete de octubre de dos mil veinticinco</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0E2AD0" w:rsidRDefault="000E2AD0">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rsidR="000E2AD0" w:rsidRDefault="00703F9D">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Debido a que fue debidamente sustanciado el expedien</w:t>
      </w:r>
      <w:r>
        <w:rPr>
          <w:rFonts w:ascii="Palatino Linotype" w:eastAsia="Palatino Linotype" w:hAnsi="Palatino Linotype" w:cs="Palatino Linotype"/>
        </w:rPr>
        <w:t xml:space="preserve">te electrónico y no existe diligencia pendiente de desahogo, se emite la Resolución que conforme a Derecho proceda, de acuerdo con los siguientes: </w:t>
      </w:r>
    </w:p>
    <w:p w:rsidR="000E2AD0" w:rsidRDefault="000E2AD0">
      <w:pPr>
        <w:spacing w:after="0" w:line="360" w:lineRule="auto"/>
        <w:ind w:right="49"/>
        <w:jc w:val="both"/>
        <w:rPr>
          <w:rFonts w:ascii="Palatino Linotype" w:eastAsia="Palatino Linotype" w:hAnsi="Palatino Linotype" w:cs="Palatino Linotype"/>
        </w:rPr>
      </w:pPr>
    </w:p>
    <w:p w:rsidR="000E2AD0" w:rsidRDefault="000E2AD0">
      <w:pPr>
        <w:spacing w:after="0" w:line="360" w:lineRule="auto"/>
        <w:ind w:right="49"/>
        <w:jc w:val="both"/>
        <w:rPr>
          <w:rFonts w:ascii="Palatino Linotype" w:eastAsia="Palatino Linotype" w:hAnsi="Palatino Linotype" w:cs="Palatino Linotype"/>
        </w:rPr>
      </w:pPr>
    </w:p>
    <w:p w:rsidR="000E2AD0" w:rsidRDefault="00703F9D">
      <w:pPr>
        <w:spacing w:after="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rPr>
        <w:t>II.</w:t>
      </w:r>
      <w:r>
        <w:rPr>
          <w:rFonts w:ascii="Palatino Linotype" w:eastAsia="Palatino Linotype" w:hAnsi="Palatino Linotype" w:cs="Palatino Linotype"/>
          <w:b/>
        </w:rPr>
        <w:tab/>
        <w:t>C O N S I D E R A N D O:</w:t>
      </w:r>
    </w:p>
    <w:p w:rsidR="000E2AD0" w:rsidRDefault="000E2AD0">
      <w:pPr>
        <w:spacing w:after="0" w:line="360" w:lineRule="auto"/>
        <w:ind w:right="49"/>
        <w:jc w:val="both"/>
        <w:rPr>
          <w:rFonts w:ascii="Palatino Linotype" w:eastAsia="Palatino Linotype" w:hAnsi="Palatino Linotype" w:cs="Palatino Linotype"/>
        </w:rPr>
      </w:pPr>
    </w:p>
    <w:p w:rsidR="000E2AD0" w:rsidRDefault="00703F9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w:t>
      </w:r>
      <w:r>
        <w:rPr>
          <w:rFonts w:ascii="Palatino Linotype" w:eastAsia="Palatino Linotype" w:hAnsi="Palatino Linotype" w:cs="Palatino Linotype"/>
        </w:rPr>
        <w:t xml:space="preserve">uesto en los artículos 6, apartado A de la Constitución Política de los Estados Unidos Mexicanos; 5, párrafos trigésimo noveno, cuadragésimo y cuadragésimo primero, fracciones IV y V de la Constitución Política del Estado Libre y Soberano de México; 1, 2, </w:t>
      </w:r>
      <w:r>
        <w:rPr>
          <w:rFonts w:ascii="Palatino Linotype" w:eastAsia="Palatino Linotype" w:hAnsi="Palatino Linotype" w:cs="Palatino Linotype"/>
        </w:rPr>
        <w:t>fracción II; 13,  29, 36, fracciones I y II; 176, 178, 179, 181 párrafo tercero y 185 de la Ley Transparencia y Acceso a la Información Pública del Estado de México y Municipios; 9, fracciones I y XXIII y 11 del Reglamento Interior del Instituto de Transpa</w:t>
      </w:r>
      <w:r>
        <w:rPr>
          <w:rFonts w:ascii="Palatino Linotype" w:eastAsia="Palatino Linotype" w:hAnsi="Palatino Linotype" w:cs="Palatino Linotype"/>
        </w:rPr>
        <w:t>rencia, Acceso a la Información Pública y Protección de Datos Personales del Estado de México y Municipios.</w:t>
      </w:r>
    </w:p>
    <w:p w:rsidR="000E2AD0" w:rsidRDefault="000E2AD0">
      <w:pPr>
        <w:spacing w:after="0" w:line="360" w:lineRule="auto"/>
        <w:ind w:right="49"/>
        <w:jc w:val="both"/>
        <w:rPr>
          <w:rFonts w:ascii="Palatino Linotype" w:eastAsia="Palatino Linotype" w:hAnsi="Palatino Linotype" w:cs="Palatino Linotype"/>
        </w:rPr>
      </w:pPr>
    </w:p>
    <w:p w:rsidR="000E2AD0" w:rsidRDefault="00703F9D">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xml:space="preserve"> Previo al estudio del fondo del asunto, se procede a analizar los requisitos de opor</w:t>
      </w:r>
      <w:r>
        <w:rPr>
          <w:rFonts w:ascii="Palatino Linotype" w:eastAsia="Palatino Linotype" w:hAnsi="Palatino Linotype" w:cs="Palatino Linotype"/>
        </w:rPr>
        <w:t xml:space="preserve">tunidad y procedibilidad que deben reunir el recurso de revisión interpuesto, previstos en los artículos 178 y 180 de la Ley de Transparencia y Acceso a la Información Pública del Estado de México y Municipios. </w:t>
      </w:r>
    </w:p>
    <w:p w:rsidR="000E2AD0" w:rsidRDefault="000E2AD0">
      <w:pPr>
        <w:spacing w:after="0" w:line="360" w:lineRule="auto"/>
        <w:ind w:right="49"/>
        <w:jc w:val="both"/>
        <w:rPr>
          <w:rFonts w:ascii="Palatino Linotype" w:eastAsia="Palatino Linotype" w:hAnsi="Palatino Linotype" w:cs="Palatino Linotype"/>
        </w:rPr>
      </w:pPr>
    </w:p>
    <w:p w:rsidR="000E2AD0" w:rsidRDefault="00703F9D">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El recurso de revisión fue interpuesto dent</w:t>
      </w:r>
      <w:r>
        <w:rPr>
          <w:rFonts w:ascii="Palatino Linotype" w:eastAsia="Palatino Linotype" w:hAnsi="Palatino Linotype" w:cs="Palatino Linotype"/>
        </w:rPr>
        <w:t xml:space="preserve">ro del plazo de quince días hábiles previstos en el artículo 178 de la Ley de Transparencia y Acceso a la Información Pública del Estado de México y Municipios,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la respuesta a la solicitud de información el </w:t>
      </w:r>
      <w:r>
        <w:rPr>
          <w:rFonts w:ascii="Palatino Linotype" w:eastAsia="Palatino Linotype" w:hAnsi="Palatino Linotype" w:cs="Palatino Linotype"/>
          <w:b/>
        </w:rPr>
        <w:t>primero d</w:t>
      </w:r>
      <w:r>
        <w:rPr>
          <w:rFonts w:ascii="Palatino Linotype" w:eastAsia="Palatino Linotype" w:hAnsi="Palatino Linotype" w:cs="Palatino Linotype"/>
          <w:b/>
        </w:rPr>
        <w:t>e julio de dos mil veinticinco</w:t>
      </w:r>
      <w:r>
        <w:rPr>
          <w:rFonts w:ascii="Palatino Linotype" w:eastAsia="Palatino Linotype" w:hAnsi="Palatino Linotype" w:cs="Palatino Linotype"/>
        </w:rPr>
        <w:t xml:space="preserve">, mientras que el recurso de revisión interpuesto por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se tuvo por presentado el </w:t>
      </w:r>
      <w:r>
        <w:rPr>
          <w:rFonts w:ascii="Palatino Linotype" w:eastAsia="Palatino Linotype" w:hAnsi="Palatino Linotype" w:cs="Palatino Linotype"/>
          <w:b/>
        </w:rPr>
        <w:t>primero de julio de dos mil veinticinco</w:t>
      </w:r>
      <w:r>
        <w:rPr>
          <w:rFonts w:ascii="Palatino Linotype" w:eastAsia="Palatino Linotype" w:hAnsi="Palatino Linotype" w:cs="Palatino Linotype"/>
        </w:rPr>
        <w:t>, esto es el mismo día hábil en que se tuvo conocimiento de la respuesta.</w:t>
      </w:r>
    </w:p>
    <w:p w:rsidR="000E2AD0" w:rsidRDefault="000E2AD0">
      <w:pPr>
        <w:spacing w:after="0" w:line="360" w:lineRule="auto"/>
        <w:ind w:right="49"/>
        <w:jc w:val="both"/>
        <w:rPr>
          <w:rFonts w:ascii="Palatino Linotype" w:eastAsia="Palatino Linotype" w:hAnsi="Palatino Linotype" w:cs="Palatino Linotype"/>
        </w:rPr>
      </w:pPr>
    </w:p>
    <w:p w:rsidR="000E2AD0" w:rsidRDefault="00703F9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sent</w:t>
      </w:r>
      <w:r>
        <w:rPr>
          <w:rFonts w:ascii="Palatino Linotype" w:eastAsia="Palatino Linotype" w:hAnsi="Palatino Linotype" w:cs="Palatino Linotype"/>
        </w:rPr>
        <w:t xml:space="preserve">ido, al considerar la fecha en que se formuló la solicitud y la fecha en que respondió a esta el </w:t>
      </w:r>
      <w:r>
        <w:rPr>
          <w:rFonts w:ascii="Palatino Linotype" w:eastAsia="Palatino Linotype" w:hAnsi="Palatino Linotype" w:cs="Palatino Linotype"/>
          <w:b/>
        </w:rPr>
        <w:t>Sujeto Obligado</w:t>
      </w:r>
      <w:r>
        <w:rPr>
          <w:rFonts w:ascii="Palatino Linotype" w:eastAsia="Palatino Linotype" w:hAnsi="Palatino Linotype" w:cs="Palatino Linotype"/>
        </w:rPr>
        <w:t>; así como la fecha en que se interpuso el recurso de revisión, se concluye que el presente recurso de revisión se encuentra dentro de los márge</w:t>
      </w:r>
      <w:r>
        <w:rPr>
          <w:rFonts w:ascii="Palatino Linotype" w:eastAsia="Palatino Linotype" w:hAnsi="Palatino Linotype" w:cs="Palatino Linotype"/>
        </w:rPr>
        <w:t>nes temporales previstos las disposiciones legales referidas.</w:t>
      </w:r>
    </w:p>
    <w:p w:rsidR="000E2AD0" w:rsidRDefault="000E2AD0">
      <w:pPr>
        <w:spacing w:after="0" w:line="360" w:lineRule="auto"/>
        <w:jc w:val="both"/>
        <w:rPr>
          <w:rFonts w:ascii="Palatino Linotype" w:eastAsia="Palatino Linotype" w:hAnsi="Palatino Linotype" w:cs="Palatino Linotype"/>
        </w:rPr>
      </w:pPr>
    </w:p>
    <w:p w:rsidR="000E2AD0" w:rsidRDefault="00703F9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Sin que contraríe a lo anterior, el artículo 178 en análisis, refiere que el plazo de quince días hábiles se contará a partir del día siguiente de la fecha en que el afectado tuvo conocimiento </w:t>
      </w:r>
      <w:r>
        <w:rPr>
          <w:rFonts w:ascii="Palatino Linotype" w:eastAsia="Palatino Linotype" w:hAnsi="Palatino Linotype" w:cs="Palatino Linotype"/>
        </w:rPr>
        <w:t>de la resolución materia de impugnación, ya que ello debe entenderse para el efecto de que transcurrido dicho plazo ya no podrá presentarse el medio de impugnación o si es que se presenta, el mismo se considerará extemporáneo, no así cuando el medio de def</w:t>
      </w:r>
      <w:r>
        <w:rPr>
          <w:rFonts w:ascii="Palatino Linotype" w:eastAsia="Palatino Linotype" w:hAnsi="Palatino Linotype" w:cs="Palatino Linotype"/>
        </w:rPr>
        <w:t>ensa se interponga antes de que comience a correr el plazo legal; tiene aplicación por analogía, la jurisprudencia 1ª. /J.41/2015, publicada en el Semanario Judicial de la Federación y su Gaceta, Libro 19, Junio de 2015, Tomo I, página 569 de la Décima épo</w:t>
      </w:r>
      <w:r>
        <w:rPr>
          <w:rFonts w:ascii="Palatino Linotype" w:eastAsia="Palatino Linotype" w:hAnsi="Palatino Linotype" w:cs="Palatino Linotype"/>
        </w:rPr>
        <w:t>ca que lleva por rubro y texto los siguientes:</w:t>
      </w:r>
    </w:p>
    <w:p w:rsidR="000E2AD0" w:rsidRDefault="000E2AD0">
      <w:pPr>
        <w:spacing w:after="0"/>
        <w:ind w:left="851" w:right="902"/>
        <w:jc w:val="both"/>
        <w:rPr>
          <w:rFonts w:ascii="Palatino Linotype" w:eastAsia="Palatino Linotype" w:hAnsi="Palatino Linotype" w:cs="Palatino Linotype"/>
          <w:i/>
        </w:rPr>
      </w:pPr>
    </w:p>
    <w:p w:rsidR="000E2AD0" w:rsidRDefault="00703F9D">
      <w:pPr>
        <w:spacing w:after="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RECURSO DE RECLAMACIÓN. SU INTERPOSICIÓN NO ES EXTEMPORÁNEA SI SE REALIZA ANTES DE QUE INICIE EL PLAZO PARA HACERLO</w:t>
      </w:r>
      <w:r>
        <w:rPr>
          <w:rFonts w:ascii="Palatino Linotype" w:eastAsia="Palatino Linotype" w:hAnsi="Palatino Linotype" w:cs="Palatino Linotype"/>
          <w:i/>
        </w:rPr>
        <w:t>.</w:t>
      </w:r>
    </w:p>
    <w:p w:rsidR="000E2AD0" w:rsidRDefault="00703F9D">
      <w:pPr>
        <w:spacing w:after="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Conforme al artículo 104, párrafo segundo, de la Ley de Amparo, el recurso de reclamación </w:t>
      </w:r>
      <w:r>
        <w:rPr>
          <w:rFonts w:ascii="Palatino Linotype" w:eastAsia="Palatino Linotype" w:hAnsi="Palatino Linotype" w:cs="Palatino Linotype"/>
          <w:i/>
        </w:rPr>
        <w:t>podrá interponerse por cualquiera de las partes, por escrito, dentro del término de tres días siguientes al en que surta efectos la notificación de la resolución impugnada. Ahora bien, dicho numeral sólo refiere que el aludido medio de defensa no puede hac</w:t>
      </w:r>
      <w:r>
        <w:rPr>
          <w:rFonts w:ascii="Palatino Linotype" w:eastAsia="Palatino Linotype" w:hAnsi="Palatino Linotype" w:cs="Palatino Linotype"/>
          <w:i/>
        </w:rPr>
        <w:t>erse valer después de tres días, por tanto, no impide que el escrito correspondiente se presente antes de iniciado ese término. De ahí que si dicho recurso se interpone antes de que inicie el plazo para hacerlo, su presentación no es extemporánea.”(Sic)</w:t>
      </w:r>
    </w:p>
    <w:p w:rsidR="000E2AD0" w:rsidRDefault="000E2AD0">
      <w:pPr>
        <w:spacing w:after="0" w:line="360" w:lineRule="auto"/>
        <w:ind w:right="49"/>
        <w:jc w:val="both"/>
        <w:rPr>
          <w:rFonts w:ascii="Palatino Linotype" w:eastAsia="Palatino Linotype" w:hAnsi="Palatino Linotype" w:cs="Palatino Linotype"/>
        </w:rPr>
      </w:pPr>
    </w:p>
    <w:p w:rsidR="000E2AD0" w:rsidRDefault="00703F9D">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w:t>
      </w:r>
      <w:r>
        <w:rPr>
          <w:rFonts w:ascii="Palatino Linotype" w:eastAsia="Palatino Linotype" w:hAnsi="Palatino Linotype" w:cs="Palatino Linotype"/>
        </w:rPr>
        <w:t>hora bien, del análisis efectuado se advierte que resulta procedente la interposición del recurso y se concluye la acreditación plena de todos y cada uno de los elementos formales exigidos por el artículo 180 de la Ley de Transparencia y Acceso a la Inform</w:t>
      </w:r>
      <w:r>
        <w:rPr>
          <w:rFonts w:ascii="Palatino Linotype" w:eastAsia="Palatino Linotype" w:hAnsi="Palatino Linotype" w:cs="Palatino Linotype"/>
        </w:rPr>
        <w:t xml:space="preserve">ación Pública del Estado de México y Municipios en vigor, en atención a que fue presentado mediante el formato visible en </w:t>
      </w:r>
      <w:r>
        <w:rPr>
          <w:rFonts w:ascii="Palatino Linotype" w:eastAsia="Palatino Linotype" w:hAnsi="Palatino Linotype" w:cs="Palatino Linotype"/>
          <w:b/>
        </w:rPr>
        <w:t>SAIMEX</w:t>
      </w:r>
      <w:r>
        <w:rPr>
          <w:rFonts w:ascii="Palatino Linotype" w:eastAsia="Palatino Linotype" w:hAnsi="Palatino Linotype" w:cs="Palatino Linotype"/>
        </w:rPr>
        <w:t xml:space="preserve">.  </w:t>
      </w:r>
    </w:p>
    <w:p w:rsidR="000E2AD0" w:rsidRDefault="000E2AD0">
      <w:pPr>
        <w:spacing w:after="0" w:line="360" w:lineRule="auto"/>
        <w:ind w:right="49"/>
        <w:jc w:val="both"/>
        <w:rPr>
          <w:rFonts w:ascii="Palatino Linotype" w:eastAsia="Palatino Linotype" w:hAnsi="Palatino Linotype" w:cs="Palatino Linotype"/>
        </w:rPr>
      </w:pPr>
    </w:p>
    <w:p w:rsidR="000E2AD0" w:rsidRDefault="00703F9D">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Finalmente, resulta procedente la interposición del recurso de revisión al rubro anotado, toda vez que se actualiza la hipó</w:t>
      </w:r>
      <w:r>
        <w:rPr>
          <w:rFonts w:ascii="Palatino Linotype" w:eastAsia="Palatino Linotype" w:hAnsi="Palatino Linotype" w:cs="Palatino Linotype"/>
        </w:rPr>
        <w:t>tesis de procedencia prevista en el artículo 179, fracción II de la Ley de la materia, que a la letra dice:</w:t>
      </w:r>
    </w:p>
    <w:p w:rsidR="000E2AD0" w:rsidRDefault="000E2AD0">
      <w:pPr>
        <w:spacing w:after="0"/>
        <w:ind w:left="567" w:right="560"/>
        <w:jc w:val="both"/>
        <w:rPr>
          <w:rFonts w:ascii="Palatino Linotype" w:eastAsia="Palatino Linotype" w:hAnsi="Palatino Linotype" w:cs="Palatino Linotype"/>
          <w:i/>
        </w:rPr>
      </w:pPr>
    </w:p>
    <w:p w:rsidR="000E2AD0" w:rsidRDefault="00703F9D">
      <w:pPr>
        <w:spacing w:after="0"/>
        <w:ind w:left="851" w:right="843"/>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179.</w:t>
      </w:r>
      <w:r>
        <w:rPr>
          <w:rFonts w:ascii="Palatino Linotype" w:eastAsia="Palatino Linotype" w:hAnsi="Palatino Linotype" w:cs="Palatino Linotype"/>
          <w:i/>
        </w:rPr>
        <w:t xml:space="preserve"> El recurso de revisión es un medio de protección que la Ley otorga a los particulares, para hacer valer su derecho de acceso a la in</w:t>
      </w:r>
      <w:r>
        <w:rPr>
          <w:rFonts w:ascii="Palatino Linotype" w:eastAsia="Palatino Linotype" w:hAnsi="Palatino Linotype" w:cs="Palatino Linotype"/>
          <w:i/>
        </w:rPr>
        <w:t>formación pública, y procederá en contra de las siguientes causas:</w:t>
      </w:r>
    </w:p>
    <w:p w:rsidR="000E2AD0" w:rsidRDefault="00703F9D">
      <w:pPr>
        <w:spacing w:after="0"/>
        <w:ind w:left="851" w:right="843"/>
        <w:jc w:val="both"/>
        <w:rPr>
          <w:rFonts w:ascii="Palatino Linotype" w:eastAsia="Palatino Linotype" w:hAnsi="Palatino Linotype" w:cs="Palatino Linotype"/>
          <w:i/>
        </w:rPr>
      </w:pPr>
      <w:r>
        <w:rPr>
          <w:rFonts w:ascii="Palatino Linotype" w:eastAsia="Palatino Linotype" w:hAnsi="Palatino Linotype" w:cs="Palatino Linotype"/>
          <w:i/>
        </w:rPr>
        <w:t>…</w:t>
      </w:r>
    </w:p>
    <w:p w:rsidR="000E2AD0" w:rsidRDefault="00703F9D">
      <w:pPr>
        <w:spacing w:after="0"/>
        <w:ind w:left="851" w:right="843"/>
        <w:jc w:val="both"/>
        <w:rPr>
          <w:rFonts w:ascii="Palatino Linotype" w:eastAsia="Palatino Linotype" w:hAnsi="Palatino Linotype" w:cs="Palatino Linotype"/>
          <w:i/>
        </w:rPr>
      </w:pPr>
      <w:r>
        <w:rPr>
          <w:rFonts w:ascii="Palatino Linotype" w:eastAsia="Palatino Linotype" w:hAnsi="Palatino Linotype" w:cs="Palatino Linotype"/>
          <w:i/>
        </w:rPr>
        <w:t>II. La clasificación de la información;</w:t>
      </w:r>
    </w:p>
    <w:p w:rsidR="000E2AD0" w:rsidRDefault="00703F9D">
      <w:pPr>
        <w:spacing w:after="0"/>
        <w:ind w:left="851" w:right="843"/>
        <w:jc w:val="both"/>
        <w:rPr>
          <w:rFonts w:ascii="Palatino Linotype" w:eastAsia="Palatino Linotype" w:hAnsi="Palatino Linotype" w:cs="Palatino Linotype"/>
          <w:i/>
        </w:rPr>
      </w:pPr>
      <w:r>
        <w:rPr>
          <w:rFonts w:ascii="Palatino Linotype" w:eastAsia="Palatino Linotype" w:hAnsi="Palatino Linotype" w:cs="Palatino Linotype"/>
          <w:i/>
        </w:rPr>
        <w:t>…”</w:t>
      </w:r>
    </w:p>
    <w:p w:rsidR="000E2AD0" w:rsidRDefault="000E2AD0">
      <w:pPr>
        <w:spacing w:after="0" w:line="360" w:lineRule="auto"/>
        <w:ind w:left="567" w:right="560"/>
        <w:jc w:val="both"/>
        <w:rPr>
          <w:rFonts w:ascii="Palatino Linotype" w:eastAsia="Palatino Linotype" w:hAnsi="Palatino Linotype" w:cs="Palatino Linotype"/>
          <w:i/>
        </w:rPr>
      </w:pPr>
    </w:p>
    <w:p w:rsidR="000E2AD0" w:rsidRDefault="00703F9D">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Tercero. Materia de la revisión</w:t>
      </w:r>
      <w:r>
        <w:rPr>
          <w:rFonts w:ascii="Palatino Linotype" w:eastAsia="Palatino Linotype" w:hAnsi="Palatino Linotype" w:cs="Palatino Linotype"/>
        </w:rPr>
        <w:t>. De la revisión a las constancias y documentos que obran en el expediente electrónico se advierte, que el tema sobre el que este Organismo Garante de Transparencia y Acceso a la Información se pronunciará será determinar, si se actualiza la hipótesis prev</w:t>
      </w:r>
      <w:r>
        <w:rPr>
          <w:rFonts w:ascii="Palatino Linotype" w:eastAsia="Palatino Linotype" w:hAnsi="Palatino Linotype" w:cs="Palatino Linotype"/>
        </w:rPr>
        <w:t xml:space="preserve">ista en la fracción II del artículo 179 de la Ley en la materia. </w:t>
      </w:r>
    </w:p>
    <w:p w:rsidR="000E2AD0" w:rsidRDefault="000E2AD0">
      <w:pPr>
        <w:spacing w:after="0" w:line="360" w:lineRule="auto"/>
        <w:ind w:right="49"/>
        <w:jc w:val="both"/>
        <w:rPr>
          <w:rFonts w:ascii="Palatino Linotype" w:eastAsia="Palatino Linotype" w:hAnsi="Palatino Linotype" w:cs="Palatino Linotype"/>
        </w:rPr>
      </w:pPr>
    </w:p>
    <w:p w:rsidR="000E2AD0" w:rsidRDefault="00703F9D">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Cuarto.</w:t>
      </w:r>
      <w:r>
        <w:rPr>
          <w:rFonts w:ascii="Palatino Linotype" w:eastAsia="Palatino Linotype" w:hAnsi="Palatino Linotype" w:cs="Palatino Linotype"/>
        </w:rPr>
        <w:t xml:space="preserve"> </w:t>
      </w:r>
      <w:r>
        <w:rPr>
          <w:rFonts w:ascii="Palatino Linotype" w:eastAsia="Palatino Linotype" w:hAnsi="Palatino Linotype" w:cs="Palatino Linotype"/>
          <w:b/>
        </w:rPr>
        <w:t>Estudio de fondo del asunto.</w:t>
      </w:r>
      <w:r>
        <w:rPr>
          <w:rFonts w:ascii="Palatino Linotype" w:eastAsia="Palatino Linotype" w:hAnsi="Palatino Linotype" w:cs="Palatino Linotype"/>
        </w:rPr>
        <w:t xml:space="preserve"> Antes de entrar al análisis de los pronunciamientos del Sujeto Obligado en la respuesta proporcionada, así como en el informe justificado, es necesario </w:t>
      </w:r>
      <w:r>
        <w:rPr>
          <w:rFonts w:ascii="Palatino Linotype" w:eastAsia="Palatino Linotype" w:hAnsi="Palatino Linotype" w:cs="Palatino Linotype"/>
        </w:rPr>
        <w:t>mencionar que el derecho de acceso a la información está consagrado en instrumentos internacionales de los cuales el Estado Mexicano se ha adherido, sin oponer reserva alguna sobre lo que nos interesa, adoptando dichas disposiciones al Derecho Interno, esp</w:t>
      </w:r>
      <w:r>
        <w:rPr>
          <w:rFonts w:ascii="Palatino Linotype" w:eastAsia="Palatino Linotype" w:hAnsi="Palatino Linotype" w:cs="Palatino Linotype"/>
        </w:rPr>
        <w:t>ecíficamente a nivel Constitucional, tal y como lo prevén los arábigos 1 párrafos primero, segundo y tercero y 6 apartado A fracciones I, II, III, IV, V, VI y VII que a la letra señalan:</w:t>
      </w:r>
    </w:p>
    <w:p w:rsidR="000E2AD0" w:rsidRDefault="000E2AD0">
      <w:pPr>
        <w:spacing w:after="0"/>
        <w:ind w:left="567" w:right="560"/>
        <w:jc w:val="both"/>
        <w:rPr>
          <w:rFonts w:ascii="Palatino Linotype" w:eastAsia="Palatino Linotype" w:hAnsi="Palatino Linotype" w:cs="Palatino Linotype"/>
          <w:i/>
        </w:rPr>
      </w:pPr>
    </w:p>
    <w:p w:rsidR="000E2AD0" w:rsidRDefault="00703F9D">
      <w:pPr>
        <w:spacing w:after="0"/>
        <w:ind w:left="851" w:right="843"/>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1o.</w:t>
      </w:r>
      <w:r>
        <w:rPr>
          <w:rFonts w:ascii="Palatino Linotype" w:eastAsia="Palatino Linotype" w:hAnsi="Palatino Linotype" w:cs="Palatino Linotype"/>
          <w:i/>
        </w:rPr>
        <w:t xml:space="preserve"> En los Estados Unidos Mexicanos todas las personas goz</w:t>
      </w:r>
      <w:r>
        <w:rPr>
          <w:rFonts w:ascii="Palatino Linotype" w:eastAsia="Palatino Linotype" w:hAnsi="Palatino Linotype" w:cs="Palatino Linotype"/>
          <w:i/>
        </w:rPr>
        <w:t>arán de los derechos humanos reconocidos en esta Constitución y en los tratados internacionales de los que el Estado Mexicano sea parte, así como de las garantías para su protección, cuyo ejercicio no podrá restringirse ni suspenderse, salvo en los casos y</w:t>
      </w:r>
      <w:r>
        <w:rPr>
          <w:rFonts w:ascii="Palatino Linotype" w:eastAsia="Palatino Linotype" w:hAnsi="Palatino Linotype" w:cs="Palatino Linotype"/>
          <w:i/>
        </w:rPr>
        <w:t xml:space="preserve"> bajo las condiciones que esta Constitución establece.</w:t>
      </w:r>
    </w:p>
    <w:p w:rsidR="000E2AD0" w:rsidRDefault="00703F9D">
      <w:pPr>
        <w:spacing w:after="0"/>
        <w:ind w:left="851" w:right="843"/>
        <w:jc w:val="both"/>
        <w:rPr>
          <w:rFonts w:ascii="Palatino Linotype" w:eastAsia="Palatino Linotype" w:hAnsi="Palatino Linotype" w:cs="Palatino Linotype"/>
          <w:i/>
        </w:rPr>
      </w:pPr>
      <w:r>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w:t>
      </w:r>
      <w:r>
        <w:rPr>
          <w:rFonts w:ascii="Palatino Linotype" w:eastAsia="Palatino Linotype" w:hAnsi="Palatino Linotype" w:cs="Palatino Linotype"/>
          <w:i/>
        </w:rPr>
        <w:t>ón más amplia.</w:t>
      </w:r>
    </w:p>
    <w:p w:rsidR="000E2AD0" w:rsidRDefault="00703F9D">
      <w:pPr>
        <w:spacing w:after="0"/>
        <w:ind w:left="851" w:right="843"/>
        <w:jc w:val="both"/>
        <w:rPr>
          <w:rFonts w:ascii="Palatino Linotype" w:eastAsia="Palatino Linotype" w:hAnsi="Palatino Linotype" w:cs="Palatino Linotype"/>
          <w:i/>
        </w:rPr>
      </w:pPr>
      <w:r>
        <w:rPr>
          <w:rFonts w:ascii="Palatino Linotype" w:eastAsia="Palatino Linotype" w:hAnsi="Palatino Linotype" w:cs="Palatino Linotype"/>
          <w:i/>
        </w:rPr>
        <w:t>Todas las autoridades, en el ámbito de sus competencias, tienen la obligación de promover, respetar, proteger y garantizar los derechos humanos de conformidad con los principios de universalidad, interdependencia, indivisibilidad y progresiv</w:t>
      </w:r>
      <w:r>
        <w:rPr>
          <w:rFonts w:ascii="Palatino Linotype" w:eastAsia="Palatino Linotype" w:hAnsi="Palatino Linotype" w:cs="Palatino Linotype"/>
          <w:i/>
        </w:rPr>
        <w:t>idad. En consecuencia, el Estado deberá prevenir, investigar, sancionar y reparar las violaciones a los derechos humanos, en los términos que establezca la ley</w:t>
      </w:r>
    </w:p>
    <w:p w:rsidR="000E2AD0" w:rsidRDefault="00703F9D">
      <w:pPr>
        <w:spacing w:after="0"/>
        <w:ind w:left="851" w:right="843"/>
        <w:jc w:val="both"/>
        <w:rPr>
          <w:rFonts w:ascii="Palatino Linotype" w:eastAsia="Palatino Linotype" w:hAnsi="Palatino Linotype" w:cs="Palatino Linotype"/>
          <w:i/>
        </w:rPr>
      </w:pPr>
      <w:r>
        <w:rPr>
          <w:rFonts w:ascii="Palatino Linotype" w:eastAsia="Palatino Linotype" w:hAnsi="Palatino Linotype" w:cs="Palatino Linotype"/>
          <w:i/>
        </w:rPr>
        <w:t>[…]</w:t>
      </w:r>
    </w:p>
    <w:p w:rsidR="000E2AD0" w:rsidRDefault="00703F9D">
      <w:pPr>
        <w:spacing w:after="0"/>
        <w:ind w:left="851" w:right="843"/>
        <w:jc w:val="both"/>
        <w:rPr>
          <w:rFonts w:ascii="Palatino Linotype" w:eastAsia="Palatino Linotype" w:hAnsi="Palatino Linotype" w:cs="Palatino Linotype"/>
          <w:b/>
          <w:i/>
        </w:rPr>
      </w:pPr>
      <w:r>
        <w:rPr>
          <w:rFonts w:ascii="Palatino Linotype" w:eastAsia="Palatino Linotype" w:hAnsi="Palatino Linotype" w:cs="Palatino Linotype"/>
          <w:b/>
          <w:i/>
        </w:rPr>
        <w:t>“Artículo 6o.</w:t>
      </w:r>
    </w:p>
    <w:p w:rsidR="000E2AD0" w:rsidRDefault="00703F9D">
      <w:pPr>
        <w:spacing w:after="0"/>
        <w:ind w:left="851" w:right="843"/>
        <w:jc w:val="both"/>
        <w:rPr>
          <w:rFonts w:ascii="Palatino Linotype" w:eastAsia="Palatino Linotype" w:hAnsi="Palatino Linotype" w:cs="Palatino Linotype"/>
          <w:i/>
        </w:rPr>
      </w:pPr>
      <w:r>
        <w:rPr>
          <w:rFonts w:ascii="Palatino Linotype" w:eastAsia="Palatino Linotype" w:hAnsi="Palatino Linotype" w:cs="Palatino Linotype"/>
          <w:i/>
        </w:rPr>
        <w:t>[...]</w:t>
      </w:r>
    </w:p>
    <w:p w:rsidR="000E2AD0" w:rsidRDefault="00703F9D">
      <w:pPr>
        <w:pBdr>
          <w:top w:val="nil"/>
          <w:left w:val="nil"/>
          <w:bottom w:val="nil"/>
          <w:right w:val="nil"/>
          <w:between w:val="nil"/>
        </w:pBdr>
        <w:spacing w:after="0"/>
        <w:ind w:left="851" w:right="843"/>
        <w:jc w:val="both"/>
        <w:rPr>
          <w:rFonts w:ascii="Palatino Linotype" w:eastAsia="Palatino Linotype" w:hAnsi="Palatino Linotype" w:cs="Palatino Linotype"/>
        </w:rPr>
      </w:pPr>
      <w:r>
        <w:rPr>
          <w:rFonts w:ascii="Palatino Linotype" w:eastAsia="Palatino Linotype" w:hAnsi="Palatino Linotype" w:cs="Palatino Linotype"/>
          <w:b/>
          <w:i/>
        </w:rPr>
        <w:t xml:space="preserve">A. Para el ejercicio del derecho de acceso a la información, la Federación y </w:t>
      </w:r>
      <w:r>
        <w:rPr>
          <w:rFonts w:ascii="Palatino Linotype" w:eastAsia="Palatino Linotype" w:hAnsi="Palatino Linotype" w:cs="Palatino Linotype"/>
          <w:b/>
          <w:i/>
          <w:u w:val="single"/>
        </w:rPr>
        <w:t>las entidades federativas</w:t>
      </w:r>
      <w:r>
        <w:rPr>
          <w:rFonts w:ascii="Palatino Linotype" w:eastAsia="Palatino Linotype" w:hAnsi="Palatino Linotype" w:cs="Palatino Linotype"/>
          <w:b/>
          <w:i/>
        </w:rPr>
        <w:t>,</w:t>
      </w:r>
      <w:r>
        <w:rPr>
          <w:rFonts w:ascii="Palatino Linotype" w:eastAsia="Palatino Linotype" w:hAnsi="Palatino Linotype" w:cs="Palatino Linotype"/>
          <w:i/>
        </w:rPr>
        <w:t xml:space="preserve"> en el ámbito de sus respectivas competencias, se regirán por los siguientes principios y bases:</w:t>
      </w:r>
    </w:p>
    <w:p w:rsidR="000E2AD0" w:rsidRDefault="00703F9D">
      <w:pPr>
        <w:pBdr>
          <w:top w:val="nil"/>
          <w:left w:val="nil"/>
          <w:bottom w:val="nil"/>
          <w:right w:val="nil"/>
          <w:between w:val="nil"/>
        </w:pBdr>
        <w:spacing w:after="0"/>
        <w:ind w:left="851" w:right="843"/>
        <w:jc w:val="both"/>
        <w:rPr>
          <w:rFonts w:ascii="Palatino Linotype" w:eastAsia="Palatino Linotype" w:hAnsi="Palatino Linotype" w:cs="Palatino Linotype"/>
        </w:rPr>
      </w:pPr>
      <w:r>
        <w:rPr>
          <w:rFonts w:ascii="Palatino Linotype" w:eastAsia="Palatino Linotype" w:hAnsi="Palatino Linotype" w:cs="Palatino Linotype"/>
          <w:i/>
        </w:rPr>
        <w:t> </w:t>
      </w:r>
      <w:r>
        <w:rPr>
          <w:rFonts w:ascii="Palatino Linotype" w:eastAsia="Palatino Linotype" w:hAnsi="Palatino Linotype" w:cs="Palatino Linotype"/>
          <w:b/>
          <w:i/>
        </w:rPr>
        <w:t xml:space="preserve">I. </w:t>
      </w:r>
      <w:r>
        <w:rPr>
          <w:rFonts w:ascii="Palatino Linotype" w:eastAsia="Palatino Linotype" w:hAnsi="Palatino Linotype" w:cs="Palatino Linotype"/>
          <w:b/>
          <w:i/>
          <w:u w:val="single"/>
        </w:rPr>
        <w:t>Toda la información en posesión de cualquier autoridad, entidad, órgano y organismo de los Poderes</w:t>
      </w:r>
      <w:r>
        <w:rPr>
          <w:rFonts w:ascii="Palatino Linotype" w:eastAsia="Palatino Linotype" w:hAnsi="Palatino Linotype" w:cs="Palatino Linotype"/>
          <w:i/>
        </w:rPr>
        <w:t xml:space="preserve"> Ejecutivo, Legislativo y Judicial, órganos autónomos, partidos políticos, fideicomisos y fondos públicos, así como de cualquier persona física, moral o sindi</w:t>
      </w:r>
      <w:r>
        <w:rPr>
          <w:rFonts w:ascii="Palatino Linotype" w:eastAsia="Palatino Linotype" w:hAnsi="Palatino Linotype" w:cs="Palatino Linotype"/>
          <w:i/>
        </w:rPr>
        <w:t xml:space="preserve">cato que reciba y ejerza recursos públicos o realice actos de autoridad en el ámbito federal, estatal y municipal, </w:t>
      </w:r>
      <w:r>
        <w:rPr>
          <w:rFonts w:ascii="Palatino Linotype" w:eastAsia="Palatino Linotype" w:hAnsi="Palatino Linotype" w:cs="Palatino Linotype"/>
          <w:b/>
          <w:i/>
        </w:rPr>
        <w:t>es pública y sólo podrá ser reservada temporalmente por razones de interés público y seguridad nacional,</w:t>
      </w:r>
      <w:r>
        <w:rPr>
          <w:rFonts w:ascii="Palatino Linotype" w:eastAsia="Palatino Linotype" w:hAnsi="Palatino Linotype" w:cs="Palatino Linotype"/>
          <w:i/>
        </w:rPr>
        <w:t xml:space="preserve"> en los términos que fijen las leyes.</w:t>
      </w:r>
      <w:r>
        <w:rPr>
          <w:rFonts w:ascii="Palatino Linotype" w:eastAsia="Palatino Linotype" w:hAnsi="Palatino Linotype" w:cs="Palatino Linotype"/>
          <w:i/>
        </w:rPr>
        <w:t xml:space="preserve"> En la interpretación de este derecho deberá prevalecer el principio de máxima publicidad. Los sujetos obligados deberán documentar todo acto que derive del ejercicio de sus facultades, competencias o funciones, la ley determinará los supuestos específicos</w:t>
      </w:r>
      <w:r>
        <w:rPr>
          <w:rFonts w:ascii="Palatino Linotype" w:eastAsia="Palatino Linotype" w:hAnsi="Palatino Linotype" w:cs="Palatino Linotype"/>
          <w:i/>
        </w:rPr>
        <w:t xml:space="preserve"> bajo los cuales procederá la declaración de inexistencia de la información.</w:t>
      </w:r>
    </w:p>
    <w:p w:rsidR="000E2AD0" w:rsidRDefault="00703F9D">
      <w:pPr>
        <w:pBdr>
          <w:top w:val="nil"/>
          <w:left w:val="nil"/>
          <w:bottom w:val="nil"/>
          <w:right w:val="nil"/>
          <w:between w:val="nil"/>
        </w:pBdr>
        <w:spacing w:after="0"/>
        <w:ind w:left="851" w:right="843"/>
        <w:jc w:val="both"/>
        <w:rPr>
          <w:rFonts w:ascii="Palatino Linotype" w:eastAsia="Palatino Linotype" w:hAnsi="Palatino Linotype" w:cs="Palatino Linotype"/>
          <w:i/>
        </w:rPr>
      </w:pPr>
      <w:r>
        <w:rPr>
          <w:rFonts w:ascii="Palatino Linotype" w:eastAsia="Palatino Linotype" w:hAnsi="Palatino Linotype" w:cs="Palatino Linotype"/>
          <w:i/>
        </w:rPr>
        <w:t> </w:t>
      </w:r>
      <w:r>
        <w:rPr>
          <w:rFonts w:ascii="Palatino Linotype" w:eastAsia="Palatino Linotype" w:hAnsi="Palatino Linotype" w:cs="Palatino Linotype"/>
          <w:b/>
          <w:i/>
        </w:rPr>
        <w:t xml:space="preserve">II. La información que se refiere a la vida privada y los datos personales será protegida en los términos y con las excepciones que fijen las leyes. </w:t>
      </w:r>
      <w:r>
        <w:rPr>
          <w:rFonts w:ascii="Palatino Linotype" w:eastAsia="Palatino Linotype" w:hAnsi="Palatino Linotype" w:cs="Palatino Linotype"/>
          <w:i/>
        </w:rPr>
        <w:t xml:space="preserve">Para tal efecto, los sujetos </w:t>
      </w:r>
      <w:r>
        <w:rPr>
          <w:rFonts w:ascii="Palatino Linotype" w:eastAsia="Palatino Linotype" w:hAnsi="Palatino Linotype" w:cs="Palatino Linotype"/>
          <w:i/>
        </w:rPr>
        <w:t>obligados contarán con las facultades suficientes para su atención.</w:t>
      </w:r>
    </w:p>
    <w:p w:rsidR="000E2AD0" w:rsidRDefault="00703F9D">
      <w:pPr>
        <w:pBdr>
          <w:top w:val="nil"/>
          <w:left w:val="nil"/>
          <w:bottom w:val="nil"/>
          <w:right w:val="nil"/>
          <w:between w:val="nil"/>
        </w:pBdr>
        <w:spacing w:after="0"/>
        <w:ind w:left="851" w:right="843"/>
        <w:jc w:val="both"/>
        <w:rPr>
          <w:rFonts w:ascii="Palatino Linotype" w:eastAsia="Palatino Linotype" w:hAnsi="Palatino Linotype" w:cs="Palatino Linotype"/>
          <w:i/>
        </w:rPr>
      </w:pPr>
      <w:r>
        <w:rPr>
          <w:rFonts w:ascii="Palatino Linotype" w:eastAsia="Palatino Linotype" w:hAnsi="Palatino Linotype" w:cs="Palatino Linotype"/>
          <w:i/>
        </w:rPr>
        <w:t>Por lo que hace a la información relacionada con los datos personales en posesión de particulares, la ley a la que se refiere el artículo 90 de esta Constitución determinará la competencia</w:t>
      </w:r>
      <w:r>
        <w:rPr>
          <w:rFonts w:ascii="Palatino Linotype" w:eastAsia="Palatino Linotype" w:hAnsi="Palatino Linotype" w:cs="Palatino Linotype"/>
          <w:i/>
        </w:rPr>
        <w:t xml:space="preserve"> para conocer de los procedimientos relativos a su protección, verificación e imposición de sanciones.</w:t>
      </w:r>
    </w:p>
    <w:p w:rsidR="000E2AD0" w:rsidRDefault="00703F9D">
      <w:pPr>
        <w:pBdr>
          <w:top w:val="nil"/>
          <w:left w:val="nil"/>
          <w:bottom w:val="nil"/>
          <w:right w:val="nil"/>
          <w:between w:val="nil"/>
        </w:pBdr>
        <w:spacing w:after="0"/>
        <w:ind w:left="851" w:right="843"/>
        <w:jc w:val="both"/>
        <w:rPr>
          <w:rFonts w:ascii="Palatino Linotype" w:eastAsia="Palatino Linotype" w:hAnsi="Palatino Linotype" w:cs="Palatino Linotype"/>
        </w:rPr>
      </w:pPr>
      <w:r>
        <w:rPr>
          <w:rFonts w:ascii="Palatino Linotype" w:eastAsia="Palatino Linotype" w:hAnsi="Palatino Linotype" w:cs="Palatino Linotype"/>
          <w:i/>
        </w:rPr>
        <w:t> </w:t>
      </w:r>
      <w:r>
        <w:rPr>
          <w:rFonts w:ascii="Palatino Linotype" w:eastAsia="Palatino Linotype" w:hAnsi="Palatino Linotype" w:cs="Palatino Linotype"/>
          <w:b/>
          <w:i/>
        </w:rPr>
        <w:t xml:space="preserve">III. </w:t>
      </w:r>
      <w:r>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Pr>
          <w:rFonts w:ascii="Palatino Linotype" w:eastAsia="Palatino Linotype" w:hAnsi="Palatino Linotype" w:cs="Palatino Linotype"/>
          <w:i/>
        </w:rPr>
        <w:t xml:space="preserve"> a sus datos p</w:t>
      </w:r>
      <w:r>
        <w:rPr>
          <w:rFonts w:ascii="Palatino Linotype" w:eastAsia="Palatino Linotype" w:hAnsi="Palatino Linotype" w:cs="Palatino Linotype"/>
          <w:i/>
        </w:rPr>
        <w:t>ersonales o a la rectificación de éstos.</w:t>
      </w:r>
    </w:p>
    <w:p w:rsidR="000E2AD0" w:rsidRDefault="00703F9D">
      <w:pPr>
        <w:pBdr>
          <w:top w:val="nil"/>
          <w:left w:val="nil"/>
          <w:bottom w:val="nil"/>
          <w:right w:val="nil"/>
          <w:between w:val="nil"/>
        </w:pBdr>
        <w:spacing w:after="0"/>
        <w:ind w:left="851" w:right="843"/>
        <w:jc w:val="both"/>
        <w:rPr>
          <w:rFonts w:ascii="Palatino Linotype" w:eastAsia="Palatino Linotype" w:hAnsi="Palatino Linotype" w:cs="Palatino Linotype"/>
        </w:rPr>
      </w:pPr>
      <w:r>
        <w:rPr>
          <w:rFonts w:ascii="Palatino Linotype" w:eastAsia="Palatino Linotype" w:hAnsi="Palatino Linotype" w:cs="Palatino Linotype"/>
          <w:i/>
        </w:rPr>
        <w:t> </w:t>
      </w:r>
      <w:r>
        <w:rPr>
          <w:rFonts w:ascii="Palatino Linotype" w:eastAsia="Palatino Linotype" w:hAnsi="Palatino Linotype" w:cs="Palatino Linotype"/>
          <w:b/>
          <w:i/>
        </w:rPr>
        <w:t xml:space="preserve">IV. </w:t>
      </w:r>
      <w:r>
        <w:rPr>
          <w:rFonts w:ascii="Palatino Linotype" w:eastAsia="Palatino Linotype" w:hAnsi="Palatino Linotype" w:cs="Palatino Linotype"/>
          <w:i/>
        </w:rPr>
        <w:t>Se establecerán mecanismos de acceso a la información y procedimientos de revisión expeditos que se sustanciarán ante las instancias competentes en los términos que fija esta Constitución y las leyes.</w:t>
      </w:r>
      <w:r>
        <w:rPr>
          <w:rFonts w:ascii="Palatino Linotype" w:eastAsia="Palatino Linotype" w:hAnsi="Palatino Linotype" w:cs="Palatino Linotype"/>
          <w:i/>
        </w:rPr>
        <w:br/>
      </w:r>
      <w:r>
        <w:rPr>
          <w:rFonts w:ascii="Palatino Linotype" w:eastAsia="Palatino Linotype" w:hAnsi="Palatino Linotype" w:cs="Palatino Linotype"/>
          <w:b/>
          <w:i/>
        </w:rPr>
        <w:t xml:space="preserve">V. </w:t>
      </w:r>
      <w:r>
        <w:rPr>
          <w:rFonts w:ascii="Palatino Linotype" w:eastAsia="Palatino Linotype" w:hAnsi="Palatino Linotype" w:cs="Palatino Linotype"/>
          <w:i/>
        </w:rPr>
        <w:t>Los su</w:t>
      </w:r>
      <w:r>
        <w:rPr>
          <w:rFonts w:ascii="Palatino Linotype" w:eastAsia="Palatino Linotype" w:hAnsi="Palatino Linotype" w:cs="Palatino Linotype"/>
          <w:i/>
        </w:rPr>
        <w:t>jetos obligados deberán preservar sus documentos en archivos administrativos actualizados y publicarán, a través de los medios electrónicos disponibles, la información completa y actualizada sobre el ejercicio de los recursos públicos y los indicadores que</w:t>
      </w:r>
      <w:r>
        <w:rPr>
          <w:rFonts w:ascii="Palatino Linotype" w:eastAsia="Palatino Linotype" w:hAnsi="Palatino Linotype" w:cs="Palatino Linotype"/>
          <w:i/>
        </w:rPr>
        <w:t xml:space="preserve"> permitan rendir cuenta del cumplimiento de sus objetivos y de los resultados obtenidos.</w:t>
      </w:r>
    </w:p>
    <w:p w:rsidR="000E2AD0" w:rsidRDefault="00703F9D">
      <w:pPr>
        <w:pBdr>
          <w:top w:val="nil"/>
          <w:left w:val="nil"/>
          <w:bottom w:val="nil"/>
          <w:right w:val="nil"/>
          <w:between w:val="nil"/>
        </w:pBdr>
        <w:spacing w:after="0"/>
        <w:ind w:left="851" w:right="843"/>
        <w:jc w:val="both"/>
        <w:rPr>
          <w:rFonts w:ascii="Palatino Linotype" w:eastAsia="Palatino Linotype" w:hAnsi="Palatino Linotype" w:cs="Palatino Linotype"/>
        </w:rPr>
      </w:pPr>
      <w:r>
        <w:rPr>
          <w:rFonts w:ascii="Palatino Linotype" w:eastAsia="Palatino Linotype" w:hAnsi="Palatino Linotype" w:cs="Palatino Linotype"/>
          <w:i/>
        </w:rPr>
        <w:t> </w:t>
      </w:r>
      <w:r>
        <w:rPr>
          <w:rFonts w:ascii="Palatino Linotype" w:eastAsia="Palatino Linotype" w:hAnsi="Palatino Linotype" w:cs="Palatino Linotype"/>
          <w:b/>
          <w:i/>
        </w:rPr>
        <w:t xml:space="preserve">VI. </w:t>
      </w:r>
      <w:r>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w:t>
      </w:r>
      <w:r>
        <w:rPr>
          <w:rFonts w:ascii="Palatino Linotype" w:eastAsia="Palatino Linotype" w:hAnsi="Palatino Linotype" w:cs="Palatino Linotype"/>
          <w:i/>
        </w:rPr>
        <w:t>as o morales.</w:t>
      </w:r>
    </w:p>
    <w:p w:rsidR="000E2AD0" w:rsidRDefault="00703F9D">
      <w:pPr>
        <w:spacing w:after="0"/>
        <w:ind w:left="851" w:right="843"/>
        <w:jc w:val="both"/>
        <w:rPr>
          <w:rFonts w:ascii="Palatino Linotype" w:eastAsia="Palatino Linotype" w:hAnsi="Palatino Linotype" w:cs="Palatino Linotype"/>
          <w:i/>
        </w:rPr>
      </w:pPr>
      <w:r>
        <w:rPr>
          <w:rFonts w:ascii="Palatino Linotype" w:eastAsia="Palatino Linotype" w:hAnsi="Palatino Linotype" w:cs="Palatino Linotype"/>
          <w:i/>
        </w:rPr>
        <w:t> </w:t>
      </w:r>
      <w:r>
        <w:rPr>
          <w:rFonts w:ascii="Palatino Linotype" w:eastAsia="Palatino Linotype" w:hAnsi="Palatino Linotype" w:cs="Palatino Linotype"/>
          <w:b/>
          <w:i/>
        </w:rPr>
        <w:t xml:space="preserve">VII. </w:t>
      </w:r>
      <w:r>
        <w:rPr>
          <w:rFonts w:ascii="Palatino Linotype" w:eastAsia="Palatino Linotype" w:hAnsi="Palatino Linotype" w:cs="Palatino Linotype"/>
          <w:i/>
        </w:rPr>
        <w:t>La inobservancia a las disposiciones en materia de acceso a la información pública será sancionada en los términos que dispongan las leyes. [...]</w:t>
      </w:r>
    </w:p>
    <w:p w:rsidR="000E2AD0" w:rsidRDefault="000E2AD0">
      <w:pPr>
        <w:spacing w:after="0"/>
        <w:ind w:left="567" w:right="560"/>
        <w:jc w:val="both"/>
        <w:rPr>
          <w:rFonts w:ascii="Palatino Linotype" w:eastAsia="Palatino Linotype" w:hAnsi="Palatino Linotype" w:cs="Palatino Linotype"/>
          <w:i/>
        </w:rPr>
      </w:pPr>
    </w:p>
    <w:p w:rsidR="000E2AD0" w:rsidRDefault="00703F9D">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Esto es, que cualquier persona tiene el derecho al acceso de la información pública, info</w:t>
      </w:r>
      <w:r>
        <w:rPr>
          <w:rFonts w:ascii="Palatino Linotype" w:eastAsia="Palatino Linotype" w:hAnsi="Palatino Linotype" w:cs="Palatino Linotype"/>
        </w:rPr>
        <w:t>rmación que consiste en aquella que sea generada, obtenida, adquirida, transformada, administrada o en posesión de los Sujetos Obligados, como así también lo señala la Ley de Transparencia y Acceso a la Información Pública del Estado de México y Municipios</w:t>
      </w:r>
      <w:r>
        <w:rPr>
          <w:rFonts w:ascii="Palatino Linotype" w:eastAsia="Palatino Linotype" w:hAnsi="Palatino Linotype" w:cs="Palatino Linotype"/>
        </w:rPr>
        <w:t xml:space="preserve"> en su artículo 4, que toda la información generada, obtenida, adquirida, transformada, administrada o en posesión de los sujetos obligados, es pública y accesible, de manera permanente a cualquier persona, privilegiando el principio de máxima publicidad, </w:t>
      </w:r>
      <w:r>
        <w:rPr>
          <w:rFonts w:ascii="Palatino Linotype" w:eastAsia="Palatino Linotype" w:hAnsi="Palatino Linotype" w:cs="Palatino Linotype"/>
        </w:rPr>
        <w:t>como así lo establece dicha determinación, que a continuación se transcribe para un mejor entendimiento:</w:t>
      </w:r>
    </w:p>
    <w:p w:rsidR="000E2AD0" w:rsidRDefault="000E2AD0">
      <w:pPr>
        <w:spacing w:after="0" w:line="360" w:lineRule="auto"/>
        <w:ind w:right="49"/>
        <w:jc w:val="both"/>
        <w:rPr>
          <w:rFonts w:ascii="Palatino Linotype" w:eastAsia="Palatino Linotype" w:hAnsi="Palatino Linotype" w:cs="Palatino Linotype"/>
        </w:rPr>
      </w:pPr>
    </w:p>
    <w:p w:rsidR="000E2AD0" w:rsidRDefault="00703F9D">
      <w:pPr>
        <w:spacing w:after="0"/>
        <w:ind w:left="851" w:right="843"/>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4.</w:t>
      </w:r>
      <w:r>
        <w:rPr>
          <w:rFonts w:ascii="Palatino Linotype" w:eastAsia="Palatino Linotype" w:hAnsi="Palatino Linotype" w:cs="Palatino Linotype"/>
          <w:i/>
        </w:rPr>
        <w:t xml:space="preserve"> El derecho humano de acceso a la información pública es la prerrogativa de las personas para buscar, difundir, investigar, recabar, recib</w:t>
      </w:r>
      <w:r>
        <w:rPr>
          <w:rFonts w:ascii="Palatino Linotype" w:eastAsia="Palatino Linotype" w:hAnsi="Palatino Linotype" w:cs="Palatino Linotype"/>
          <w:i/>
        </w:rPr>
        <w:t xml:space="preserve">ir y solicitar información pública, sin necesidad de acreditar personalidad ni interés jurídico. </w:t>
      </w:r>
    </w:p>
    <w:p w:rsidR="000E2AD0" w:rsidRDefault="000E2AD0">
      <w:pPr>
        <w:spacing w:after="0"/>
        <w:ind w:left="851" w:right="843"/>
        <w:jc w:val="both"/>
        <w:rPr>
          <w:rFonts w:ascii="Palatino Linotype" w:eastAsia="Palatino Linotype" w:hAnsi="Palatino Linotype" w:cs="Palatino Linotype"/>
          <w:i/>
        </w:rPr>
      </w:pPr>
    </w:p>
    <w:p w:rsidR="000E2AD0" w:rsidRDefault="00703F9D">
      <w:pPr>
        <w:spacing w:after="0"/>
        <w:ind w:left="851" w:right="843"/>
        <w:jc w:val="both"/>
        <w:rPr>
          <w:rFonts w:ascii="Palatino Linotype" w:eastAsia="Palatino Linotype" w:hAnsi="Palatino Linotype" w:cs="Palatino Linotype"/>
          <w:i/>
        </w:rPr>
      </w:pPr>
      <w:r>
        <w:rPr>
          <w:rFonts w:ascii="Palatino Linotype" w:eastAsia="Palatino Linotype" w:hAnsi="Palatino Linotype" w:cs="Palatino Linotype"/>
          <w:i/>
        </w:rPr>
        <w:t>Toda la información generada, obtenida, adquirida, transformada, administrada o en posesión de los sujetos obligados es pública y accesible de manera permane</w:t>
      </w:r>
      <w:r>
        <w:rPr>
          <w:rFonts w:ascii="Palatino Linotype" w:eastAsia="Palatino Linotype" w:hAnsi="Palatino Linotype" w:cs="Palatino Linotype"/>
          <w:i/>
        </w:rPr>
        <w:t xml:space="preserve">nte a cualquier persona, en los términos y condiciones que se establezcan en los tratados internacionales de los que el Estado mexicano sea parte, en la Ley General, la presente Ley y demás disposiciones de la materia, privilegiando el principio de máxima </w:t>
      </w:r>
      <w:r>
        <w:rPr>
          <w:rFonts w:ascii="Palatino Linotype" w:eastAsia="Palatino Linotype" w:hAnsi="Palatino Linotype" w:cs="Palatino Linotype"/>
          <w:i/>
        </w:rPr>
        <w:t>publicidad de la información. Solo podrá ser clasificada excepcionalmente Ley de Transparencia y Acceso a la Información Pública del Estado de México y Municipios 29 como reservada temporalmente por razones de interés público, en los términos de las causas</w:t>
      </w:r>
      <w:r>
        <w:rPr>
          <w:rFonts w:ascii="Palatino Linotype" w:eastAsia="Palatino Linotype" w:hAnsi="Palatino Linotype" w:cs="Palatino Linotype"/>
          <w:i/>
        </w:rPr>
        <w:t xml:space="preserve"> legítimas y estrictamente necesarias previstas por esta Ley.</w:t>
      </w:r>
    </w:p>
    <w:p w:rsidR="000E2AD0" w:rsidRDefault="000E2AD0">
      <w:pPr>
        <w:spacing w:after="0"/>
        <w:ind w:left="851" w:right="843"/>
        <w:jc w:val="both"/>
        <w:rPr>
          <w:rFonts w:ascii="Palatino Linotype" w:eastAsia="Palatino Linotype" w:hAnsi="Palatino Linotype" w:cs="Palatino Linotype"/>
          <w:i/>
        </w:rPr>
      </w:pPr>
    </w:p>
    <w:p w:rsidR="000E2AD0" w:rsidRDefault="00703F9D">
      <w:pPr>
        <w:spacing w:after="0"/>
        <w:ind w:left="851" w:right="843"/>
        <w:jc w:val="both"/>
        <w:rPr>
          <w:rFonts w:ascii="Palatino Linotype" w:eastAsia="Palatino Linotype" w:hAnsi="Palatino Linotype" w:cs="Palatino Linotype"/>
          <w:i/>
        </w:rPr>
      </w:pPr>
      <w:r>
        <w:rPr>
          <w:rFonts w:ascii="Palatino Linotype" w:eastAsia="Palatino Linotype" w:hAnsi="Palatino Linotype" w:cs="Palatino Linotype"/>
          <w:i/>
        </w:rPr>
        <w:t>Los sujetos obligados deben poner en práctica, políticas y programas de acceso a la información que se apeguen a criterios de publicidad, veracidad, oportunidad, precisión y suficiencia en bene</w:t>
      </w:r>
      <w:r>
        <w:rPr>
          <w:rFonts w:ascii="Palatino Linotype" w:eastAsia="Palatino Linotype" w:hAnsi="Palatino Linotype" w:cs="Palatino Linotype"/>
          <w:i/>
        </w:rPr>
        <w:t>ficio de los solicitantes.”</w:t>
      </w:r>
    </w:p>
    <w:p w:rsidR="000E2AD0" w:rsidRDefault="000E2AD0">
      <w:pPr>
        <w:spacing w:after="0" w:line="360" w:lineRule="auto"/>
        <w:ind w:left="567" w:right="560"/>
        <w:jc w:val="both"/>
        <w:rPr>
          <w:rFonts w:ascii="Palatino Linotype" w:eastAsia="Palatino Linotype" w:hAnsi="Palatino Linotype" w:cs="Palatino Linotype"/>
          <w:i/>
        </w:rPr>
      </w:pPr>
    </w:p>
    <w:p w:rsidR="000E2AD0" w:rsidRDefault="00703F9D">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 lo precedente, se desprende que los Sujetos Obligados tienen la obligación o deber de atender las solicitudes de acceso a la información pública que se les hagan de su conocimiento y proporcionar la información pública que obren en su poder como así lo </w:t>
      </w:r>
      <w:r>
        <w:rPr>
          <w:rFonts w:ascii="Palatino Linotype" w:eastAsia="Palatino Linotype" w:hAnsi="Palatino Linotype" w:cs="Palatino Linotype"/>
        </w:rPr>
        <w:t>establece el artículo 12 de la Ley de Transparencia y Acceso a la Información Pública del Estado de México y Municipios, el cual a la letra dice:</w:t>
      </w:r>
    </w:p>
    <w:p w:rsidR="000E2AD0" w:rsidRDefault="000E2AD0">
      <w:pPr>
        <w:spacing w:after="0" w:line="360" w:lineRule="auto"/>
        <w:ind w:right="49"/>
        <w:jc w:val="both"/>
        <w:rPr>
          <w:rFonts w:ascii="Palatino Linotype" w:eastAsia="Palatino Linotype" w:hAnsi="Palatino Linotype" w:cs="Palatino Linotype"/>
        </w:rPr>
      </w:pPr>
    </w:p>
    <w:p w:rsidR="000E2AD0" w:rsidRDefault="00703F9D">
      <w:pPr>
        <w:spacing w:after="0"/>
        <w:ind w:left="851" w:right="843"/>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12.</w:t>
      </w:r>
      <w:r>
        <w:rPr>
          <w:rFonts w:ascii="Palatino Linotype" w:eastAsia="Palatino Linotype" w:hAnsi="Palatino Linotype" w:cs="Palatino Linotype"/>
          <w:i/>
        </w:rPr>
        <w:t xml:space="preserve"> Quienes generen, recopilen, administren, manejen, procesen, archiven o conserven información pú</w:t>
      </w:r>
      <w:r>
        <w:rPr>
          <w:rFonts w:ascii="Palatino Linotype" w:eastAsia="Palatino Linotype" w:hAnsi="Palatino Linotype" w:cs="Palatino Linotype"/>
          <w:i/>
        </w:rPr>
        <w:t xml:space="preserve">blica serán responsables de la misma en los términos de las disposiciones jurídicas aplicables. </w:t>
      </w:r>
    </w:p>
    <w:p w:rsidR="000E2AD0" w:rsidRDefault="000E2AD0">
      <w:pPr>
        <w:spacing w:after="0"/>
        <w:ind w:left="851" w:right="843"/>
        <w:jc w:val="both"/>
        <w:rPr>
          <w:rFonts w:ascii="Palatino Linotype" w:eastAsia="Palatino Linotype" w:hAnsi="Palatino Linotype" w:cs="Palatino Linotype"/>
          <w:i/>
        </w:rPr>
      </w:pPr>
    </w:p>
    <w:p w:rsidR="000E2AD0" w:rsidRDefault="00703F9D">
      <w:pPr>
        <w:spacing w:after="0"/>
        <w:ind w:left="851" w:right="843"/>
        <w:jc w:val="both"/>
        <w:rPr>
          <w:rFonts w:ascii="Palatino Linotype" w:eastAsia="Palatino Linotype" w:hAnsi="Palatino Linotype" w:cs="Palatino Linotype"/>
          <w:i/>
        </w:rPr>
      </w:pPr>
      <w:r>
        <w:rPr>
          <w:rFonts w:ascii="Palatino Linotype" w:eastAsia="Palatino Linotype" w:hAnsi="Palatino Linotype" w:cs="Palatino Linotype"/>
          <w:i/>
        </w:rPr>
        <w:t>Los sujetos obligados sólo proporcionarán la información pública que se les requiera y que obre en sus archivos y en el estado en que ésta se encuentre. La ob</w:t>
      </w:r>
      <w:r>
        <w:rPr>
          <w:rFonts w:ascii="Palatino Linotype" w:eastAsia="Palatino Linotype" w:hAnsi="Palatino Linotype" w:cs="Palatino Linotype"/>
          <w:i/>
        </w:rPr>
        <w:t xml:space="preserve">ligación de proporcionar información no comprende el procesamiento de la misma, ni el presentarla conforme al interés del solicitante; no estarán obligados a generarla, resumirla, efectuar cálculos o practicar investigaciones.” </w:t>
      </w:r>
    </w:p>
    <w:p w:rsidR="000E2AD0" w:rsidRDefault="000E2AD0">
      <w:pPr>
        <w:spacing w:after="0" w:line="360" w:lineRule="auto"/>
        <w:ind w:right="49"/>
        <w:jc w:val="both"/>
        <w:rPr>
          <w:rFonts w:ascii="Palatino Linotype" w:eastAsia="Palatino Linotype" w:hAnsi="Palatino Linotype" w:cs="Palatino Linotype"/>
        </w:rPr>
      </w:pPr>
    </w:p>
    <w:p w:rsidR="000E2AD0" w:rsidRDefault="00703F9D">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 no tienen el deber de generar, poseer o administrar la infor</w:t>
      </w:r>
      <w:r>
        <w:rPr>
          <w:rFonts w:ascii="Palatino Linotype" w:eastAsia="Palatino Linotype" w:hAnsi="Palatino Linotype" w:cs="Palatino Linotype"/>
        </w:rPr>
        <w:t>mación pública con el grado de detalle solicitado; esto es, que no tienen el deber de generar un documento ad hoc, para satisfacer el derecho de acceso a la información pública, como así lo establece el Criterio orientador 03/17 emitido por el entonces Ins</w:t>
      </w:r>
      <w:r>
        <w:rPr>
          <w:rFonts w:ascii="Palatino Linotype" w:eastAsia="Palatino Linotype" w:hAnsi="Palatino Linotype" w:cs="Palatino Linotype"/>
        </w:rPr>
        <w:t>tituto Nacional de Transparencia, Acceso a la Información Pública y Protección de Datos Personales, el cual señala lo siguiente:</w:t>
      </w:r>
    </w:p>
    <w:p w:rsidR="000E2AD0" w:rsidRDefault="000E2AD0">
      <w:pPr>
        <w:spacing w:after="0" w:line="360" w:lineRule="auto"/>
        <w:ind w:right="49"/>
        <w:jc w:val="both"/>
        <w:rPr>
          <w:rFonts w:ascii="Palatino Linotype" w:eastAsia="Palatino Linotype" w:hAnsi="Palatino Linotype" w:cs="Palatino Linotype"/>
        </w:rPr>
      </w:pPr>
    </w:p>
    <w:p w:rsidR="000E2AD0" w:rsidRDefault="00703F9D">
      <w:pPr>
        <w:spacing w:after="0"/>
        <w:ind w:left="851" w:right="843"/>
        <w:jc w:val="both"/>
        <w:rPr>
          <w:rFonts w:ascii="Palatino Linotype" w:eastAsia="Palatino Linotype" w:hAnsi="Palatino Linotype" w:cs="Palatino Linotype"/>
          <w:b/>
          <w:i/>
        </w:rPr>
      </w:pPr>
      <w:r>
        <w:rPr>
          <w:rFonts w:ascii="Palatino Linotype" w:eastAsia="Palatino Linotype" w:hAnsi="Palatino Linotype" w:cs="Palatino Linotype"/>
          <w:b/>
          <w:i/>
        </w:rPr>
        <w:t>Criterio 03/17</w:t>
      </w:r>
    </w:p>
    <w:p w:rsidR="000E2AD0" w:rsidRDefault="00703F9D">
      <w:pPr>
        <w:spacing w:after="0"/>
        <w:ind w:left="851" w:right="843"/>
        <w:jc w:val="both"/>
        <w:rPr>
          <w:rFonts w:ascii="Palatino Linotype" w:eastAsia="Palatino Linotype" w:hAnsi="Palatino Linotype" w:cs="Palatino Linotype"/>
          <w:i/>
        </w:rPr>
      </w:pPr>
      <w:r>
        <w:rPr>
          <w:rFonts w:ascii="Palatino Linotype" w:eastAsia="Palatino Linotype" w:hAnsi="Palatino Linotype" w:cs="Palatino Linotype"/>
          <w:b/>
          <w:i/>
        </w:rPr>
        <w:t xml:space="preserve">“NO EXISTE OBLIGACIÓN DE ELABORAR DOCUMENTOS AD HOC PARA ATENDER LAS SOLICITUDES DE ACCESO A LA INFORMACIÓN. </w:t>
      </w:r>
      <w:r>
        <w:rPr>
          <w:rFonts w:ascii="Palatino Linotype" w:eastAsia="Palatino Linotype" w:hAnsi="Palatino Linotype" w:cs="Palatino Linotype"/>
          <w:i/>
        </w:rPr>
        <w:t>Lo</w:t>
      </w:r>
      <w:r>
        <w:rPr>
          <w:rFonts w:ascii="Palatino Linotype" w:eastAsia="Palatino Linotype" w:hAnsi="Palatino Linotype" w:cs="Palatino Linotype"/>
          <w:i/>
        </w:rPr>
        <w:t xml:space="preserve">s artículos 129 de la Ley General de Transparencia y Acceso a la Información Pública y 130, párrafo cuarto, de la Ley Federal de Transparencia y Acceso a la Información Pública, señalan que los sujetos obligados deberán otorgar acceso a los documentos que </w:t>
      </w:r>
      <w:r>
        <w:rPr>
          <w:rFonts w:ascii="Palatino Linotype" w:eastAsia="Palatino Linotype" w:hAnsi="Palatino Linotype" w:cs="Palatino Linotype"/>
          <w:i/>
        </w:rPr>
        <w:t>se encuentren en sus archivos o que estén obligados a documentar, de acuerdo con sus facultades, competencias o funciones, conforme a Las características físicas de la información o del lugar donde se encuentre. Por lo anterior, los sujetos obligados deben</w:t>
      </w:r>
      <w:r>
        <w:rPr>
          <w:rFonts w:ascii="Palatino Linotype" w:eastAsia="Palatino Linotype" w:hAnsi="Palatino Linotype" w:cs="Palatino Linotype"/>
          <w:i/>
        </w:rPr>
        <w:t xml:space="preserve"> garantizar el derecho de acceso a la información del particular, proporcionando la información con la que cuentan en el formato en que la misma obre en sus archivos; sin necesidad de elaborar documentos ad hoc para atender las solicitudes de información."</w:t>
      </w:r>
    </w:p>
    <w:p w:rsidR="000E2AD0" w:rsidRDefault="000E2AD0">
      <w:pPr>
        <w:spacing w:after="0" w:line="360" w:lineRule="auto"/>
        <w:ind w:left="567" w:right="560"/>
        <w:jc w:val="both"/>
        <w:rPr>
          <w:rFonts w:ascii="Palatino Linotype" w:eastAsia="Palatino Linotype" w:hAnsi="Palatino Linotype" w:cs="Palatino Linotype"/>
          <w:b/>
          <w:i/>
        </w:rPr>
      </w:pPr>
    </w:p>
    <w:p w:rsidR="000E2AD0" w:rsidRDefault="00703F9D">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w:t>
      </w:r>
      <w:r>
        <w:rPr>
          <w:rFonts w:ascii="Palatino Linotype" w:eastAsia="Palatino Linotype" w:hAnsi="Palatino Linotype" w:cs="Palatino Linotype"/>
        </w:rPr>
        <w:t>onsiguiente, la información pública se encuentra a disposición de cualquier persona, lo que implica que es deber de los Sujetos Obligados, garantizar el Derecho de Acceso a la Información Pública.</w:t>
      </w:r>
    </w:p>
    <w:p w:rsidR="000E2AD0" w:rsidRDefault="000E2AD0">
      <w:pPr>
        <w:spacing w:after="0" w:line="360" w:lineRule="auto"/>
        <w:ind w:right="49"/>
        <w:jc w:val="both"/>
        <w:rPr>
          <w:rFonts w:ascii="Palatino Linotype" w:eastAsia="Palatino Linotype" w:hAnsi="Palatino Linotype" w:cs="Palatino Linotype"/>
        </w:rPr>
      </w:pPr>
    </w:p>
    <w:p w:rsidR="000E2AD0" w:rsidRDefault="00703F9D">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w:t>
      </w:r>
      <w:r>
        <w:rPr>
          <w:rFonts w:ascii="Palatino Linotype" w:eastAsia="Palatino Linotype" w:hAnsi="Palatino Linotype" w:cs="Palatino Linotype"/>
        </w:rPr>
        <w:t>asificada, que difundirla pondría en riesgo la seguridad jurídica y física del titular de la información, debiendo tener audacia los Sujetos Obligados para cuidar esta información a través del acuerdo clasificatorio del comité de transparencia y la versión</w:t>
      </w:r>
      <w:r>
        <w:rPr>
          <w:rFonts w:ascii="Palatino Linotype" w:eastAsia="Palatino Linotype" w:hAnsi="Palatino Linotype" w:cs="Palatino Linotype"/>
        </w:rPr>
        <w:t xml:space="preserve"> pública que emita el servidor público habilitado de cada Sujeto Obligado; como así se establece en la Ley de Transparencia y Acceso a la Información Pública del Estado de México y Municipios.</w:t>
      </w:r>
    </w:p>
    <w:p w:rsidR="000E2AD0" w:rsidRDefault="000E2AD0">
      <w:pPr>
        <w:spacing w:after="0" w:line="360" w:lineRule="auto"/>
        <w:ind w:right="49"/>
        <w:jc w:val="both"/>
        <w:rPr>
          <w:rFonts w:ascii="Palatino Linotype" w:eastAsia="Palatino Linotype" w:hAnsi="Palatino Linotype" w:cs="Palatino Linotype"/>
        </w:rPr>
      </w:pPr>
    </w:p>
    <w:p w:rsidR="000E2AD0" w:rsidRDefault="00703F9D">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w:t>
      </w:r>
      <w:r>
        <w:rPr>
          <w:rFonts w:ascii="Palatino Linotype" w:eastAsia="Palatino Linotype" w:hAnsi="Palatino Linotype" w:cs="Palatino Linotype"/>
        </w:rPr>
        <w:t>consiste en que la información solicitada conste en un documento en cualquiera de sus formas, a saber: expedientes, reportes, estudios, actas, resoluciones, oficios, correspondencia, acuerdos, directivas, directrices, circulares, contratos, convenios, inst</w:t>
      </w:r>
      <w:r>
        <w:rPr>
          <w:rFonts w:ascii="Palatino Linotype" w:eastAsia="Palatino Linotype" w:hAnsi="Palatino Linotype" w:cs="Palatino Linotype"/>
        </w:rPr>
        <w:t>ructivos, notas, memorandos, estadísticas o bien, cualquier otro registro que documente el ejercicio de las facultades, funciones y competencias de los Sujetos Obligados; los que, podrán estar en cualquier medio, sea escrito, impreso, sonoro, visual, elect</w:t>
      </w:r>
      <w:r>
        <w:rPr>
          <w:rFonts w:ascii="Palatino Linotype" w:eastAsia="Palatino Linotype" w:hAnsi="Palatino Linotype" w:cs="Palatino Linotype"/>
        </w:rPr>
        <w:t xml:space="preserve">rónico, informático u holográfico de conformidad con el artículo 3, fracción XI de la Ley de la materia, el cual señala lo siguiente: </w:t>
      </w:r>
    </w:p>
    <w:p w:rsidR="000E2AD0" w:rsidRDefault="000E2AD0">
      <w:pPr>
        <w:spacing w:after="0" w:line="360" w:lineRule="auto"/>
        <w:ind w:right="49"/>
        <w:jc w:val="both"/>
        <w:rPr>
          <w:rFonts w:ascii="Palatino Linotype" w:eastAsia="Palatino Linotype" w:hAnsi="Palatino Linotype" w:cs="Palatino Linotype"/>
        </w:rPr>
      </w:pPr>
    </w:p>
    <w:p w:rsidR="000E2AD0" w:rsidRDefault="00703F9D">
      <w:pPr>
        <w:spacing w:after="0"/>
        <w:ind w:left="851" w:right="843"/>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3.</w:t>
      </w:r>
      <w:r>
        <w:rPr>
          <w:rFonts w:ascii="Palatino Linotype" w:eastAsia="Palatino Linotype" w:hAnsi="Palatino Linotype" w:cs="Palatino Linotype"/>
          <w:i/>
        </w:rPr>
        <w:t xml:space="preserve"> Para los efectos de la presente Ley se entenderá por:</w:t>
      </w:r>
    </w:p>
    <w:p w:rsidR="000E2AD0" w:rsidRDefault="00703F9D">
      <w:pPr>
        <w:spacing w:after="0"/>
        <w:ind w:left="851" w:right="843"/>
        <w:jc w:val="both"/>
        <w:rPr>
          <w:rFonts w:ascii="Palatino Linotype" w:eastAsia="Palatino Linotype" w:hAnsi="Palatino Linotype" w:cs="Palatino Linotype"/>
          <w:i/>
        </w:rPr>
      </w:pPr>
      <w:r>
        <w:rPr>
          <w:rFonts w:ascii="Palatino Linotype" w:eastAsia="Palatino Linotype" w:hAnsi="Palatino Linotype" w:cs="Palatino Linotype"/>
          <w:i/>
        </w:rPr>
        <w:t>…</w:t>
      </w:r>
    </w:p>
    <w:p w:rsidR="000E2AD0" w:rsidRDefault="00703F9D">
      <w:pPr>
        <w:spacing w:after="0"/>
        <w:ind w:left="851" w:right="843"/>
        <w:jc w:val="both"/>
        <w:rPr>
          <w:rFonts w:ascii="Palatino Linotype" w:eastAsia="Palatino Linotype" w:hAnsi="Palatino Linotype" w:cs="Palatino Linotype"/>
          <w:i/>
        </w:rPr>
      </w:pPr>
      <w:r>
        <w:rPr>
          <w:rFonts w:ascii="Palatino Linotype" w:eastAsia="Palatino Linotype" w:hAnsi="Palatino Linotype" w:cs="Palatino Linotype"/>
          <w:b/>
          <w:i/>
        </w:rPr>
        <w:t>XI. Documento:</w:t>
      </w:r>
      <w:r>
        <w:rPr>
          <w:rFonts w:ascii="Palatino Linotype" w:eastAsia="Palatino Linotype" w:hAnsi="Palatino Linotype" w:cs="Palatino Linotype"/>
          <w:i/>
        </w:rPr>
        <w:t xml:space="preserve"> Los expedientes, reportes, estudios,</w:t>
      </w:r>
      <w:r>
        <w:rPr>
          <w:rFonts w:ascii="Palatino Linotype" w:eastAsia="Palatino Linotype" w:hAnsi="Palatino Linotype" w:cs="Palatino Linotype"/>
          <w:i/>
        </w:rPr>
        <w:t xml:space="preserve"> actas, resoluciones, oficios, correspondencia, acuerdos, directivas, directrices, circulares, contratos, convenios, instructivos, notas, memorandos, estadísticas o bien, cualquier otro registro que documente el ejercicio de las facultades, funciones y com</w:t>
      </w:r>
      <w:r>
        <w:rPr>
          <w:rFonts w:ascii="Palatino Linotype" w:eastAsia="Palatino Linotype" w:hAnsi="Palatino Linotype" w:cs="Palatino Linotype"/>
          <w:i/>
        </w:rPr>
        <w:t xml:space="preserve">petencias de los sujetos obligados, sus servidores públicos e integrantes, sin importar su fuente o fecha de elaboración. Los documentos podrán estar en cualquier medio, sea escrito, impreso, sonoro, visual, electrónico, informático u holográfico…” </w:t>
      </w:r>
    </w:p>
    <w:p w:rsidR="000E2AD0" w:rsidRDefault="000E2AD0">
      <w:pPr>
        <w:spacing w:after="0" w:line="360" w:lineRule="auto"/>
        <w:ind w:right="49"/>
        <w:jc w:val="both"/>
        <w:rPr>
          <w:rFonts w:ascii="Palatino Linotype" w:eastAsia="Palatino Linotype" w:hAnsi="Palatino Linotype" w:cs="Palatino Linotype"/>
        </w:rPr>
      </w:pPr>
    </w:p>
    <w:p w:rsidR="000E2AD0" w:rsidRDefault="00703F9D">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Siend</w:t>
      </w:r>
      <w:r>
        <w:rPr>
          <w:rFonts w:ascii="Palatino Linotype" w:eastAsia="Palatino Linotype" w:hAnsi="Palatino Linotype" w:cs="Palatino Linotype"/>
        </w:rPr>
        <w:t>o aplicable, el Criterio de interpretación en el orden administrativo número 0002-11, emitido por Acuerdo del Pleno del Instituto de Transparencia y Acceso a la Información Pública del Estado de México y Municipios; publicado en el Periódico Oficial del Go</w:t>
      </w:r>
      <w:r>
        <w:rPr>
          <w:rFonts w:ascii="Palatino Linotype" w:eastAsia="Palatino Linotype" w:hAnsi="Palatino Linotype" w:cs="Palatino Linotype"/>
        </w:rPr>
        <w:t>bierno del Estado Libre y Soberano de México “Gaceta del Gobierno”, el diecinueve de octubre de dos mil once, cuyo rubro y texto refieren lo siguiente:</w:t>
      </w:r>
    </w:p>
    <w:p w:rsidR="000E2AD0" w:rsidRDefault="000E2AD0">
      <w:pPr>
        <w:spacing w:after="0" w:line="360" w:lineRule="auto"/>
        <w:ind w:right="49"/>
        <w:jc w:val="both"/>
        <w:rPr>
          <w:rFonts w:ascii="Palatino Linotype" w:eastAsia="Palatino Linotype" w:hAnsi="Palatino Linotype" w:cs="Palatino Linotype"/>
        </w:rPr>
      </w:pPr>
    </w:p>
    <w:p w:rsidR="000E2AD0" w:rsidRDefault="00703F9D">
      <w:pPr>
        <w:spacing w:after="0"/>
        <w:ind w:left="851" w:right="843"/>
        <w:jc w:val="both"/>
        <w:rPr>
          <w:rFonts w:ascii="Palatino Linotype" w:eastAsia="Palatino Linotype" w:hAnsi="Palatino Linotype" w:cs="Palatino Linotype"/>
          <w:b/>
          <w:i/>
        </w:rPr>
      </w:pPr>
      <w:r>
        <w:rPr>
          <w:rFonts w:ascii="Palatino Linotype" w:eastAsia="Palatino Linotype" w:hAnsi="Palatino Linotype" w:cs="Palatino Linotype"/>
          <w:i/>
        </w:rPr>
        <w:t>“</w:t>
      </w:r>
      <w:r>
        <w:rPr>
          <w:rFonts w:ascii="Palatino Linotype" w:eastAsia="Palatino Linotype" w:hAnsi="Palatino Linotype" w:cs="Palatino Linotype"/>
          <w:b/>
          <w:i/>
        </w:rPr>
        <w:t>CRITERIO 0002-11</w:t>
      </w:r>
    </w:p>
    <w:p w:rsidR="000E2AD0" w:rsidRDefault="00703F9D">
      <w:pPr>
        <w:spacing w:after="0"/>
        <w:ind w:left="851" w:right="843"/>
        <w:jc w:val="both"/>
        <w:rPr>
          <w:rFonts w:ascii="Palatino Linotype" w:eastAsia="Palatino Linotype" w:hAnsi="Palatino Linotype" w:cs="Palatino Linotype"/>
          <w:i/>
        </w:rPr>
      </w:pPr>
      <w:r>
        <w:rPr>
          <w:rFonts w:ascii="Palatino Linotype" w:eastAsia="Palatino Linotype" w:hAnsi="Palatino Linotype" w:cs="Palatino Linotype"/>
          <w:b/>
          <w:i/>
        </w:rPr>
        <w:t>INFORMACIÓN PÚBLICA, CONCEPTO DE, EN MATERIA DE TRANSPARENCIA. INTERPRETACIÓN SISTEMÁTICA DE LOS ARTÍCULOS 2°, FRACCIÓN V, XV, Y XVI, 3°, 4°, 11 Y 41.</w:t>
      </w:r>
      <w:r>
        <w:rPr>
          <w:rFonts w:ascii="Palatino Linotype" w:eastAsia="Palatino Linotype" w:hAnsi="Palatino Linotype" w:cs="Palatino Linotype"/>
          <w:i/>
        </w:rPr>
        <w:t xml:space="preserve"> De conformidad con los artículos antes referidos, el derecho de acceso a la información pública, se defin</w:t>
      </w:r>
      <w:r>
        <w:rPr>
          <w:rFonts w:ascii="Palatino Linotype" w:eastAsia="Palatino Linotype" w:hAnsi="Palatino Linotype" w:cs="Palatino Linotype"/>
          <w:i/>
        </w:rPr>
        <w:t>e en cuanto a su alcance y resultado material, el acceso a los archivos, registros y documentos públicos, administrados, generados o en posesión de los órganos u organismos públicos, en virtud del ejercicio de sus funciones de derecho público, sin importar</w:t>
      </w:r>
      <w:r>
        <w:rPr>
          <w:rFonts w:ascii="Palatino Linotype" w:eastAsia="Palatino Linotype" w:hAnsi="Palatino Linotype" w:cs="Palatino Linotype"/>
          <w:i/>
        </w:rPr>
        <w:t xml:space="preserve"> su fuente, soporte o fecha de elaboración.</w:t>
      </w:r>
    </w:p>
    <w:p w:rsidR="000E2AD0" w:rsidRDefault="00703F9D">
      <w:pPr>
        <w:spacing w:after="0"/>
        <w:ind w:left="851" w:right="843"/>
        <w:jc w:val="both"/>
        <w:rPr>
          <w:rFonts w:ascii="Palatino Linotype" w:eastAsia="Palatino Linotype" w:hAnsi="Palatino Linotype" w:cs="Palatino Linotype"/>
          <w:i/>
        </w:rPr>
      </w:pPr>
      <w:r>
        <w:rPr>
          <w:rFonts w:ascii="Palatino Linotype" w:eastAsia="Palatino Linotype" w:hAnsi="Palatino Linotype" w:cs="Palatino Linotype"/>
          <w:i/>
        </w:rPr>
        <w:t>En consecuencia el acceso a la información se refiere a que se cumplan cualquiera de los siguientes tres supuestos:</w:t>
      </w:r>
    </w:p>
    <w:p w:rsidR="000E2AD0" w:rsidRDefault="00703F9D">
      <w:pPr>
        <w:spacing w:after="0"/>
        <w:ind w:left="851" w:right="843"/>
        <w:jc w:val="both"/>
        <w:rPr>
          <w:rFonts w:ascii="Palatino Linotype" w:eastAsia="Palatino Linotype" w:hAnsi="Palatino Linotype" w:cs="Palatino Linotype"/>
          <w:i/>
        </w:rPr>
      </w:pPr>
      <w:r>
        <w:rPr>
          <w:rFonts w:ascii="Palatino Linotype" w:eastAsia="Palatino Linotype" w:hAnsi="Palatino Linotype" w:cs="Palatino Linotype"/>
          <w:i/>
        </w:rPr>
        <w:t>1)</w:t>
      </w:r>
      <w:r>
        <w:rPr>
          <w:rFonts w:ascii="Palatino Linotype" w:eastAsia="Palatino Linotype" w:hAnsi="Palatino Linotype" w:cs="Palatino Linotype"/>
          <w:i/>
        </w:rPr>
        <w:tab/>
        <w:t>Que se trate de información registrada en cualquier soporte documental, que en ejercicio de l</w:t>
      </w:r>
      <w:r>
        <w:rPr>
          <w:rFonts w:ascii="Palatino Linotype" w:eastAsia="Palatino Linotype" w:hAnsi="Palatino Linotype" w:cs="Palatino Linotype"/>
          <w:i/>
        </w:rPr>
        <w:t>as atribuciones conferidas, sea generada por los Sujetos Obligados;</w:t>
      </w:r>
    </w:p>
    <w:p w:rsidR="000E2AD0" w:rsidRDefault="00703F9D">
      <w:pPr>
        <w:spacing w:after="0"/>
        <w:ind w:left="851" w:right="843"/>
        <w:jc w:val="both"/>
        <w:rPr>
          <w:rFonts w:ascii="Palatino Linotype" w:eastAsia="Palatino Linotype" w:hAnsi="Palatino Linotype" w:cs="Palatino Linotype"/>
          <w:i/>
        </w:rPr>
      </w:pPr>
      <w:r>
        <w:rPr>
          <w:rFonts w:ascii="Palatino Linotype" w:eastAsia="Palatino Linotype" w:hAnsi="Palatino Linotype" w:cs="Palatino Linotype"/>
          <w:i/>
        </w:rPr>
        <w:t>2)</w:t>
      </w:r>
      <w:r>
        <w:rPr>
          <w:rFonts w:ascii="Palatino Linotype" w:eastAsia="Palatino Linotype" w:hAnsi="Palatino Linotype" w:cs="Palatino Linotype"/>
          <w:i/>
        </w:rPr>
        <w:tab/>
        <w:t>Que se trate de información registrada en cualquier soporte documental, que en ejercicio de las atribuciones conferidas, sea administrada por los Sujetos Obligados, y</w:t>
      </w:r>
    </w:p>
    <w:p w:rsidR="000E2AD0" w:rsidRDefault="00703F9D">
      <w:pPr>
        <w:spacing w:after="0"/>
        <w:ind w:left="851" w:right="843"/>
        <w:jc w:val="both"/>
        <w:rPr>
          <w:rFonts w:ascii="Palatino Linotype" w:eastAsia="Palatino Linotype" w:hAnsi="Palatino Linotype" w:cs="Palatino Linotype"/>
          <w:i/>
        </w:rPr>
      </w:pPr>
      <w:r>
        <w:rPr>
          <w:rFonts w:ascii="Palatino Linotype" w:eastAsia="Palatino Linotype" w:hAnsi="Palatino Linotype" w:cs="Palatino Linotype"/>
          <w:i/>
        </w:rPr>
        <w:t>3) Que se trate de</w:t>
      </w:r>
      <w:r>
        <w:rPr>
          <w:rFonts w:ascii="Palatino Linotype" w:eastAsia="Palatino Linotype" w:hAnsi="Palatino Linotype" w:cs="Palatino Linotype"/>
          <w:i/>
        </w:rPr>
        <w:t xml:space="preserve"> información registrada en cualquier soporte documental, que en ejercicio de las atribuciones conferidas, se encuentre en posesión de los Sujetos Obligados.” </w:t>
      </w:r>
    </w:p>
    <w:p w:rsidR="000E2AD0" w:rsidRDefault="000E2AD0">
      <w:pPr>
        <w:spacing w:after="0" w:line="360" w:lineRule="auto"/>
        <w:ind w:right="49"/>
        <w:jc w:val="both"/>
        <w:rPr>
          <w:rFonts w:ascii="Palatino Linotype" w:eastAsia="Palatino Linotype" w:hAnsi="Palatino Linotype" w:cs="Palatino Linotype"/>
        </w:rPr>
      </w:pPr>
    </w:p>
    <w:p w:rsidR="000E2AD0" w:rsidRDefault="00703F9D">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De ahí que el Sujeto Obligado cuenta con el deber de satisfacer las solicitudes de acceso a la i</w:t>
      </w:r>
      <w:r>
        <w:rPr>
          <w:rFonts w:ascii="Palatino Linotype" w:eastAsia="Palatino Linotype" w:hAnsi="Palatino Linotype" w:cs="Palatino Linotype"/>
        </w:rPr>
        <w:t>nformación que le sean formuladas y entregar la información pública que obre en sus archivos; más aún si la misma se trata de información pública de oficio la cual se relaciona con aquella que se genere de acuerdo con sus facultades, atribuciones señaladas</w:t>
      </w:r>
      <w:r>
        <w:rPr>
          <w:rFonts w:ascii="Palatino Linotype" w:eastAsia="Palatino Linotype" w:hAnsi="Palatino Linotype" w:cs="Palatino Linotype"/>
        </w:rPr>
        <w:t xml:space="preserve"> por la Ley en la materia, así como de interés público, es decir, aquella que resulta relevante o beneficiosa para la sociedad y no simplemente de interés individual y cuya divulgación resulta útil para que el público comprenda las actividades que llevan a</w:t>
      </w:r>
      <w:r>
        <w:rPr>
          <w:rFonts w:ascii="Palatino Linotype" w:eastAsia="Palatino Linotype" w:hAnsi="Palatino Linotype" w:cs="Palatino Linotype"/>
        </w:rPr>
        <w:t xml:space="preserve"> cabo los Sujetos Obligados .</w:t>
      </w:r>
    </w:p>
    <w:p w:rsidR="000E2AD0" w:rsidRDefault="000E2AD0">
      <w:pPr>
        <w:spacing w:after="0" w:line="360" w:lineRule="auto"/>
        <w:ind w:right="49"/>
        <w:jc w:val="both"/>
        <w:rPr>
          <w:rFonts w:ascii="Palatino Linotype" w:eastAsia="Palatino Linotype" w:hAnsi="Palatino Linotype" w:cs="Palatino Linotype"/>
        </w:rPr>
      </w:pPr>
    </w:p>
    <w:p w:rsidR="000E2AD0" w:rsidRDefault="00703F9D">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De las actuaciones que integran el expediente electrónico, se procede al análisis de los agravios hechos valer por la parte Recurrente, relativos a la entrega de la información incompleta, lo que actualiza la causal de proced</w:t>
      </w:r>
      <w:r>
        <w:rPr>
          <w:rFonts w:ascii="Palatino Linotype" w:eastAsia="Palatino Linotype" w:hAnsi="Palatino Linotype" w:cs="Palatino Linotype"/>
        </w:rPr>
        <w:t>encia prevista en la fracción I del artículo 179 de la Ley de Transparencia y Acceso a la Información Pública del Estado de México y Municipios.</w:t>
      </w:r>
    </w:p>
    <w:p w:rsidR="000E2AD0" w:rsidRDefault="000E2AD0">
      <w:pPr>
        <w:spacing w:after="0" w:line="360" w:lineRule="auto"/>
        <w:ind w:right="49"/>
        <w:jc w:val="both"/>
        <w:rPr>
          <w:rFonts w:ascii="Palatino Linotype" w:eastAsia="Palatino Linotype" w:hAnsi="Palatino Linotype" w:cs="Palatino Linotype"/>
        </w:rPr>
      </w:pPr>
    </w:p>
    <w:p w:rsidR="000E2AD0" w:rsidRDefault="00703F9D">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Para ello, en principio resulta recordar que la pretensión de la parte ahora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es obtener la siguient</w:t>
      </w:r>
      <w:r>
        <w:rPr>
          <w:rFonts w:ascii="Palatino Linotype" w:eastAsia="Palatino Linotype" w:hAnsi="Palatino Linotype" w:cs="Palatino Linotype"/>
        </w:rPr>
        <w:t xml:space="preserve">e información: </w:t>
      </w:r>
    </w:p>
    <w:p w:rsidR="000E2AD0" w:rsidRDefault="000E2AD0">
      <w:pPr>
        <w:spacing w:after="0" w:line="360" w:lineRule="auto"/>
        <w:ind w:right="49"/>
        <w:jc w:val="both"/>
        <w:rPr>
          <w:rFonts w:ascii="Palatino Linotype" w:eastAsia="Palatino Linotype" w:hAnsi="Palatino Linotype" w:cs="Palatino Linotype"/>
        </w:rPr>
      </w:pPr>
    </w:p>
    <w:p w:rsidR="000E2AD0" w:rsidRDefault="00703F9D">
      <w:pPr>
        <w:numPr>
          <w:ilvl w:val="0"/>
          <w:numId w:val="10"/>
        </w:num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b/>
        </w:rPr>
      </w:pPr>
      <w:bookmarkStart w:id="3" w:name="_heading=h.sjfir8rj4te0" w:colFirst="0" w:colLast="0"/>
      <w:bookmarkEnd w:id="3"/>
      <w:r>
        <w:rPr>
          <w:rFonts w:ascii="Palatino Linotype" w:eastAsia="Palatino Linotype" w:hAnsi="Palatino Linotype" w:cs="Palatino Linotype"/>
          <w:b/>
        </w:rPr>
        <w:t xml:space="preserve">Bitácoras del consumo de combustible de todas las unidades de marzo 2025, </w:t>
      </w:r>
    </w:p>
    <w:p w:rsidR="000E2AD0" w:rsidRDefault="00703F9D">
      <w:pPr>
        <w:numPr>
          <w:ilvl w:val="0"/>
          <w:numId w:val="10"/>
        </w:num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t xml:space="preserve">Facturas de combustible y </w:t>
      </w:r>
    </w:p>
    <w:p w:rsidR="000E2AD0" w:rsidRDefault="00703F9D">
      <w:pPr>
        <w:numPr>
          <w:ilvl w:val="0"/>
          <w:numId w:val="10"/>
        </w:num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t xml:space="preserve">Contrato realizado con la gasolinera. </w:t>
      </w:r>
    </w:p>
    <w:p w:rsidR="000E2AD0" w:rsidRDefault="000E2AD0">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p>
    <w:p w:rsidR="000E2AD0" w:rsidRDefault="00703F9D">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respuesta,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Tesorero del Sistema Municipal informó la entrega de las bitácoras de gasolina, facturas y contrato solicitado en versión pública, adjuntado los siguientes documentos: </w:t>
      </w:r>
    </w:p>
    <w:p w:rsidR="000E2AD0" w:rsidRDefault="00703F9D">
      <w:pPr>
        <w:numPr>
          <w:ilvl w:val="0"/>
          <w:numId w:val="4"/>
        </w:numPr>
        <w:pBdr>
          <w:top w:val="nil"/>
          <w:left w:val="nil"/>
          <w:bottom w:val="nil"/>
          <w:right w:val="nil"/>
          <w:between w:val="nil"/>
        </w:pBdr>
        <w:spacing w:after="0" w:line="360" w:lineRule="auto"/>
        <w:ind w:left="851" w:right="843"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Anexo 1. Contiene nueve Bitácoras de Consumo de Gasolina / Diésel en versión pública. </w:t>
      </w:r>
    </w:p>
    <w:p w:rsidR="000E2AD0" w:rsidRDefault="00703F9D">
      <w:pPr>
        <w:numPr>
          <w:ilvl w:val="0"/>
          <w:numId w:val="4"/>
        </w:numPr>
        <w:pBdr>
          <w:top w:val="nil"/>
          <w:left w:val="nil"/>
          <w:bottom w:val="nil"/>
          <w:right w:val="nil"/>
          <w:between w:val="nil"/>
        </w:pBdr>
        <w:spacing w:after="0" w:line="360" w:lineRule="auto"/>
        <w:ind w:left="851" w:right="843"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Anexo 2. Contiene factura de pago, en versión pública. </w:t>
      </w:r>
    </w:p>
    <w:p w:rsidR="000E2AD0" w:rsidRDefault="00703F9D">
      <w:pPr>
        <w:numPr>
          <w:ilvl w:val="0"/>
          <w:numId w:val="4"/>
        </w:numPr>
        <w:pBdr>
          <w:top w:val="nil"/>
          <w:left w:val="nil"/>
          <w:bottom w:val="nil"/>
          <w:right w:val="nil"/>
          <w:between w:val="nil"/>
        </w:pBdr>
        <w:spacing w:after="0" w:line="360" w:lineRule="auto"/>
        <w:ind w:left="851" w:right="843"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Anexo 3. Contrato de Suministro de Combustible y Lubricantes, con vigencia del primero de enero al treinta y uno </w:t>
      </w:r>
      <w:r>
        <w:rPr>
          <w:rFonts w:ascii="Palatino Linotype" w:eastAsia="Palatino Linotype" w:hAnsi="Palatino Linotype" w:cs="Palatino Linotype"/>
          <w:color w:val="000000"/>
        </w:rPr>
        <w:t>de diciembre de dos mil veinticinco, en versión pública.</w:t>
      </w:r>
    </w:p>
    <w:p w:rsidR="000E2AD0" w:rsidRDefault="000E2AD0">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p>
    <w:p w:rsidR="000E2AD0" w:rsidRDefault="00703F9D">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Derivado de lo anterior,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se inconformó arguyendo la excesiva clasificación de la información. </w:t>
      </w:r>
    </w:p>
    <w:p w:rsidR="000E2AD0" w:rsidRDefault="000E2AD0">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p>
    <w:p w:rsidR="000E2AD0" w:rsidRDefault="00703F9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Admitido el presente recurso de revisión, en términos del artículo 185 fracción II</w:t>
      </w:r>
      <w:r>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w:t>
      </w:r>
      <w:r>
        <w:rPr>
          <w:rFonts w:ascii="Palatino Linotype" w:eastAsia="Palatino Linotype" w:hAnsi="Palatino Linotype" w:cs="Palatino Linotype"/>
        </w:rPr>
        <w:t>onveniente.</w:t>
      </w:r>
    </w:p>
    <w:p w:rsidR="000E2AD0" w:rsidRDefault="000E2AD0">
      <w:pPr>
        <w:spacing w:after="0" w:line="360" w:lineRule="auto"/>
        <w:jc w:val="both"/>
        <w:rPr>
          <w:rFonts w:ascii="Palatino Linotype" w:eastAsia="Palatino Linotype" w:hAnsi="Palatino Linotype" w:cs="Palatino Linotype"/>
        </w:rPr>
      </w:pPr>
    </w:p>
    <w:p w:rsidR="000E2AD0" w:rsidRDefault="00703F9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Una vez expuestas las posturas de las partes, resulta necesario iniciar el presente análisis esquematizando las constancias vertidas a lo largo de la conformación del expediente electrónico en el siguiente esquema:</w:t>
      </w:r>
    </w:p>
    <w:p w:rsidR="000E2AD0" w:rsidRDefault="000E2AD0">
      <w:pPr>
        <w:spacing w:after="0" w:line="360" w:lineRule="auto"/>
        <w:jc w:val="both"/>
        <w:rPr>
          <w:rFonts w:ascii="Palatino Linotype" w:eastAsia="Palatino Linotype" w:hAnsi="Palatino Linotype" w:cs="Palatino Linotype"/>
        </w:rPr>
      </w:pPr>
    </w:p>
    <w:tbl>
      <w:tblPr>
        <w:tblStyle w:val="a2"/>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4536"/>
        <w:gridCol w:w="2835"/>
      </w:tblGrid>
      <w:tr w:rsidR="000E2AD0">
        <w:trPr>
          <w:trHeight w:val="1174"/>
        </w:trPr>
        <w:tc>
          <w:tcPr>
            <w:tcW w:w="1555" w:type="dxa"/>
            <w:shd w:val="clear" w:color="auto" w:fill="DEEBF6"/>
          </w:tcPr>
          <w:p w:rsidR="000E2AD0" w:rsidRDefault="00703F9D">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Solicitud</w:t>
            </w:r>
          </w:p>
          <w:p w:rsidR="000E2AD0" w:rsidRDefault="00703F9D">
            <w:pPr>
              <w:jc w:val="both"/>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De marzo de dos mil veinticinco</w:t>
            </w:r>
            <w:r>
              <w:rPr>
                <w:rFonts w:ascii="Palatino Linotype" w:eastAsia="Palatino Linotype" w:hAnsi="Palatino Linotype" w:cs="Palatino Linotype"/>
                <w:b/>
                <w:sz w:val="20"/>
                <w:szCs w:val="20"/>
              </w:rPr>
              <w:t>:</w:t>
            </w:r>
          </w:p>
        </w:tc>
        <w:tc>
          <w:tcPr>
            <w:tcW w:w="4536" w:type="dxa"/>
            <w:shd w:val="clear" w:color="auto" w:fill="DEEBF6"/>
          </w:tcPr>
          <w:p w:rsidR="000E2AD0" w:rsidRDefault="00703F9D">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Respuesta</w:t>
            </w:r>
          </w:p>
        </w:tc>
        <w:tc>
          <w:tcPr>
            <w:tcW w:w="2835" w:type="dxa"/>
            <w:shd w:val="clear" w:color="auto" w:fill="DEEBF6"/>
          </w:tcPr>
          <w:p w:rsidR="000E2AD0" w:rsidRDefault="00703F9D">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¿El pronunciamiento del Sujeto Obligado satisface el requerimiento de información?</w:t>
            </w:r>
          </w:p>
        </w:tc>
      </w:tr>
      <w:tr w:rsidR="000E2AD0">
        <w:trPr>
          <w:trHeight w:val="1132"/>
        </w:trPr>
        <w:tc>
          <w:tcPr>
            <w:tcW w:w="1555" w:type="dxa"/>
          </w:tcPr>
          <w:p w:rsidR="000E2AD0" w:rsidRDefault="00703F9D">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Bitácoras del consumo de combustible de todas las unidades</w:t>
            </w:r>
          </w:p>
        </w:tc>
        <w:tc>
          <w:tcPr>
            <w:tcW w:w="4536" w:type="dxa"/>
          </w:tcPr>
          <w:p w:rsidR="000E2AD0" w:rsidRDefault="00703F9D">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La Tesorería del Sistema Municipal hace entrega</w:t>
            </w:r>
            <w:r>
              <w:rPr>
                <w:rFonts w:ascii="Palatino Linotype" w:eastAsia="Palatino Linotype" w:hAnsi="Palatino Linotype" w:cs="Palatino Linotype"/>
                <w:b/>
                <w:sz w:val="20"/>
                <w:szCs w:val="20"/>
              </w:rPr>
              <w:t xml:space="preserve"> </w:t>
            </w:r>
            <w:r>
              <w:rPr>
                <w:rFonts w:ascii="Palatino Linotype" w:eastAsia="Palatino Linotype" w:hAnsi="Palatino Linotype" w:cs="Palatino Linotype"/>
                <w:sz w:val="20"/>
                <w:szCs w:val="20"/>
              </w:rPr>
              <w:t xml:space="preserve">de nueve Bitácoras de </w:t>
            </w:r>
            <w:r>
              <w:rPr>
                <w:rFonts w:ascii="Palatino Linotype" w:eastAsia="Palatino Linotype" w:hAnsi="Palatino Linotype" w:cs="Palatino Linotype"/>
                <w:sz w:val="20"/>
                <w:szCs w:val="20"/>
              </w:rPr>
              <w:t>Consumo de Gasolina / Diésel en versión pública, testando placas y número de serie, número de inventario, proveedor, nombre y firma del operador y observaciones.</w:t>
            </w:r>
          </w:p>
          <w:p w:rsidR="000E2AD0" w:rsidRDefault="000E2AD0">
            <w:pPr>
              <w:jc w:val="both"/>
              <w:rPr>
                <w:rFonts w:ascii="Palatino Linotype" w:eastAsia="Palatino Linotype" w:hAnsi="Palatino Linotype" w:cs="Palatino Linotype"/>
                <w:sz w:val="20"/>
                <w:szCs w:val="20"/>
              </w:rPr>
            </w:pPr>
          </w:p>
        </w:tc>
        <w:tc>
          <w:tcPr>
            <w:tcW w:w="2835" w:type="dxa"/>
          </w:tcPr>
          <w:p w:rsidR="000E2AD0" w:rsidRDefault="00703F9D">
            <w:pPr>
              <w:spacing w:line="36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Parcialmente </w:t>
            </w:r>
          </w:p>
          <w:p w:rsidR="000E2AD0" w:rsidRDefault="00703F9D">
            <w:pPr>
              <w:spacing w:line="276"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Si bien hace entrega de las bitácoras solicitada, lo cierto es que estas se enc</w:t>
            </w:r>
            <w:r>
              <w:rPr>
                <w:rFonts w:ascii="Palatino Linotype" w:eastAsia="Palatino Linotype" w:hAnsi="Palatino Linotype" w:cs="Palatino Linotype"/>
                <w:sz w:val="20"/>
                <w:szCs w:val="20"/>
              </w:rPr>
              <w:t xml:space="preserve">uentran en incorrecta versión pública. Aunado a que fue omiso en adjuntar el acuerdo del Comité de Transparencia que funde y motive la clasificación. </w:t>
            </w:r>
          </w:p>
        </w:tc>
      </w:tr>
      <w:tr w:rsidR="000E2AD0">
        <w:trPr>
          <w:trHeight w:val="2515"/>
        </w:trPr>
        <w:tc>
          <w:tcPr>
            <w:tcW w:w="1555" w:type="dxa"/>
          </w:tcPr>
          <w:p w:rsidR="000E2AD0" w:rsidRDefault="00703F9D">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Facturas de combustible</w:t>
            </w:r>
          </w:p>
        </w:tc>
        <w:tc>
          <w:tcPr>
            <w:tcW w:w="4536" w:type="dxa"/>
          </w:tcPr>
          <w:p w:rsidR="000E2AD0" w:rsidRDefault="00703F9D">
            <w:pPr>
              <w:jc w:val="both"/>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La Tesorería del Sistema Municipal hace entrega</w:t>
            </w:r>
            <w:r>
              <w:rPr>
                <w:rFonts w:ascii="Palatino Linotype" w:eastAsia="Palatino Linotype" w:hAnsi="Palatino Linotype" w:cs="Palatino Linotype"/>
                <w:b/>
                <w:sz w:val="20"/>
                <w:szCs w:val="20"/>
              </w:rPr>
              <w:t xml:space="preserve"> </w:t>
            </w:r>
            <w:r>
              <w:rPr>
                <w:rFonts w:ascii="Palatino Linotype" w:eastAsia="Palatino Linotype" w:hAnsi="Palatino Linotype" w:cs="Palatino Linotype"/>
                <w:sz w:val="20"/>
                <w:szCs w:val="20"/>
              </w:rPr>
              <w:t>de la factura por el pago de combustible, correspondientes al mes de marzo de dos mil veinticinco, en versión pública, testando el proveedor, folio fiscal, número de serie del emisor y/o CSD y número de certificado del SAT, hora de emisión y certificación.</w:t>
            </w:r>
          </w:p>
        </w:tc>
        <w:tc>
          <w:tcPr>
            <w:tcW w:w="2835" w:type="dxa"/>
          </w:tcPr>
          <w:p w:rsidR="000E2AD0" w:rsidRDefault="00703F9D">
            <w:pPr>
              <w:spacing w:line="360"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 xml:space="preserve">Parcialmente </w:t>
            </w:r>
          </w:p>
          <w:p w:rsidR="000E2AD0" w:rsidRDefault="00703F9D">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Hace entrega de la factura en versión pública, sin embargo, no adjunta el acuerdo del Comité de Transparencia que funde y motive la clasificación. </w:t>
            </w:r>
          </w:p>
        </w:tc>
      </w:tr>
      <w:tr w:rsidR="000E2AD0">
        <w:trPr>
          <w:trHeight w:val="1387"/>
        </w:trPr>
        <w:tc>
          <w:tcPr>
            <w:tcW w:w="1555" w:type="dxa"/>
          </w:tcPr>
          <w:p w:rsidR="000E2AD0" w:rsidRDefault="00703F9D">
            <w:pPr>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Contrato realizado con la gasolinera.</w:t>
            </w:r>
          </w:p>
        </w:tc>
        <w:tc>
          <w:tcPr>
            <w:tcW w:w="4536" w:type="dxa"/>
          </w:tcPr>
          <w:p w:rsidR="000E2AD0" w:rsidRDefault="00703F9D">
            <w:pPr>
              <w:jc w:val="both"/>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La Tesorería del Sistema Municipal hace entrega del Co</w:t>
            </w:r>
            <w:r>
              <w:rPr>
                <w:rFonts w:ascii="Palatino Linotype" w:eastAsia="Palatino Linotype" w:hAnsi="Palatino Linotype" w:cs="Palatino Linotype"/>
                <w:sz w:val="20"/>
                <w:szCs w:val="20"/>
              </w:rPr>
              <w:t>ntrato de Suministro de Combustible y Lubricantes con vigencia del primero de enero al treinta y uno de diciembre de dos mil veinticinco,</w:t>
            </w:r>
            <w:r>
              <w:t xml:space="preserve"> </w:t>
            </w:r>
            <w:r>
              <w:rPr>
                <w:rFonts w:ascii="Palatino Linotype" w:eastAsia="Palatino Linotype" w:hAnsi="Palatino Linotype" w:cs="Palatino Linotype"/>
                <w:sz w:val="20"/>
                <w:szCs w:val="20"/>
              </w:rPr>
              <w:t>testando el nombre, domicilio y RFC del Proveedor, número de folio de identificación oficial del INE..</w:t>
            </w:r>
          </w:p>
        </w:tc>
        <w:tc>
          <w:tcPr>
            <w:tcW w:w="2835" w:type="dxa"/>
          </w:tcPr>
          <w:p w:rsidR="000E2AD0" w:rsidRDefault="00703F9D">
            <w:pPr>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Parcialmente</w:t>
            </w:r>
          </w:p>
          <w:p w:rsidR="000E2AD0" w:rsidRDefault="00703F9D">
            <w:pPr>
              <w:jc w:val="both"/>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Si bien hace entrega de las bitácoras solicitada, lo cierto es que estas se encuentran en incorrecta versión pública. Aunado a que fue omiso en adjuntar el acuerdo del Comité de Transparencia que funde y motive la clasificación.</w:t>
            </w:r>
          </w:p>
        </w:tc>
      </w:tr>
    </w:tbl>
    <w:p w:rsidR="000E2AD0" w:rsidRDefault="000E2AD0">
      <w:pPr>
        <w:spacing w:after="0" w:line="360" w:lineRule="auto"/>
        <w:jc w:val="both"/>
        <w:rPr>
          <w:rFonts w:ascii="Palatino Linotype" w:eastAsia="Palatino Linotype" w:hAnsi="Palatino Linotype" w:cs="Palatino Linotype"/>
        </w:rPr>
      </w:pPr>
    </w:p>
    <w:p w:rsidR="000E2AD0" w:rsidRDefault="00703F9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Del cuadro previamente in</w:t>
      </w:r>
      <w:r>
        <w:rPr>
          <w:rFonts w:ascii="Palatino Linotype" w:eastAsia="Palatino Linotype" w:hAnsi="Palatino Linotype" w:cs="Palatino Linotype"/>
        </w:rPr>
        <w:t xml:space="preserve">sertado, se aprecia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atendió parcialmente la solicitud de información, toda vez que proporcionó las bitácoras de consumo de combustible, facturas y Contrato de suministro de combustible; sin embargo estas se encuentran en versión públ</w:t>
      </w:r>
      <w:r>
        <w:rPr>
          <w:rFonts w:ascii="Palatino Linotype" w:eastAsia="Palatino Linotype" w:hAnsi="Palatino Linotype" w:cs="Palatino Linotype"/>
        </w:rPr>
        <w:t xml:space="preserve">ica sin que se adjuntara el acta del Comité de Transparencia en el que fundara y motiva la clasificación de la información; motivo por el que se inconformó la parte </w:t>
      </w:r>
      <w:r>
        <w:rPr>
          <w:rFonts w:ascii="Palatino Linotype" w:eastAsia="Palatino Linotype" w:hAnsi="Palatino Linotype" w:cs="Palatino Linotype"/>
          <w:b/>
        </w:rPr>
        <w:t>Recurrente</w:t>
      </w:r>
      <w:r>
        <w:rPr>
          <w:rFonts w:ascii="Palatino Linotype" w:eastAsia="Palatino Linotype" w:hAnsi="Palatino Linotype" w:cs="Palatino Linotype"/>
        </w:rPr>
        <w:t>, al considerar como excesiva la clasificación; por lo que se procede analizar di</w:t>
      </w:r>
      <w:r>
        <w:rPr>
          <w:rFonts w:ascii="Palatino Linotype" w:eastAsia="Palatino Linotype" w:hAnsi="Palatino Linotype" w:cs="Palatino Linotype"/>
        </w:rPr>
        <w:t xml:space="preserve">cha clasificación, con la finalidad de advertir si estos se encuentran o no en correcta versión pública: </w:t>
      </w:r>
    </w:p>
    <w:p w:rsidR="000E2AD0" w:rsidRDefault="000E2AD0">
      <w:pPr>
        <w:spacing w:after="0" w:line="360" w:lineRule="auto"/>
        <w:jc w:val="both"/>
        <w:rPr>
          <w:rFonts w:ascii="Palatino Linotype" w:eastAsia="Palatino Linotype" w:hAnsi="Palatino Linotype" w:cs="Palatino Linotype"/>
        </w:rPr>
      </w:pPr>
    </w:p>
    <w:p w:rsidR="000E2AD0" w:rsidRDefault="00703F9D">
      <w:pPr>
        <w:numPr>
          <w:ilvl w:val="0"/>
          <w:numId w:val="11"/>
        </w:num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u w:val="single"/>
        </w:rPr>
        <w:t>De las Bitácoras de Gasolina</w:t>
      </w:r>
      <w:r>
        <w:rPr>
          <w:rFonts w:ascii="Palatino Linotype" w:eastAsia="Palatino Linotype" w:hAnsi="Palatino Linotype" w:cs="Palatino Linotype"/>
          <w:b/>
          <w:color w:val="000000"/>
        </w:rPr>
        <w:t xml:space="preserve"> se testaron los siguientes datos: </w:t>
      </w:r>
    </w:p>
    <w:p w:rsidR="000E2AD0" w:rsidRDefault="000E2AD0">
      <w:pPr>
        <w:spacing w:after="0" w:line="360" w:lineRule="auto"/>
        <w:jc w:val="both"/>
        <w:rPr>
          <w:rFonts w:ascii="Palatino Linotype" w:eastAsia="Palatino Linotype" w:hAnsi="Palatino Linotype" w:cs="Palatino Linotype"/>
        </w:rPr>
      </w:pPr>
    </w:p>
    <w:p w:rsidR="000E2AD0" w:rsidRDefault="00703F9D">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Placas y número de serie. </w:t>
      </w:r>
    </w:p>
    <w:p w:rsidR="000E2AD0" w:rsidRDefault="00703F9D">
      <w:pPr>
        <w:pBdr>
          <w:top w:val="nil"/>
          <w:left w:val="nil"/>
          <w:bottom w:val="nil"/>
          <w:right w:val="nil"/>
          <w:between w:val="nil"/>
        </w:pBdr>
        <w:tabs>
          <w:tab w:val="left" w:pos="426"/>
        </w:tabs>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Se tiene que el número de placa se define como el registro alfanumérico que usan los vehículos automotores para su identificación y circulación legal en todo el territorio mexicano. Por otra parte, el NIV es el número conformado por diecisiete caracteres a</w:t>
      </w:r>
      <w:r>
        <w:rPr>
          <w:rFonts w:ascii="Palatino Linotype" w:eastAsia="Palatino Linotype" w:hAnsi="Palatino Linotype" w:cs="Palatino Linotype"/>
        </w:rPr>
        <w:t>lfanuméricos que identifican a los vehículos de modelos posteriores al año 1998. Se encuentra normalmente en la parte superior del tablero del vehículo o en el marco de las puertas, generalmente en el lado del conductor. En los modelos anteriores al año 19</w:t>
      </w:r>
      <w:r>
        <w:rPr>
          <w:rFonts w:ascii="Palatino Linotype" w:eastAsia="Palatino Linotype" w:hAnsi="Palatino Linotype" w:cs="Palatino Linotype"/>
        </w:rPr>
        <w:t xml:space="preserve">98 a este número se le conocía como serie y es más común que se encuentre localizado en la puerta izquierda del vehículo. </w:t>
      </w:r>
    </w:p>
    <w:p w:rsidR="000E2AD0" w:rsidRDefault="000E2AD0">
      <w:pPr>
        <w:pBdr>
          <w:top w:val="nil"/>
          <w:left w:val="nil"/>
          <w:bottom w:val="nil"/>
          <w:right w:val="nil"/>
          <w:between w:val="nil"/>
        </w:pBdr>
        <w:tabs>
          <w:tab w:val="left" w:pos="426"/>
        </w:tabs>
        <w:spacing w:after="0" w:line="360" w:lineRule="auto"/>
        <w:ind w:right="49"/>
        <w:jc w:val="both"/>
        <w:rPr>
          <w:rFonts w:ascii="Palatino Linotype" w:eastAsia="Palatino Linotype" w:hAnsi="Palatino Linotype" w:cs="Palatino Linotype"/>
        </w:rPr>
      </w:pPr>
    </w:p>
    <w:p w:rsidR="000E2AD0" w:rsidRDefault="00703F9D">
      <w:pPr>
        <w:pBdr>
          <w:top w:val="nil"/>
          <w:left w:val="nil"/>
          <w:bottom w:val="nil"/>
          <w:right w:val="nil"/>
          <w:between w:val="nil"/>
        </w:pBdr>
        <w:tabs>
          <w:tab w:val="left" w:pos="426"/>
        </w:tabs>
        <w:spacing w:after="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En este sentido, respecto a las placas y número de serie, corresponden a vehículos propiedad del Sujeto Obligado, lo que permite cor</w:t>
      </w:r>
      <w:r>
        <w:rPr>
          <w:rFonts w:ascii="Palatino Linotype" w:eastAsia="Palatino Linotype" w:hAnsi="Palatino Linotype" w:cs="Palatino Linotype"/>
        </w:rPr>
        <w:t>roborar que se trata de bienes de dominio público que y que al dejar a la vista los datos que se testaron no se revelarían datos personales que permitieran hacer identificable a una persona.</w:t>
      </w:r>
    </w:p>
    <w:p w:rsidR="000E2AD0" w:rsidRDefault="000E2AD0">
      <w:pPr>
        <w:pBdr>
          <w:top w:val="nil"/>
          <w:left w:val="nil"/>
          <w:bottom w:val="nil"/>
          <w:right w:val="nil"/>
          <w:between w:val="nil"/>
        </w:pBdr>
        <w:tabs>
          <w:tab w:val="left" w:pos="426"/>
        </w:tabs>
        <w:spacing w:after="0" w:line="360" w:lineRule="auto"/>
        <w:ind w:right="51"/>
        <w:jc w:val="both"/>
        <w:rPr>
          <w:rFonts w:ascii="Palatino Linotype" w:eastAsia="Palatino Linotype" w:hAnsi="Palatino Linotype" w:cs="Palatino Linotype"/>
        </w:rPr>
      </w:pPr>
    </w:p>
    <w:p w:rsidR="000E2AD0" w:rsidRDefault="00703F9D">
      <w:pPr>
        <w:pBdr>
          <w:top w:val="nil"/>
          <w:left w:val="nil"/>
          <w:bottom w:val="nil"/>
          <w:right w:val="nil"/>
          <w:between w:val="nil"/>
        </w:pBdr>
        <w:tabs>
          <w:tab w:val="left" w:pos="426"/>
        </w:tabs>
        <w:spacing w:after="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Así entonces, como se desprende las placas, corresponden a vehíc</w:t>
      </w:r>
      <w:r>
        <w:rPr>
          <w:rFonts w:ascii="Palatino Linotype" w:eastAsia="Palatino Linotype" w:hAnsi="Palatino Linotype" w:cs="Palatino Linotype"/>
        </w:rPr>
        <w:t xml:space="preserve">ulos propiedad del Sujeto Obligado, previamente inventariados, por lo que es importante remitirnos a lo dispuesto por el artículo 92, fracción XXXVIII de la Ley de Transparencia y Acceso a la Información Pública del Estado de México y Municipios que en su </w:t>
      </w:r>
      <w:r>
        <w:rPr>
          <w:rFonts w:ascii="Palatino Linotype" w:eastAsia="Palatino Linotype" w:hAnsi="Palatino Linotype" w:cs="Palatino Linotype"/>
        </w:rPr>
        <w:t>texto y sentido literal establece:</w:t>
      </w:r>
    </w:p>
    <w:p w:rsidR="000E2AD0" w:rsidRDefault="000E2AD0">
      <w:pPr>
        <w:pBdr>
          <w:top w:val="nil"/>
          <w:left w:val="nil"/>
          <w:bottom w:val="nil"/>
          <w:right w:val="nil"/>
          <w:between w:val="nil"/>
        </w:pBdr>
        <w:tabs>
          <w:tab w:val="left" w:pos="426"/>
        </w:tabs>
        <w:spacing w:after="0" w:line="360" w:lineRule="auto"/>
        <w:ind w:right="49"/>
        <w:jc w:val="both"/>
        <w:rPr>
          <w:rFonts w:ascii="Palatino Linotype" w:eastAsia="Palatino Linotype" w:hAnsi="Palatino Linotype" w:cs="Palatino Linotype"/>
        </w:rPr>
      </w:pPr>
    </w:p>
    <w:p w:rsidR="000E2AD0" w:rsidRDefault="00703F9D">
      <w:pPr>
        <w:pBdr>
          <w:top w:val="nil"/>
          <w:left w:val="nil"/>
          <w:bottom w:val="nil"/>
          <w:right w:val="nil"/>
          <w:between w:val="nil"/>
        </w:pBdr>
        <w:tabs>
          <w:tab w:val="left" w:pos="426"/>
        </w:tabs>
        <w:spacing w:after="0"/>
        <w:ind w:left="851" w:right="843"/>
        <w:jc w:val="both"/>
        <w:rPr>
          <w:rFonts w:ascii="Palatino Linotype" w:eastAsia="Palatino Linotype" w:hAnsi="Palatino Linotype" w:cs="Palatino Linotype"/>
          <w:i/>
        </w:rPr>
      </w:pPr>
      <w:r>
        <w:rPr>
          <w:rFonts w:ascii="Palatino Linotype" w:eastAsia="Palatino Linotype" w:hAnsi="Palatino Linotype" w:cs="Palatino Linotype"/>
          <w:i/>
        </w:rPr>
        <w:t xml:space="preserve">"Artículo 92. Los sujetos obligados deberán poner a disposición del público de manera permanente y actualizada de forma sencilla, precisa y entendible, en los respectivos medios electrónicos, de acuerdo con sus facultades, atribuciones, funciones u objeto </w:t>
      </w:r>
      <w:r>
        <w:rPr>
          <w:rFonts w:ascii="Palatino Linotype" w:eastAsia="Palatino Linotype" w:hAnsi="Palatino Linotype" w:cs="Palatino Linotype"/>
          <w:i/>
        </w:rPr>
        <w:t>social, según corresponda, la información, por lo menos, de los temas, documentos y políticas que a continuación se señalan:</w:t>
      </w:r>
    </w:p>
    <w:p w:rsidR="000E2AD0" w:rsidRDefault="00703F9D">
      <w:pPr>
        <w:pBdr>
          <w:top w:val="nil"/>
          <w:left w:val="nil"/>
          <w:bottom w:val="nil"/>
          <w:right w:val="nil"/>
          <w:between w:val="nil"/>
        </w:pBdr>
        <w:tabs>
          <w:tab w:val="left" w:pos="426"/>
        </w:tabs>
        <w:spacing w:after="0"/>
        <w:ind w:left="851" w:right="843"/>
        <w:jc w:val="both"/>
        <w:rPr>
          <w:rFonts w:ascii="Palatino Linotype" w:eastAsia="Palatino Linotype" w:hAnsi="Palatino Linotype" w:cs="Palatino Linotype"/>
        </w:rPr>
      </w:pPr>
      <w:r>
        <w:rPr>
          <w:rFonts w:ascii="Palatino Linotype" w:eastAsia="Palatino Linotype" w:hAnsi="Palatino Linotype" w:cs="Palatino Linotype"/>
          <w:i/>
        </w:rPr>
        <w:t>XXXVIII. El inventario de bienes muebles e inmuebles en posesión y propiedad;”</w:t>
      </w:r>
    </w:p>
    <w:p w:rsidR="000E2AD0" w:rsidRDefault="000E2AD0">
      <w:pPr>
        <w:pBdr>
          <w:top w:val="nil"/>
          <w:left w:val="nil"/>
          <w:bottom w:val="nil"/>
          <w:right w:val="nil"/>
          <w:between w:val="nil"/>
        </w:pBdr>
        <w:tabs>
          <w:tab w:val="left" w:pos="426"/>
        </w:tabs>
        <w:spacing w:after="0" w:line="360" w:lineRule="auto"/>
        <w:ind w:right="49"/>
        <w:jc w:val="both"/>
        <w:rPr>
          <w:rFonts w:ascii="Palatino Linotype" w:eastAsia="Palatino Linotype" w:hAnsi="Palatino Linotype" w:cs="Palatino Linotype"/>
        </w:rPr>
      </w:pPr>
    </w:p>
    <w:p w:rsidR="000E2AD0" w:rsidRDefault="00703F9D">
      <w:pPr>
        <w:pBdr>
          <w:top w:val="nil"/>
          <w:left w:val="nil"/>
          <w:bottom w:val="nil"/>
          <w:right w:val="nil"/>
          <w:between w:val="nil"/>
        </w:pBdr>
        <w:tabs>
          <w:tab w:val="left" w:pos="426"/>
        </w:tabs>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Por tanto, el número de serie y de placas es inform</w:t>
      </w:r>
      <w:r>
        <w:rPr>
          <w:rFonts w:ascii="Palatino Linotype" w:eastAsia="Palatino Linotype" w:hAnsi="Palatino Linotype" w:cs="Palatino Linotype"/>
        </w:rPr>
        <w:t xml:space="preserve">ación que corresponde a información de acceso público, ya que dar a conocer esos datos abona a la transparencia y la rendición de cuentas, pues es parte del patrimonio de los Sujeto Obligados y está relacionado con el ejercicio de los recursos públicos. </w:t>
      </w:r>
    </w:p>
    <w:p w:rsidR="000E2AD0" w:rsidRDefault="000E2AD0">
      <w:pPr>
        <w:spacing w:after="0" w:line="360" w:lineRule="auto"/>
        <w:jc w:val="both"/>
        <w:rPr>
          <w:rFonts w:ascii="Palatino Linotype" w:eastAsia="Palatino Linotype" w:hAnsi="Palatino Linotype" w:cs="Palatino Linotype"/>
        </w:rPr>
      </w:pPr>
    </w:p>
    <w:p w:rsidR="000E2AD0" w:rsidRDefault="00703F9D">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Número de inventario. </w:t>
      </w:r>
    </w:p>
    <w:p w:rsidR="000E2AD0" w:rsidRDefault="00703F9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El número de inventario en una bitácora es un identificador único para cada artículo o producto dentro de un inventario, que permite su seguimiento, registro y localización de manera eficiente. Se encuentra formado por letras y númer</w:t>
      </w:r>
      <w:r>
        <w:rPr>
          <w:rFonts w:ascii="Palatino Linotype" w:eastAsia="Palatino Linotype" w:hAnsi="Palatino Linotype" w:cs="Palatino Linotype"/>
        </w:rPr>
        <w:t>os, que es utilizado para mantener el control de los bienes; por lo que, al tratarse de bienes de dominio público, dicho dato es de interés público; aunado a que, no se advierte que de la publicidad de dichos datos permitan hacer identificable a una person</w:t>
      </w:r>
      <w:r>
        <w:rPr>
          <w:rFonts w:ascii="Palatino Linotype" w:eastAsia="Palatino Linotype" w:hAnsi="Palatino Linotype" w:cs="Palatino Linotype"/>
        </w:rPr>
        <w:t>a.</w:t>
      </w:r>
    </w:p>
    <w:p w:rsidR="000E2AD0" w:rsidRDefault="000E2AD0">
      <w:pPr>
        <w:spacing w:after="0" w:line="360" w:lineRule="auto"/>
        <w:jc w:val="both"/>
        <w:rPr>
          <w:rFonts w:ascii="Palatino Linotype" w:eastAsia="Palatino Linotype" w:hAnsi="Palatino Linotype" w:cs="Palatino Linotype"/>
        </w:rPr>
      </w:pPr>
    </w:p>
    <w:p w:rsidR="000E2AD0" w:rsidRDefault="00703F9D">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Proveedor. </w:t>
      </w:r>
    </w:p>
    <w:p w:rsidR="000E2AD0" w:rsidRDefault="00703F9D">
      <w:pPr>
        <w:pBdr>
          <w:top w:val="nil"/>
          <w:left w:val="nil"/>
          <w:bottom w:val="nil"/>
          <w:right w:val="nil"/>
          <w:between w:val="nil"/>
        </w:pBdr>
        <w:spacing w:after="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 xml:space="preserve">Respecto del </w:t>
      </w:r>
      <w:r>
        <w:rPr>
          <w:rFonts w:ascii="Palatino Linotype" w:eastAsia="Palatino Linotype" w:hAnsi="Palatino Linotype" w:cs="Palatino Linotype"/>
          <w:b/>
        </w:rPr>
        <w:t>nombre de las personas físicas</w:t>
      </w:r>
      <w:r>
        <w:rPr>
          <w:rFonts w:ascii="Palatino Linotype" w:eastAsia="Palatino Linotype" w:hAnsi="Palatino Linotype" w:cs="Palatino Linotype"/>
        </w:rPr>
        <w:t xml:space="preserve"> o los </w:t>
      </w:r>
      <w:r>
        <w:rPr>
          <w:rFonts w:ascii="Palatino Linotype" w:eastAsia="Palatino Linotype" w:hAnsi="Palatino Linotype" w:cs="Palatino Linotype"/>
          <w:b/>
        </w:rPr>
        <w:t>representantes legales de las personas morales</w:t>
      </w:r>
      <w:r>
        <w:rPr>
          <w:rFonts w:ascii="Palatino Linotype" w:eastAsia="Palatino Linotype" w:hAnsi="Palatino Linotype" w:cs="Palatino Linotype"/>
        </w:rPr>
        <w:t xml:space="preserve">, </w:t>
      </w:r>
      <w:r>
        <w:rPr>
          <w:rFonts w:ascii="Palatino Linotype" w:eastAsia="Palatino Linotype" w:hAnsi="Palatino Linotype" w:cs="Palatino Linotype"/>
          <w:b/>
        </w:rPr>
        <w:t>en su calidad de proveedores, contratistas o prestadores de servicios, y la firma y rúbrica de estos</w:t>
      </w:r>
      <w:r>
        <w:rPr>
          <w:rFonts w:ascii="Palatino Linotype" w:eastAsia="Palatino Linotype" w:hAnsi="Palatino Linotype" w:cs="Palatino Linotype"/>
        </w:rPr>
        <w:t>, que participen en algún  proceso de adjudicación en cualquiera de sus modalidades, los entes públicos tienen la obligación de difundir toda aquella información relativa a los montos y las personas a quienes entreguen, por cualquier motivo, recursos públi</w:t>
      </w:r>
      <w:r>
        <w:rPr>
          <w:rFonts w:ascii="Palatino Linotype" w:eastAsia="Palatino Linotype" w:hAnsi="Palatino Linotype" w:cs="Palatino Linotype"/>
        </w:rPr>
        <w:t xml:space="preserve">cos, así como los informes que dichas personas entreguen sobre el uso y destino de dichos recursos, motivo por el cual los datos del representante legal de la persona moral que resultó favorecida con el procedimiento de licitación no conservan el carácter </w:t>
      </w:r>
      <w:r>
        <w:rPr>
          <w:rFonts w:ascii="Palatino Linotype" w:eastAsia="Palatino Linotype" w:hAnsi="Palatino Linotype" w:cs="Palatino Linotype"/>
        </w:rPr>
        <w:t xml:space="preserve">de confidencial y por tanto no deben ser testados. </w:t>
      </w:r>
    </w:p>
    <w:p w:rsidR="000E2AD0" w:rsidRDefault="000E2AD0">
      <w:pPr>
        <w:pBdr>
          <w:top w:val="nil"/>
          <w:left w:val="nil"/>
          <w:bottom w:val="nil"/>
          <w:right w:val="nil"/>
          <w:between w:val="nil"/>
        </w:pBdr>
        <w:spacing w:after="0" w:line="360" w:lineRule="auto"/>
        <w:ind w:right="50"/>
        <w:jc w:val="both"/>
        <w:rPr>
          <w:rFonts w:ascii="Palatino Linotype" w:eastAsia="Palatino Linotype" w:hAnsi="Palatino Linotype" w:cs="Palatino Linotype"/>
        </w:rPr>
      </w:pPr>
    </w:p>
    <w:p w:rsidR="000E2AD0" w:rsidRDefault="00703F9D">
      <w:pPr>
        <w:pBdr>
          <w:top w:val="nil"/>
          <w:left w:val="nil"/>
          <w:bottom w:val="nil"/>
          <w:right w:val="nil"/>
          <w:between w:val="nil"/>
        </w:pBdr>
        <w:spacing w:after="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 xml:space="preserve">Argumentación que guarda sustento en lo estipulado por el artículo 23 de la Ley de Transparencia y Acceso a la Información Pública del Estado de México y Municipios en su penúltimo párrafo, mismo que es </w:t>
      </w:r>
      <w:r>
        <w:rPr>
          <w:rFonts w:ascii="Palatino Linotype" w:eastAsia="Palatino Linotype" w:hAnsi="Palatino Linotype" w:cs="Palatino Linotype"/>
        </w:rPr>
        <w:t>del tenor literal siguiente:</w:t>
      </w:r>
    </w:p>
    <w:p w:rsidR="000E2AD0" w:rsidRDefault="000E2AD0">
      <w:pPr>
        <w:pBdr>
          <w:top w:val="nil"/>
          <w:left w:val="nil"/>
          <w:bottom w:val="nil"/>
          <w:right w:val="nil"/>
          <w:between w:val="nil"/>
        </w:pBdr>
        <w:spacing w:after="0"/>
        <w:ind w:right="50"/>
        <w:jc w:val="both"/>
        <w:rPr>
          <w:rFonts w:ascii="Palatino Linotype" w:eastAsia="Palatino Linotype" w:hAnsi="Palatino Linotype" w:cs="Palatino Linotype"/>
        </w:rPr>
      </w:pPr>
    </w:p>
    <w:p w:rsidR="000E2AD0" w:rsidRDefault="00703F9D">
      <w:pPr>
        <w:pBdr>
          <w:top w:val="nil"/>
          <w:left w:val="nil"/>
          <w:bottom w:val="nil"/>
          <w:right w:val="nil"/>
          <w:between w:val="nil"/>
        </w:pBdr>
        <w:spacing w:after="0"/>
        <w:ind w:left="851" w:right="902"/>
        <w:jc w:val="both"/>
        <w:rPr>
          <w:rFonts w:ascii="Palatino Linotype" w:eastAsia="Palatino Linotype" w:hAnsi="Palatino Linotype" w:cs="Palatino Linotype"/>
        </w:rPr>
      </w:pPr>
      <w:r>
        <w:rPr>
          <w:rFonts w:ascii="Palatino Linotype" w:eastAsia="Palatino Linotype" w:hAnsi="Palatino Linotype" w:cs="Palatino Linotype"/>
          <w:i/>
        </w:rPr>
        <w:t>“</w:t>
      </w:r>
      <w:r>
        <w:rPr>
          <w:rFonts w:ascii="Palatino Linotype" w:eastAsia="Palatino Linotype" w:hAnsi="Palatino Linotype" w:cs="Palatino Linotype"/>
          <w:b/>
          <w:i/>
        </w:rPr>
        <w:t>Artículo 23.</w:t>
      </w:r>
      <w:r>
        <w:rPr>
          <w:rFonts w:ascii="Palatino Linotype" w:eastAsia="Palatino Linotype" w:hAnsi="Palatino Linotype" w:cs="Palatino Linotype"/>
          <w:i/>
        </w:rPr>
        <w:t xml:space="preserve"> (…)</w:t>
      </w:r>
    </w:p>
    <w:p w:rsidR="000E2AD0" w:rsidRDefault="00703F9D">
      <w:pPr>
        <w:pBdr>
          <w:top w:val="nil"/>
          <w:left w:val="nil"/>
          <w:bottom w:val="nil"/>
          <w:right w:val="nil"/>
          <w:between w:val="nil"/>
        </w:pBdr>
        <w:spacing w:after="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Los sujetos obligados deberán hacer pública toda aquella información relativa a los montos y las personas a quienes entreguen, por cualquier motivo, recursos públicos, así como los informes que dichas personas les entreguen sobre el uso y destino de dichos</w:t>
      </w:r>
      <w:r>
        <w:rPr>
          <w:rFonts w:ascii="Palatino Linotype" w:eastAsia="Palatino Linotype" w:hAnsi="Palatino Linotype" w:cs="Palatino Linotype"/>
          <w:i/>
        </w:rPr>
        <w:t xml:space="preserve"> recursos.”</w:t>
      </w:r>
    </w:p>
    <w:p w:rsidR="000E2AD0" w:rsidRDefault="000E2AD0">
      <w:pPr>
        <w:pBdr>
          <w:top w:val="nil"/>
          <w:left w:val="nil"/>
          <w:bottom w:val="nil"/>
          <w:right w:val="nil"/>
          <w:between w:val="nil"/>
        </w:pBdr>
        <w:spacing w:after="0" w:line="360" w:lineRule="auto"/>
        <w:ind w:left="851" w:right="902"/>
        <w:jc w:val="both"/>
        <w:rPr>
          <w:rFonts w:ascii="Palatino Linotype" w:eastAsia="Palatino Linotype" w:hAnsi="Palatino Linotype" w:cs="Palatino Linotype"/>
        </w:rPr>
      </w:pPr>
    </w:p>
    <w:p w:rsidR="000E2AD0" w:rsidRDefault="00703F9D">
      <w:pPr>
        <w:pBdr>
          <w:top w:val="nil"/>
          <w:left w:val="nil"/>
          <w:bottom w:val="nil"/>
          <w:right w:val="nil"/>
          <w:between w:val="nil"/>
        </w:pBd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resulta aplicable el contenido del criterio de interpretación 01/19 emitido por el entonces Instituto Nacional de Transparencia, Acceso a la Información, y Protección de Datos Personales, INAI, que lleva por rubro y texto los siguien</w:t>
      </w:r>
      <w:r>
        <w:rPr>
          <w:rFonts w:ascii="Palatino Linotype" w:eastAsia="Palatino Linotype" w:hAnsi="Palatino Linotype" w:cs="Palatino Linotype"/>
        </w:rPr>
        <w:t>tes</w:t>
      </w:r>
    </w:p>
    <w:p w:rsidR="000E2AD0" w:rsidRDefault="000E2AD0">
      <w:pPr>
        <w:pBdr>
          <w:top w:val="nil"/>
          <w:left w:val="nil"/>
          <w:bottom w:val="nil"/>
          <w:right w:val="nil"/>
          <w:between w:val="nil"/>
        </w:pBdr>
        <w:spacing w:after="0" w:line="360" w:lineRule="auto"/>
        <w:jc w:val="both"/>
        <w:rPr>
          <w:rFonts w:ascii="Palatino Linotype" w:eastAsia="Palatino Linotype" w:hAnsi="Palatino Linotype" w:cs="Palatino Linotype"/>
        </w:rPr>
      </w:pPr>
    </w:p>
    <w:p w:rsidR="000E2AD0" w:rsidRDefault="00703F9D">
      <w:pPr>
        <w:pBdr>
          <w:top w:val="nil"/>
          <w:left w:val="nil"/>
          <w:bottom w:val="nil"/>
          <w:right w:val="nil"/>
          <w:between w:val="nil"/>
        </w:pBdr>
        <w:spacing w:after="0"/>
        <w:ind w:left="851" w:right="902"/>
        <w:jc w:val="both"/>
        <w:rPr>
          <w:rFonts w:ascii="Palatino Linotype" w:eastAsia="Palatino Linotype" w:hAnsi="Palatino Linotype" w:cs="Palatino Linotype"/>
        </w:rPr>
      </w:pPr>
      <w:r>
        <w:rPr>
          <w:rFonts w:ascii="Palatino Linotype" w:eastAsia="Palatino Linotype" w:hAnsi="Palatino Linotype" w:cs="Palatino Linotype"/>
          <w:b/>
          <w:i/>
        </w:rPr>
        <w:t>“Datos de identificación del representante o apoderado legal.</w:t>
      </w:r>
      <w:r>
        <w:rPr>
          <w:rFonts w:ascii="Palatino Linotype" w:eastAsia="Palatino Linotype" w:hAnsi="Palatino Linotype" w:cs="Palatino Linotype"/>
          <w:i/>
        </w:rPr>
        <w:t xml:space="preserve"> </w:t>
      </w:r>
      <w:r>
        <w:rPr>
          <w:rFonts w:ascii="Palatino Linotype" w:eastAsia="Palatino Linotype" w:hAnsi="Palatino Linotype" w:cs="Palatino Linotype"/>
          <w:b/>
          <w:i/>
        </w:rPr>
        <w:t xml:space="preserve">Naturaleza jurídica. </w:t>
      </w:r>
      <w:r>
        <w:rPr>
          <w:rFonts w:ascii="Palatino Linotype" w:eastAsia="Palatino Linotype" w:hAnsi="Palatino Linotype" w:cs="Palatino Linotype"/>
          <w:b/>
          <w:i/>
          <w:u w:val="single"/>
        </w:rPr>
        <w:t>El nombre, la firma y la rúbrica</w:t>
      </w:r>
      <w:r>
        <w:rPr>
          <w:rFonts w:ascii="Palatino Linotype" w:eastAsia="Palatino Linotype" w:hAnsi="Palatino Linotype" w:cs="Palatino Linotype"/>
          <w:i/>
        </w:rPr>
        <w:t xml:space="preserve"> de una persona física, que actúe como representante o apoderado legal de un tercero que haya celebrado un acto jurídico, con algún sujeto obligado, </w:t>
      </w:r>
      <w:r>
        <w:rPr>
          <w:rFonts w:ascii="Palatino Linotype" w:eastAsia="Palatino Linotype" w:hAnsi="Palatino Linotype" w:cs="Palatino Linotype"/>
          <w:b/>
          <w:i/>
          <w:u w:val="single"/>
        </w:rPr>
        <w:t>es información pública</w:t>
      </w:r>
      <w:r>
        <w:rPr>
          <w:rFonts w:ascii="Palatino Linotype" w:eastAsia="Palatino Linotype" w:hAnsi="Palatino Linotype" w:cs="Palatino Linotype"/>
          <w:b/>
          <w:i/>
        </w:rPr>
        <w:t>, en razón de que tales datos fueron proporcionados con el objeto de expresar el cons</w:t>
      </w:r>
      <w:r>
        <w:rPr>
          <w:rFonts w:ascii="Palatino Linotype" w:eastAsia="Palatino Linotype" w:hAnsi="Palatino Linotype" w:cs="Palatino Linotype"/>
          <w:b/>
          <w:i/>
        </w:rPr>
        <w:t>entimiento obligacional del tercero y otorgar validez a dicho instrumento jurídico</w:t>
      </w:r>
      <w:r>
        <w:rPr>
          <w:rFonts w:ascii="Palatino Linotype" w:eastAsia="Palatino Linotype" w:hAnsi="Palatino Linotype" w:cs="Palatino Linotype"/>
          <w:i/>
        </w:rPr>
        <w:t>.”</w:t>
      </w:r>
    </w:p>
    <w:p w:rsidR="000E2AD0" w:rsidRDefault="000E2AD0">
      <w:pPr>
        <w:spacing w:after="0" w:line="360" w:lineRule="auto"/>
        <w:jc w:val="both"/>
        <w:rPr>
          <w:rFonts w:ascii="Palatino Linotype" w:eastAsia="Palatino Linotype" w:hAnsi="Palatino Linotype" w:cs="Palatino Linotype"/>
        </w:rPr>
      </w:pPr>
    </w:p>
    <w:p w:rsidR="000E2AD0" w:rsidRDefault="00703F9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anterior, el nombre de las personas físicas o los representantes legales de las personas morales, en su calidad de proveedores, no contiene datos personales y con </w:t>
      </w:r>
      <w:r>
        <w:rPr>
          <w:rFonts w:ascii="Palatino Linotype" w:eastAsia="Palatino Linotype" w:hAnsi="Palatino Linotype" w:cs="Palatino Linotype"/>
        </w:rPr>
        <w:t xml:space="preserve">dichos dígitos tampoco se puede obtener información de carácter confidencial, por lo que, </w:t>
      </w:r>
      <w:r>
        <w:rPr>
          <w:rFonts w:ascii="Palatino Linotype" w:eastAsia="Palatino Linotype" w:hAnsi="Palatino Linotype" w:cs="Palatino Linotype"/>
          <w:b/>
        </w:rPr>
        <w:t>no se actualiza la causal de clasificación</w:t>
      </w:r>
      <w:r>
        <w:rPr>
          <w:rFonts w:ascii="Palatino Linotype" w:eastAsia="Palatino Linotype" w:hAnsi="Palatino Linotype" w:cs="Palatino Linotype"/>
        </w:rPr>
        <w:t>, establecida en el artículo 143, fracción I, de la Ley de Transparencia y Acceso a la Información Pública del Estado de Méx</w:t>
      </w:r>
      <w:r>
        <w:rPr>
          <w:rFonts w:ascii="Palatino Linotype" w:eastAsia="Palatino Linotype" w:hAnsi="Palatino Linotype" w:cs="Palatino Linotype"/>
        </w:rPr>
        <w:t>ico y Municipios</w:t>
      </w:r>
    </w:p>
    <w:p w:rsidR="000E2AD0" w:rsidRDefault="000E2AD0">
      <w:pPr>
        <w:spacing w:after="0" w:line="360" w:lineRule="auto"/>
        <w:jc w:val="both"/>
        <w:rPr>
          <w:rFonts w:ascii="Palatino Linotype" w:eastAsia="Palatino Linotype" w:hAnsi="Palatino Linotype" w:cs="Palatino Linotype"/>
        </w:rPr>
      </w:pPr>
    </w:p>
    <w:p w:rsidR="000E2AD0" w:rsidRDefault="00703F9D">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Nombre y firma del operador.  </w:t>
      </w:r>
    </w:p>
    <w:p w:rsidR="000E2AD0" w:rsidRDefault="00703F9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lo que respecta al caso particular, se advierte que el nombre y firma del operador corresponde al servidor público responsable del bien; por lo que es de mencionar que en términos de los artículos 2.3, 2.13 y 2.14 del Código civil del Estado de México, </w:t>
      </w:r>
      <w:r>
        <w:rPr>
          <w:rFonts w:ascii="Palatino Linotype" w:eastAsia="Palatino Linotype" w:hAnsi="Palatino Linotype" w:cs="Palatino Linotype"/>
        </w:rPr>
        <w:t>el nombre es un atributo de la personalidad que designa e individualiza a una persona, conformado por el sustantivo propio y el primer apellido del padre y el primer apellido de la madre, en el orden que, de común acuerdo determinen. En ese sentido el nomb</w:t>
      </w:r>
      <w:r>
        <w:rPr>
          <w:rFonts w:ascii="Palatino Linotype" w:eastAsia="Palatino Linotype" w:hAnsi="Palatino Linotype" w:cs="Palatino Linotype"/>
        </w:rPr>
        <w:t>re permite identificar a una persona y conocer su filiación, ya que mediante los apellidos puede determinarse su parentesco, es así que, en términos generales, este dato se considera susceptible de clasificarse como dato personal en términos del artículo 1</w:t>
      </w:r>
      <w:r>
        <w:rPr>
          <w:rFonts w:ascii="Palatino Linotype" w:eastAsia="Palatino Linotype" w:hAnsi="Palatino Linotype" w:cs="Palatino Linotype"/>
        </w:rPr>
        <w:t>43, fracción I, de la Ley de Transparencia y Acceso a la Información Pública del Estado de México y Municipios, sin embargo, cuando una persona ostenta una calidad de servidor público, por regla general, es información de naturaleza pública, esto de acuerd</w:t>
      </w:r>
      <w:r>
        <w:rPr>
          <w:rFonts w:ascii="Palatino Linotype" w:eastAsia="Palatino Linotype" w:hAnsi="Palatino Linotype" w:cs="Palatino Linotype"/>
        </w:rPr>
        <w:t xml:space="preserve">o con lo que establecen la fracción VII del artículo 92 de la Ley de Transparencia y Acceso a la Información Pública del Estado de México y Municipios; por lo que no procede su clasificación. </w:t>
      </w:r>
    </w:p>
    <w:p w:rsidR="000E2AD0" w:rsidRDefault="000E2AD0">
      <w:pPr>
        <w:spacing w:after="0" w:line="360" w:lineRule="auto"/>
        <w:jc w:val="both"/>
        <w:rPr>
          <w:rFonts w:ascii="Palatino Linotype" w:eastAsia="Palatino Linotype" w:hAnsi="Palatino Linotype" w:cs="Palatino Linotype"/>
        </w:rPr>
      </w:pPr>
    </w:p>
    <w:p w:rsidR="000E2AD0" w:rsidRDefault="00703F9D">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bookmarkStart w:id="4" w:name="_heading=h.9h6pd2iwwwwr" w:colFirst="0" w:colLast="0"/>
      <w:bookmarkEnd w:id="4"/>
      <w:r>
        <w:rPr>
          <w:rFonts w:ascii="Palatino Linotype" w:eastAsia="Palatino Linotype" w:hAnsi="Palatino Linotype" w:cs="Palatino Linotype"/>
          <w:color w:val="000000"/>
        </w:rPr>
        <w:t>Tocante al tema de la firma, al tratarse de la escritura gráfi</w:t>
      </w:r>
      <w:r>
        <w:rPr>
          <w:rFonts w:ascii="Palatino Linotype" w:eastAsia="Palatino Linotype" w:hAnsi="Palatino Linotype" w:cs="Palatino Linotype"/>
          <w:color w:val="000000"/>
        </w:rPr>
        <w:t>ca o grafo manuscrito que representa al nombre y apellido(s), o título, que una persona escribe de su propia mano, que tiene fines de identificación, jurídicos, representativos y diplomáticos, a través de los cuales es posible identificar o hacer identific</w:t>
      </w:r>
      <w:r>
        <w:rPr>
          <w:rFonts w:ascii="Palatino Linotype" w:eastAsia="Palatino Linotype" w:hAnsi="Palatino Linotype" w:cs="Palatino Linotype"/>
          <w:color w:val="000000"/>
        </w:rPr>
        <w:t>able a su titular, constituye un dato personal que debe ser protegido, sin embargo, en el caso de los servidores públicos, dicho dato es público cuando, en ejercicio de las atribuciones que les fueron conferidas, emiten un acto de autoridad, siendo la firm</w:t>
      </w:r>
      <w:r>
        <w:rPr>
          <w:rFonts w:ascii="Palatino Linotype" w:eastAsia="Palatino Linotype" w:hAnsi="Palatino Linotype" w:cs="Palatino Linotype"/>
          <w:color w:val="000000"/>
        </w:rPr>
        <w:t>a el medio por el cual se le da validez a dicho acto.</w:t>
      </w:r>
    </w:p>
    <w:p w:rsidR="000E2AD0" w:rsidRDefault="000E2AD0">
      <w:p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p>
    <w:p w:rsidR="000E2AD0" w:rsidRDefault="00703F9D">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Robustece lo anterior el criterio orientador 02-19 emitido por el Instituto Nacional de Transparencia, Acceso a la Información y Protección de Datos Personales, INAI, el cual refiere:</w:t>
      </w:r>
    </w:p>
    <w:p w:rsidR="000E2AD0" w:rsidRDefault="000E2AD0">
      <w:pPr>
        <w:spacing w:after="0" w:line="360" w:lineRule="auto"/>
        <w:jc w:val="both"/>
        <w:rPr>
          <w:rFonts w:ascii="Palatino Linotype" w:eastAsia="Palatino Linotype" w:hAnsi="Palatino Linotype" w:cs="Palatino Linotype"/>
        </w:rPr>
      </w:pPr>
    </w:p>
    <w:p w:rsidR="000E2AD0" w:rsidRDefault="00703F9D">
      <w:pPr>
        <w:pBdr>
          <w:top w:val="nil"/>
          <w:left w:val="nil"/>
          <w:bottom w:val="nil"/>
          <w:right w:val="nil"/>
          <w:between w:val="nil"/>
        </w:pBdr>
        <w:spacing w:after="0"/>
        <w:ind w:left="851" w:right="843"/>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Firma y rúbrica de servidores públicos.</w:t>
      </w:r>
      <w:r>
        <w:rPr>
          <w:rFonts w:ascii="Palatino Linotype" w:eastAsia="Palatino Linotype" w:hAnsi="Palatino Linotype" w:cs="Palatino Linotype"/>
          <w:i/>
          <w:color w:val="000000"/>
        </w:rPr>
        <w:t xml:space="preserve"> Si bien la firma y la rúbrica son datos personales confidenciales, cuando un servidor público emite un acto como autoridad, en ejercicio de las funciones que tiene conferidas, la firma o rúbrica mediante la cual se v</w:t>
      </w:r>
      <w:r>
        <w:rPr>
          <w:rFonts w:ascii="Palatino Linotype" w:eastAsia="Palatino Linotype" w:hAnsi="Palatino Linotype" w:cs="Palatino Linotype"/>
          <w:i/>
          <w:color w:val="000000"/>
        </w:rPr>
        <w:t>alida dicho acto es pública.”</w:t>
      </w:r>
    </w:p>
    <w:p w:rsidR="000E2AD0" w:rsidRDefault="000E2AD0">
      <w:pPr>
        <w:pBdr>
          <w:top w:val="nil"/>
          <w:left w:val="nil"/>
          <w:bottom w:val="nil"/>
          <w:right w:val="nil"/>
          <w:between w:val="nil"/>
        </w:pBdr>
        <w:spacing w:after="0"/>
        <w:ind w:right="-7"/>
        <w:jc w:val="both"/>
        <w:rPr>
          <w:rFonts w:ascii="Palatino Linotype" w:eastAsia="Palatino Linotype" w:hAnsi="Palatino Linotype" w:cs="Palatino Linotype"/>
          <w:i/>
          <w:color w:val="000000"/>
        </w:rPr>
      </w:pPr>
    </w:p>
    <w:p w:rsidR="000E2AD0" w:rsidRDefault="00703F9D">
      <w:pPr>
        <w:pBdr>
          <w:top w:val="nil"/>
          <w:left w:val="nil"/>
          <w:bottom w:val="nil"/>
          <w:right w:val="nil"/>
          <w:between w:val="nil"/>
        </w:pBdr>
        <w:spacing w:after="0" w:line="360" w:lineRule="auto"/>
        <w:ind w:right="-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Contexto que en el presente asunto se actualiza; por lo que, no se actualiza la causal de clasificación, establecida en el artículo 143, fracción I, de la Ley de Transparencia y Acceso a la Información Pública del Estado de México y Municipios.</w:t>
      </w:r>
    </w:p>
    <w:p w:rsidR="000E2AD0" w:rsidRDefault="000E2AD0">
      <w:pPr>
        <w:spacing w:after="0" w:line="360" w:lineRule="auto"/>
        <w:jc w:val="both"/>
        <w:rPr>
          <w:rFonts w:ascii="Palatino Linotype" w:eastAsia="Palatino Linotype" w:hAnsi="Palatino Linotype" w:cs="Palatino Linotype"/>
        </w:rPr>
      </w:pPr>
    </w:p>
    <w:p w:rsidR="000E2AD0" w:rsidRDefault="00703F9D">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Observacio</w:t>
      </w:r>
      <w:r>
        <w:rPr>
          <w:rFonts w:ascii="Palatino Linotype" w:eastAsia="Palatino Linotype" w:hAnsi="Palatino Linotype" w:cs="Palatino Linotype"/>
          <w:b/>
          <w:color w:val="000000"/>
        </w:rPr>
        <w:t>nes.</w:t>
      </w:r>
    </w:p>
    <w:p w:rsidR="000E2AD0" w:rsidRDefault="00703F9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Referente a este punto, este Instituto advierte que una observación describe brevemente una aclaración o explicación sobre algún acontecimiento detectado; en este caso en específico puede que describa observaciones relacionadas con el vehículo oficial</w:t>
      </w:r>
      <w:r>
        <w:rPr>
          <w:rFonts w:ascii="Palatino Linotype" w:eastAsia="Palatino Linotype" w:hAnsi="Palatino Linotype" w:cs="Palatino Linotype"/>
        </w:rPr>
        <w:t xml:space="preserve">; no obstante este Organismo Garante no tiene certeza de la información que puede contener dicho apartado,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hizo entrega del Acta que funde y motive la clasificación de las observaciones contenidas en las Bitácoras; por lo</w:t>
      </w:r>
      <w:r>
        <w:rPr>
          <w:rFonts w:ascii="Palatino Linotype" w:eastAsia="Palatino Linotype" w:hAnsi="Palatino Linotype" w:cs="Palatino Linotype"/>
        </w:rPr>
        <w:t xml:space="preserve"> que conviene precisar que para el caso de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advierta que la publicación de la información revela datos personales, deberá fundar y motivar la clasificación de la información como confidencial; caso contrario deberá hacerse su entrega. </w:t>
      </w:r>
    </w:p>
    <w:p w:rsidR="000E2AD0" w:rsidRDefault="000E2AD0">
      <w:pPr>
        <w:spacing w:after="0" w:line="360" w:lineRule="auto"/>
        <w:jc w:val="both"/>
        <w:rPr>
          <w:rFonts w:ascii="Palatino Linotype" w:eastAsia="Palatino Linotype" w:hAnsi="Palatino Linotype" w:cs="Palatino Linotype"/>
        </w:rPr>
      </w:pPr>
    </w:p>
    <w:p w:rsidR="000E2AD0" w:rsidRDefault="00703F9D">
      <w:pPr>
        <w:numPr>
          <w:ilvl w:val="0"/>
          <w:numId w:val="11"/>
        </w:numPr>
        <w:pBdr>
          <w:top w:val="nil"/>
          <w:left w:val="nil"/>
          <w:bottom w:val="nil"/>
          <w:right w:val="nil"/>
          <w:between w:val="nil"/>
        </w:pBdr>
        <w:spacing w:after="0" w:line="360" w:lineRule="auto"/>
        <w:jc w:val="both"/>
        <w:rPr>
          <w:rFonts w:ascii="Palatino Linotype" w:eastAsia="Palatino Linotype" w:hAnsi="Palatino Linotype" w:cs="Palatino Linotype"/>
          <w:color w:val="000000"/>
          <w:u w:val="single"/>
        </w:rPr>
      </w:pPr>
      <w:r>
        <w:rPr>
          <w:rFonts w:ascii="Palatino Linotype" w:eastAsia="Palatino Linotype" w:hAnsi="Palatino Linotype" w:cs="Palatino Linotype"/>
          <w:b/>
          <w:color w:val="000000"/>
          <w:u w:val="single"/>
        </w:rPr>
        <w:t>De las Facturas.</w:t>
      </w:r>
    </w:p>
    <w:p w:rsidR="000E2AD0" w:rsidRDefault="00703F9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Referente a este punto conviene precisar que la factura remitida, se encuentra parcialmente ilegible; sin embargo, se logra apreciar que se pretendió clasificar datos como:</w:t>
      </w:r>
    </w:p>
    <w:p w:rsidR="000E2AD0" w:rsidRDefault="000E2AD0">
      <w:pPr>
        <w:spacing w:after="0" w:line="360" w:lineRule="auto"/>
        <w:jc w:val="both"/>
        <w:rPr>
          <w:rFonts w:ascii="Palatino Linotype" w:eastAsia="Palatino Linotype" w:hAnsi="Palatino Linotype" w:cs="Palatino Linotype"/>
        </w:rPr>
      </w:pPr>
    </w:p>
    <w:p w:rsidR="000E2AD0" w:rsidRDefault="00703F9D">
      <w:pPr>
        <w:numPr>
          <w:ilvl w:val="0"/>
          <w:numId w:val="7"/>
        </w:numPr>
        <w:pBdr>
          <w:top w:val="nil"/>
          <w:left w:val="nil"/>
          <w:bottom w:val="nil"/>
          <w:right w:val="nil"/>
          <w:between w:val="nil"/>
        </w:pBdr>
        <w:spacing w:after="0" w:line="360" w:lineRule="auto"/>
        <w:ind w:left="567" w:right="50" w:firstLine="0"/>
        <w:jc w:val="both"/>
        <w:rPr>
          <w:rFonts w:ascii="Palatino Linotype" w:eastAsia="Palatino Linotype" w:hAnsi="Palatino Linotype" w:cs="Palatino Linotype"/>
        </w:rPr>
      </w:pPr>
      <w:r>
        <w:rPr>
          <w:rFonts w:ascii="Palatino Linotype" w:eastAsia="Palatino Linotype" w:hAnsi="Palatino Linotype" w:cs="Palatino Linotype"/>
          <w:b/>
        </w:rPr>
        <w:t>Proveedor</w:t>
      </w:r>
      <w:r>
        <w:rPr>
          <w:rFonts w:ascii="Palatino Linotype" w:eastAsia="Palatino Linotype" w:hAnsi="Palatino Linotype" w:cs="Palatino Linotype"/>
        </w:rPr>
        <w:t xml:space="preserve">. </w:t>
      </w:r>
    </w:p>
    <w:p w:rsidR="000E2AD0" w:rsidRDefault="00703F9D">
      <w:pPr>
        <w:pBdr>
          <w:top w:val="nil"/>
          <w:left w:val="nil"/>
          <w:bottom w:val="nil"/>
          <w:right w:val="nil"/>
          <w:between w:val="nil"/>
        </w:pBd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Como ya fue referido anteriormente, el nombre de las personas físicas </w:t>
      </w:r>
      <w:r>
        <w:rPr>
          <w:rFonts w:ascii="Palatino Linotype" w:eastAsia="Palatino Linotype" w:hAnsi="Palatino Linotype" w:cs="Palatino Linotype"/>
        </w:rPr>
        <w:t>o los representantes legales de las personas morales, en su calidad de proveedores, no contiene datos personales; por lo que, no se actualiza la causal de clasificación, establecida en el artículo 143, fracción I, de la Ley de Transparencia y Acceso a la I</w:t>
      </w:r>
      <w:r>
        <w:rPr>
          <w:rFonts w:ascii="Palatino Linotype" w:eastAsia="Palatino Linotype" w:hAnsi="Palatino Linotype" w:cs="Palatino Linotype"/>
        </w:rPr>
        <w:t>nformación Pública del Estado de México y Municipios.</w:t>
      </w:r>
    </w:p>
    <w:p w:rsidR="000E2AD0" w:rsidRDefault="000E2AD0">
      <w:pPr>
        <w:pBdr>
          <w:top w:val="nil"/>
          <w:left w:val="nil"/>
          <w:bottom w:val="nil"/>
          <w:right w:val="nil"/>
          <w:between w:val="nil"/>
        </w:pBdr>
        <w:spacing w:after="0" w:line="360" w:lineRule="auto"/>
        <w:ind w:left="567"/>
        <w:jc w:val="both"/>
        <w:rPr>
          <w:rFonts w:ascii="Palatino Linotype" w:eastAsia="Palatino Linotype" w:hAnsi="Palatino Linotype" w:cs="Palatino Linotype"/>
        </w:rPr>
      </w:pPr>
    </w:p>
    <w:p w:rsidR="000E2AD0" w:rsidRDefault="00703F9D">
      <w:pPr>
        <w:numPr>
          <w:ilvl w:val="0"/>
          <w:numId w:val="7"/>
        </w:numPr>
        <w:pBdr>
          <w:top w:val="nil"/>
          <w:left w:val="nil"/>
          <w:bottom w:val="nil"/>
          <w:right w:val="nil"/>
          <w:between w:val="nil"/>
        </w:pBdr>
        <w:spacing w:after="0" w:line="360" w:lineRule="auto"/>
        <w:ind w:left="567" w:firstLine="0"/>
        <w:jc w:val="both"/>
        <w:rPr>
          <w:rFonts w:ascii="Palatino Linotype" w:eastAsia="Palatino Linotype" w:hAnsi="Palatino Linotype" w:cs="Palatino Linotype"/>
        </w:rPr>
      </w:pPr>
      <w:r>
        <w:rPr>
          <w:rFonts w:ascii="Palatino Linotype" w:eastAsia="Palatino Linotype" w:hAnsi="Palatino Linotype" w:cs="Palatino Linotype"/>
          <w:b/>
        </w:rPr>
        <w:t>Folio Fiscal</w:t>
      </w:r>
      <w:r>
        <w:rPr>
          <w:rFonts w:ascii="Palatino Linotype" w:eastAsia="Palatino Linotype" w:hAnsi="Palatino Linotype" w:cs="Palatino Linotype"/>
        </w:rPr>
        <w:t xml:space="preserve">. </w:t>
      </w:r>
    </w:p>
    <w:p w:rsidR="000E2AD0" w:rsidRDefault="00703F9D">
      <w:pPr>
        <w:pBdr>
          <w:top w:val="nil"/>
          <w:left w:val="nil"/>
          <w:bottom w:val="nil"/>
          <w:right w:val="nil"/>
          <w:between w:val="nil"/>
        </w:pBd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Conforme al ANEXO 20 de la Segunda Resolución de modificaciones a la Resolución Miscelánea Fiscal para dos mil diecisiete, el folio fiscal se conforma de treinta seis caracteres alfanuméricos; además, que conforme al documento denominado </w:t>
      </w:r>
      <w:r>
        <w:rPr>
          <w:rFonts w:ascii="Palatino Linotype" w:eastAsia="Palatino Linotype" w:hAnsi="Palatino Linotype" w:cs="Palatino Linotype"/>
          <w:i/>
        </w:rPr>
        <w:t>“Cómo ubicar el Fo</w:t>
      </w:r>
      <w:r>
        <w:rPr>
          <w:rFonts w:ascii="Palatino Linotype" w:eastAsia="Palatino Linotype" w:hAnsi="Palatino Linotype" w:cs="Palatino Linotype"/>
          <w:i/>
        </w:rPr>
        <w:t>lio Fiscal en una factura”,</w:t>
      </w:r>
      <w:r>
        <w:rPr>
          <w:rFonts w:ascii="Palatino Linotype" w:eastAsia="Palatino Linotype" w:hAnsi="Palatino Linotype" w:cs="Palatino Linotype"/>
        </w:rPr>
        <w:t xml:space="preserve"> el dato se ubica dentro de los datos del emisor o en el recuadro de los datos de identificación del comprobante fiscal. Es un número consecutivo contenido en los comprobantes fiscales digitales, compuesto por 5 grupos de números</w:t>
      </w:r>
      <w:r>
        <w:rPr>
          <w:rFonts w:ascii="Palatino Linotype" w:eastAsia="Palatino Linotype" w:hAnsi="Palatino Linotype" w:cs="Palatino Linotype"/>
        </w:rPr>
        <w:t xml:space="preserve"> y letras separados por guiones, tal como se muestra a continuación:</w:t>
      </w:r>
    </w:p>
    <w:p w:rsidR="000E2AD0" w:rsidRDefault="000E2AD0">
      <w:pPr>
        <w:pBdr>
          <w:top w:val="nil"/>
          <w:left w:val="nil"/>
          <w:bottom w:val="nil"/>
          <w:right w:val="nil"/>
          <w:between w:val="nil"/>
        </w:pBdr>
        <w:spacing w:after="0" w:line="360" w:lineRule="auto"/>
        <w:jc w:val="both"/>
        <w:rPr>
          <w:rFonts w:ascii="Palatino Linotype" w:eastAsia="Palatino Linotype" w:hAnsi="Palatino Linotype" w:cs="Palatino Linotype"/>
        </w:rPr>
      </w:pPr>
    </w:p>
    <w:p w:rsidR="000E2AD0" w:rsidRDefault="00703F9D">
      <w:pPr>
        <w:spacing w:after="0"/>
        <w:ind w:left="567"/>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extent cx="4667250" cy="1333500"/>
            <wp:effectExtent l="0" t="0" r="0" b="0"/>
            <wp:docPr id="89832445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b="32787"/>
                    <a:stretch>
                      <a:fillRect/>
                    </a:stretch>
                  </pic:blipFill>
                  <pic:spPr>
                    <a:xfrm>
                      <a:off x="0" y="0"/>
                      <a:ext cx="4667250" cy="1333500"/>
                    </a:xfrm>
                    <a:prstGeom prst="rect">
                      <a:avLst/>
                    </a:prstGeom>
                    <a:ln/>
                  </pic:spPr>
                </pic:pic>
              </a:graphicData>
            </a:graphic>
          </wp:inline>
        </w:drawing>
      </w:r>
    </w:p>
    <w:p w:rsidR="000E2AD0" w:rsidRDefault="00703F9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contexto, el folio fiscal, no contiene datos personales del emisor y tampoco se puede obtener información confidencial con el mismo, pues solamente es un identificador del emiso</w:t>
      </w:r>
      <w:r>
        <w:rPr>
          <w:rFonts w:ascii="Palatino Linotype" w:eastAsia="Palatino Linotype" w:hAnsi="Palatino Linotype" w:cs="Palatino Linotype"/>
        </w:rPr>
        <w:t xml:space="preserve">r, del cual su transparencia ayuda a legitimar que el documento cumple con todos los requisitos establecidos en la normatividad aplicable, sin necesidad algún dato personal, por lo que, </w:t>
      </w:r>
      <w:r>
        <w:rPr>
          <w:rFonts w:ascii="Palatino Linotype" w:eastAsia="Palatino Linotype" w:hAnsi="Palatino Linotype" w:cs="Palatino Linotype"/>
          <w:b/>
        </w:rPr>
        <w:t>no se actualiza la clasificación</w:t>
      </w:r>
      <w:r>
        <w:rPr>
          <w:rFonts w:ascii="Palatino Linotype" w:eastAsia="Palatino Linotype" w:hAnsi="Palatino Linotype" w:cs="Palatino Linotype"/>
        </w:rPr>
        <w:t>, en términos del artículo 143, fracci</w:t>
      </w:r>
      <w:r>
        <w:rPr>
          <w:rFonts w:ascii="Palatino Linotype" w:eastAsia="Palatino Linotype" w:hAnsi="Palatino Linotype" w:cs="Palatino Linotype"/>
        </w:rPr>
        <w:t>ón I de la Ley de la materia.</w:t>
      </w:r>
    </w:p>
    <w:p w:rsidR="000E2AD0" w:rsidRDefault="000E2AD0">
      <w:pPr>
        <w:spacing w:after="0" w:line="360" w:lineRule="auto"/>
        <w:jc w:val="both"/>
        <w:rPr>
          <w:rFonts w:ascii="Palatino Linotype" w:eastAsia="Palatino Linotype" w:hAnsi="Palatino Linotype" w:cs="Palatino Linotype"/>
        </w:rPr>
      </w:pPr>
    </w:p>
    <w:p w:rsidR="000E2AD0" w:rsidRDefault="00703F9D">
      <w:pPr>
        <w:numPr>
          <w:ilvl w:val="0"/>
          <w:numId w:val="6"/>
        </w:numPr>
        <w:spacing w:after="0" w:line="360" w:lineRule="auto"/>
        <w:ind w:left="0" w:right="-91" w:firstLine="0"/>
        <w:jc w:val="both"/>
        <w:rPr>
          <w:rFonts w:ascii="Palatino Linotype" w:eastAsia="Palatino Linotype" w:hAnsi="Palatino Linotype" w:cs="Palatino Linotype"/>
        </w:rPr>
      </w:pPr>
      <w:r>
        <w:rPr>
          <w:rFonts w:ascii="Palatino Linotype" w:eastAsia="Palatino Linotype" w:hAnsi="Palatino Linotype" w:cs="Palatino Linotype"/>
          <w:b/>
        </w:rPr>
        <w:t xml:space="preserve">Número de serie del emisor y/o CSD y número de certificado del SAT. </w:t>
      </w:r>
    </w:p>
    <w:p w:rsidR="000E2AD0" w:rsidRDefault="00703F9D">
      <w:pPr>
        <w:spacing w:after="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hace </w:t>
      </w:r>
      <w:r>
        <w:rPr>
          <w:rFonts w:ascii="Palatino Linotype" w:eastAsia="Palatino Linotype" w:hAnsi="Palatino Linotype" w:cs="Palatino Linotype"/>
          <w:b/>
        </w:rPr>
        <w:t>al número de serie de los certificados de Sello Digitales del emisor y del Servicio de Administración Tributaria,</w:t>
      </w:r>
      <w:r>
        <w:rPr>
          <w:rFonts w:ascii="Palatino Linotype" w:eastAsia="Palatino Linotype" w:hAnsi="Palatino Linotype" w:cs="Palatino Linotype"/>
        </w:rPr>
        <w:t xml:space="preserve"> el ANEXO 20 de la Segunda Resolución de modificaciones a la Resolución Miscelánea Fiscal para dos mil  diecisiete, precisa que dichos datos se conforman por veinte caracteres numéricos; dicha situación se robustece con el ejemplo localizado en el document</w:t>
      </w:r>
      <w:r>
        <w:rPr>
          <w:rFonts w:ascii="Palatino Linotype" w:eastAsia="Palatino Linotype" w:hAnsi="Palatino Linotype" w:cs="Palatino Linotype"/>
        </w:rPr>
        <w:t xml:space="preserve">o denominado “Cómo ubicar el Folio Fiscal en una factura”, emitido por el Instituto Nacional Electoral, en la página </w:t>
      </w:r>
      <w:hyperlink r:id="rId10">
        <w:r>
          <w:rPr>
            <w:rFonts w:ascii="Palatino Linotype" w:eastAsia="Palatino Linotype" w:hAnsi="Palatino Linotype" w:cs="Palatino Linotype"/>
          </w:rPr>
          <w:t>https://portalanterior.ine.mx/archivos2/tutoriales/sistemas/ApoyoInstitucional/SIF/docs/candidatos/folioFiscalFactura.pdf</w:t>
        </w:r>
      </w:hyperlink>
      <w:r>
        <w:rPr>
          <w:rFonts w:ascii="Palatino Linotype" w:eastAsia="Palatino Linotype" w:hAnsi="Palatino Linotype" w:cs="Palatino Linotype"/>
        </w:rPr>
        <w:t>, en la cual se advierte que únicamente se encuentra conformado por números, como se muestra a continuación:</w:t>
      </w:r>
    </w:p>
    <w:p w:rsidR="000E2AD0" w:rsidRDefault="000E2AD0">
      <w:pPr>
        <w:spacing w:after="0" w:line="360" w:lineRule="auto"/>
        <w:ind w:right="-91"/>
        <w:jc w:val="both"/>
        <w:rPr>
          <w:rFonts w:ascii="Palatino Linotype" w:eastAsia="Palatino Linotype" w:hAnsi="Palatino Linotype" w:cs="Palatino Linotype"/>
        </w:rPr>
      </w:pPr>
    </w:p>
    <w:p w:rsidR="000E2AD0" w:rsidRDefault="00703F9D">
      <w:pPr>
        <w:spacing w:after="0"/>
        <w:ind w:left="567"/>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extent cx="5191125" cy="1009650"/>
            <wp:effectExtent l="0" t="0" r="0" b="0"/>
            <wp:docPr id="8983244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191125" cy="1009650"/>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simplePos x="0" y="0"/>
                <wp:positionH relativeFrom="column">
                  <wp:posOffset>629603</wp:posOffset>
                </wp:positionH>
                <wp:positionV relativeFrom="paragraph">
                  <wp:posOffset>829628</wp:posOffset>
                </wp:positionV>
                <wp:extent cx="2724150" cy="200025"/>
                <wp:effectExtent l="0" t="0" r="0" b="0"/>
                <wp:wrapNone/>
                <wp:docPr id="898324449" name=""/>
                <wp:cNvGraphicFramePr/>
                <a:graphic xmlns:a="http://schemas.openxmlformats.org/drawingml/2006/main">
                  <a:graphicData uri="http://schemas.microsoft.com/office/word/2010/wordprocessingShape">
                    <wps:wsp>
                      <wps:cNvSpPr/>
                      <wps:spPr>
                        <a:xfrm>
                          <a:off x="3998213" y="3694275"/>
                          <a:ext cx="2695575" cy="171450"/>
                        </a:xfrm>
                        <a:prstGeom prst="rect">
                          <a:avLst/>
                        </a:prstGeom>
                        <a:noFill/>
                        <a:ln w="28575" cap="flat" cmpd="sng">
                          <a:solidFill>
                            <a:srgbClr val="000000"/>
                          </a:solidFill>
                          <a:prstDash val="solid"/>
                          <a:round/>
                          <a:headEnd type="none" w="sm" len="sm"/>
                          <a:tailEnd type="none" w="sm" len="sm"/>
                        </a:ln>
                      </wps:spPr>
                      <wps:txbx>
                        <w:txbxContent>
                          <w:p w:rsidR="000E2AD0" w:rsidRDefault="000E2AD0">
                            <w:pPr>
                              <w:spacing w:line="275"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629603</wp:posOffset>
                </wp:positionH>
                <wp:positionV relativeFrom="paragraph">
                  <wp:posOffset>829628</wp:posOffset>
                </wp:positionV>
                <wp:extent cx="2724150" cy="200025"/>
                <wp:effectExtent b="0" l="0" r="0" t="0"/>
                <wp:wrapNone/>
                <wp:docPr id="898324449"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2724150" cy="200025"/>
                        </a:xfrm>
                        <a:prstGeom prst="rect"/>
                        <a:ln/>
                      </pic:spPr>
                    </pic:pic>
                  </a:graphicData>
                </a:graphic>
              </wp:anchor>
            </w:drawing>
          </mc:Fallback>
        </mc:AlternateContent>
      </w:r>
    </w:p>
    <w:p w:rsidR="000E2AD0" w:rsidRDefault="000E2AD0">
      <w:pPr>
        <w:spacing w:after="0"/>
        <w:ind w:left="567"/>
        <w:jc w:val="center"/>
        <w:rPr>
          <w:rFonts w:ascii="Palatino Linotype" w:eastAsia="Palatino Linotype" w:hAnsi="Palatino Linotype" w:cs="Palatino Linotype"/>
        </w:rPr>
      </w:pPr>
    </w:p>
    <w:p w:rsidR="000E2AD0" w:rsidRDefault="00703F9D">
      <w:pPr>
        <w:spacing w:after="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Como se logra observar, los números de serie del certificado de sello digital no contiene datos personales y con dichos dígitos tampoco se puede obtener información de carácter confidencial, por lo que, </w:t>
      </w:r>
      <w:r>
        <w:rPr>
          <w:rFonts w:ascii="Palatino Linotype" w:eastAsia="Palatino Linotype" w:hAnsi="Palatino Linotype" w:cs="Palatino Linotype"/>
          <w:b/>
        </w:rPr>
        <w:t>tampoco actualizan la causal de clasificación</w:t>
      </w:r>
      <w:r>
        <w:rPr>
          <w:rFonts w:ascii="Palatino Linotype" w:eastAsia="Palatino Linotype" w:hAnsi="Palatino Linotype" w:cs="Palatino Linotype"/>
        </w:rPr>
        <w:t>, establ</w:t>
      </w:r>
      <w:r>
        <w:rPr>
          <w:rFonts w:ascii="Palatino Linotype" w:eastAsia="Palatino Linotype" w:hAnsi="Palatino Linotype" w:cs="Palatino Linotype"/>
        </w:rPr>
        <w:t xml:space="preserve">ecida en el artículo 143, fracción I, de la Ley de Transparencia y Acceso a la Información Pública del Estado de México y Municipios. </w:t>
      </w:r>
      <w:r>
        <w:rPr>
          <w:rFonts w:ascii="Palatino Linotype" w:eastAsia="Palatino Linotype" w:hAnsi="Palatino Linotype" w:cs="Palatino Linotype"/>
          <w:b/>
        </w:rPr>
        <w:t>Máxime que permite corroborar la legitimidad a los CDFI, pues amparan la utilización de los certificados de sellos digital</w:t>
      </w:r>
      <w:r>
        <w:rPr>
          <w:rFonts w:ascii="Palatino Linotype" w:eastAsia="Palatino Linotype" w:hAnsi="Palatino Linotype" w:cs="Palatino Linotype"/>
          <w:b/>
        </w:rPr>
        <w:t>es válidos.</w:t>
      </w:r>
    </w:p>
    <w:p w:rsidR="000E2AD0" w:rsidRDefault="000E2AD0">
      <w:pPr>
        <w:spacing w:after="0"/>
        <w:jc w:val="both"/>
        <w:rPr>
          <w:rFonts w:ascii="Palatino Linotype" w:eastAsia="Palatino Linotype" w:hAnsi="Palatino Linotype" w:cs="Palatino Linotype"/>
          <w:b/>
        </w:rPr>
      </w:pPr>
    </w:p>
    <w:p w:rsidR="000E2AD0" w:rsidRDefault="00703F9D">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Método y forma de pago. </w:t>
      </w:r>
    </w:p>
    <w:p w:rsidR="000E2AD0" w:rsidRDefault="00703F9D">
      <w:pPr>
        <w:spacing w:after="0" w:line="360" w:lineRule="auto"/>
        <w:jc w:val="both"/>
        <w:rPr>
          <w:rFonts w:ascii="Palatino Linotype" w:eastAsia="Palatino Linotype" w:hAnsi="Palatino Linotype" w:cs="Palatino Linotype"/>
          <w:b/>
        </w:rPr>
      </w:pPr>
      <w:r>
        <w:rPr>
          <w:rFonts w:ascii="Palatino Linotype" w:eastAsia="Palatino Linotype" w:hAnsi="Palatino Linotype" w:cs="Palatino Linotype"/>
        </w:rPr>
        <w:t>En facturas, el método de pago indica cuándo se liquida la factura, siendo los principales PUE (Pago en Una sola Exhibición) para pagos al momento y PPD (Pago en Parcialidades o Diferido) para pagos a crédito o diferid</w:t>
      </w:r>
      <w:r>
        <w:rPr>
          <w:rFonts w:ascii="Palatino Linotype" w:eastAsia="Palatino Linotype" w:hAnsi="Palatino Linotype" w:cs="Palatino Linotype"/>
        </w:rPr>
        <w:t>os. La forma de pago especifica el instrumento o medio utilizado, como efectivo, transferencia electrónica, tarjeta de crédito, entre otras, y cada una tiene una clave asignada en el catálogo del SAT, por lo que, tampoco actualizan la causal de clasificaci</w:t>
      </w:r>
      <w:r>
        <w:rPr>
          <w:rFonts w:ascii="Palatino Linotype" w:eastAsia="Palatino Linotype" w:hAnsi="Palatino Linotype" w:cs="Palatino Linotype"/>
        </w:rPr>
        <w:t>ón, establecida en el artículo 143, fracción I, de la Ley de Transparencia y Acceso a la Información Pública del Estado de México y Municipios.</w:t>
      </w:r>
    </w:p>
    <w:p w:rsidR="000E2AD0" w:rsidRDefault="000E2AD0">
      <w:pPr>
        <w:spacing w:after="0" w:line="360" w:lineRule="auto"/>
        <w:jc w:val="both"/>
        <w:rPr>
          <w:rFonts w:ascii="Palatino Linotype" w:eastAsia="Palatino Linotype" w:hAnsi="Palatino Linotype" w:cs="Palatino Linotype"/>
        </w:rPr>
      </w:pPr>
    </w:p>
    <w:p w:rsidR="000E2AD0" w:rsidRDefault="00703F9D">
      <w:pPr>
        <w:numPr>
          <w:ilvl w:val="0"/>
          <w:numId w:val="11"/>
        </w:num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u w:val="single"/>
        </w:rPr>
        <w:t>Del Contrato de Suministro de Combustible,</w:t>
      </w:r>
      <w:r>
        <w:rPr>
          <w:rFonts w:ascii="Palatino Linotype" w:eastAsia="Palatino Linotype" w:hAnsi="Palatino Linotype" w:cs="Palatino Linotype"/>
          <w:color w:val="000000"/>
        </w:rPr>
        <w:t xml:space="preserve"> se logró apreciar que, dentro del documento se pretendió clasificar datos como:</w:t>
      </w:r>
    </w:p>
    <w:p w:rsidR="000E2AD0" w:rsidRDefault="000E2AD0">
      <w:pPr>
        <w:pBdr>
          <w:top w:val="nil"/>
          <w:left w:val="nil"/>
          <w:bottom w:val="nil"/>
          <w:right w:val="nil"/>
          <w:between w:val="nil"/>
        </w:pBdr>
        <w:spacing w:after="0" w:line="360" w:lineRule="auto"/>
        <w:ind w:left="720"/>
        <w:jc w:val="both"/>
        <w:rPr>
          <w:rFonts w:ascii="Palatino Linotype" w:eastAsia="Palatino Linotype" w:hAnsi="Palatino Linotype" w:cs="Palatino Linotype"/>
          <w:color w:val="000000"/>
        </w:rPr>
      </w:pPr>
    </w:p>
    <w:p w:rsidR="000E2AD0" w:rsidRDefault="00703F9D">
      <w:pPr>
        <w:numPr>
          <w:ilvl w:val="0"/>
          <w:numId w:val="9"/>
        </w:numPr>
        <w:pBdr>
          <w:top w:val="nil"/>
          <w:left w:val="nil"/>
          <w:bottom w:val="nil"/>
          <w:right w:val="nil"/>
          <w:between w:val="nil"/>
        </w:pBdr>
        <w:spacing w:after="0" w:line="360" w:lineRule="auto"/>
        <w:rPr>
          <w:rFonts w:ascii="Palatino Linotype" w:eastAsia="Palatino Linotype" w:hAnsi="Palatino Linotype" w:cs="Palatino Linotype"/>
          <w:color w:val="000000"/>
        </w:rPr>
      </w:pPr>
      <w:r>
        <w:rPr>
          <w:rFonts w:ascii="Palatino Linotype" w:eastAsia="Palatino Linotype" w:hAnsi="Palatino Linotype" w:cs="Palatino Linotype"/>
          <w:b/>
          <w:color w:val="000000"/>
        </w:rPr>
        <w:t>Nombre y domicilio fiscal del proveedor.</w:t>
      </w:r>
      <w:r>
        <w:rPr>
          <w:rFonts w:ascii="Palatino Linotype" w:eastAsia="Palatino Linotype" w:hAnsi="Palatino Linotype" w:cs="Palatino Linotype"/>
          <w:color w:val="000000"/>
        </w:rPr>
        <w:t xml:space="preserve"> </w:t>
      </w:r>
    </w:p>
    <w:p w:rsidR="000E2AD0" w:rsidRDefault="00703F9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Debe dejar visible los datos del proveedor, en su caso, y el domicilio fiscal; es decir, no debe testarse dato alguno relacionado co</w:t>
      </w:r>
      <w:r>
        <w:rPr>
          <w:rFonts w:ascii="Palatino Linotype" w:eastAsia="Palatino Linotype" w:hAnsi="Palatino Linotype" w:cs="Palatino Linotype"/>
        </w:rPr>
        <w:t>n el contribuyente, aunque el proveedor sea una persona física. Esto se debe a que del ejercicio de ponderación entre el derecho a la protección de datos personales con el derecho de acceso a la información pública en el caso particular, es de mayor trasce</w:t>
      </w:r>
      <w:r>
        <w:rPr>
          <w:rFonts w:ascii="Palatino Linotype" w:eastAsia="Palatino Linotype" w:hAnsi="Palatino Linotype" w:cs="Palatino Linotype"/>
        </w:rPr>
        <w:t xml:space="preserve">ndencia el derecho de cualquier persona a conocer en qué se gastan los recursos públicos, puesto que se trata de erogaciones que realiza un órgano del Estado con base en los recursos que encuentran su origen en mayor medida en las contribuciones aportadas </w:t>
      </w:r>
      <w:r>
        <w:rPr>
          <w:rFonts w:ascii="Palatino Linotype" w:eastAsia="Palatino Linotype" w:hAnsi="Palatino Linotype" w:cs="Palatino Linotype"/>
        </w:rPr>
        <w:t xml:space="preserve">por los gobernados, por lo que debe transparentarse su ejercicio. </w:t>
      </w:r>
    </w:p>
    <w:p w:rsidR="000E2AD0" w:rsidRDefault="000E2AD0">
      <w:pPr>
        <w:spacing w:after="0" w:line="360" w:lineRule="auto"/>
        <w:rPr>
          <w:rFonts w:ascii="Palatino Linotype" w:eastAsia="Palatino Linotype" w:hAnsi="Palatino Linotype" w:cs="Palatino Linotype"/>
        </w:rPr>
      </w:pPr>
    </w:p>
    <w:p w:rsidR="000E2AD0" w:rsidRDefault="00703F9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Además, las personas físicas que prestan servicios o venden productos a las instituciones públicas renuncian implícitamente a una parte de su derecho a la intimidad al obtener beneficios y</w:t>
      </w:r>
      <w:r>
        <w:rPr>
          <w:rFonts w:ascii="Palatino Linotype" w:eastAsia="Palatino Linotype" w:hAnsi="Palatino Linotype" w:cs="Palatino Linotype"/>
        </w:rPr>
        <w:t xml:space="preserve"> lucros de los recursos públicos por los servicios que prestan o productos que venden, por lo que no puede considerarse como información clasificada lo relativo a su nombre y domicilio fiscal, atento a que dicha información es la que puede generar certeza </w:t>
      </w:r>
      <w:r>
        <w:rPr>
          <w:rFonts w:ascii="Palatino Linotype" w:eastAsia="Palatino Linotype" w:hAnsi="Palatino Linotype" w:cs="Palatino Linotype"/>
        </w:rPr>
        <w:t>en los gobernados, en el sentido de que se está ejerciendo debidamente el presupuesto, esto es, se están realizando pagos a una persona que es la expedidora de un documento por el que se hizo un pago con dinero del erario público.</w:t>
      </w:r>
    </w:p>
    <w:p w:rsidR="000E2AD0" w:rsidRDefault="000E2AD0">
      <w:pPr>
        <w:spacing w:after="0" w:line="360" w:lineRule="auto"/>
        <w:jc w:val="both"/>
        <w:rPr>
          <w:rFonts w:ascii="Palatino Linotype" w:eastAsia="Palatino Linotype" w:hAnsi="Palatino Linotype" w:cs="Palatino Linotype"/>
        </w:rPr>
      </w:pPr>
    </w:p>
    <w:p w:rsidR="000E2AD0" w:rsidRDefault="00703F9D">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Registro Federal de Contribuyentes </w:t>
      </w:r>
    </w:p>
    <w:p w:rsidR="000E2AD0" w:rsidRDefault="00703F9D">
      <w:pPr>
        <w:spacing w:after="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Persona física (proveedor o contratista)</w:t>
      </w:r>
    </w:p>
    <w:p w:rsidR="000E2AD0" w:rsidRDefault="00703F9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el proveedor de cualquier Sujeto Obligado de la Ley de la materia, que sea una persona física, debe cumplir con los requisitos establecidos en los artículos 29 y 32 d</w:t>
      </w:r>
      <w:r>
        <w:rPr>
          <w:rFonts w:ascii="Palatino Linotype" w:eastAsia="Palatino Linotype" w:hAnsi="Palatino Linotype" w:cs="Palatino Linotype"/>
        </w:rPr>
        <w:t>el Reglamento de la Ley de Contratación Pública del Estado de México y Municipios; es decir, para que los individuos puedan participar en actos de adquisición o de contratación de servicios que requieran las dependencias, organismos auxiliares y tribunales</w:t>
      </w:r>
      <w:r>
        <w:rPr>
          <w:rFonts w:ascii="Palatino Linotype" w:eastAsia="Palatino Linotype" w:hAnsi="Palatino Linotype" w:cs="Palatino Linotype"/>
        </w:rPr>
        <w:t xml:space="preserve"> administrativos, así como los Gobiernos Municipales, deberán presentar, entre otras cosas, la cédula de identificación fiscal (Registro Federal de Contribuyentes); por lo que la entrega de dicho dato permite verificar cumplimiento de esta disposición lega</w:t>
      </w:r>
      <w:r>
        <w:rPr>
          <w:rFonts w:ascii="Palatino Linotype" w:eastAsia="Palatino Linotype" w:hAnsi="Palatino Linotype" w:cs="Palatino Linotype"/>
        </w:rPr>
        <w:t>l.</w:t>
      </w:r>
    </w:p>
    <w:p w:rsidR="000E2AD0" w:rsidRDefault="000E2AD0">
      <w:pPr>
        <w:spacing w:after="0" w:line="360" w:lineRule="auto"/>
        <w:jc w:val="both"/>
        <w:rPr>
          <w:rFonts w:ascii="Palatino Linotype" w:eastAsia="Palatino Linotype" w:hAnsi="Palatino Linotype" w:cs="Palatino Linotype"/>
        </w:rPr>
      </w:pPr>
    </w:p>
    <w:p w:rsidR="000E2AD0" w:rsidRDefault="00703F9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tanto, en el presente caso, si bien el Registro Federal de Contribuyentes de personas físicas es un dato personal, también lo es, que corresponde a un requisito indispensable para ser proveedor y poder llevar a cabo actividades comerciales con la En</w:t>
      </w:r>
      <w:r>
        <w:rPr>
          <w:rFonts w:ascii="Palatino Linotype" w:eastAsia="Palatino Linotype" w:hAnsi="Palatino Linotype" w:cs="Palatino Linotype"/>
        </w:rPr>
        <w:t>tidad, ya que, sin este, no se pueden realizar dichas acciones, por lo que su entrega es un elemento adicional que respalda la legalidad de los procesos adquisitivos.</w:t>
      </w:r>
    </w:p>
    <w:p w:rsidR="000E2AD0" w:rsidRDefault="000E2AD0">
      <w:pPr>
        <w:spacing w:after="0" w:line="360" w:lineRule="auto"/>
        <w:jc w:val="both"/>
        <w:rPr>
          <w:rFonts w:ascii="Palatino Linotype" w:eastAsia="Palatino Linotype" w:hAnsi="Palatino Linotype" w:cs="Palatino Linotype"/>
        </w:rPr>
      </w:pPr>
    </w:p>
    <w:p w:rsidR="000E2AD0" w:rsidRDefault="00703F9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contexto, entregar el Registro Federal de Contribuyentes aún de personas físicas </w:t>
      </w:r>
      <w:r>
        <w:rPr>
          <w:rFonts w:ascii="Palatino Linotype" w:eastAsia="Palatino Linotype" w:hAnsi="Palatino Linotype" w:cs="Palatino Linotype"/>
        </w:rPr>
        <w:t>cuando son proveedores de instituciones públicas, propiciaría la rendición de cuentas, al permitir verificar que se cumplió con uno de los requisitos necesarios conforme a la normatividad aplicable en materia de contrataciones, lo cual, transparenta el cor</w:t>
      </w:r>
      <w:r>
        <w:rPr>
          <w:rFonts w:ascii="Palatino Linotype" w:eastAsia="Palatino Linotype" w:hAnsi="Palatino Linotype" w:cs="Palatino Linotype"/>
        </w:rPr>
        <w:t>recto ejercicio de recursos públicos por parte de los sujetos obligados, lo que es acorde con el principio de máxima publicidad.</w:t>
      </w:r>
    </w:p>
    <w:p w:rsidR="000E2AD0" w:rsidRDefault="000E2AD0">
      <w:pPr>
        <w:spacing w:after="0" w:line="360" w:lineRule="auto"/>
        <w:jc w:val="both"/>
        <w:rPr>
          <w:rFonts w:ascii="Palatino Linotype" w:eastAsia="Palatino Linotype" w:hAnsi="Palatino Linotype" w:cs="Palatino Linotype"/>
        </w:rPr>
      </w:pPr>
    </w:p>
    <w:p w:rsidR="000E2AD0" w:rsidRDefault="00703F9D">
      <w:pPr>
        <w:tabs>
          <w:tab w:val="center" w:pos="4522"/>
        </w:tabs>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se robustece con el Criterio Orientador, de la Segunda Época, con número de registro SO/004/2021, emitido por el </w:t>
      </w:r>
      <w:r>
        <w:rPr>
          <w:rFonts w:ascii="Palatino Linotype" w:eastAsia="Palatino Linotype" w:hAnsi="Palatino Linotype" w:cs="Palatino Linotype"/>
        </w:rPr>
        <w:t>entonces Instituto Nacional de Transparencia, Acceso a la Información y Protección de Datos Personales, vigente a la fecha de la solicitud, en el cual se señala lo siguiente:</w:t>
      </w:r>
    </w:p>
    <w:p w:rsidR="000E2AD0" w:rsidRDefault="000E2AD0">
      <w:pPr>
        <w:tabs>
          <w:tab w:val="center" w:pos="4522"/>
        </w:tabs>
        <w:spacing w:after="0" w:line="360" w:lineRule="auto"/>
        <w:jc w:val="both"/>
        <w:rPr>
          <w:rFonts w:ascii="Palatino Linotype" w:eastAsia="Palatino Linotype" w:hAnsi="Palatino Linotype" w:cs="Palatino Linotype"/>
        </w:rPr>
      </w:pPr>
    </w:p>
    <w:p w:rsidR="000E2AD0" w:rsidRDefault="00703F9D">
      <w:pPr>
        <w:tabs>
          <w:tab w:val="center" w:pos="4522"/>
        </w:tabs>
        <w:spacing w:after="0"/>
        <w:ind w:left="851" w:right="843"/>
        <w:jc w:val="both"/>
        <w:rPr>
          <w:rFonts w:ascii="Palatino Linotype" w:eastAsia="Palatino Linotype" w:hAnsi="Palatino Linotype" w:cs="Palatino Linotype"/>
          <w:i/>
        </w:rPr>
      </w:pPr>
      <w:r>
        <w:rPr>
          <w:rFonts w:ascii="Palatino Linotype" w:eastAsia="Palatino Linotype" w:hAnsi="Palatino Linotype" w:cs="Palatino Linotype"/>
          <w:b/>
          <w:i/>
        </w:rPr>
        <w:t>“Registro Federal de Contribuyentes (RFC) de personas físicas proveedores o cont</w:t>
      </w:r>
      <w:r>
        <w:rPr>
          <w:rFonts w:ascii="Palatino Linotype" w:eastAsia="Palatino Linotype" w:hAnsi="Palatino Linotype" w:cs="Palatino Linotype"/>
          <w:b/>
          <w:i/>
        </w:rPr>
        <w:t xml:space="preserve">ratistas. </w:t>
      </w:r>
      <w:r>
        <w:rPr>
          <w:rFonts w:ascii="Palatino Linotype" w:eastAsia="Palatino Linotype" w:hAnsi="Palatino Linotype" w:cs="Palatino Linotype"/>
          <w:i/>
        </w:rPr>
        <w:t>El RFC de contratistas o proveedores de sujetos obligados debe ser público, ya que al tratarse de personas relacionadas con contrataciones públicas, su difusión favorece la transparencia con la que deben administrarse los recursos públicos, en té</w:t>
      </w:r>
      <w:r>
        <w:rPr>
          <w:rFonts w:ascii="Palatino Linotype" w:eastAsia="Palatino Linotype" w:hAnsi="Palatino Linotype" w:cs="Palatino Linotype"/>
          <w:i/>
        </w:rPr>
        <w:t>rminos del artículo 134 de la Constitución Política de los Estados Unidos Mexicanos. “</w:t>
      </w:r>
    </w:p>
    <w:p w:rsidR="000E2AD0" w:rsidRDefault="000E2AD0">
      <w:pPr>
        <w:tabs>
          <w:tab w:val="center" w:pos="4522"/>
        </w:tabs>
        <w:spacing w:after="0" w:line="360" w:lineRule="auto"/>
        <w:jc w:val="both"/>
        <w:rPr>
          <w:rFonts w:ascii="Palatino Linotype" w:eastAsia="Palatino Linotype" w:hAnsi="Palatino Linotype" w:cs="Palatino Linotype"/>
        </w:rPr>
      </w:pPr>
    </w:p>
    <w:p w:rsidR="000E2AD0" w:rsidRDefault="00703F9D">
      <w:pPr>
        <w:tabs>
          <w:tab w:val="center" w:pos="4522"/>
        </w:tabs>
        <w:spacing w:after="0" w:line="360" w:lineRule="auto"/>
        <w:jc w:val="both"/>
        <w:rPr>
          <w:rFonts w:ascii="Palatino Linotype" w:eastAsia="Palatino Linotype" w:hAnsi="Palatino Linotype" w:cs="Palatino Linotype"/>
          <w:b/>
          <w:u w:val="single"/>
        </w:rPr>
      </w:pPr>
      <w:r>
        <w:rPr>
          <w:rFonts w:ascii="Palatino Linotype" w:eastAsia="Palatino Linotype" w:hAnsi="Palatino Linotype" w:cs="Palatino Linotype"/>
        </w:rPr>
        <w:t xml:space="preserve">En conclusión, toda vez, que el Registro Federal de Contribuyentes de proveedores o contratistas, es un requisito indispensable, para poder participar en adquisiciones </w:t>
      </w:r>
      <w:r>
        <w:rPr>
          <w:rFonts w:ascii="Palatino Linotype" w:eastAsia="Palatino Linotype" w:hAnsi="Palatino Linotype" w:cs="Palatino Linotype"/>
        </w:rPr>
        <w:t xml:space="preserve">públicas y contracción de servicios y que abona a la transparencia con la que deben administrarse los recursos públicos, </w:t>
      </w:r>
      <w:r>
        <w:rPr>
          <w:rFonts w:ascii="Palatino Linotype" w:eastAsia="Palatino Linotype" w:hAnsi="Palatino Linotype" w:cs="Palatino Linotype"/>
          <w:b/>
        </w:rPr>
        <w:t xml:space="preserve">no actualiza la causal de clasificación </w:t>
      </w:r>
      <w:r>
        <w:rPr>
          <w:rFonts w:ascii="Palatino Linotype" w:eastAsia="Palatino Linotype" w:hAnsi="Palatino Linotype" w:cs="Palatino Linotype"/>
        </w:rPr>
        <w:t>prevista en el artículo 143, fracción I de la Ley de Transparencia y Acceso a la Información Pú</w:t>
      </w:r>
      <w:r>
        <w:rPr>
          <w:rFonts w:ascii="Palatino Linotype" w:eastAsia="Palatino Linotype" w:hAnsi="Palatino Linotype" w:cs="Palatino Linotype"/>
        </w:rPr>
        <w:t>blica del Estado de México y Municipios.</w:t>
      </w:r>
    </w:p>
    <w:p w:rsidR="000E2AD0" w:rsidRDefault="000E2AD0">
      <w:pPr>
        <w:tabs>
          <w:tab w:val="center" w:pos="4522"/>
        </w:tabs>
        <w:spacing w:after="0" w:line="360" w:lineRule="auto"/>
        <w:jc w:val="both"/>
        <w:rPr>
          <w:rFonts w:ascii="Palatino Linotype" w:eastAsia="Palatino Linotype" w:hAnsi="Palatino Linotype" w:cs="Palatino Linotype"/>
          <w:b/>
        </w:rPr>
      </w:pPr>
    </w:p>
    <w:p w:rsidR="000E2AD0" w:rsidRDefault="00703F9D">
      <w:pPr>
        <w:tabs>
          <w:tab w:val="center" w:pos="4522"/>
        </w:tabs>
        <w:spacing w:after="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Persona Moral</w:t>
      </w:r>
    </w:p>
    <w:p w:rsidR="000E2AD0" w:rsidRDefault="00703F9D">
      <w:pPr>
        <w:tabs>
          <w:tab w:val="center" w:pos="4522"/>
        </w:tabs>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el Registro Federal de Contribuyentes, inicia con un preinscripción por Internet y se concluye en cualquier Administración Desconcentrada de Servicios al Contribuyente, en donde aquellas </w:t>
      </w:r>
      <w:r>
        <w:rPr>
          <w:rFonts w:ascii="Palatino Linotype" w:eastAsia="Palatino Linotype" w:hAnsi="Palatino Linotype" w:cs="Palatino Linotype"/>
        </w:rPr>
        <w:t>personas que realicen el trámite tendrán que entregar ciertos documentos, que para las personas jurídico colectivas, serán, entre otros, la copia certificada del documento constitutivo debidamente protocolizado, comprobante de domicilio, identificación per</w:t>
      </w:r>
      <w:r>
        <w:rPr>
          <w:rFonts w:ascii="Palatino Linotype" w:eastAsia="Palatino Linotype" w:hAnsi="Palatino Linotype" w:cs="Palatino Linotype"/>
        </w:rPr>
        <w:t>sonal, número de folio asignado que se le proporcionó al realizar el envío de su preinscripción y copia certificada del poder notarial con el que se acredite la personalidad del representante legal, o carta poder firmada ante dos testigos y ratificadas las</w:t>
      </w:r>
      <w:r>
        <w:rPr>
          <w:rFonts w:ascii="Palatino Linotype" w:eastAsia="Palatino Linotype" w:hAnsi="Palatino Linotype" w:cs="Palatino Linotype"/>
        </w:rPr>
        <w:t xml:space="preserve"> firmas ante las autoridades fiscales o ante notario o fedatario público. Derivado del trámite se obtiene, entre otros, la cédula de identificación fiscal o constancia de registro.</w:t>
      </w:r>
    </w:p>
    <w:p w:rsidR="000E2AD0" w:rsidRDefault="000E2AD0">
      <w:pPr>
        <w:tabs>
          <w:tab w:val="center" w:pos="4522"/>
        </w:tabs>
        <w:spacing w:after="0" w:line="360" w:lineRule="auto"/>
        <w:jc w:val="both"/>
        <w:rPr>
          <w:rFonts w:ascii="Palatino Linotype" w:eastAsia="Palatino Linotype" w:hAnsi="Palatino Linotype" w:cs="Palatino Linotype"/>
        </w:rPr>
      </w:pPr>
    </w:p>
    <w:p w:rsidR="000E2AD0" w:rsidRDefault="00703F9D">
      <w:pPr>
        <w:tabs>
          <w:tab w:val="center" w:pos="4522"/>
        </w:tabs>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ende, la información correspondiente al Registro Federal de Contribuye</w:t>
      </w:r>
      <w:r>
        <w:rPr>
          <w:rFonts w:ascii="Palatino Linotype" w:eastAsia="Palatino Linotype" w:hAnsi="Palatino Linotype" w:cs="Palatino Linotype"/>
        </w:rPr>
        <w:t>ntes de una persona moral da cuenta del cumplimiento o no en sus obligaciones fiscales; por tanto, no se actualiza su clasificación como confidencial.</w:t>
      </w:r>
    </w:p>
    <w:p w:rsidR="000E2AD0" w:rsidRDefault="000E2AD0">
      <w:pPr>
        <w:tabs>
          <w:tab w:val="center" w:pos="4522"/>
        </w:tabs>
        <w:spacing w:after="0" w:line="360" w:lineRule="auto"/>
        <w:jc w:val="both"/>
        <w:rPr>
          <w:rFonts w:ascii="Palatino Linotype" w:eastAsia="Palatino Linotype" w:hAnsi="Palatino Linotype" w:cs="Palatino Linotype"/>
        </w:rPr>
      </w:pPr>
    </w:p>
    <w:p w:rsidR="000E2AD0" w:rsidRDefault="00703F9D">
      <w:pPr>
        <w:tabs>
          <w:tab w:val="center" w:pos="4522"/>
        </w:tabs>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Además, resulta aplicable por analogía el Criterio Orientador, de la Segunda Época, con número de registro SO/008/2019, emitido por el entonces Instituto Nacional de Transparencia, Acceso a la Información y Protección de Datos Personales, que precisa que e</w:t>
      </w:r>
      <w:r>
        <w:rPr>
          <w:rFonts w:ascii="Palatino Linotype" w:eastAsia="Palatino Linotype" w:hAnsi="Palatino Linotype" w:cs="Palatino Linotype"/>
        </w:rPr>
        <w:t>l Registro Federal de Contribuyentes de personas morales, es público, al no referir a hechos o actos de carácter económico, contable, jurídico o administrativo que sean útiles o representen una ventaja a sus competidores.</w:t>
      </w:r>
    </w:p>
    <w:p w:rsidR="000E2AD0" w:rsidRDefault="000E2AD0">
      <w:pPr>
        <w:tabs>
          <w:tab w:val="center" w:pos="4522"/>
        </w:tabs>
        <w:spacing w:after="0" w:line="360" w:lineRule="auto"/>
        <w:jc w:val="both"/>
        <w:rPr>
          <w:rFonts w:ascii="Palatino Linotype" w:eastAsia="Palatino Linotype" w:hAnsi="Palatino Linotype" w:cs="Palatino Linotype"/>
        </w:rPr>
      </w:pPr>
    </w:p>
    <w:p w:rsidR="000E2AD0" w:rsidRDefault="00703F9D">
      <w:pPr>
        <w:tabs>
          <w:tab w:val="center" w:pos="4522"/>
        </w:tabs>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De tales circunstancias, el R</w:t>
      </w:r>
      <w:r>
        <w:rPr>
          <w:rFonts w:ascii="Palatino Linotype" w:eastAsia="Palatino Linotype" w:hAnsi="Palatino Linotype" w:cs="Palatino Linotype"/>
          <w:b/>
        </w:rPr>
        <w:t>egis</w:t>
      </w:r>
      <w:r>
        <w:rPr>
          <w:rFonts w:ascii="Palatino Linotype" w:eastAsia="Palatino Linotype" w:hAnsi="Palatino Linotype" w:cs="Palatino Linotype"/>
          <w:b/>
        </w:rPr>
        <w:t>tro Federal de Contribuyentes de personas morales, no actualizan la causal de clasificación,</w:t>
      </w:r>
      <w:r>
        <w:rPr>
          <w:rFonts w:ascii="Palatino Linotype" w:eastAsia="Palatino Linotype" w:hAnsi="Palatino Linotype" w:cs="Palatino Linotype"/>
        </w:rPr>
        <w:t xml:space="preserve"> prevista en el artículo 143, fracción I de la Ley de Transparencia y Acceso a la Información Pública del Estado de México y Municipios, al ser de naturaleza públic</w:t>
      </w:r>
      <w:r>
        <w:rPr>
          <w:rFonts w:ascii="Palatino Linotype" w:eastAsia="Palatino Linotype" w:hAnsi="Palatino Linotype" w:cs="Palatino Linotype"/>
        </w:rPr>
        <w:t>a.</w:t>
      </w:r>
    </w:p>
    <w:p w:rsidR="000E2AD0" w:rsidRDefault="000E2AD0">
      <w:pPr>
        <w:widowControl w:val="0"/>
        <w:spacing w:after="0" w:line="360" w:lineRule="auto"/>
        <w:jc w:val="both"/>
        <w:rPr>
          <w:rFonts w:ascii="Palatino Linotype" w:eastAsia="Palatino Linotype" w:hAnsi="Palatino Linotype" w:cs="Palatino Linotype"/>
        </w:rPr>
      </w:pPr>
    </w:p>
    <w:p w:rsidR="000E2AD0" w:rsidRDefault="00703F9D">
      <w:pPr>
        <w:widowControl w:val="0"/>
        <w:numPr>
          <w:ilvl w:val="0"/>
          <w:numId w:val="8"/>
        </w:numPr>
        <w:pBdr>
          <w:top w:val="nil"/>
          <w:left w:val="nil"/>
          <w:bottom w:val="nil"/>
          <w:right w:val="nil"/>
          <w:between w:val="nil"/>
        </w:pBdr>
        <w:spacing w:after="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Número de folio de identificación oficial del INE</w:t>
      </w:r>
    </w:p>
    <w:p w:rsidR="000E2AD0" w:rsidRDefault="00703F9D">
      <w:pPr>
        <w:widowControl w:val="0"/>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El número de folio de identificación oficial del INE, es el código único y personal que se entrega con cada credencial y permite ubicar eficientemente los datos en el Sistema del Instituto Nacional Elec</w:t>
      </w:r>
      <w:r>
        <w:rPr>
          <w:rFonts w:ascii="Palatino Linotype" w:eastAsia="Palatino Linotype" w:hAnsi="Palatino Linotype" w:cs="Palatino Linotype"/>
        </w:rPr>
        <w:t xml:space="preserve">toral, por lo que </w:t>
      </w:r>
      <w:r>
        <w:rPr>
          <w:rFonts w:ascii="Palatino Linotype" w:eastAsia="Palatino Linotype" w:hAnsi="Palatino Linotype" w:cs="Palatino Linotype"/>
          <w:b/>
        </w:rPr>
        <w:t xml:space="preserve">se considera dato personal confidencial, conforme a </w:t>
      </w:r>
      <w:r>
        <w:rPr>
          <w:rFonts w:ascii="Palatino Linotype" w:eastAsia="Palatino Linotype" w:hAnsi="Palatino Linotype" w:cs="Palatino Linotype"/>
        </w:rPr>
        <w:t>lo dispuesto en la fracción I, del artículo 143 de la Ley de Transparencia y Acceso a la Información Pública del Estado de México y Municipios.</w:t>
      </w:r>
    </w:p>
    <w:p w:rsidR="000E2AD0" w:rsidRDefault="000E2AD0">
      <w:pPr>
        <w:spacing w:after="0" w:line="360" w:lineRule="auto"/>
        <w:ind w:right="49"/>
        <w:jc w:val="both"/>
        <w:rPr>
          <w:rFonts w:ascii="Palatino Linotype" w:eastAsia="Palatino Linotype" w:hAnsi="Palatino Linotype" w:cs="Palatino Linotype"/>
        </w:rPr>
      </w:pPr>
    </w:p>
    <w:p w:rsidR="000E2AD0" w:rsidRDefault="00703F9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analizado con antelación, se advier</w:t>
      </w:r>
      <w:r>
        <w:rPr>
          <w:rFonts w:ascii="Palatino Linotype" w:eastAsia="Palatino Linotype" w:hAnsi="Palatino Linotype" w:cs="Palatino Linotype"/>
        </w:rPr>
        <w:t xml:space="preserve">te que el actuar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fue correcto, en virtud de que si bien hizo entrega de la información solicitada, lo cierto es que esta se encuentra en incorrecta versión pública, toda vez que testo de manera excesiva, datos que son de interés públ</w:t>
      </w:r>
      <w:r>
        <w:rPr>
          <w:rFonts w:ascii="Palatino Linotype" w:eastAsia="Palatino Linotype" w:hAnsi="Palatino Linotype" w:cs="Palatino Linotype"/>
        </w:rPr>
        <w:t xml:space="preserve">ico; por lo que resulta procedente ordenar su entrega en correcta versión pública. </w:t>
      </w:r>
    </w:p>
    <w:p w:rsidR="000E2AD0" w:rsidRDefault="000E2AD0">
      <w:pPr>
        <w:spacing w:after="0" w:line="360" w:lineRule="auto"/>
        <w:jc w:val="both"/>
        <w:rPr>
          <w:rFonts w:ascii="Palatino Linotype" w:eastAsia="Palatino Linotype" w:hAnsi="Palatino Linotype" w:cs="Palatino Linotype"/>
        </w:rPr>
      </w:pPr>
    </w:p>
    <w:p w:rsidR="000E2AD0" w:rsidRDefault="00703F9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No pasa desapercibido para este Organismo Garante que en la documentación remitida,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la documentación en versión pública sin el acuerdo de comité que sustente tal circunstancia, por lo tanto, es necesario hacer del conocimiento de las partes que para los casos en los que se presenten versiones públicas, estas deberán acompañarse c</w:t>
      </w:r>
      <w:r>
        <w:rPr>
          <w:rFonts w:ascii="Palatino Linotype" w:eastAsia="Palatino Linotype" w:hAnsi="Palatino Linotype" w:cs="Palatino Linotype"/>
        </w:rPr>
        <w:t>on el acuerdo del Comité de Transparencia en donde se apruebe la versión pública de las bitácoras, facturas y contrato, ya que en caso contrario se considera que es un documento ilegible e incompleto, esto en razón de que los artículos 12</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xml:space="preserve"> y 23</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xml:space="preserve"> fracción, </w:t>
      </w:r>
      <w:r>
        <w:rPr>
          <w:rFonts w:ascii="Palatino Linotype" w:eastAsia="Palatino Linotype" w:hAnsi="Palatino Linotype" w:cs="Palatino Linotype"/>
        </w:rPr>
        <w:t>IV de la Ley de la Materia, establecen que los Sujetos Obligados tiene la obligación de transparentar y permitir el acceso a toda la información pública que generen, recopilen, administren, manejen, procesen, archiven o conserven; así como proteger los dat</w:t>
      </w:r>
      <w:r>
        <w:rPr>
          <w:rFonts w:ascii="Palatino Linotype" w:eastAsia="Palatino Linotype" w:hAnsi="Palatino Linotype" w:cs="Palatino Linotype"/>
        </w:rPr>
        <w:t>os personales que obren en su poder.</w:t>
      </w:r>
    </w:p>
    <w:p w:rsidR="000E2AD0" w:rsidRDefault="000E2AD0">
      <w:pPr>
        <w:spacing w:after="0" w:line="360" w:lineRule="auto"/>
        <w:jc w:val="both"/>
        <w:rPr>
          <w:rFonts w:ascii="Palatino Linotype" w:eastAsia="Palatino Linotype" w:hAnsi="Palatino Linotype" w:cs="Palatino Linotype"/>
        </w:rPr>
      </w:pPr>
    </w:p>
    <w:p w:rsidR="000E2AD0" w:rsidRDefault="00703F9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Aunque, existen excepciones al derecho de acceso a la información conforme a lo establecido en los artículos 3, fracciones XX, XXI, XXXIV y XLV, 91, 122, 135, 143, 147, 148 y 149 de la repetitiva Ley de Transparencia, </w:t>
      </w:r>
      <w:r>
        <w:rPr>
          <w:rFonts w:ascii="Palatino Linotype" w:eastAsia="Palatino Linotype" w:hAnsi="Palatino Linotype" w:cs="Palatino Linotype"/>
        </w:rPr>
        <w:t>los cuales establecen lo siguiente:</w:t>
      </w:r>
    </w:p>
    <w:p w:rsidR="000E2AD0" w:rsidRDefault="000E2AD0">
      <w:pPr>
        <w:spacing w:after="0" w:line="360" w:lineRule="auto"/>
        <w:jc w:val="both"/>
        <w:rPr>
          <w:rFonts w:ascii="Palatino Linotype" w:eastAsia="Palatino Linotype" w:hAnsi="Palatino Linotype" w:cs="Palatino Linotype"/>
        </w:rPr>
      </w:pPr>
    </w:p>
    <w:p w:rsidR="000E2AD0" w:rsidRDefault="00703F9D">
      <w:pPr>
        <w:shd w:val="clear" w:color="auto" w:fill="FFFFFF"/>
        <w:tabs>
          <w:tab w:val="left" w:pos="709"/>
        </w:tabs>
        <w:spacing w:after="0"/>
        <w:ind w:left="851"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 “</w:t>
      </w:r>
      <w:r>
        <w:rPr>
          <w:rFonts w:ascii="Palatino Linotype" w:eastAsia="Palatino Linotype" w:hAnsi="Palatino Linotype" w:cs="Palatino Linotype"/>
          <w:b/>
          <w:i/>
        </w:rPr>
        <w:t>Artículo 3.</w:t>
      </w:r>
      <w:r>
        <w:rPr>
          <w:rFonts w:ascii="Palatino Linotype" w:eastAsia="Palatino Linotype" w:hAnsi="Palatino Linotype" w:cs="Palatino Linotype"/>
          <w:i/>
        </w:rPr>
        <w:t xml:space="preserve"> Para los efectos de la presente Ley se entenderá por:…</w:t>
      </w:r>
    </w:p>
    <w:p w:rsidR="000E2AD0" w:rsidRDefault="00703F9D">
      <w:pPr>
        <w:shd w:val="clear" w:color="auto" w:fill="FFFFFF"/>
        <w:tabs>
          <w:tab w:val="left" w:pos="709"/>
        </w:tabs>
        <w:spacing w:after="0"/>
        <w:ind w:left="851" w:right="567"/>
        <w:jc w:val="both"/>
        <w:rPr>
          <w:rFonts w:ascii="Palatino Linotype" w:eastAsia="Palatino Linotype" w:hAnsi="Palatino Linotype" w:cs="Palatino Linotype"/>
          <w:i/>
        </w:rPr>
      </w:pPr>
      <w:r>
        <w:rPr>
          <w:rFonts w:ascii="Palatino Linotype" w:eastAsia="Palatino Linotype" w:hAnsi="Palatino Linotype" w:cs="Palatino Linotype"/>
          <w:b/>
          <w:i/>
        </w:rPr>
        <w:t>XX.</w:t>
      </w:r>
      <w:r>
        <w:rPr>
          <w:rFonts w:ascii="Palatino Linotype" w:eastAsia="Palatino Linotype" w:hAnsi="Palatino Linotype" w:cs="Palatino Linotype"/>
          <w:i/>
        </w:rPr>
        <w:t xml:space="preserve"> Información clasificada: Aquella considerada por la presente Ley como reservada o confidencial; </w:t>
      </w:r>
    </w:p>
    <w:p w:rsidR="000E2AD0" w:rsidRDefault="00703F9D">
      <w:pPr>
        <w:shd w:val="clear" w:color="auto" w:fill="FFFFFF"/>
        <w:tabs>
          <w:tab w:val="left" w:pos="709"/>
        </w:tabs>
        <w:spacing w:after="0"/>
        <w:ind w:left="851" w:right="567"/>
        <w:jc w:val="both"/>
        <w:rPr>
          <w:rFonts w:ascii="Palatino Linotype" w:eastAsia="Palatino Linotype" w:hAnsi="Palatino Linotype" w:cs="Palatino Linotype"/>
          <w:i/>
        </w:rPr>
      </w:pPr>
      <w:r>
        <w:rPr>
          <w:rFonts w:ascii="Palatino Linotype" w:eastAsia="Palatino Linotype" w:hAnsi="Palatino Linotype" w:cs="Palatino Linotype"/>
          <w:b/>
          <w:i/>
        </w:rPr>
        <w:t>XXI.</w:t>
      </w:r>
      <w:r>
        <w:rPr>
          <w:rFonts w:ascii="Palatino Linotype" w:eastAsia="Palatino Linotype" w:hAnsi="Palatino Linotype" w:cs="Palatino Linotype"/>
          <w:i/>
        </w:rPr>
        <w:t xml:space="preserve"> Información confidencial: Se considera como información confidencial los secretos bancario, fiduciario, industrial, comercial, fiscal, bursátil y postal, cuya titularidad corresponda a particulares, sujetos de derecho internacional o a sujetos obligados c</w:t>
      </w:r>
      <w:r>
        <w:rPr>
          <w:rFonts w:ascii="Palatino Linotype" w:eastAsia="Palatino Linotype" w:hAnsi="Palatino Linotype" w:cs="Palatino Linotype"/>
          <w:i/>
        </w:rPr>
        <w:t>uando no involucren el ejercicio de recursos públicos;</w:t>
      </w:r>
    </w:p>
    <w:p w:rsidR="000E2AD0" w:rsidRDefault="00703F9D">
      <w:pPr>
        <w:shd w:val="clear" w:color="auto" w:fill="FFFFFF"/>
        <w:tabs>
          <w:tab w:val="left" w:pos="709"/>
        </w:tabs>
        <w:spacing w:after="0"/>
        <w:ind w:left="851"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rsidR="000E2AD0" w:rsidRDefault="00703F9D">
      <w:pPr>
        <w:shd w:val="clear" w:color="auto" w:fill="FFFFFF"/>
        <w:tabs>
          <w:tab w:val="left" w:pos="709"/>
        </w:tabs>
        <w:spacing w:after="0"/>
        <w:ind w:left="851" w:right="567"/>
        <w:jc w:val="both"/>
        <w:rPr>
          <w:rFonts w:ascii="Palatino Linotype" w:eastAsia="Palatino Linotype" w:hAnsi="Palatino Linotype" w:cs="Palatino Linotype"/>
          <w:i/>
        </w:rPr>
      </w:pPr>
      <w:r>
        <w:rPr>
          <w:rFonts w:ascii="Palatino Linotype" w:eastAsia="Palatino Linotype" w:hAnsi="Palatino Linotype" w:cs="Palatino Linotype"/>
          <w:b/>
          <w:i/>
        </w:rPr>
        <w:t>XXXIV</w:t>
      </w:r>
      <w:r>
        <w:rPr>
          <w:rFonts w:ascii="Palatino Linotype" w:eastAsia="Palatino Linotype" w:hAnsi="Palatino Linotype" w:cs="Palatino Linotype"/>
          <w:i/>
        </w:rPr>
        <w:t>. Prueba de interés público: Es el proceso de ponderación entre el beneficio que reporta dar a conocer la información confidencial solicitada contra el daño que su divulgación genera en los dere</w:t>
      </w:r>
      <w:r>
        <w:rPr>
          <w:rFonts w:ascii="Palatino Linotype" w:eastAsia="Palatino Linotype" w:hAnsi="Palatino Linotype" w:cs="Palatino Linotype"/>
          <w:i/>
        </w:rPr>
        <w:t>chos de las personas, llevado a cabo por el Instituto en el ámbito de sus respectivas competencias</w:t>
      </w:r>
    </w:p>
    <w:p w:rsidR="000E2AD0" w:rsidRDefault="00703F9D">
      <w:pPr>
        <w:shd w:val="clear" w:color="auto" w:fill="FFFFFF"/>
        <w:tabs>
          <w:tab w:val="left" w:pos="709"/>
        </w:tabs>
        <w:spacing w:after="0"/>
        <w:ind w:left="851"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rsidR="000E2AD0" w:rsidRDefault="00703F9D">
      <w:pPr>
        <w:shd w:val="clear" w:color="auto" w:fill="FFFFFF"/>
        <w:tabs>
          <w:tab w:val="left" w:pos="709"/>
        </w:tabs>
        <w:spacing w:after="0"/>
        <w:ind w:left="851" w:right="567"/>
        <w:jc w:val="both"/>
        <w:rPr>
          <w:rFonts w:ascii="Palatino Linotype" w:eastAsia="Palatino Linotype" w:hAnsi="Palatino Linotype" w:cs="Palatino Linotype"/>
          <w:i/>
        </w:rPr>
      </w:pPr>
      <w:r>
        <w:rPr>
          <w:rFonts w:ascii="Palatino Linotype" w:eastAsia="Palatino Linotype" w:hAnsi="Palatino Linotype" w:cs="Palatino Linotype"/>
          <w:b/>
          <w:i/>
        </w:rPr>
        <w:t>XLV.</w:t>
      </w:r>
      <w:r>
        <w:rPr>
          <w:rFonts w:ascii="Palatino Linotype" w:eastAsia="Palatino Linotype" w:hAnsi="Palatino Linotype" w:cs="Palatino Linotype"/>
          <w:i/>
        </w:rPr>
        <w:t xml:space="preserve"> Versión pública: Documento en el que se elimine, suprime o borra la información clasificada como reservada o confidencial para permitir su acceso</w:t>
      </w:r>
    </w:p>
    <w:p w:rsidR="000E2AD0" w:rsidRDefault="00703F9D">
      <w:pPr>
        <w:shd w:val="clear" w:color="auto" w:fill="FFFFFF"/>
        <w:tabs>
          <w:tab w:val="left" w:pos="709"/>
        </w:tabs>
        <w:spacing w:after="0"/>
        <w:ind w:left="851" w:right="567"/>
        <w:jc w:val="both"/>
        <w:rPr>
          <w:rFonts w:ascii="Palatino Linotype" w:eastAsia="Palatino Linotype" w:hAnsi="Palatino Linotype" w:cs="Palatino Linotype"/>
          <w:i/>
        </w:rPr>
      </w:pPr>
      <w:r>
        <w:rPr>
          <w:rFonts w:ascii="Palatino Linotype" w:eastAsia="Palatino Linotype" w:hAnsi="Palatino Linotype" w:cs="Palatino Linotype"/>
          <w:b/>
          <w:i/>
        </w:rPr>
        <w:t>Artí</w:t>
      </w:r>
      <w:r>
        <w:rPr>
          <w:rFonts w:ascii="Palatino Linotype" w:eastAsia="Palatino Linotype" w:hAnsi="Palatino Linotype" w:cs="Palatino Linotype"/>
          <w:b/>
          <w:i/>
        </w:rPr>
        <w:t>culo 91.</w:t>
      </w:r>
      <w:r>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rsidR="000E2AD0" w:rsidRDefault="00703F9D">
      <w:pPr>
        <w:shd w:val="clear" w:color="auto" w:fill="FFFFFF"/>
        <w:tabs>
          <w:tab w:val="left" w:pos="709"/>
        </w:tabs>
        <w:spacing w:after="0"/>
        <w:ind w:left="851" w:right="567"/>
        <w:jc w:val="both"/>
        <w:rPr>
          <w:rFonts w:ascii="Palatino Linotype" w:eastAsia="Palatino Linotype" w:hAnsi="Palatino Linotype" w:cs="Palatino Linotype"/>
          <w:i/>
        </w:rPr>
      </w:pPr>
      <w:r>
        <w:rPr>
          <w:rFonts w:ascii="Palatino Linotype" w:eastAsia="Palatino Linotype" w:hAnsi="Palatino Linotype" w:cs="Palatino Linotype"/>
          <w:b/>
          <w:i/>
        </w:rPr>
        <w:t>Artículo 122.</w:t>
      </w:r>
      <w:r>
        <w:rPr>
          <w:rFonts w:ascii="Palatino Linotype" w:eastAsia="Palatino Linotype" w:hAnsi="Palatino Linotype" w:cs="Palatino Linotype"/>
          <w:i/>
        </w:rPr>
        <w:t xml:space="preserve"> La clasificación es el proceso mediante el cual el sujeto obligado determina que la información en su po</w:t>
      </w:r>
      <w:r>
        <w:rPr>
          <w:rFonts w:ascii="Palatino Linotype" w:eastAsia="Palatino Linotype" w:hAnsi="Palatino Linotype" w:cs="Palatino Linotype"/>
          <w:i/>
        </w:rPr>
        <w:t>der actualiza alguno de los supuestos de reserva o confidencialidad, de conformidad con lo dispuesto en el presente título.</w:t>
      </w:r>
    </w:p>
    <w:p w:rsidR="000E2AD0" w:rsidRDefault="00703F9D">
      <w:pPr>
        <w:shd w:val="clear" w:color="auto" w:fill="FFFFFF"/>
        <w:tabs>
          <w:tab w:val="left" w:pos="709"/>
        </w:tabs>
        <w:spacing w:after="0"/>
        <w:ind w:left="851" w:right="567"/>
        <w:jc w:val="both"/>
        <w:rPr>
          <w:rFonts w:ascii="Palatino Linotype" w:eastAsia="Palatino Linotype" w:hAnsi="Palatino Linotype" w:cs="Palatino Linotype"/>
          <w:i/>
        </w:rPr>
      </w:pPr>
      <w:r>
        <w:rPr>
          <w:rFonts w:ascii="Palatino Linotype" w:eastAsia="Palatino Linotype" w:hAnsi="Palatino Linotype" w:cs="Palatino Linotype"/>
          <w:i/>
        </w:rPr>
        <w:t>Los supuestos de reserva o confidencialidad previstos en las leyes deberán ser acordes con las bases, principios y disposiciones est</w:t>
      </w:r>
      <w:r>
        <w:rPr>
          <w:rFonts w:ascii="Palatino Linotype" w:eastAsia="Palatino Linotype" w:hAnsi="Palatino Linotype" w:cs="Palatino Linotype"/>
          <w:i/>
        </w:rPr>
        <w:t>ablecidos en la Ley General y, en ningún caso, podrán contravenirla.</w:t>
      </w:r>
    </w:p>
    <w:p w:rsidR="000E2AD0" w:rsidRDefault="00703F9D">
      <w:pPr>
        <w:shd w:val="clear" w:color="auto" w:fill="FFFFFF"/>
        <w:tabs>
          <w:tab w:val="left" w:pos="709"/>
        </w:tabs>
        <w:spacing w:after="0"/>
        <w:ind w:left="851" w:right="567"/>
        <w:jc w:val="both"/>
        <w:rPr>
          <w:rFonts w:ascii="Palatino Linotype" w:eastAsia="Palatino Linotype" w:hAnsi="Palatino Linotype" w:cs="Palatino Linotype"/>
          <w:i/>
        </w:rPr>
      </w:pPr>
      <w:r>
        <w:rPr>
          <w:rFonts w:ascii="Palatino Linotype" w:eastAsia="Palatino Linotype" w:hAnsi="Palatino Linotype" w:cs="Palatino Linotype"/>
          <w:i/>
        </w:rPr>
        <w:t>Los titulares de las áreas de los sujetos obligados serán los responsables de clasificar la información, de conformidad con lo dispuesto en la presente Ley y demás disposiciones jurídicas</w:t>
      </w:r>
      <w:r>
        <w:rPr>
          <w:rFonts w:ascii="Palatino Linotype" w:eastAsia="Palatino Linotype" w:hAnsi="Palatino Linotype" w:cs="Palatino Linotype"/>
          <w:i/>
        </w:rPr>
        <w:t xml:space="preserve"> aplicables</w:t>
      </w:r>
    </w:p>
    <w:p w:rsidR="000E2AD0" w:rsidRDefault="00703F9D">
      <w:pPr>
        <w:shd w:val="clear" w:color="auto" w:fill="FFFFFF"/>
        <w:tabs>
          <w:tab w:val="left" w:pos="709"/>
        </w:tabs>
        <w:spacing w:after="0"/>
        <w:ind w:left="851" w:right="567"/>
        <w:jc w:val="both"/>
        <w:rPr>
          <w:rFonts w:ascii="Palatino Linotype" w:eastAsia="Palatino Linotype" w:hAnsi="Palatino Linotype" w:cs="Palatino Linotype"/>
          <w:i/>
        </w:rPr>
      </w:pPr>
      <w:r>
        <w:rPr>
          <w:rFonts w:ascii="Palatino Linotype" w:eastAsia="Palatino Linotype" w:hAnsi="Palatino Linotype" w:cs="Palatino Linotype"/>
          <w:b/>
          <w:i/>
        </w:rPr>
        <w:t>Artículo 135.</w:t>
      </w:r>
      <w:r>
        <w:rPr>
          <w:rFonts w:ascii="Palatino Linotype" w:eastAsia="Palatino Linotype" w:hAnsi="Palatino Linotype" w:cs="Palatino Linotype"/>
          <w:i/>
        </w:rPr>
        <w:t xml:space="preserve"> Los lineamientos generales que se emitan al respecto en materia de clasificación de la información reservada y confidencial y, para la elaboración de versiones públicas, serán de observancia obligatoria para los sujetos obligados.</w:t>
      </w:r>
    </w:p>
    <w:p w:rsidR="000E2AD0" w:rsidRDefault="00703F9D">
      <w:pPr>
        <w:shd w:val="clear" w:color="auto" w:fill="FFFFFF"/>
        <w:tabs>
          <w:tab w:val="left" w:pos="709"/>
        </w:tabs>
        <w:spacing w:after="0"/>
        <w:ind w:left="851" w:right="567"/>
        <w:jc w:val="both"/>
        <w:rPr>
          <w:rFonts w:ascii="Palatino Linotype" w:eastAsia="Palatino Linotype" w:hAnsi="Palatino Linotype" w:cs="Palatino Linotype"/>
          <w:i/>
        </w:rPr>
      </w:pPr>
      <w:r>
        <w:rPr>
          <w:rFonts w:ascii="Palatino Linotype" w:eastAsia="Palatino Linotype" w:hAnsi="Palatino Linotype" w:cs="Palatino Linotype"/>
          <w:b/>
          <w:i/>
        </w:rPr>
        <w:t>Artículo 143</w:t>
      </w:r>
      <w:r>
        <w:rPr>
          <w:rFonts w:ascii="Palatino Linotype" w:eastAsia="Palatino Linotype" w:hAnsi="Palatino Linotype" w:cs="Palatino Linotype"/>
          <w:i/>
        </w:rPr>
        <w:t>. Para los efectos de esta Ley se considera información confidencial, la clasificada como tal, de manera permanente, por su naturaleza, cuando:</w:t>
      </w:r>
    </w:p>
    <w:p w:rsidR="000E2AD0" w:rsidRDefault="00703F9D">
      <w:pPr>
        <w:shd w:val="clear" w:color="auto" w:fill="FFFFFF"/>
        <w:tabs>
          <w:tab w:val="left" w:pos="709"/>
        </w:tabs>
        <w:spacing w:after="0"/>
        <w:ind w:left="851" w:right="567"/>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I. Se refiera a la información privada y los datos personales concernientes a una persona física o </w:t>
      </w:r>
      <w:r>
        <w:rPr>
          <w:rFonts w:ascii="Palatino Linotype" w:eastAsia="Palatino Linotype" w:hAnsi="Palatino Linotype" w:cs="Palatino Linotype"/>
          <w:b/>
          <w:i/>
        </w:rPr>
        <w:t xml:space="preserve">jurídico colectiva identificada o identificable; </w:t>
      </w:r>
    </w:p>
    <w:p w:rsidR="000E2AD0" w:rsidRDefault="00703F9D">
      <w:pPr>
        <w:shd w:val="clear" w:color="auto" w:fill="FFFFFF"/>
        <w:tabs>
          <w:tab w:val="left" w:pos="709"/>
        </w:tabs>
        <w:spacing w:after="0"/>
        <w:ind w:left="851" w:right="567"/>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w:t>
      </w:r>
      <w:r>
        <w:rPr>
          <w:rFonts w:ascii="Palatino Linotype" w:eastAsia="Palatino Linotype" w:hAnsi="Palatino Linotype" w:cs="Palatino Linotype"/>
          <w:i/>
        </w:rPr>
        <w:t xml:space="preserve">ren el ejercicio de recursos públicos; y </w:t>
      </w:r>
    </w:p>
    <w:p w:rsidR="000E2AD0" w:rsidRDefault="00703F9D">
      <w:pPr>
        <w:shd w:val="clear" w:color="auto" w:fill="FFFFFF"/>
        <w:tabs>
          <w:tab w:val="left" w:pos="709"/>
        </w:tabs>
        <w:spacing w:after="0"/>
        <w:ind w:left="851" w:right="567"/>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rsidR="000E2AD0" w:rsidRDefault="00703F9D">
      <w:pPr>
        <w:shd w:val="clear" w:color="auto" w:fill="FFFFFF"/>
        <w:tabs>
          <w:tab w:val="left" w:pos="709"/>
        </w:tabs>
        <w:spacing w:after="0"/>
        <w:ind w:left="851" w:right="567"/>
        <w:jc w:val="both"/>
        <w:rPr>
          <w:rFonts w:ascii="Palatino Linotype" w:eastAsia="Palatino Linotype" w:hAnsi="Palatino Linotype" w:cs="Palatino Linotype"/>
          <w:i/>
        </w:rPr>
      </w:pPr>
      <w:r>
        <w:rPr>
          <w:rFonts w:ascii="Palatino Linotype" w:eastAsia="Palatino Linotype" w:hAnsi="Palatino Linotype" w:cs="Palatino Linotype"/>
          <w:i/>
        </w:rPr>
        <w:t>La información confidencial no estará sujeta a temporalidad alguna y sól</w:t>
      </w:r>
      <w:r>
        <w:rPr>
          <w:rFonts w:ascii="Palatino Linotype" w:eastAsia="Palatino Linotype" w:hAnsi="Palatino Linotype" w:cs="Palatino Linotype"/>
          <w:i/>
        </w:rPr>
        <w:t>o podrán tener acceso a ella los titulares de la misma, sus representantes y los servidores públicos facultados para ello.</w:t>
      </w:r>
    </w:p>
    <w:p w:rsidR="000E2AD0" w:rsidRDefault="00703F9D">
      <w:pPr>
        <w:shd w:val="clear" w:color="auto" w:fill="FFFFFF"/>
        <w:tabs>
          <w:tab w:val="left" w:pos="709"/>
        </w:tabs>
        <w:spacing w:after="0"/>
        <w:ind w:left="851" w:right="567"/>
        <w:jc w:val="both"/>
        <w:rPr>
          <w:rFonts w:ascii="Palatino Linotype" w:eastAsia="Palatino Linotype" w:hAnsi="Palatino Linotype" w:cs="Palatino Linotype"/>
          <w:i/>
        </w:rPr>
      </w:pPr>
      <w:r>
        <w:rPr>
          <w:rFonts w:ascii="Palatino Linotype" w:eastAsia="Palatino Linotype" w:hAnsi="Palatino Linotype" w:cs="Palatino Linotype"/>
          <w:i/>
        </w:rPr>
        <w:t>No se considerará confidencial la información que se encuentre en los registros públicos o en fuentes de acceso público, ni tampoco l</w:t>
      </w:r>
      <w:r>
        <w:rPr>
          <w:rFonts w:ascii="Palatino Linotype" w:eastAsia="Palatino Linotype" w:hAnsi="Palatino Linotype" w:cs="Palatino Linotype"/>
          <w:i/>
        </w:rPr>
        <w:t>a que sea considerada por la presente ley como información pública.</w:t>
      </w:r>
    </w:p>
    <w:p w:rsidR="000E2AD0" w:rsidRDefault="00703F9D">
      <w:pPr>
        <w:shd w:val="clear" w:color="auto" w:fill="FFFFFF"/>
        <w:tabs>
          <w:tab w:val="left" w:pos="709"/>
        </w:tabs>
        <w:spacing w:after="0"/>
        <w:ind w:left="851" w:right="567"/>
        <w:jc w:val="both"/>
        <w:rPr>
          <w:rFonts w:ascii="Palatino Linotype" w:eastAsia="Palatino Linotype" w:hAnsi="Palatino Linotype" w:cs="Palatino Linotype"/>
          <w:b/>
          <w:i/>
        </w:rPr>
      </w:pPr>
      <w:r>
        <w:rPr>
          <w:rFonts w:ascii="Palatino Linotype" w:eastAsia="Palatino Linotype" w:hAnsi="Palatino Linotype" w:cs="Palatino Linotype"/>
          <w:b/>
          <w:i/>
        </w:rPr>
        <w:t>Artículo 147. Para que los sujetos obligados puedan permitir el acceso a información confidencial requieren obtener el consentimiento de los particulares titulares de la información.</w:t>
      </w:r>
    </w:p>
    <w:p w:rsidR="000E2AD0" w:rsidRDefault="00703F9D">
      <w:pPr>
        <w:shd w:val="clear" w:color="auto" w:fill="FFFFFF"/>
        <w:tabs>
          <w:tab w:val="left" w:pos="709"/>
        </w:tabs>
        <w:spacing w:after="0"/>
        <w:ind w:left="851" w:right="567"/>
        <w:jc w:val="both"/>
        <w:rPr>
          <w:rFonts w:ascii="Palatino Linotype" w:eastAsia="Palatino Linotype" w:hAnsi="Palatino Linotype" w:cs="Palatino Linotype"/>
          <w:i/>
        </w:rPr>
      </w:pPr>
      <w:r>
        <w:rPr>
          <w:rFonts w:ascii="Palatino Linotype" w:eastAsia="Palatino Linotype" w:hAnsi="Palatino Linotype" w:cs="Palatino Linotype"/>
          <w:b/>
          <w:i/>
        </w:rPr>
        <w:t>Artíc</w:t>
      </w:r>
      <w:r>
        <w:rPr>
          <w:rFonts w:ascii="Palatino Linotype" w:eastAsia="Palatino Linotype" w:hAnsi="Palatino Linotype" w:cs="Palatino Linotype"/>
          <w:b/>
          <w:i/>
        </w:rPr>
        <w:t>ulo 148.</w:t>
      </w:r>
      <w:r>
        <w:rPr>
          <w:rFonts w:ascii="Palatino Linotype" w:eastAsia="Palatino Linotype" w:hAnsi="Palatino Linotype" w:cs="Palatino Linotype"/>
          <w:i/>
        </w:rPr>
        <w:t xml:space="preserve"> No se requerirá el consentimiento del titular de la información confidencial cuando:</w:t>
      </w:r>
    </w:p>
    <w:p w:rsidR="000E2AD0" w:rsidRDefault="00703F9D">
      <w:pPr>
        <w:shd w:val="clear" w:color="auto" w:fill="FFFFFF"/>
        <w:tabs>
          <w:tab w:val="left" w:pos="709"/>
        </w:tabs>
        <w:spacing w:after="0"/>
        <w:ind w:left="851" w:right="567"/>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La información se encuentre en registros públicos o fuentes de acceso público;</w:t>
      </w:r>
    </w:p>
    <w:p w:rsidR="000E2AD0" w:rsidRDefault="00703F9D">
      <w:pPr>
        <w:shd w:val="clear" w:color="auto" w:fill="FFFFFF"/>
        <w:tabs>
          <w:tab w:val="left" w:pos="709"/>
        </w:tabs>
        <w:spacing w:after="0"/>
        <w:ind w:left="851" w:right="567"/>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Por Ley tenga el carácter de pública;</w:t>
      </w:r>
    </w:p>
    <w:p w:rsidR="000E2AD0" w:rsidRDefault="00703F9D">
      <w:pPr>
        <w:shd w:val="clear" w:color="auto" w:fill="FFFFFF"/>
        <w:tabs>
          <w:tab w:val="left" w:pos="709"/>
        </w:tabs>
        <w:spacing w:after="0"/>
        <w:ind w:left="851" w:right="567"/>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Exista una orden judicial;</w:t>
      </w:r>
    </w:p>
    <w:p w:rsidR="000E2AD0" w:rsidRDefault="00703F9D">
      <w:pPr>
        <w:shd w:val="clear" w:color="auto" w:fill="FFFFFF"/>
        <w:tabs>
          <w:tab w:val="left" w:pos="709"/>
        </w:tabs>
        <w:spacing w:after="0"/>
        <w:ind w:left="851" w:right="567"/>
        <w:jc w:val="both"/>
        <w:rPr>
          <w:rFonts w:ascii="Palatino Linotype" w:eastAsia="Palatino Linotype" w:hAnsi="Palatino Linotype" w:cs="Palatino Linotype"/>
          <w:i/>
        </w:rPr>
      </w:pPr>
      <w:r>
        <w:rPr>
          <w:rFonts w:ascii="Palatino Linotype" w:eastAsia="Palatino Linotype" w:hAnsi="Palatino Linotype" w:cs="Palatino Linotype"/>
          <w:b/>
          <w:i/>
        </w:rPr>
        <w:t>IV.</w:t>
      </w:r>
      <w:r>
        <w:rPr>
          <w:rFonts w:ascii="Palatino Linotype" w:eastAsia="Palatino Linotype" w:hAnsi="Palatino Linotype" w:cs="Palatino Linotype"/>
          <w:i/>
        </w:rPr>
        <w:t xml:space="preserve"> Por razones de seguridad pública, o para proteger los derechos de terceros, se requiera su publicación; o</w:t>
      </w:r>
    </w:p>
    <w:p w:rsidR="000E2AD0" w:rsidRDefault="00703F9D">
      <w:pPr>
        <w:shd w:val="clear" w:color="auto" w:fill="FFFFFF"/>
        <w:tabs>
          <w:tab w:val="left" w:pos="709"/>
        </w:tabs>
        <w:spacing w:after="0"/>
        <w:ind w:left="851" w:right="567"/>
        <w:jc w:val="both"/>
        <w:rPr>
          <w:rFonts w:ascii="Palatino Linotype" w:eastAsia="Palatino Linotype" w:hAnsi="Palatino Linotype" w:cs="Palatino Linotype"/>
          <w:i/>
        </w:rPr>
      </w:pPr>
      <w:r>
        <w:rPr>
          <w:rFonts w:ascii="Palatino Linotype" w:eastAsia="Palatino Linotype" w:hAnsi="Palatino Linotype" w:cs="Palatino Linotype"/>
          <w:b/>
          <w:i/>
        </w:rPr>
        <w:t>V.</w:t>
      </w:r>
      <w:r>
        <w:rPr>
          <w:rFonts w:ascii="Palatino Linotype" w:eastAsia="Palatino Linotype" w:hAnsi="Palatino Linotype" w:cs="Palatino Linotype"/>
          <w:i/>
        </w:rPr>
        <w:t xml:space="preserve"> Cuando se transmita entre sujetos obligados y entre éstos y los sujetos de derecho internacional, en términos de los tratados y los acuerdos inter</w:t>
      </w:r>
      <w:r>
        <w:rPr>
          <w:rFonts w:ascii="Palatino Linotype" w:eastAsia="Palatino Linotype" w:hAnsi="Palatino Linotype" w:cs="Palatino Linotype"/>
          <w:i/>
        </w:rPr>
        <w:t>institucionales, siempre y cuando la información se utilice para el ejercicio de facultades propias de los mismos. Para efectos de la fracción I del presente artículo, deberá sujetarse a lo previsto en las disposiciones jurídicas aplicables.</w:t>
      </w:r>
    </w:p>
    <w:p w:rsidR="000E2AD0" w:rsidRDefault="00703F9D">
      <w:pPr>
        <w:shd w:val="clear" w:color="auto" w:fill="FFFFFF"/>
        <w:tabs>
          <w:tab w:val="left" w:pos="709"/>
        </w:tabs>
        <w:spacing w:after="0"/>
        <w:ind w:left="851" w:right="567"/>
        <w:jc w:val="both"/>
        <w:rPr>
          <w:rFonts w:ascii="Palatino Linotype" w:eastAsia="Palatino Linotype" w:hAnsi="Palatino Linotype" w:cs="Palatino Linotype"/>
          <w:i/>
        </w:rPr>
      </w:pPr>
      <w:r>
        <w:rPr>
          <w:rFonts w:ascii="Palatino Linotype" w:eastAsia="Palatino Linotype" w:hAnsi="Palatino Linotype" w:cs="Palatino Linotype"/>
          <w:i/>
        </w:rPr>
        <w:t>Para efectos d</w:t>
      </w:r>
      <w:r>
        <w:rPr>
          <w:rFonts w:ascii="Palatino Linotype" w:eastAsia="Palatino Linotype" w:hAnsi="Palatino Linotype" w:cs="Palatino Linotype"/>
          <w:i/>
        </w:rPr>
        <w:t xml:space="preserve">e la fracción IV del presente artículo, el Instituto deberá aplicar la prueba de interés público. Además, se deberá corroborar una conexión patente entre la información confidencial y un tema de interés público y la proporcionalidad entre la invasión a la </w:t>
      </w:r>
      <w:r>
        <w:rPr>
          <w:rFonts w:ascii="Palatino Linotype" w:eastAsia="Palatino Linotype" w:hAnsi="Palatino Linotype" w:cs="Palatino Linotype"/>
          <w:i/>
        </w:rPr>
        <w:t xml:space="preserve">intimidad ocasionada por la divulgación de la información confidencial y el interés público de la información. </w:t>
      </w:r>
    </w:p>
    <w:p w:rsidR="000E2AD0" w:rsidRDefault="00703F9D">
      <w:pPr>
        <w:shd w:val="clear" w:color="auto" w:fill="FFFFFF"/>
        <w:tabs>
          <w:tab w:val="left" w:pos="709"/>
        </w:tabs>
        <w:spacing w:after="0"/>
        <w:ind w:left="851" w:right="567"/>
        <w:jc w:val="both"/>
        <w:rPr>
          <w:rFonts w:ascii="Palatino Linotype" w:eastAsia="Palatino Linotype" w:hAnsi="Palatino Linotype" w:cs="Palatino Linotype"/>
          <w:i/>
        </w:rPr>
      </w:pPr>
      <w:r>
        <w:rPr>
          <w:rFonts w:ascii="Palatino Linotype" w:eastAsia="Palatino Linotype" w:hAnsi="Palatino Linotype" w:cs="Palatino Linotype"/>
          <w:b/>
          <w:i/>
        </w:rPr>
        <w:t>Artículo 149.</w:t>
      </w:r>
      <w:r>
        <w:rPr>
          <w:rFonts w:ascii="Palatino Linotype" w:eastAsia="Palatino Linotype" w:hAnsi="Palatino Linotype" w:cs="Palatino Linotype"/>
          <w:i/>
        </w:rPr>
        <w:t xml:space="preserve"> El acuerdo que clasifique la información como confidencial deberá contener un razonamiento lógico en el que demuestre que la información se encuentra en alguna o algunas de las hipótesis previstas en la presente Ley.” </w:t>
      </w:r>
    </w:p>
    <w:p w:rsidR="000E2AD0" w:rsidRDefault="00703F9D">
      <w:pPr>
        <w:shd w:val="clear" w:color="auto" w:fill="FFFFFF"/>
        <w:tabs>
          <w:tab w:val="left" w:pos="709"/>
        </w:tabs>
        <w:spacing w:after="0"/>
        <w:ind w:left="851" w:right="567"/>
        <w:jc w:val="both"/>
        <w:rPr>
          <w:rFonts w:ascii="Palatino Linotype" w:eastAsia="Palatino Linotype" w:hAnsi="Palatino Linotype" w:cs="Palatino Linotype"/>
          <w:i/>
        </w:rPr>
      </w:pPr>
      <w:r>
        <w:rPr>
          <w:rFonts w:ascii="Palatino Linotype" w:eastAsia="Palatino Linotype" w:hAnsi="Palatino Linotype" w:cs="Palatino Linotype"/>
          <w:i/>
        </w:rPr>
        <w:t>(Énfasis añadido)</w:t>
      </w:r>
    </w:p>
    <w:p w:rsidR="000E2AD0" w:rsidRDefault="000E2AD0">
      <w:pPr>
        <w:shd w:val="clear" w:color="auto" w:fill="FFFFFF"/>
        <w:tabs>
          <w:tab w:val="left" w:pos="709"/>
        </w:tabs>
        <w:spacing w:after="0"/>
        <w:ind w:left="567" w:right="567"/>
        <w:jc w:val="both"/>
        <w:rPr>
          <w:rFonts w:ascii="Palatino Linotype" w:eastAsia="Palatino Linotype" w:hAnsi="Palatino Linotype" w:cs="Palatino Linotype"/>
          <w:i/>
        </w:rPr>
      </w:pPr>
    </w:p>
    <w:p w:rsidR="000E2AD0" w:rsidRDefault="00703F9D">
      <w:pPr>
        <w:shd w:val="clear" w:color="auto" w:fill="FFFFFF"/>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los artículos </w:t>
      </w:r>
      <w:r>
        <w:rPr>
          <w:rFonts w:ascii="Palatino Linotype" w:eastAsia="Palatino Linotype" w:hAnsi="Palatino Linotype" w:cs="Palatino Linotype"/>
        </w:rPr>
        <w:t>transcritos anteriormente, se observan las excepciones que tiene el derecho de acceso a la información pública, respecto a algunos tipos de información, lo cual restringe su acceso, precisándose de manera clara las hipótesis que dan lugar a clasificar la i</w:t>
      </w:r>
      <w:r>
        <w:rPr>
          <w:rFonts w:ascii="Palatino Linotype" w:eastAsia="Palatino Linotype" w:hAnsi="Palatino Linotype" w:cs="Palatino Linotype"/>
        </w:rPr>
        <w:t>nformación, la cual puede ser de dos maneras: Reservada o Confidencial.</w:t>
      </w:r>
    </w:p>
    <w:p w:rsidR="000E2AD0" w:rsidRDefault="000E2AD0">
      <w:pPr>
        <w:shd w:val="clear" w:color="auto" w:fill="FFFFFF"/>
        <w:spacing w:after="0" w:line="360" w:lineRule="auto"/>
        <w:jc w:val="both"/>
        <w:rPr>
          <w:rFonts w:ascii="Palatino Linotype" w:eastAsia="Palatino Linotype" w:hAnsi="Palatino Linotype" w:cs="Palatino Linotype"/>
        </w:rPr>
      </w:pPr>
    </w:p>
    <w:p w:rsidR="000E2AD0" w:rsidRDefault="00703F9D">
      <w:pPr>
        <w:shd w:val="clear" w:color="auto" w:fill="FFFFFF"/>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Reviste interés para el caso particular, la clasificación de la información como confidencial, la cual se actualizará cuando por su naturaleza, contenga datos personales concernientes</w:t>
      </w:r>
      <w:r>
        <w:rPr>
          <w:rFonts w:ascii="Palatino Linotype" w:eastAsia="Palatino Linotype" w:hAnsi="Palatino Linotype" w:cs="Palatino Linotype"/>
        </w:rPr>
        <w:t xml:space="preserve"> a una persona física o jurídico colectiva identificada o identificable, los secretos bancario, fiduciario, industrial, comercial, fiscal, bursátil y postal, cuya titularidad corresponda a particulares, sujetos de derecho internacional o a Sujetos Obligado</w:t>
      </w:r>
      <w:r>
        <w:rPr>
          <w:rFonts w:ascii="Palatino Linotype" w:eastAsia="Palatino Linotype" w:hAnsi="Palatino Linotype" w:cs="Palatino Linotype"/>
        </w:rPr>
        <w:t>s cuando no involucren el ejercicio de recursos públicos y la que presenten los particulares a los Sujetos Obligados, de conformidad con lo dispuesto por las leyes o los tratados internacionales.</w:t>
      </w:r>
    </w:p>
    <w:p w:rsidR="000E2AD0" w:rsidRDefault="000E2AD0">
      <w:pPr>
        <w:shd w:val="clear" w:color="auto" w:fill="FFFFFF"/>
        <w:spacing w:after="0" w:line="360" w:lineRule="auto"/>
        <w:jc w:val="both"/>
        <w:rPr>
          <w:rFonts w:ascii="Palatino Linotype" w:eastAsia="Palatino Linotype" w:hAnsi="Palatino Linotype" w:cs="Palatino Linotype"/>
        </w:rPr>
      </w:pPr>
    </w:p>
    <w:p w:rsidR="000E2AD0" w:rsidRDefault="00703F9D">
      <w:pPr>
        <w:shd w:val="clear" w:color="auto" w:fill="FFFFFF"/>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De igual forma, para el caso de la información confidencial</w:t>
      </w:r>
      <w:r>
        <w:rPr>
          <w:rFonts w:ascii="Palatino Linotype" w:eastAsia="Palatino Linotype" w:hAnsi="Palatino Linotype" w:cs="Palatino Linotype"/>
        </w:rPr>
        <w:t xml:space="preserve"> se aprecia, que se establece un procedimiento para clasificar la información como confidencial, mediante el cual se fundamentará y motivará la necesidad de clasificar la información, en el que se precisen los motivos que obliguen a la clasificación; lo qu</w:t>
      </w:r>
      <w:r>
        <w:rPr>
          <w:rFonts w:ascii="Palatino Linotype" w:eastAsia="Palatino Linotype" w:hAnsi="Palatino Linotype" w:cs="Palatino Linotype"/>
        </w:rPr>
        <w:t>e se consolida con lo señalado por el artículo 168 de la Ley en la Materia, que señala:</w:t>
      </w:r>
    </w:p>
    <w:p w:rsidR="000E2AD0" w:rsidRDefault="000E2AD0">
      <w:pPr>
        <w:shd w:val="clear" w:color="auto" w:fill="FFFFFF"/>
        <w:spacing w:after="0" w:line="360" w:lineRule="auto"/>
        <w:jc w:val="both"/>
        <w:rPr>
          <w:rFonts w:ascii="Palatino Linotype" w:eastAsia="Palatino Linotype" w:hAnsi="Palatino Linotype" w:cs="Palatino Linotype"/>
        </w:rPr>
      </w:pPr>
    </w:p>
    <w:p w:rsidR="000E2AD0" w:rsidRDefault="00703F9D">
      <w:pPr>
        <w:shd w:val="clear" w:color="auto" w:fill="FFFFFF"/>
        <w:spacing w:after="0"/>
        <w:ind w:left="851" w:right="843"/>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168</w:t>
      </w:r>
      <w:r>
        <w:rPr>
          <w:rFonts w:ascii="Palatino Linotype" w:eastAsia="Palatino Linotype" w:hAnsi="Palatino Linotype" w:cs="Palatino Linotype"/>
          <w:i/>
        </w:rPr>
        <w:t>. En caso de que los sujetos obligados consideren que los documentos o la información deban ser clasificados, se sujetará a lo siguiente:</w:t>
      </w:r>
    </w:p>
    <w:p w:rsidR="000E2AD0" w:rsidRDefault="00703F9D">
      <w:pPr>
        <w:shd w:val="clear" w:color="auto" w:fill="FFFFFF"/>
        <w:spacing w:after="0"/>
        <w:ind w:left="851" w:right="843"/>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El Área deber</w:t>
      </w:r>
      <w:r>
        <w:rPr>
          <w:rFonts w:ascii="Palatino Linotype" w:eastAsia="Palatino Linotype" w:hAnsi="Palatino Linotype" w:cs="Palatino Linotype"/>
          <w:i/>
        </w:rPr>
        <w:t xml:space="preserve">á remitir la solicitud, así como un escrito en el que </w:t>
      </w:r>
      <w:r>
        <w:rPr>
          <w:rFonts w:ascii="Palatino Linotype" w:eastAsia="Palatino Linotype" w:hAnsi="Palatino Linotype" w:cs="Palatino Linotype"/>
          <w:b/>
          <w:i/>
        </w:rPr>
        <w:t>funde y motive la clasificación al Comité de Transparencia</w:t>
      </w:r>
      <w:r>
        <w:rPr>
          <w:rFonts w:ascii="Palatino Linotype" w:eastAsia="Palatino Linotype" w:hAnsi="Palatino Linotype" w:cs="Palatino Linotype"/>
          <w:i/>
        </w:rPr>
        <w:t>, mismo que deberá resolver para:</w:t>
      </w:r>
    </w:p>
    <w:p w:rsidR="000E2AD0" w:rsidRDefault="00703F9D">
      <w:pPr>
        <w:shd w:val="clear" w:color="auto" w:fill="FFFFFF"/>
        <w:spacing w:after="0"/>
        <w:ind w:left="851" w:right="843"/>
        <w:jc w:val="both"/>
        <w:rPr>
          <w:rFonts w:ascii="Palatino Linotype" w:eastAsia="Palatino Linotype" w:hAnsi="Palatino Linotype" w:cs="Palatino Linotype"/>
          <w:b/>
          <w:i/>
        </w:rPr>
      </w:pPr>
      <w:r>
        <w:rPr>
          <w:rFonts w:ascii="Palatino Linotype" w:eastAsia="Palatino Linotype" w:hAnsi="Palatino Linotype" w:cs="Palatino Linotype"/>
          <w:i/>
        </w:rPr>
        <w:t>a</w:t>
      </w:r>
      <w:r>
        <w:rPr>
          <w:rFonts w:ascii="Palatino Linotype" w:eastAsia="Palatino Linotype" w:hAnsi="Palatino Linotype" w:cs="Palatino Linotype"/>
          <w:b/>
          <w:i/>
        </w:rPr>
        <w:t>) Confirmar la clasificación;</w:t>
      </w:r>
    </w:p>
    <w:p w:rsidR="000E2AD0" w:rsidRDefault="00703F9D">
      <w:pPr>
        <w:shd w:val="clear" w:color="auto" w:fill="FFFFFF"/>
        <w:spacing w:after="0"/>
        <w:ind w:left="851" w:right="843"/>
        <w:jc w:val="both"/>
        <w:rPr>
          <w:rFonts w:ascii="Palatino Linotype" w:eastAsia="Palatino Linotype" w:hAnsi="Palatino Linotype" w:cs="Palatino Linotype"/>
          <w:i/>
        </w:rPr>
      </w:pPr>
      <w:r>
        <w:rPr>
          <w:rFonts w:ascii="Palatino Linotype" w:eastAsia="Palatino Linotype" w:hAnsi="Palatino Linotype" w:cs="Palatino Linotype"/>
          <w:i/>
        </w:rPr>
        <w:t>b) Modificar la clasificación y otorgar total o parcialmente el acceso a la inf</w:t>
      </w:r>
      <w:r>
        <w:rPr>
          <w:rFonts w:ascii="Palatino Linotype" w:eastAsia="Palatino Linotype" w:hAnsi="Palatino Linotype" w:cs="Palatino Linotype"/>
          <w:i/>
        </w:rPr>
        <w:t>ormación; y c) Revocar la clasificación y conceder el acceso a la información.</w:t>
      </w:r>
    </w:p>
    <w:p w:rsidR="000E2AD0" w:rsidRDefault="00703F9D">
      <w:pPr>
        <w:shd w:val="clear" w:color="auto" w:fill="FFFFFF"/>
        <w:spacing w:after="0"/>
        <w:ind w:left="851" w:right="843"/>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El Comité de Transparencia podrá tener acceso a la información que esté en poder del Área correspondiente, de la cual se haya solicitado su clasificación; y</w:t>
      </w:r>
    </w:p>
    <w:p w:rsidR="000E2AD0" w:rsidRDefault="00703F9D">
      <w:pPr>
        <w:shd w:val="clear" w:color="auto" w:fill="FFFFFF"/>
        <w:spacing w:after="0"/>
        <w:ind w:left="851" w:right="843"/>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La resoluci</w:t>
      </w:r>
      <w:r>
        <w:rPr>
          <w:rFonts w:ascii="Palatino Linotype" w:eastAsia="Palatino Linotype" w:hAnsi="Palatino Linotype" w:cs="Palatino Linotype"/>
          <w:i/>
        </w:rPr>
        <w:t>ón del Comité de Transparencia será notificada al interesado en el plazo de respuesta a la solicitud que establece esta Ley.</w:t>
      </w:r>
    </w:p>
    <w:p w:rsidR="000E2AD0" w:rsidRDefault="000E2AD0">
      <w:pPr>
        <w:shd w:val="clear" w:color="auto" w:fill="FFFFFF"/>
        <w:spacing w:after="0" w:line="360" w:lineRule="auto"/>
        <w:jc w:val="both"/>
        <w:rPr>
          <w:rFonts w:ascii="Palatino Linotype" w:eastAsia="Palatino Linotype" w:hAnsi="Palatino Linotype" w:cs="Palatino Linotype"/>
        </w:rPr>
      </w:pPr>
    </w:p>
    <w:p w:rsidR="000E2AD0" w:rsidRDefault="00703F9D">
      <w:pPr>
        <w:shd w:val="clear" w:color="auto" w:fill="FFFFFF"/>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Hechas estas precisiones, se advierte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cumplió con lo señalado en lo procedente, al omitir acompañar el a</w:t>
      </w:r>
      <w:r>
        <w:rPr>
          <w:rFonts w:ascii="Palatino Linotype" w:eastAsia="Palatino Linotype" w:hAnsi="Palatino Linotype" w:cs="Palatino Linotype"/>
        </w:rPr>
        <w:t>cuerdo de su Comité de Transparencia que funde y motive del por qué testó diversa información dentro de las bitácoras de combustible, facturas y contrato entregados en respuesta, creando con ello una incertidumbre jurídica, por no sustentar la versión públ</w:t>
      </w:r>
      <w:r>
        <w:rPr>
          <w:rFonts w:ascii="Palatino Linotype" w:eastAsia="Palatino Linotype" w:hAnsi="Palatino Linotype" w:cs="Palatino Linotype"/>
        </w:rPr>
        <w:t>ica de los datos señalados, contraviniendo lo establecido por el artículo 9, fracción I</w:t>
      </w:r>
      <w:r>
        <w:rPr>
          <w:rFonts w:ascii="Palatino Linotype" w:eastAsia="Palatino Linotype" w:hAnsi="Palatino Linotype" w:cs="Palatino Linotype"/>
          <w:vertAlign w:val="superscript"/>
        </w:rPr>
        <w:footnoteReference w:id="3"/>
      </w:r>
      <w:r>
        <w:rPr>
          <w:rFonts w:ascii="Palatino Linotype" w:eastAsia="Palatino Linotype" w:hAnsi="Palatino Linotype" w:cs="Palatino Linotype"/>
        </w:rPr>
        <w:t>, VI, VIII y 11 párrafo primero</w:t>
      </w:r>
      <w:r>
        <w:rPr>
          <w:rFonts w:ascii="Palatino Linotype" w:eastAsia="Palatino Linotype" w:hAnsi="Palatino Linotype" w:cs="Palatino Linotype"/>
          <w:vertAlign w:val="superscript"/>
        </w:rPr>
        <w:footnoteReference w:id="4"/>
      </w:r>
      <w:r>
        <w:rPr>
          <w:rFonts w:ascii="Palatino Linotype" w:eastAsia="Palatino Linotype" w:hAnsi="Palatino Linotype" w:cs="Palatino Linotype"/>
        </w:rPr>
        <w:t xml:space="preserve"> de la ley de la Materia.</w:t>
      </w:r>
    </w:p>
    <w:p w:rsidR="000E2AD0" w:rsidRDefault="000E2AD0">
      <w:pPr>
        <w:shd w:val="clear" w:color="auto" w:fill="FFFFFF"/>
        <w:spacing w:after="0" w:line="360" w:lineRule="auto"/>
        <w:jc w:val="both"/>
        <w:rPr>
          <w:rFonts w:ascii="Palatino Linotype" w:eastAsia="Palatino Linotype" w:hAnsi="Palatino Linotype" w:cs="Palatino Linotype"/>
        </w:rPr>
      </w:pPr>
    </w:p>
    <w:p w:rsidR="000E2AD0" w:rsidRDefault="00703F9D">
      <w:pPr>
        <w:shd w:val="clear" w:color="auto" w:fill="FFFFFF"/>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Adicionalmente, no se advierte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hubiese expresado el artículo, fracción, inciso o subinciso de la legislación aplicable a la materia, que establece de manera expresa la naturaleza jurídica de todos y cada uno de los datos testados en las bitácoras, facturas y contrato que entregó en res</w:t>
      </w:r>
      <w:r>
        <w:rPr>
          <w:rFonts w:ascii="Palatino Linotype" w:eastAsia="Palatino Linotype" w:hAnsi="Palatino Linotype" w:cs="Palatino Linotype"/>
        </w:rPr>
        <w:t xml:space="preserve">puesta, lo anterior, con la finalidad de justificar la procedencia de omitirlos o testarlos, en consecuencia, el actuar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carece de fundamentación y motivación, consistentes en la obligación que tiene todo ente público de expresar los preceptos jurídicos aplicables al asunto motivo del acto y las razones o argumentos de su actuar.</w:t>
      </w:r>
    </w:p>
    <w:p w:rsidR="000E2AD0" w:rsidRDefault="00703F9D">
      <w:pPr>
        <w:shd w:val="clear" w:color="auto" w:fill="FFFFFF"/>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el máximo tribunal del país ha </w:t>
      </w:r>
      <w:r>
        <w:rPr>
          <w:rFonts w:ascii="Palatino Linotype" w:eastAsia="Palatino Linotype" w:hAnsi="Palatino Linotype" w:cs="Palatino Linotype"/>
        </w:rPr>
        <w:t>establecido jurisprudencia respecto a qué debe entenderse por fundamentación y motivación, en los siguientes términos:</w:t>
      </w:r>
    </w:p>
    <w:p w:rsidR="000E2AD0" w:rsidRDefault="000E2AD0">
      <w:pPr>
        <w:shd w:val="clear" w:color="auto" w:fill="FFFFFF"/>
        <w:spacing w:after="0"/>
        <w:ind w:left="851" w:right="850"/>
        <w:jc w:val="both"/>
        <w:rPr>
          <w:rFonts w:ascii="Palatino Linotype" w:eastAsia="Palatino Linotype" w:hAnsi="Palatino Linotype" w:cs="Palatino Linotype"/>
          <w:b/>
          <w:i/>
        </w:rPr>
      </w:pPr>
    </w:p>
    <w:p w:rsidR="000E2AD0" w:rsidRDefault="00703F9D">
      <w:pPr>
        <w:shd w:val="clear" w:color="auto" w:fill="FFFFFF"/>
        <w:spacing w:after="0"/>
        <w:ind w:left="851" w:right="850"/>
        <w:jc w:val="both"/>
        <w:rPr>
          <w:rFonts w:ascii="Palatino Linotype" w:eastAsia="Palatino Linotype" w:hAnsi="Palatino Linotype" w:cs="Palatino Linotype"/>
          <w:i/>
        </w:rPr>
      </w:pPr>
      <w:r>
        <w:rPr>
          <w:rFonts w:ascii="Palatino Linotype" w:eastAsia="Palatino Linotype" w:hAnsi="Palatino Linotype" w:cs="Palatino Linotype"/>
          <w:b/>
          <w:i/>
        </w:rPr>
        <w:t xml:space="preserve">“FUNDAMENTACION Y MOTIVACION. </w:t>
      </w:r>
      <w:r>
        <w:rPr>
          <w:rFonts w:ascii="Palatino Linotype" w:eastAsia="Palatino Linotype" w:hAnsi="Palatino Linotype" w:cs="Palatino Linotype"/>
          <w:i/>
        </w:rPr>
        <w:t xml:space="preserve">La </w:t>
      </w:r>
      <w:r>
        <w:rPr>
          <w:rFonts w:ascii="Palatino Linotype" w:eastAsia="Palatino Linotype" w:hAnsi="Palatino Linotype" w:cs="Palatino Linotype"/>
          <w:b/>
          <w:i/>
          <w:u w:val="single"/>
        </w:rPr>
        <w:t xml:space="preserve">debida fundamentación y motivación legal, deben entenderse, por lo primero, la cita del precepto legal </w:t>
      </w:r>
      <w:r>
        <w:rPr>
          <w:rFonts w:ascii="Palatino Linotype" w:eastAsia="Palatino Linotype" w:hAnsi="Palatino Linotype" w:cs="Palatino Linotype"/>
          <w:b/>
          <w:i/>
          <w:u w:val="single"/>
        </w:rPr>
        <w:t>aplicable al caso, y por lo segundo, las razones, motivos o circunstancias especiales que llevaron a la autoridad a concluir que el caso particular encuadra en el supuesto previsto por la norma legal invocada como fundamento</w:t>
      </w:r>
      <w:r>
        <w:rPr>
          <w:rFonts w:ascii="Palatino Linotype" w:eastAsia="Palatino Linotype" w:hAnsi="Palatino Linotype" w:cs="Palatino Linotype"/>
          <w:i/>
        </w:rPr>
        <w:t>.</w:t>
      </w:r>
    </w:p>
    <w:p w:rsidR="000E2AD0" w:rsidRDefault="00703F9D">
      <w:pPr>
        <w:shd w:val="clear" w:color="auto" w:fill="FFFFFF"/>
        <w:spacing w:after="0"/>
        <w:ind w:left="851" w:right="850"/>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 </w:t>
      </w:r>
    </w:p>
    <w:p w:rsidR="000E2AD0" w:rsidRDefault="000E2AD0">
      <w:pPr>
        <w:shd w:val="clear" w:color="auto" w:fill="FFFFFF"/>
        <w:spacing w:after="0"/>
        <w:ind w:left="851" w:right="850"/>
        <w:jc w:val="both"/>
        <w:rPr>
          <w:rFonts w:ascii="Palatino Linotype" w:eastAsia="Palatino Linotype" w:hAnsi="Palatino Linotype" w:cs="Palatino Linotype"/>
          <w:i/>
        </w:rPr>
      </w:pPr>
    </w:p>
    <w:p w:rsidR="000E2AD0" w:rsidRDefault="00703F9D">
      <w:pPr>
        <w:shd w:val="clear" w:color="auto" w:fill="FFFFFF"/>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un acto de autori</w:t>
      </w:r>
      <w:r>
        <w:rPr>
          <w:rFonts w:ascii="Palatino Linotype" w:eastAsia="Palatino Linotype" w:hAnsi="Palatino Linotype" w:cs="Palatino Linotype"/>
        </w:rPr>
        <w:t>dad se surte la debida fundamentación cuando se cita el precepto legal aplicable al caso concreto y la debida motivación cuando se expresan las razones, motivos o circunstancias que tomó en cuenta la autoridad para adecuar el hecho a los fundamentos de der</w:t>
      </w:r>
      <w:r>
        <w:rPr>
          <w:rFonts w:ascii="Palatino Linotype" w:eastAsia="Palatino Linotype" w:hAnsi="Palatino Linotype" w:cs="Palatino Linotype"/>
        </w:rPr>
        <w:t>echo.</w:t>
      </w:r>
    </w:p>
    <w:p w:rsidR="000E2AD0" w:rsidRDefault="000E2AD0">
      <w:pPr>
        <w:shd w:val="clear" w:color="auto" w:fill="FFFFFF"/>
        <w:spacing w:after="0" w:line="360" w:lineRule="auto"/>
        <w:ind w:right="-518"/>
        <w:jc w:val="both"/>
        <w:rPr>
          <w:rFonts w:ascii="Palatino Linotype" w:eastAsia="Palatino Linotype" w:hAnsi="Palatino Linotype" w:cs="Palatino Linotype"/>
        </w:rPr>
      </w:pPr>
    </w:p>
    <w:p w:rsidR="000E2AD0" w:rsidRDefault="00703F9D">
      <w:pPr>
        <w:shd w:val="clear" w:color="auto" w:fill="FFFFFF"/>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Más aún, a través de diversa jurisprudencia dictada por el Poder Judicial de la Federación se sostiene que la finalidad de la fundamentación o motivación es la de explicar, justificar, posibilitar la defensa y comunicar la decisión de la autoridad:</w:t>
      </w:r>
    </w:p>
    <w:p w:rsidR="000E2AD0" w:rsidRDefault="000E2AD0">
      <w:pPr>
        <w:shd w:val="clear" w:color="auto" w:fill="FFFFFF"/>
        <w:spacing w:after="0"/>
        <w:ind w:right="-518"/>
        <w:jc w:val="both"/>
        <w:rPr>
          <w:rFonts w:ascii="Palatino Linotype" w:eastAsia="Palatino Linotype" w:hAnsi="Palatino Linotype" w:cs="Palatino Linotype"/>
        </w:rPr>
      </w:pPr>
    </w:p>
    <w:p w:rsidR="000E2AD0" w:rsidRDefault="00703F9D">
      <w:pPr>
        <w:shd w:val="clear" w:color="auto" w:fill="FFFFFF"/>
        <w:spacing w:after="0"/>
        <w:ind w:left="851" w:right="899"/>
        <w:jc w:val="both"/>
        <w:rPr>
          <w:rFonts w:ascii="Palatino Linotype" w:eastAsia="Palatino Linotype" w:hAnsi="Palatino Linotype" w:cs="Palatino Linotype"/>
          <w:i/>
        </w:rPr>
      </w:pPr>
      <w:r>
        <w:rPr>
          <w:rFonts w:ascii="Palatino Linotype" w:eastAsia="Palatino Linotype" w:hAnsi="Palatino Linotype" w:cs="Palatino Linotype"/>
          <w:b/>
          <w:i/>
        </w:rPr>
        <w:t>“FUNDAMENTACIÓN Y MOTIVACIÓN. EL ASPECTO FORMAL DE LA GARANTÍA Y SU FINALIDAD SE TRADUCEN EN EXPLICAR, JUSTIFICAR, POSIBILITAR LA DEFENSA Y COMUNICAR LA DECISIÓN</w:t>
      </w:r>
      <w:r>
        <w:rPr>
          <w:rFonts w:ascii="Palatino Linotype" w:eastAsia="Palatino Linotype" w:hAnsi="Palatino Linotype" w:cs="Palatino Linotype"/>
          <w:i/>
        </w:rPr>
        <w:t>. El contenido formal de la garantía de legalidad prevista en el artículo 16 constitucional re</w:t>
      </w:r>
      <w:r>
        <w:rPr>
          <w:rFonts w:ascii="Palatino Linotype" w:eastAsia="Palatino Linotype" w:hAnsi="Palatino Linotype" w:cs="Palatino Linotype"/>
          <w:i/>
        </w:rPr>
        <w:t>lativa a la fundamentación</w:t>
      </w:r>
      <w:r>
        <w:rPr>
          <w:rFonts w:ascii="Palatino Linotype" w:eastAsia="Palatino Linotype" w:hAnsi="Palatino Linotype" w:cs="Palatino Linotype"/>
          <w:b/>
          <w:i/>
        </w:rPr>
        <w:t xml:space="preserve"> y motivación tiene como propósito primordial y ratio que el justiciable conozca el "para qué" de la conducta de la autoridad, lo que se traduce en darle a conocer en detalle y de manera completa la esencia de todas las circunstan</w:t>
      </w:r>
      <w:r>
        <w:rPr>
          <w:rFonts w:ascii="Palatino Linotype" w:eastAsia="Palatino Linotype" w:hAnsi="Palatino Linotype" w:cs="Palatino Linotype"/>
          <w:b/>
          <w:i/>
        </w:rPr>
        <w:t>cias y condiciones que determinaron el acto de voluntad, de manera que sea evidente y muy claro para el afectado poder cuestionar y controvertir el mérito de la decisión, permitiéndole una real y auténtica defensa</w:t>
      </w:r>
      <w:r>
        <w:rPr>
          <w:rFonts w:ascii="Palatino Linotype" w:eastAsia="Palatino Linotype" w:hAnsi="Palatino Linotype" w:cs="Palatino Linotype"/>
          <w:i/>
        </w:rPr>
        <w:t xml:space="preserve">. Por tanto, </w:t>
      </w:r>
      <w:r>
        <w:rPr>
          <w:rFonts w:ascii="Palatino Linotype" w:eastAsia="Palatino Linotype" w:hAnsi="Palatino Linotype" w:cs="Palatino Linotype"/>
          <w:b/>
          <w:i/>
          <w:u w:val="single"/>
        </w:rPr>
        <w:t>no basta que el acto de autori</w:t>
      </w:r>
      <w:r>
        <w:rPr>
          <w:rFonts w:ascii="Palatino Linotype" w:eastAsia="Palatino Linotype" w:hAnsi="Palatino Linotype" w:cs="Palatino Linotype"/>
          <w:b/>
          <w:i/>
          <w:u w:val="single"/>
        </w:rPr>
        <w:t>dad apenas observe una motivación pro forma pero de una manera incongruente, insuficiente o imprecisa</w:t>
      </w:r>
      <w:r>
        <w:rPr>
          <w:rFonts w:ascii="Palatino Linotype" w:eastAsia="Palatino Linotype" w:hAnsi="Palatino Linotype" w:cs="Palatino Linotype"/>
          <w:i/>
        </w:rPr>
        <w:t>, que impida la finalidad del conocimiento, comprobación y defensa pertinente</w:t>
      </w:r>
      <w:r>
        <w:rPr>
          <w:rFonts w:ascii="Palatino Linotype" w:eastAsia="Palatino Linotype" w:hAnsi="Palatino Linotype" w:cs="Palatino Linotype"/>
          <w:b/>
          <w:i/>
          <w:u w:val="single"/>
        </w:rPr>
        <w:t>, ni es válido exigirle una amplitud o abundancia superflua, pues es suficient</w:t>
      </w:r>
      <w:r>
        <w:rPr>
          <w:rFonts w:ascii="Palatino Linotype" w:eastAsia="Palatino Linotype" w:hAnsi="Palatino Linotype" w:cs="Palatino Linotype"/>
          <w:b/>
          <w:i/>
          <w:u w:val="single"/>
        </w:rPr>
        <w:t>e la expresión de lo estrictamente necesario para explicar, justificar y posibilitar la defensa, así como para comunicar la decisión a efecto de que se considere debidamente fundado y motivado, exponiendo los hechos relevantes para decidir, citando la norm</w:t>
      </w:r>
      <w:r>
        <w:rPr>
          <w:rFonts w:ascii="Palatino Linotype" w:eastAsia="Palatino Linotype" w:hAnsi="Palatino Linotype" w:cs="Palatino Linotype"/>
          <w:b/>
          <w:i/>
          <w:u w:val="single"/>
        </w:rPr>
        <w:t>a habilitante y un argumento mínimo pero suficiente para acreditar el razonamiento del que se deduzca la relación de pertenencia lógica de los hechos al derecho invocado, que es la subsunción</w:t>
      </w:r>
      <w:r>
        <w:rPr>
          <w:rFonts w:ascii="Palatino Linotype" w:eastAsia="Palatino Linotype" w:hAnsi="Palatino Linotype" w:cs="Palatino Linotype"/>
          <w:i/>
        </w:rPr>
        <w:t>.” Énfasis añadido.</w:t>
      </w:r>
    </w:p>
    <w:p w:rsidR="000E2AD0" w:rsidRDefault="000E2AD0">
      <w:pPr>
        <w:shd w:val="clear" w:color="auto" w:fill="FFFFFF"/>
        <w:spacing w:after="0" w:line="360" w:lineRule="auto"/>
        <w:jc w:val="both"/>
        <w:rPr>
          <w:rFonts w:ascii="Palatino Linotype" w:eastAsia="Palatino Linotype" w:hAnsi="Palatino Linotype" w:cs="Palatino Linotype"/>
        </w:rPr>
      </w:pPr>
    </w:p>
    <w:p w:rsidR="000E2AD0" w:rsidRDefault="00703F9D">
      <w:pPr>
        <w:shd w:val="clear" w:color="auto" w:fill="FFFFFF"/>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En consecuencia, la fundamentación y motivac</w:t>
      </w:r>
      <w:r>
        <w:rPr>
          <w:rFonts w:ascii="Palatino Linotype" w:eastAsia="Palatino Linotype" w:hAnsi="Palatino Linotype" w:cs="Palatino Linotype"/>
        </w:rPr>
        <w:t>ión implica que en el acto de autoridad, además de contener los supuestos jurídicos aplicables debe explicar claramente por qué a través de la utilización de la norma se emitió el acto. De este modo, la persona que se siente afectada podrá impugnar la deci</w:t>
      </w:r>
      <w:r>
        <w:rPr>
          <w:rFonts w:ascii="Palatino Linotype" w:eastAsia="Palatino Linotype" w:hAnsi="Palatino Linotype" w:cs="Palatino Linotype"/>
        </w:rPr>
        <w:t>sión, permitiéndole una real y auténtica defensa, circunstancia que en el presente asunto no sucedió.</w:t>
      </w:r>
    </w:p>
    <w:p w:rsidR="000E2AD0" w:rsidRDefault="000E2AD0">
      <w:pPr>
        <w:shd w:val="clear" w:color="auto" w:fill="FFFFFF"/>
        <w:spacing w:after="0" w:line="360" w:lineRule="auto"/>
        <w:jc w:val="both"/>
        <w:rPr>
          <w:rFonts w:ascii="Palatino Linotype" w:eastAsia="Palatino Linotype" w:hAnsi="Palatino Linotype" w:cs="Palatino Linotype"/>
        </w:rPr>
      </w:pPr>
    </w:p>
    <w:p w:rsidR="000E2AD0" w:rsidRDefault="00703F9D">
      <w:pPr>
        <w:shd w:val="clear" w:color="auto" w:fill="FFFFFF"/>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Aunado a ello no se debe perder de vista que la clasificación es el proceso mediante el cual el sujeto obligado determina que la información en su poder </w:t>
      </w:r>
      <w:r>
        <w:rPr>
          <w:rFonts w:ascii="Palatino Linotype" w:eastAsia="Palatino Linotype" w:hAnsi="Palatino Linotype" w:cs="Palatino Linotype"/>
        </w:rPr>
        <w:t xml:space="preserve">actualiza alguno de los supuestos de reserva o confidencialidad, los cuales deberán ser acordes con las bases, principios y disposiciones establecidos en la Ley General de Transparencia, al respecto, conviene referir que la Ley de Transparencia vigente en </w:t>
      </w:r>
      <w:r>
        <w:rPr>
          <w:rFonts w:ascii="Palatino Linotype" w:eastAsia="Palatino Linotype" w:hAnsi="Palatino Linotype" w:cs="Palatino Linotype"/>
        </w:rPr>
        <w:t>el Estado de México establece:</w:t>
      </w:r>
    </w:p>
    <w:p w:rsidR="000E2AD0" w:rsidRDefault="000E2AD0">
      <w:pPr>
        <w:shd w:val="clear" w:color="auto" w:fill="FFFFFF"/>
        <w:spacing w:after="0" w:line="360" w:lineRule="auto"/>
        <w:jc w:val="both"/>
        <w:rPr>
          <w:rFonts w:ascii="Palatino Linotype" w:eastAsia="Palatino Linotype" w:hAnsi="Palatino Linotype" w:cs="Palatino Linotype"/>
          <w:b/>
        </w:rPr>
      </w:pPr>
    </w:p>
    <w:p w:rsidR="000E2AD0" w:rsidRDefault="00703F9D">
      <w:pPr>
        <w:shd w:val="clear" w:color="auto" w:fill="FFFFFF"/>
        <w:spacing w:after="0"/>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Artículo 131.</w:t>
      </w:r>
      <w:r>
        <w:rPr>
          <w:rFonts w:ascii="Palatino Linotype" w:eastAsia="Palatino Linotype" w:hAnsi="Palatino Linotype" w:cs="Palatino Linotype"/>
          <w:i/>
        </w:rPr>
        <w:t xml:space="preserve"> </w:t>
      </w:r>
      <w:r>
        <w:rPr>
          <w:rFonts w:ascii="Palatino Linotype" w:eastAsia="Palatino Linotype" w:hAnsi="Palatino Linotype" w:cs="Palatino Linotype"/>
          <w:b/>
          <w:i/>
          <w:u w:val="single"/>
        </w:rPr>
        <w:t>La carga de la prueba para justificar toda negativa de acceso a la información, por actualizarse cualquiera de los supuestos de clasificación</w:t>
      </w:r>
      <w:r>
        <w:rPr>
          <w:rFonts w:ascii="Palatino Linotype" w:eastAsia="Palatino Linotype" w:hAnsi="Palatino Linotype" w:cs="Palatino Linotype"/>
          <w:i/>
        </w:rPr>
        <w:t xml:space="preserve"> previstos en esta Ley </w:t>
      </w:r>
      <w:r>
        <w:rPr>
          <w:rFonts w:ascii="Palatino Linotype" w:eastAsia="Palatino Linotype" w:hAnsi="Palatino Linotype" w:cs="Palatino Linotype"/>
          <w:b/>
          <w:i/>
          <w:u w:val="single"/>
        </w:rPr>
        <w:t>corresponderá a los sujetos obligados; en tal caso deberá fundar y motivar debidamente la clasificación de la información</w:t>
      </w:r>
      <w:r>
        <w:rPr>
          <w:rFonts w:ascii="Palatino Linotype" w:eastAsia="Palatino Linotype" w:hAnsi="Palatino Linotype" w:cs="Palatino Linotype"/>
          <w:i/>
        </w:rPr>
        <w:t>, de conformidad con lo previsto en la presente Ley.</w:t>
      </w:r>
    </w:p>
    <w:p w:rsidR="000E2AD0" w:rsidRDefault="000E2AD0">
      <w:pPr>
        <w:shd w:val="clear" w:color="auto" w:fill="FFFFFF"/>
        <w:spacing w:after="0"/>
        <w:ind w:left="851" w:right="851"/>
        <w:jc w:val="both"/>
        <w:rPr>
          <w:rFonts w:ascii="Palatino Linotype" w:eastAsia="Palatino Linotype" w:hAnsi="Palatino Linotype" w:cs="Palatino Linotype"/>
          <w:b/>
          <w:i/>
        </w:rPr>
      </w:pPr>
    </w:p>
    <w:p w:rsidR="000E2AD0" w:rsidRDefault="00703F9D">
      <w:pPr>
        <w:shd w:val="clear" w:color="auto" w:fill="FFFFFF"/>
        <w:spacing w:after="0"/>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Artículo 132.</w:t>
      </w:r>
      <w:r>
        <w:rPr>
          <w:rFonts w:ascii="Palatino Linotype" w:eastAsia="Palatino Linotype" w:hAnsi="Palatino Linotype" w:cs="Palatino Linotype"/>
          <w:i/>
        </w:rPr>
        <w:t xml:space="preserve"> </w:t>
      </w:r>
      <w:r>
        <w:rPr>
          <w:rFonts w:ascii="Palatino Linotype" w:eastAsia="Palatino Linotype" w:hAnsi="Palatino Linotype" w:cs="Palatino Linotype"/>
          <w:b/>
          <w:i/>
          <w:u w:val="single"/>
        </w:rPr>
        <w:t>La clasificación de la información se llevará a cabo</w:t>
      </w:r>
      <w:r>
        <w:rPr>
          <w:rFonts w:ascii="Palatino Linotype" w:eastAsia="Palatino Linotype" w:hAnsi="Palatino Linotype" w:cs="Palatino Linotype"/>
          <w:i/>
        </w:rPr>
        <w:t xml:space="preserve"> en el momento </w:t>
      </w:r>
      <w:r>
        <w:rPr>
          <w:rFonts w:ascii="Palatino Linotype" w:eastAsia="Palatino Linotype" w:hAnsi="Palatino Linotype" w:cs="Palatino Linotype"/>
          <w:i/>
        </w:rPr>
        <w:t>en que:</w:t>
      </w:r>
    </w:p>
    <w:p w:rsidR="000E2AD0" w:rsidRDefault="00703F9D">
      <w:pPr>
        <w:shd w:val="clear" w:color="auto" w:fill="FFFFFF"/>
        <w:spacing w:after="0"/>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w:t>
      </w:r>
      <w:r>
        <w:rPr>
          <w:rFonts w:ascii="Palatino Linotype" w:eastAsia="Palatino Linotype" w:hAnsi="Palatino Linotype" w:cs="Palatino Linotype"/>
          <w:b/>
          <w:i/>
          <w:u w:val="single"/>
        </w:rPr>
        <w:t>Se reciba una solicitud de acceso a la información</w:t>
      </w:r>
      <w:r>
        <w:rPr>
          <w:rFonts w:ascii="Palatino Linotype" w:eastAsia="Palatino Linotype" w:hAnsi="Palatino Linotype" w:cs="Palatino Linotype"/>
          <w:i/>
        </w:rPr>
        <w:t>;</w:t>
      </w:r>
    </w:p>
    <w:p w:rsidR="000E2AD0" w:rsidRDefault="00703F9D">
      <w:pPr>
        <w:shd w:val="clear" w:color="auto" w:fill="FFFFFF"/>
        <w:spacing w:after="0"/>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Se determine mediante resolución de autoridad competente; o</w:t>
      </w:r>
    </w:p>
    <w:p w:rsidR="000E2AD0" w:rsidRDefault="00703F9D">
      <w:pPr>
        <w:shd w:val="clear" w:color="auto" w:fill="FFFFFF"/>
        <w:spacing w:after="0"/>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Se generen versiones públicas para dar cumplimiento a las obligaciones de transparencia previstas en esta Ley.</w:t>
      </w:r>
    </w:p>
    <w:p w:rsidR="000E2AD0" w:rsidRDefault="000E2AD0">
      <w:pPr>
        <w:shd w:val="clear" w:color="auto" w:fill="FFFFFF"/>
        <w:spacing w:after="0"/>
        <w:ind w:left="851" w:right="851"/>
        <w:jc w:val="both"/>
        <w:rPr>
          <w:rFonts w:ascii="Palatino Linotype" w:eastAsia="Palatino Linotype" w:hAnsi="Palatino Linotype" w:cs="Palatino Linotype"/>
          <w:i/>
        </w:rPr>
      </w:pPr>
    </w:p>
    <w:p w:rsidR="000E2AD0" w:rsidRDefault="00703F9D">
      <w:pPr>
        <w:shd w:val="clear" w:color="auto" w:fill="FFFFFF"/>
        <w:spacing w:after="0"/>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Tratándose de información reservada, los titulares de las áreas deberán revisar la clasificación al momento de la recepción de una solicitud, para verificar si subsisten las causas que le dieron origen.</w:t>
      </w:r>
    </w:p>
    <w:p w:rsidR="000E2AD0" w:rsidRDefault="000E2AD0">
      <w:pPr>
        <w:shd w:val="clear" w:color="auto" w:fill="FFFFFF"/>
        <w:spacing w:after="0"/>
        <w:ind w:left="851" w:right="851"/>
        <w:jc w:val="both"/>
        <w:rPr>
          <w:rFonts w:ascii="Palatino Linotype" w:eastAsia="Palatino Linotype" w:hAnsi="Palatino Linotype" w:cs="Palatino Linotype"/>
          <w:i/>
        </w:rPr>
      </w:pPr>
    </w:p>
    <w:p w:rsidR="000E2AD0" w:rsidRDefault="00703F9D">
      <w:pPr>
        <w:shd w:val="clear" w:color="auto" w:fill="FFFFFF"/>
        <w:spacing w:after="0"/>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Artículo 134.</w:t>
      </w:r>
      <w:r>
        <w:rPr>
          <w:rFonts w:ascii="Palatino Linotype" w:eastAsia="Palatino Linotype" w:hAnsi="Palatino Linotype" w:cs="Palatino Linotype"/>
          <w:i/>
        </w:rPr>
        <w:t xml:space="preserve"> </w:t>
      </w:r>
      <w:r>
        <w:rPr>
          <w:rFonts w:ascii="Palatino Linotype" w:eastAsia="Palatino Linotype" w:hAnsi="Palatino Linotype" w:cs="Palatino Linotype"/>
          <w:b/>
          <w:i/>
          <w:u w:val="single"/>
        </w:rPr>
        <w:t>Los sujetos obligados no podrán emitir</w:t>
      </w:r>
      <w:r>
        <w:rPr>
          <w:rFonts w:ascii="Palatino Linotype" w:eastAsia="Palatino Linotype" w:hAnsi="Palatino Linotype" w:cs="Palatino Linotype"/>
          <w:b/>
          <w:i/>
          <w:u w:val="single"/>
        </w:rPr>
        <w:t xml:space="preserve"> acuerdos de carácter general</w:t>
      </w:r>
      <w:r>
        <w:rPr>
          <w:rFonts w:ascii="Palatino Linotype" w:eastAsia="Palatino Linotype" w:hAnsi="Palatino Linotype" w:cs="Palatino Linotype"/>
          <w:i/>
        </w:rPr>
        <w:t xml:space="preserve"> ni particular que clasifiquen documentos o información como reservada. La clasificación podrá establecerse de manera parcial o total de acuerdo al contenido de la información del documento y deberá estar acorde con la actualiz</w:t>
      </w:r>
      <w:r>
        <w:rPr>
          <w:rFonts w:ascii="Palatino Linotype" w:eastAsia="Palatino Linotype" w:hAnsi="Palatino Linotype" w:cs="Palatino Linotype"/>
          <w:i/>
        </w:rPr>
        <w:t>ación de los supuestos definidos en el presente Título como información clasificada.</w:t>
      </w:r>
    </w:p>
    <w:p w:rsidR="000E2AD0" w:rsidRDefault="000E2AD0">
      <w:pPr>
        <w:shd w:val="clear" w:color="auto" w:fill="FFFFFF"/>
        <w:spacing w:after="0"/>
        <w:ind w:left="851" w:right="851"/>
        <w:jc w:val="both"/>
        <w:rPr>
          <w:rFonts w:ascii="Palatino Linotype" w:eastAsia="Palatino Linotype" w:hAnsi="Palatino Linotype" w:cs="Palatino Linotype"/>
          <w:i/>
        </w:rPr>
      </w:pPr>
    </w:p>
    <w:p w:rsidR="000E2AD0" w:rsidRDefault="00703F9D">
      <w:pPr>
        <w:shd w:val="clear" w:color="auto" w:fill="FFFFFF"/>
        <w:spacing w:after="0"/>
        <w:ind w:left="851" w:right="851"/>
        <w:jc w:val="both"/>
        <w:rPr>
          <w:rFonts w:ascii="Palatino Linotype" w:eastAsia="Palatino Linotype" w:hAnsi="Palatino Linotype" w:cs="Palatino Linotype"/>
          <w:i/>
        </w:rPr>
      </w:pPr>
      <w:r>
        <w:rPr>
          <w:rFonts w:ascii="Palatino Linotype" w:eastAsia="Palatino Linotype" w:hAnsi="Palatino Linotype" w:cs="Palatino Linotype"/>
          <w:b/>
          <w:i/>
          <w:u w:val="single"/>
        </w:rPr>
        <w:t>En ningún caso se podrán clasificar documentos antes de que se genere la información</w:t>
      </w:r>
      <w:r>
        <w:rPr>
          <w:rFonts w:ascii="Palatino Linotype" w:eastAsia="Palatino Linotype" w:hAnsi="Palatino Linotype" w:cs="Palatino Linotype"/>
          <w:i/>
        </w:rPr>
        <w:t>.</w:t>
      </w:r>
    </w:p>
    <w:p w:rsidR="000E2AD0" w:rsidRDefault="000E2AD0">
      <w:pPr>
        <w:shd w:val="clear" w:color="auto" w:fill="FFFFFF"/>
        <w:spacing w:after="0"/>
        <w:ind w:left="851" w:right="851"/>
        <w:jc w:val="both"/>
        <w:rPr>
          <w:rFonts w:ascii="Palatino Linotype" w:eastAsia="Palatino Linotype" w:hAnsi="Palatino Linotype" w:cs="Palatino Linotype"/>
          <w:i/>
        </w:rPr>
      </w:pPr>
    </w:p>
    <w:p w:rsidR="000E2AD0" w:rsidRDefault="00703F9D">
      <w:pPr>
        <w:shd w:val="clear" w:color="auto" w:fill="FFFFFF"/>
        <w:spacing w:after="0"/>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xml:space="preserve">La clasificación de información se realizará conforme a un análisis caso por caso, </w:t>
      </w:r>
      <w:r>
        <w:rPr>
          <w:rFonts w:ascii="Palatino Linotype" w:eastAsia="Palatino Linotype" w:hAnsi="Palatino Linotype" w:cs="Palatino Linotype"/>
          <w:i/>
        </w:rPr>
        <w:t>mediante la aplicación de la prueba de daño.</w:t>
      </w:r>
    </w:p>
    <w:p w:rsidR="000E2AD0" w:rsidRDefault="000E2AD0">
      <w:pPr>
        <w:shd w:val="clear" w:color="auto" w:fill="FFFFFF"/>
        <w:spacing w:after="0"/>
        <w:ind w:left="851" w:right="851"/>
        <w:jc w:val="both"/>
        <w:rPr>
          <w:rFonts w:ascii="Palatino Linotype" w:eastAsia="Palatino Linotype" w:hAnsi="Palatino Linotype" w:cs="Palatino Linotype"/>
          <w:b/>
          <w:i/>
        </w:rPr>
      </w:pPr>
    </w:p>
    <w:p w:rsidR="000E2AD0" w:rsidRDefault="00703F9D">
      <w:pPr>
        <w:shd w:val="clear" w:color="auto" w:fill="FFFFFF"/>
        <w:spacing w:after="0"/>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Artículo 135.</w:t>
      </w:r>
      <w:r>
        <w:rPr>
          <w:rFonts w:ascii="Palatino Linotype" w:eastAsia="Palatino Linotype" w:hAnsi="Palatino Linotype" w:cs="Palatino Linotype"/>
          <w:i/>
        </w:rPr>
        <w:t xml:space="preserve"> Los lineamientos generales que se emitan al respecto en materia de clasificación de la información reservada y confidencial y, para la elaboración de versiones públicas, serán de observancia oblig</w:t>
      </w:r>
      <w:r>
        <w:rPr>
          <w:rFonts w:ascii="Palatino Linotype" w:eastAsia="Palatino Linotype" w:hAnsi="Palatino Linotype" w:cs="Palatino Linotype"/>
          <w:i/>
        </w:rPr>
        <w:t>atoria para los sujetos obligados.</w:t>
      </w:r>
    </w:p>
    <w:p w:rsidR="000E2AD0" w:rsidRDefault="00703F9D">
      <w:pPr>
        <w:shd w:val="clear" w:color="auto" w:fill="FFFFFF"/>
        <w:spacing w:after="0"/>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(Énfasis añadido)</w:t>
      </w:r>
    </w:p>
    <w:p w:rsidR="000E2AD0" w:rsidRDefault="000E2AD0">
      <w:pPr>
        <w:shd w:val="clear" w:color="auto" w:fill="FFFFFF"/>
        <w:spacing w:after="0"/>
        <w:ind w:left="851" w:right="851"/>
        <w:jc w:val="both"/>
        <w:rPr>
          <w:rFonts w:ascii="Palatino Linotype" w:eastAsia="Palatino Linotype" w:hAnsi="Palatino Linotype" w:cs="Palatino Linotype"/>
          <w:i/>
        </w:rPr>
      </w:pPr>
    </w:p>
    <w:p w:rsidR="000E2AD0" w:rsidRDefault="00703F9D">
      <w:pPr>
        <w:shd w:val="clear" w:color="auto" w:fill="FFFFFF"/>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la normatividad se aprecia que l</w:t>
      </w:r>
      <w:r>
        <w:rPr>
          <w:rFonts w:ascii="Palatino Linotype" w:eastAsia="Palatino Linotype" w:hAnsi="Palatino Linotype" w:cs="Palatino Linotype"/>
          <w:b/>
        </w:rPr>
        <w:t xml:space="preserve">a </w:t>
      </w:r>
      <w:r>
        <w:rPr>
          <w:rFonts w:ascii="Palatino Linotype" w:eastAsia="Palatino Linotype" w:hAnsi="Palatino Linotype" w:cs="Palatino Linotype"/>
        </w:rPr>
        <w:t xml:space="preserve">carga de la prueba para justificar toda negativa de acceso a la información, por actualizarse cualquiera de los supuestos de clasificación corresponde a los sujetos </w:t>
      </w:r>
      <w:r>
        <w:rPr>
          <w:rFonts w:ascii="Palatino Linotype" w:eastAsia="Palatino Linotype" w:hAnsi="Palatino Linotype" w:cs="Palatino Linotype"/>
        </w:rPr>
        <w:t xml:space="preserve">obligados; en tal caso deberá fundar y motivar debidamente la clasificación de la información, la cual se llevará a cabo en el momento en que </w:t>
      </w:r>
      <w:r>
        <w:rPr>
          <w:rFonts w:ascii="Palatino Linotype" w:eastAsia="Palatino Linotype" w:hAnsi="Palatino Linotype" w:cs="Palatino Linotype"/>
          <w:i/>
        </w:rPr>
        <w:t>se reciba una solicitud de acceso a la información;</w:t>
      </w:r>
      <w:r>
        <w:rPr>
          <w:rFonts w:ascii="Palatino Linotype" w:eastAsia="Palatino Linotype" w:hAnsi="Palatino Linotype" w:cs="Palatino Linotype"/>
        </w:rPr>
        <w:t xml:space="preserve"> </w:t>
      </w:r>
      <w:r>
        <w:rPr>
          <w:rFonts w:ascii="Palatino Linotype" w:eastAsia="Palatino Linotype" w:hAnsi="Palatino Linotype" w:cs="Palatino Linotype"/>
          <w:i/>
        </w:rPr>
        <w:t>determine mediante resolución de autoridad competente; o</w:t>
      </w:r>
      <w:r>
        <w:rPr>
          <w:rFonts w:ascii="Palatino Linotype" w:eastAsia="Palatino Linotype" w:hAnsi="Palatino Linotype" w:cs="Palatino Linotype"/>
        </w:rPr>
        <w:t xml:space="preserve"> </w:t>
      </w:r>
      <w:r>
        <w:rPr>
          <w:rFonts w:ascii="Palatino Linotype" w:eastAsia="Palatino Linotype" w:hAnsi="Palatino Linotype" w:cs="Palatino Linotype"/>
          <w:i/>
        </w:rPr>
        <w:t>gener</w:t>
      </w:r>
      <w:r>
        <w:rPr>
          <w:rFonts w:ascii="Palatino Linotype" w:eastAsia="Palatino Linotype" w:hAnsi="Palatino Linotype" w:cs="Palatino Linotype"/>
          <w:i/>
        </w:rPr>
        <w:t>en versiones públicas para dar cumplimiento a las obligaciones de transparencia,</w:t>
      </w:r>
      <w:r>
        <w:rPr>
          <w:rFonts w:ascii="Palatino Linotype" w:eastAsia="Palatino Linotype" w:hAnsi="Palatino Linotype" w:cs="Palatino Linotype"/>
        </w:rPr>
        <w:t xml:space="preserve"> cabe mencionar que los sujetos obligados no podrán emitir acuerdos de carácter general, en donde no se podrán clasificar documentos antes de que se genere la información, es d</w:t>
      </w:r>
      <w:r>
        <w:rPr>
          <w:rFonts w:ascii="Palatino Linotype" w:eastAsia="Palatino Linotype" w:hAnsi="Palatino Linotype" w:cs="Palatino Linotype"/>
        </w:rPr>
        <w:t xml:space="preserve">ecir, la clasificación de información se realizará conforme a un análisis caso por caso, formalidades que en el presente asunto no fueron observadas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0E2AD0" w:rsidRDefault="000E2AD0">
      <w:pPr>
        <w:shd w:val="clear" w:color="auto" w:fill="FFFFFF"/>
        <w:spacing w:after="0" w:line="360" w:lineRule="auto"/>
        <w:jc w:val="both"/>
        <w:rPr>
          <w:rFonts w:ascii="Palatino Linotype" w:eastAsia="Palatino Linotype" w:hAnsi="Palatino Linotype" w:cs="Palatino Linotype"/>
        </w:rPr>
      </w:pPr>
    </w:p>
    <w:p w:rsidR="000E2AD0" w:rsidRDefault="00703F9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prescrito en los artículos 5 párrafos trigésimo noveno, </w:t>
      </w:r>
      <w:r>
        <w:rPr>
          <w:rFonts w:ascii="Palatino Linotype" w:eastAsia="Palatino Linotype" w:hAnsi="Palatino Linotype" w:cs="Palatino Linotype"/>
        </w:rPr>
        <w:t>cuadragésimo y cuadragésimo primero de la Constitución Política del Estado Libre y Soberano de México; 2, fracción II; 29, 36 fracciones I y II; 176, 178, 181, 185 y 186 fracción II de la Ley de Transparencia y Acceso a la Información Pública del Estado de</w:t>
      </w:r>
      <w:r>
        <w:rPr>
          <w:rFonts w:ascii="Palatino Linotype" w:eastAsia="Palatino Linotype" w:hAnsi="Palatino Linotype" w:cs="Palatino Linotype"/>
        </w:rPr>
        <w:t xml:space="preserve"> México y Municipios, este Pleno:</w:t>
      </w:r>
    </w:p>
    <w:p w:rsidR="000E2AD0" w:rsidRDefault="00703F9D">
      <w:pPr>
        <w:spacing w:after="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R E S U E L V E</w:t>
      </w:r>
    </w:p>
    <w:p w:rsidR="000E2AD0" w:rsidRDefault="000E2AD0">
      <w:pPr>
        <w:spacing w:after="0" w:line="360" w:lineRule="auto"/>
        <w:ind w:left="1080"/>
        <w:jc w:val="center"/>
        <w:rPr>
          <w:rFonts w:ascii="Palatino Linotype" w:eastAsia="Palatino Linotype" w:hAnsi="Palatino Linotype" w:cs="Palatino Linotype"/>
          <w:b/>
        </w:rPr>
      </w:pPr>
    </w:p>
    <w:p w:rsidR="000E2AD0" w:rsidRDefault="00703F9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fundados los motivos de inconformidad hechos valer por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el Recurso de Revisión </w:t>
      </w:r>
      <w:r>
        <w:rPr>
          <w:rFonts w:ascii="Palatino Linotype" w:eastAsia="Palatino Linotype" w:hAnsi="Palatino Linotype" w:cs="Palatino Linotype"/>
          <w:b/>
        </w:rPr>
        <w:t xml:space="preserve">07974/INFOEM/IP/RR/2025, </w:t>
      </w:r>
      <w:r>
        <w:rPr>
          <w:rFonts w:ascii="Palatino Linotype" w:eastAsia="Palatino Linotype" w:hAnsi="Palatino Linotype" w:cs="Palatino Linotype"/>
        </w:rPr>
        <w:t xml:space="preserve">por lo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Modifica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0E2AD0" w:rsidRDefault="000E2AD0">
      <w:pPr>
        <w:spacing w:after="0" w:line="360" w:lineRule="auto"/>
        <w:jc w:val="both"/>
        <w:rPr>
          <w:rFonts w:ascii="Palatino Linotype" w:eastAsia="Palatino Linotype" w:hAnsi="Palatino Linotype" w:cs="Palatino Linotype"/>
        </w:rPr>
      </w:pPr>
    </w:p>
    <w:p w:rsidR="000E2AD0" w:rsidRDefault="00703F9D">
      <w:pPr>
        <w:spacing w:after="0" w:line="360" w:lineRule="auto"/>
        <w:jc w:val="both"/>
        <w:rPr>
          <w:rFonts w:ascii="Palatino Linotype" w:eastAsia="Palatino Linotype" w:hAnsi="Palatino Linotype" w:cs="Palatino Linotype"/>
        </w:rPr>
      </w:pPr>
      <w:bookmarkStart w:id="5" w:name="_heading=h.kelgs2428oa6" w:colFirst="0" w:colLast="0"/>
      <w:bookmarkEnd w:id="5"/>
      <w:r>
        <w:rPr>
          <w:rFonts w:ascii="Palatino Linotype" w:eastAsia="Palatino Linotype" w:hAnsi="Palatino Linotype" w:cs="Palatino Linotype"/>
          <w:b/>
        </w:rPr>
        <w:t xml:space="preserve">Segundo. </w:t>
      </w:r>
      <w:r>
        <w:rPr>
          <w:rFonts w:ascii="Palatino Linotype" w:eastAsia="Palatino Linotype" w:hAnsi="Palatino Linotype" w:cs="Palatino Linotype"/>
        </w:rPr>
        <w:t>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términos de los Considerandos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haga entrega, vía </w:t>
      </w:r>
      <w:r>
        <w:rPr>
          <w:rFonts w:ascii="Palatino Linotype" w:eastAsia="Palatino Linotype" w:hAnsi="Palatino Linotype" w:cs="Palatino Linotype"/>
          <w:b/>
        </w:rPr>
        <w:t>SAIMEX</w:t>
      </w:r>
      <w:r>
        <w:rPr>
          <w:rFonts w:ascii="Palatino Linotype" w:eastAsia="Palatino Linotype" w:hAnsi="Palatino Linotype" w:cs="Palatino Linotype"/>
        </w:rPr>
        <w:t>, en correcta versión pública, de lo siguiente:</w:t>
      </w:r>
    </w:p>
    <w:p w:rsidR="000E2AD0" w:rsidRDefault="000E2AD0">
      <w:pPr>
        <w:spacing w:after="0" w:line="360" w:lineRule="auto"/>
        <w:jc w:val="both"/>
        <w:rPr>
          <w:rFonts w:ascii="Palatino Linotype" w:eastAsia="Palatino Linotype" w:hAnsi="Palatino Linotype" w:cs="Palatino Linotype"/>
        </w:rPr>
      </w:pPr>
    </w:p>
    <w:p w:rsidR="000E2AD0" w:rsidRDefault="00703F9D">
      <w:pPr>
        <w:numPr>
          <w:ilvl w:val="0"/>
          <w:numId w:val="2"/>
        </w:numPr>
        <w:pBdr>
          <w:top w:val="nil"/>
          <w:left w:val="nil"/>
          <w:bottom w:val="nil"/>
          <w:right w:val="nil"/>
          <w:between w:val="nil"/>
        </w:pBdr>
        <w:spacing w:after="0" w:line="360" w:lineRule="auto"/>
        <w:ind w:left="851" w:right="843" w:hanging="28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Bitácoras de Consumo de Gasolina / Diésel correspondientes al mes de marzo de dos mil veinticinco, remitidos en respuesta.</w:t>
      </w:r>
    </w:p>
    <w:p w:rsidR="000E2AD0" w:rsidRDefault="00703F9D">
      <w:pPr>
        <w:numPr>
          <w:ilvl w:val="0"/>
          <w:numId w:val="2"/>
        </w:numPr>
        <w:pBdr>
          <w:top w:val="nil"/>
          <w:left w:val="nil"/>
          <w:bottom w:val="nil"/>
          <w:right w:val="nil"/>
          <w:between w:val="nil"/>
        </w:pBdr>
        <w:spacing w:after="0" w:line="360" w:lineRule="auto"/>
        <w:ind w:left="851" w:right="843" w:hanging="284"/>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Factura de combustible correspondiente al mes de marzo de dos mil veinticinco, remitida en respuesta.</w:t>
      </w:r>
    </w:p>
    <w:p w:rsidR="000E2AD0" w:rsidRDefault="00703F9D">
      <w:pPr>
        <w:numPr>
          <w:ilvl w:val="0"/>
          <w:numId w:val="2"/>
        </w:numPr>
        <w:pBdr>
          <w:top w:val="nil"/>
          <w:left w:val="nil"/>
          <w:bottom w:val="nil"/>
          <w:right w:val="nil"/>
          <w:between w:val="nil"/>
        </w:pBdr>
        <w:spacing w:after="0" w:line="360" w:lineRule="auto"/>
        <w:ind w:left="851" w:right="843" w:hanging="28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Contrato de Suministro de Combu</w:t>
      </w:r>
      <w:r>
        <w:rPr>
          <w:rFonts w:ascii="Palatino Linotype" w:eastAsia="Palatino Linotype" w:hAnsi="Palatino Linotype" w:cs="Palatino Linotype"/>
          <w:b/>
          <w:color w:val="000000"/>
        </w:rPr>
        <w:t xml:space="preserve">stible y Lubricantes remitido en respuesta. </w:t>
      </w:r>
    </w:p>
    <w:p w:rsidR="000E2AD0" w:rsidRDefault="000E2AD0">
      <w:pPr>
        <w:pBdr>
          <w:top w:val="nil"/>
          <w:left w:val="nil"/>
          <w:bottom w:val="nil"/>
          <w:right w:val="nil"/>
          <w:between w:val="nil"/>
        </w:pBdr>
        <w:spacing w:after="0" w:line="360" w:lineRule="auto"/>
        <w:ind w:left="851" w:right="843"/>
        <w:jc w:val="both"/>
        <w:rPr>
          <w:rFonts w:ascii="Palatino Linotype" w:eastAsia="Palatino Linotype" w:hAnsi="Palatino Linotype" w:cs="Palatino Linotype"/>
          <w:b/>
          <w:color w:val="000000"/>
        </w:rPr>
      </w:pPr>
    </w:p>
    <w:p w:rsidR="000E2AD0" w:rsidRDefault="00703F9D">
      <w:pPr>
        <w:pBdr>
          <w:top w:val="nil"/>
          <w:left w:val="nil"/>
          <w:bottom w:val="nil"/>
          <w:right w:val="nil"/>
          <w:between w:val="nil"/>
        </w:pBdr>
        <w:spacing w:after="0"/>
        <w:ind w:left="851" w:right="843"/>
        <w:jc w:val="both"/>
        <w:rPr>
          <w:rFonts w:ascii="Palatino Linotype" w:eastAsia="Palatino Linotype" w:hAnsi="Palatino Linotype" w:cs="Palatino Linotype"/>
          <w:i/>
        </w:rPr>
      </w:pPr>
      <w:r>
        <w:rPr>
          <w:rFonts w:ascii="Palatino Linotype" w:eastAsia="Palatino Linotype" w:hAnsi="Palatino Linotype" w:cs="Palatino Linotype"/>
          <w:i/>
        </w:rPr>
        <w:t>Para la entrega en versión pública, deberá emitir el Acuerdo del Comité de Transparencia en términos de la Ley de Transparencia y Acceso a la Información Pública del Estado de México y Municipios, en el que funde y motive las razones sobre los datos que se</w:t>
      </w:r>
      <w:r>
        <w:rPr>
          <w:rFonts w:ascii="Palatino Linotype" w:eastAsia="Palatino Linotype" w:hAnsi="Palatino Linotype" w:cs="Palatino Linotype"/>
          <w:i/>
        </w:rPr>
        <w:t xml:space="preserve"> supriman o eliminen, y se ponga a disposición de la parte Recurrente. </w:t>
      </w:r>
    </w:p>
    <w:p w:rsidR="000E2AD0" w:rsidRDefault="000E2AD0">
      <w:pPr>
        <w:spacing w:after="0" w:line="360" w:lineRule="auto"/>
        <w:jc w:val="both"/>
        <w:rPr>
          <w:rFonts w:ascii="Palatino Linotype" w:eastAsia="Palatino Linotype" w:hAnsi="Palatino Linotype" w:cs="Palatino Linotype"/>
        </w:rPr>
      </w:pPr>
    </w:p>
    <w:p w:rsidR="000E2AD0" w:rsidRDefault="00703F9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Notifíquese vía SAIMEX, </w:t>
      </w:r>
      <w:r>
        <w:rPr>
          <w:rFonts w:ascii="Palatino Linotype" w:eastAsia="Palatino Linotype" w:hAnsi="Palatino Linotype" w:cs="Palatino Linotype"/>
        </w:rPr>
        <w:t>la presente resolución al Titular de la Unidad de Transparencia del Sujeto Obligado, para que conforme al artículo 186 último párrafo, 189 segundo pár</w:t>
      </w:r>
      <w:r>
        <w:rPr>
          <w:rFonts w:ascii="Palatino Linotype" w:eastAsia="Palatino Linotype" w:hAnsi="Palatino Linotype" w:cs="Palatino Linotype"/>
        </w:rPr>
        <w:t xml:space="preserve">rafo y 194 de la Ley de Transparencia y Acceso a la Información Pública del Estado de México y Municipios; dé cumplimiento a lo ordenado dentro del plazo de diez días hábiles, e informe a este Instituto en un plazo de tres días hábiles siguientes sobre el </w:t>
      </w:r>
      <w:r>
        <w:rPr>
          <w:rFonts w:ascii="Palatino Linotype" w:eastAsia="Palatino Linotype" w:hAnsi="Palatino Linotype" w:cs="Palatino Linotype"/>
        </w:rPr>
        <w:t>cumplimiento dado a la presente y, se le apercibe que en caso de negarse a cumplir la presente resolución o hacerlo de manera parcial, se le impondrá una medida de apremio de conformidad con lo previsto en los artículos 198, 200, fracción III; 214, 215 y 2</w:t>
      </w:r>
      <w:r>
        <w:rPr>
          <w:rFonts w:ascii="Palatino Linotype" w:eastAsia="Palatino Linotype" w:hAnsi="Palatino Linotype" w:cs="Palatino Linotype"/>
        </w:rPr>
        <w:t>16 de la Ley  de Transparencia y Acceso a la Información Pública del Estado de México y Municipios.</w:t>
      </w:r>
    </w:p>
    <w:p w:rsidR="000E2AD0" w:rsidRDefault="000E2AD0">
      <w:pPr>
        <w:spacing w:after="0" w:line="360" w:lineRule="auto"/>
        <w:jc w:val="both"/>
        <w:rPr>
          <w:rFonts w:ascii="Palatino Linotype" w:eastAsia="Palatino Linotype" w:hAnsi="Palatino Linotype" w:cs="Palatino Linotype"/>
        </w:rPr>
      </w:pPr>
    </w:p>
    <w:p w:rsidR="000E2AD0" w:rsidRDefault="00703F9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Notifíquese vía SAIMEX, </w:t>
      </w:r>
      <w:r>
        <w:rPr>
          <w:rFonts w:ascii="Palatino Linotype" w:eastAsia="Palatino Linotype" w:hAnsi="Palatino Linotype" w:cs="Palatino Linotype"/>
        </w:rPr>
        <w:t>la presente resolución al Titular de la Unidad de Transparencia del Sujeto Obligado, que de conformidad con el artículo 198</w:t>
      </w:r>
      <w:r>
        <w:rPr>
          <w:rFonts w:ascii="Palatino Linotype" w:eastAsia="Palatino Linotype" w:hAnsi="Palatino Linotype" w:cs="Palatino Linotype"/>
        </w:rPr>
        <w:t xml:space="preserve"> de la Ley de Transparencia y Acceso a la Información Pública del Estado de México y Municipios, de considerarlo procedente, de manera fundada y motivada, podrá solicitar una ampliación de plazo para el cumplimiento de la presente resolución.</w:t>
      </w:r>
    </w:p>
    <w:p w:rsidR="000E2AD0" w:rsidRDefault="000E2AD0">
      <w:pPr>
        <w:spacing w:after="0" w:line="360" w:lineRule="auto"/>
        <w:jc w:val="both"/>
        <w:rPr>
          <w:rFonts w:ascii="Palatino Linotype" w:eastAsia="Palatino Linotype" w:hAnsi="Palatino Linotype" w:cs="Palatino Linotype"/>
        </w:rPr>
      </w:pPr>
      <w:bookmarkStart w:id="6" w:name="_heading=h.gjdgxs" w:colFirst="0" w:colLast="0"/>
      <w:bookmarkEnd w:id="6"/>
    </w:p>
    <w:p w:rsidR="000E2AD0" w:rsidRDefault="00703F9D">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b/>
        </w:rPr>
        <w:t>Quinto. Noti</w:t>
      </w:r>
      <w:r>
        <w:rPr>
          <w:rFonts w:ascii="Palatino Linotype" w:eastAsia="Palatino Linotype" w:hAnsi="Palatino Linotype" w:cs="Palatino Linotype"/>
          <w:b/>
        </w:rPr>
        <w:t xml:space="preserve">fíquese vía SAIMEX, </w:t>
      </w:r>
      <w:r>
        <w:rPr>
          <w:rFonts w:ascii="Palatino Linotype" w:eastAsia="Palatino Linotype" w:hAnsi="Palatino Linotype" w:cs="Palatino Linotype"/>
        </w:rPr>
        <w:t xml:space="preserve">a </w:t>
      </w:r>
      <w:r>
        <w:rPr>
          <w:rFonts w:ascii="Palatino Linotype" w:eastAsia="Palatino Linotype" w:hAnsi="Palatino Linotype" w:cs="Palatino Linotype"/>
          <w:b/>
        </w:rPr>
        <w:t>la</w:t>
      </w:r>
      <w:r>
        <w:rPr>
          <w:rFonts w:ascii="Palatino Linotype" w:eastAsia="Palatino Linotype" w:hAnsi="Palatino Linotype" w:cs="Palatino Linotype"/>
        </w:rPr>
        <w:t xml:space="preserve">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de Transparencia y Acceso a la Info</w:t>
      </w:r>
      <w:r>
        <w:rPr>
          <w:rFonts w:ascii="Palatino Linotype" w:eastAsia="Palatino Linotype" w:hAnsi="Palatino Linotype" w:cs="Palatino Linotype"/>
        </w:rPr>
        <w:t xml:space="preserve">rmación Pública del Estado de México y Municipios. </w:t>
      </w:r>
    </w:p>
    <w:p w:rsidR="000E2AD0" w:rsidRDefault="000E2AD0">
      <w:pPr>
        <w:spacing w:after="0" w:line="360" w:lineRule="auto"/>
        <w:jc w:val="both"/>
        <w:rPr>
          <w:rFonts w:ascii="Palatino Linotype" w:eastAsia="Palatino Linotype" w:hAnsi="Palatino Linotype" w:cs="Palatino Linotype"/>
        </w:rPr>
      </w:pPr>
    </w:p>
    <w:p w:rsidR="000E2AD0" w:rsidRDefault="00703F9D">
      <w:pPr>
        <w:spacing w:after="0" w:line="360" w:lineRule="auto"/>
        <w:ind w:right="49"/>
        <w:jc w:val="both"/>
        <w:rPr>
          <w:rFonts w:ascii="Palatino Linotype" w:eastAsia="Palatino Linotype" w:hAnsi="Palatino Linotype" w:cs="Palatino Linotype"/>
        </w:rPr>
      </w:pPr>
      <w:bookmarkStart w:id="7" w:name="_heading=h.xvsw45giwnej" w:colFirst="0" w:colLast="0"/>
      <w:bookmarkEnd w:id="7"/>
      <w:r>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w:t>
      </w:r>
      <w:r>
        <w:rPr>
          <w:rFonts w:ascii="Palatino Linotype" w:eastAsia="Palatino Linotype" w:hAnsi="Palatino Linotype" w:cs="Palatino Linotype"/>
        </w:rPr>
        <w:t>OMISIONADOS JOSÉ MARTÍNEZ VILCHIS, MARÍA DEL ROSARIO MEJÍA AYALA, SHARON CRISTINA MORALES MARTÍNEZ, LUIS GUSTAVO PARRA NORIEGA Y GUADALUPE RAMÍREZ PEÑA; EN LA TRIGÉSIMA SÉPTIMA SESIÓN ORDINARIA CELEBRADA EL QUINCE DE OCTUBRE DE DOS MIL VEINTICINCO, ANTE EL</w:t>
      </w:r>
      <w:r>
        <w:rPr>
          <w:rFonts w:ascii="Palatino Linotype" w:eastAsia="Palatino Linotype" w:hAnsi="Palatino Linotype" w:cs="Palatino Linotype"/>
        </w:rPr>
        <w:t xml:space="preserve"> SECRETARIO TÉCNICO DEL PLENO ALEXIS TAPIA RAMÍREZ. </w:t>
      </w:r>
    </w:p>
    <w:p w:rsidR="000E2AD0" w:rsidRDefault="000E2AD0">
      <w:pPr>
        <w:rPr>
          <w:rFonts w:ascii="Palatino Linotype" w:eastAsia="Palatino Linotype" w:hAnsi="Palatino Linotype" w:cs="Palatino Linotype"/>
        </w:rPr>
      </w:pPr>
    </w:p>
    <w:p w:rsidR="000E2AD0" w:rsidRDefault="00703F9D">
      <w:pPr>
        <w:tabs>
          <w:tab w:val="left" w:pos="6420"/>
        </w:tabs>
        <w:rPr>
          <w:rFonts w:ascii="Palatino Linotype" w:eastAsia="Palatino Linotype" w:hAnsi="Palatino Linotype" w:cs="Palatino Linotype"/>
        </w:rPr>
      </w:pPr>
      <w:r>
        <w:rPr>
          <w:rFonts w:ascii="Palatino Linotype" w:eastAsia="Palatino Linotype" w:hAnsi="Palatino Linotype" w:cs="Palatino Linotype"/>
        </w:rPr>
        <w:tab/>
      </w:r>
    </w:p>
    <w:p w:rsidR="000E2AD0" w:rsidRDefault="00703F9D">
      <w:pPr>
        <w:tabs>
          <w:tab w:val="left" w:pos="6420"/>
        </w:tabs>
        <w:rPr>
          <w:rFonts w:ascii="Palatino Linotype" w:eastAsia="Palatino Linotype" w:hAnsi="Palatino Linotype" w:cs="Palatino Linotype"/>
        </w:rPr>
        <w:sectPr w:rsidR="000E2AD0">
          <w:headerReference w:type="default" r:id="rId13"/>
          <w:footerReference w:type="default" r:id="rId14"/>
          <w:headerReference w:type="first" r:id="rId15"/>
          <w:footerReference w:type="first" r:id="rId16"/>
          <w:pgSz w:w="12240" w:h="15840"/>
          <w:pgMar w:top="2041" w:right="1474" w:bottom="1701" w:left="1701" w:header="709" w:footer="709" w:gutter="0"/>
          <w:pgNumType w:start="1"/>
          <w:cols w:space="720"/>
          <w:titlePg/>
        </w:sectPr>
      </w:pPr>
      <w:r>
        <w:rPr>
          <w:rFonts w:ascii="Palatino Linotype" w:eastAsia="Palatino Linotype" w:hAnsi="Palatino Linotype" w:cs="Palatino Linotype"/>
        </w:rPr>
        <w:tab/>
      </w:r>
    </w:p>
    <w:p w:rsidR="000E2AD0" w:rsidRDefault="000E2AD0">
      <w:pPr>
        <w:spacing w:after="0" w:line="360" w:lineRule="auto"/>
        <w:ind w:right="49"/>
        <w:jc w:val="both"/>
        <w:rPr>
          <w:rFonts w:ascii="Palatino Linotype" w:eastAsia="Palatino Linotype" w:hAnsi="Palatino Linotype" w:cs="Palatino Linotype"/>
        </w:rPr>
      </w:pPr>
    </w:p>
    <w:sectPr w:rsidR="000E2AD0">
      <w:headerReference w:type="first" r:id="rId17"/>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703F9D">
      <w:pPr>
        <w:spacing w:after="0" w:line="240" w:lineRule="auto"/>
      </w:pPr>
      <w:r>
        <w:separator/>
      </w:r>
    </w:p>
  </w:endnote>
  <w:endnote w:type="continuationSeparator" w:id="0">
    <w:p w:rsidR="00000000" w:rsidRDefault="00703F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01408055-61E2-4474-BE57-BD790DBE72B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3D0B38C-0713-4818-8434-CD9D22DED38D}"/>
    <w:embedBold r:id="rId3" w:fontKey="{FD1AD421-FD38-40EA-8AF2-F6DB3775068C}"/>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C7E6BC98-F33F-4CCD-9525-55B9C767A5C9}"/>
    <w:embedItalic r:id="rId5" w:fontKey="{BE4B2EB3-C68F-403B-9D24-76D48F665273}"/>
  </w:font>
  <w:font w:name="Palatino Linotype">
    <w:panose1 w:val="02040502050505030304"/>
    <w:charset w:val="00"/>
    <w:family w:val="roman"/>
    <w:pitch w:val="variable"/>
    <w:sig w:usb0="E0000287" w:usb1="40000013" w:usb2="00000000" w:usb3="00000000" w:csb0="0000019F" w:csb1="00000000"/>
    <w:embedRegular r:id="rId6" w:fontKey="{9EBE3E1F-2792-4033-8788-DEA6A034DA46}"/>
    <w:embedBold r:id="rId7" w:fontKey="{8E9D7CD3-5225-459E-B460-AEED1F71332C}"/>
    <w:embedItalic r:id="rId8" w:fontKey="{5C711DC6-CE05-45BF-A2AB-2C15C6277095}"/>
    <w:embedBoldItalic r:id="rId9" w:fontKey="{EC5DD7DE-1C8F-473C-A420-9F0AC4CA1432}"/>
  </w:font>
  <w:font w:name="Calibri Light">
    <w:panose1 w:val="020F0302020204030204"/>
    <w:charset w:val="00"/>
    <w:family w:val="swiss"/>
    <w:pitch w:val="variable"/>
    <w:sig w:usb0="E4002EFF" w:usb1="C200247B" w:usb2="00000009" w:usb3="00000000" w:csb0="000001FF" w:csb1="00000000"/>
    <w:embedRegular r:id="rId10" w:fontKey="{74939D48-DE0B-4294-B17F-13C84B1CDB2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AD0" w:rsidRDefault="00703F9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Pr>
        <w:b/>
        <w:noProof/>
        <w:color w:val="000000"/>
        <w:sz w:val="24"/>
        <w:szCs w:val="24"/>
      </w:rPr>
      <w:t>4</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Pr>
        <w:b/>
        <w:noProof/>
        <w:color w:val="000000"/>
        <w:sz w:val="24"/>
        <w:szCs w:val="24"/>
      </w:rPr>
      <w:t>44</w:t>
    </w:r>
    <w:r>
      <w:rPr>
        <w:b/>
        <w:color w:val="000000"/>
        <w:sz w:val="24"/>
        <w:szCs w:val="24"/>
      </w:rPr>
      <w:fldChar w:fldCharType="end"/>
    </w:r>
  </w:p>
  <w:p w:rsidR="000E2AD0" w:rsidRDefault="000E2AD0">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AD0" w:rsidRDefault="00703F9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t>1</w:t>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Pr>
        <w:b/>
        <w:noProof/>
        <w:color w:val="000000"/>
        <w:sz w:val="24"/>
        <w:szCs w:val="24"/>
      </w:rPr>
      <w:t>44</w:t>
    </w:r>
    <w:r>
      <w:rPr>
        <w:b/>
        <w:color w:val="000000"/>
        <w:sz w:val="24"/>
        <w:szCs w:val="24"/>
      </w:rPr>
      <w:fldChar w:fldCharType="end"/>
    </w:r>
  </w:p>
  <w:p w:rsidR="000E2AD0" w:rsidRDefault="000E2AD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703F9D">
      <w:pPr>
        <w:spacing w:after="0" w:line="240" w:lineRule="auto"/>
      </w:pPr>
      <w:r>
        <w:separator/>
      </w:r>
    </w:p>
  </w:footnote>
  <w:footnote w:type="continuationSeparator" w:id="0">
    <w:p w:rsidR="00000000" w:rsidRDefault="00703F9D">
      <w:pPr>
        <w:spacing w:after="0" w:line="240" w:lineRule="auto"/>
      </w:pPr>
      <w:r>
        <w:continuationSeparator/>
      </w:r>
    </w:p>
  </w:footnote>
  <w:footnote w:id="1">
    <w:p w:rsidR="000E2AD0" w:rsidRDefault="00703F9D">
      <w:pPr>
        <w:tabs>
          <w:tab w:val="left" w:pos="709"/>
        </w:tabs>
        <w:ind w:right="567"/>
        <w:jc w:val="both"/>
        <w:rPr>
          <w:rFonts w:ascii="Palatino Linotype" w:eastAsia="Palatino Linotype" w:hAnsi="Palatino Linotype" w:cs="Palatino Linotype"/>
          <w:sz w:val="16"/>
          <w:szCs w:val="16"/>
        </w:rPr>
      </w:pPr>
      <w:r>
        <w:rPr>
          <w:vertAlign w:val="superscript"/>
        </w:rPr>
        <w:footnoteRef/>
      </w:r>
      <w:r>
        <w:t xml:space="preserve"> </w:t>
      </w:r>
      <w:r>
        <w:rPr>
          <w:rFonts w:ascii="Palatino Linotype" w:eastAsia="Palatino Linotype" w:hAnsi="Palatino Linotype" w:cs="Palatino Linotype"/>
          <w:sz w:val="16"/>
          <w:szCs w:val="16"/>
        </w:rPr>
        <w:t>Artículo 12. Quienes generen, recopilen, administren, manejen, procesen, archiven o conserven información pública serán responsables de la misma en los términos de las disposiciones jurídicas aplicables.</w:t>
      </w:r>
    </w:p>
    <w:p w:rsidR="000E2AD0" w:rsidRDefault="00703F9D">
      <w:pPr>
        <w:tabs>
          <w:tab w:val="left" w:pos="709"/>
        </w:tabs>
        <w:ind w:right="567"/>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Los sujetos obligados sólo proporcionarán la informa</w:t>
      </w:r>
      <w:r>
        <w:rPr>
          <w:rFonts w:ascii="Palatino Linotype" w:eastAsia="Palatino Linotype" w:hAnsi="Palatino Linotype" w:cs="Palatino Linotype"/>
          <w:sz w:val="16"/>
          <w:szCs w:val="16"/>
        </w:rPr>
        <w:t>ción pública que se les requiera y que obre en sus archivos y en el estado en que ésta se encuentre. La obligación de proporcionar información no comprende el procesamiento de la misma, ni el presentarla conforme al interés del solicitante; no estarán obli</w:t>
      </w:r>
      <w:r>
        <w:rPr>
          <w:rFonts w:ascii="Palatino Linotype" w:eastAsia="Palatino Linotype" w:hAnsi="Palatino Linotype" w:cs="Palatino Linotype"/>
          <w:sz w:val="16"/>
          <w:szCs w:val="16"/>
        </w:rPr>
        <w:t>gados a generarla, resumirla, efectuar cálculos o practicar investigaciones.</w:t>
      </w:r>
    </w:p>
  </w:footnote>
  <w:footnote w:id="2">
    <w:p w:rsidR="000E2AD0" w:rsidRDefault="00703F9D">
      <w:pPr>
        <w:tabs>
          <w:tab w:val="left" w:pos="709"/>
        </w:tabs>
        <w:ind w:right="567"/>
        <w:jc w:val="both"/>
        <w:rPr>
          <w:rFonts w:ascii="Palatino Linotype" w:eastAsia="Palatino Linotype" w:hAnsi="Palatino Linotype" w:cs="Palatino Linotype"/>
          <w:sz w:val="16"/>
          <w:szCs w:val="16"/>
        </w:rPr>
      </w:pPr>
      <w:r>
        <w:rPr>
          <w:vertAlign w:val="superscript"/>
        </w:rPr>
        <w:footnoteRef/>
      </w:r>
      <w:r>
        <w:t xml:space="preserve"> </w:t>
      </w:r>
      <w:r>
        <w:rPr>
          <w:rFonts w:ascii="Palatino Linotype" w:eastAsia="Palatino Linotype" w:hAnsi="Palatino Linotype" w:cs="Palatino Linotype"/>
          <w:sz w:val="16"/>
          <w:szCs w:val="16"/>
        </w:rPr>
        <w:t>Artículo 23. Son sujetos obligados a transparentar y permitir el acceso a su información y proteger los datos personales que obren en su poder…</w:t>
      </w:r>
    </w:p>
    <w:p w:rsidR="000E2AD0" w:rsidRDefault="00703F9D">
      <w:pPr>
        <w:tabs>
          <w:tab w:val="left" w:pos="709"/>
        </w:tabs>
        <w:ind w:right="567"/>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IV. Los ayuntamientos y las dependencias, organismos, órganos y entidades de la administración municipal;…”(Sic)</w:t>
      </w:r>
    </w:p>
    <w:p w:rsidR="000E2AD0" w:rsidRDefault="000E2AD0">
      <w:pPr>
        <w:pBdr>
          <w:top w:val="nil"/>
          <w:left w:val="nil"/>
          <w:bottom w:val="nil"/>
          <w:right w:val="nil"/>
          <w:between w:val="nil"/>
        </w:pBdr>
        <w:spacing w:after="0" w:line="240" w:lineRule="auto"/>
        <w:rPr>
          <w:color w:val="000000"/>
          <w:sz w:val="20"/>
          <w:szCs w:val="20"/>
        </w:rPr>
      </w:pPr>
    </w:p>
  </w:footnote>
  <w:footnote w:id="3">
    <w:p w:rsidR="000E2AD0" w:rsidRDefault="00703F9D">
      <w:pPr>
        <w:pBdr>
          <w:top w:val="nil"/>
          <w:left w:val="nil"/>
          <w:bottom w:val="nil"/>
          <w:right w:val="nil"/>
          <w:between w:val="nil"/>
        </w:pBdr>
        <w:spacing w:after="0"/>
        <w:jc w:val="both"/>
        <w:rPr>
          <w:rFonts w:ascii="Palatino Linotype" w:eastAsia="Palatino Linotype" w:hAnsi="Palatino Linotype" w:cs="Palatino Linotype"/>
          <w:color w:val="000000"/>
          <w:sz w:val="18"/>
          <w:szCs w:val="18"/>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w:t>
      </w:r>
      <w:r>
        <w:rPr>
          <w:rFonts w:ascii="Palatino Linotype" w:eastAsia="Palatino Linotype" w:hAnsi="Palatino Linotype" w:cs="Palatino Linotype"/>
          <w:color w:val="000000"/>
          <w:sz w:val="18"/>
          <w:szCs w:val="18"/>
        </w:rPr>
        <w:t>Artículo 9. El Instituto deberá regir su funcionamiento de acuerdo a los siguientes principios:</w:t>
      </w:r>
    </w:p>
    <w:p w:rsidR="000E2AD0" w:rsidRDefault="00703F9D">
      <w:pPr>
        <w:pBdr>
          <w:top w:val="nil"/>
          <w:left w:val="nil"/>
          <w:bottom w:val="nil"/>
          <w:right w:val="nil"/>
          <w:between w:val="nil"/>
        </w:pBdr>
        <w:spacing w:after="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 xml:space="preserve">I. Certeza: Principio que otorga seguridad </w:t>
      </w:r>
      <w:r>
        <w:rPr>
          <w:rFonts w:ascii="Palatino Linotype" w:eastAsia="Palatino Linotype" w:hAnsi="Palatino Linotype" w:cs="Palatino Linotype"/>
          <w:color w:val="000000"/>
          <w:sz w:val="18"/>
          <w:szCs w:val="18"/>
        </w:rPr>
        <w:t>y certidumbre jurídica a los particulares, en virtud de que permite conocer si las acciones del Instituto son apegadas a derecho y garantiza que los procedimientos sean completamente verificables, fidedignos y confiable…</w:t>
      </w:r>
    </w:p>
    <w:p w:rsidR="000E2AD0" w:rsidRDefault="00703F9D">
      <w:pPr>
        <w:pBdr>
          <w:top w:val="nil"/>
          <w:left w:val="nil"/>
          <w:bottom w:val="nil"/>
          <w:right w:val="nil"/>
          <w:between w:val="nil"/>
        </w:pBdr>
        <w:spacing w:after="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VI. Legalidad: Obligación del Insti</w:t>
      </w:r>
      <w:r>
        <w:rPr>
          <w:rFonts w:ascii="Palatino Linotype" w:eastAsia="Palatino Linotype" w:hAnsi="Palatino Linotype" w:cs="Palatino Linotype"/>
          <w:color w:val="000000"/>
          <w:sz w:val="18"/>
          <w:szCs w:val="18"/>
        </w:rPr>
        <w:t>tuto de ajustar su actuación, que funde y motive sus resoluciones y actos en las normas aplicables…</w:t>
      </w:r>
    </w:p>
    <w:p w:rsidR="000E2AD0" w:rsidRDefault="00703F9D">
      <w:pPr>
        <w:pBdr>
          <w:top w:val="nil"/>
          <w:left w:val="nil"/>
          <w:bottom w:val="nil"/>
          <w:right w:val="nil"/>
          <w:between w:val="nil"/>
        </w:pBdr>
        <w:spacing w:after="0"/>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VIII. Objetividad: Obligación del Instituto de ajustar su actuación a los presupuestos de ley que deben ser aplicados al analizar el caso en concreto y reso</w:t>
      </w:r>
      <w:r>
        <w:rPr>
          <w:rFonts w:ascii="Palatino Linotype" w:eastAsia="Palatino Linotype" w:hAnsi="Palatino Linotype" w:cs="Palatino Linotype"/>
          <w:color w:val="000000"/>
          <w:sz w:val="18"/>
          <w:szCs w:val="18"/>
        </w:rPr>
        <w:t>lver todos los hechos, prescindiendo de las consideraciones y criterios personales…” (Sic)</w:t>
      </w:r>
    </w:p>
  </w:footnote>
  <w:footnote w:id="4">
    <w:p w:rsidR="000E2AD0" w:rsidRDefault="00703F9D">
      <w:pPr>
        <w:pBdr>
          <w:top w:val="nil"/>
          <w:left w:val="nil"/>
          <w:bottom w:val="nil"/>
          <w:right w:val="nil"/>
          <w:between w:val="nil"/>
        </w:pBdr>
        <w:spacing w:after="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8"/>
          <w:szCs w:val="18"/>
        </w:rPr>
        <w:t xml:space="preserve"> “Artículo 11. En la generación, publicación y entrega de información se deberá garantizar que ésta sea accesible, actualizada, completa, </w:t>
      </w:r>
      <w:r>
        <w:rPr>
          <w:rFonts w:ascii="Palatino Linotype" w:eastAsia="Palatino Linotype" w:hAnsi="Palatino Linotype" w:cs="Palatino Linotype"/>
          <w:b/>
          <w:color w:val="000000"/>
          <w:sz w:val="18"/>
          <w:szCs w:val="18"/>
        </w:rPr>
        <w:t>congruente</w:t>
      </w:r>
      <w:r>
        <w:rPr>
          <w:rFonts w:ascii="Palatino Linotype" w:eastAsia="Palatino Linotype" w:hAnsi="Palatino Linotype" w:cs="Palatino Linotype"/>
          <w:color w:val="000000"/>
          <w:sz w:val="18"/>
          <w:szCs w:val="18"/>
        </w:rPr>
        <w:t xml:space="preserve">, confiable, verificable, veraz, integral, oportuna y expedita, sujeta a un claro régimen de excepciones que deberá estar definido y ser además legítima y estrictamente necesaria en una sociedad democrática, por lo que atenderá las necesidades del derecho </w:t>
      </w:r>
      <w:r>
        <w:rPr>
          <w:rFonts w:ascii="Palatino Linotype" w:eastAsia="Palatino Linotype" w:hAnsi="Palatino Linotype" w:cs="Palatino Linotype"/>
          <w:color w:val="000000"/>
          <w:sz w:val="18"/>
          <w:szCs w:val="18"/>
        </w:rPr>
        <w:t>de acceso a la información de toda persona</w:t>
      </w:r>
      <w:r>
        <w:rPr>
          <w:rFonts w:ascii="Palatino Linotype" w:eastAsia="Palatino Linotype" w:hAnsi="Palatino Linotype" w:cs="Palatino Linotype"/>
          <w:color w:val="000000"/>
          <w:sz w:val="16"/>
          <w:szCs w:val="16"/>
        </w:rPr>
        <w:t>…”(Sic)</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AD0" w:rsidRDefault="00703F9D">
    <w:pPr>
      <w:widowControl w:val="0"/>
      <w:pBdr>
        <w:top w:val="nil"/>
        <w:left w:val="nil"/>
        <w:bottom w:val="nil"/>
        <w:right w:val="nil"/>
        <w:between w:val="nil"/>
      </w:pBdr>
      <w:spacing w:after="0"/>
      <w:rPr>
        <w:color w:val="000000"/>
      </w:rPr>
    </w:pPr>
    <w:r>
      <w:rPr>
        <w:noProof/>
      </w:rPr>
      <w:drawing>
        <wp:anchor distT="0" distB="0" distL="0" distR="0" simplePos="0" relativeHeight="251658240" behindDoc="1" locked="0" layoutInCell="1" hidden="0" allowOverlap="1">
          <wp:simplePos x="0" y="0"/>
          <wp:positionH relativeFrom="column">
            <wp:posOffset>-727073</wp:posOffset>
          </wp:positionH>
          <wp:positionV relativeFrom="paragraph">
            <wp:posOffset>-335913</wp:posOffset>
          </wp:positionV>
          <wp:extent cx="7809876" cy="10165823"/>
          <wp:effectExtent l="0" t="0" r="0" b="0"/>
          <wp:wrapNone/>
          <wp:docPr id="8983244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3"/>
      <w:tblW w:w="5603" w:type="dxa"/>
      <w:tblInd w:w="3611" w:type="dxa"/>
      <w:tblLayout w:type="fixed"/>
      <w:tblLook w:val="0400" w:firstRow="0" w:lastRow="0" w:firstColumn="0" w:lastColumn="0" w:noHBand="0" w:noVBand="1"/>
    </w:tblPr>
    <w:tblGrid>
      <w:gridCol w:w="2551"/>
      <w:gridCol w:w="3052"/>
    </w:tblGrid>
    <w:tr w:rsidR="000E2AD0">
      <w:tc>
        <w:tcPr>
          <w:tcW w:w="2551" w:type="dxa"/>
          <w:vAlign w:val="center"/>
        </w:tcPr>
        <w:p w:rsidR="000E2AD0" w:rsidRDefault="00703F9D">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rsidR="000E2AD0" w:rsidRDefault="00703F9D">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07974/INFOEM/IP/RR/2025</w:t>
          </w:r>
        </w:p>
      </w:tc>
    </w:tr>
    <w:tr w:rsidR="000E2AD0">
      <w:trPr>
        <w:trHeight w:val="217"/>
      </w:trPr>
      <w:tc>
        <w:tcPr>
          <w:tcW w:w="2551" w:type="dxa"/>
          <w:vAlign w:val="center"/>
        </w:tcPr>
        <w:p w:rsidR="000E2AD0" w:rsidRDefault="00703F9D">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rsidR="000E2AD0" w:rsidRDefault="00703F9D">
          <w:pPr>
            <w:pBdr>
              <w:top w:val="nil"/>
              <w:left w:val="nil"/>
              <w:bottom w:val="nil"/>
              <w:right w:val="nil"/>
              <w:between w:val="nil"/>
            </w:pBdr>
            <w:tabs>
              <w:tab w:val="center" w:pos="4419"/>
              <w:tab w:val="right" w:pos="8838"/>
            </w:tabs>
            <w:spacing w:after="0" w:line="240" w:lineRule="auto"/>
            <w:ind w:right="168"/>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Sistema Municipal para el Desarrollo Integral de la Familia de Morelos</w:t>
          </w:r>
        </w:p>
      </w:tc>
    </w:tr>
    <w:tr w:rsidR="000E2AD0">
      <w:tc>
        <w:tcPr>
          <w:tcW w:w="2551" w:type="dxa"/>
          <w:vAlign w:val="center"/>
        </w:tcPr>
        <w:p w:rsidR="000E2AD0" w:rsidRDefault="00703F9D">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rsidR="000E2AD0" w:rsidRDefault="00703F9D">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rsidR="000E2AD0" w:rsidRDefault="000E2AD0">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AD0" w:rsidRDefault="00703F9D">
    <w:pPr>
      <w:widowControl w:val="0"/>
      <w:pBdr>
        <w:top w:val="nil"/>
        <w:left w:val="nil"/>
        <w:bottom w:val="nil"/>
        <w:right w:val="nil"/>
        <w:between w:val="nil"/>
      </w:pBdr>
      <w:spacing w:after="0"/>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simplePos x="0" y="0"/>
          <wp:positionH relativeFrom="column">
            <wp:posOffset>-600073</wp:posOffset>
          </wp:positionH>
          <wp:positionV relativeFrom="paragraph">
            <wp:posOffset>-286382</wp:posOffset>
          </wp:positionV>
          <wp:extent cx="7809876" cy="10165823"/>
          <wp:effectExtent l="0" t="0" r="0" b="0"/>
          <wp:wrapNone/>
          <wp:docPr id="898324451" name="image1.png" descr="Forma, Flech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Forma, Flecha&#10;&#10;El contenido generado por IA puede ser incorrecto."/>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4"/>
      <w:tblW w:w="5603" w:type="dxa"/>
      <w:tblInd w:w="3611" w:type="dxa"/>
      <w:tblLayout w:type="fixed"/>
      <w:tblLook w:val="0400" w:firstRow="0" w:lastRow="0" w:firstColumn="0" w:lastColumn="0" w:noHBand="0" w:noVBand="1"/>
    </w:tblPr>
    <w:tblGrid>
      <w:gridCol w:w="2551"/>
      <w:gridCol w:w="3052"/>
    </w:tblGrid>
    <w:tr w:rsidR="000E2AD0">
      <w:tc>
        <w:tcPr>
          <w:tcW w:w="2551" w:type="dxa"/>
          <w:vAlign w:val="center"/>
        </w:tcPr>
        <w:p w:rsidR="000E2AD0" w:rsidRDefault="00703F9D">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rsidR="000E2AD0" w:rsidRDefault="00703F9D">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07974/INFOEM/IP/RR/2025</w:t>
          </w:r>
        </w:p>
      </w:tc>
    </w:tr>
    <w:tr w:rsidR="000E2AD0">
      <w:tc>
        <w:tcPr>
          <w:tcW w:w="2551" w:type="dxa"/>
          <w:vAlign w:val="center"/>
        </w:tcPr>
        <w:p w:rsidR="000E2AD0" w:rsidRDefault="00703F9D">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rsidR="000E2AD0" w:rsidRDefault="00703F9D" w:rsidP="00703F9D">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XXXX XXXXXXXX XXXXXX </w:t>
          </w:r>
        </w:p>
      </w:tc>
    </w:tr>
    <w:tr w:rsidR="000E2AD0">
      <w:trPr>
        <w:trHeight w:val="152"/>
      </w:trPr>
      <w:tc>
        <w:tcPr>
          <w:tcW w:w="2551" w:type="dxa"/>
          <w:vAlign w:val="center"/>
        </w:tcPr>
        <w:p w:rsidR="000E2AD0" w:rsidRDefault="00703F9D">
          <w:pP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rsidR="000E2AD0" w:rsidRDefault="00703F9D">
          <w:pPr>
            <w:pBdr>
              <w:top w:val="nil"/>
              <w:left w:val="nil"/>
              <w:bottom w:val="nil"/>
              <w:right w:val="nil"/>
              <w:between w:val="nil"/>
            </w:pBdr>
            <w:tabs>
              <w:tab w:val="center" w:pos="4419"/>
              <w:tab w:val="right" w:pos="8838"/>
            </w:tabs>
            <w:spacing w:after="0" w:line="240" w:lineRule="auto"/>
            <w:ind w:right="17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Sistema Municipal para el Desarrollo Integral de la Familia de Morelos</w:t>
          </w:r>
        </w:p>
      </w:tc>
    </w:tr>
    <w:tr w:rsidR="000E2AD0">
      <w:tc>
        <w:tcPr>
          <w:tcW w:w="2551" w:type="dxa"/>
          <w:vAlign w:val="center"/>
        </w:tcPr>
        <w:p w:rsidR="000E2AD0" w:rsidRDefault="00703F9D">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rsidR="000E2AD0" w:rsidRDefault="00703F9D">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rsidR="000E2AD0" w:rsidRDefault="00703F9D">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AD0" w:rsidRDefault="000E2AD0">
    <w:pPr>
      <w:widowControl w:val="0"/>
      <w:pBdr>
        <w:top w:val="nil"/>
        <w:left w:val="nil"/>
        <w:bottom w:val="nil"/>
        <w:right w:val="nil"/>
        <w:between w:val="nil"/>
      </w:pBdr>
      <w:spacing w:after="0"/>
      <w:rPr>
        <w:rFonts w:ascii="Palatino Linotype" w:eastAsia="Palatino Linotype" w:hAnsi="Palatino Linotype" w:cs="Palatino Linotype"/>
        <w:sz w:val="24"/>
        <w:szCs w:val="24"/>
      </w:rPr>
    </w:pPr>
  </w:p>
  <w:p w:rsidR="000E2AD0" w:rsidRDefault="00703F9D">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4624C"/>
    <w:multiLevelType w:val="multilevel"/>
    <w:tmpl w:val="B7E430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4B275A6"/>
    <w:multiLevelType w:val="multilevel"/>
    <w:tmpl w:val="4AC867B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278A0107"/>
    <w:multiLevelType w:val="multilevel"/>
    <w:tmpl w:val="2A08D5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EE2609B"/>
    <w:multiLevelType w:val="multilevel"/>
    <w:tmpl w:val="D42660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7FF6E25"/>
    <w:multiLevelType w:val="multilevel"/>
    <w:tmpl w:val="B14A17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C111BB1"/>
    <w:multiLevelType w:val="multilevel"/>
    <w:tmpl w:val="3880D3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074595E"/>
    <w:multiLevelType w:val="multilevel"/>
    <w:tmpl w:val="866EADC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483C664A"/>
    <w:multiLevelType w:val="multilevel"/>
    <w:tmpl w:val="06FEB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F506CD0"/>
    <w:multiLevelType w:val="multilevel"/>
    <w:tmpl w:val="54C0C5D6"/>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5E885D94"/>
    <w:multiLevelType w:val="multilevel"/>
    <w:tmpl w:val="991653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4CC2EE7"/>
    <w:multiLevelType w:val="multilevel"/>
    <w:tmpl w:val="16AC2E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9966B0E"/>
    <w:multiLevelType w:val="multilevel"/>
    <w:tmpl w:val="A992CAA6"/>
    <w:lvl w:ilvl="0">
      <w:start w:val="1"/>
      <w:numFmt w:val="decimal"/>
      <w:lvlText w:val="%1."/>
      <w:lvlJc w:val="left"/>
      <w:pPr>
        <w:ind w:left="2062"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9"/>
  </w:num>
  <w:num w:numId="3">
    <w:abstractNumId w:val="5"/>
  </w:num>
  <w:num w:numId="4">
    <w:abstractNumId w:val="6"/>
  </w:num>
  <w:num w:numId="5">
    <w:abstractNumId w:val="1"/>
  </w:num>
  <w:num w:numId="6">
    <w:abstractNumId w:val="10"/>
  </w:num>
  <w:num w:numId="7">
    <w:abstractNumId w:val="0"/>
  </w:num>
  <w:num w:numId="8">
    <w:abstractNumId w:val="2"/>
  </w:num>
  <w:num w:numId="9">
    <w:abstractNumId w:val="7"/>
  </w:num>
  <w:num w:numId="10">
    <w:abstractNumId w:val="3"/>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AD0"/>
    <w:rsid w:val="000E2AD0"/>
    <w:rsid w:val="00703F9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3B0D4"/>
  <w15:docId w15:val="{C2C5D8CD-48DE-47AE-A781-F515D226E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hAnsi="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spacing w:after="0" w:line="240" w:lineRule="auto"/>
    </w:pPr>
    <w:rPr>
      <w:rFonts w:ascii="Arial" w:hAnsi="Arial" w:cs="Arial"/>
      <w:color w:val="000000"/>
      <w:sz w:val="24"/>
      <w:szCs w:val="24"/>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top w:w="15" w:type="dxa"/>
        <w:left w:w="115" w:type="dxa"/>
        <w:bottom w:w="15" w:type="dxa"/>
        <w:right w:w="115" w:type="dxa"/>
      </w:tblCellMar>
    </w:tblPr>
  </w:style>
  <w:style w:type="table" w:customStyle="1" w:styleId="a1">
    <w:basedOn w:val="TableNormal1"/>
    <w:tblPr>
      <w:tblStyleRowBandSize w:val="1"/>
      <w:tblStyleColBandSize w:val="1"/>
      <w:tblCellMar>
        <w:top w:w="15" w:type="dxa"/>
        <w:left w:w="115" w:type="dxa"/>
        <w:bottom w:w="15" w:type="dxa"/>
        <w:right w:w="115" w:type="dxa"/>
      </w:tblCellMar>
    </w:tblPr>
  </w:style>
  <w:style w:type="paragraph" w:styleId="Listaconvietas3">
    <w:name w:val="List Bullet 3"/>
    <w:basedOn w:val="Normal"/>
    <w:uiPriority w:val="99"/>
    <w:unhideWhenUsed/>
    <w:rsid w:val="003B36ED"/>
    <w:pPr>
      <w:numPr>
        <w:numId w:val="12"/>
      </w:numPr>
      <w:spacing w:after="0" w:line="240" w:lineRule="auto"/>
      <w:contextualSpacing/>
    </w:pPr>
    <w:rPr>
      <w:rFonts w:ascii="Times New Roman" w:hAnsi="Times New Roman"/>
      <w:sz w:val="24"/>
      <w:szCs w:val="24"/>
    </w:rPr>
  </w:style>
  <w:style w:type="paragraph" w:styleId="Textonotapie">
    <w:name w:val="footnote text"/>
    <w:basedOn w:val="Normal"/>
    <w:link w:val="TextonotapieCar"/>
    <w:uiPriority w:val="99"/>
    <w:semiHidden/>
    <w:unhideWhenUsed/>
    <w:rsid w:val="00DD06C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D06C2"/>
    <w:rPr>
      <w:rFonts w:eastAsia="Times New Roman" w:cs="Times New Roman"/>
      <w:sz w:val="20"/>
      <w:szCs w:val="20"/>
      <w:lang w:eastAsia="en-US"/>
    </w:rPr>
  </w:style>
  <w:style w:type="character" w:styleId="Refdenotaalpie">
    <w:name w:val="footnote reference"/>
    <w:basedOn w:val="Fuentedeprrafopredeter"/>
    <w:uiPriority w:val="99"/>
    <w:semiHidden/>
    <w:unhideWhenUsed/>
    <w:rsid w:val="00DD06C2"/>
    <w:rPr>
      <w:vertAlign w:val="superscript"/>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top w:w="15" w:type="dxa"/>
        <w:left w:w="115" w:type="dxa"/>
        <w:bottom w:w="15" w:type="dxa"/>
        <w:right w:w="115" w:type="dxa"/>
      </w:tblCellMar>
    </w:tblPr>
  </w:style>
  <w:style w:type="table" w:customStyle="1" w:styleId="a4">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portalanterior.ine.mx/archivos2/tutoriales/sistemas/ApoyoInstitucional/SIF/docs/candidatos/folioFiscalFactura.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G6m6/CKZMK7CIz+Gq+k6U60HhQ==">CgMxLjAyCWguMzBqMHpsbDIOaC5uZDUyaXU2MmV4OGoyDmguc2pmaXI4cmo0dGUwMg5oLjloNnBkMml3d3d3cjIOaC5rZWxnczI0MjhvYTYyCGguZ2pkZ3hzMg5oLnh2c3c0NWdpd25lajgAciExV1lnY015a0JfLWI5R0U0SzBNNGw3eWM2NmpIMWpTcFE=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10836</Words>
  <Characters>59603</Characters>
  <Application>Microsoft Office Word</Application>
  <DocSecurity>0</DocSecurity>
  <Lines>496</Lines>
  <Paragraphs>140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70299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dcterms:created xsi:type="dcterms:W3CDTF">2025-11-14T18:26:00Z</dcterms:created>
  <dcterms:modified xsi:type="dcterms:W3CDTF">2025-11-14T18:26:00Z</dcterms:modified>
</cp:coreProperties>
</file>