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00B9E" w14:textId="7A537DAB" w:rsidR="00344ABC" w:rsidRPr="004100F2" w:rsidRDefault="000D2644">
      <w:pPr>
        <w:spacing w:before="240" w:after="240" w:line="360" w:lineRule="auto"/>
        <w:jc w:val="both"/>
        <w:rPr>
          <w:rFonts w:ascii="Palatino Linotype" w:eastAsia="Palatino Linotype" w:hAnsi="Palatino Linotype" w:cs="Palatino Linotype"/>
          <w:sz w:val="22"/>
          <w:szCs w:val="22"/>
        </w:rPr>
      </w:pPr>
      <w:bookmarkStart w:id="0" w:name="_heading=h.1t3h5sf" w:colFirst="0" w:colLast="0"/>
      <w:bookmarkEnd w:id="0"/>
      <w:r w:rsidRPr="004100F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w:t>
      </w:r>
      <w:r w:rsidR="00611664" w:rsidRPr="004100F2">
        <w:rPr>
          <w:rFonts w:ascii="Palatino Linotype" w:eastAsia="Palatino Linotype" w:hAnsi="Palatino Linotype" w:cs="Palatino Linotype"/>
          <w:sz w:val="22"/>
          <w:szCs w:val="22"/>
        </w:rPr>
        <w:t>tres de diciembre</w:t>
      </w:r>
      <w:r w:rsidR="00C51BE3" w:rsidRPr="004100F2">
        <w:rPr>
          <w:rFonts w:ascii="Palatino Linotype" w:eastAsia="Palatino Linotype" w:hAnsi="Palatino Linotype" w:cs="Palatino Linotype"/>
          <w:sz w:val="22"/>
          <w:szCs w:val="22"/>
        </w:rPr>
        <w:t xml:space="preserve"> </w:t>
      </w:r>
      <w:r w:rsidR="00A603DA" w:rsidRPr="004100F2">
        <w:rPr>
          <w:rFonts w:ascii="Palatino Linotype" w:eastAsia="Palatino Linotype" w:hAnsi="Palatino Linotype" w:cs="Palatino Linotype"/>
          <w:sz w:val="22"/>
          <w:szCs w:val="22"/>
        </w:rPr>
        <w:t>de dos mil veintic</w:t>
      </w:r>
      <w:r w:rsidR="00C51BE3" w:rsidRPr="004100F2">
        <w:rPr>
          <w:rFonts w:ascii="Palatino Linotype" w:eastAsia="Palatino Linotype" w:hAnsi="Palatino Linotype" w:cs="Palatino Linotype"/>
          <w:sz w:val="22"/>
          <w:szCs w:val="22"/>
        </w:rPr>
        <w:t>inco.</w:t>
      </w:r>
    </w:p>
    <w:p w14:paraId="588AB1C5" w14:textId="72DEBE22" w:rsidR="00344ABC" w:rsidRPr="004100F2" w:rsidRDefault="000D2644">
      <w:pPr>
        <w:spacing w:before="240" w:after="240" w:line="360" w:lineRule="auto"/>
        <w:jc w:val="both"/>
        <w:rPr>
          <w:rFonts w:ascii="Palatino Linotype" w:eastAsia="Palatino Linotype" w:hAnsi="Palatino Linotype" w:cs="Palatino Linotype"/>
          <w:sz w:val="22"/>
          <w:szCs w:val="22"/>
        </w:rPr>
      </w:pPr>
      <w:bookmarkStart w:id="1" w:name="_heading=h.30j0zll" w:colFirst="0" w:colLast="0"/>
      <w:bookmarkEnd w:id="1"/>
      <w:r w:rsidRPr="004100F2">
        <w:rPr>
          <w:rFonts w:ascii="Palatino Linotype" w:eastAsia="Palatino Linotype" w:hAnsi="Palatino Linotype" w:cs="Palatino Linotype"/>
          <w:b/>
          <w:sz w:val="22"/>
          <w:szCs w:val="22"/>
        </w:rPr>
        <w:t xml:space="preserve">Vistos </w:t>
      </w:r>
      <w:r w:rsidRPr="004100F2">
        <w:rPr>
          <w:rFonts w:ascii="Palatino Linotype" w:eastAsia="Palatino Linotype" w:hAnsi="Palatino Linotype" w:cs="Palatino Linotype"/>
          <w:sz w:val="22"/>
          <w:szCs w:val="22"/>
        </w:rPr>
        <w:t xml:space="preserve">los expedientes relativos a los recursos de revisión </w:t>
      </w:r>
      <w:r w:rsidR="00313479" w:rsidRPr="004100F2">
        <w:rPr>
          <w:rFonts w:ascii="Palatino Linotype" w:eastAsia="Palatino Linotype" w:hAnsi="Palatino Linotype" w:cs="Palatino Linotype"/>
          <w:b/>
          <w:sz w:val="22"/>
          <w:szCs w:val="22"/>
        </w:rPr>
        <w:t>12</w:t>
      </w:r>
      <w:r w:rsidR="00611664" w:rsidRPr="004100F2">
        <w:rPr>
          <w:rFonts w:ascii="Palatino Linotype" w:eastAsia="Palatino Linotype" w:hAnsi="Palatino Linotype" w:cs="Palatino Linotype"/>
          <w:b/>
          <w:sz w:val="22"/>
          <w:szCs w:val="22"/>
        </w:rPr>
        <w:t>779/INFOEM/IP/RR/2025, 12801</w:t>
      </w:r>
      <w:r w:rsidR="00313479" w:rsidRPr="004100F2">
        <w:rPr>
          <w:rFonts w:ascii="Palatino Linotype" w:eastAsia="Palatino Linotype" w:hAnsi="Palatino Linotype" w:cs="Palatino Linotype"/>
          <w:b/>
          <w:sz w:val="22"/>
          <w:szCs w:val="22"/>
        </w:rPr>
        <w:t>/INFOEM/IP/RR/2025, 12</w:t>
      </w:r>
      <w:r w:rsidR="00611664" w:rsidRPr="004100F2">
        <w:rPr>
          <w:rFonts w:ascii="Palatino Linotype" w:eastAsia="Palatino Linotype" w:hAnsi="Palatino Linotype" w:cs="Palatino Linotype"/>
          <w:b/>
          <w:sz w:val="22"/>
          <w:szCs w:val="22"/>
        </w:rPr>
        <w:t>818</w:t>
      </w:r>
      <w:r w:rsidR="00313479" w:rsidRPr="004100F2">
        <w:rPr>
          <w:rFonts w:ascii="Palatino Linotype" w:eastAsia="Palatino Linotype" w:hAnsi="Palatino Linotype" w:cs="Palatino Linotype"/>
          <w:b/>
          <w:sz w:val="22"/>
          <w:szCs w:val="22"/>
        </w:rPr>
        <w:t>/INFOEM/IP/RR/2025, 12</w:t>
      </w:r>
      <w:r w:rsidR="00611664" w:rsidRPr="004100F2">
        <w:rPr>
          <w:rFonts w:ascii="Palatino Linotype" w:eastAsia="Palatino Linotype" w:hAnsi="Palatino Linotype" w:cs="Palatino Linotype"/>
          <w:b/>
          <w:sz w:val="22"/>
          <w:szCs w:val="22"/>
        </w:rPr>
        <w:t>838</w:t>
      </w:r>
      <w:r w:rsidR="00313479" w:rsidRPr="004100F2">
        <w:rPr>
          <w:rFonts w:ascii="Palatino Linotype" w:eastAsia="Palatino Linotype" w:hAnsi="Palatino Linotype" w:cs="Palatino Linotype"/>
          <w:b/>
          <w:sz w:val="22"/>
          <w:szCs w:val="22"/>
        </w:rPr>
        <w:t>/INFOEM/IP/RR/2025, 12</w:t>
      </w:r>
      <w:r w:rsidR="00611664" w:rsidRPr="004100F2">
        <w:rPr>
          <w:rFonts w:ascii="Palatino Linotype" w:eastAsia="Palatino Linotype" w:hAnsi="Palatino Linotype" w:cs="Palatino Linotype"/>
          <w:b/>
          <w:sz w:val="22"/>
          <w:szCs w:val="22"/>
        </w:rPr>
        <w:t>839</w:t>
      </w:r>
      <w:r w:rsidR="00313479" w:rsidRPr="004100F2">
        <w:rPr>
          <w:rFonts w:ascii="Palatino Linotype" w:eastAsia="Palatino Linotype" w:hAnsi="Palatino Linotype" w:cs="Palatino Linotype"/>
          <w:b/>
          <w:sz w:val="22"/>
          <w:szCs w:val="22"/>
        </w:rPr>
        <w:t xml:space="preserve">/INFOEM/IP/RR/2025 </w:t>
      </w:r>
      <w:r w:rsidR="00313479" w:rsidRPr="004100F2">
        <w:rPr>
          <w:rFonts w:ascii="Palatino Linotype" w:eastAsia="Palatino Linotype" w:hAnsi="Palatino Linotype" w:cs="Palatino Linotype"/>
          <w:bCs/>
          <w:sz w:val="22"/>
          <w:szCs w:val="22"/>
        </w:rPr>
        <w:t>y</w:t>
      </w:r>
      <w:r w:rsidR="00313479" w:rsidRPr="004100F2">
        <w:rPr>
          <w:rFonts w:ascii="Palatino Linotype" w:eastAsia="Palatino Linotype" w:hAnsi="Palatino Linotype" w:cs="Palatino Linotype"/>
          <w:b/>
          <w:sz w:val="22"/>
          <w:szCs w:val="22"/>
        </w:rPr>
        <w:t xml:space="preserve"> 12</w:t>
      </w:r>
      <w:r w:rsidR="00611664" w:rsidRPr="004100F2">
        <w:rPr>
          <w:rFonts w:ascii="Palatino Linotype" w:eastAsia="Palatino Linotype" w:hAnsi="Palatino Linotype" w:cs="Palatino Linotype"/>
          <w:b/>
          <w:sz w:val="22"/>
          <w:szCs w:val="22"/>
        </w:rPr>
        <w:t>840</w:t>
      </w:r>
      <w:r w:rsidR="00313479" w:rsidRPr="004100F2">
        <w:rPr>
          <w:rFonts w:ascii="Palatino Linotype" w:eastAsia="Palatino Linotype" w:hAnsi="Palatino Linotype" w:cs="Palatino Linotype"/>
          <w:b/>
          <w:sz w:val="22"/>
          <w:szCs w:val="22"/>
        </w:rPr>
        <w:t>/INFOEM/IP/RR/2025</w:t>
      </w:r>
      <w:r w:rsidRPr="004100F2">
        <w:rPr>
          <w:rFonts w:ascii="Palatino Linotype" w:eastAsia="Palatino Linotype" w:hAnsi="Palatino Linotype" w:cs="Palatino Linotype"/>
          <w:b/>
          <w:sz w:val="22"/>
          <w:szCs w:val="22"/>
        </w:rPr>
        <w:t>, acumulados</w:t>
      </w:r>
      <w:r w:rsidRPr="004100F2">
        <w:rPr>
          <w:rFonts w:ascii="Palatino Linotype" w:eastAsia="Palatino Linotype" w:hAnsi="Palatino Linotype" w:cs="Palatino Linotype"/>
          <w:sz w:val="22"/>
          <w:szCs w:val="22"/>
        </w:rPr>
        <w:t xml:space="preserve">, interpuestos por </w:t>
      </w:r>
      <w:r w:rsidR="00110D47" w:rsidRPr="00110D47">
        <w:rPr>
          <w:rFonts w:ascii="Palatino Linotype" w:eastAsia="Palatino Linotype" w:hAnsi="Palatino Linotype" w:cs="Palatino Linotype"/>
          <w:b/>
          <w:sz w:val="22"/>
          <w:szCs w:val="22"/>
        </w:rPr>
        <w:t>XXXXXX XXXXXXX XXXXXXXXX</w:t>
      </w:r>
      <w:r w:rsidR="00516D23" w:rsidRPr="00110D47">
        <w:rPr>
          <w:rFonts w:ascii="Palatino Linotype" w:eastAsia="Palatino Linotype" w:hAnsi="Palatino Linotype" w:cs="Palatino Linotype"/>
          <w:b/>
          <w:sz w:val="22"/>
          <w:szCs w:val="22"/>
        </w:rPr>
        <w:t>,</w:t>
      </w:r>
      <w:bookmarkStart w:id="2" w:name="_GoBack"/>
      <w:bookmarkEnd w:id="2"/>
      <w:r w:rsidRPr="004100F2">
        <w:rPr>
          <w:rFonts w:ascii="Palatino Linotype" w:eastAsia="Palatino Linotype" w:hAnsi="Palatino Linotype" w:cs="Palatino Linotype"/>
          <w:sz w:val="22"/>
          <w:szCs w:val="22"/>
        </w:rPr>
        <w:t xml:space="preserve"> en lo sucesivo la parte </w:t>
      </w:r>
      <w:r w:rsidRPr="004100F2">
        <w:rPr>
          <w:rFonts w:ascii="Palatino Linotype" w:eastAsia="Palatino Linotype" w:hAnsi="Palatino Linotype" w:cs="Palatino Linotype"/>
          <w:b/>
          <w:sz w:val="22"/>
          <w:szCs w:val="22"/>
        </w:rPr>
        <w:t>Recurrente</w:t>
      </w:r>
      <w:r w:rsidRPr="004100F2">
        <w:rPr>
          <w:rFonts w:ascii="Palatino Linotype" w:eastAsia="Palatino Linotype" w:hAnsi="Palatino Linotype" w:cs="Palatino Linotype"/>
          <w:sz w:val="22"/>
          <w:szCs w:val="22"/>
        </w:rPr>
        <w:t>, en contra de la falta de respuesta sus solicitudes de información con número</w:t>
      </w:r>
      <w:r w:rsidR="00313479" w:rsidRPr="004100F2">
        <w:rPr>
          <w:rFonts w:ascii="Palatino Linotype" w:eastAsia="Palatino Linotype" w:hAnsi="Palatino Linotype" w:cs="Palatino Linotype"/>
          <w:sz w:val="22"/>
          <w:szCs w:val="22"/>
        </w:rPr>
        <w:t>s</w:t>
      </w:r>
      <w:r w:rsidRPr="004100F2">
        <w:rPr>
          <w:rFonts w:ascii="Palatino Linotype" w:eastAsia="Palatino Linotype" w:hAnsi="Palatino Linotype" w:cs="Palatino Linotype"/>
          <w:sz w:val="22"/>
          <w:szCs w:val="22"/>
        </w:rPr>
        <w:t xml:space="preserve"> de folio </w:t>
      </w:r>
      <w:r w:rsidR="00611664" w:rsidRPr="004100F2">
        <w:rPr>
          <w:rFonts w:ascii="Palatino Linotype" w:eastAsia="Palatino Linotype" w:hAnsi="Palatino Linotype" w:cs="Palatino Linotype"/>
          <w:b/>
          <w:sz w:val="22"/>
          <w:szCs w:val="22"/>
        </w:rPr>
        <w:t>00617/TEPOTZOT/IP/2025</w:t>
      </w:r>
      <w:r w:rsidRPr="004100F2">
        <w:rPr>
          <w:rFonts w:ascii="Palatino Linotype" w:eastAsia="Palatino Linotype" w:hAnsi="Palatino Linotype" w:cs="Palatino Linotype"/>
          <w:b/>
          <w:sz w:val="22"/>
          <w:szCs w:val="22"/>
        </w:rPr>
        <w:t>,</w:t>
      </w:r>
      <w:r w:rsidR="00313479" w:rsidRPr="004100F2">
        <w:rPr>
          <w:rFonts w:ascii="Palatino Linotype" w:eastAsia="Palatino Linotype" w:hAnsi="Palatino Linotype" w:cs="Palatino Linotype"/>
          <w:b/>
          <w:sz w:val="22"/>
          <w:szCs w:val="22"/>
        </w:rPr>
        <w:t xml:space="preserve"> </w:t>
      </w:r>
      <w:r w:rsidR="00611664" w:rsidRPr="004100F2">
        <w:rPr>
          <w:rFonts w:ascii="Palatino Linotype" w:eastAsia="Palatino Linotype" w:hAnsi="Palatino Linotype" w:cs="Palatino Linotype"/>
          <w:b/>
          <w:sz w:val="22"/>
          <w:szCs w:val="22"/>
        </w:rPr>
        <w:t>00618/TEPOTZOT/IP/2025</w:t>
      </w:r>
      <w:r w:rsidRPr="004100F2">
        <w:rPr>
          <w:rFonts w:ascii="Palatino Linotype" w:eastAsia="Palatino Linotype" w:hAnsi="Palatino Linotype" w:cs="Palatino Linotype"/>
          <w:b/>
          <w:sz w:val="22"/>
          <w:szCs w:val="22"/>
        </w:rPr>
        <w:t xml:space="preserve">, </w:t>
      </w:r>
      <w:r w:rsidR="00611664" w:rsidRPr="004100F2">
        <w:rPr>
          <w:rFonts w:ascii="Palatino Linotype" w:eastAsia="Palatino Linotype" w:hAnsi="Palatino Linotype" w:cs="Palatino Linotype"/>
          <w:b/>
          <w:sz w:val="22"/>
          <w:szCs w:val="22"/>
        </w:rPr>
        <w:t>00619/TEPOTZOT/IP/2025</w:t>
      </w:r>
      <w:r w:rsidR="00313479" w:rsidRPr="004100F2">
        <w:rPr>
          <w:rFonts w:ascii="Palatino Linotype" w:eastAsia="Palatino Linotype" w:hAnsi="Palatino Linotype" w:cs="Palatino Linotype"/>
          <w:b/>
          <w:sz w:val="22"/>
          <w:szCs w:val="22"/>
        </w:rPr>
        <w:t xml:space="preserve">, </w:t>
      </w:r>
      <w:r w:rsidR="00611664" w:rsidRPr="004100F2">
        <w:rPr>
          <w:rFonts w:ascii="Palatino Linotype" w:eastAsia="Palatino Linotype" w:hAnsi="Palatino Linotype" w:cs="Palatino Linotype"/>
          <w:b/>
          <w:sz w:val="22"/>
          <w:szCs w:val="22"/>
        </w:rPr>
        <w:t>00620/TEPOTZOT/IP/2025, 00621/TEPOTZOT/IP/2025</w:t>
      </w:r>
      <w:r w:rsidR="0099504E" w:rsidRPr="004100F2">
        <w:rPr>
          <w:rFonts w:ascii="Palatino Linotype" w:eastAsia="Palatino Linotype" w:hAnsi="Palatino Linotype" w:cs="Palatino Linotype"/>
          <w:b/>
          <w:sz w:val="22"/>
          <w:szCs w:val="22"/>
        </w:rPr>
        <w:t xml:space="preserve"> </w:t>
      </w:r>
      <w:r w:rsidRPr="004100F2">
        <w:rPr>
          <w:rFonts w:ascii="Palatino Linotype" w:eastAsia="Palatino Linotype" w:hAnsi="Palatino Linotype" w:cs="Palatino Linotype"/>
          <w:sz w:val="22"/>
          <w:szCs w:val="22"/>
        </w:rPr>
        <w:t xml:space="preserve">y </w:t>
      </w:r>
      <w:r w:rsidR="00611664" w:rsidRPr="004100F2">
        <w:rPr>
          <w:rFonts w:ascii="Palatino Linotype" w:eastAsia="Palatino Linotype" w:hAnsi="Palatino Linotype" w:cs="Palatino Linotype"/>
          <w:b/>
          <w:sz w:val="22"/>
          <w:szCs w:val="22"/>
        </w:rPr>
        <w:t>00622/TEPOTZOT/IP/2025</w:t>
      </w:r>
      <w:r w:rsidRPr="004100F2">
        <w:rPr>
          <w:rFonts w:ascii="Palatino Linotype" w:eastAsia="Palatino Linotype" w:hAnsi="Palatino Linotype" w:cs="Palatino Linotype"/>
          <w:b/>
          <w:sz w:val="22"/>
          <w:szCs w:val="22"/>
        </w:rPr>
        <w:t xml:space="preserve">, </w:t>
      </w:r>
      <w:r w:rsidRPr="004100F2">
        <w:rPr>
          <w:rFonts w:ascii="Palatino Linotype" w:eastAsia="Palatino Linotype" w:hAnsi="Palatino Linotype" w:cs="Palatino Linotype"/>
          <w:sz w:val="22"/>
          <w:szCs w:val="22"/>
        </w:rPr>
        <w:t>por parte de</w:t>
      </w:r>
      <w:r w:rsidR="00313479" w:rsidRPr="004100F2">
        <w:rPr>
          <w:rFonts w:ascii="Palatino Linotype" w:eastAsia="Palatino Linotype" w:hAnsi="Palatino Linotype" w:cs="Palatino Linotype"/>
          <w:sz w:val="22"/>
          <w:szCs w:val="22"/>
        </w:rPr>
        <w:t xml:space="preserve">l </w:t>
      </w:r>
      <w:r w:rsidR="00313479" w:rsidRPr="004100F2">
        <w:rPr>
          <w:rFonts w:ascii="Palatino Linotype" w:eastAsia="Palatino Linotype" w:hAnsi="Palatino Linotype" w:cs="Palatino Linotype"/>
          <w:b/>
          <w:bCs/>
          <w:sz w:val="22"/>
          <w:szCs w:val="22"/>
        </w:rPr>
        <w:t>Ayuntamiento de Tepotzotlán</w:t>
      </w:r>
      <w:r w:rsidR="00313479" w:rsidRPr="004100F2">
        <w:rPr>
          <w:rFonts w:ascii="Palatino Linotype" w:eastAsia="Palatino Linotype" w:hAnsi="Palatino Linotype" w:cs="Palatino Linotype"/>
          <w:sz w:val="22"/>
          <w:szCs w:val="22"/>
        </w:rPr>
        <w:t>,</w:t>
      </w:r>
      <w:r w:rsidRPr="004100F2">
        <w:rPr>
          <w:rFonts w:ascii="Palatino Linotype" w:eastAsia="Palatino Linotype" w:hAnsi="Palatino Linotype" w:cs="Palatino Linotype"/>
          <w:sz w:val="22"/>
          <w:szCs w:val="22"/>
        </w:rPr>
        <w:t xml:space="preserve"> en lo sucesivo el </w:t>
      </w:r>
      <w:r w:rsidRPr="004100F2">
        <w:rPr>
          <w:rFonts w:ascii="Palatino Linotype" w:eastAsia="Palatino Linotype" w:hAnsi="Palatino Linotype" w:cs="Palatino Linotype"/>
          <w:b/>
          <w:sz w:val="22"/>
          <w:szCs w:val="22"/>
        </w:rPr>
        <w:t xml:space="preserve">Sujeto Obligado; </w:t>
      </w:r>
      <w:r w:rsidRPr="004100F2">
        <w:rPr>
          <w:rFonts w:ascii="Palatino Linotype" w:eastAsia="Palatino Linotype" w:hAnsi="Palatino Linotype" w:cs="Palatino Linotype"/>
          <w:sz w:val="22"/>
          <w:szCs w:val="22"/>
        </w:rPr>
        <w:t xml:space="preserve">se procede a dictar la presente resolución, con base en lo siguiente. </w:t>
      </w:r>
    </w:p>
    <w:p w14:paraId="5BD2B8B1" w14:textId="77777777" w:rsidR="00344ABC" w:rsidRPr="004100F2" w:rsidRDefault="000D2644">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4100F2">
        <w:rPr>
          <w:rFonts w:ascii="Palatino Linotype" w:eastAsia="Palatino Linotype" w:hAnsi="Palatino Linotype" w:cs="Palatino Linotype"/>
          <w:b/>
          <w:sz w:val="22"/>
          <w:szCs w:val="22"/>
        </w:rPr>
        <w:t>I. A N T E C E D E N T E S:</w:t>
      </w:r>
    </w:p>
    <w:p w14:paraId="3E044E3E" w14:textId="64D66DEF" w:rsidR="00344ABC" w:rsidRPr="004100F2" w:rsidRDefault="000D2644">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4100F2">
        <w:rPr>
          <w:rFonts w:ascii="Palatino Linotype" w:eastAsia="Palatino Linotype" w:hAnsi="Palatino Linotype" w:cs="Palatino Linotype"/>
          <w:b/>
          <w:sz w:val="22"/>
          <w:szCs w:val="22"/>
        </w:rPr>
        <w:t>1. Solicitudes de acceso a la información.</w:t>
      </w:r>
      <w:r w:rsidRPr="004100F2">
        <w:rPr>
          <w:rFonts w:ascii="Palatino Linotype" w:eastAsia="Palatino Linotype" w:hAnsi="Palatino Linotype" w:cs="Palatino Linotype"/>
          <w:sz w:val="22"/>
          <w:szCs w:val="22"/>
        </w:rPr>
        <w:t xml:space="preserve"> </w:t>
      </w:r>
      <w:r w:rsidR="00313479" w:rsidRPr="004100F2">
        <w:rPr>
          <w:rFonts w:ascii="Palatino Linotype" w:eastAsia="Palatino Linotype" w:hAnsi="Palatino Linotype" w:cs="Palatino Linotype"/>
          <w:sz w:val="22"/>
          <w:szCs w:val="22"/>
        </w:rPr>
        <w:t xml:space="preserve">El </w:t>
      </w:r>
      <w:r w:rsidR="00611664" w:rsidRPr="004100F2">
        <w:rPr>
          <w:rFonts w:ascii="Palatino Linotype" w:eastAsia="Palatino Linotype" w:hAnsi="Palatino Linotype" w:cs="Palatino Linotype"/>
          <w:b/>
          <w:bCs/>
          <w:sz w:val="22"/>
          <w:szCs w:val="22"/>
        </w:rPr>
        <w:t>ocho de octubre</w:t>
      </w:r>
      <w:r w:rsidR="00313479" w:rsidRPr="004100F2">
        <w:rPr>
          <w:rFonts w:ascii="Palatino Linotype" w:eastAsia="Palatino Linotype" w:hAnsi="Palatino Linotype" w:cs="Palatino Linotype"/>
          <w:b/>
          <w:bCs/>
          <w:sz w:val="22"/>
          <w:szCs w:val="22"/>
        </w:rPr>
        <w:t xml:space="preserve"> de dos mil veinticinco</w:t>
      </w:r>
      <w:r w:rsidRPr="004100F2">
        <w:rPr>
          <w:rFonts w:ascii="Palatino Linotype" w:eastAsia="Palatino Linotype" w:hAnsi="Palatino Linotype" w:cs="Palatino Linotype"/>
          <w:b/>
          <w:sz w:val="22"/>
          <w:szCs w:val="22"/>
        </w:rPr>
        <w:t xml:space="preserve">, </w:t>
      </w:r>
      <w:r w:rsidRPr="004100F2">
        <w:rPr>
          <w:rFonts w:ascii="Palatino Linotype" w:eastAsia="Palatino Linotype" w:hAnsi="Palatino Linotype" w:cs="Palatino Linotype"/>
          <w:sz w:val="22"/>
          <w:szCs w:val="22"/>
        </w:rPr>
        <w:t>la p</w:t>
      </w:r>
      <w:r w:rsidR="00313479" w:rsidRPr="004100F2">
        <w:rPr>
          <w:rFonts w:ascii="Palatino Linotype" w:eastAsia="Palatino Linotype" w:hAnsi="Palatino Linotype" w:cs="Palatino Linotype"/>
          <w:sz w:val="22"/>
          <w:szCs w:val="22"/>
        </w:rPr>
        <w:t xml:space="preserve">arte </w:t>
      </w:r>
      <w:r w:rsidR="00313479" w:rsidRPr="004100F2">
        <w:rPr>
          <w:rFonts w:ascii="Palatino Linotype" w:eastAsia="Palatino Linotype" w:hAnsi="Palatino Linotype" w:cs="Palatino Linotype"/>
          <w:b/>
          <w:bCs/>
          <w:sz w:val="22"/>
          <w:szCs w:val="22"/>
        </w:rPr>
        <w:t xml:space="preserve">Recurrente </w:t>
      </w:r>
      <w:r w:rsidRPr="004100F2">
        <w:rPr>
          <w:rFonts w:ascii="Palatino Linotype" w:eastAsia="Palatino Linotype" w:hAnsi="Palatino Linotype" w:cs="Palatino Linotype"/>
          <w:sz w:val="22"/>
          <w:szCs w:val="22"/>
        </w:rPr>
        <w:t xml:space="preserve">presentó, través del Sistema de Acceso a la Información Mexiquense, en lo subsecuente el </w:t>
      </w:r>
      <w:r w:rsidRPr="004100F2">
        <w:rPr>
          <w:rFonts w:ascii="Palatino Linotype" w:eastAsia="Palatino Linotype" w:hAnsi="Palatino Linotype" w:cs="Palatino Linotype"/>
          <w:b/>
          <w:sz w:val="22"/>
          <w:szCs w:val="22"/>
        </w:rPr>
        <w:t xml:space="preserve">SAIMEX, </w:t>
      </w:r>
      <w:r w:rsidRPr="004100F2">
        <w:rPr>
          <w:rFonts w:ascii="Palatino Linotype" w:eastAsia="Palatino Linotype" w:hAnsi="Palatino Linotype" w:cs="Palatino Linotype"/>
          <w:sz w:val="22"/>
          <w:szCs w:val="22"/>
        </w:rPr>
        <w:t xml:space="preserve">ante el </w:t>
      </w:r>
      <w:r w:rsidRPr="004100F2">
        <w:rPr>
          <w:rFonts w:ascii="Palatino Linotype" w:eastAsia="Palatino Linotype" w:hAnsi="Palatino Linotype" w:cs="Palatino Linotype"/>
          <w:b/>
          <w:sz w:val="22"/>
          <w:szCs w:val="22"/>
        </w:rPr>
        <w:t>Sujeto Obligado</w:t>
      </w:r>
      <w:r w:rsidRPr="004100F2">
        <w:rPr>
          <w:rFonts w:ascii="Palatino Linotype" w:eastAsia="Palatino Linotype" w:hAnsi="Palatino Linotype" w:cs="Palatino Linotype"/>
          <w:sz w:val="22"/>
          <w:szCs w:val="22"/>
        </w:rPr>
        <w:t>, las solicitudes de acceso a la información pública, mediante las cuales requirió la información siguiente:</w:t>
      </w:r>
    </w:p>
    <w:tbl>
      <w:tblPr>
        <w:tblStyle w:val="afb"/>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7A0C4B" w:rsidRPr="004100F2" w14:paraId="0E34CDF2" w14:textId="77777777">
        <w:trPr>
          <w:jc w:val="center"/>
        </w:trPr>
        <w:tc>
          <w:tcPr>
            <w:tcW w:w="2972" w:type="dxa"/>
            <w:shd w:val="clear" w:color="auto" w:fill="A6A6A6"/>
          </w:tcPr>
          <w:p w14:paraId="4E973AE2" w14:textId="77777777" w:rsidR="00344ABC" w:rsidRPr="004100F2" w:rsidRDefault="000D2644">
            <w:pPr>
              <w:jc w:val="center"/>
              <w:rPr>
                <w:rFonts w:ascii="Palatino Linotype" w:eastAsia="Palatino Linotype" w:hAnsi="Palatino Linotype" w:cs="Palatino Linotype"/>
                <w:b/>
                <w:sz w:val="20"/>
                <w:szCs w:val="20"/>
              </w:rPr>
            </w:pPr>
            <w:r w:rsidRPr="004100F2">
              <w:rPr>
                <w:rFonts w:ascii="Palatino Linotype" w:eastAsia="Palatino Linotype" w:hAnsi="Palatino Linotype" w:cs="Palatino Linotype"/>
                <w:b/>
                <w:sz w:val="20"/>
                <w:szCs w:val="20"/>
              </w:rPr>
              <w:t>Número de solicitud</w:t>
            </w:r>
          </w:p>
        </w:tc>
        <w:tc>
          <w:tcPr>
            <w:tcW w:w="5856" w:type="dxa"/>
            <w:shd w:val="clear" w:color="auto" w:fill="A6A6A6"/>
          </w:tcPr>
          <w:p w14:paraId="1ABAE01F" w14:textId="77777777" w:rsidR="00344ABC" w:rsidRPr="004100F2" w:rsidRDefault="000D2644">
            <w:pPr>
              <w:jc w:val="center"/>
              <w:rPr>
                <w:rFonts w:ascii="Palatino Linotype" w:eastAsia="Palatino Linotype" w:hAnsi="Palatino Linotype" w:cs="Palatino Linotype"/>
                <w:b/>
                <w:sz w:val="20"/>
                <w:szCs w:val="20"/>
              </w:rPr>
            </w:pPr>
            <w:r w:rsidRPr="004100F2">
              <w:rPr>
                <w:rFonts w:ascii="Palatino Linotype" w:eastAsia="Palatino Linotype" w:hAnsi="Palatino Linotype" w:cs="Palatino Linotype"/>
                <w:b/>
                <w:sz w:val="20"/>
                <w:szCs w:val="20"/>
              </w:rPr>
              <w:t>Información solicitada</w:t>
            </w:r>
          </w:p>
        </w:tc>
      </w:tr>
      <w:tr w:rsidR="007A0C4B" w:rsidRPr="004100F2" w14:paraId="12AC28AD" w14:textId="77777777">
        <w:trPr>
          <w:jc w:val="center"/>
        </w:trPr>
        <w:tc>
          <w:tcPr>
            <w:tcW w:w="2972" w:type="dxa"/>
            <w:vAlign w:val="center"/>
          </w:tcPr>
          <w:p w14:paraId="0B499495" w14:textId="77777777" w:rsidR="00611664" w:rsidRPr="004100F2" w:rsidRDefault="00611664" w:rsidP="00313479">
            <w:pPr>
              <w:spacing w:before="120" w:after="120"/>
              <w:jc w:val="center"/>
              <w:rPr>
                <w:rFonts w:ascii="Palatino Linotype" w:eastAsia="Palatino Linotype" w:hAnsi="Palatino Linotype" w:cs="Palatino Linotype"/>
                <w:b/>
                <w:sz w:val="20"/>
                <w:szCs w:val="20"/>
                <w:lang w:val="en-US"/>
              </w:rPr>
            </w:pPr>
            <w:r w:rsidRPr="004100F2">
              <w:rPr>
                <w:rFonts w:ascii="Palatino Linotype" w:eastAsia="Palatino Linotype" w:hAnsi="Palatino Linotype" w:cs="Palatino Linotype"/>
                <w:b/>
                <w:sz w:val="20"/>
                <w:szCs w:val="20"/>
                <w:lang w:val="en-US"/>
              </w:rPr>
              <w:t>00617/TEPOTZOT/IP/2025</w:t>
            </w:r>
          </w:p>
          <w:p w14:paraId="1ACD77BC" w14:textId="703391E2" w:rsidR="00313479" w:rsidRPr="004100F2" w:rsidRDefault="00313479" w:rsidP="00611664">
            <w:pPr>
              <w:spacing w:before="120" w:after="120"/>
              <w:jc w:val="center"/>
              <w:rPr>
                <w:rFonts w:ascii="Palatino Linotype" w:eastAsia="Palatino Linotype" w:hAnsi="Palatino Linotype" w:cs="Palatino Linotype"/>
                <w:b/>
                <w:i/>
                <w:sz w:val="20"/>
                <w:szCs w:val="20"/>
                <w:lang w:val="en-US"/>
              </w:rPr>
            </w:pPr>
            <w:r w:rsidRPr="004100F2">
              <w:rPr>
                <w:rFonts w:ascii="Palatino Linotype" w:eastAsia="Palatino Linotype" w:hAnsi="Palatino Linotype" w:cs="Palatino Linotype"/>
                <w:b/>
                <w:sz w:val="20"/>
                <w:szCs w:val="20"/>
                <w:lang w:val="en-US"/>
              </w:rPr>
              <w:t>12</w:t>
            </w:r>
            <w:r w:rsidR="00611664" w:rsidRPr="004100F2">
              <w:rPr>
                <w:rFonts w:ascii="Palatino Linotype" w:eastAsia="Palatino Linotype" w:hAnsi="Palatino Linotype" w:cs="Palatino Linotype"/>
                <w:b/>
                <w:sz w:val="20"/>
                <w:szCs w:val="20"/>
                <w:lang w:val="en-US"/>
              </w:rPr>
              <w:t>779</w:t>
            </w:r>
            <w:r w:rsidRPr="004100F2">
              <w:rPr>
                <w:rFonts w:ascii="Palatino Linotype" w:eastAsia="Palatino Linotype" w:hAnsi="Palatino Linotype" w:cs="Palatino Linotype"/>
                <w:b/>
                <w:sz w:val="20"/>
                <w:szCs w:val="20"/>
                <w:lang w:val="en-US"/>
              </w:rPr>
              <w:t>/INFOEM/IP/RR/2025</w:t>
            </w:r>
          </w:p>
        </w:tc>
        <w:tc>
          <w:tcPr>
            <w:tcW w:w="5856" w:type="dxa"/>
            <w:vAlign w:val="center"/>
          </w:tcPr>
          <w:p w14:paraId="57773153" w14:textId="0349E3DC" w:rsidR="00344ABC" w:rsidRPr="004100F2" w:rsidRDefault="000D2644" w:rsidP="00611664">
            <w:pPr>
              <w:spacing w:before="120" w:after="120"/>
              <w:jc w:val="center"/>
              <w:rPr>
                <w:rFonts w:ascii="Palatino Linotype" w:eastAsia="Palatino Linotype" w:hAnsi="Palatino Linotype" w:cs="Palatino Linotype"/>
                <w:i/>
                <w:sz w:val="20"/>
                <w:szCs w:val="20"/>
              </w:rPr>
            </w:pPr>
            <w:r w:rsidRPr="004100F2">
              <w:rPr>
                <w:rFonts w:ascii="Palatino Linotype" w:eastAsia="Palatino Linotype" w:hAnsi="Palatino Linotype" w:cs="Palatino Linotype"/>
                <w:i/>
                <w:sz w:val="20"/>
                <w:szCs w:val="20"/>
              </w:rPr>
              <w:t>“</w:t>
            </w:r>
            <w:r w:rsidR="00611664" w:rsidRPr="004100F2">
              <w:rPr>
                <w:rFonts w:ascii="Palatino Linotype" w:eastAsia="Palatino Linotype" w:hAnsi="Palatino Linotype" w:cs="Palatino Linotype"/>
                <w:i/>
                <w:sz w:val="20"/>
                <w:szCs w:val="20"/>
              </w:rPr>
              <w:t>Solicito la nómina completa del Ayuntamiento de Tepotzotlán del año 2025, especificando nombre completo, cargo del servidor público, área de adscripción, sueldo y puesto</w:t>
            </w:r>
            <w:r w:rsidRPr="004100F2">
              <w:rPr>
                <w:rFonts w:ascii="Palatino Linotype" w:eastAsia="Palatino Linotype" w:hAnsi="Palatino Linotype" w:cs="Palatino Linotype"/>
                <w:i/>
                <w:sz w:val="20"/>
                <w:szCs w:val="20"/>
              </w:rPr>
              <w:t>” (sic)</w:t>
            </w:r>
          </w:p>
        </w:tc>
      </w:tr>
      <w:tr w:rsidR="007A0C4B" w:rsidRPr="004100F2" w14:paraId="671CB104" w14:textId="77777777" w:rsidTr="0099504E">
        <w:trPr>
          <w:jc w:val="center"/>
        </w:trPr>
        <w:tc>
          <w:tcPr>
            <w:tcW w:w="2972" w:type="dxa"/>
            <w:vAlign w:val="center"/>
          </w:tcPr>
          <w:p w14:paraId="307DD83F" w14:textId="3E6BA9D0" w:rsidR="00611664" w:rsidRPr="004100F2" w:rsidRDefault="00611664" w:rsidP="00611664">
            <w:pPr>
              <w:spacing w:before="120" w:after="120"/>
              <w:jc w:val="center"/>
              <w:rPr>
                <w:rFonts w:ascii="Palatino Linotype" w:eastAsia="Palatino Linotype" w:hAnsi="Palatino Linotype" w:cs="Palatino Linotype"/>
                <w:b/>
                <w:sz w:val="20"/>
                <w:szCs w:val="20"/>
                <w:lang w:val="en-US"/>
              </w:rPr>
            </w:pPr>
            <w:r w:rsidRPr="004100F2">
              <w:rPr>
                <w:rFonts w:ascii="Palatino Linotype" w:eastAsia="Palatino Linotype" w:hAnsi="Palatino Linotype" w:cs="Palatino Linotype"/>
                <w:b/>
                <w:sz w:val="20"/>
                <w:szCs w:val="20"/>
                <w:lang w:val="en-US"/>
              </w:rPr>
              <w:t>00618/TEPOTZOT/IP/2025</w:t>
            </w:r>
          </w:p>
          <w:p w14:paraId="5257BE80" w14:textId="02A18B52" w:rsidR="00313479" w:rsidRPr="004100F2" w:rsidRDefault="00611664" w:rsidP="00611664">
            <w:pPr>
              <w:spacing w:before="120" w:after="120"/>
              <w:jc w:val="center"/>
              <w:rPr>
                <w:rFonts w:ascii="Palatino Linotype" w:eastAsia="Palatino Linotype" w:hAnsi="Palatino Linotype" w:cs="Palatino Linotype"/>
                <w:b/>
                <w:i/>
                <w:sz w:val="20"/>
                <w:szCs w:val="20"/>
                <w:lang w:val="en-US"/>
              </w:rPr>
            </w:pPr>
            <w:r w:rsidRPr="004100F2">
              <w:rPr>
                <w:rFonts w:ascii="Palatino Linotype" w:eastAsia="Palatino Linotype" w:hAnsi="Palatino Linotype" w:cs="Palatino Linotype"/>
                <w:b/>
                <w:sz w:val="20"/>
                <w:szCs w:val="20"/>
                <w:lang w:val="en-US"/>
              </w:rPr>
              <w:t>12801/INFOEM/IP/RR/2025</w:t>
            </w:r>
          </w:p>
        </w:tc>
        <w:tc>
          <w:tcPr>
            <w:tcW w:w="5856" w:type="dxa"/>
            <w:vAlign w:val="center"/>
          </w:tcPr>
          <w:p w14:paraId="0B340E7E" w14:textId="38287F7A" w:rsidR="00313479" w:rsidRPr="004100F2" w:rsidRDefault="00313479" w:rsidP="00611664">
            <w:pPr>
              <w:spacing w:before="120" w:after="120"/>
              <w:jc w:val="center"/>
              <w:rPr>
                <w:rFonts w:ascii="Palatino Linotype" w:eastAsia="Palatino Linotype" w:hAnsi="Palatino Linotype" w:cs="Palatino Linotype"/>
                <w:i/>
                <w:sz w:val="20"/>
                <w:szCs w:val="20"/>
              </w:rPr>
            </w:pPr>
            <w:r w:rsidRPr="004100F2">
              <w:rPr>
                <w:rFonts w:ascii="Palatino Linotype" w:eastAsia="Palatino Linotype" w:hAnsi="Palatino Linotype" w:cs="Palatino Linotype"/>
                <w:i/>
                <w:sz w:val="20"/>
                <w:szCs w:val="20"/>
              </w:rPr>
              <w:t>“</w:t>
            </w:r>
            <w:r w:rsidR="00611664" w:rsidRPr="004100F2">
              <w:rPr>
                <w:rFonts w:ascii="Palatino Linotype" w:eastAsia="Palatino Linotype" w:hAnsi="Palatino Linotype" w:cs="Palatino Linotype"/>
                <w:i/>
                <w:sz w:val="20"/>
                <w:szCs w:val="20"/>
              </w:rPr>
              <w:t>Solicito la nomina completa del Ayuntamiento de Tepotzotlán del año 2024, especificando nombre completo, cargo del servidor público, área de adscripción, sueldo y puesto</w:t>
            </w:r>
            <w:r w:rsidRPr="004100F2">
              <w:rPr>
                <w:rFonts w:ascii="Palatino Linotype" w:eastAsia="Palatino Linotype" w:hAnsi="Palatino Linotype" w:cs="Palatino Linotype"/>
                <w:i/>
                <w:sz w:val="20"/>
                <w:szCs w:val="20"/>
              </w:rPr>
              <w:t>” (sic)</w:t>
            </w:r>
          </w:p>
        </w:tc>
      </w:tr>
      <w:tr w:rsidR="007A0C4B" w:rsidRPr="004100F2" w14:paraId="633AB376" w14:textId="77777777" w:rsidTr="0099504E">
        <w:trPr>
          <w:jc w:val="center"/>
        </w:trPr>
        <w:tc>
          <w:tcPr>
            <w:tcW w:w="2972" w:type="dxa"/>
            <w:vAlign w:val="center"/>
          </w:tcPr>
          <w:p w14:paraId="12AB40A8" w14:textId="18CE5B76" w:rsidR="00611664" w:rsidRPr="004100F2" w:rsidRDefault="00611664" w:rsidP="00611664">
            <w:pPr>
              <w:spacing w:before="120" w:after="120"/>
              <w:jc w:val="center"/>
              <w:rPr>
                <w:rFonts w:ascii="Palatino Linotype" w:eastAsia="Palatino Linotype" w:hAnsi="Palatino Linotype" w:cs="Palatino Linotype"/>
                <w:b/>
                <w:sz w:val="20"/>
                <w:szCs w:val="20"/>
                <w:lang w:val="en-US"/>
              </w:rPr>
            </w:pPr>
            <w:r w:rsidRPr="004100F2">
              <w:rPr>
                <w:rFonts w:ascii="Palatino Linotype" w:eastAsia="Palatino Linotype" w:hAnsi="Palatino Linotype" w:cs="Palatino Linotype"/>
                <w:b/>
                <w:sz w:val="20"/>
                <w:szCs w:val="20"/>
                <w:lang w:val="en-US"/>
              </w:rPr>
              <w:lastRenderedPageBreak/>
              <w:t>00619/TEPOTZOT/IP/2025</w:t>
            </w:r>
          </w:p>
          <w:p w14:paraId="52BFDDF7" w14:textId="540004FC" w:rsidR="00313479" w:rsidRPr="004100F2" w:rsidRDefault="00611664" w:rsidP="00611664">
            <w:pPr>
              <w:spacing w:before="120" w:after="120"/>
              <w:jc w:val="center"/>
              <w:rPr>
                <w:rFonts w:ascii="Palatino Linotype" w:eastAsia="Palatino Linotype" w:hAnsi="Palatino Linotype" w:cs="Palatino Linotype"/>
                <w:b/>
                <w:sz w:val="20"/>
                <w:szCs w:val="20"/>
                <w:lang w:val="en-US"/>
              </w:rPr>
            </w:pPr>
            <w:r w:rsidRPr="004100F2">
              <w:rPr>
                <w:rFonts w:ascii="Palatino Linotype" w:eastAsia="Palatino Linotype" w:hAnsi="Palatino Linotype" w:cs="Palatino Linotype"/>
                <w:b/>
                <w:sz w:val="20"/>
                <w:szCs w:val="20"/>
                <w:lang w:val="en-US"/>
              </w:rPr>
              <w:t>12840/INFOEM/IP/RR/2025</w:t>
            </w:r>
          </w:p>
        </w:tc>
        <w:tc>
          <w:tcPr>
            <w:tcW w:w="5856" w:type="dxa"/>
            <w:vAlign w:val="center"/>
          </w:tcPr>
          <w:p w14:paraId="25B31BB5" w14:textId="47491CCF" w:rsidR="00313479" w:rsidRPr="004100F2" w:rsidRDefault="00313479" w:rsidP="00E70143">
            <w:pPr>
              <w:spacing w:before="120" w:after="120"/>
              <w:jc w:val="center"/>
              <w:rPr>
                <w:rFonts w:ascii="Palatino Linotype" w:eastAsia="Palatino Linotype" w:hAnsi="Palatino Linotype" w:cs="Palatino Linotype"/>
                <w:i/>
                <w:sz w:val="20"/>
                <w:szCs w:val="20"/>
              </w:rPr>
            </w:pPr>
            <w:r w:rsidRPr="004100F2">
              <w:rPr>
                <w:rFonts w:ascii="Palatino Linotype" w:eastAsia="Palatino Linotype" w:hAnsi="Palatino Linotype" w:cs="Palatino Linotype"/>
                <w:i/>
                <w:sz w:val="20"/>
                <w:szCs w:val="20"/>
              </w:rPr>
              <w:t>“</w:t>
            </w:r>
            <w:r w:rsidR="00E70143" w:rsidRPr="004100F2">
              <w:rPr>
                <w:rFonts w:ascii="Palatino Linotype" w:eastAsia="Palatino Linotype" w:hAnsi="Palatino Linotype" w:cs="Palatino Linotype"/>
                <w:i/>
                <w:sz w:val="20"/>
                <w:szCs w:val="20"/>
              </w:rPr>
              <w:t>Solicito la nomina completa del Ayuntamiento de Tepotzotlán del año 2024, especificando nombre completo, cargo del servidor público, área de adscripción, sueldo y puesto</w:t>
            </w:r>
            <w:r w:rsidRPr="004100F2">
              <w:rPr>
                <w:rFonts w:ascii="Palatino Linotype" w:eastAsia="Palatino Linotype" w:hAnsi="Palatino Linotype" w:cs="Palatino Linotype"/>
                <w:i/>
                <w:sz w:val="20"/>
                <w:szCs w:val="20"/>
              </w:rPr>
              <w:t>” (sic)</w:t>
            </w:r>
          </w:p>
        </w:tc>
      </w:tr>
      <w:tr w:rsidR="007A0C4B" w:rsidRPr="004100F2" w14:paraId="06418D65" w14:textId="77777777" w:rsidTr="0099504E">
        <w:trPr>
          <w:jc w:val="center"/>
        </w:trPr>
        <w:tc>
          <w:tcPr>
            <w:tcW w:w="2972" w:type="dxa"/>
            <w:vAlign w:val="center"/>
          </w:tcPr>
          <w:p w14:paraId="1B6EBCA7" w14:textId="2AD753AF" w:rsidR="00611664" w:rsidRPr="004100F2" w:rsidRDefault="00611664" w:rsidP="00611664">
            <w:pPr>
              <w:spacing w:before="120" w:after="120"/>
              <w:jc w:val="center"/>
              <w:rPr>
                <w:rFonts w:ascii="Palatino Linotype" w:eastAsia="Palatino Linotype" w:hAnsi="Palatino Linotype" w:cs="Palatino Linotype"/>
                <w:b/>
                <w:sz w:val="20"/>
                <w:szCs w:val="20"/>
                <w:lang w:val="en-US"/>
              </w:rPr>
            </w:pPr>
            <w:r w:rsidRPr="004100F2">
              <w:rPr>
                <w:rFonts w:ascii="Palatino Linotype" w:eastAsia="Palatino Linotype" w:hAnsi="Palatino Linotype" w:cs="Palatino Linotype"/>
                <w:b/>
                <w:sz w:val="20"/>
                <w:szCs w:val="20"/>
                <w:lang w:val="en-US"/>
              </w:rPr>
              <w:t>00620/TEPOTZOT/IP/2025</w:t>
            </w:r>
          </w:p>
          <w:p w14:paraId="5E03A55C" w14:textId="02C4B198" w:rsidR="00313479" w:rsidRPr="004100F2" w:rsidRDefault="00611664" w:rsidP="00611664">
            <w:pPr>
              <w:spacing w:before="120" w:after="120"/>
              <w:jc w:val="center"/>
              <w:rPr>
                <w:rFonts w:ascii="Palatino Linotype" w:eastAsia="Palatino Linotype" w:hAnsi="Palatino Linotype" w:cs="Palatino Linotype"/>
                <w:b/>
                <w:sz w:val="20"/>
                <w:szCs w:val="20"/>
                <w:lang w:val="en-US"/>
              </w:rPr>
            </w:pPr>
            <w:r w:rsidRPr="004100F2">
              <w:rPr>
                <w:rFonts w:ascii="Palatino Linotype" w:eastAsia="Palatino Linotype" w:hAnsi="Palatino Linotype" w:cs="Palatino Linotype"/>
                <w:b/>
                <w:sz w:val="20"/>
                <w:szCs w:val="20"/>
                <w:lang w:val="en-US"/>
              </w:rPr>
              <w:t>12839/INFOEM/IP/RR/2025</w:t>
            </w:r>
          </w:p>
        </w:tc>
        <w:tc>
          <w:tcPr>
            <w:tcW w:w="5856" w:type="dxa"/>
            <w:vAlign w:val="center"/>
          </w:tcPr>
          <w:p w14:paraId="4CEB9F0D" w14:textId="30D3A742" w:rsidR="00313479" w:rsidRPr="004100F2" w:rsidRDefault="00313479" w:rsidP="00611664">
            <w:pPr>
              <w:tabs>
                <w:tab w:val="left" w:pos="615"/>
              </w:tabs>
              <w:spacing w:before="120" w:after="120"/>
              <w:jc w:val="center"/>
              <w:rPr>
                <w:rFonts w:ascii="Palatino Linotype" w:eastAsia="Palatino Linotype" w:hAnsi="Palatino Linotype" w:cs="Palatino Linotype"/>
                <w:i/>
                <w:sz w:val="20"/>
                <w:szCs w:val="20"/>
              </w:rPr>
            </w:pPr>
            <w:r w:rsidRPr="004100F2">
              <w:rPr>
                <w:rFonts w:ascii="Palatino Linotype" w:eastAsia="Palatino Linotype" w:hAnsi="Palatino Linotype" w:cs="Palatino Linotype"/>
                <w:i/>
                <w:sz w:val="20"/>
                <w:szCs w:val="20"/>
              </w:rPr>
              <w:t>“</w:t>
            </w:r>
            <w:r w:rsidR="00E70143" w:rsidRPr="004100F2">
              <w:rPr>
                <w:rFonts w:ascii="Palatino Linotype" w:eastAsia="Palatino Linotype" w:hAnsi="Palatino Linotype" w:cs="Palatino Linotype"/>
                <w:i/>
                <w:sz w:val="20"/>
                <w:szCs w:val="20"/>
              </w:rPr>
              <w:t>Solicito la nomina completa del Ayuntamiento de Tepotzotlán del año 2023, especificando nombre completo, cargo del servidor público, área de adscripción, sueldo y puesto</w:t>
            </w:r>
            <w:r w:rsidR="00611664" w:rsidRPr="004100F2">
              <w:rPr>
                <w:rFonts w:ascii="Palatino Linotype" w:eastAsia="Palatino Linotype" w:hAnsi="Palatino Linotype" w:cs="Palatino Linotype"/>
                <w:i/>
                <w:sz w:val="20"/>
                <w:szCs w:val="20"/>
              </w:rPr>
              <w:t>”</w:t>
            </w:r>
            <w:r w:rsidRPr="004100F2">
              <w:rPr>
                <w:rFonts w:ascii="Palatino Linotype" w:eastAsia="Palatino Linotype" w:hAnsi="Palatino Linotype" w:cs="Palatino Linotype"/>
                <w:i/>
                <w:sz w:val="20"/>
                <w:szCs w:val="20"/>
              </w:rPr>
              <w:t xml:space="preserve"> (sic)</w:t>
            </w:r>
          </w:p>
        </w:tc>
      </w:tr>
      <w:tr w:rsidR="007A0C4B" w:rsidRPr="004100F2" w14:paraId="61A87388" w14:textId="77777777" w:rsidTr="0099504E">
        <w:trPr>
          <w:jc w:val="center"/>
        </w:trPr>
        <w:tc>
          <w:tcPr>
            <w:tcW w:w="2972" w:type="dxa"/>
            <w:vAlign w:val="center"/>
          </w:tcPr>
          <w:p w14:paraId="6E51D62C" w14:textId="1BEE32C2" w:rsidR="00611664" w:rsidRPr="004100F2" w:rsidRDefault="00611664" w:rsidP="00611664">
            <w:pPr>
              <w:spacing w:before="120" w:after="120"/>
              <w:jc w:val="center"/>
              <w:rPr>
                <w:rFonts w:ascii="Palatino Linotype" w:eastAsia="Palatino Linotype" w:hAnsi="Palatino Linotype" w:cs="Palatino Linotype"/>
                <w:b/>
                <w:sz w:val="20"/>
                <w:szCs w:val="20"/>
                <w:lang w:val="en-US"/>
              </w:rPr>
            </w:pPr>
            <w:r w:rsidRPr="004100F2">
              <w:rPr>
                <w:rFonts w:ascii="Palatino Linotype" w:eastAsia="Palatino Linotype" w:hAnsi="Palatino Linotype" w:cs="Palatino Linotype"/>
                <w:b/>
                <w:sz w:val="20"/>
                <w:szCs w:val="20"/>
                <w:lang w:val="en-US"/>
              </w:rPr>
              <w:t>00621/TEPOTZOT/IP/2025</w:t>
            </w:r>
          </w:p>
          <w:p w14:paraId="1BD9FCBD" w14:textId="0C2EF1E4" w:rsidR="00313479" w:rsidRPr="004100F2" w:rsidRDefault="00611664" w:rsidP="00611664">
            <w:pPr>
              <w:spacing w:before="120" w:after="120"/>
              <w:jc w:val="center"/>
              <w:rPr>
                <w:rFonts w:ascii="Palatino Linotype" w:eastAsia="Palatino Linotype" w:hAnsi="Palatino Linotype" w:cs="Palatino Linotype"/>
                <w:b/>
                <w:sz w:val="20"/>
                <w:szCs w:val="20"/>
                <w:lang w:val="en-US"/>
              </w:rPr>
            </w:pPr>
            <w:r w:rsidRPr="004100F2">
              <w:rPr>
                <w:rFonts w:ascii="Palatino Linotype" w:eastAsia="Palatino Linotype" w:hAnsi="Palatino Linotype" w:cs="Palatino Linotype"/>
                <w:b/>
                <w:sz w:val="20"/>
                <w:szCs w:val="20"/>
                <w:lang w:val="en-US"/>
              </w:rPr>
              <w:t>12818/INFOEM/IP/RR/2025</w:t>
            </w:r>
          </w:p>
        </w:tc>
        <w:tc>
          <w:tcPr>
            <w:tcW w:w="5856" w:type="dxa"/>
            <w:vAlign w:val="center"/>
          </w:tcPr>
          <w:p w14:paraId="14C1961C" w14:textId="62D8777C" w:rsidR="00313479" w:rsidRPr="004100F2" w:rsidRDefault="00313479" w:rsidP="00E70143">
            <w:pPr>
              <w:spacing w:before="120" w:after="120"/>
              <w:jc w:val="center"/>
              <w:rPr>
                <w:rFonts w:ascii="Palatino Linotype" w:eastAsia="Palatino Linotype" w:hAnsi="Palatino Linotype" w:cs="Palatino Linotype"/>
                <w:i/>
                <w:sz w:val="20"/>
                <w:szCs w:val="20"/>
              </w:rPr>
            </w:pPr>
            <w:r w:rsidRPr="004100F2">
              <w:rPr>
                <w:rFonts w:ascii="Palatino Linotype" w:eastAsia="Palatino Linotype" w:hAnsi="Palatino Linotype" w:cs="Palatino Linotype"/>
                <w:i/>
                <w:sz w:val="20"/>
                <w:szCs w:val="20"/>
              </w:rPr>
              <w:t>“</w:t>
            </w:r>
            <w:r w:rsidR="00E70143" w:rsidRPr="004100F2">
              <w:rPr>
                <w:rFonts w:ascii="Palatino Linotype" w:eastAsia="Palatino Linotype" w:hAnsi="Palatino Linotype" w:cs="Palatino Linotype"/>
                <w:i/>
                <w:sz w:val="20"/>
                <w:szCs w:val="20"/>
              </w:rPr>
              <w:t>Solicito la nomina completa del Ayuntamiento de Tepotzotlán del año 2022, especificando nombre completo, cargo del servidor público, área de adscripción, sueldo y puesto</w:t>
            </w:r>
            <w:r w:rsidRPr="004100F2">
              <w:rPr>
                <w:rFonts w:ascii="Palatino Linotype" w:eastAsia="Palatino Linotype" w:hAnsi="Palatino Linotype" w:cs="Palatino Linotype"/>
                <w:i/>
                <w:sz w:val="20"/>
                <w:szCs w:val="20"/>
              </w:rPr>
              <w:t>” (sic)</w:t>
            </w:r>
          </w:p>
        </w:tc>
      </w:tr>
      <w:tr w:rsidR="007A0C4B" w:rsidRPr="004100F2" w14:paraId="19331C0D" w14:textId="77777777" w:rsidTr="0099504E">
        <w:trPr>
          <w:jc w:val="center"/>
        </w:trPr>
        <w:tc>
          <w:tcPr>
            <w:tcW w:w="2972" w:type="dxa"/>
            <w:vAlign w:val="center"/>
          </w:tcPr>
          <w:p w14:paraId="1BFA220E" w14:textId="299D8614" w:rsidR="00611664" w:rsidRPr="004100F2" w:rsidRDefault="00611664" w:rsidP="00611664">
            <w:pPr>
              <w:spacing w:before="120" w:after="120"/>
              <w:jc w:val="center"/>
              <w:rPr>
                <w:rFonts w:ascii="Palatino Linotype" w:eastAsia="Palatino Linotype" w:hAnsi="Palatino Linotype" w:cs="Palatino Linotype"/>
                <w:b/>
                <w:sz w:val="20"/>
                <w:szCs w:val="20"/>
                <w:lang w:val="en-US"/>
              </w:rPr>
            </w:pPr>
            <w:r w:rsidRPr="004100F2">
              <w:rPr>
                <w:rFonts w:ascii="Palatino Linotype" w:eastAsia="Palatino Linotype" w:hAnsi="Palatino Linotype" w:cs="Palatino Linotype"/>
                <w:b/>
                <w:sz w:val="20"/>
                <w:szCs w:val="20"/>
                <w:lang w:val="en-US"/>
              </w:rPr>
              <w:t>00622/TEPOTZOT/IP/2025</w:t>
            </w:r>
          </w:p>
          <w:p w14:paraId="49B3E8C7" w14:textId="79B5D822" w:rsidR="00313479" w:rsidRPr="004100F2" w:rsidRDefault="00611664" w:rsidP="00611664">
            <w:pPr>
              <w:spacing w:before="120" w:after="120"/>
              <w:jc w:val="center"/>
              <w:rPr>
                <w:rFonts w:ascii="Palatino Linotype" w:eastAsia="Palatino Linotype" w:hAnsi="Palatino Linotype" w:cs="Palatino Linotype"/>
                <w:b/>
                <w:sz w:val="20"/>
                <w:szCs w:val="20"/>
                <w:lang w:val="en-US"/>
              </w:rPr>
            </w:pPr>
            <w:r w:rsidRPr="004100F2">
              <w:rPr>
                <w:rFonts w:ascii="Palatino Linotype" w:eastAsia="Palatino Linotype" w:hAnsi="Palatino Linotype" w:cs="Palatino Linotype"/>
                <w:b/>
                <w:sz w:val="20"/>
                <w:szCs w:val="20"/>
                <w:lang w:val="en-US"/>
              </w:rPr>
              <w:t>12838/INFOEM/IP/RR/2025</w:t>
            </w:r>
          </w:p>
        </w:tc>
        <w:tc>
          <w:tcPr>
            <w:tcW w:w="5856" w:type="dxa"/>
            <w:vAlign w:val="center"/>
          </w:tcPr>
          <w:p w14:paraId="15F5FE8D" w14:textId="0D87E14B" w:rsidR="00313479" w:rsidRPr="004100F2" w:rsidRDefault="00313479" w:rsidP="00E70143">
            <w:pPr>
              <w:spacing w:before="120" w:after="120"/>
              <w:jc w:val="center"/>
              <w:rPr>
                <w:rFonts w:ascii="Palatino Linotype" w:eastAsia="Palatino Linotype" w:hAnsi="Palatino Linotype" w:cs="Palatino Linotype"/>
                <w:i/>
                <w:sz w:val="20"/>
                <w:szCs w:val="20"/>
              </w:rPr>
            </w:pPr>
            <w:r w:rsidRPr="004100F2">
              <w:rPr>
                <w:rFonts w:ascii="Palatino Linotype" w:eastAsia="Palatino Linotype" w:hAnsi="Palatino Linotype" w:cs="Palatino Linotype"/>
                <w:i/>
                <w:sz w:val="20"/>
                <w:szCs w:val="20"/>
              </w:rPr>
              <w:t>“</w:t>
            </w:r>
            <w:r w:rsidR="00E70143" w:rsidRPr="004100F2">
              <w:rPr>
                <w:rFonts w:ascii="Palatino Linotype" w:eastAsia="Palatino Linotype" w:hAnsi="Palatino Linotype" w:cs="Palatino Linotype"/>
                <w:i/>
                <w:sz w:val="20"/>
                <w:szCs w:val="20"/>
              </w:rPr>
              <w:t>Solicito la nomina completa del Ayuntamiento de Tepotzotlán del año 2021, especificando nombre completo, cargo del servidor público, área de adscripción, sueldo y puesto</w:t>
            </w:r>
            <w:r w:rsidRPr="004100F2">
              <w:rPr>
                <w:rFonts w:ascii="Palatino Linotype" w:eastAsia="Palatino Linotype" w:hAnsi="Palatino Linotype" w:cs="Palatino Linotype"/>
                <w:i/>
                <w:sz w:val="20"/>
                <w:szCs w:val="20"/>
              </w:rPr>
              <w:t>” (sic)</w:t>
            </w:r>
          </w:p>
        </w:tc>
      </w:tr>
    </w:tbl>
    <w:p w14:paraId="16650D90" w14:textId="77777777" w:rsidR="00344ABC"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b/>
          <w:sz w:val="22"/>
          <w:szCs w:val="22"/>
        </w:rPr>
        <w:t xml:space="preserve">Modalidad elegida para la entrega de la información: </w:t>
      </w:r>
      <w:r w:rsidRPr="004100F2">
        <w:rPr>
          <w:rFonts w:ascii="Palatino Linotype" w:eastAsia="Palatino Linotype" w:hAnsi="Palatino Linotype" w:cs="Palatino Linotype"/>
          <w:sz w:val="22"/>
          <w:szCs w:val="22"/>
        </w:rPr>
        <w:t xml:space="preserve">a través del </w:t>
      </w:r>
      <w:r w:rsidRPr="004100F2">
        <w:rPr>
          <w:rFonts w:ascii="Palatino Linotype" w:eastAsia="Palatino Linotype" w:hAnsi="Palatino Linotype" w:cs="Palatino Linotype"/>
          <w:b/>
          <w:bCs/>
          <w:sz w:val="22"/>
          <w:szCs w:val="22"/>
        </w:rPr>
        <w:t xml:space="preserve">SAIMEX </w:t>
      </w:r>
      <w:r w:rsidRPr="004100F2">
        <w:rPr>
          <w:rFonts w:ascii="Palatino Linotype" w:eastAsia="Palatino Linotype" w:hAnsi="Palatino Linotype" w:cs="Palatino Linotype"/>
          <w:sz w:val="22"/>
          <w:szCs w:val="22"/>
        </w:rPr>
        <w:t>en todos los casos.</w:t>
      </w:r>
    </w:p>
    <w:p w14:paraId="3DC60908" w14:textId="3819F916" w:rsidR="00344ABC" w:rsidRPr="004100F2" w:rsidRDefault="000D2644">
      <w:pPr>
        <w:spacing w:before="240" w:after="240" w:line="360" w:lineRule="auto"/>
        <w:jc w:val="both"/>
        <w:rPr>
          <w:rFonts w:ascii="Palatino Linotype" w:eastAsia="Palatino Linotype" w:hAnsi="Palatino Linotype" w:cs="Palatino Linotype"/>
          <w:b/>
          <w:sz w:val="22"/>
          <w:szCs w:val="22"/>
        </w:rPr>
      </w:pPr>
      <w:r w:rsidRPr="004100F2">
        <w:rPr>
          <w:rFonts w:ascii="Palatino Linotype" w:eastAsia="Palatino Linotype" w:hAnsi="Palatino Linotype" w:cs="Palatino Linotype"/>
          <w:b/>
          <w:sz w:val="22"/>
          <w:szCs w:val="22"/>
        </w:rPr>
        <w:t xml:space="preserve">2. Respuesta. </w:t>
      </w:r>
      <w:r w:rsidRPr="004100F2">
        <w:rPr>
          <w:rFonts w:ascii="Palatino Linotype" w:eastAsia="Palatino Linotype" w:hAnsi="Palatino Linotype" w:cs="Palatino Linotype"/>
          <w:sz w:val="22"/>
          <w:szCs w:val="22"/>
        </w:rPr>
        <w:t xml:space="preserve">De las constancias que obran en SAIMEX, se observa que el </w:t>
      </w:r>
      <w:r w:rsidRPr="004100F2">
        <w:rPr>
          <w:rFonts w:ascii="Palatino Linotype" w:eastAsia="Palatino Linotype" w:hAnsi="Palatino Linotype" w:cs="Palatino Linotype"/>
          <w:b/>
          <w:sz w:val="22"/>
          <w:szCs w:val="22"/>
        </w:rPr>
        <w:t>Sujeto Obligado</w:t>
      </w:r>
      <w:r w:rsidRPr="004100F2">
        <w:rPr>
          <w:rFonts w:ascii="Palatino Linotype" w:eastAsia="Palatino Linotype" w:hAnsi="Palatino Linotype" w:cs="Palatino Linotype"/>
          <w:sz w:val="22"/>
          <w:szCs w:val="22"/>
        </w:rPr>
        <w:t xml:space="preserve"> no emitió respuesta a las solicitudes de información formuladas por la </w:t>
      </w:r>
      <w:r w:rsidR="005C40B4" w:rsidRPr="004100F2">
        <w:rPr>
          <w:rFonts w:ascii="Palatino Linotype" w:eastAsia="Palatino Linotype" w:hAnsi="Palatino Linotype" w:cs="Palatino Linotype"/>
          <w:sz w:val="22"/>
          <w:szCs w:val="22"/>
        </w:rPr>
        <w:t xml:space="preserve">parte </w:t>
      </w:r>
      <w:r w:rsidR="005C40B4" w:rsidRPr="004100F2">
        <w:rPr>
          <w:rFonts w:ascii="Palatino Linotype" w:eastAsia="Palatino Linotype" w:hAnsi="Palatino Linotype" w:cs="Palatino Linotype"/>
          <w:b/>
          <w:bCs/>
          <w:sz w:val="22"/>
          <w:szCs w:val="22"/>
        </w:rPr>
        <w:t>Recurrente</w:t>
      </w:r>
      <w:r w:rsidRPr="004100F2">
        <w:rPr>
          <w:rFonts w:ascii="Palatino Linotype" w:eastAsia="Palatino Linotype" w:hAnsi="Palatino Linotype" w:cs="Palatino Linotype"/>
          <w:b/>
          <w:sz w:val="22"/>
          <w:szCs w:val="22"/>
        </w:rPr>
        <w:t>.</w:t>
      </w:r>
    </w:p>
    <w:p w14:paraId="715548D3" w14:textId="5B1B3CC2" w:rsidR="00344ABC"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b/>
          <w:sz w:val="22"/>
          <w:szCs w:val="22"/>
        </w:rPr>
        <w:t xml:space="preserve">3. Interposición de los recursos de revisión. </w:t>
      </w:r>
      <w:r w:rsidRPr="004100F2">
        <w:rPr>
          <w:rFonts w:ascii="Palatino Linotype" w:eastAsia="Palatino Linotype" w:hAnsi="Palatino Linotype" w:cs="Palatino Linotype"/>
          <w:sz w:val="22"/>
          <w:szCs w:val="22"/>
        </w:rPr>
        <w:t xml:space="preserve">Inconforme la </w:t>
      </w:r>
      <w:r w:rsidR="005C40B4" w:rsidRPr="004100F2">
        <w:rPr>
          <w:rFonts w:ascii="Palatino Linotype" w:eastAsia="Palatino Linotype" w:hAnsi="Palatino Linotype" w:cs="Palatino Linotype"/>
          <w:sz w:val="22"/>
          <w:szCs w:val="22"/>
        </w:rPr>
        <w:t xml:space="preserve">parte </w:t>
      </w:r>
      <w:r w:rsidR="005C40B4" w:rsidRPr="004100F2">
        <w:rPr>
          <w:rFonts w:ascii="Palatino Linotype" w:eastAsia="Palatino Linotype" w:hAnsi="Palatino Linotype" w:cs="Palatino Linotype"/>
          <w:b/>
          <w:bCs/>
          <w:sz w:val="22"/>
          <w:szCs w:val="22"/>
        </w:rPr>
        <w:t>Recurrente</w:t>
      </w:r>
      <w:r w:rsidR="005C40B4" w:rsidRPr="004100F2">
        <w:rPr>
          <w:rFonts w:ascii="Palatino Linotype" w:eastAsia="Palatino Linotype" w:hAnsi="Palatino Linotype" w:cs="Palatino Linotype"/>
          <w:sz w:val="22"/>
          <w:szCs w:val="22"/>
        </w:rPr>
        <w:t xml:space="preserve"> </w:t>
      </w:r>
      <w:r w:rsidRPr="004100F2">
        <w:rPr>
          <w:rFonts w:ascii="Palatino Linotype" w:eastAsia="Palatino Linotype" w:hAnsi="Palatino Linotype" w:cs="Palatino Linotype"/>
          <w:sz w:val="22"/>
          <w:szCs w:val="22"/>
        </w:rPr>
        <w:t xml:space="preserve">con la falta de respuesta del </w:t>
      </w:r>
      <w:r w:rsidRPr="004100F2">
        <w:rPr>
          <w:rFonts w:ascii="Palatino Linotype" w:eastAsia="Palatino Linotype" w:hAnsi="Palatino Linotype" w:cs="Palatino Linotype"/>
          <w:b/>
          <w:sz w:val="22"/>
          <w:szCs w:val="22"/>
        </w:rPr>
        <w:t>Sujeto Obligado</w:t>
      </w:r>
      <w:r w:rsidRPr="004100F2">
        <w:rPr>
          <w:rFonts w:ascii="Palatino Linotype" w:eastAsia="Palatino Linotype" w:hAnsi="Palatino Linotype" w:cs="Palatino Linotype"/>
          <w:sz w:val="22"/>
          <w:szCs w:val="22"/>
        </w:rPr>
        <w:t xml:space="preserve">, </w:t>
      </w:r>
      <w:r w:rsidR="005C40B4" w:rsidRPr="004100F2">
        <w:rPr>
          <w:rFonts w:ascii="Palatino Linotype" w:eastAsia="Palatino Linotype" w:hAnsi="Palatino Linotype" w:cs="Palatino Linotype"/>
          <w:sz w:val="22"/>
          <w:szCs w:val="22"/>
        </w:rPr>
        <w:t>el</w:t>
      </w:r>
      <w:r w:rsidRPr="004100F2">
        <w:rPr>
          <w:rFonts w:ascii="Palatino Linotype" w:eastAsia="Palatino Linotype" w:hAnsi="Palatino Linotype" w:cs="Palatino Linotype"/>
          <w:sz w:val="22"/>
          <w:szCs w:val="22"/>
        </w:rPr>
        <w:t xml:space="preserve"> </w:t>
      </w:r>
      <w:r w:rsidR="00730996" w:rsidRPr="004100F2">
        <w:rPr>
          <w:rFonts w:ascii="Palatino Linotype" w:eastAsia="Palatino Linotype" w:hAnsi="Palatino Linotype" w:cs="Palatino Linotype"/>
          <w:b/>
          <w:sz w:val="22"/>
          <w:szCs w:val="22"/>
        </w:rPr>
        <w:t>cinco</w:t>
      </w:r>
      <w:r w:rsidR="00730996" w:rsidRPr="004100F2">
        <w:rPr>
          <w:rFonts w:ascii="Palatino Linotype" w:eastAsia="Palatino Linotype" w:hAnsi="Palatino Linotype" w:cs="Palatino Linotype"/>
          <w:sz w:val="22"/>
          <w:szCs w:val="22"/>
        </w:rPr>
        <w:t xml:space="preserve"> y </w:t>
      </w:r>
      <w:r w:rsidR="00730996" w:rsidRPr="004100F2">
        <w:rPr>
          <w:rFonts w:ascii="Palatino Linotype" w:eastAsia="Palatino Linotype" w:hAnsi="Palatino Linotype" w:cs="Palatino Linotype"/>
          <w:b/>
          <w:sz w:val="22"/>
          <w:szCs w:val="22"/>
        </w:rPr>
        <w:t>seis de noviembre</w:t>
      </w:r>
      <w:r w:rsidR="005C40B4" w:rsidRPr="004100F2">
        <w:rPr>
          <w:rFonts w:ascii="Palatino Linotype" w:eastAsia="Palatino Linotype" w:hAnsi="Palatino Linotype" w:cs="Palatino Linotype"/>
          <w:b/>
          <w:sz w:val="22"/>
          <w:szCs w:val="22"/>
        </w:rPr>
        <w:t xml:space="preserve"> </w:t>
      </w:r>
      <w:r w:rsidRPr="004100F2">
        <w:rPr>
          <w:rFonts w:ascii="Palatino Linotype" w:eastAsia="Palatino Linotype" w:hAnsi="Palatino Linotype" w:cs="Palatino Linotype"/>
          <w:b/>
          <w:sz w:val="22"/>
          <w:szCs w:val="22"/>
        </w:rPr>
        <w:t>de dos mil veintic</w:t>
      </w:r>
      <w:r w:rsidR="005C40B4" w:rsidRPr="004100F2">
        <w:rPr>
          <w:rFonts w:ascii="Palatino Linotype" w:eastAsia="Palatino Linotype" w:hAnsi="Palatino Linotype" w:cs="Palatino Linotype"/>
          <w:b/>
          <w:sz w:val="22"/>
          <w:szCs w:val="22"/>
        </w:rPr>
        <w:t>inco</w:t>
      </w:r>
      <w:r w:rsidRPr="004100F2">
        <w:rPr>
          <w:rFonts w:ascii="Palatino Linotype" w:eastAsia="Palatino Linotype" w:hAnsi="Palatino Linotype" w:cs="Palatino Linotype"/>
          <w:sz w:val="22"/>
          <w:szCs w:val="22"/>
        </w:rPr>
        <w:t>, interpuso recursos de revisión a través de SAIMEX expresando lo siguiente:</w:t>
      </w:r>
    </w:p>
    <w:tbl>
      <w:tblPr>
        <w:tblStyle w:val="afc"/>
        <w:tblW w:w="897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9"/>
        <w:gridCol w:w="3140"/>
        <w:gridCol w:w="3021"/>
      </w:tblGrid>
      <w:tr w:rsidR="007A0C4B" w:rsidRPr="004100F2" w14:paraId="53C5117B" w14:textId="77777777">
        <w:tc>
          <w:tcPr>
            <w:tcW w:w="2809" w:type="dxa"/>
            <w:shd w:val="clear" w:color="auto" w:fill="D9D9D9"/>
            <w:vAlign w:val="center"/>
          </w:tcPr>
          <w:p w14:paraId="6FD7CD72" w14:textId="77777777" w:rsidR="00344ABC" w:rsidRPr="004100F2" w:rsidRDefault="000D2644">
            <w:pPr>
              <w:jc w:val="center"/>
              <w:rPr>
                <w:rFonts w:ascii="Palatino Linotype" w:eastAsia="Palatino Linotype" w:hAnsi="Palatino Linotype" w:cs="Palatino Linotype"/>
                <w:b/>
                <w:sz w:val="20"/>
                <w:szCs w:val="20"/>
              </w:rPr>
            </w:pPr>
            <w:r w:rsidRPr="004100F2">
              <w:rPr>
                <w:rFonts w:ascii="Palatino Linotype" w:eastAsia="Palatino Linotype" w:hAnsi="Palatino Linotype" w:cs="Palatino Linotype"/>
                <w:b/>
                <w:sz w:val="20"/>
                <w:szCs w:val="20"/>
              </w:rPr>
              <w:t>Recurso de revisión</w:t>
            </w:r>
          </w:p>
        </w:tc>
        <w:tc>
          <w:tcPr>
            <w:tcW w:w="3140" w:type="dxa"/>
            <w:shd w:val="clear" w:color="auto" w:fill="D9D9D9"/>
            <w:vAlign w:val="center"/>
          </w:tcPr>
          <w:p w14:paraId="44F185ED" w14:textId="77777777" w:rsidR="00344ABC" w:rsidRPr="004100F2" w:rsidRDefault="000D2644">
            <w:pPr>
              <w:jc w:val="center"/>
              <w:rPr>
                <w:rFonts w:ascii="Palatino Linotype" w:eastAsia="Palatino Linotype" w:hAnsi="Palatino Linotype" w:cs="Palatino Linotype"/>
                <w:b/>
                <w:sz w:val="20"/>
                <w:szCs w:val="20"/>
              </w:rPr>
            </w:pPr>
            <w:r w:rsidRPr="004100F2">
              <w:rPr>
                <w:rFonts w:ascii="Palatino Linotype" w:eastAsia="Palatino Linotype" w:hAnsi="Palatino Linotype" w:cs="Palatino Linotype"/>
                <w:b/>
                <w:sz w:val="20"/>
                <w:szCs w:val="20"/>
              </w:rPr>
              <w:t>Acto impugnado.</w:t>
            </w:r>
          </w:p>
        </w:tc>
        <w:tc>
          <w:tcPr>
            <w:tcW w:w="3021" w:type="dxa"/>
            <w:shd w:val="clear" w:color="auto" w:fill="D9D9D9"/>
            <w:vAlign w:val="center"/>
          </w:tcPr>
          <w:p w14:paraId="00ABA427" w14:textId="77777777" w:rsidR="00344ABC" w:rsidRPr="004100F2" w:rsidRDefault="000D2644">
            <w:pPr>
              <w:jc w:val="center"/>
              <w:rPr>
                <w:rFonts w:ascii="Palatino Linotype" w:eastAsia="Palatino Linotype" w:hAnsi="Palatino Linotype" w:cs="Palatino Linotype"/>
                <w:b/>
                <w:sz w:val="20"/>
                <w:szCs w:val="20"/>
              </w:rPr>
            </w:pPr>
            <w:r w:rsidRPr="004100F2">
              <w:rPr>
                <w:rFonts w:ascii="Palatino Linotype" w:eastAsia="Palatino Linotype" w:hAnsi="Palatino Linotype" w:cs="Palatino Linotype"/>
                <w:b/>
                <w:sz w:val="20"/>
                <w:szCs w:val="20"/>
              </w:rPr>
              <w:t>Motivos de inconformidad.</w:t>
            </w:r>
          </w:p>
        </w:tc>
      </w:tr>
      <w:tr w:rsidR="007A0C4B" w:rsidRPr="004100F2" w14:paraId="1674CFF0" w14:textId="77777777">
        <w:tc>
          <w:tcPr>
            <w:tcW w:w="2809" w:type="dxa"/>
            <w:vAlign w:val="center"/>
          </w:tcPr>
          <w:p w14:paraId="43848A7B" w14:textId="77777777" w:rsidR="00730996" w:rsidRPr="004100F2" w:rsidRDefault="00730996" w:rsidP="00730996">
            <w:pPr>
              <w:spacing w:before="120" w:after="120"/>
              <w:jc w:val="center"/>
              <w:rPr>
                <w:rFonts w:ascii="Palatino Linotype" w:eastAsia="Palatino Linotype" w:hAnsi="Palatino Linotype" w:cs="Palatino Linotype"/>
                <w:b/>
                <w:sz w:val="20"/>
                <w:szCs w:val="20"/>
                <w:lang w:val="en-US"/>
              </w:rPr>
            </w:pPr>
            <w:r w:rsidRPr="004100F2">
              <w:rPr>
                <w:rFonts w:ascii="Palatino Linotype" w:eastAsia="Palatino Linotype" w:hAnsi="Palatino Linotype" w:cs="Palatino Linotype"/>
                <w:b/>
                <w:sz w:val="20"/>
                <w:szCs w:val="20"/>
                <w:lang w:val="en-US"/>
              </w:rPr>
              <w:t>00617/TEPOTZOT/IP/2025</w:t>
            </w:r>
          </w:p>
          <w:p w14:paraId="4A3C870F" w14:textId="4EC16F78" w:rsidR="00730996" w:rsidRPr="004100F2" w:rsidRDefault="00730996" w:rsidP="00730996">
            <w:pPr>
              <w:jc w:val="center"/>
              <w:rPr>
                <w:rFonts w:ascii="Palatino Linotype" w:eastAsia="Palatino Linotype" w:hAnsi="Palatino Linotype" w:cs="Palatino Linotype"/>
                <w:sz w:val="20"/>
                <w:szCs w:val="20"/>
                <w:lang w:val="en-US"/>
              </w:rPr>
            </w:pPr>
            <w:r w:rsidRPr="004100F2">
              <w:rPr>
                <w:rFonts w:ascii="Palatino Linotype" w:eastAsia="Palatino Linotype" w:hAnsi="Palatino Linotype" w:cs="Palatino Linotype"/>
                <w:b/>
                <w:sz w:val="20"/>
                <w:szCs w:val="20"/>
                <w:lang w:val="en-US"/>
              </w:rPr>
              <w:t>12779/INFOEM/IP/RR/2025</w:t>
            </w:r>
          </w:p>
        </w:tc>
        <w:tc>
          <w:tcPr>
            <w:tcW w:w="3140" w:type="dxa"/>
            <w:vAlign w:val="center"/>
          </w:tcPr>
          <w:p w14:paraId="0F16148E" w14:textId="4CA1D842" w:rsidR="00730996" w:rsidRPr="004100F2" w:rsidRDefault="00730996" w:rsidP="00730996">
            <w:pPr>
              <w:jc w:val="both"/>
              <w:rPr>
                <w:rFonts w:ascii="Palatino Linotype" w:eastAsia="Palatino Linotype" w:hAnsi="Palatino Linotype" w:cs="Palatino Linotype"/>
                <w:i/>
                <w:sz w:val="20"/>
                <w:szCs w:val="20"/>
              </w:rPr>
            </w:pPr>
            <w:r w:rsidRPr="004100F2">
              <w:rPr>
                <w:rFonts w:ascii="Palatino Linotype" w:eastAsia="Palatino Linotype" w:hAnsi="Palatino Linotype" w:cs="Palatino Linotype"/>
                <w:i/>
                <w:sz w:val="20"/>
                <w:szCs w:val="20"/>
              </w:rPr>
              <w:t>“Solicito la nómina completa del Ayuntamiento de Tepotzotlán del año 2025, especificando nombre completo, cargo del servidor público, área de adscripción, sueldo y puesto.” (sic)</w:t>
            </w:r>
          </w:p>
        </w:tc>
        <w:tc>
          <w:tcPr>
            <w:tcW w:w="3021" w:type="dxa"/>
          </w:tcPr>
          <w:p w14:paraId="5D1F57B6" w14:textId="775FAA45" w:rsidR="00730996" w:rsidRPr="004100F2" w:rsidRDefault="00730996" w:rsidP="00730996">
            <w:pPr>
              <w:jc w:val="both"/>
              <w:rPr>
                <w:rFonts w:ascii="Palatino Linotype" w:eastAsia="Palatino Linotype" w:hAnsi="Palatino Linotype" w:cs="Palatino Linotype"/>
                <w:i/>
                <w:sz w:val="20"/>
                <w:szCs w:val="20"/>
              </w:rPr>
            </w:pPr>
            <w:r w:rsidRPr="004100F2">
              <w:rPr>
                <w:rFonts w:ascii="Palatino Linotype" w:eastAsia="Palatino Linotype" w:hAnsi="Palatino Linotype" w:cs="Palatino Linotype"/>
                <w:i/>
                <w:sz w:val="20"/>
                <w:szCs w:val="20"/>
              </w:rPr>
              <w:t xml:space="preserve">“En términos del articulo 8 constitucional tengo derecho a realizar mi petición así mismo de conformidad al articulo 4, 11, 15, 92, 111, 112, 150, 151, 152, 160, 162, 176, 177, 178, 179, 180, de la Ley de Transparencia y Acceso a la Información Publica del Estado de México y Municipios se hace de su </w:t>
            </w:r>
            <w:r w:rsidRPr="004100F2">
              <w:rPr>
                <w:rFonts w:ascii="Palatino Linotype" w:eastAsia="Palatino Linotype" w:hAnsi="Palatino Linotype" w:cs="Palatino Linotype"/>
                <w:i/>
                <w:sz w:val="20"/>
                <w:szCs w:val="20"/>
              </w:rPr>
              <w:lastRenderedPageBreak/>
              <w:t>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y todos son funcionarios ppor lo que deben dar a conocer el sueldo puesto y nombres de los trabajadores sin cometer omisiones” (sic)</w:t>
            </w:r>
          </w:p>
        </w:tc>
      </w:tr>
      <w:tr w:rsidR="007A0C4B" w:rsidRPr="004100F2" w14:paraId="565658DE" w14:textId="77777777" w:rsidTr="00D05C74">
        <w:tc>
          <w:tcPr>
            <w:tcW w:w="2809" w:type="dxa"/>
            <w:vAlign w:val="center"/>
          </w:tcPr>
          <w:p w14:paraId="7D776ADD" w14:textId="77777777" w:rsidR="00D23271" w:rsidRPr="004100F2" w:rsidRDefault="00D23271" w:rsidP="00730996">
            <w:pPr>
              <w:spacing w:before="120" w:after="120"/>
              <w:jc w:val="center"/>
              <w:rPr>
                <w:rFonts w:ascii="Palatino Linotype" w:eastAsia="Palatino Linotype" w:hAnsi="Palatino Linotype" w:cs="Palatino Linotype"/>
                <w:b/>
                <w:sz w:val="20"/>
                <w:szCs w:val="20"/>
                <w:lang w:val="en-US"/>
              </w:rPr>
            </w:pPr>
            <w:r w:rsidRPr="004100F2">
              <w:rPr>
                <w:rFonts w:ascii="Palatino Linotype" w:eastAsia="Palatino Linotype" w:hAnsi="Palatino Linotype" w:cs="Palatino Linotype"/>
                <w:b/>
                <w:sz w:val="20"/>
                <w:szCs w:val="20"/>
                <w:lang w:val="en-US"/>
              </w:rPr>
              <w:lastRenderedPageBreak/>
              <w:t>00618/TEPOTZOT/IP/2025</w:t>
            </w:r>
          </w:p>
          <w:p w14:paraId="273B541A" w14:textId="694BADAC" w:rsidR="00D23271" w:rsidRPr="004100F2" w:rsidRDefault="00D23271" w:rsidP="00730996">
            <w:pPr>
              <w:jc w:val="center"/>
              <w:rPr>
                <w:rFonts w:ascii="Palatino Linotype" w:eastAsia="Palatino Linotype" w:hAnsi="Palatino Linotype" w:cs="Palatino Linotype"/>
                <w:b/>
                <w:sz w:val="20"/>
                <w:szCs w:val="20"/>
                <w:lang w:val="en-US"/>
              </w:rPr>
            </w:pPr>
            <w:r w:rsidRPr="004100F2">
              <w:rPr>
                <w:rFonts w:ascii="Palatino Linotype" w:eastAsia="Palatino Linotype" w:hAnsi="Palatino Linotype" w:cs="Palatino Linotype"/>
                <w:b/>
                <w:sz w:val="20"/>
                <w:szCs w:val="20"/>
                <w:lang w:val="en-US"/>
              </w:rPr>
              <w:t>12801/INFOEM/IP/RR/2025</w:t>
            </w:r>
          </w:p>
        </w:tc>
        <w:tc>
          <w:tcPr>
            <w:tcW w:w="3140" w:type="dxa"/>
            <w:vMerge w:val="restart"/>
            <w:vAlign w:val="center"/>
          </w:tcPr>
          <w:p w14:paraId="2A163101" w14:textId="28A14595" w:rsidR="00D23271" w:rsidRPr="004100F2" w:rsidRDefault="00D23271" w:rsidP="00730996">
            <w:pPr>
              <w:jc w:val="both"/>
              <w:rPr>
                <w:rFonts w:ascii="Palatino Linotype" w:eastAsia="Palatino Linotype" w:hAnsi="Palatino Linotype" w:cs="Palatino Linotype"/>
                <w:i/>
                <w:sz w:val="20"/>
                <w:szCs w:val="20"/>
              </w:rPr>
            </w:pPr>
            <w:r w:rsidRPr="004100F2">
              <w:rPr>
                <w:rFonts w:ascii="Palatino Linotype" w:eastAsia="Palatino Linotype" w:hAnsi="Palatino Linotype" w:cs="Palatino Linotype"/>
                <w:i/>
                <w:sz w:val="20"/>
                <w:szCs w:val="20"/>
              </w:rPr>
              <w:t>“Solicito la nomina completa del Ayuntamiento de Tepotzotlán del año 2024, especificando nombre completo, cargo del servidor público, área de adscripción, sueldo y puesto” (sic)</w:t>
            </w:r>
          </w:p>
        </w:tc>
        <w:tc>
          <w:tcPr>
            <w:tcW w:w="3021" w:type="dxa"/>
            <w:vMerge w:val="restart"/>
            <w:vAlign w:val="center"/>
          </w:tcPr>
          <w:p w14:paraId="3062B8C0" w14:textId="1DA2C57D" w:rsidR="00D23271" w:rsidRPr="004100F2" w:rsidRDefault="00D23271" w:rsidP="00730996">
            <w:pPr>
              <w:jc w:val="both"/>
              <w:rPr>
                <w:rFonts w:ascii="Palatino Linotype" w:eastAsia="Palatino Linotype" w:hAnsi="Palatino Linotype" w:cs="Palatino Linotype"/>
                <w:i/>
                <w:sz w:val="20"/>
                <w:szCs w:val="20"/>
              </w:rPr>
            </w:pPr>
            <w:r w:rsidRPr="004100F2">
              <w:rPr>
                <w:rFonts w:ascii="Palatino Linotype" w:eastAsia="Palatino Linotype" w:hAnsi="Palatino Linotype" w:cs="Palatino Linotype"/>
                <w:i/>
                <w:sz w:val="20"/>
                <w:szCs w:val="20"/>
              </w:rPr>
              <w:t>“En términos del articulo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(sic)</w:t>
            </w:r>
          </w:p>
        </w:tc>
      </w:tr>
      <w:tr w:rsidR="007A0C4B" w:rsidRPr="004100F2" w14:paraId="7DE51308" w14:textId="77777777">
        <w:tc>
          <w:tcPr>
            <w:tcW w:w="2809" w:type="dxa"/>
            <w:vAlign w:val="center"/>
          </w:tcPr>
          <w:p w14:paraId="566084A5" w14:textId="77777777" w:rsidR="00D23271" w:rsidRPr="004100F2" w:rsidRDefault="00D23271" w:rsidP="00730996">
            <w:pPr>
              <w:spacing w:before="120" w:after="120"/>
              <w:jc w:val="center"/>
              <w:rPr>
                <w:rFonts w:ascii="Palatino Linotype" w:eastAsia="Palatino Linotype" w:hAnsi="Palatino Linotype" w:cs="Palatino Linotype"/>
                <w:b/>
                <w:sz w:val="20"/>
                <w:szCs w:val="20"/>
                <w:lang w:val="en-US"/>
              </w:rPr>
            </w:pPr>
            <w:r w:rsidRPr="004100F2">
              <w:rPr>
                <w:rFonts w:ascii="Palatino Linotype" w:eastAsia="Palatino Linotype" w:hAnsi="Palatino Linotype" w:cs="Palatino Linotype"/>
                <w:b/>
                <w:sz w:val="20"/>
                <w:szCs w:val="20"/>
                <w:lang w:val="en-US"/>
              </w:rPr>
              <w:t>00619/TEPOTZOT/IP/2025</w:t>
            </w:r>
          </w:p>
          <w:p w14:paraId="1A59F678" w14:textId="4FCD939E" w:rsidR="00D23271" w:rsidRPr="004100F2" w:rsidRDefault="00D23271" w:rsidP="00730996">
            <w:pPr>
              <w:jc w:val="center"/>
              <w:rPr>
                <w:rFonts w:ascii="Palatino Linotype" w:eastAsia="Palatino Linotype" w:hAnsi="Palatino Linotype" w:cs="Palatino Linotype"/>
                <w:sz w:val="20"/>
                <w:szCs w:val="20"/>
                <w:lang w:val="en-US"/>
              </w:rPr>
            </w:pPr>
            <w:r w:rsidRPr="004100F2">
              <w:rPr>
                <w:rFonts w:ascii="Palatino Linotype" w:eastAsia="Palatino Linotype" w:hAnsi="Palatino Linotype" w:cs="Palatino Linotype"/>
                <w:b/>
                <w:sz w:val="20"/>
                <w:szCs w:val="20"/>
                <w:lang w:val="en-US"/>
              </w:rPr>
              <w:t>12840/INFOEM/IP/RR/2025</w:t>
            </w:r>
          </w:p>
        </w:tc>
        <w:tc>
          <w:tcPr>
            <w:tcW w:w="3140" w:type="dxa"/>
            <w:vMerge/>
            <w:vAlign w:val="center"/>
          </w:tcPr>
          <w:p w14:paraId="085109A0" w14:textId="7AAD31CF" w:rsidR="00D23271" w:rsidRPr="004100F2" w:rsidRDefault="00D23271" w:rsidP="00730996">
            <w:pPr>
              <w:jc w:val="both"/>
              <w:rPr>
                <w:rFonts w:ascii="Palatino Linotype" w:eastAsia="Palatino Linotype" w:hAnsi="Palatino Linotype" w:cs="Palatino Linotype"/>
                <w:i/>
                <w:sz w:val="20"/>
                <w:szCs w:val="20"/>
                <w:lang w:val="en-US"/>
              </w:rPr>
            </w:pPr>
          </w:p>
        </w:tc>
        <w:tc>
          <w:tcPr>
            <w:tcW w:w="3021" w:type="dxa"/>
            <w:vMerge/>
          </w:tcPr>
          <w:p w14:paraId="27EB0329" w14:textId="1A7BFA4D" w:rsidR="00D23271" w:rsidRPr="004100F2" w:rsidRDefault="00D23271" w:rsidP="00730996">
            <w:pPr>
              <w:jc w:val="both"/>
              <w:rPr>
                <w:rFonts w:ascii="Palatino Linotype" w:eastAsia="Palatino Linotype" w:hAnsi="Palatino Linotype" w:cs="Palatino Linotype"/>
                <w:i/>
                <w:sz w:val="20"/>
                <w:szCs w:val="20"/>
                <w:lang w:val="en-US"/>
              </w:rPr>
            </w:pPr>
          </w:p>
        </w:tc>
      </w:tr>
      <w:tr w:rsidR="007A0C4B" w:rsidRPr="004100F2" w14:paraId="37883BAE" w14:textId="77777777">
        <w:tc>
          <w:tcPr>
            <w:tcW w:w="2809" w:type="dxa"/>
            <w:vAlign w:val="center"/>
          </w:tcPr>
          <w:p w14:paraId="01202BA2" w14:textId="77777777" w:rsidR="00D23271" w:rsidRPr="004100F2" w:rsidRDefault="00D23271" w:rsidP="00730996">
            <w:pPr>
              <w:spacing w:before="120" w:after="120"/>
              <w:jc w:val="center"/>
              <w:rPr>
                <w:rFonts w:ascii="Palatino Linotype" w:eastAsia="Palatino Linotype" w:hAnsi="Palatino Linotype" w:cs="Palatino Linotype"/>
                <w:b/>
                <w:sz w:val="20"/>
                <w:szCs w:val="20"/>
                <w:lang w:val="en-US"/>
              </w:rPr>
            </w:pPr>
            <w:r w:rsidRPr="004100F2">
              <w:rPr>
                <w:rFonts w:ascii="Palatino Linotype" w:eastAsia="Palatino Linotype" w:hAnsi="Palatino Linotype" w:cs="Palatino Linotype"/>
                <w:b/>
                <w:sz w:val="20"/>
                <w:szCs w:val="20"/>
                <w:lang w:val="en-US"/>
              </w:rPr>
              <w:t>00620/TEPOTZOT/IP/2025</w:t>
            </w:r>
          </w:p>
          <w:p w14:paraId="581823A0" w14:textId="4A36A28B" w:rsidR="00D23271" w:rsidRPr="004100F2" w:rsidRDefault="00D23271" w:rsidP="00730996">
            <w:pPr>
              <w:jc w:val="center"/>
              <w:rPr>
                <w:rFonts w:ascii="Palatino Linotype" w:eastAsia="Palatino Linotype" w:hAnsi="Palatino Linotype" w:cs="Palatino Linotype"/>
                <w:b/>
                <w:sz w:val="20"/>
                <w:szCs w:val="20"/>
                <w:lang w:val="en-US"/>
              </w:rPr>
            </w:pPr>
            <w:r w:rsidRPr="004100F2">
              <w:rPr>
                <w:rFonts w:ascii="Palatino Linotype" w:eastAsia="Palatino Linotype" w:hAnsi="Palatino Linotype" w:cs="Palatino Linotype"/>
                <w:b/>
                <w:sz w:val="20"/>
                <w:szCs w:val="20"/>
                <w:lang w:val="en-US"/>
              </w:rPr>
              <w:t>12839/INFOEM/IP/RR/2025</w:t>
            </w:r>
          </w:p>
        </w:tc>
        <w:tc>
          <w:tcPr>
            <w:tcW w:w="3140" w:type="dxa"/>
            <w:vAlign w:val="center"/>
          </w:tcPr>
          <w:p w14:paraId="311B8592" w14:textId="72491A2B" w:rsidR="00D23271" w:rsidRPr="004100F2" w:rsidRDefault="00D23271" w:rsidP="00730996">
            <w:pPr>
              <w:jc w:val="both"/>
              <w:rPr>
                <w:rFonts w:ascii="Palatino Linotype" w:eastAsia="Palatino Linotype" w:hAnsi="Palatino Linotype" w:cs="Palatino Linotype"/>
                <w:i/>
                <w:sz w:val="20"/>
                <w:szCs w:val="20"/>
              </w:rPr>
            </w:pPr>
            <w:r w:rsidRPr="004100F2">
              <w:rPr>
                <w:rFonts w:ascii="Palatino Linotype" w:eastAsia="Palatino Linotype" w:hAnsi="Palatino Linotype" w:cs="Palatino Linotype"/>
                <w:i/>
                <w:sz w:val="20"/>
                <w:szCs w:val="20"/>
              </w:rPr>
              <w:t>“Solicito la nomina completa del Ayuntamiento de Tepotzotlán del año 2023, especificando nombre completo, cargo del servidor público, área de adscripción, sueldo y puesto” (sic)</w:t>
            </w:r>
          </w:p>
        </w:tc>
        <w:tc>
          <w:tcPr>
            <w:tcW w:w="3021" w:type="dxa"/>
            <w:vMerge/>
          </w:tcPr>
          <w:p w14:paraId="07E000B8" w14:textId="106BDA83" w:rsidR="00D23271" w:rsidRPr="004100F2" w:rsidRDefault="00D23271" w:rsidP="00730996">
            <w:pPr>
              <w:jc w:val="both"/>
              <w:rPr>
                <w:rFonts w:ascii="Palatino Linotype" w:eastAsia="Palatino Linotype" w:hAnsi="Palatino Linotype" w:cs="Palatino Linotype"/>
                <w:i/>
                <w:sz w:val="20"/>
                <w:szCs w:val="20"/>
              </w:rPr>
            </w:pPr>
          </w:p>
        </w:tc>
      </w:tr>
      <w:tr w:rsidR="007A0C4B" w:rsidRPr="004100F2" w14:paraId="40E94DA2" w14:textId="77777777">
        <w:tc>
          <w:tcPr>
            <w:tcW w:w="2809" w:type="dxa"/>
            <w:vAlign w:val="center"/>
          </w:tcPr>
          <w:p w14:paraId="6F66DFD7" w14:textId="77777777" w:rsidR="00D23271" w:rsidRPr="004100F2" w:rsidRDefault="00D23271" w:rsidP="00730996">
            <w:pPr>
              <w:spacing w:before="120" w:after="120"/>
              <w:jc w:val="center"/>
              <w:rPr>
                <w:rFonts w:ascii="Palatino Linotype" w:eastAsia="Palatino Linotype" w:hAnsi="Palatino Linotype" w:cs="Palatino Linotype"/>
                <w:b/>
                <w:sz w:val="20"/>
                <w:szCs w:val="20"/>
                <w:lang w:val="en-US"/>
              </w:rPr>
            </w:pPr>
            <w:r w:rsidRPr="004100F2">
              <w:rPr>
                <w:rFonts w:ascii="Palatino Linotype" w:eastAsia="Palatino Linotype" w:hAnsi="Palatino Linotype" w:cs="Palatino Linotype"/>
                <w:b/>
                <w:sz w:val="20"/>
                <w:szCs w:val="20"/>
                <w:lang w:val="en-US"/>
              </w:rPr>
              <w:t>00621/TEPOTZOT/IP/2025</w:t>
            </w:r>
          </w:p>
          <w:p w14:paraId="00665BD4" w14:textId="58A62F65" w:rsidR="00D23271" w:rsidRPr="004100F2" w:rsidRDefault="00D23271" w:rsidP="00730996">
            <w:pPr>
              <w:jc w:val="center"/>
              <w:rPr>
                <w:rFonts w:ascii="Palatino Linotype" w:eastAsia="Palatino Linotype" w:hAnsi="Palatino Linotype" w:cs="Palatino Linotype"/>
                <w:b/>
                <w:sz w:val="20"/>
                <w:szCs w:val="20"/>
                <w:lang w:val="en-US"/>
              </w:rPr>
            </w:pPr>
            <w:r w:rsidRPr="004100F2">
              <w:rPr>
                <w:rFonts w:ascii="Palatino Linotype" w:eastAsia="Palatino Linotype" w:hAnsi="Palatino Linotype" w:cs="Palatino Linotype"/>
                <w:b/>
                <w:sz w:val="20"/>
                <w:szCs w:val="20"/>
                <w:lang w:val="en-US"/>
              </w:rPr>
              <w:t>12818/INFOEM/IP/RR/2025</w:t>
            </w:r>
          </w:p>
        </w:tc>
        <w:tc>
          <w:tcPr>
            <w:tcW w:w="3140" w:type="dxa"/>
            <w:vAlign w:val="center"/>
          </w:tcPr>
          <w:p w14:paraId="71DD90C8" w14:textId="553847D0" w:rsidR="00D23271" w:rsidRPr="004100F2" w:rsidRDefault="00D23271" w:rsidP="00730996">
            <w:pPr>
              <w:jc w:val="both"/>
              <w:rPr>
                <w:rFonts w:ascii="Palatino Linotype" w:eastAsia="Palatino Linotype" w:hAnsi="Palatino Linotype" w:cs="Palatino Linotype"/>
                <w:i/>
                <w:sz w:val="20"/>
                <w:szCs w:val="20"/>
              </w:rPr>
            </w:pPr>
            <w:r w:rsidRPr="004100F2">
              <w:rPr>
                <w:rFonts w:ascii="Palatino Linotype" w:eastAsia="Palatino Linotype" w:hAnsi="Palatino Linotype" w:cs="Palatino Linotype"/>
                <w:i/>
                <w:sz w:val="20"/>
                <w:szCs w:val="20"/>
              </w:rPr>
              <w:t>“Solicito la nomina completa del Ayuntamiento de Tepotzotlán del año 2022, especificando nombre completo, cargo del servidor público, área de adscripción, sueldo y puesto” (sic)</w:t>
            </w:r>
          </w:p>
        </w:tc>
        <w:tc>
          <w:tcPr>
            <w:tcW w:w="3021" w:type="dxa"/>
            <w:vMerge/>
          </w:tcPr>
          <w:p w14:paraId="5C082E69" w14:textId="7DB08B7B" w:rsidR="00D23271" w:rsidRPr="004100F2" w:rsidRDefault="00D23271" w:rsidP="00730996">
            <w:pPr>
              <w:jc w:val="both"/>
              <w:rPr>
                <w:rFonts w:ascii="Palatino Linotype" w:eastAsia="Palatino Linotype" w:hAnsi="Palatino Linotype" w:cs="Palatino Linotype"/>
                <w:i/>
                <w:sz w:val="20"/>
                <w:szCs w:val="20"/>
              </w:rPr>
            </w:pPr>
          </w:p>
        </w:tc>
      </w:tr>
      <w:tr w:rsidR="007A0C4B" w:rsidRPr="004100F2" w14:paraId="2BB03D8D" w14:textId="77777777">
        <w:tc>
          <w:tcPr>
            <w:tcW w:w="2809" w:type="dxa"/>
            <w:vAlign w:val="center"/>
          </w:tcPr>
          <w:p w14:paraId="7757AC48" w14:textId="77777777" w:rsidR="00D23271" w:rsidRPr="004100F2" w:rsidRDefault="00D23271" w:rsidP="00730996">
            <w:pPr>
              <w:spacing w:before="120" w:after="120"/>
              <w:jc w:val="center"/>
              <w:rPr>
                <w:rFonts w:ascii="Palatino Linotype" w:eastAsia="Palatino Linotype" w:hAnsi="Palatino Linotype" w:cs="Palatino Linotype"/>
                <w:b/>
                <w:sz w:val="20"/>
                <w:szCs w:val="20"/>
                <w:lang w:val="en-US"/>
              </w:rPr>
            </w:pPr>
            <w:r w:rsidRPr="004100F2">
              <w:rPr>
                <w:rFonts w:ascii="Palatino Linotype" w:eastAsia="Palatino Linotype" w:hAnsi="Palatino Linotype" w:cs="Palatino Linotype"/>
                <w:b/>
                <w:sz w:val="20"/>
                <w:szCs w:val="20"/>
                <w:lang w:val="en-US"/>
              </w:rPr>
              <w:t>00622/TEPOTZOT/IP/2025</w:t>
            </w:r>
          </w:p>
          <w:p w14:paraId="5154115F" w14:textId="79794C0D" w:rsidR="00D23271" w:rsidRPr="004100F2" w:rsidRDefault="00D23271" w:rsidP="00730996">
            <w:pPr>
              <w:jc w:val="center"/>
              <w:rPr>
                <w:rFonts w:ascii="Palatino Linotype" w:eastAsia="Palatino Linotype" w:hAnsi="Palatino Linotype" w:cs="Palatino Linotype"/>
                <w:b/>
                <w:sz w:val="20"/>
                <w:szCs w:val="20"/>
                <w:lang w:val="en-US"/>
              </w:rPr>
            </w:pPr>
            <w:r w:rsidRPr="004100F2">
              <w:rPr>
                <w:rFonts w:ascii="Palatino Linotype" w:eastAsia="Palatino Linotype" w:hAnsi="Palatino Linotype" w:cs="Palatino Linotype"/>
                <w:b/>
                <w:sz w:val="20"/>
                <w:szCs w:val="20"/>
                <w:lang w:val="en-US"/>
              </w:rPr>
              <w:t>12838/INFOEM/IP/RR/2025</w:t>
            </w:r>
          </w:p>
        </w:tc>
        <w:tc>
          <w:tcPr>
            <w:tcW w:w="3140" w:type="dxa"/>
            <w:vAlign w:val="center"/>
          </w:tcPr>
          <w:p w14:paraId="212B5B54" w14:textId="1CBBA181" w:rsidR="00D23271" w:rsidRPr="004100F2" w:rsidRDefault="00D23271" w:rsidP="00D23271">
            <w:pPr>
              <w:jc w:val="both"/>
              <w:rPr>
                <w:rFonts w:ascii="Palatino Linotype" w:eastAsia="Palatino Linotype" w:hAnsi="Palatino Linotype" w:cs="Palatino Linotype"/>
                <w:i/>
                <w:sz w:val="20"/>
                <w:szCs w:val="20"/>
              </w:rPr>
            </w:pPr>
            <w:r w:rsidRPr="004100F2">
              <w:rPr>
                <w:rFonts w:ascii="Palatino Linotype" w:eastAsia="Palatino Linotype" w:hAnsi="Palatino Linotype" w:cs="Palatino Linotype"/>
                <w:i/>
                <w:sz w:val="20"/>
                <w:szCs w:val="20"/>
              </w:rPr>
              <w:t>“Solicito la nomina completa del Ayuntamiento de Tepotzotlán del año 2021, especificando nombre completo, cargo del servidor público, área de adscripción, sueldo y puesto” (sic)</w:t>
            </w:r>
          </w:p>
        </w:tc>
        <w:tc>
          <w:tcPr>
            <w:tcW w:w="3021" w:type="dxa"/>
            <w:vMerge/>
          </w:tcPr>
          <w:p w14:paraId="175B7BFC" w14:textId="119793D8" w:rsidR="00D23271" w:rsidRPr="004100F2" w:rsidRDefault="00D23271" w:rsidP="00730996">
            <w:pPr>
              <w:jc w:val="both"/>
              <w:rPr>
                <w:rFonts w:ascii="Palatino Linotype" w:eastAsia="Palatino Linotype" w:hAnsi="Palatino Linotype" w:cs="Palatino Linotype"/>
                <w:i/>
                <w:sz w:val="20"/>
                <w:szCs w:val="20"/>
              </w:rPr>
            </w:pPr>
          </w:p>
        </w:tc>
      </w:tr>
    </w:tbl>
    <w:p w14:paraId="23361D3F" w14:textId="0AC3D056" w:rsidR="00344ABC"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b/>
          <w:sz w:val="22"/>
          <w:szCs w:val="22"/>
        </w:rPr>
        <w:t>4. Turno.</w:t>
      </w:r>
      <w:r w:rsidRPr="004100F2">
        <w:rPr>
          <w:rFonts w:ascii="Palatino Linotype" w:eastAsia="Palatino Linotype" w:hAnsi="Palatino Linotype" w:cs="Palatino Linotype"/>
          <w:sz w:val="22"/>
          <w:szCs w:val="22"/>
        </w:rPr>
        <w:t xml:space="preserve"> De conformidad con el artículo 185 fracción I de la Ley de Transparencia y Acceso a la Información Pública del Estado de México y Municipios vigente, los presentes recursos de revisión se turnaron por el sistema electrónico del Instituto de Transparencia, Acceso a la Información Pública y Protección de Datos Personales del Estado de México y Municipios, a los Comisionados</w:t>
      </w:r>
      <w:r w:rsidRPr="004100F2">
        <w:rPr>
          <w:rFonts w:ascii="Palatino Linotype" w:eastAsia="Palatino Linotype" w:hAnsi="Palatino Linotype" w:cs="Palatino Linotype"/>
          <w:b/>
          <w:sz w:val="22"/>
          <w:szCs w:val="22"/>
        </w:rPr>
        <w:t xml:space="preserve"> Guadalupe Ramírez Peña, Luis Gustavo Para Noriega</w:t>
      </w:r>
      <w:r w:rsidR="00A41D0E" w:rsidRPr="004100F2">
        <w:rPr>
          <w:rFonts w:ascii="Palatino Linotype" w:eastAsia="Palatino Linotype" w:hAnsi="Palatino Linotype" w:cs="Palatino Linotype"/>
          <w:b/>
          <w:sz w:val="22"/>
          <w:szCs w:val="22"/>
        </w:rPr>
        <w:t xml:space="preserve">, </w:t>
      </w:r>
      <w:r w:rsidR="002C68A5" w:rsidRPr="004100F2">
        <w:rPr>
          <w:rFonts w:ascii="Palatino Linotype" w:eastAsia="Palatino Linotype" w:hAnsi="Palatino Linotype" w:cs="Palatino Linotype"/>
          <w:b/>
          <w:sz w:val="22"/>
          <w:szCs w:val="22"/>
        </w:rPr>
        <w:t xml:space="preserve">José Martínez Vilchis </w:t>
      </w:r>
      <w:r w:rsidR="00A41D0E" w:rsidRPr="004100F2">
        <w:rPr>
          <w:rFonts w:ascii="Palatino Linotype" w:eastAsia="Palatino Linotype" w:hAnsi="Palatino Linotype" w:cs="Palatino Linotype"/>
          <w:sz w:val="22"/>
          <w:szCs w:val="22"/>
        </w:rPr>
        <w:t xml:space="preserve">y </w:t>
      </w:r>
      <w:r w:rsidR="00A41D0E" w:rsidRPr="004100F2">
        <w:rPr>
          <w:rFonts w:ascii="Palatino Linotype" w:eastAsia="Palatino Linotype" w:hAnsi="Palatino Linotype" w:cs="Palatino Linotype"/>
          <w:b/>
          <w:sz w:val="22"/>
          <w:szCs w:val="22"/>
        </w:rPr>
        <w:t>María del Rosario Mejía Ayala</w:t>
      </w:r>
      <w:r w:rsidR="00A41D0E" w:rsidRPr="004100F2">
        <w:rPr>
          <w:rFonts w:ascii="Palatino Linotype" w:eastAsia="Palatino Linotype" w:hAnsi="Palatino Linotype" w:cs="Palatino Linotype"/>
          <w:sz w:val="22"/>
          <w:szCs w:val="22"/>
        </w:rPr>
        <w:t>,</w:t>
      </w:r>
      <w:r w:rsidRPr="004100F2">
        <w:rPr>
          <w:rFonts w:ascii="Palatino Linotype" w:eastAsia="Palatino Linotype" w:hAnsi="Palatino Linotype" w:cs="Palatino Linotype"/>
          <w:b/>
          <w:sz w:val="22"/>
          <w:szCs w:val="22"/>
        </w:rPr>
        <w:t xml:space="preserve"> </w:t>
      </w:r>
      <w:r w:rsidRPr="004100F2">
        <w:rPr>
          <w:rFonts w:ascii="Palatino Linotype" w:eastAsia="Palatino Linotype" w:hAnsi="Palatino Linotype" w:cs="Palatino Linotype"/>
          <w:sz w:val="22"/>
          <w:szCs w:val="22"/>
        </w:rPr>
        <w:t xml:space="preserve">a efecto de que analizaran sobre su admisión o su desechamiento. </w:t>
      </w:r>
    </w:p>
    <w:p w14:paraId="6E0CB740" w14:textId="602CF3F7" w:rsidR="00344ABC"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b/>
          <w:sz w:val="22"/>
          <w:szCs w:val="22"/>
        </w:rPr>
        <w:t xml:space="preserve">5. Admisión de los Recursos de Revisión. </w:t>
      </w:r>
      <w:r w:rsidR="00227CBA" w:rsidRPr="004100F2">
        <w:rPr>
          <w:rFonts w:ascii="Palatino Linotype" w:eastAsia="Palatino Linotype" w:hAnsi="Palatino Linotype" w:cs="Palatino Linotype"/>
          <w:sz w:val="22"/>
          <w:szCs w:val="22"/>
        </w:rPr>
        <w:t xml:space="preserve">El </w:t>
      </w:r>
      <w:r w:rsidR="002C68A5" w:rsidRPr="004100F2">
        <w:rPr>
          <w:rFonts w:ascii="Palatino Linotype" w:eastAsia="Palatino Linotype" w:hAnsi="Palatino Linotype" w:cs="Palatino Linotype"/>
          <w:b/>
          <w:bCs/>
          <w:sz w:val="22"/>
          <w:szCs w:val="22"/>
        </w:rPr>
        <w:t>seis, siete</w:t>
      </w:r>
      <w:r w:rsidR="004E4A84" w:rsidRPr="004100F2">
        <w:rPr>
          <w:rFonts w:ascii="Palatino Linotype" w:eastAsia="Palatino Linotype" w:hAnsi="Palatino Linotype" w:cs="Palatino Linotype"/>
          <w:b/>
          <w:bCs/>
          <w:sz w:val="22"/>
          <w:szCs w:val="22"/>
        </w:rPr>
        <w:t>,</w:t>
      </w:r>
      <w:r w:rsidR="002C68A5" w:rsidRPr="004100F2">
        <w:rPr>
          <w:rFonts w:ascii="Palatino Linotype" w:eastAsia="Palatino Linotype" w:hAnsi="Palatino Linotype" w:cs="Palatino Linotype"/>
          <w:b/>
          <w:bCs/>
          <w:sz w:val="22"/>
          <w:szCs w:val="22"/>
        </w:rPr>
        <w:t xml:space="preserve"> diez</w:t>
      </w:r>
      <w:r w:rsidR="004E4A84" w:rsidRPr="004100F2">
        <w:rPr>
          <w:rFonts w:ascii="Palatino Linotype" w:eastAsia="Palatino Linotype" w:hAnsi="Palatino Linotype" w:cs="Palatino Linotype"/>
          <w:b/>
          <w:bCs/>
          <w:sz w:val="22"/>
          <w:szCs w:val="22"/>
        </w:rPr>
        <w:t xml:space="preserve"> y once</w:t>
      </w:r>
      <w:r w:rsidR="00227CBA" w:rsidRPr="004100F2">
        <w:rPr>
          <w:rFonts w:ascii="Palatino Linotype" w:eastAsia="Palatino Linotype" w:hAnsi="Palatino Linotype" w:cs="Palatino Linotype"/>
          <w:b/>
          <w:bCs/>
          <w:sz w:val="22"/>
          <w:szCs w:val="22"/>
        </w:rPr>
        <w:t xml:space="preserve"> de </w:t>
      </w:r>
      <w:r w:rsidR="002C68A5" w:rsidRPr="004100F2">
        <w:rPr>
          <w:rFonts w:ascii="Palatino Linotype" w:eastAsia="Palatino Linotype" w:hAnsi="Palatino Linotype" w:cs="Palatino Linotype"/>
          <w:b/>
          <w:bCs/>
          <w:sz w:val="22"/>
          <w:szCs w:val="22"/>
        </w:rPr>
        <w:t xml:space="preserve">noviembre </w:t>
      </w:r>
      <w:r w:rsidR="00227CBA" w:rsidRPr="004100F2">
        <w:rPr>
          <w:rFonts w:ascii="Palatino Linotype" w:eastAsia="Palatino Linotype" w:hAnsi="Palatino Linotype" w:cs="Palatino Linotype"/>
          <w:sz w:val="22"/>
          <w:szCs w:val="22"/>
        </w:rPr>
        <w:t>d</w:t>
      </w:r>
      <w:r w:rsidRPr="004100F2">
        <w:rPr>
          <w:rFonts w:ascii="Palatino Linotype" w:eastAsia="Palatino Linotype" w:hAnsi="Palatino Linotype" w:cs="Palatino Linotype"/>
          <w:b/>
          <w:sz w:val="22"/>
          <w:szCs w:val="22"/>
        </w:rPr>
        <w:t>e dos mil veintic</w:t>
      </w:r>
      <w:r w:rsidR="00227CBA" w:rsidRPr="004100F2">
        <w:rPr>
          <w:rFonts w:ascii="Palatino Linotype" w:eastAsia="Palatino Linotype" w:hAnsi="Palatino Linotype" w:cs="Palatino Linotype"/>
          <w:b/>
          <w:sz w:val="22"/>
          <w:szCs w:val="22"/>
        </w:rPr>
        <w:t>inco</w:t>
      </w:r>
      <w:r w:rsidRPr="004100F2">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admitieron a trámite los recursos de revisión al rubro indicado.</w:t>
      </w:r>
    </w:p>
    <w:p w14:paraId="78DF0962" w14:textId="606BA123" w:rsidR="00344ABC" w:rsidRPr="004100F2" w:rsidRDefault="000D2644">
      <w:p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4100F2">
        <w:rPr>
          <w:rFonts w:ascii="Palatino Linotype" w:eastAsia="Palatino Linotype" w:hAnsi="Palatino Linotype" w:cs="Palatino Linotype"/>
          <w:b/>
          <w:sz w:val="22"/>
          <w:szCs w:val="22"/>
        </w:rPr>
        <w:t>6. Acumulación de los recursos de revisión.</w:t>
      </w:r>
      <w:r w:rsidR="003D7618" w:rsidRPr="004100F2">
        <w:rPr>
          <w:rFonts w:ascii="Palatino Linotype" w:eastAsia="Palatino Linotype" w:hAnsi="Palatino Linotype" w:cs="Palatino Linotype"/>
          <w:b/>
          <w:sz w:val="22"/>
          <w:szCs w:val="22"/>
        </w:rPr>
        <w:t xml:space="preserve"> </w:t>
      </w:r>
      <w:r w:rsidR="003D7618" w:rsidRPr="004100F2">
        <w:rPr>
          <w:rFonts w:ascii="Palatino Linotype" w:eastAsia="Palatino Linotype" w:hAnsi="Palatino Linotype" w:cs="Palatino Linotype"/>
          <w:bCs/>
          <w:sz w:val="22"/>
          <w:szCs w:val="22"/>
        </w:rPr>
        <w:t xml:space="preserve">El </w:t>
      </w:r>
      <w:r w:rsidR="002C68A5" w:rsidRPr="004100F2">
        <w:rPr>
          <w:rFonts w:ascii="Palatino Linotype" w:eastAsia="Palatino Linotype" w:hAnsi="Palatino Linotype" w:cs="Palatino Linotype"/>
          <w:b/>
          <w:sz w:val="22"/>
          <w:szCs w:val="22"/>
        </w:rPr>
        <w:t xml:space="preserve">veinte </w:t>
      </w:r>
      <w:r w:rsidR="00227CBA" w:rsidRPr="004100F2">
        <w:rPr>
          <w:rFonts w:ascii="Palatino Linotype" w:eastAsia="Palatino Linotype" w:hAnsi="Palatino Linotype" w:cs="Palatino Linotype"/>
          <w:b/>
          <w:sz w:val="22"/>
          <w:szCs w:val="22"/>
        </w:rPr>
        <w:t xml:space="preserve">de </w:t>
      </w:r>
      <w:r w:rsidR="002C68A5" w:rsidRPr="004100F2">
        <w:rPr>
          <w:rFonts w:ascii="Palatino Linotype" w:eastAsia="Palatino Linotype" w:hAnsi="Palatino Linotype" w:cs="Palatino Linotype"/>
          <w:b/>
          <w:sz w:val="22"/>
          <w:szCs w:val="22"/>
        </w:rPr>
        <w:t xml:space="preserve">noviembre </w:t>
      </w:r>
      <w:r w:rsidR="00227CBA" w:rsidRPr="004100F2">
        <w:rPr>
          <w:rFonts w:ascii="Palatino Linotype" w:eastAsia="Palatino Linotype" w:hAnsi="Palatino Linotype" w:cs="Palatino Linotype"/>
          <w:b/>
          <w:sz w:val="22"/>
          <w:szCs w:val="22"/>
        </w:rPr>
        <w:t xml:space="preserve">de dos mil veinticinco, </w:t>
      </w:r>
      <w:r w:rsidRPr="004100F2">
        <w:rPr>
          <w:rFonts w:ascii="Palatino Linotype" w:eastAsia="Palatino Linotype" w:hAnsi="Palatino Linotype" w:cs="Palatino Linotype"/>
          <w:sz w:val="22"/>
          <w:szCs w:val="22"/>
        </w:rPr>
        <w:t xml:space="preserve">el Pleno de este Instituto, </w:t>
      </w:r>
      <w:r w:rsidR="003D7618" w:rsidRPr="004100F2">
        <w:rPr>
          <w:rFonts w:ascii="Palatino Linotype" w:eastAsia="Palatino Linotype" w:hAnsi="Palatino Linotype" w:cs="Palatino Linotype"/>
          <w:sz w:val="22"/>
          <w:szCs w:val="22"/>
        </w:rPr>
        <w:t xml:space="preserve">acordó </w:t>
      </w:r>
      <w:r w:rsidRPr="004100F2">
        <w:rPr>
          <w:rFonts w:ascii="Palatino Linotype" w:eastAsia="Palatino Linotype" w:hAnsi="Palatino Linotype" w:cs="Palatino Linotype"/>
          <w:sz w:val="22"/>
          <w:szCs w:val="22"/>
        </w:rPr>
        <w:t xml:space="preserve">la acumulación de los expedientes citados, a efecto de que la Comisionada </w:t>
      </w:r>
      <w:r w:rsidRPr="004100F2">
        <w:rPr>
          <w:rFonts w:ascii="Palatino Linotype" w:eastAsia="Palatino Linotype" w:hAnsi="Palatino Linotype" w:cs="Palatino Linotype"/>
          <w:b/>
          <w:sz w:val="22"/>
          <w:szCs w:val="22"/>
        </w:rPr>
        <w:t xml:space="preserve">Guadalupe Ramírez Peña </w:t>
      </w:r>
      <w:r w:rsidRPr="004100F2">
        <w:rPr>
          <w:rFonts w:ascii="Palatino Linotype" w:eastAsia="Palatino Linotype" w:hAnsi="Palatino Linotype" w:cs="Palatino Linotype"/>
          <w:sz w:val="22"/>
          <w:szCs w:val="22"/>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1F77ED9D" w14:textId="77777777" w:rsidR="00344ABC" w:rsidRPr="004100F2" w:rsidRDefault="000D2644">
      <w:pPr>
        <w:pBdr>
          <w:top w:val="nil"/>
          <w:left w:val="nil"/>
          <w:bottom w:val="nil"/>
          <w:right w:val="nil"/>
          <w:between w:val="nil"/>
        </w:pBdr>
        <w:spacing w:before="120" w:after="120"/>
        <w:ind w:left="851" w:right="902"/>
        <w:jc w:val="both"/>
        <w:rPr>
          <w:rFonts w:ascii="Palatino Linotype" w:hAnsi="Palatino Linotype"/>
          <w:sz w:val="22"/>
          <w:szCs w:val="22"/>
        </w:rPr>
      </w:pPr>
      <w:r w:rsidRPr="004100F2">
        <w:rPr>
          <w:rFonts w:ascii="Palatino Linotype" w:eastAsia="Palatino Linotype" w:hAnsi="Palatino Linotype" w:cs="Palatino Linotype"/>
          <w:b/>
          <w:i/>
          <w:sz w:val="22"/>
          <w:szCs w:val="22"/>
        </w:rPr>
        <w:t>Código de Procedimientos Administrativos del Estado de México</w:t>
      </w:r>
    </w:p>
    <w:p w14:paraId="56E360FF" w14:textId="77777777" w:rsidR="00344ABC" w:rsidRPr="004100F2" w:rsidRDefault="000D2644">
      <w:pPr>
        <w:pBdr>
          <w:top w:val="nil"/>
          <w:left w:val="nil"/>
          <w:bottom w:val="nil"/>
          <w:right w:val="nil"/>
          <w:between w:val="nil"/>
        </w:pBdr>
        <w:spacing w:before="120" w:after="120"/>
        <w:ind w:left="851" w:right="902"/>
        <w:jc w:val="both"/>
        <w:rPr>
          <w:rFonts w:ascii="Palatino Linotype" w:hAnsi="Palatino Linotype"/>
          <w:sz w:val="22"/>
          <w:szCs w:val="22"/>
        </w:rPr>
      </w:pPr>
      <w:r w:rsidRPr="004100F2">
        <w:rPr>
          <w:rFonts w:ascii="Palatino Linotype" w:eastAsia="Palatino Linotype" w:hAnsi="Palatino Linotype" w:cs="Palatino Linotype"/>
          <w:b/>
          <w:i/>
          <w:sz w:val="22"/>
          <w:szCs w:val="22"/>
        </w:rPr>
        <w:t>“Artículo 18.-</w:t>
      </w:r>
      <w:r w:rsidRPr="004100F2">
        <w:rPr>
          <w:rFonts w:ascii="Palatino Linotype" w:eastAsia="Palatino Linotype" w:hAnsi="Palatino Linotype" w:cs="Palatino Linotype"/>
          <w:i/>
          <w:sz w:val="22"/>
          <w:szCs w:val="22"/>
        </w:rPr>
        <w:t xml:space="preserve"> </w:t>
      </w:r>
      <w:r w:rsidRPr="004100F2">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4100F2">
        <w:rPr>
          <w:rFonts w:ascii="Palatino Linotype" w:eastAsia="Palatino Linotype" w:hAnsi="Palatino Linotype" w:cs="Palatino Linotype"/>
          <w:i/>
          <w:sz w:val="22"/>
          <w:szCs w:val="22"/>
        </w:rPr>
        <w:t xml:space="preserve"> o a petición de parte, </w:t>
      </w:r>
      <w:r w:rsidRPr="004100F2">
        <w:rPr>
          <w:rFonts w:ascii="Palatino Linotype" w:eastAsia="Palatino Linotype" w:hAnsi="Palatino Linotype" w:cs="Palatino Linotype"/>
          <w:b/>
          <w:i/>
          <w:sz w:val="22"/>
          <w:szCs w:val="22"/>
        </w:rPr>
        <w:t>cuando las partes</w:t>
      </w:r>
      <w:r w:rsidRPr="004100F2">
        <w:rPr>
          <w:rFonts w:ascii="Palatino Linotype" w:eastAsia="Palatino Linotype" w:hAnsi="Palatino Linotype" w:cs="Palatino Linotype"/>
          <w:i/>
          <w:sz w:val="22"/>
          <w:szCs w:val="22"/>
        </w:rPr>
        <w:t xml:space="preserve"> o los actos administrativos sean iguales, se trate de actos conexos o </w:t>
      </w:r>
      <w:r w:rsidRPr="004100F2">
        <w:rPr>
          <w:rFonts w:ascii="Palatino Linotype" w:eastAsia="Palatino Linotype" w:hAnsi="Palatino Linotype" w:cs="Palatino Linotype"/>
          <w:b/>
          <w:i/>
          <w:sz w:val="22"/>
          <w:szCs w:val="22"/>
        </w:rPr>
        <w:t>resulte conveniente el trámite unificado de los asuntos, para evitar la emisión de resoluciones contradictorias</w:t>
      </w:r>
      <w:r w:rsidRPr="004100F2">
        <w:rPr>
          <w:rFonts w:ascii="Palatino Linotype" w:eastAsia="Palatino Linotype" w:hAnsi="Palatino Linotype" w:cs="Palatino Linotype"/>
          <w:i/>
          <w:sz w:val="22"/>
          <w:szCs w:val="22"/>
        </w:rPr>
        <w:t>. La misma regla se aplicará, en lo conducente, para la separación de los expedientes.”</w:t>
      </w:r>
    </w:p>
    <w:p w14:paraId="6C0D02FB" w14:textId="77777777" w:rsidR="00344ABC" w:rsidRPr="004100F2" w:rsidRDefault="000D2644">
      <w:pPr>
        <w:pBdr>
          <w:top w:val="nil"/>
          <w:left w:val="nil"/>
          <w:bottom w:val="nil"/>
          <w:right w:val="nil"/>
          <w:between w:val="nil"/>
        </w:pBdr>
        <w:spacing w:before="120" w:after="120"/>
        <w:ind w:left="851" w:right="902"/>
        <w:jc w:val="both"/>
        <w:rPr>
          <w:rFonts w:ascii="Palatino Linotype" w:hAnsi="Palatino Linotype"/>
          <w:sz w:val="22"/>
          <w:szCs w:val="22"/>
        </w:rPr>
      </w:pPr>
      <w:r w:rsidRPr="004100F2">
        <w:rPr>
          <w:rFonts w:ascii="Palatino Linotype" w:eastAsia="Palatino Linotype" w:hAnsi="Palatino Linotype" w:cs="Palatino Linotype"/>
          <w:b/>
          <w:i/>
          <w:sz w:val="22"/>
          <w:szCs w:val="22"/>
        </w:rPr>
        <w:t>Ley de Transparencia y Acceso a la Información Pública del Estado de México y Municipios</w:t>
      </w:r>
    </w:p>
    <w:p w14:paraId="4A384A0C" w14:textId="77777777" w:rsidR="00344ABC" w:rsidRPr="004100F2" w:rsidRDefault="000D2644">
      <w:pPr>
        <w:pBdr>
          <w:top w:val="nil"/>
          <w:left w:val="nil"/>
          <w:bottom w:val="nil"/>
          <w:right w:val="nil"/>
          <w:between w:val="nil"/>
        </w:pBdr>
        <w:spacing w:before="120" w:after="120"/>
        <w:ind w:left="851" w:right="902"/>
        <w:jc w:val="both"/>
        <w:rPr>
          <w:rFonts w:ascii="Palatino Linotype" w:hAnsi="Palatino Linotype"/>
          <w:sz w:val="22"/>
          <w:szCs w:val="22"/>
        </w:rPr>
      </w:pPr>
      <w:r w:rsidRPr="004100F2">
        <w:rPr>
          <w:rFonts w:ascii="Palatino Linotype" w:eastAsia="Palatino Linotype" w:hAnsi="Palatino Linotype" w:cs="Palatino Linotype"/>
          <w:b/>
          <w:i/>
          <w:sz w:val="22"/>
          <w:szCs w:val="22"/>
        </w:rPr>
        <w:t>“Artículo 195.-</w:t>
      </w:r>
      <w:r w:rsidRPr="004100F2">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6C7D99BB" w14:textId="77777777" w:rsidR="00344ABC"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b/>
          <w:sz w:val="22"/>
          <w:szCs w:val="22"/>
        </w:rPr>
        <w:t xml:space="preserve">7. Manifestaciones. </w:t>
      </w:r>
      <w:r w:rsidRPr="004100F2">
        <w:rPr>
          <w:rFonts w:ascii="Palatino Linotype" w:eastAsia="Palatino Linotype" w:hAnsi="Palatino Linotype" w:cs="Palatino Linotype"/>
          <w:sz w:val="22"/>
          <w:szCs w:val="22"/>
        </w:rPr>
        <w:t>De las constancias que obran en los expedientes electrónicos del SAIMEX se desprende que</w:t>
      </w:r>
      <w:r w:rsidRPr="004100F2">
        <w:rPr>
          <w:rFonts w:ascii="Palatino Linotype" w:eastAsia="Palatino Linotype" w:hAnsi="Palatino Linotype" w:cs="Palatino Linotype"/>
          <w:b/>
          <w:sz w:val="22"/>
          <w:szCs w:val="22"/>
        </w:rPr>
        <w:t xml:space="preserve"> </w:t>
      </w:r>
      <w:r w:rsidRPr="004100F2">
        <w:rPr>
          <w:rFonts w:ascii="Palatino Linotype" w:eastAsia="Palatino Linotype" w:hAnsi="Palatino Linotype" w:cs="Palatino Linotype"/>
          <w:sz w:val="22"/>
          <w:szCs w:val="22"/>
        </w:rPr>
        <w:t xml:space="preserve">el </w:t>
      </w:r>
      <w:r w:rsidRPr="004100F2">
        <w:rPr>
          <w:rFonts w:ascii="Palatino Linotype" w:eastAsia="Palatino Linotype" w:hAnsi="Palatino Linotype" w:cs="Palatino Linotype"/>
          <w:b/>
          <w:sz w:val="22"/>
          <w:szCs w:val="22"/>
        </w:rPr>
        <w:t>Sujeto Obligado</w:t>
      </w:r>
      <w:r w:rsidRPr="004100F2">
        <w:rPr>
          <w:rFonts w:ascii="Palatino Linotype" w:eastAsia="Palatino Linotype" w:hAnsi="Palatino Linotype" w:cs="Palatino Linotype"/>
          <w:sz w:val="22"/>
          <w:szCs w:val="22"/>
        </w:rPr>
        <w:t xml:space="preserve"> no rindió su informe justificado, del mismo modo la parte </w:t>
      </w:r>
      <w:r w:rsidRPr="004100F2">
        <w:rPr>
          <w:rFonts w:ascii="Palatino Linotype" w:eastAsia="Palatino Linotype" w:hAnsi="Palatino Linotype" w:cs="Palatino Linotype"/>
          <w:b/>
          <w:sz w:val="22"/>
          <w:szCs w:val="22"/>
        </w:rPr>
        <w:t>Recurrente</w:t>
      </w:r>
      <w:r w:rsidRPr="004100F2">
        <w:rPr>
          <w:rFonts w:ascii="Palatino Linotype" w:eastAsia="Palatino Linotype" w:hAnsi="Palatino Linotype" w:cs="Palatino Linotype"/>
          <w:sz w:val="22"/>
          <w:szCs w:val="22"/>
        </w:rPr>
        <w:t xml:space="preserve"> omitió realizar manifestaciones, como se observa a continuación:</w:t>
      </w:r>
    </w:p>
    <w:p w14:paraId="73A62481" w14:textId="344AD426" w:rsidR="00AF2592" w:rsidRPr="004100F2" w:rsidRDefault="004E4A8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noProof/>
          <w:sz w:val="22"/>
          <w:szCs w:val="22"/>
          <w:lang w:eastAsia="es-MX"/>
        </w:rPr>
        <w:drawing>
          <wp:inline distT="0" distB="0" distL="0" distR="0" wp14:anchorId="35B972B9" wp14:editId="66393AF8">
            <wp:extent cx="5612130" cy="158051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80515"/>
                    </a:xfrm>
                    <a:prstGeom prst="rect">
                      <a:avLst/>
                    </a:prstGeom>
                  </pic:spPr>
                </pic:pic>
              </a:graphicData>
            </a:graphic>
          </wp:inline>
        </w:drawing>
      </w:r>
    </w:p>
    <w:p w14:paraId="69917537" w14:textId="5BFC2174" w:rsidR="00AF2592" w:rsidRPr="004100F2" w:rsidRDefault="004E4A8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noProof/>
          <w:sz w:val="22"/>
          <w:szCs w:val="22"/>
          <w:lang w:eastAsia="es-MX"/>
        </w:rPr>
        <w:drawing>
          <wp:inline distT="0" distB="0" distL="0" distR="0" wp14:anchorId="729C4CAF" wp14:editId="6F325C6C">
            <wp:extent cx="5612130" cy="1592580"/>
            <wp:effectExtent l="0" t="0" r="762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92580"/>
                    </a:xfrm>
                    <a:prstGeom prst="rect">
                      <a:avLst/>
                    </a:prstGeom>
                  </pic:spPr>
                </pic:pic>
              </a:graphicData>
            </a:graphic>
          </wp:inline>
        </w:drawing>
      </w:r>
    </w:p>
    <w:p w14:paraId="27017776" w14:textId="03B2BD39" w:rsidR="008E304D" w:rsidRPr="004100F2" w:rsidRDefault="008E304D">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noProof/>
          <w:sz w:val="22"/>
          <w:szCs w:val="22"/>
          <w:lang w:eastAsia="es-MX"/>
        </w:rPr>
        <w:drawing>
          <wp:inline distT="0" distB="0" distL="0" distR="0" wp14:anchorId="7B11E4C8" wp14:editId="3BCABCEA">
            <wp:extent cx="5612130" cy="158940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589405"/>
                    </a:xfrm>
                    <a:prstGeom prst="rect">
                      <a:avLst/>
                    </a:prstGeom>
                  </pic:spPr>
                </pic:pic>
              </a:graphicData>
            </a:graphic>
          </wp:inline>
        </w:drawing>
      </w:r>
    </w:p>
    <w:p w14:paraId="6018F272" w14:textId="76E135B2" w:rsidR="008E304D" w:rsidRPr="004100F2" w:rsidRDefault="008E304D">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noProof/>
          <w:sz w:val="22"/>
          <w:szCs w:val="22"/>
          <w:lang w:eastAsia="es-MX"/>
        </w:rPr>
        <w:drawing>
          <wp:inline distT="0" distB="0" distL="0" distR="0" wp14:anchorId="275582D5" wp14:editId="45CFE0E9">
            <wp:extent cx="5612130" cy="1591310"/>
            <wp:effectExtent l="0" t="0" r="762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591310"/>
                    </a:xfrm>
                    <a:prstGeom prst="rect">
                      <a:avLst/>
                    </a:prstGeom>
                  </pic:spPr>
                </pic:pic>
              </a:graphicData>
            </a:graphic>
          </wp:inline>
        </w:drawing>
      </w:r>
      <w:r w:rsidRPr="004100F2">
        <w:rPr>
          <w:rFonts w:ascii="Palatino Linotype" w:eastAsia="Palatino Linotype" w:hAnsi="Palatino Linotype" w:cs="Palatino Linotype"/>
          <w:noProof/>
          <w:sz w:val="22"/>
          <w:szCs w:val="22"/>
          <w:lang w:eastAsia="es-MX"/>
        </w:rPr>
        <w:drawing>
          <wp:inline distT="0" distB="0" distL="0" distR="0" wp14:anchorId="0190AF23" wp14:editId="0EDDC08C">
            <wp:extent cx="5612130" cy="1593215"/>
            <wp:effectExtent l="0" t="0" r="762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593215"/>
                    </a:xfrm>
                    <a:prstGeom prst="rect">
                      <a:avLst/>
                    </a:prstGeom>
                  </pic:spPr>
                </pic:pic>
              </a:graphicData>
            </a:graphic>
          </wp:inline>
        </w:drawing>
      </w:r>
      <w:r w:rsidRPr="004100F2">
        <w:rPr>
          <w:rFonts w:ascii="Palatino Linotype" w:eastAsia="Palatino Linotype" w:hAnsi="Palatino Linotype" w:cs="Palatino Linotype"/>
          <w:noProof/>
          <w:sz w:val="22"/>
          <w:szCs w:val="22"/>
          <w:lang w:eastAsia="es-MX"/>
        </w:rPr>
        <w:drawing>
          <wp:inline distT="0" distB="0" distL="0" distR="0" wp14:anchorId="5CEE0E53" wp14:editId="3373A72D">
            <wp:extent cx="5612130" cy="160147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601470"/>
                    </a:xfrm>
                    <a:prstGeom prst="rect">
                      <a:avLst/>
                    </a:prstGeom>
                  </pic:spPr>
                </pic:pic>
              </a:graphicData>
            </a:graphic>
          </wp:inline>
        </w:drawing>
      </w:r>
    </w:p>
    <w:p w14:paraId="2A35695F" w14:textId="3D4D7EDA" w:rsidR="00344ABC"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b/>
          <w:sz w:val="22"/>
          <w:szCs w:val="22"/>
        </w:rPr>
        <w:t xml:space="preserve">8. Cierre de Instrucción. </w:t>
      </w:r>
      <w:r w:rsidRPr="004100F2">
        <w:rPr>
          <w:rFonts w:ascii="Palatino Linotype" w:eastAsia="Palatino Linotype" w:hAnsi="Palatino Linotype" w:cs="Palatino Linotype"/>
          <w:sz w:val="22"/>
          <w:szCs w:val="22"/>
        </w:rPr>
        <w:t>E</w:t>
      </w:r>
      <w:r w:rsidR="008E304D" w:rsidRPr="004100F2">
        <w:rPr>
          <w:rFonts w:ascii="Palatino Linotype" w:eastAsia="Palatino Linotype" w:hAnsi="Palatino Linotype" w:cs="Palatino Linotype"/>
          <w:sz w:val="22"/>
          <w:szCs w:val="22"/>
        </w:rPr>
        <w:t xml:space="preserve">l </w:t>
      </w:r>
      <w:r w:rsidR="004E4A84" w:rsidRPr="004100F2">
        <w:rPr>
          <w:rFonts w:ascii="Palatino Linotype" w:eastAsia="Palatino Linotype" w:hAnsi="Palatino Linotype" w:cs="Palatino Linotype"/>
          <w:b/>
          <w:sz w:val="22"/>
          <w:szCs w:val="22"/>
        </w:rPr>
        <w:t>veintiuno</w:t>
      </w:r>
      <w:r w:rsidR="008E304D" w:rsidRPr="004100F2">
        <w:rPr>
          <w:rFonts w:ascii="Palatino Linotype" w:eastAsia="Palatino Linotype" w:hAnsi="Palatino Linotype" w:cs="Palatino Linotype"/>
          <w:b/>
          <w:sz w:val="22"/>
          <w:szCs w:val="22"/>
        </w:rPr>
        <w:t xml:space="preserve"> </w:t>
      </w:r>
      <w:r w:rsidR="008E304D" w:rsidRPr="004100F2">
        <w:rPr>
          <w:rFonts w:ascii="Palatino Linotype" w:eastAsia="Palatino Linotype" w:hAnsi="Palatino Linotype" w:cs="Palatino Linotype"/>
          <w:sz w:val="22"/>
          <w:szCs w:val="22"/>
        </w:rPr>
        <w:t xml:space="preserve">y </w:t>
      </w:r>
      <w:r w:rsidR="008E304D" w:rsidRPr="004100F2">
        <w:rPr>
          <w:rFonts w:ascii="Palatino Linotype" w:eastAsia="Palatino Linotype" w:hAnsi="Palatino Linotype" w:cs="Palatino Linotype"/>
          <w:b/>
          <w:sz w:val="22"/>
          <w:szCs w:val="22"/>
        </w:rPr>
        <w:t>veintiséis</w:t>
      </w:r>
      <w:r w:rsidR="008B2686" w:rsidRPr="004100F2">
        <w:rPr>
          <w:rFonts w:ascii="Palatino Linotype" w:eastAsia="Palatino Linotype" w:hAnsi="Palatino Linotype" w:cs="Palatino Linotype"/>
          <w:b/>
          <w:sz w:val="22"/>
          <w:szCs w:val="22"/>
        </w:rPr>
        <w:t xml:space="preserve"> de noviembre de dos mil veinticinco</w:t>
      </w:r>
      <w:r w:rsidRPr="004100F2">
        <w:rPr>
          <w:rFonts w:ascii="Palatino Linotype" w:eastAsia="Palatino Linotype" w:hAnsi="Palatino Linotype" w:cs="Palatino Linotype"/>
          <w:sz w:val="22"/>
          <w:szCs w:val="22"/>
        </w:rPr>
        <w:t>, con fundamento en lo establecido en el artículo 185, fracción VI de la Ley de Transparencia y Acceso a la Información Pública del Estado de México y Municipios, al no existir trámite pendiente por realizar y haber sido sustanciado el medio de impugnación, se acordó el cierre de instrucción y se procedió a formular la resolución que en derecho corresponda.</w:t>
      </w:r>
    </w:p>
    <w:p w14:paraId="5E182698" w14:textId="77777777" w:rsidR="00344ABC"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En razón de que fueron debidamente sustanciados los expedientes electrónicos y no existe diligencia pendiente de desahogo, se emite la Resolución que conforme a Derecho proceda, de acuerdo con los siguientes: </w:t>
      </w:r>
    </w:p>
    <w:p w14:paraId="5F8D8130" w14:textId="77777777" w:rsidR="00344ABC" w:rsidRPr="004100F2" w:rsidRDefault="000D2644">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4100F2">
        <w:rPr>
          <w:rFonts w:ascii="Palatino Linotype" w:eastAsia="Palatino Linotype" w:hAnsi="Palatino Linotype" w:cs="Palatino Linotype"/>
          <w:b/>
          <w:sz w:val="22"/>
          <w:szCs w:val="22"/>
        </w:rPr>
        <w:t>II. C O N S I D E R A N D O S:</w:t>
      </w:r>
    </w:p>
    <w:p w14:paraId="52A204D3" w14:textId="58AD0537" w:rsidR="00344ABC"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b/>
          <w:sz w:val="22"/>
          <w:szCs w:val="22"/>
        </w:rPr>
        <w:t>Primero. Competencia.</w:t>
      </w:r>
      <w:r w:rsidRPr="004100F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los presentes recursos de revisión interpuestos por la parte </w:t>
      </w:r>
      <w:r w:rsidRPr="004100F2">
        <w:rPr>
          <w:rFonts w:ascii="Palatino Linotype" w:eastAsia="Palatino Linotype" w:hAnsi="Palatino Linotype" w:cs="Palatino Linotype"/>
          <w:b/>
          <w:sz w:val="22"/>
          <w:szCs w:val="22"/>
        </w:rPr>
        <w:t>Recurrente</w:t>
      </w:r>
      <w:r w:rsidRPr="004100F2">
        <w:rPr>
          <w:rFonts w:ascii="Palatino Linotype" w:eastAsia="Palatino Linotype" w:hAnsi="Palatino Linotype" w:cs="Palatino Linotype"/>
          <w:sz w:val="22"/>
          <w:szCs w:val="22"/>
        </w:rPr>
        <w:t xml:space="preserve">, conforme a lo dispuesto en los artículos 6, apartado A de la Constitución Política de los Estados Unidos Mexicanos; 5 párrafos </w:t>
      </w:r>
      <w:r w:rsidR="000033EE" w:rsidRPr="004100F2">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del Decreto número 198 de la “LXII” Legislatura del Estado de México</w:t>
      </w:r>
      <w:r w:rsidRPr="004100F2">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C9FEC31" w14:textId="5095057E" w:rsidR="00344ABC"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b/>
          <w:sz w:val="22"/>
          <w:szCs w:val="22"/>
        </w:rPr>
        <w:t xml:space="preserve">Segundo. Oportunidad y Procedibilidad. </w:t>
      </w:r>
      <w:r w:rsidRPr="004100F2">
        <w:rPr>
          <w:rFonts w:ascii="Palatino Linotype" w:eastAsia="Palatino Linotype" w:hAnsi="Palatino Linotype" w:cs="Palatino Linotype"/>
          <w:sz w:val="22"/>
          <w:szCs w:val="22"/>
        </w:rPr>
        <w:t>Es de precisar que la</w:t>
      </w:r>
      <w:r w:rsidRPr="004100F2">
        <w:rPr>
          <w:rFonts w:ascii="Palatino Linotype" w:eastAsia="Palatino Linotype" w:hAnsi="Palatino Linotype" w:cs="Palatino Linotype"/>
          <w:b/>
          <w:sz w:val="22"/>
          <w:szCs w:val="22"/>
        </w:rPr>
        <w:t xml:space="preserve"> </w:t>
      </w:r>
      <w:r w:rsidRPr="004100F2">
        <w:rPr>
          <w:rFonts w:ascii="Palatino Linotype" w:eastAsia="Palatino Linotype" w:hAnsi="Palatino Linotype" w:cs="Palatino Linotype"/>
          <w:sz w:val="22"/>
          <w:szCs w:val="22"/>
        </w:rPr>
        <w:t xml:space="preserve">Ley de Transparencia y Acceso a la Información Pública del Estado de México y Municipios, describe el mecanismo de procedencia de los recursos de revisión, como se dispone en los artículos 163 y 166, del tenor literal siguiente: </w:t>
      </w:r>
    </w:p>
    <w:p w14:paraId="0E34EFF7" w14:textId="5357240E" w:rsidR="00344ABC" w:rsidRPr="004100F2" w:rsidRDefault="000D2644">
      <w:pPr>
        <w:ind w:left="851"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i/>
          <w:sz w:val="22"/>
          <w:szCs w:val="22"/>
        </w:rPr>
        <w:t>“</w:t>
      </w:r>
      <w:r w:rsidRPr="004100F2">
        <w:rPr>
          <w:rFonts w:ascii="Palatino Linotype" w:eastAsia="Palatino Linotype" w:hAnsi="Palatino Linotype" w:cs="Palatino Linotype"/>
          <w:b/>
          <w:i/>
          <w:sz w:val="22"/>
          <w:szCs w:val="22"/>
        </w:rPr>
        <w:t xml:space="preserve">Artículo 163. </w:t>
      </w:r>
      <w:r w:rsidRPr="004100F2">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1FE69A3E" w14:textId="77777777" w:rsidR="00344ABC" w:rsidRPr="004100F2" w:rsidRDefault="000D2644">
      <w:pPr>
        <w:ind w:left="851"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i/>
          <w:sz w:val="22"/>
          <w:szCs w:val="22"/>
        </w:rPr>
        <w:t>…</w:t>
      </w:r>
    </w:p>
    <w:p w14:paraId="6CB8093F" w14:textId="77777777" w:rsidR="00344ABC" w:rsidRPr="004100F2" w:rsidRDefault="000D2644">
      <w:pPr>
        <w:ind w:left="851"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Artículo 166.</w:t>
      </w:r>
      <w:r w:rsidRPr="004100F2">
        <w:rPr>
          <w:rFonts w:ascii="Palatino Linotype" w:eastAsia="Palatino Linotype" w:hAnsi="Palatino Linotype" w:cs="Palatino Linotype"/>
          <w:i/>
          <w:sz w:val="22"/>
          <w:szCs w:val="22"/>
        </w:rPr>
        <w:t xml:space="preserve"> …</w:t>
      </w:r>
    </w:p>
    <w:p w14:paraId="6B47B616" w14:textId="77777777" w:rsidR="00344ABC" w:rsidRPr="004100F2" w:rsidRDefault="000D2644">
      <w:pPr>
        <w:ind w:left="851"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3921621A" w14:textId="77777777" w:rsidR="00344ABC" w:rsidRPr="004100F2" w:rsidRDefault="000D2644">
      <w:pPr>
        <w:ind w:left="851"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i/>
          <w:sz w:val="22"/>
          <w:szCs w:val="22"/>
        </w:rPr>
        <w:t xml:space="preserve">…” </w:t>
      </w:r>
    </w:p>
    <w:p w14:paraId="50BD5FE1" w14:textId="77777777" w:rsidR="00344ABC"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w:t>
      </w:r>
    </w:p>
    <w:p w14:paraId="0C140BD0" w14:textId="0700C73D" w:rsidR="00344ABC"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Derivado de lo anterior, se constituye lo que en la doctrina se conoce como </w:t>
      </w:r>
      <w:r w:rsidR="00FA4BD1" w:rsidRPr="004100F2">
        <w:rPr>
          <w:rFonts w:ascii="Palatino Linotype" w:eastAsia="Palatino Linotype" w:hAnsi="Palatino Linotype" w:cs="Palatino Linotype"/>
          <w:b/>
          <w:bCs/>
          <w:sz w:val="22"/>
          <w:szCs w:val="22"/>
        </w:rPr>
        <w:t>NEGATIVA FICTA</w:t>
      </w:r>
      <w:r w:rsidRPr="004100F2">
        <w:rPr>
          <w:rFonts w:ascii="Palatino Linotype" w:eastAsia="Palatino Linotype" w:hAnsi="Palatino Linotype" w:cs="Palatino Linotype"/>
          <w:sz w:val="22"/>
          <w:szCs w:val="22"/>
        </w:rPr>
        <w:t>, figura jurídica cuya esencia consiste en atribuir un efecto negativo al silencio de la autoridad administrativa frente a las instancias y solicitudes que hagan los particulares.</w:t>
      </w:r>
    </w:p>
    <w:p w14:paraId="7815F291" w14:textId="77777777" w:rsidR="00344ABC" w:rsidRPr="004100F2" w:rsidRDefault="000D2644">
      <w:pPr>
        <w:spacing w:before="240" w:after="240" w:line="360" w:lineRule="auto"/>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sz w:val="22"/>
          <w:szCs w:val="22"/>
        </w:rPr>
        <w:t>Por su parte, el artículo 178 del citado ordenamiento, establece:</w:t>
      </w:r>
    </w:p>
    <w:p w14:paraId="7D0793DE" w14:textId="77777777" w:rsidR="00344ABC" w:rsidRPr="004100F2" w:rsidRDefault="000D2644">
      <w:pPr>
        <w:spacing w:before="120" w:after="120"/>
        <w:ind w:left="851"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i/>
          <w:sz w:val="22"/>
          <w:szCs w:val="22"/>
        </w:rPr>
        <w:t>“</w:t>
      </w:r>
      <w:r w:rsidRPr="004100F2">
        <w:rPr>
          <w:rFonts w:ascii="Palatino Linotype" w:eastAsia="Palatino Linotype" w:hAnsi="Palatino Linotype" w:cs="Palatino Linotype"/>
          <w:b/>
          <w:i/>
          <w:sz w:val="22"/>
          <w:szCs w:val="22"/>
        </w:rPr>
        <w:t xml:space="preserve">Artículo 178. </w:t>
      </w:r>
      <w:r w:rsidRPr="004100F2">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C09AC5" w14:textId="77777777" w:rsidR="00344ABC" w:rsidRPr="004100F2" w:rsidRDefault="000D2644">
      <w:pPr>
        <w:spacing w:before="120" w:after="120"/>
        <w:ind w:left="851"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5FE396E" w14:textId="77777777" w:rsidR="00344ABC" w:rsidRPr="004100F2" w:rsidRDefault="000D2644">
      <w:pPr>
        <w:spacing w:before="240" w:after="240" w:line="360" w:lineRule="auto"/>
        <w:jc w:val="both"/>
        <w:rPr>
          <w:rFonts w:ascii="Palatino Linotype" w:eastAsia="Palatino Linotype" w:hAnsi="Palatino Linotype" w:cs="Palatino Linotype"/>
          <w:b/>
          <w:sz w:val="22"/>
          <w:szCs w:val="22"/>
          <w:u w:val="single"/>
        </w:rPr>
      </w:pPr>
      <w:r w:rsidRPr="004100F2">
        <w:rPr>
          <w:rFonts w:ascii="Palatino Linotype" w:eastAsia="Palatino Linotype" w:hAnsi="Palatino Linotype" w:cs="Palatino Linotype"/>
          <w:sz w:val="22"/>
          <w:szCs w:val="22"/>
        </w:rPr>
        <w:t xml:space="preserve">De lo anterior, se advierte que el recurso de revisión se ha de interponer dentro del plazo de quince días hábiles, a partir de la fecha en que el </w:t>
      </w:r>
      <w:r w:rsidRPr="004100F2">
        <w:rPr>
          <w:rFonts w:ascii="Palatino Linotype" w:eastAsia="Palatino Linotype" w:hAnsi="Palatino Linotype" w:cs="Palatino Linotype"/>
          <w:b/>
          <w:sz w:val="22"/>
          <w:szCs w:val="22"/>
        </w:rPr>
        <w:t xml:space="preserve">Sujeto Obligado </w:t>
      </w:r>
      <w:r w:rsidRPr="004100F2">
        <w:rPr>
          <w:rFonts w:ascii="Palatino Linotype" w:eastAsia="Palatino Linotype" w:hAnsi="Palatino Linotype" w:cs="Palatino Linotype"/>
          <w:sz w:val="22"/>
          <w:szCs w:val="22"/>
        </w:rPr>
        <w:t xml:space="preserve">da respuesta a la solicitud de información; sin embargo, tratándose de negativa ficta no existe resolución que se haga del conocimiento del particular a partir de la cual pueda computarse dicho plazo, por lo que se concluye que </w:t>
      </w:r>
      <w:r w:rsidRPr="004100F2">
        <w:rPr>
          <w:rFonts w:ascii="Palatino Linotype" w:eastAsia="Palatino Linotype" w:hAnsi="Palatino Linotype" w:cs="Palatino Linotype"/>
          <w:b/>
          <w:sz w:val="22"/>
          <w:szCs w:val="22"/>
          <w:u w:val="single"/>
        </w:rPr>
        <w:t>la interposición del recurso de revisión puede ser en cualquier momento.</w:t>
      </w:r>
    </w:p>
    <w:p w14:paraId="44EDFDD6" w14:textId="77777777" w:rsidR="00344ABC"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La negativa ficta constituye una presunción legal, en el entendido de que donde no hubo respuesta por parte del </w:t>
      </w:r>
      <w:r w:rsidRPr="004100F2">
        <w:rPr>
          <w:rFonts w:ascii="Palatino Linotype" w:eastAsia="Palatino Linotype" w:hAnsi="Palatino Linotype" w:cs="Palatino Linotype"/>
          <w:b/>
          <w:sz w:val="22"/>
          <w:szCs w:val="22"/>
        </w:rPr>
        <w:t xml:space="preserve">Sujeto Obligado </w:t>
      </w:r>
      <w:r w:rsidRPr="004100F2">
        <w:rPr>
          <w:rFonts w:ascii="Palatino Linotype" w:eastAsia="Palatino Linotype" w:hAnsi="Palatino Linotype" w:cs="Palatino Linotype"/>
          <w:sz w:val="22"/>
          <w:szCs w:val="22"/>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92FE284" w14:textId="77777777" w:rsidR="00344ABC"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3D11D1BF" w14:textId="77777777" w:rsidR="00344ABC" w:rsidRPr="004100F2" w:rsidRDefault="000D2644">
      <w:pPr>
        <w:spacing w:before="240" w:after="240" w:line="360" w:lineRule="auto"/>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sz w:val="22"/>
          <w:szCs w:val="22"/>
        </w:rPr>
        <w:t xml:space="preserve">Por lo tanto, con la finalidad de no reducir ni limitar el derecho de acceso a la información y concederle una protección más eficaz al solicitante para impugnar el silencio del </w:t>
      </w:r>
      <w:r w:rsidRPr="004100F2">
        <w:rPr>
          <w:rFonts w:ascii="Palatino Linotype" w:eastAsia="Palatino Linotype" w:hAnsi="Palatino Linotype" w:cs="Palatino Linotype"/>
          <w:b/>
          <w:sz w:val="22"/>
          <w:szCs w:val="22"/>
        </w:rPr>
        <w:t>Sujeto Obligado</w:t>
      </w:r>
      <w:r w:rsidRPr="004100F2">
        <w:rPr>
          <w:rFonts w:ascii="Palatino Linotype" w:eastAsia="Palatino Linotype" w:hAnsi="Palatino Linotype" w:cs="Palatino Linotype"/>
          <w:sz w:val="22"/>
          <w:szCs w:val="22"/>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FA86686" w14:textId="77777777" w:rsidR="00344ABC" w:rsidRPr="004100F2" w:rsidRDefault="000D2644">
      <w:pPr>
        <w:ind w:left="851"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“CRITERIO 0001-15. NEGATIVA FICTA. PLAZO PARA INTERPONER EL RECURSO DE REVISIÓN TRATÁNDOSE DE</w:t>
      </w:r>
      <w:r w:rsidRPr="004100F2">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44D12F81" w14:textId="77777777" w:rsidR="00FA4BD1"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44F89C79" w14:textId="394C727E" w:rsidR="00344ABC"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Finalmente, antes de entrar al estudio de la presente resolución es preciso determinar si resulta procedente la interposición de los recursos de revisión, toda vez que se actualiza la hipótesis prevista en el artículo 179, fracción VII de la ley de la materia, que a la letra dice:</w:t>
      </w:r>
    </w:p>
    <w:p w14:paraId="1097A70D" w14:textId="77777777" w:rsidR="00344ABC" w:rsidRPr="004100F2" w:rsidRDefault="000D2644">
      <w:pPr>
        <w:ind w:left="851"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i/>
          <w:sz w:val="22"/>
          <w:szCs w:val="22"/>
        </w:rPr>
        <w:t>“</w:t>
      </w:r>
      <w:r w:rsidRPr="004100F2">
        <w:rPr>
          <w:rFonts w:ascii="Palatino Linotype" w:eastAsia="Palatino Linotype" w:hAnsi="Palatino Linotype" w:cs="Palatino Linotype"/>
          <w:b/>
          <w:i/>
          <w:sz w:val="22"/>
          <w:szCs w:val="22"/>
        </w:rPr>
        <w:t xml:space="preserve">Artículo 179. </w:t>
      </w:r>
      <w:r w:rsidRPr="004100F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4F05014" w14:textId="77777777" w:rsidR="00344ABC" w:rsidRPr="004100F2" w:rsidRDefault="000D2644">
      <w:pPr>
        <w:ind w:left="1134"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i/>
          <w:sz w:val="22"/>
          <w:szCs w:val="22"/>
        </w:rPr>
        <w:t>…</w:t>
      </w:r>
    </w:p>
    <w:p w14:paraId="323CC524" w14:textId="77777777" w:rsidR="00344ABC" w:rsidRPr="004100F2" w:rsidRDefault="000D2644">
      <w:pPr>
        <w:ind w:left="1134"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VII. </w:t>
      </w:r>
      <w:r w:rsidRPr="004100F2">
        <w:rPr>
          <w:rFonts w:ascii="Palatino Linotype" w:eastAsia="Palatino Linotype" w:hAnsi="Palatino Linotype" w:cs="Palatino Linotype"/>
          <w:i/>
          <w:sz w:val="22"/>
          <w:szCs w:val="22"/>
        </w:rPr>
        <w:t>La falta de respuesta a una solicitud de acceso a la información;”</w:t>
      </w:r>
    </w:p>
    <w:p w14:paraId="6063C08E" w14:textId="77777777" w:rsidR="00344ABC"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El precepto legal citado, establece como supuesto de procedencia del recurso de revisión, en aquellos casos en que la parte </w:t>
      </w:r>
      <w:r w:rsidRPr="004100F2">
        <w:rPr>
          <w:rFonts w:ascii="Palatino Linotype" w:eastAsia="Palatino Linotype" w:hAnsi="Palatino Linotype" w:cs="Palatino Linotype"/>
          <w:b/>
          <w:sz w:val="22"/>
          <w:szCs w:val="22"/>
        </w:rPr>
        <w:t xml:space="preserve">Recurrente </w:t>
      </w:r>
      <w:r w:rsidRPr="004100F2">
        <w:rPr>
          <w:rFonts w:ascii="Palatino Linotype" w:eastAsia="Palatino Linotype" w:hAnsi="Palatino Linotype" w:cs="Palatino Linotype"/>
          <w:sz w:val="22"/>
          <w:szCs w:val="22"/>
        </w:rPr>
        <w:t xml:space="preserve">estime negado el acceso a la información por la falta de respuesta por el </w:t>
      </w:r>
      <w:r w:rsidRPr="004100F2">
        <w:rPr>
          <w:rFonts w:ascii="Palatino Linotype" w:eastAsia="Palatino Linotype" w:hAnsi="Palatino Linotype" w:cs="Palatino Linotype"/>
          <w:b/>
          <w:sz w:val="22"/>
          <w:szCs w:val="22"/>
        </w:rPr>
        <w:t>Sujeto Obligado</w:t>
      </w:r>
      <w:r w:rsidRPr="004100F2">
        <w:rPr>
          <w:rFonts w:ascii="Palatino Linotype" w:eastAsia="Palatino Linotype" w:hAnsi="Palatino Linotype" w:cs="Palatino Linotype"/>
          <w:sz w:val="22"/>
          <w:szCs w:val="22"/>
        </w:rPr>
        <w:t xml:space="preserve">, en este asunto se actualiza la hipótesis jurídica citada, en atención a que la parte </w:t>
      </w:r>
      <w:r w:rsidRPr="004100F2">
        <w:rPr>
          <w:rFonts w:ascii="Palatino Linotype" w:eastAsia="Palatino Linotype" w:hAnsi="Palatino Linotype" w:cs="Palatino Linotype"/>
          <w:b/>
          <w:sz w:val="22"/>
          <w:szCs w:val="22"/>
        </w:rPr>
        <w:t>Recurrente</w:t>
      </w:r>
      <w:r w:rsidRPr="004100F2">
        <w:rPr>
          <w:rFonts w:ascii="Palatino Linotype" w:eastAsia="Palatino Linotype" w:hAnsi="Palatino Linotype" w:cs="Palatino Linotype"/>
          <w:sz w:val="22"/>
          <w:szCs w:val="22"/>
        </w:rPr>
        <w:t xml:space="preserve"> combate falta de trámite por el </w:t>
      </w:r>
      <w:r w:rsidRPr="004100F2">
        <w:rPr>
          <w:rFonts w:ascii="Palatino Linotype" w:eastAsia="Palatino Linotype" w:hAnsi="Palatino Linotype" w:cs="Palatino Linotype"/>
          <w:b/>
          <w:sz w:val="22"/>
          <w:szCs w:val="22"/>
        </w:rPr>
        <w:t>Sujeto Obligado</w:t>
      </w:r>
      <w:r w:rsidRPr="004100F2">
        <w:rPr>
          <w:rFonts w:ascii="Palatino Linotype" w:eastAsia="Palatino Linotype" w:hAnsi="Palatino Linotype" w:cs="Palatino Linotype"/>
          <w:sz w:val="22"/>
          <w:szCs w:val="22"/>
        </w:rPr>
        <w:t xml:space="preserve"> y expresa motivos de inconformidad en contra de dicha circunstancia.</w:t>
      </w:r>
    </w:p>
    <w:p w14:paraId="6DDEF68D" w14:textId="77777777" w:rsidR="00344ABC" w:rsidRPr="004100F2" w:rsidRDefault="000D2644">
      <w:pPr>
        <w:tabs>
          <w:tab w:val="left" w:pos="8647"/>
        </w:tabs>
        <w:spacing w:before="240" w:after="240" w:line="360" w:lineRule="auto"/>
        <w:jc w:val="both"/>
        <w:rPr>
          <w:rFonts w:ascii="Palatino Linotype" w:eastAsia="Palatino Linotype" w:hAnsi="Palatino Linotype" w:cs="Palatino Linotype"/>
          <w:b/>
          <w:sz w:val="22"/>
          <w:szCs w:val="22"/>
        </w:rPr>
      </w:pPr>
      <w:r w:rsidRPr="004100F2">
        <w:rPr>
          <w:rFonts w:ascii="Palatino Linotype" w:eastAsia="Palatino Linotype" w:hAnsi="Palatino Linotype" w:cs="Palatino Linotype"/>
          <w:b/>
          <w:sz w:val="22"/>
          <w:szCs w:val="22"/>
        </w:rPr>
        <w:t xml:space="preserve">Tercero. Materia de la revisión. </w:t>
      </w:r>
      <w:r w:rsidRPr="004100F2">
        <w:rPr>
          <w:rFonts w:ascii="Palatino Linotype" w:eastAsia="Palatino Linotype" w:hAnsi="Palatino Linotype" w:cs="Palatino Linotype"/>
          <w:sz w:val="22"/>
          <w:szCs w:val="22"/>
        </w:rPr>
        <w:t xml:space="preserve">Este Organismo Garante procede del análisis de los agravios hechos valer por la parte </w:t>
      </w:r>
      <w:r w:rsidRPr="004100F2">
        <w:rPr>
          <w:rFonts w:ascii="Palatino Linotype" w:eastAsia="Palatino Linotype" w:hAnsi="Palatino Linotype" w:cs="Palatino Linotype"/>
          <w:b/>
          <w:sz w:val="22"/>
          <w:szCs w:val="22"/>
        </w:rPr>
        <w:t>Recurrente</w:t>
      </w:r>
      <w:r w:rsidRPr="004100F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DA57FCD" w14:textId="444197B6" w:rsidR="00344ABC"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b/>
          <w:sz w:val="22"/>
          <w:szCs w:val="22"/>
        </w:rPr>
        <w:t xml:space="preserve">Cuarto. Estudio de los Recursos de Revisión. </w:t>
      </w:r>
      <w:r w:rsidRPr="004100F2">
        <w:rPr>
          <w:rFonts w:ascii="Palatino Linotype" w:eastAsia="Palatino Linotype" w:hAnsi="Palatino Linotype" w:cs="Palatino Linotype"/>
          <w:sz w:val="22"/>
          <w:szCs w:val="22"/>
        </w:rPr>
        <w:t xml:space="preserve">Una vez determinada la vía sobre la que versará el presente asunto, y previa revisión de los expedientes de los  recursos de revisión materia de la presente resolución, se advierte que el </w:t>
      </w:r>
      <w:r w:rsidRPr="004100F2">
        <w:rPr>
          <w:rFonts w:ascii="Palatino Linotype" w:eastAsia="Palatino Linotype" w:hAnsi="Palatino Linotype" w:cs="Palatino Linotype"/>
          <w:b/>
          <w:sz w:val="22"/>
          <w:szCs w:val="22"/>
        </w:rPr>
        <w:t xml:space="preserve">Sujeto Obligado </w:t>
      </w:r>
      <w:r w:rsidRPr="004100F2">
        <w:rPr>
          <w:rFonts w:ascii="Palatino Linotype" w:eastAsia="Palatino Linotype" w:hAnsi="Palatino Linotype" w:cs="Palatino Linotype"/>
          <w:sz w:val="22"/>
          <w:szCs w:val="22"/>
        </w:rPr>
        <w:t xml:space="preserve">no dio respuesta a las solicitudes de información planteadas por la parte </w:t>
      </w:r>
      <w:r w:rsidRPr="004100F2">
        <w:rPr>
          <w:rFonts w:ascii="Palatino Linotype" w:eastAsia="Palatino Linotype" w:hAnsi="Palatino Linotype" w:cs="Palatino Linotype"/>
          <w:b/>
          <w:sz w:val="22"/>
          <w:szCs w:val="22"/>
        </w:rPr>
        <w:t>Recurrente</w:t>
      </w:r>
      <w:r w:rsidRPr="004100F2">
        <w:rPr>
          <w:rFonts w:ascii="Palatino Linotype" w:eastAsia="Palatino Linotype" w:hAnsi="Palatino Linotype" w:cs="Palatino Linotype"/>
          <w:sz w:val="22"/>
          <w:szCs w:val="22"/>
        </w:rPr>
        <w:t xml:space="preserve">, lo que se traduce como la configuración de la </w:t>
      </w:r>
      <w:r w:rsidR="00FA4BD1" w:rsidRPr="004100F2">
        <w:rPr>
          <w:rFonts w:ascii="Palatino Linotype" w:eastAsia="Palatino Linotype" w:hAnsi="Palatino Linotype" w:cs="Palatino Linotype"/>
          <w:b/>
          <w:sz w:val="22"/>
          <w:szCs w:val="22"/>
        </w:rPr>
        <w:t>negativa ficta</w:t>
      </w:r>
      <w:r w:rsidRPr="004100F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100F2">
        <w:rPr>
          <w:rFonts w:ascii="Palatino Linotype" w:eastAsia="Palatino Linotype" w:hAnsi="Palatino Linotype" w:cs="Palatino Linotype"/>
          <w:b/>
          <w:sz w:val="22"/>
          <w:szCs w:val="22"/>
        </w:rPr>
        <w:t>Sujeto Obligado</w:t>
      </w:r>
      <w:r w:rsidRPr="004100F2">
        <w:rPr>
          <w:rFonts w:ascii="Palatino Linotype" w:eastAsia="Palatino Linotype" w:hAnsi="Palatino Linotype" w:cs="Palatino Linotype"/>
          <w:sz w:val="22"/>
          <w:szCs w:val="22"/>
        </w:rPr>
        <w:t xml:space="preserve"> no emitió respuesta a las solicitudes de información, dentro del plazo legal previsto para ello.</w:t>
      </w:r>
    </w:p>
    <w:p w14:paraId="51521B6A" w14:textId="77777777" w:rsidR="00C00FCB" w:rsidRPr="004100F2" w:rsidRDefault="000D2644" w:rsidP="00C00FCB">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las solicitudes formuladas por la parte </w:t>
      </w:r>
      <w:r w:rsidRPr="004100F2">
        <w:rPr>
          <w:rFonts w:ascii="Palatino Linotype" w:eastAsia="Palatino Linotype" w:hAnsi="Palatino Linotype" w:cs="Palatino Linotype"/>
          <w:b/>
          <w:sz w:val="22"/>
          <w:szCs w:val="22"/>
        </w:rPr>
        <w:t>Recurrente</w:t>
      </w:r>
      <w:r w:rsidRPr="004100F2">
        <w:rPr>
          <w:rFonts w:ascii="Palatino Linotype" w:eastAsia="Palatino Linotype" w:hAnsi="Palatino Linotype" w:cs="Palatino Linotype"/>
          <w:sz w:val="22"/>
          <w:szCs w:val="22"/>
        </w:rPr>
        <w:t>,</w:t>
      </w:r>
      <w:r w:rsidRPr="004100F2">
        <w:rPr>
          <w:rFonts w:ascii="Palatino Linotype" w:eastAsia="Palatino Linotype" w:hAnsi="Palatino Linotype" w:cs="Palatino Linotype"/>
          <w:b/>
          <w:sz w:val="22"/>
          <w:szCs w:val="22"/>
        </w:rPr>
        <w:t xml:space="preserve"> </w:t>
      </w:r>
      <w:r w:rsidRPr="004100F2">
        <w:rPr>
          <w:rFonts w:ascii="Palatino Linotype" w:eastAsia="Palatino Linotype" w:hAnsi="Palatino Linotype" w:cs="Palatino Linotype"/>
          <w:sz w:val="22"/>
          <w:szCs w:val="22"/>
        </w:rPr>
        <w:t xml:space="preserve">se advierte que requirió al </w:t>
      </w:r>
      <w:r w:rsidRPr="004100F2">
        <w:rPr>
          <w:rFonts w:ascii="Palatino Linotype" w:eastAsia="Palatino Linotype" w:hAnsi="Palatino Linotype" w:cs="Palatino Linotype"/>
          <w:b/>
          <w:sz w:val="22"/>
          <w:szCs w:val="22"/>
        </w:rPr>
        <w:t>Sujeto Obligado</w:t>
      </w:r>
      <w:r w:rsidRPr="004100F2">
        <w:rPr>
          <w:rFonts w:ascii="Palatino Linotype" w:eastAsia="Palatino Linotype" w:hAnsi="Palatino Linotype" w:cs="Palatino Linotype"/>
          <w:sz w:val="22"/>
          <w:szCs w:val="22"/>
        </w:rPr>
        <w:t xml:space="preserve"> le proporcionara, lo siguiente:</w:t>
      </w:r>
    </w:p>
    <w:p w14:paraId="1A453B95" w14:textId="227DE62C" w:rsidR="00FA4BD1" w:rsidRPr="004100F2" w:rsidRDefault="000033EE" w:rsidP="000033EE">
      <w:pPr>
        <w:pStyle w:val="Prrafodelista"/>
        <w:numPr>
          <w:ilvl w:val="0"/>
          <w:numId w:val="7"/>
        </w:numPr>
        <w:spacing w:before="240" w:after="240" w:line="360" w:lineRule="auto"/>
        <w:jc w:val="both"/>
        <w:rPr>
          <w:rFonts w:ascii="Palatino Linotype" w:eastAsia="Palatino Linotype" w:hAnsi="Palatino Linotype" w:cs="Palatino Linotype"/>
        </w:rPr>
      </w:pPr>
      <w:r w:rsidRPr="004100F2">
        <w:rPr>
          <w:rFonts w:ascii="Palatino Linotype" w:eastAsia="Palatino Linotype" w:hAnsi="Palatino Linotype" w:cs="Palatino Linotype"/>
        </w:rPr>
        <w:t>La nómina completa del ayuntamiento desde la primera quincena de enero dos mil veintiuno a la segunda quincena de septiembre de dos mil veinticinco, especificando nombre completo, cargo del servidor público, área de adscripción, sueldo y puesto</w:t>
      </w:r>
      <w:r w:rsidR="00FA4BD1" w:rsidRPr="004100F2">
        <w:rPr>
          <w:rFonts w:ascii="Palatino Linotype" w:eastAsia="Palatino Linotype" w:hAnsi="Palatino Linotype" w:cs="Palatino Linotype"/>
        </w:rPr>
        <w:t>.</w:t>
      </w:r>
    </w:p>
    <w:p w14:paraId="0AE653B4" w14:textId="3148E036" w:rsidR="00344ABC"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Precisado lo anterior, se procede al análisis de los presentes recursos, así como al contenido íntegro de las actuaciones que obran en los expedientes electrónicos,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125E2C7" w14:textId="0EF729E6" w:rsidR="00344ABC" w:rsidRPr="004100F2" w:rsidRDefault="00FA4BD1">
      <w:pPr>
        <w:tabs>
          <w:tab w:val="left" w:pos="709"/>
        </w:tabs>
        <w:spacing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En primer lugar, e</w:t>
      </w:r>
      <w:r w:rsidR="000D2644" w:rsidRPr="004100F2">
        <w:rPr>
          <w:rFonts w:ascii="Palatino Linotype" w:eastAsia="Palatino Linotype" w:hAnsi="Palatino Linotype" w:cs="Palatino Linotype"/>
          <w:sz w:val="22"/>
          <w:szCs w:val="22"/>
        </w:rPr>
        <w:t>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B563719" w14:textId="77777777" w:rsidR="00FA4BD1" w:rsidRPr="004100F2" w:rsidRDefault="00FA4BD1" w:rsidP="00FA4BD1">
      <w:pPr>
        <w:tabs>
          <w:tab w:val="left" w:pos="709"/>
        </w:tabs>
        <w:spacing w:line="276" w:lineRule="auto"/>
        <w:ind w:left="851"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100F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58CA12F" w14:textId="77777777" w:rsidR="00FA4BD1" w:rsidRPr="004100F2" w:rsidRDefault="00FA4BD1" w:rsidP="00FA4BD1">
      <w:pPr>
        <w:tabs>
          <w:tab w:val="left" w:pos="709"/>
        </w:tabs>
        <w:spacing w:line="276" w:lineRule="auto"/>
        <w:ind w:left="851" w:right="851"/>
        <w:jc w:val="both"/>
        <w:rPr>
          <w:rFonts w:ascii="Palatino Linotype" w:eastAsia="Palatino Linotype" w:hAnsi="Palatino Linotype" w:cs="Palatino Linotype"/>
          <w:b/>
          <w:i/>
          <w:sz w:val="22"/>
          <w:szCs w:val="22"/>
        </w:rPr>
      </w:pPr>
      <w:r w:rsidRPr="004100F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F105F84" w14:textId="77777777" w:rsidR="00FA4BD1" w:rsidRPr="004100F2" w:rsidRDefault="00FA4BD1" w:rsidP="00FA4BD1">
      <w:pPr>
        <w:tabs>
          <w:tab w:val="left" w:pos="709"/>
        </w:tabs>
        <w:spacing w:line="276" w:lineRule="auto"/>
        <w:ind w:left="851"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100F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22D23D1" w14:textId="77777777" w:rsidR="00FA4BD1" w:rsidRPr="004100F2" w:rsidRDefault="00FA4BD1" w:rsidP="00FA4BD1">
      <w:pPr>
        <w:tabs>
          <w:tab w:val="left" w:pos="709"/>
        </w:tabs>
        <w:spacing w:line="276" w:lineRule="auto"/>
        <w:ind w:left="851"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i/>
          <w:sz w:val="22"/>
          <w:szCs w:val="22"/>
        </w:rPr>
        <w:t>[…]</w:t>
      </w:r>
    </w:p>
    <w:p w14:paraId="48C3F319" w14:textId="77777777" w:rsidR="00FA4BD1" w:rsidRPr="004100F2" w:rsidRDefault="00FA4BD1" w:rsidP="00FA4BD1">
      <w:pPr>
        <w:spacing w:line="276" w:lineRule="auto"/>
        <w:ind w:left="851"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“Artículo 6o.</w:t>
      </w:r>
    </w:p>
    <w:p w14:paraId="2051EEC2" w14:textId="77777777" w:rsidR="00FA4BD1" w:rsidRPr="004100F2" w:rsidRDefault="00FA4BD1" w:rsidP="00FA4BD1">
      <w:pPr>
        <w:spacing w:line="276" w:lineRule="auto"/>
        <w:ind w:left="851"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i/>
          <w:sz w:val="22"/>
          <w:szCs w:val="22"/>
        </w:rPr>
        <w:t>[...]</w:t>
      </w:r>
    </w:p>
    <w:p w14:paraId="024158CE" w14:textId="77777777" w:rsidR="00FA4BD1" w:rsidRPr="004100F2" w:rsidRDefault="00FA4BD1" w:rsidP="00FA4BD1">
      <w:pPr>
        <w:spacing w:line="276" w:lineRule="auto"/>
        <w:ind w:left="851"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A. Para el ejercicio del derecho de acceso a la información, la Federación y </w:t>
      </w:r>
      <w:r w:rsidRPr="004100F2">
        <w:rPr>
          <w:rFonts w:ascii="Palatino Linotype" w:eastAsia="Palatino Linotype" w:hAnsi="Palatino Linotype" w:cs="Palatino Linotype"/>
          <w:b/>
          <w:i/>
          <w:sz w:val="22"/>
          <w:szCs w:val="22"/>
          <w:u w:val="single"/>
        </w:rPr>
        <w:t>las entidades federativas</w:t>
      </w:r>
      <w:r w:rsidRPr="004100F2">
        <w:rPr>
          <w:rFonts w:ascii="Palatino Linotype" w:eastAsia="Palatino Linotype" w:hAnsi="Palatino Linotype" w:cs="Palatino Linotype"/>
          <w:b/>
          <w:i/>
          <w:sz w:val="22"/>
          <w:szCs w:val="22"/>
        </w:rPr>
        <w:t>,</w:t>
      </w:r>
      <w:r w:rsidRPr="004100F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FF87F86" w14:textId="77777777" w:rsidR="00FA4BD1" w:rsidRPr="004100F2" w:rsidRDefault="00FA4BD1" w:rsidP="00FA4BD1">
      <w:pPr>
        <w:spacing w:line="276" w:lineRule="auto"/>
        <w:ind w:left="851"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I. </w:t>
      </w:r>
      <w:r w:rsidRPr="004100F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100F2">
        <w:rPr>
          <w:rFonts w:ascii="Palatino Linotype" w:eastAsia="Palatino Linotype" w:hAnsi="Palatino Linotype" w:cs="Palatino Linotype"/>
          <w:i/>
          <w:sz w:val="22"/>
          <w:szCs w:val="22"/>
        </w:rPr>
        <w:t xml:space="preserve"> Ejecutivo, Legislativo </w:t>
      </w:r>
      <w:r w:rsidRPr="004100F2">
        <w:rPr>
          <w:rFonts w:ascii="Palatino Linotype" w:eastAsia="Palatino Linotype" w:hAnsi="Palatino Linotype" w:cs="Palatino Linotype"/>
          <w:b/>
          <w:i/>
          <w:sz w:val="22"/>
          <w:szCs w:val="22"/>
          <w:u w:val="single"/>
        </w:rPr>
        <w:t>y Judicial</w:t>
      </w:r>
      <w:r w:rsidRPr="004100F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100F2">
        <w:rPr>
          <w:rFonts w:ascii="Palatino Linotype" w:eastAsia="Palatino Linotype" w:hAnsi="Palatino Linotype" w:cs="Palatino Linotype"/>
          <w:b/>
          <w:i/>
          <w:sz w:val="22"/>
          <w:szCs w:val="22"/>
        </w:rPr>
        <w:t>es pública y sólo podrá ser reservada temporalmente por razones de interés público y seguridad nacional,</w:t>
      </w:r>
      <w:r w:rsidRPr="004100F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41035D" w14:textId="77777777" w:rsidR="00FA4BD1" w:rsidRPr="004100F2" w:rsidRDefault="00FA4BD1" w:rsidP="00FA4BD1">
      <w:pPr>
        <w:spacing w:line="276" w:lineRule="auto"/>
        <w:ind w:left="851" w:right="851"/>
        <w:jc w:val="both"/>
        <w:rPr>
          <w:rFonts w:ascii="Palatino Linotype" w:eastAsia="Palatino Linotype" w:hAnsi="Palatino Linotype" w:cs="Palatino Linotype"/>
          <w:b/>
          <w:i/>
          <w:sz w:val="22"/>
          <w:szCs w:val="22"/>
        </w:rPr>
      </w:pPr>
      <w:r w:rsidRPr="004100F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82ABC70" w14:textId="77777777" w:rsidR="00FA4BD1" w:rsidRPr="004100F2" w:rsidRDefault="00FA4BD1" w:rsidP="00FA4BD1">
      <w:pPr>
        <w:spacing w:line="276" w:lineRule="auto"/>
        <w:ind w:left="851"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III. </w:t>
      </w:r>
      <w:r w:rsidRPr="004100F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100F2">
        <w:rPr>
          <w:rFonts w:ascii="Palatino Linotype" w:eastAsia="Palatino Linotype" w:hAnsi="Palatino Linotype" w:cs="Palatino Linotype"/>
          <w:i/>
          <w:sz w:val="22"/>
          <w:szCs w:val="22"/>
        </w:rPr>
        <w:t xml:space="preserve"> a sus datos personales o a la rectificación de éstos.</w:t>
      </w:r>
    </w:p>
    <w:p w14:paraId="0A8BCA44" w14:textId="77777777" w:rsidR="00FA4BD1" w:rsidRPr="004100F2" w:rsidRDefault="00FA4BD1" w:rsidP="00FA4BD1">
      <w:pPr>
        <w:spacing w:line="276" w:lineRule="auto"/>
        <w:ind w:left="851"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IV. </w:t>
      </w:r>
      <w:r w:rsidRPr="004100F2">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FDB414F" w14:textId="77777777" w:rsidR="00FA4BD1" w:rsidRPr="004100F2" w:rsidRDefault="00FA4BD1" w:rsidP="00FA4BD1">
      <w:pPr>
        <w:spacing w:line="276" w:lineRule="auto"/>
        <w:ind w:left="851"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V. </w:t>
      </w:r>
      <w:r w:rsidRPr="004100F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9654CCB" w14:textId="77777777" w:rsidR="00FA4BD1" w:rsidRPr="004100F2" w:rsidRDefault="00FA4BD1" w:rsidP="00FA4BD1">
      <w:pPr>
        <w:spacing w:line="276" w:lineRule="auto"/>
        <w:ind w:left="851"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VI. </w:t>
      </w:r>
      <w:r w:rsidRPr="004100F2">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E3FBA1A" w14:textId="77777777" w:rsidR="00FA4BD1" w:rsidRPr="004100F2" w:rsidRDefault="00FA4BD1" w:rsidP="00FA4BD1">
      <w:pPr>
        <w:spacing w:line="276" w:lineRule="auto"/>
        <w:ind w:left="851" w:right="851"/>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VII. </w:t>
      </w:r>
      <w:r w:rsidRPr="004100F2">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660D3FB2" w14:textId="77777777" w:rsidR="00344ABC" w:rsidRPr="004100F2" w:rsidRDefault="000D2644">
      <w:pPr>
        <w:tabs>
          <w:tab w:val="left" w:pos="709"/>
        </w:tabs>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55174AB" w14:textId="77777777" w:rsidR="00344ABC" w:rsidRPr="004100F2" w:rsidRDefault="000D2644">
      <w:pPr>
        <w:spacing w:before="28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0F59844" w14:textId="77777777" w:rsidR="00344ABC" w:rsidRPr="004100F2" w:rsidRDefault="000D2644" w:rsidP="00FA4BD1">
      <w:pPr>
        <w:spacing w:before="120" w:after="120"/>
        <w:ind w:left="851" w:right="902"/>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i/>
          <w:sz w:val="22"/>
          <w:szCs w:val="22"/>
        </w:rPr>
        <w:t>“</w:t>
      </w:r>
      <w:r w:rsidRPr="004100F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100F2">
        <w:rPr>
          <w:rFonts w:ascii="Palatino Linotype" w:eastAsia="Palatino Linotype" w:hAnsi="Palatino Linotype" w:cs="Palatino Linotype"/>
          <w:i/>
          <w:sz w:val="22"/>
          <w:szCs w:val="22"/>
        </w:rPr>
        <w:t>:</w:t>
      </w:r>
    </w:p>
    <w:p w14:paraId="28DF41DF" w14:textId="77777777" w:rsidR="00344ABC" w:rsidRPr="004100F2"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b/>
          <w:i/>
          <w:sz w:val="22"/>
          <w:szCs w:val="22"/>
        </w:rPr>
      </w:pPr>
      <w:r w:rsidRPr="004100F2">
        <w:rPr>
          <w:rFonts w:ascii="Palatino Linotype" w:eastAsia="Palatino Linotype" w:hAnsi="Palatino Linotype" w:cs="Palatino Linotype"/>
          <w:b/>
          <w:i/>
          <w:sz w:val="22"/>
          <w:szCs w:val="22"/>
        </w:rPr>
        <w:t>I.</w:t>
      </w:r>
      <w:r w:rsidRPr="004100F2">
        <w:rPr>
          <w:rFonts w:ascii="Palatino Linotype" w:eastAsia="Palatino Linotype" w:hAnsi="Palatino Linotype" w:cs="Palatino Linotype"/>
          <w:i/>
          <w:sz w:val="22"/>
          <w:szCs w:val="22"/>
        </w:rPr>
        <w:t xml:space="preserve"> El Poder Ejecutivo del Estado de México, las dependencias, organismos auxiliares,</w:t>
      </w:r>
      <w:r w:rsidRPr="004100F2">
        <w:rPr>
          <w:rFonts w:ascii="Palatino Linotype" w:eastAsia="Palatino Linotype" w:hAnsi="Palatino Linotype" w:cs="Palatino Linotype"/>
          <w:b/>
          <w:i/>
          <w:sz w:val="22"/>
          <w:szCs w:val="22"/>
        </w:rPr>
        <w:t xml:space="preserve"> </w:t>
      </w:r>
      <w:r w:rsidRPr="004100F2">
        <w:rPr>
          <w:rFonts w:ascii="Palatino Linotype" w:eastAsia="Palatino Linotype" w:hAnsi="Palatino Linotype" w:cs="Palatino Linotype"/>
          <w:i/>
          <w:sz w:val="22"/>
          <w:szCs w:val="22"/>
        </w:rPr>
        <w:t>órganos, entidades, fideicomisos y fondos públicos, así como la Procuraduría General de Justicia;</w:t>
      </w:r>
    </w:p>
    <w:p w14:paraId="17EEC156" w14:textId="77777777" w:rsidR="00344ABC" w:rsidRPr="004100F2"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II.</w:t>
      </w:r>
      <w:r w:rsidRPr="004100F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3D7BB1FF" w14:textId="77777777" w:rsidR="00344ABC" w:rsidRPr="004100F2"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III.</w:t>
      </w:r>
      <w:r w:rsidRPr="004100F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4D684E7D" w14:textId="77777777" w:rsidR="00344ABC" w:rsidRPr="004100F2"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bCs/>
          <w:i/>
          <w:sz w:val="22"/>
          <w:szCs w:val="22"/>
        </w:rPr>
        <w:t>IV.</w:t>
      </w:r>
      <w:r w:rsidRPr="004100F2">
        <w:rPr>
          <w:rFonts w:ascii="Palatino Linotype" w:eastAsia="Palatino Linotype" w:hAnsi="Palatino Linotype" w:cs="Palatino Linotype"/>
          <w:i/>
          <w:sz w:val="22"/>
          <w:szCs w:val="22"/>
        </w:rPr>
        <w:t xml:space="preserve"> Los ayuntamientos y las dependencias, organismos, órganos y entidades de la administración municipal;</w:t>
      </w:r>
    </w:p>
    <w:p w14:paraId="3597FCDC" w14:textId="77777777" w:rsidR="00344ABC" w:rsidRPr="004100F2"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V.</w:t>
      </w:r>
      <w:r w:rsidRPr="004100F2">
        <w:rPr>
          <w:rFonts w:ascii="Palatino Linotype" w:eastAsia="Palatino Linotype" w:hAnsi="Palatino Linotype" w:cs="Palatino Linotype"/>
          <w:i/>
          <w:sz w:val="22"/>
          <w:szCs w:val="22"/>
        </w:rPr>
        <w:t xml:space="preserve"> Los órganos autónomos;</w:t>
      </w:r>
    </w:p>
    <w:p w14:paraId="22CC4988" w14:textId="77777777" w:rsidR="00344ABC" w:rsidRPr="004100F2"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VI.</w:t>
      </w:r>
      <w:r w:rsidRPr="004100F2">
        <w:rPr>
          <w:rFonts w:ascii="Palatino Linotype" w:eastAsia="Palatino Linotype" w:hAnsi="Palatino Linotype" w:cs="Palatino Linotype"/>
          <w:i/>
          <w:sz w:val="22"/>
          <w:szCs w:val="22"/>
        </w:rPr>
        <w:t xml:space="preserve"> Los tribunales administrativos y autoridades jurisdiccionales en materia laboral;</w:t>
      </w:r>
    </w:p>
    <w:p w14:paraId="122DB66F" w14:textId="77777777" w:rsidR="00344ABC" w:rsidRPr="004100F2"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VII.</w:t>
      </w:r>
      <w:r w:rsidRPr="004100F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7EBC737F" w14:textId="77777777" w:rsidR="00344ABC" w:rsidRPr="004100F2"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VIII.</w:t>
      </w:r>
      <w:r w:rsidRPr="004100F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1EA7D1AA" w14:textId="77777777" w:rsidR="00344ABC" w:rsidRPr="004100F2"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IX.</w:t>
      </w:r>
      <w:r w:rsidRPr="004100F2">
        <w:rPr>
          <w:rFonts w:ascii="Palatino Linotype" w:eastAsia="Palatino Linotype" w:hAnsi="Palatino Linotype" w:cs="Palatino Linotype"/>
          <w:i/>
          <w:sz w:val="22"/>
          <w:szCs w:val="22"/>
        </w:rPr>
        <w:t xml:space="preserve"> Los sindicatos que reciban y/o ejerzan recursos públicos en el ámbito estatal y municipal;</w:t>
      </w:r>
    </w:p>
    <w:p w14:paraId="27232A6B" w14:textId="77777777" w:rsidR="00344ABC" w:rsidRPr="004100F2"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X.</w:t>
      </w:r>
      <w:r w:rsidRPr="004100F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0B1F258A" w14:textId="77777777" w:rsidR="00344ABC" w:rsidRPr="004100F2"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XI.</w:t>
      </w:r>
      <w:r w:rsidRPr="004100F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44EFCA5E" w14:textId="77777777" w:rsidR="00344ABC" w:rsidRPr="004100F2"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E334A92" w14:textId="77777777" w:rsidR="00344ABC" w:rsidRPr="004100F2"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100F2">
        <w:rPr>
          <w:rFonts w:ascii="Palatino Linotype" w:eastAsia="Palatino Linotype" w:hAnsi="Palatino Linotype" w:cs="Palatino Linotype"/>
          <w:i/>
          <w:sz w:val="22"/>
          <w:szCs w:val="22"/>
        </w:rPr>
        <w:t>.”</w:t>
      </w:r>
    </w:p>
    <w:p w14:paraId="50C09562" w14:textId="77777777" w:rsidR="00344ABC" w:rsidRPr="004100F2" w:rsidRDefault="000D2644">
      <w:pPr>
        <w:spacing w:before="28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72FC259" w14:textId="77777777" w:rsidR="00344ABC" w:rsidRPr="004100F2" w:rsidRDefault="000D2644">
      <w:pPr>
        <w:spacing w:before="28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E3F7978" w14:textId="77777777" w:rsidR="00344ABC" w:rsidRPr="004100F2" w:rsidRDefault="000D2644">
      <w:pPr>
        <w:widowControl w:val="0"/>
        <w:tabs>
          <w:tab w:val="left" w:pos="1276"/>
        </w:tabs>
        <w:spacing w:before="24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423BFB7" w14:textId="77777777" w:rsidR="00344ABC" w:rsidRPr="004100F2" w:rsidRDefault="000D2644">
      <w:pPr>
        <w:widowControl w:val="0"/>
        <w:tabs>
          <w:tab w:val="left" w:pos="1276"/>
        </w:tabs>
        <w:spacing w:before="24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A7EC87E" w14:textId="77777777" w:rsidR="00344ABC" w:rsidRPr="004100F2" w:rsidRDefault="000D2644">
      <w:pPr>
        <w:spacing w:before="28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CDE4ABD" w14:textId="77777777" w:rsidR="00344ABC" w:rsidRPr="004100F2" w:rsidRDefault="000D2644">
      <w:pPr>
        <w:widowControl w:val="0"/>
        <w:tabs>
          <w:tab w:val="left" w:pos="1276"/>
        </w:tabs>
        <w:spacing w:before="24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E5FAA5" w14:textId="77777777" w:rsidR="00344ABC" w:rsidRPr="004100F2" w:rsidRDefault="000D2644">
      <w:pPr>
        <w:spacing w:before="28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4100F2">
        <w:rPr>
          <w:rFonts w:ascii="Palatino Linotype" w:eastAsia="Palatino Linotype" w:hAnsi="Palatino Linotype" w:cs="Palatino Linotype"/>
          <w:b/>
          <w:sz w:val="22"/>
          <w:szCs w:val="22"/>
        </w:rPr>
        <w:t>quince días hábiles</w:t>
      </w:r>
      <w:r w:rsidRPr="004100F2">
        <w:rPr>
          <w:rFonts w:ascii="Palatino Linotype" w:eastAsia="Palatino Linotype" w:hAnsi="Palatino Linotype" w:cs="Palatino Linotype"/>
          <w:sz w:val="22"/>
          <w:szCs w:val="22"/>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7FCD5871" w14:textId="77777777" w:rsidR="00344ABC" w:rsidRPr="004100F2" w:rsidRDefault="000D2644">
      <w:pPr>
        <w:spacing w:before="28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Sirve de sustento a lo anterior, el precepto legal en cita:</w:t>
      </w:r>
    </w:p>
    <w:p w14:paraId="03C6D25A" w14:textId="77777777" w:rsidR="00344ABC" w:rsidRPr="004100F2" w:rsidRDefault="000D2644">
      <w:pPr>
        <w:spacing w:before="120" w:after="120"/>
        <w:ind w:left="851" w:right="902"/>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i/>
          <w:sz w:val="22"/>
          <w:szCs w:val="22"/>
        </w:rPr>
        <w:t>“</w:t>
      </w:r>
      <w:r w:rsidRPr="004100F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100F2">
        <w:rPr>
          <w:rFonts w:ascii="Palatino Linotype" w:eastAsia="Palatino Linotype" w:hAnsi="Palatino Linotype" w:cs="Palatino Linotype"/>
          <w:i/>
          <w:sz w:val="22"/>
          <w:szCs w:val="22"/>
        </w:rPr>
        <w:t xml:space="preserve">, contados a partir del día siguiente a la presentación de aquélla. </w:t>
      </w:r>
    </w:p>
    <w:p w14:paraId="7D807E5D" w14:textId="77777777" w:rsidR="00344ABC" w:rsidRPr="004100F2" w:rsidRDefault="000D2644">
      <w:pPr>
        <w:spacing w:before="120" w:after="120"/>
        <w:ind w:left="851" w:right="902"/>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57CB46A" w14:textId="77777777" w:rsidR="00344ABC" w:rsidRPr="004100F2" w:rsidRDefault="000D2644">
      <w:pPr>
        <w:spacing w:before="28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En mérito de lo expuesto, es claro que en este caso el </w:t>
      </w:r>
      <w:r w:rsidRPr="004100F2">
        <w:rPr>
          <w:rFonts w:ascii="Palatino Linotype" w:eastAsia="Palatino Linotype" w:hAnsi="Palatino Linotype" w:cs="Palatino Linotype"/>
          <w:b/>
          <w:sz w:val="22"/>
          <w:szCs w:val="22"/>
        </w:rPr>
        <w:t>Sujeto Obligado</w:t>
      </w:r>
      <w:r w:rsidRPr="004100F2">
        <w:rPr>
          <w:rFonts w:ascii="Palatino Linotype" w:eastAsia="Palatino Linotype" w:hAnsi="Palatino Linotype" w:cs="Palatino Linotype"/>
          <w:sz w:val="22"/>
          <w:szCs w:val="22"/>
        </w:rPr>
        <w:t xml:space="preserve"> incumplió la normativa en la materia, puesto que no dio trámite ni respuesta a las solicitudes de acceso a la información, limitando el derecho de acceso a la información, accionado por la persona solicitante.</w:t>
      </w:r>
    </w:p>
    <w:p w14:paraId="5C221F72" w14:textId="77777777" w:rsidR="00344ABC" w:rsidRPr="004100F2" w:rsidRDefault="000D2644">
      <w:pPr>
        <w:spacing w:before="28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41D498F" w14:textId="77777777" w:rsidR="00344ABC" w:rsidRPr="004100F2" w:rsidRDefault="000D2644">
      <w:pPr>
        <w:spacing w:before="28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100F2">
        <w:rPr>
          <w:rFonts w:ascii="Palatino Linotype" w:eastAsia="Palatino Linotype" w:hAnsi="Palatino Linotype" w:cs="Palatino Linotype"/>
          <w:b/>
          <w:sz w:val="22"/>
          <w:szCs w:val="22"/>
        </w:rPr>
        <w:t>el Sujeto Obligado</w:t>
      </w:r>
      <w:r w:rsidRPr="004100F2">
        <w:rPr>
          <w:rFonts w:ascii="Palatino Linotype" w:eastAsia="Palatino Linotype" w:hAnsi="Palatino Linotype" w:cs="Palatino Linotype"/>
          <w:sz w:val="22"/>
          <w:szCs w:val="22"/>
        </w:rPr>
        <w:t>; por lo que, en caso de no atender de manera positiva</w:t>
      </w:r>
      <w:r w:rsidRPr="004100F2">
        <w:rPr>
          <w:rFonts w:ascii="Palatino Linotype" w:eastAsia="Palatino Linotype" w:hAnsi="Palatino Linotype" w:cs="Palatino Linotype"/>
          <w:sz w:val="22"/>
          <w:szCs w:val="22"/>
          <w:vertAlign w:val="superscript"/>
        </w:rPr>
        <w:footnoteReference w:id="1"/>
      </w:r>
      <w:r w:rsidRPr="004100F2">
        <w:rPr>
          <w:rFonts w:ascii="Palatino Linotype" w:eastAsia="Palatino Linotype" w:hAnsi="Palatino Linotype" w:cs="Palatino Linotype"/>
          <w:sz w:val="22"/>
          <w:szCs w:val="22"/>
        </w:rPr>
        <w:t>, el requerimiento de información deberá manifestarse al respecto.</w:t>
      </w:r>
    </w:p>
    <w:p w14:paraId="129BB111" w14:textId="2010F1D5" w:rsidR="00344ABC" w:rsidRPr="004100F2" w:rsidRDefault="000D2644" w:rsidP="00D73FD2">
      <w:pPr>
        <w:spacing w:before="280" w:after="280" w:line="360" w:lineRule="auto"/>
        <w:jc w:val="both"/>
        <w:rPr>
          <w:rFonts w:ascii="Palatino Linotype" w:eastAsia="Palatino Linotype" w:hAnsi="Palatino Linotype" w:cs="Palatino Linotype"/>
          <w:b/>
        </w:rPr>
      </w:pPr>
      <w:r w:rsidRPr="004100F2">
        <w:rPr>
          <w:rFonts w:ascii="Palatino Linotype" w:eastAsia="Palatino Linotype" w:hAnsi="Palatino Linotype" w:cs="Palatino Linotype"/>
          <w:b/>
        </w:rPr>
        <w:t>De la clasificación de la información.</w:t>
      </w:r>
    </w:p>
    <w:p w14:paraId="79E4A2E7" w14:textId="77777777" w:rsidR="00344ABC" w:rsidRPr="004100F2" w:rsidRDefault="000D2644">
      <w:pPr>
        <w:spacing w:before="240" w:after="240" w:line="360" w:lineRule="auto"/>
        <w:ind w:right="51"/>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Ahora bien, en atención al sentido en que se resuelven los presentes medios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34A6DEE" w14:textId="77777777" w:rsidR="00344ABC" w:rsidRPr="004100F2" w:rsidRDefault="000D2644">
      <w:pPr>
        <w:ind w:left="851" w:right="900"/>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“Artículo 91. </w:t>
      </w:r>
      <w:r w:rsidRPr="004100F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9682098" w14:textId="77777777" w:rsidR="00344ABC"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AB75EF4" w14:textId="77777777" w:rsidR="00344ABC"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47C29A85" w14:textId="77777777" w:rsidR="00344ABC" w:rsidRPr="004100F2" w:rsidRDefault="000D2644" w:rsidP="00D73FD2">
      <w:pPr>
        <w:spacing w:before="120" w:after="120"/>
        <w:ind w:left="851" w:right="900"/>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“Artículo 140. </w:t>
      </w:r>
      <w:r w:rsidRPr="004100F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FAEBF07" w14:textId="77777777" w:rsidR="00344ABC" w:rsidRPr="004100F2" w:rsidRDefault="000D2644" w:rsidP="00D73FD2">
      <w:pPr>
        <w:spacing w:before="120" w:after="120"/>
        <w:ind w:left="851" w:right="900"/>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I. </w:t>
      </w:r>
      <w:r w:rsidRPr="004100F2">
        <w:rPr>
          <w:rFonts w:ascii="Palatino Linotype" w:eastAsia="Palatino Linotype" w:hAnsi="Palatino Linotype" w:cs="Palatino Linotype"/>
          <w:i/>
          <w:sz w:val="22"/>
          <w:szCs w:val="22"/>
        </w:rPr>
        <w:t>Comprometa la seguridad pública y cuente con un propósito genuino y un efecto demostrable;</w:t>
      </w:r>
    </w:p>
    <w:p w14:paraId="3DE339CC" w14:textId="77777777" w:rsidR="00344ABC" w:rsidRPr="004100F2" w:rsidRDefault="000D2644" w:rsidP="00D73FD2">
      <w:pPr>
        <w:spacing w:before="120" w:after="120"/>
        <w:ind w:left="851" w:right="900"/>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II. </w:t>
      </w:r>
      <w:r w:rsidRPr="004100F2">
        <w:rPr>
          <w:rFonts w:ascii="Palatino Linotype" w:eastAsia="Palatino Linotype" w:hAnsi="Palatino Linotype" w:cs="Palatino Linotype"/>
          <w:i/>
          <w:sz w:val="22"/>
          <w:szCs w:val="22"/>
        </w:rPr>
        <w:t>Pueda menoscabar la conducción de las negociaciones y relaciones internacionales;</w:t>
      </w:r>
    </w:p>
    <w:p w14:paraId="512D212C" w14:textId="77777777" w:rsidR="00344ABC" w:rsidRPr="004100F2" w:rsidRDefault="000D2644" w:rsidP="00D73FD2">
      <w:pPr>
        <w:spacing w:before="120" w:after="120"/>
        <w:ind w:left="851" w:right="900"/>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III. </w:t>
      </w:r>
      <w:r w:rsidRPr="004100F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B5E7B90" w14:textId="77777777" w:rsidR="00344ABC" w:rsidRPr="004100F2" w:rsidRDefault="000D2644" w:rsidP="00D73FD2">
      <w:pPr>
        <w:spacing w:before="120" w:after="120"/>
        <w:ind w:left="851" w:right="900"/>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IV. </w:t>
      </w:r>
      <w:r w:rsidRPr="004100F2">
        <w:rPr>
          <w:rFonts w:ascii="Palatino Linotype" w:eastAsia="Palatino Linotype" w:hAnsi="Palatino Linotype" w:cs="Palatino Linotype"/>
          <w:i/>
          <w:sz w:val="22"/>
          <w:szCs w:val="22"/>
        </w:rPr>
        <w:t>Ponga en riesgo la vida, la seguridad o la salud de una persona física;</w:t>
      </w:r>
    </w:p>
    <w:p w14:paraId="02B71058" w14:textId="77777777" w:rsidR="00344ABC" w:rsidRPr="004100F2" w:rsidRDefault="000D2644" w:rsidP="00D73FD2">
      <w:pPr>
        <w:spacing w:before="120" w:after="120"/>
        <w:ind w:left="851" w:right="900"/>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V. </w:t>
      </w:r>
      <w:r w:rsidRPr="004100F2">
        <w:rPr>
          <w:rFonts w:ascii="Palatino Linotype" w:eastAsia="Palatino Linotype" w:hAnsi="Palatino Linotype" w:cs="Palatino Linotype"/>
          <w:i/>
          <w:sz w:val="22"/>
          <w:szCs w:val="22"/>
        </w:rPr>
        <w:t>Aquella cuya divulgación obstruya o pueda causar un serio perjuicio a:</w:t>
      </w:r>
    </w:p>
    <w:p w14:paraId="43FAA8F4" w14:textId="77777777" w:rsidR="00344ABC" w:rsidRPr="004100F2" w:rsidRDefault="000D2644" w:rsidP="00D73FD2">
      <w:pPr>
        <w:spacing w:before="120" w:after="120"/>
        <w:ind w:left="851" w:right="900"/>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1. </w:t>
      </w:r>
      <w:r w:rsidRPr="004100F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02308033" w14:textId="77777777" w:rsidR="00344ABC" w:rsidRPr="004100F2" w:rsidRDefault="000D2644" w:rsidP="00D73FD2">
      <w:pPr>
        <w:spacing w:before="120" w:after="120"/>
        <w:ind w:left="851" w:right="900"/>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2. </w:t>
      </w:r>
      <w:r w:rsidRPr="004100F2">
        <w:rPr>
          <w:rFonts w:ascii="Palatino Linotype" w:eastAsia="Palatino Linotype" w:hAnsi="Palatino Linotype" w:cs="Palatino Linotype"/>
          <w:i/>
          <w:sz w:val="22"/>
          <w:szCs w:val="22"/>
        </w:rPr>
        <w:t>La recaudación de las contribuciones.</w:t>
      </w:r>
    </w:p>
    <w:p w14:paraId="19B2C9B2" w14:textId="77777777" w:rsidR="00344ABC" w:rsidRPr="004100F2" w:rsidRDefault="000D2644" w:rsidP="00D73FD2">
      <w:pPr>
        <w:spacing w:before="120" w:after="120"/>
        <w:ind w:left="851" w:right="900"/>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VI. </w:t>
      </w:r>
      <w:r w:rsidRPr="004100F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AF068BC" w14:textId="77777777" w:rsidR="00344ABC" w:rsidRPr="004100F2" w:rsidRDefault="000D2644" w:rsidP="00D73FD2">
      <w:pPr>
        <w:spacing w:before="120" w:after="120"/>
        <w:ind w:left="851" w:right="900"/>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VII. </w:t>
      </w:r>
      <w:r w:rsidRPr="004100F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73EEF88B" w14:textId="77777777" w:rsidR="00344ABC" w:rsidRPr="004100F2" w:rsidRDefault="000D2644" w:rsidP="00D73FD2">
      <w:pPr>
        <w:spacing w:before="120" w:after="120"/>
        <w:ind w:left="851" w:right="900"/>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VIII</w:t>
      </w:r>
      <w:r w:rsidRPr="004100F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100F2">
        <w:rPr>
          <w:rFonts w:ascii="Palatino Linotype" w:eastAsia="Palatino Linotype" w:hAnsi="Palatino Linotype" w:cs="Palatino Linotype"/>
          <w:b/>
          <w:i/>
          <w:sz w:val="22"/>
          <w:szCs w:val="22"/>
        </w:rPr>
        <w:t>;</w:t>
      </w:r>
    </w:p>
    <w:p w14:paraId="31C1DD44" w14:textId="77777777" w:rsidR="00344ABC" w:rsidRPr="004100F2" w:rsidRDefault="000D2644" w:rsidP="00D73FD2">
      <w:pPr>
        <w:spacing w:before="120" w:after="120"/>
        <w:ind w:left="851" w:right="900"/>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IX. </w:t>
      </w:r>
      <w:r w:rsidRPr="004100F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75523B6A" w14:textId="77777777" w:rsidR="00344ABC" w:rsidRPr="004100F2" w:rsidRDefault="000D2644" w:rsidP="00D73FD2">
      <w:pPr>
        <w:spacing w:before="120" w:after="120"/>
        <w:ind w:left="851" w:right="900"/>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X. </w:t>
      </w:r>
      <w:r w:rsidRPr="004100F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EBE36CF" w14:textId="77777777" w:rsidR="00344ABC" w:rsidRPr="004100F2" w:rsidRDefault="000D2644" w:rsidP="00D73FD2">
      <w:pPr>
        <w:spacing w:before="120" w:after="120"/>
        <w:ind w:left="851" w:right="900"/>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2499338" w14:textId="77777777" w:rsidR="00344ABC" w:rsidRPr="004100F2" w:rsidRDefault="000D2644" w:rsidP="00D73FD2">
      <w:pPr>
        <w:spacing w:before="120" w:after="120"/>
        <w:ind w:left="851" w:right="900"/>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XI. </w:t>
      </w:r>
      <w:r w:rsidRPr="004100F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BA1941A" w14:textId="77777777" w:rsidR="00344ABC" w:rsidRPr="004100F2" w:rsidRDefault="000D2644" w:rsidP="00D73FD2">
      <w:pPr>
        <w:spacing w:before="120" w:after="120"/>
        <w:ind w:left="851" w:right="900"/>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i/>
          <w:sz w:val="22"/>
          <w:szCs w:val="22"/>
        </w:rPr>
        <w:t>(…)</w:t>
      </w:r>
    </w:p>
    <w:p w14:paraId="70BB6B3B" w14:textId="77777777" w:rsidR="00344ABC" w:rsidRPr="004100F2" w:rsidRDefault="000D2644" w:rsidP="00D73FD2">
      <w:pPr>
        <w:spacing w:before="120" w:after="120"/>
        <w:ind w:left="851" w:right="900"/>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Artículo 143. </w:t>
      </w:r>
      <w:r w:rsidRPr="004100F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10DA2B4" w14:textId="77777777" w:rsidR="00344ABC" w:rsidRPr="004100F2" w:rsidRDefault="000D2644" w:rsidP="00D73FD2">
      <w:pPr>
        <w:spacing w:before="120" w:after="120"/>
        <w:ind w:left="851" w:right="900"/>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I. </w:t>
      </w:r>
      <w:r w:rsidRPr="004100F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6327BF5C" w14:textId="77777777" w:rsidR="00344ABC" w:rsidRPr="004100F2" w:rsidRDefault="000D2644" w:rsidP="00D73FD2">
      <w:pPr>
        <w:spacing w:before="120" w:after="120"/>
        <w:ind w:left="851" w:right="900"/>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II. </w:t>
      </w:r>
      <w:r w:rsidRPr="004100F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E522D0" w14:textId="77777777" w:rsidR="00344ABC" w:rsidRPr="004100F2" w:rsidRDefault="000D2644" w:rsidP="00D73FD2">
      <w:pPr>
        <w:spacing w:before="120" w:after="120"/>
        <w:ind w:left="851" w:right="900"/>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III. </w:t>
      </w:r>
      <w:r w:rsidRPr="004100F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1F7538BE" w14:textId="77777777" w:rsidR="00344ABC" w:rsidRPr="004100F2" w:rsidRDefault="000D2644" w:rsidP="00D73FD2">
      <w:pPr>
        <w:spacing w:before="120" w:after="120"/>
        <w:ind w:left="851" w:right="900"/>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F0E86D2" w14:textId="77777777" w:rsidR="00344ABC" w:rsidRPr="004100F2" w:rsidRDefault="000D2644" w:rsidP="00D73FD2">
      <w:pPr>
        <w:spacing w:before="120" w:after="120"/>
        <w:ind w:left="851"/>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B57102A" w14:textId="77777777" w:rsidR="00344ABC" w:rsidRPr="004100F2" w:rsidRDefault="000D2644">
      <w:pPr>
        <w:spacing w:before="28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613E80E" w14:textId="77777777" w:rsidR="00344ABC" w:rsidRPr="004100F2" w:rsidRDefault="000D2644">
      <w:pPr>
        <w:numPr>
          <w:ilvl w:val="0"/>
          <w:numId w:val="2"/>
        </w:numPr>
        <w:tabs>
          <w:tab w:val="left" w:pos="851"/>
        </w:tabs>
        <w:spacing w:before="280" w:line="360" w:lineRule="auto"/>
        <w:ind w:left="567" w:firstLine="0"/>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Se reciba una solicitud de acceso a la información;</w:t>
      </w:r>
    </w:p>
    <w:p w14:paraId="74BA6841" w14:textId="77777777" w:rsidR="00344ABC" w:rsidRPr="004100F2" w:rsidRDefault="000D2644">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Se determine mediante resolución de autoridad competente; y/o</w:t>
      </w:r>
    </w:p>
    <w:p w14:paraId="2E3E7987" w14:textId="77777777" w:rsidR="00344ABC" w:rsidRPr="004100F2" w:rsidRDefault="000D2644">
      <w:pPr>
        <w:numPr>
          <w:ilvl w:val="0"/>
          <w:numId w:val="2"/>
        </w:numPr>
        <w:tabs>
          <w:tab w:val="left" w:pos="851"/>
        </w:tabs>
        <w:spacing w:after="280" w:line="360" w:lineRule="auto"/>
        <w:ind w:left="567" w:firstLine="0"/>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Se generen versiones públicas para dar cumplimiento a las obligaciones de transparencia previstas en la Ley.</w:t>
      </w:r>
    </w:p>
    <w:p w14:paraId="2DC909E2" w14:textId="0A86DA06" w:rsidR="00344ABC" w:rsidRPr="004100F2" w:rsidRDefault="000D2644">
      <w:pPr>
        <w:spacing w:before="280" w:after="280" w:line="360" w:lineRule="auto"/>
        <w:ind w:right="51"/>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100F2">
        <w:rPr>
          <w:rFonts w:ascii="Palatino Linotype" w:eastAsia="Palatino Linotype" w:hAnsi="Palatino Linotype" w:cs="Palatino Linotype"/>
          <w:b/>
          <w:sz w:val="22"/>
          <w:szCs w:val="22"/>
        </w:rPr>
        <w:t>Sujeto Obligado,</w:t>
      </w:r>
      <w:r w:rsidRPr="004100F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100F2">
        <w:rPr>
          <w:rFonts w:ascii="Palatino Linotype" w:eastAsia="Palatino Linotype" w:hAnsi="Palatino Linotype" w:cs="Palatino Linotype"/>
          <w:b/>
          <w:sz w:val="22"/>
          <w:szCs w:val="22"/>
        </w:rPr>
        <w:t>Sujeto Obligado</w:t>
      </w:r>
      <w:r w:rsidRPr="004100F2">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49, fracciones II y VIII, 53, fracción X y 59, fracción V de la Ley de Transparencia y Acceso a la Información Pública del Estado de México y Municipios, a saber:</w:t>
      </w:r>
    </w:p>
    <w:p w14:paraId="148CF4C7" w14:textId="77777777" w:rsidR="00344ABC" w:rsidRPr="004100F2"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i/>
          <w:sz w:val="22"/>
          <w:szCs w:val="22"/>
        </w:rPr>
        <w:t>“</w:t>
      </w:r>
      <w:r w:rsidRPr="004100F2">
        <w:rPr>
          <w:rFonts w:ascii="Palatino Linotype" w:eastAsia="Palatino Linotype" w:hAnsi="Palatino Linotype" w:cs="Palatino Linotype"/>
          <w:b/>
          <w:i/>
          <w:sz w:val="22"/>
          <w:szCs w:val="22"/>
        </w:rPr>
        <w:t>Artículo 49.</w:t>
      </w:r>
      <w:r w:rsidRPr="004100F2">
        <w:rPr>
          <w:rFonts w:ascii="Palatino Linotype" w:eastAsia="Palatino Linotype" w:hAnsi="Palatino Linotype" w:cs="Palatino Linotype"/>
          <w:i/>
          <w:sz w:val="22"/>
          <w:szCs w:val="22"/>
        </w:rPr>
        <w:t xml:space="preserve"> Los Comités de Transparencia tendrán las siguientes atribuciones:</w:t>
      </w:r>
    </w:p>
    <w:p w14:paraId="7E972951" w14:textId="77777777" w:rsidR="00344ABC" w:rsidRPr="004100F2"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4100F2">
        <w:rPr>
          <w:rFonts w:ascii="Palatino Linotype" w:eastAsia="Palatino Linotype" w:hAnsi="Palatino Linotype" w:cs="Palatino Linotype"/>
          <w:b/>
          <w:i/>
          <w:sz w:val="22"/>
          <w:szCs w:val="22"/>
        </w:rPr>
        <w:t>…</w:t>
      </w:r>
    </w:p>
    <w:p w14:paraId="0818FD05" w14:textId="77777777" w:rsidR="00344ABC" w:rsidRPr="004100F2"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II.</w:t>
      </w:r>
      <w:r w:rsidRPr="004100F2">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41AF4E35" w14:textId="77777777" w:rsidR="00344ABC" w:rsidRPr="004100F2"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4100F2">
        <w:rPr>
          <w:rFonts w:ascii="Palatino Linotype" w:eastAsia="Palatino Linotype" w:hAnsi="Palatino Linotype" w:cs="Palatino Linotype"/>
          <w:b/>
          <w:i/>
          <w:sz w:val="22"/>
          <w:szCs w:val="22"/>
        </w:rPr>
        <w:t>…</w:t>
      </w:r>
    </w:p>
    <w:p w14:paraId="7D58133A" w14:textId="77777777" w:rsidR="00344ABC" w:rsidRPr="004100F2"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VIII.</w:t>
      </w:r>
      <w:r w:rsidRPr="004100F2">
        <w:rPr>
          <w:rFonts w:ascii="Palatino Linotype" w:eastAsia="Palatino Linotype" w:hAnsi="Palatino Linotype" w:cs="Palatino Linotype"/>
          <w:i/>
          <w:sz w:val="22"/>
          <w:szCs w:val="22"/>
        </w:rPr>
        <w:t xml:space="preserve"> Aprobar, modificar o revocar la clasificación de la información;</w:t>
      </w:r>
    </w:p>
    <w:p w14:paraId="36E69F51" w14:textId="77777777" w:rsidR="00344ABC" w:rsidRPr="004100F2"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4100F2">
        <w:rPr>
          <w:rFonts w:ascii="Palatino Linotype" w:eastAsia="Palatino Linotype" w:hAnsi="Palatino Linotype" w:cs="Palatino Linotype"/>
          <w:b/>
          <w:i/>
          <w:sz w:val="22"/>
          <w:szCs w:val="22"/>
        </w:rPr>
        <w:t>…</w:t>
      </w:r>
    </w:p>
    <w:p w14:paraId="487ABB05" w14:textId="77777777" w:rsidR="00344ABC" w:rsidRPr="004100F2"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Artículo 5</w:t>
      </w:r>
      <w:r w:rsidRPr="004100F2">
        <w:rPr>
          <w:rFonts w:ascii="Palatino Linotype" w:eastAsia="Palatino Linotype" w:hAnsi="Palatino Linotype" w:cs="Palatino Linotype"/>
          <w:i/>
          <w:sz w:val="22"/>
          <w:szCs w:val="22"/>
        </w:rPr>
        <w:t>3. Las Unidades de Transparencia tendrán las siguientes funciones:</w:t>
      </w:r>
    </w:p>
    <w:p w14:paraId="27658B6E" w14:textId="77777777" w:rsidR="00344ABC" w:rsidRPr="004100F2"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4100F2">
        <w:rPr>
          <w:rFonts w:ascii="Palatino Linotype" w:eastAsia="Palatino Linotype" w:hAnsi="Palatino Linotype" w:cs="Palatino Linotype"/>
          <w:b/>
          <w:i/>
          <w:sz w:val="22"/>
          <w:szCs w:val="22"/>
        </w:rPr>
        <w:t>…</w:t>
      </w:r>
    </w:p>
    <w:p w14:paraId="7DA2C1EA" w14:textId="77777777" w:rsidR="00344ABC" w:rsidRPr="004100F2"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4100F2">
        <w:rPr>
          <w:rFonts w:ascii="Palatino Linotype" w:eastAsia="Palatino Linotype" w:hAnsi="Palatino Linotype" w:cs="Palatino Linotype"/>
          <w:b/>
          <w:i/>
          <w:sz w:val="22"/>
          <w:szCs w:val="22"/>
        </w:rPr>
        <w:t>X</w:t>
      </w:r>
      <w:r w:rsidRPr="004100F2">
        <w:rPr>
          <w:rFonts w:ascii="Palatino Linotype" w:eastAsia="Palatino Linotype" w:hAnsi="Palatino Linotype" w:cs="Palatino Linotype"/>
          <w:i/>
          <w:sz w:val="22"/>
          <w:szCs w:val="22"/>
        </w:rPr>
        <w:t>. Presentar ante el Comité, el proyecto de clasificación de información</w:t>
      </w:r>
    </w:p>
    <w:p w14:paraId="67F62EBC" w14:textId="77777777" w:rsidR="00344ABC" w:rsidRPr="004100F2"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4100F2">
        <w:rPr>
          <w:rFonts w:ascii="Palatino Linotype" w:eastAsia="Palatino Linotype" w:hAnsi="Palatino Linotype" w:cs="Palatino Linotype"/>
          <w:b/>
          <w:i/>
          <w:sz w:val="22"/>
          <w:szCs w:val="22"/>
        </w:rPr>
        <w:t>…</w:t>
      </w:r>
    </w:p>
    <w:p w14:paraId="6A6BBE88" w14:textId="77777777" w:rsidR="00344ABC" w:rsidRPr="004100F2"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Artículo 59.</w:t>
      </w:r>
      <w:r w:rsidRPr="004100F2">
        <w:rPr>
          <w:rFonts w:ascii="Palatino Linotype" w:eastAsia="Palatino Linotype" w:hAnsi="Palatino Linotype" w:cs="Palatino Linotype"/>
          <w:i/>
          <w:sz w:val="22"/>
          <w:szCs w:val="22"/>
        </w:rPr>
        <w:t xml:space="preserve"> Los servidores públicos habilitados tendrán las funciones siguientes:</w:t>
      </w:r>
    </w:p>
    <w:p w14:paraId="42795840" w14:textId="77777777" w:rsidR="00344ABC" w:rsidRPr="004100F2"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4100F2">
        <w:rPr>
          <w:rFonts w:ascii="Palatino Linotype" w:eastAsia="Palatino Linotype" w:hAnsi="Palatino Linotype" w:cs="Palatino Linotype"/>
          <w:b/>
          <w:i/>
          <w:sz w:val="22"/>
          <w:szCs w:val="22"/>
        </w:rPr>
        <w:t>…</w:t>
      </w:r>
    </w:p>
    <w:p w14:paraId="443B57DB" w14:textId="77777777" w:rsidR="00344ABC" w:rsidRPr="004100F2"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V.</w:t>
      </w:r>
      <w:r w:rsidRPr="004100F2">
        <w:rPr>
          <w:rFonts w:ascii="Palatino Linotype" w:eastAsia="Palatino Linotype" w:hAnsi="Palatino Linotype" w:cs="Palatino Linotype"/>
          <w:i/>
          <w:sz w:val="22"/>
          <w:szCs w:val="22"/>
        </w:rPr>
        <w:t xml:space="preserve"> Integrar y presentar al responsable de la Unidad de Transparencia la propuesta de clasificación de información, la cual tendrá los fundamentos y argumentos en que se basa dicha propuesta;”</w:t>
      </w:r>
    </w:p>
    <w:p w14:paraId="33A646C6" w14:textId="77777777" w:rsidR="00344ABC" w:rsidRPr="004100F2" w:rsidRDefault="000D2644">
      <w:pPr>
        <w:spacing w:before="28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Bajo tales consideraciones, este Organismo Garante no omite señalar que, si el </w:t>
      </w:r>
      <w:r w:rsidRPr="004100F2">
        <w:rPr>
          <w:rFonts w:ascii="Palatino Linotype" w:eastAsia="Palatino Linotype" w:hAnsi="Palatino Linotype" w:cs="Palatino Linotype"/>
          <w:b/>
          <w:sz w:val="22"/>
          <w:szCs w:val="22"/>
        </w:rPr>
        <w:t>Sujeto Obligado</w:t>
      </w:r>
      <w:r w:rsidRPr="004100F2">
        <w:rPr>
          <w:rFonts w:ascii="Palatino Linotype" w:eastAsia="Palatino Linotype" w:hAnsi="Palatino Linotype" w:cs="Palatino Linotype"/>
          <w:sz w:val="22"/>
          <w:szCs w:val="22"/>
        </w:rPr>
        <w:t xml:space="preserve"> advierte que la información solicitada contiene </w:t>
      </w:r>
      <w:r w:rsidRPr="004100F2">
        <w:rPr>
          <w:rFonts w:ascii="Palatino Linotype" w:eastAsia="Palatino Linotype" w:hAnsi="Palatino Linotype" w:cs="Palatino Linotype"/>
          <w:b/>
          <w:sz w:val="22"/>
          <w:szCs w:val="22"/>
        </w:rPr>
        <w:t>datos personales</w:t>
      </w:r>
      <w:r w:rsidRPr="004100F2">
        <w:rPr>
          <w:rFonts w:ascii="Palatino Linotype" w:eastAsia="Palatino Linotype" w:hAnsi="Palatino Linotype" w:cs="Palatino Linotype"/>
          <w:sz w:val="22"/>
          <w:szCs w:val="22"/>
        </w:rPr>
        <w:t xml:space="preserve"> que sean susceptibles de ser </w:t>
      </w:r>
      <w:r w:rsidRPr="004100F2">
        <w:rPr>
          <w:rFonts w:ascii="Palatino Linotype" w:eastAsia="Palatino Linotype" w:hAnsi="Palatino Linotype" w:cs="Palatino Linotype"/>
          <w:b/>
          <w:sz w:val="22"/>
          <w:szCs w:val="22"/>
        </w:rPr>
        <w:t xml:space="preserve">clasificados como confidenciales, </w:t>
      </w:r>
      <w:r w:rsidRPr="004100F2">
        <w:rPr>
          <w:rFonts w:ascii="Palatino Linotype" w:eastAsia="Palatino Linotype" w:hAnsi="Palatino Linotype" w:cs="Palatino Linotype"/>
          <w:sz w:val="22"/>
          <w:szCs w:val="22"/>
        </w:rPr>
        <w:t>o, si por otro lado</w:t>
      </w:r>
      <w:r w:rsidRPr="004100F2">
        <w:rPr>
          <w:rFonts w:ascii="Palatino Linotype" w:eastAsia="Palatino Linotype" w:hAnsi="Palatino Linotype" w:cs="Palatino Linotype"/>
          <w:b/>
          <w:sz w:val="22"/>
          <w:szCs w:val="22"/>
        </w:rPr>
        <w:t>, por su propia y especial naturaleza,</w:t>
      </w:r>
      <w:r w:rsidRPr="004100F2">
        <w:rPr>
          <w:rFonts w:ascii="Palatino Linotype" w:eastAsia="Palatino Linotype" w:hAnsi="Palatino Linotype" w:cs="Palatino Linotype"/>
          <w:sz w:val="22"/>
          <w:szCs w:val="22"/>
        </w:rPr>
        <w:t xml:space="preserve"> encuadra en alguno de los </w:t>
      </w:r>
      <w:r w:rsidRPr="004100F2">
        <w:rPr>
          <w:rFonts w:ascii="Palatino Linotype" w:eastAsia="Palatino Linotype" w:hAnsi="Palatino Linotype" w:cs="Palatino Linotype"/>
          <w:b/>
          <w:sz w:val="22"/>
          <w:szCs w:val="22"/>
        </w:rPr>
        <w:t>supuestos de reserva o de confidencialidad en su totalidad</w:t>
      </w:r>
      <w:r w:rsidRPr="004100F2">
        <w:rPr>
          <w:rFonts w:ascii="Palatino Linotype" w:eastAsia="Palatino Linotype" w:hAnsi="Palatino Linotype" w:cs="Palatino Linotype"/>
          <w:sz w:val="22"/>
          <w:szCs w:val="22"/>
        </w:rPr>
        <w:t>, deberá emitir, un</w:t>
      </w:r>
      <w:r w:rsidRPr="004100F2">
        <w:rPr>
          <w:rFonts w:ascii="Palatino Linotype" w:eastAsia="Palatino Linotype" w:hAnsi="Palatino Linotype" w:cs="Palatino Linotype"/>
          <w:b/>
          <w:sz w:val="22"/>
          <w:szCs w:val="22"/>
        </w:rPr>
        <w:t xml:space="preserve"> Acuerdo de Clasificación </w:t>
      </w:r>
      <w:r w:rsidRPr="004100F2">
        <w:rPr>
          <w:rFonts w:ascii="Palatino Linotype" w:eastAsia="Palatino Linotype" w:hAnsi="Palatino Linotype" w:cs="Palatino Linotype"/>
          <w:sz w:val="22"/>
          <w:szCs w:val="22"/>
        </w:rPr>
        <w:t>debidamente fundado y motivado que</w:t>
      </w:r>
      <w:r w:rsidRPr="004100F2">
        <w:rPr>
          <w:rFonts w:ascii="Palatino Linotype" w:eastAsia="Palatino Linotype" w:hAnsi="Palatino Linotype" w:cs="Palatino Linotype"/>
          <w:b/>
          <w:sz w:val="22"/>
          <w:szCs w:val="22"/>
        </w:rPr>
        <w:t xml:space="preserve"> sustente la clasificación parcial, a través de la versión pública que emita,</w:t>
      </w:r>
      <w:r w:rsidRPr="004100F2">
        <w:rPr>
          <w:rFonts w:ascii="Palatino Linotype" w:eastAsia="Palatino Linotype" w:hAnsi="Palatino Linotype" w:cs="Palatino Linotype"/>
          <w:sz w:val="22"/>
          <w:szCs w:val="22"/>
        </w:rPr>
        <w:t xml:space="preserve"> o bien, la restricción total del derecho de acceso a la información.  </w:t>
      </w:r>
    </w:p>
    <w:p w14:paraId="4F55809D" w14:textId="77777777" w:rsidR="00D73FD2" w:rsidRPr="004100F2" w:rsidRDefault="00D73FD2">
      <w:pPr>
        <w:spacing w:before="280" w:after="280" w:line="360" w:lineRule="auto"/>
        <w:jc w:val="both"/>
        <w:rPr>
          <w:rFonts w:ascii="Palatino Linotype" w:eastAsia="Palatino Linotype" w:hAnsi="Palatino Linotype" w:cs="Palatino Linotype"/>
          <w:sz w:val="22"/>
          <w:szCs w:val="22"/>
        </w:rPr>
      </w:pPr>
    </w:p>
    <w:p w14:paraId="0CF5E815" w14:textId="77777777" w:rsidR="00344ABC" w:rsidRPr="004100F2" w:rsidRDefault="000D2644">
      <w:pPr>
        <w:numPr>
          <w:ilvl w:val="0"/>
          <w:numId w:val="6"/>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b/>
          <w:sz w:val="22"/>
          <w:szCs w:val="22"/>
        </w:rPr>
        <w:t>De la clasificación parcial de la información.</w:t>
      </w:r>
    </w:p>
    <w:p w14:paraId="50D5326A" w14:textId="77777777" w:rsidR="00344ABC" w:rsidRPr="004100F2" w:rsidRDefault="000D2644">
      <w:pPr>
        <w:spacing w:before="28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DFBDC9C" w14:textId="77777777" w:rsidR="00344ABC" w:rsidRPr="004100F2" w:rsidRDefault="000D2644">
      <w:pPr>
        <w:numPr>
          <w:ilvl w:val="0"/>
          <w:numId w:val="5"/>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4100F2">
        <w:rPr>
          <w:rFonts w:ascii="Palatino Linotype" w:eastAsia="Palatino Linotype" w:hAnsi="Palatino Linotype" w:cs="Palatino Linotype"/>
          <w:b/>
          <w:sz w:val="22"/>
          <w:szCs w:val="22"/>
        </w:rPr>
        <w:t xml:space="preserve"> De la clasificación de información como reservada.</w:t>
      </w:r>
    </w:p>
    <w:p w14:paraId="624B06D1" w14:textId="77777777" w:rsidR="00344ABC" w:rsidRPr="004100F2" w:rsidRDefault="000D2644">
      <w:pPr>
        <w:spacing w:before="280" w:after="280" w:line="360" w:lineRule="auto"/>
        <w:ind w:right="51"/>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100F2">
        <w:rPr>
          <w:rFonts w:ascii="Palatino Linotype" w:eastAsia="Palatino Linotype" w:hAnsi="Palatino Linotype" w:cs="Palatino Linotype"/>
          <w:b/>
          <w:sz w:val="22"/>
          <w:szCs w:val="22"/>
        </w:rPr>
        <w:t>Sujeto Obligado</w:t>
      </w:r>
      <w:r w:rsidRPr="004100F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35157F7" w14:textId="77777777" w:rsidR="00344ABC" w:rsidRPr="004100F2" w:rsidRDefault="000D2644">
      <w:pPr>
        <w:spacing w:before="28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2A888FB" w14:textId="77777777" w:rsidR="00344ABC" w:rsidRPr="004100F2" w:rsidRDefault="000D2644">
      <w:pPr>
        <w:numPr>
          <w:ilvl w:val="0"/>
          <w:numId w:val="3"/>
        </w:numPr>
        <w:tabs>
          <w:tab w:val="left" w:pos="709"/>
        </w:tabs>
        <w:spacing w:before="280" w:line="360" w:lineRule="auto"/>
        <w:ind w:left="426" w:firstLine="1"/>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La divulgación de la información representa un </w:t>
      </w:r>
      <w:r w:rsidRPr="004100F2">
        <w:rPr>
          <w:rFonts w:ascii="Palatino Linotype" w:eastAsia="Palatino Linotype" w:hAnsi="Palatino Linotype" w:cs="Palatino Linotype"/>
          <w:b/>
          <w:sz w:val="22"/>
          <w:szCs w:val="22"/>
        </w:rPr>
        <w:t>riesgo real, demostrable e identificable del perjuicio significativo al interés público o a la seguridad pública</w:t>
      </w:r>
      <w:r w:rsidRPr="004100F2">
        <w:rPr>
          <w:rFonts w:ascii="Palatino Linotype" w:eastAsia="Palatino Linotype" w:hAnsi="Palatino Linotype" w:cs="Palatino Linotype"/>
          <w:sz w:val="22"/>
          <w:szCs w:val="22"/>
        </w:rPr>
        <w:t>;</w:t>
      </w:r>
    </w:p>
    <w:p w14:paraId="669BCE89" w14:textId="77777777" w:rsidR="00344ABC" w:rsidRPr="004100F2" w:rsidRDefault="000D2644">
      <w:pPr>
        <w:numPr>
          <w:ilvl w:val="0"/>
          <w:numId w:val="3"/>
        </w:numPr>
        <w:tabs>
          <w:tab w:val="left" w:pos="709"/>
        </w:tabs>
        <w:spacing w:line="360" w:lineRule="auto"/>
        <w:ind w:left="426" w:firstLine="1"/>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El riesgo de perjuicio que supondría la divulgación supera el interés público general de que se difunda; y,</w:t>
      </w:r>
    </w:p>
    <w:p w14:paraId="024F574F" w14:textId="77777777" w:rsidR="00344ABC" w:rsidRPr="004100F2" w:rsidRDefault="000D2644">
      <w:pPr>
        <w:numPr>
          <w:ilvl w:val="0"/>
          <w:numId w:val="3"/>
        </w:numPr>
        <w:tabs>
          <w:tab w:val="left" w:pos="709"/>
        </w:tabs>
        <w:spacing w:after="280" w:line="360" w:lineRule="auto"/>
        <w:ind w:left="426" w:firstLine="1"/>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38D516A4" w14:textId="77777777" w:rsidR="00344ABC" w:rsidRPr="004100F2" w:rsidRDefault="000D2644">
      <w:pPr>
        <w:spacing w:before="28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Es pertinente aclarar que, la información que se clasifica bajo la premisa de reservada, </w:t>
      </w:r>
      <w:r w:rsidRPr="004100F2">
        <w:rPr>
          <w:rFonts w:ascii="Palatino Linotype" w:eastAsia="Palatino Linotype" w:hAnsi="Palatino Linotype" w:cs="Palatino Linotype"/>
          <w:b/>
          <w:sz w:val="22"/>
          <w:szCs w:val="22"/>
        </w:rPr>
        <w:t>no pierde el carácter de pública</w:t>
      </w:r>
      <w:r w:rsidRPr="004100F2">
        <w:rPr>
          <w:rFonts w:ascii="Palatino Linotype" w:eastAsia="Palatino Linotype" w:hAnsi="Palatino Linotype" w:cs="Palatino Linotype"/>
          <w:sz w:val="22"/>
          <w:szCs w:val="22"/>
        </w:rPr>
        <w:t xml:space="preserve">, sino que </w:t>
      </w:r>
      <w:r w:rsidRPr="004100F2">
        <w:rPr>
          <w:rFonts w:ascii="Palatino Linotype" w:eastAsia="Palatino Linotype" w:hAnsi="Palatino Linotype" w:cs="Palatino Linotype"/>
          <w:b/>
          <w:sz w:val="22"/>
          <w:szCs w:val="22"/>
        </w:rPr>
        <w:t>se reserva temporalmente</w:t>
      </w:r>
      <w:r w:rsidRPr="004100F2">
        <w:rPr>
          <w:rFonts w:ascii="Palatino Linotype" w:eastAsia="Palatino Linotype" w:hAnsi="Palatino Linotype" w:cs="Palatino Linotype"/>
          <w:sz w:val="22"/>
          <w:szCs w:val="22"/>
        </w:rPr>
        <w:t xml:space="preserve"> </w:t>
      </w:r>
      <w:r w:rsidRPr="004100F2">
        <w:rPr>
          <w:rFonts w:ascii="Palatino Linotype" w:eastAsia="Palatino Linotype" w:hAnsi="Palatino Linotype" w:cs="Palatino Linotype"/>
          <w:b/>
          <w:sz w:val="22"/>
          <w:szCs w:val="22"/>
        </w:rPr>
        <w:t>del conocimiento público</w:t>
      </w:r>
      <w:r w:rsidRPr="004100F2">
        <w:rPr>
          <w:rFonts w:ascii="Palatino Linotype" w:eastAsia="Palatino Linotype" w:hAnsi="Palatino Linotype" w:cs="Palatino Linotype"/>
          <w:sz w:val="22"/>
          <w:szCs w:val="22"/>
        </w:rPr>
        <w:t xml:space="preserve">, es decir, que, </w:t>
      </w:r>
      <w:r w:rsidRPr="004100F2">
        <w:rPr>
          <w:rFonts w:ascii="Palatino Linotype" w:eastAsia="Palatino Linotype" w:hAnsi="Palatino Linotype" w:cs="Palatino Linotype"/>
          <w:b/>
          <w:sz w:val="22"/>
          <w:szCs w:val="22"/>
        </w:rPr>
        <w:t>por un tiempo determinado</w:t>
      </w:r>
      <w:r w:rsidRPr="004100F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61D25A1C" w14:textId="77777777" w:rsidR="00344ABC" w:rsidRPr="004100F2" w:rsidRDefault="000D2644">
      <w:pPr>
        <w:spacing w:before="28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DD7CE6B" w14:textId="77777777" w:rsidR="00344ABC" w:rsidRPr="004100F2" w:rsidRDefault="000D2644">
      <w:pPr>
        <w:numPr>
          <w:ilvl w:val="0"/>
          <w:numId w:val="4"/>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4100F2">
        <w:rPr>
          <w:rFonts w:ascii="Palatino Linotype" w:eastAsia="Palatino Linotype" w:hAnsi="Palatino Linotype" w:cs="Palatino Linotype"/>
          <w:b/>
          <w:sz w:val="22"/>
          <w:szCs w:val="22"/>
        </w:rPr>
        <w:t>De la clasificación de la información como totalmente confidencial.</w:t>
      </w:r>
    </w:p>
    <w:p w14:paraId="3B16CE71" w14:textId="77777777" w:rsidR="00344ABC" w:rsidRPr="004100F2" w:rsidRDefault="000D2644">
      <w:pPr>
        <w:tabs>
          <w:tab w:val="left" w:pos="709"/>
        </w:tabs>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4FA8A48" w14:textId="77777777" w:rsidR="00344ABC" w:rsidRPr="004100F2" w:rsidRDefault="000D2644">
      <w:pPr>
        <w:spacing w:before="280" w:after="280" w:line="360" w:lineRule="auto"/>
        <w:ind w:right="51"/>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100F2">
        <w:rPr>
          <w:rFonts w:ascii="Palatino Linotype" w:eastAsia="Palatino Linotype" w:hAnsi="Palatino Linotype" w:cs="Palatino Linotype"/>
          <w:sz w:val="22"/>
          <w:szCs w:val="22"/>
          <w:vertAlign w:val="superscript"/>
        </w:rPr>
        <w:footnoteReference w:id="2"/>
      </w:r>
      <w:r w:rsidRPr="004100F2">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A97E610" w14:textId="6941218D" w:rsidR="00344ABC" w:rsidRPr="004100F2" w:rsidRDefault="000D2644" w:rsidP="00D73FD2">
      <w:pPr>
        <w:spacing w:before="280" w:after="280" w:line="360" w:lineRule="auto"/>
        <w:ind w:right="51"/>
        <w:jc w:val="both"/>
        <w:rPr>
          <w:rFonts w:ascii="Palatino Linotype" w:eastAsia="Palatino Linotype" w:hAnsi="Palatino Linotype" w:cs="Palatino Linotype"/>
        </w:rPr>
      </w:pPr>
      <w:r w:rsidRPr="004100F2">
        <w:rPr>
          <w:rFonts w:ascii="Palatino Linotype" w:eastAsia="Palatino Linotype" w:hAnsi="Palatino Linotype" w:cs="Palatino Linotype"/>
          <w:b/>
        </w:rPr>
        <w:t>De la declaratoria de inexistencia de la información</w:t>
      </w:r>
      <w:r w:rsidRPr="004100F2">
        <w:rPr>
          <w:rFonts w:ascii="Palatino Linotype" w:eastAsia="Palatino Linotype" w:hAnsi="Palatino Linotype" w:cs="Palatino Linotype"/>
        </w:rPr>
        <w:t>.</w:t>
      </w:r>
    </w:p>
    <w:p w14:paraId="4061E208" w14:textId="77777777" w:rsidR="00344ABC" w:rsidRPr="004100F2" w:rsidRDefault="000D2644">
      <w:pPr>
        <w:spacing w:before="28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Por otro lado, estima prudente señalar al </w:t>
      </w:r>
      <w:r w:rsidRPr="004100F2">
        <w:rPr>
          <w:rFonts w:ascii="Palatino Linotype" w:eastAsia="Palatino Linotype" w:hAnsi="Palatino Linotype" w:cs="Palatino Linotype"/>
          <w:b/>
          <w:sz w:val="22"/>
          <w:szCs w:val="22"/>
        </w:rPr>
        <w:t>Sujeto Obligado</w:t>
      </w:r>
      <w:r w:rsidRPr="004100F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06292E2B" w14:textId="77777777" w:rsidR="00344ABC" w:rsidRPr="004100F2" w:rsidRDefault="000D2644">
      <w:pPr>
        <w:spacing w:before="28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4DCD241" w14:textId="77777777" w:rsidR="00344ABC" w:rsidRPr="004100F2" w:rsidRDefault="000D2644">
      <w:pPr>
        <w:spacing w:before="28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67AEF03" w14:textId="77777777" w:rsidR="00344ABC" w:rsidRPr="004100F2" w:rsidRDefault="000D2644">
      <w:pPr>
        <w:spacing w:before="28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45303968" w14:textId="77777777" w:rsidR="00344ABC" w:rsidRPr="004100F2" w:rsidRDefault="000D2644">
      <w:pPr>
        <w:ind w:left="851" w:right="902"/>
        <w:jc w:val="both"/>
        <w:rPr>
          <w:rFonts w:ascii="Palatino Linotype" w:eastAsia="Palatino Linotype" w:hAnsi="Palatino Linotype" w:cs="Palatino Linotype"/>
          <w:i/>
          <w:sz w:val="22"/>
          <w:szCs w:val="22"/>
        </w:rPr>
      </w:pPr>
      <w:r w:rsidRPr="004100F2">
        <w:rPr>
          <w:rFonts w:ascii="Palatino Linotype" w:eastAsia="Palatino Linotype" w:hAnsi="Palatino Linotype" w:cs="Palatino Linotype"/>
          <w:b/>
          <w:i/>
          <w:sz w:val="22"/>
          <w:szCs w:val="22"/>
        </w:rPr>
        <w:t xml:space="preserve">“INEXISTENCIA DE LA INFORMACIÓN. SUPUESTOS PARA EMITIR LA RESOLUCIÓN DE LA. </w:t>
      </w:r>
      <w:r w:rsidRPr="004100F2">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6171329" w14:textId="77777777" w:rsidR="00344ABC" w:rsidRPr="004100F2" w:rsidRDefault="000D2644">
      <w:pPr>
        <w:spacing w:before="280" w:after="28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En mérito de todo lo expuesto, ante lo </w:t>
      </w:r>
      <w:r w:rsidRPr="004100F2">
        <w:rPr>
          <w:rFonts w:ascii="Palatino Linotype" w:eastAsia="Palatino Linotype" w:hAnsi="Palatino Linotype" w:cs="Palatino Linotype"/>
          <w:b/>
          <w:sz w:val="22"/>
          <w:szCs w:val="22"/>
        </w:rPr>
        <w:t>fundado</w:t>
      </w:r>
      <w:r w:rsidRPr="004100F2">
        <w:rPr>
          <w:rFonts w:ascii="Palatino Linotype" w:eastAsia="Palatino Linotype" w:hAnsi="Palatino Linotype" w:cs="Palatino Linotype"/>
          <w:sz w:val="22"/>
          <w:szCs w:val="22"/>
        </w:rPr>
        <w:t xml:space="preserve"> de las razones o motivos de inconformidad hechos valer por la parte </w:t>
      </w:r>
      <w:r w:rsidRPr="004100F2">
        <w:rPr>
          <w:rFonts w:ascii="Palatino Linotype" w:eastAsia="Palatino Linotype" w:hAnsi="Palatino Linotype" w:cs="Palatino Linotype"/>
          <w:b/>
          <w:sz w:val="22"/>
          <w:szCs w:val="22"/>
        </w:rPr>
        <w:t>Recurrente</w:t>
      </w:r>
      <w:r w:rsidRPr="004100F2">
        <w:rPr>
          <w:rFonts w:ascii="Palatino Linotype" w:eastAsia="Palatino Linotype" w:hAnsi="Palatino Linotype" w:cs="Palatino Linotype"/>
          <w:sz w:val="22"/>
          <w:szCs w:val="22"/>
        </w:rPr>
        <w:t xml:space="preserve">, este Instituto estima que lo dable es </w:t>
      </w:r>
      <w:r w:rsidRPr="004100F2">
        <w:rPr>
          <w:rFonts w:ascii="Palatino Linotype" w:eastAsia="Palatino Linotype" w:hAnsi="Palatino Linotype" w:cs="Palatino Linotype"/>
          <w:b/>
          <w:sz w:val="22"/>
          <w:szCs w:val="22"/>
        </w:rPr>
        <w:t>Ordenar</w:t>
      </w:r>
      <w:r w:rsidRPr="004100F2">
        <w:rPr>
          <w:rFonts w:ascii="Palatino Linotype" w:eastAsia="Palatino Linotype" w:hAnsi="Palatino Linotype" w:cs="Palatino Linotype"/>
          <w:sz w:val="22"/>
          <w:szCs w:val="22"/>
        </w:rPr>
        <w:t xml:space="preserve"> al </w:t>
      </w:r>
      <w:r w:rsidRPr="004100F2">
        <w:rPr>
          <w:rFonts w:ascii="Palatino Linotype" w:eastAsia="Palatino Linotype" w:hAnsi="Palatino Linotype" w:cs="Palatino Linotype"/>
          <w:b/>
          <w:sz w:val="22"/>
          <w:szCs w:val="22"/>
        </w:rPr>
        <w:t>Sujeto Obligado</w:t>
      </w:r>
      <w:r w:rsidRPr="004100F2">
        <w:rPr>
          <w:rFonts w:ascii="Palatino Linotype" w:eastAsia="Palatino Linotype" w:hAnsi="Palatino Linotype" w:cs="Palatino Linotype"/>
          <w:sz w:val="22"/>
          <w:szCs w:val="22"/>
        </w:rPr>
        <w:t xml:space="preserve"> dé respuesta a las solicitudes de acceso a la información, atendiendo lo señalado en el presente Considerando.</w:t>
      </w:r>
    </w:p>
    <w:p w14:paraId="55DCFF8B" w14:textId="77777777" w:rsidR="00D73FD2" w:rsidRPr="004100F2" w:rsidRDefault="000D2644" w:rsidP="00D73FD2">
      <w:pPr>
        <w:spacing w:before="240" w:after="240" w:line="360" w:lineRule="auto"/>
        <w:ind w:right="51"/>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 xml:space="preserve">Finalmente, es de señalar que, como ya se mencionó el </w:t>
      </w:r>
      <w:r w:rsidRPr="004100F2">
        <w:rPr>
          <w:rFonts w:ascii="Palatino Linotype" w:eastAsia="Palatino Linotype" w:hAnsi="Palatino Linotype" w:cs="Palatino Linotype"/>
          <w:b/>
          <w:sz w:val="22"/>
          <w:szCs w:val="22"/>
        </w:rPr>
        <w:t>Sujeto Obligado</w:t>
      </w:r>
      <w:r w:rsidRPr="004100F2">
        <w:rPr>
          <w:rFonts w:ascii="Palatino Linotype" w:eastAsia="Palatino Linotype" w:hAnsi="Palatino Linotype" w:cs="Palatino Linotype"/>
          <w:sz w:val="22"/>
          <w:szCs w:val="22"/>
        </w:rPr>
        <w:t xml:space="preserve">, omitió proporcionar respuesta a las solicitudes de acceso a la información pública, en el término contemplado en el ya citado artículo 163 de la Ley de la materia, razón por la que se </w:t>
      </w:r>
      <w:r w:rsidRPr="004100F2">
        <w:rPr>
          <w:rFonts w:ascii="Palatino Linotype" w:eastAsia="Palatino Linotype" w:hAnsi="Palatino Linotype" w:cs="Palatino Linotype"/>
          <w:b/>
          <w:sz w:val="22"/>
          <w:szCs w:val="22"/>
        </w:rPr>
        <w:t>ordena</w:t>
      </w:r>
      <w:r w:rsidRPr="004100F2">
        <w:rPr>
          <w:rFonts w:ascii="Palatino Linotype" w:eastAsia="Palatino Linotype" w:hAnsi="Palatino Linotype" w:cs="Palatino Linotype"/>
          <w:sz w:val="22"/>
          <w:szCs w:val="22"/>
        </w:rPr>
        <w:t xml:space="preserve"> dar vista a la </w:t>
      </w:r>
      <w:r w:rsidRPr="004100F2">
        <w:rPr>
          <w:rFonts w:ascii="Palatino Linotype" w:eastAsia="Palatino Linotype" w:hAnsi="Palatino Linotype" w:cs="Palatino Linotype"/>
          <w:bCs/>
          <w:sz w:val="22"/>
          <w:szCs w:val="22"/>
        </w:rPr>
        <w:t>Secretaría Técnica del Pleno de este Instituto para hacer del conocimiento del Órgano Interno de Control competente</w:t>
      </w:r>
      <w:r w:rsidR="00D73FD2" w:rsidRPr="004100F2">
        <w:rPr>
          <w:bCs/>
        </w:rPr>
        <w:t xml:space="preserve"> </w:t>
      </w:r>
      <w:r w:rsidR="00D73FD2" w:rsidRPr="004100F2">
        <w:rPr>
          <w:rFonts w:ascii="Palatino Linotype" w:eastAsia="Palatino Linotype" w:hAnsi="Palatino Linotype" w:cs="Palatino Linotype"/>
          <w:bCs/>
          <w:sz w:val="22"/>
          <w:szCs w:val="22"/>
        </w:rPr>
        <w:t>la presente resolución</w:t>
      </w:r>
      <w:r w:rsidR="00D73FD2" w:rsidRPr="004100F2">
        <w:rPr>
          <w:rFonts w:ascii="Palatino Linotype" w:eastAsia="Palatino Linotype" w:hAnsi="Palatino Linotype" w:cs="Palatino Linotype"/>
          <w:sz w:val="22"/>
          <w:szCs w:val="22"/>
        </w:rPr>
        <w:t>, a fin de que de conformidad con el artículo 190 de la Ley de Transparencia y Acceso a la Información Pública del Estado de México y Municipios se determine lo conducente.</w:t>
      </w:r>
    </w:p>
    <w:p w14:paraId="23945031" w14:textId="3E88B8B3" w:rsidR="00344ABC" w:rsidRPr="004100F2" w:rsidRDefault="000D2644" w:rsidP="00D73FD2">
      <w:pPr>
        <w:spacing w:before="240" w:after="240" w:line="360" w:lineRule="auto"/>
        <w:ind w:right="51"/>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sz w:val="22"/>
          <w:szCs w:val="22"/>
        </w:rPr>
        <w:t>Así, con fundamento en lo prescrito en los</w:t>
      </w:r>
      <w:r w:rsidRPr="004100F2">
        <w:rPr>
          <w:rFonts w:ascii="Palatino Linotype" w:hAnsi="Palatino Linotype"/>
          <w:sz w:val="22"/>
          <w:szCs w:val="22"/>
        </w:rPr>
        <w:t xml:space="preserve"> </w:t>
      </w:r>
      <w:r w:rsidRPr="004100F2">
        <w:rPr>
          <w:rFonts w:ascii="Palatino Linotype" w:eastAsia="Palatino Linotype" w:hAnsi="Palatino Linotype" w:cs="Palatino Linotype"/>
          <w:sz w:val="22"/>
          <w:szCs w:val="22"/>
        </w:rPr>
        <w:t>artículos 5</w:t>
      </w:r>
      <w:r w:rsidR="00C00FCB" w:rsidRPr="004100F2">
        <w:rPr>
          <w:rFonts w:ascii="Palatino Linotype" w:eastAsia="Palatino Linotype" w:hAnsi="Palatino Linotype" w:cs="Palatino Linotype"/>
          <w:sz w:val="22"/>
          <w:szCs w:val="22"/>
        </w:rPr>
        <w:t>,</w:t>
      </w:r>
      <w:r w:rsidRPr="004100F2">
        <w:rPr>
          <w:rFonts w:ascii="Palatino Linotype" w:eastAsia="Palatino Linotype" w:hAnsi="Palatino Linotype" w:cs="Palatino Linotype"/>
          <w:sz w:val="22"/>
          <w:szCs w:val="22"/>
        </w:rPr>
        <w:t xml:space="preserve"> párrafos </w:t>
      </w:r>
      <w:r w:rsidR="000033EE" w:rsidRPr="004100F2">
        <w:rPr>
          <w:rFonts w:ascii="Palatino Linotype" w:eastAsia="Palatino Linotype" w:hAnsi="Palatino Linotype" w:cs="Palatino Linotype"/>
          <w:sz w:val="22"/>
          <w:szCs w:val="22"/>
        </w:rPr>
        <w:t>cuadragésimo cuarto, cuadragésimo quinto y cuadragésimo sexto, de la Constitución Política del Estado Libre y Soberano de México; transitorio Cuarto del Decreto número 198 de la “LXII” Legislatura del Estado de México</w:t>
      </w:r>
      <w:r w:rsidRPr="004100F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0BD52B77" w14:textId="77777777" w:rsidR="00344ABC" w:rsidRPr="004100F2" w:rsidRDefault="000D2644">
      <w:pPr>
        <w:pBdr>
          <w:top w:val="nil"/>
          <w:left w:val="nil"/>
          <w:bottom w:val="nil"/>
          <w:right w:val="nil"/>
          <w:between w:val="nil"/>
        </w:pBdr>
        <w:spacing w:before="280" w:after="280" w:line="360" w:lineRule="auto"/>
        <w:jc w:val="center"/>
        <w:rPr>
          <w:rFonts w:ascii="Palatino Linotype" w:eastAsia="Palatino Linotype" w:hAnsi="Palatino Linotype" w:cs="Palatino Linotype"/>
          <w:b/>
          <w:sz w:val="22"/>
          <w:szCs w:val="22"/>
        </w:rPr>
      </w:pPr>
      <w:r w:rsidRPr="004100F2">
        <w:rPr>
          <w:rFonts w:ascii="Palatino Linotype" w:eastAsia="Palatino Linotype" w:hAnsi="Palatino Linotype" w:cs="Palatino Linotype"/>
          <w:b/>
          <w:sz w:val="22"/>
          <w:szCs w:val="22"/>
        </w:rPr>
        <w:t>III. R E S U E L V E:</w:t>
      </w:r>
    </w:p>
    <w:p w14:paraId="0BF12889" w14:textId="77777777" w:rsidR="00344ABC" w:rsidRPr="004100F2" w:rsidRDefault="000D2644">
      <w:pPr>
        <w:spacing w:before="240" w:after="240" w:line="360" w:lineRule="auto"/>
        <w:ind w:right="49"/>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b/>
          <w:sz w:val="22"/>
          <w:szCs w:val="22"/>
        </w:rPr>
        <w:t xml:space="preserve">Primero. </w:t>
      </w:r>
      <w:r w:rsidRPr="004100F2">
        <w:rPr>
          <w:rFonts w:ascii="Palatino Linotype" w:eastAsia="Palatino Linotype" w:hAnsi="Palatino Linotype" w:cs="Palatino Linotype"/>
          <w:sz w:val="22"/>
          <w:szCs w:val="22"/>
        </w:rPr>
        <w:t xml:space="preserve">Resultan </w:t>
      </w:r>
      <w:r w:rsidRPr="004100F2">
        <w:rPr>
          <w:rFonts w:ascii="Palatino Linotype" w:eastAsia="Palatino Linotype" w:hAnsi="Palatino Linotype" w:cs="Palatino Linotype"/>
          <w:b/>
          <w:sz w:val="22"/>
          <w:szCs w:val="22"/>
        </w:rPr>
        <w:t>fundados</w:t>
      </w:r>
      <w:r w:rsidRPr="004100F2">
        <w:rPr>
          <w:rFonts w:ascii="Palatino Linotype" w:eastAsia="Palatino Linotype" w:hAnsi="Palatino Linotype" w:cs="Palatino Linotype"/>
          <w:sz w:val="22"/>
          <w:szCs w:val="22"/>
        </w:rPr>
        <w:t xml:space="preserve"> los motivos de inconformidad de la parte </w:t>
      </w:r>
      <w:r w:rsidRPr="004100F2">
        <w:rPr>
          <w:rFonts w:ascii="Palatino Linotype" w:eastAsia="Palatino Linotype" w:hAnsi="Palatino Linotype" w:cs="Palatino Linotype"/>
          <w:b/>
          <w:sz w:val="22"/>
          <w:szCs w:val="22"/>
        </w:rPr>
        <w:t>Recurrente</w:t>
      </w:r>
      <w:r w:rsidRPr="004100F2">
        <w:rPr>
          <w:rFonts w:ascii="Palatino Linotype" w:eastAsia="Palatino Linotype" w:hAnsi="Palatino Linotype" w:cs="Palatino Linotype"/>
          <w:sz w:val="22"/>
          <w:szCs w:val="22"/>
        </w:rPr>
        <w:t xml:space="preserve">, en términos del Considerando </w:t>
      </w:r>
      <w:r w:rsidRPr="004100F2">
        <w:rPr>
          <w:rFonts w:ascii="Palatino Linotype" w:eastAsia="Palatino Linotype" w:hAnsi="Palatino Linotype" w:cs="Palatino Linotype"/>
          <w:b/>
          <w:sz w:val="22"/>
          <w:szCs w:val="22"/>
        </w:rPr>
        <w:t>Cuarto</w:t>
      </w:r>
      <w:r w:rsidRPr="004100F2">
        <w:rPr>
          <w:rFonts w:ascii="Palatino Linotype" w:eastAsia="Palatino Linotype" w:hAnsi="Palatino Linotype" w:cs="Palatino Linotype"/>
          <w:sz w:val="22"/>
          <w:szCs w:val="22"/>
        </w:rPr>
        <w:t xml:space="preserve"> de la presente resolución.</w:t>
      </w:r>
    </w:p>
    <w:p w14:paraId="3DACBB01" w14:textId="0C380A92" w:rsidR="00344ABC"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b/>
          <w:sz w:val="22"/>
          <w:szCs w:val="22"/>
        </w:rPr>
        <w:t>Segundo.</w:t>
      </w:r>
      <w:r w:rsidRPr="004100F2">
        <w:rPr>
          <w:rFonts w:ascii="Palatino Linotype" w:eastAsia="Palatino Linotype" w:hAnsi="Palatino Linotype" w:cs="Palatino Linotype"/>
          <w:sz w:val="22"/>
          <w:szCs w:val="22"/>
        </w:rPr>
        <w:t xml:space="preserve"> Se</w:t>
      </w:r>
      <w:r w:rsidRPr="004100F2">
        <w:rPr>
          <w:rFonts w:ascii="Palatino Linotype" w:eastAsia="Palatino Linotype" w:hAnsi="Palatino Linotype" w:cs="Palatino Linotype"/>
          <w:b/>
          <w:sz w:val="22"/>
          <w:szCs w:val="22"/>
        </w:rPr>
        <w:t xml:space="preserve"> Ordena </w:t>
      </w:r>
      <w:r w:rsidRPr="004100F2">
        <w:rPr>
          <w:rFonts w:ascii="Palatino Linotype" w:eastAsia="Palatino Linotype" w:hAnsi="Palatino Linotype" w:cs="Palatino Linotype"/>
          <w:sz w:val="22"/>
          <w:szCs w:val="22"/>
        </w:rPr>
        <w:t xml:space="preserve">al </w:t>
      </w:r>
      <w:r w:rsidRPr="004100F2">
        <w:rPr>
          <w:rFonts w:ascii="Palatino Linotype" w:eastAsia="Palatino Linotype" w:hAnsi="Palatino Linotype" w:cs="Palatino Linotype"/>
          <w:b/>
          <w:sz w:val="22"/>
          <w:szCs w:val="22"/>
        </w:rPr>
        <w:t xml:space="preserve">Sujeto Obligado </w:t>
      </w:r>
      <w:r w:rsidRPr="004100F2">
        <w:rPr>
          <w:rFonts w:ascii="Palatino Linotype" w:eastAsia="Palatino Linotype" w:hAnsi="Palatino Linotype" w:cs="Palatino Linotype"/>
          <w:sz w:val="22"/>
          <w:szCs w:val="22"/>
        </w:rPr>
        <w:t xml:space="preserve">atienda las solicitudes de </w:t>
      </w:r>
      <w:r w:rsidR="0099504E" w:rsidRPr="004100F2">
        <w:rPr>
          <w:rFonts w:ascii="Palatino Linotype" w:eastAsia="Palatino Linotype" w:hAnsi="Palatino Linotype" w:cs="Palatino Linotype"/>
          <w:sz w:val="22"/>
          <w:szCs w:val="22"/>
        </w:rPr>
        <w:t xml:space="preserve">acceso a la información pública </w:t>
      </w:r>
      <w:r w:rsidR="0099504E" w:rsidRPr="004100F2">
        <w:rPr>
          <w:rFonts w:ascii="Palatino Linotype" w:eastAsia="Palatino Linotype" w:hAnsi="Palatino Linotype" w:cs="Palatino Linotype"/>
          <w:b/>
          <w:sz w:val="22"/>
          <w:szCs w:val="22"/>
        </w:rPr>
        <w:t xml:space="preserve">00617/TEPOTZOT/IP/2025, 00618/TEPOTZOT/IP/2025, 00619/TEPOTZOT/IP/2025, 00620/TEPOTZOT/IP/2025, 00621/TEPOTZOT/IP/2025 </w:t>
      </w:r>
      <w:r w:rsidR="0099504E" w:rsidRPr="004100F2">
        <w:rPr>
          <w:rFonts w:ascii="Palatino Linotype" w:eastAsia="Palatino Linotype" w:hAnsi="Palatino Linotype" w:cs="Palatino Linotype"/>
          <w:sz w:val="22"/>
          <w:szCs w:val="22"/>
        </w:rPr>
        <w:t xml:space="preserve">y </w:t>
      </w:r>
      <w:r w:rsidR="0099504E" w:rsidRPr="004100F2">
        <w:rPr>
          <w:rFonts w:ascii="Palatino Linotype" w:eastAsia="Palatino Linotype" w:hAnsi="Palatino Linotype" w:cs="Palatino Linotype"/>
          <w:b/>
          <w:sz w:val="22"/>
          <w:szCs w:val="22"/>
        </w:rPr>
        <w:t>00622/TEPOTZOT/IP/2025,</w:t>
      </w:r>
      <w:r w:rsidR="00D73FD2" w:rsidRPr="004100F2">
        <w:rPr>
          <w:rFonts w:ascii="Palatino Linotype" w:eastAsia="Palatino Linotype" w:hAnsi="Palatino Linotype" w:cs="Palatino Linotype"/>
          <w:b/>
          <w:sz w:val="22"/>
          <w:szCs w:val="22"/>
        </w:rPr>
        <w:t xml:space="preserve"> </w:t>
      </w:r>
      <w:r w:rsidRPr="004100F2">
        <w:rPr>
          <w:rFonts w:ascii="Palatino Linotype" w:eastAsia="Palatino Linotype" w:hAnsi="Palatino Linotype" w:cs="Palatino Linotype"/>
          <w:sz w:val="22"/>
          <w:szCs w:val="22"/>
        </w:rPr>
        <w:t>que dieron origen a los recursos de revisión</w:t>
      </w:r>
      <w:r w:rsidR="0099504E" w:rsidRPr="004100F2">
        <w:rPr>
          <w:rFonts w:ascii="Palatino Linotype" w:eastAsia="Palatino Linotype" w:hAnsi="Palatino Linotype" w:cs="Palatino Linotype"/>
          <w:sz w:val="22"/>
          <w:szCs w:val="22"/>
        </w:rPr>
        <w:t xml:space="preserve"> </w:t>
      </w:r>
      <w:r w:rsidR="0099504E" w:rsidRPr="004100F2">
        <w:rPr>
          <w:rFonts w:ascii="Palatino Linotype" w:eastAsia="Palatino Linotype" w:hAnsi="Palatino Linotype" w:cs="Palatino Linotype"/>
          <w:b/>
          <w:sz w:val="22"/>
          <w:szCs w:val="22"/>
        </w:rPr>
        <w:t xml:space="preserve">12779/INFOEM/IP/RR/2025, 12801/INFOEM/IP/RR/2025, 12818/INFOEM/IP/RR/2025, 12838/INFOEM/IP/RR/2025, 12839/INFOEM/IP/RR/2025 </w:t>
      </w:r>
      <w:r w:rsidR="0099504E" w:rsidRPr="004100F2">
        <w:rPr>
          <w:rFonts w:ascii="Palatino Linotype" w:eastAsia="Palatino Linotype" w:hAnsi="Palatino Linotype" w:cs="Palatino Linotype"/>
          <w:bCs/>
          <w:sz w:val="22"/>
          <w:szCs w:val="22"/>
        </w:rPr>
        <w:t>y</w:t>
      </w:r>
      <w:r w:rsidR="0099504E" w:rsidRPr="004100F2">
        <w:rPr>
          <w:rFonts w:ascii="Palatino Linotype" w:eastAsia="Palatino Linotype" w:hAnsi="Palatino Linotype" w:cs="Palatino Linotype"/>
          <w:b/>
          <w:sz w:val="22"/>
          <w:szCs w:val="22"/>
        </w:rPr>
        <w:t xml:space="preserve"> 12840</w:t>
      </w:r>
      <w:r w:rsidR="005F00D7" w:rsidRPr="004100F2">
        <w:rPr>
          <w:rFonts w:ascii="Palatino Linotype" w:eastAsia="Palatino Linotype" w:hAnsi="Palatino Linotype" w:cs="Palatino Linotype"/>
          <w:b/>
          <w:sz w:val="22"/>
          <w:szCs w:val="22"/>
        </w:rPr>
        <w:t>/INFOEM/IP/RR/2025</w:t>
      </w:r>
      <w:r w:rsidR="00D73FD2" w:rsidRPr="004100F2">
        <w:rPr>
          <w:rFonts w:ascii="Palatino Linotype" w:eastAsia="Palatino Linotype" w:hAnsi="Palatino Linotype" w:cs="Palatino Linotype"/>
          <w:b/>
          <w:sz w:val="22"/>
          <w:szCs w:val="22"/>
        </w:rPr>
        <w:t xml:space="preserve">, </w:t>
      </w:r>
      <w:r w:rsidRPr="004100F2">
        <w:rPr>
          <w:rFonts w:ascii="Palatino Linotype" w:eastAsia="Palatino Linotype" w:hAnsi="Palatino Linotype" w:cs="Palatino Linotype"/>
          <w:sz w:val="22"/>
          <w:szCs w:val="22"/>
        </w:rPr>
        <w:t>en términos del Considerando</w:t>
      </w:r>
      <w:r w:rsidRPr="004100F2">
        <w:rPr>
          <w:rFonts w:ascii="Palatino Linotype" w:eastAsia="Palatino Linotype" w:hAnsi="Palatino Linotype" w:cs="Palatino Linotype"/>
          <w:b/>
          <w:sz w:val="22"/>
          <w:szCs w:val="22"/>
        </w:rPr>
        <w:t xml:space="preserve"> Cuarto</w:t>
      </w:r>
      <w:r w:rsidRPr="004100F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268EE7C9" w14:textId="77777777" w:rsidR="00344ABC"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b/>
          <w:sz w:val="22"/>
          <w:szCs w:val="22"/>
        </w:rPr>
        <w:t xml:space="preserve">Tercero. Notifíquese, </w:t>
      </w:r>
      <w:r w:rsidRPr="004100F2">
        <w:rPr>
          <w:rFonts w:ascii="Palatino Linotype" w:eastAsia="Palatino Linotype" w:hAnsi="Palatino Linotype" w:cs="Palatino Linotype"/>
          <w:sz w:val="22"/>
          <w:szCs w:val="22"/>
        </w:rPr>
        <w:t xml:space="preserve">vía </w:t>
      </w:r>
      <w:r w:rsidRPr="004100F2">
        <w:rPr>
          <w:rFonts w:ascii="Palatino Linotype" w:eastAsia="Palatino Linotype" w:hAnsi="Palatino Linotype" w:cs="Palatino Linotype"/>
          <w:b/>
          <w:sz w:val="22"/>
          <w:szCs w:val="22"/>
        </w:rPr>
        <w:t>SAIMEX</w:t>
      </w:r>
      <w:r w:rsidRPr="004100F2">
        <w:rPr>
          <w:rFonts w:ascii="Palatino Linotype" w:eastAsia="Palatino Linotype" w:hAnsi="Palatino Linotype" w:cs="Palatino Linotype"/>
          <w:sz w:val="22"/>
          <w:szCs w:val="22"/>
        </w:rPr>
        <w:t xml:space="preserve">, a la persona Titular de la Unidad de Transparencia del </w:t>
      </w:r>
      <w:r w:rsidRPr="004100F2">
        <w:rPr>
          <w:rFonts w:ascii="Palatino Linotype" w:eastAsia="Palatino Linotype" w:hAnsi="Palatino Linotype" w:cs="Palatino Linotype"/>
          <w:b/>
          <w:sz w:val="22"/>
          <w:szCs w:val="22"/>
        </w:rPr>
        <w:t>Sujeto Obligado,</w:t>
      </w:r>
      <w:r w:rsidRPr="004100F2">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35EDC5D" w14:textId="77777777" w:rsidR="00344ABC" w:rsidRPr="004100F2" w:rsidRDefault="000D2644">
      <w:pPr>
        <w:spacing w:before="240" w:after="240" w:line="360" w:lineRule="auto"/>
        <w:jc w:val="both"/>
        <w:rPr>
          <w:rFonts w:ascii="Palatino Linotype" w:eastAsia="Palatino Linotype" w:hAnsi="Palatino Linotype" w:cs="Palatino Linotype"/>
          <w:sz w:val="22"/>
          <w:szCs w:val="22"/>
        </w:rPr>
      </w:pPr>
      <w:r w:rsidRPr="004100F2">
        <w:rPr>
          <w:rFonts w:ascii="Palatino Linotype" w:eastAsia="Palatino Linotype" w:hAnsi="Palatino Linotype" w:cs="Palatino Linotype"/>
          <w:b/>
          <w:sz w:val="22"/>
          <w:szCs w:val="22"/>
        </w:rPr>
        <w:t xml:space="preserve">Cuarto. Notifíquese, </w:t>
      </w:r>
      <w:r w:rsidRPr="004100F2">
        <w:rPr>
          <w:rFonts w:ascii="Palatino Linotype" w:eastAsia="Palatino Linotype" w:hAnsi="Palatino Linotype" w:cs="Palatino Linotype"/>
          <w:sz w:val="22"/>
          <w:szCs w:val="22"/>
        </w:rPr>
        <w:t xml:space="preserve">vía </w:t>
      </w:r>
      <w:r w:rsidRPr="004100F2">
        <w:rPr>
          <w:rFonts w:ascii="Palatino Linotype" w:eastAsia="Palatino Linotype" w:hAnsi="Palatino Linotype" w:cs="Palatino Linotype"/>
          <w:b/>
          <w:sz w:val="22"/>
          <w:szCs w:val="22"/>
        </w:rPr>
        <w:t>SAIMEX,</w:t>
      </w:r>
      <w:r w:rsidRPr="004100F2">
        <w:rPr>
          <w:rFonts w:ascii="Palatino Linotype" w:eastAsia="Palatino Linotype" w:hAnsi="Palatino Linotype" w:cs="Palatino Linotype"/>
          <w:sz w:val="22"/>
          <w:szCs w:val="22"/>
        </w:rPr>
        <w:t xml:space="preserve"> a la parte </w:t>
      </w:r>
      <w:r w:rsidRPr="004100F2">
        <w:rPr>
          <w:rFonts w:ascii="Palatino Linotype" w:eastAsia="Palatino Linotype" w:hAnsi="Palatino Linotype" w:cs="Palatino Linotype"/>
          <w:b/>
          <w:sz w:val="22"/>
          <w:szCs w:val="22"/>
        </w:rPr>
        <w:t xml:space="preserve">Recurrente </w:t>
      </w:r>
      <w:r w:rsidRPr="004100F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938CD86" w14:textId="77777777" w:rsidR="00344ABC" w:rsidRPr="004100F2" w:rsidRDefault="000D2644">
      <w:pPr>
        <w:spacing w:before="240" w:after="240" w:line="360" w:lineRule="auto"/>
        <w:jc w:val="both"/>
        <w:rPr>
          <w:rFonts w:ascii="Palatino Linotype" w:eastAsia="Palatino Linotype" w:hAnsi="Palatino Linotype" w:cs="Palatino Linotype"/>
          <w:b/>
          <w:sz w:val="22"/>
          <w:szCs w:val="22"/>
        </w:rPr>
      </w:pPr>
      <w:r w:rsidRPr="004100F2">
        <w:rPr>
          <w:rFonts w:ascii="Palatino Linotype" w:eastAsia="Palatino Linotype" w:hAnsi="Palatino Linotype" w:cs="Palatino Linotype"/>
          <w:b/>
          <w:sz w:val="22"/>
          <w:szCs w:val="22"/>
        </w:rPr>
        <w:t xml:space="preserve">Quinto. Notifíquese, </w:t>
      </w:r>
      <w:r w:rsidRPr="004100F2">
        <w:rPr>
          <w:rFonts w:ascii="Palatino Linotype" w:eastAsia="Palatino Linotype" w:hAnsi="Palatino Linotype" w:cs="Palatino Linotype"/>
          <w:sz w:val="22"/>
          <w:szCs w:val="22"/>
        </w:rPr>
        <w:t xml:space="preserve">a la parte </w:t>
      </w:r>
      <w:r w:rsidRPr="004100F2">
        <w:rPr>
          <w:rFonts w:ascii="Palatino Linotype" w:eastAsia="Palatino Linotype" w:hAnsi="Palatino Linotype" w:cs="Palatino Linotype"/>
          <w:b/>
          <w:sz w:val="22"/>
          <w:szCs w:val="22"/>
        </w:rPr>
        <w:t xml:space="preserve">Recurrente </w:t>
      </w:r>
      <w:r w:rsidRPr="004100F2">
        <w:rPr>
          <w:rFonts w:ascii="Palatino Linotype" w:eastAsia="Palatino Linotype" w:hAnsi="Palatino Linotype" w:cs="Palatino Linotype"/>
          <w:sz w:val="22"/>
          <w:szCs w:val="22"/>
        </w:rPr>
        <w:t xml:space="preserve">que la respuesta que dé el </w:t>
      </w:r>
      <w:r w:rsidRPr="004100F2">
        <w:rPr>
          <w:rFonts w:ascii="Palatino Linotype" w:eastAsia="Palatino Linotype" w:hAnsi="Palatino Linotype" w:cs="Palatino Linotype"/>
          <w:b/>
          <w:sz w:val="22"/>
          <w:szCs w:val="22"/>
        </w:rPr>
        <w:t>Sujeto Obligado</w:t>
      </w:r>
      <w:r w:rsidRPr="004100F2">
        <w:rPr>
          <w:rFonts w:ascii="Palatino Linotype" w:eastAsia="Palatino Linotype" w:hAnsi="Palatino Linotype" w:cs="Palatino Linotype"/>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331838C" w14:textId="38C3A243" w:rsidR="00344ABC" w:rsidRPr="004100F2" w:rsidRDefault="000D2644">
      <w:pPr>
        <w:spacing w:before="240" w:after="240" w:line="360" w:lineRule="auto"/>
        <w:jc w:val="both"/>
        <w:rPr>
          <w:rFonts w:ascii="Palatino Linotype" w:eastAsia="Palatino Linotype" w:hAnsi="Palatino Linotype" w:cs="Palatino Linotype"/>
          <w:b/>
          <w:sz w:val="22"/>
          <w:szCs w:val="22"/>
        </w:rPr>
      </w:pPr>
      <w:r w:rsidRPr="004100F2">
        <w:rPr>
          <w:rFonts w:ascii="Palatino Linotype" w:eastAsia="Palatino Linotype" w:hAnsi="Palatino Linotype" w:cs="Palatino Linotype"/>
          <w:b/>
          <w:sz w:val="22"/>
          <w:szCs w:val="22"/>
        </w:rPr>
        <w:t>Sexto. Gírese</w:t>
      </w:r>
      <w:r w:rsidR="00D73FD2" w:rsidRPr="004100F2">
        <w:rPr>
          <w:rFonts w:ascii="Palatino Linotype" w:eastAsia="Palatino Linotype" w:hAnsi="Palatino Linotype" w:cs="Palatino Linotype"/>
          <w:b/>
          <w:sz w:val="22"/>
          <w:szCs w:val="22"/>
        </w:rPr>
        <w:t xml:space="preserve">, </w:t>
      </w:r>
      <w:r w:rsidR="00D73FD2" w:rsidRPr="004100F2">
        <w:rPr>
          <w:rFonts w:ascii="Palatino Linotype" w:eastAsia="Palatino Linotype" w:hAnsi="Palatino Linotype" w:cs="Palatino Linotype"/>
          <w:sz w:val="22"/>
          <w:szCs w:val="22"/>
        </w:rPr>
        <w:t xml:space="preserve">vista </w:t>
      </w:r>
      <w:r w:rsidRPr="004100F2">
        <w:rPr>
          <w:rFonts w:ascii="Palatino Linotype" w:eastAsia="Palatino Linotype" w:hAnsi="Palatino Linotype" w:cs="Palatino Linotype"/>
          <w:sz w:val="22"/>
          <w:szCs w:val="22"/>
        </w:rPr>
        <w:t xml:space="preserve"> la </w:t>
      </w:r>
      <w:r w:rsidRPr="004100F2">
        <w:rPr>
          <w:rFonts w:ascii="Palatino Linotype" w:eastAsia="Palatino Linotype" w:hAnsi="Palatino Linotype" w:cs="Palatino Linotype"/>
          <w:b/>
          <w:sz w:val="22"/>
          <w:szCs w:val="22"/>
        </w:rPr>
        <w:t>Secretaría Técnica del Pleno</w:t>
      </w:r>
      <w:r w:rsidRPr="004100F2">
        <w:rPr>
          <w:rFonts w:ascii="Palatino Linotype" w:eastAsia="Palatino Linotype" w:hAnsi="Palatino Linotype" w:cs="Palatino Linotype"/>
          <w:sz w:val="22"/>
          <w:szCs w:val="22"/>
        </w:rPr>
        <w:t xml:space="preserve"> de este Instituto </w:t>
      </w:r>
      <w:r w:rsidR="00D73FD2" w:rsidRPr="004100F2">
        <w:rPr>
          <w:rFonts w:ascii="Palatino Linotype" w:eastAsia="Palatino Linotype" w:hAnsi="Palatino Linotype" w:cs="Palatino Linotype"/>
          <w:sz w:val="22"/>
          <w:szCs w:val="22"/>
        </w:rPr>
        <w:t xml:space="preserve">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D73FD2" w:rsidRPr="004100F2">
        <w:rPr>
          <w:rFonts w:ascii="Palatino Linotype" w:eastAsia="Palatino Linotype" w:hAnsi="Palatino Linotype" w:cs="Palatino Linotype"/>
          <w:b/>
          <w:bCs/>
          <w:sz w:val="22"/>
          <w:szCs w:val="22"/>
        </w:rPr>
        <w:t>Cuarto</w:t>
      </w:r>
      <w:r w:rsidR="00D73FD2" w:rsidRPr="004100F2">
        <w:rPr>
          <w:rFonts w:ascii="Palatino Linotype" w:eastAsia="Palatino Linotype" w:hAnsi="Palatino Linotype" w:cs="Palatino Linotype"/>
          <w:b/>
          <w:sz w:val="22"/>
          <w:szCs w:val="22"/>
        </w:rPr>
        <w:t xml:space="preserve"> </w:t>
      </w:r>
      <w:r w:rsidR="00D73FD2" w:rsidRPr="004100F2">
        <w:rPr>
          <w:rFonts w:ascii="Palatino Linotype" w:eastAsia="Palatino Linotype" w:hAnsi="Palatino Linotype" w:cs="Palatino Linotype"/>
          <w:sz w:val="22"/>
          <w:szCs w:val="22"/>
        </w:rPr>
        <w:t>de la presente resolución.</w:t>
      </w:r>
      <w:r w:rsidR="00D73FD2" w:rsidRPr="004100F2">
        <w:rPr>
          <w:rFonts w:ascii="Palatino Linotype" w:eastAsia="Palatino Linotype" w:hAnsi="Palatino Linotype" w:cs="Palatino Linotype"/>
          <w:b/>
          <w:sz w:val="22"/>
          <w:szCs w:val="22"/>
        </w:rPr>
        <w:t xml:space="preserve"> </w:t>
      </w:r>
    </w:p>
    <w:p w14:paraId="6D903AB1" w14:textId="12E24701" w:rsidR="00344ABC" w:rsidRPr="007A0C4B" w:rsidRDefault="000D2644">
      <w:pPr>
        <w:spacing w:line="360" w:lineRule="auto"/>
        <w:ind w:right="49"/>
        <w:jc w:val="both"/>
        <w:rPr>
          <w:rFonts w:ascii="Palatino Linotype" w:eastAsia="Palatino Linotype" w:hAnsi="Palatino Linotype" w:cs="Palatino Linotype"/>
          <w:sz w:val="22"/>
          <w:szCs w:val="22"/>
        </w:rPr>
      </w:pPr>
      <w:bookmarkStart w:id="4" w:name="_heading=h.1fob9te" w:colFirst="0" w:colLast="0"/>
      <w:bookmarkEnd w:id="4"/>
      <w:r w:rsidRPr="004100F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100F2">
        <w:rPr>
          <w:rFonts w:ascii="Palatino Linotype" w:eastAsia="Palatino Linotype" w:hAnsi="Palatino Linotype" w:cs="Palatino Linotype"/>
          <w:sz w:val="22"/>
          <w:szCs w:val="22"/>
        </w:rPr>
        <w:t>CUADRA</w:t>
      </w:r>
      <w:r w:rsidR="004100F2" w:rsidRPr="00610121">
        <w:rPr>
          <w:rFonts w:ascii="Palatino Linotype" w:eastAsia="Palatino Linotype" w:hAnsi="Palatino Linotype" w:cs="Palatino Linotype"/>
          <w:sz w:val="22"/>
          <w:szCs w:val="22"/>
        </w:rPr>
        <w:t xml:space="preserve">GÉSIMA </w:t>
      </w:r>
      <w:r w:rsidR="00611664" w:rsidRPr="004100F2">
        <w:rPr>
          <w:rFonts w:ascii="Palatino Linotype" w:eastAsia="Palatino Linotype" w:hAnsi="Palatino Linotype" w:cs="Palatino Linotype"/>
          <w:sz w:val="22"/>
          <w:szCs w:val="22"/>
        </w:rPr>
        <w:t xml:space="preserve">TERCERA </w:t>
      </w:r>
      <w:r w:rsidRPr="004100F2">
        <w:rPr>
          <w:rFonts w:ascii="Palatino Linotype" w:eastAsia="Palatino Linotype" w:hAnsi="Palatino Linotype" w:cs="Palatino Linotype"/>
          <w:sz w:val="22"/>
          <w:szCs w:val="22"/>
        </w:rPr>
        <w:t xml:space="preserve">SESIÓN ORDINARIA CELEBRADA EL </w:t>
      </w:r>
      <w:r w:rsidR="00611664" w:rsidRPr="004100F2">
        <w:rPr>
          <w:rFonts w:ascii="Palatino Linotype" w:eastAsia="Palatino Linotype" w:hAnsi="Palatino Linotype" w:cs="Palatino Linotype"/>
          <w:sz w:val="22"/>
          <w:szCs w:val="22"/>
        </w:rPr>
        <w:t>TRES DE DICIEMBRE</w:t>
      </w:r>
      <w:r w:rsidR="00D73FD2" w:rsidRPr="004100F2">
        <w:rPr>
          <w:rFonts w:ascii="Palatino Linotype" w:eastAsia="Palatino Linotype" w:hAnsi="Palatino Linotype" w:cs="Palatino Linotype"/>
          <w:sz w:val="22"/>
          <w:szCs w:val="22"/>
        </w:rPr>
        <w:t xml:space="preserve"> </w:t>
      </w:r>
      <w:r w:rsidRPr="004100F2">
        <w:rPr>
          <w:rFonts w:ascii="Palatino Linotype" w:eastAsia="Palatino Linotype" w:hAnsi="Palatino Linotype" w:cs="Palatino Linotype"/>
          <w:sz w:val="22"/>
          <w:szCs w:val="22"/>
        </w:rPr>
        <w:t>DE DOS MIL VEINTIC</w:t>
      </w:r>
      <w:r w:rsidR="00D73FD2" w:rsidRPr="004100F2">
        <w:rPr>
          <w:rFonts w:ascii="Palatino Linotype" w:eastAsia="Palatino Linotype" w:hAnsi="Palatino Linotype" w:cs="Palatino Linotype"/>
          <w:sz w:val="22"/>
          <w:szCs w:val="22"/>
        </w:rPr>
        <w:t>INCO</w:t>
      </w:r>
      <w:r w:rsidRPr="004100F2">
        <w:rPr>
          <w:rFonts w:ascii="Palatino Linotype" w:eastAsia="Palatino Linotype" w:hAnsi="Palatino Linotype" w:cs="Palatino Linotype"/>
          <w:sz w:val="22"/>
          <w:szCs w:val="22"/>
        </w:rPr>
        <w:t>, ANTE EL SECRETARIO TÉCNICO DEL PLENO ALEXIS TAPIA RAMÍREZ.</w:t>
      </w:r>
    </w:p>
    <w:p w14:paraId="51289847" w14:textId="2C02AF40" w:rsidR="00344ABC" w:rsidRPr="007A0C4B" w:rsidRDefault="00344ABC">
      <w:pPr>
        <w:spacing w:line="360" w:lineRule="auto"/>
        <w:ind w:right="49"/>
        <w:jc w:val="both"/>
        <w:rPr>
          <w:rFonts w:ascii="Palatino Linotype" w:eastAsia="Palatino Linotype" w:hAnsi="Palatino Linotype" w:cs="Palatino Linotype"/>
          <w:sz w:val="22"/>
          <w:szCs w:val="22"/>
        </w:rPr>
      </w:pPr>
    </w:p>
    <w:p w14:paraId="02DB31B3" w14:textId="77777777" w:rsidR="00E260A2" w:rsidRPr="007A0C4B" w:rsidRDefault="00E260A2">
      <w:pPr>
        <w:spacing w:line="360" w:lineRule="auto"/>
        <w:ind w:right="49"/>
        <w:jc w:val="both"/>
        <w:rPr>
          <w:rFonts w:ascii="Palatino Linotype" w:eastAsia="Palatino Linotype" w:hAnsi="Palatino Linotype" w:cs="Palatino Linotype"/>
          <w:sz w:val="22"/>
          <w:szCs w:val="22"/>
        </w:rPr>
        <w:sectPr w:rsidR="00E260A2" w:rsidRPr="007A0C4B">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pPr>
    </w:p>
    <w:p w14:paraId="1D66BEED" w14:textId="77777777" w:rsidR="00344ABC" w:rsidRPr="007A0C4B" w:rsidRDefault="00344ABC">
      <w:pPr>
        <w:tabs>
          <w:tab w:val="left" w:pos="709"/>
        </w:tabs>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p>
    <w:p w14:paraId="09B7497E" w14:textId="77777777" w:rsidR="00344ABC" w:rsidRPr="007A0C4B" w:rsidRDefault="00344ABC">
      <w:pPr>
        <w:rPr>
          <w:rFonts w:ascii="Palatino Linotype" w:hAnsi="Palatino Linotype"/>
          <w:sz w:val="22"/>
          <w:szCs w:val="22"/>
        </w:rPr>
      </w:pPr>
    </w:p>
    <w:p w14:paraId="578B0D83" w14:textId="77777777" w:rsidR="00344ABC" w:rsidRPr="007A0C4B" w:rsidRDefault="00344ABC">
      <w:pPr>
        <w:rPr>
          <w:rFonts w:ascii="Palatino Linotype" w:hAnsi="Palatino Linotype"/>
          <w:sz w:val="22"/>
          <w:szCs w:val="22"/>
        </w:rPr>
      </w:pPr>
    </w:p>
    <w:sectPr w:rsidR="00344ABC" w:rsidRPr="007A0C4B">
      <w:headerReference w:type="first" r:id="rId18"/>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84462" w14:textId="77777777" w:rsidR="003B4000" w:rsidRDefault="003B4000">
      <w:r>
        <w:separator/>
      </w:r>
    </w:p>
  </w:endnote>
  <w:endnote w:type="continuationSeparator" w:id="0">
    <w:p w14:paraId="4AD309DA" w14:textId="77777777" w:rsidR="003B4000" w:rsidRDefault="003B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BD5D3" w14:textId="1F371766" w:rsidR="0099504E" w:rsidRDefault="0099504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10D47">
      <w:rPr>
        <w:rFonts w:ascii="Arial" w:eastAsia="Arial" w:hAnsi="Arial" w:cs="Arial"/>
        <w:b/>
        <w:noProof/>
        <w:color w:val="000000"/>
        <w:sz w:val="20"/>
        <w:szCs w:val="20"/>
      </w:rPr>
      <w:t>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10D47">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6636B36D" w14:textId="77777777" w:rsidR="0099504E" w:rsidRDefault="0099504E">
    <w:pPr>
      <w:pBdr>
        <w:top w:val="nil"/>
        <w:left w:val="nil"/>
        <w:bottom w:val="nil"/>
        <w:right w:val="nil"/>
        <w:between w:val="nil"/>
      </w:pBdr>
      <w:tabs>
        <w:tab w:val="center" w:pos="4252"/>
        <w:tab w:val="right" w:pos="8504"/>
      </w:tabs>
      <w:rPr>
        <w:color w:val="000000"/>
      </w:rPr>
    </w:pPr>
  </w:p>
  <w:p w14:paraId="5B8E4A24" w14:textId="77777777" w:rsidR="0099504E" w:rsidRDefault="0099504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A7D80" w14:textId="0740F793" w:rsidR="0099504E" w:rsidRDefault="0099504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10D4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10D47">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0E9D64D4" w14:textId="77777777" w:rsidR="0099504E" w:rsidRDefault="0099504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54E9" w14:textId="77777777" w:rsidR="003B4000" w:rsidRDefault="003B4000">
      <w:r>
        <w:separator/>
      </w:r>
    </w:p>
  </w:footnote>
  <w:footnote w:type="continuationSeparator" w:id="0">
    <w:p w14:paraId="7B10CBB3" w14:textId="77777777" w:rsidR="003B4000" w:rsidRDefault="003B4000">
      <w:r>
        <w:continuationSeparator/>
      </w:r>
    </w:p>
  </w:footnote>
  <w:footnote w:id="1">
    <w:p w14:paraId="263BB664" w14:textId="77777777" w:rsidR="0099504E" w:rsidRDefault="0099504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5BD0D525" w14:textId="77777777" w:rsidR="0099504E" w:rsidRDefault="0099504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3DABF" w14:textId="77777777" w:rsidR="0099504E" w:rsidRDefault="0099504E">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14:anchorId="70F36FF2" wp14:editId="461A8462">
          <wp:simplePos x="0" y="0"/>
          <wp:positionH relativeFrom="column">
            <wp:posOffset>-990590</wp:posOffset>
          </wp:positionH>
          <wp:positionV relativeFrom="paragraph">
            <wp:posOffset>-412741</wp:posOffset>
          </wp:positionV>
          <wp:extent cx="7635163" cy="9944100"/>
          <wp:effectExtent l="0" t="0" r="0" b="0"/>
          <wp:wrapNone/>
          <wp:docPr id="39"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e"/>
      <w:tblW w:w="5812" w:type="dxa"/>
      <w:tblInd w:w="3119" w:type="dxa"/>
      <w:tblLayout w:type="fixed"/>
      <w:tblLook w:val="0400" w:firstRow="0" w:lastRow="0" w:firstColumn="0" w:lastColumn="0" w:noHBand="0" w:noVBand="1"/>
    </w:tblPr>
    <w:tblGrid>
      <w:gridCol w:w="2694"/>
      <w:gridCol w:w="3118"/>
    </w:tblGrid>
    <w:tr w:rsidR="0099504E" w14:paraId="65C6BF13" w14:textId="77777777">
      <w:tc>
        <w:tcPr>
          <w:tcW w:w="2694" w:type="dxa"/>
          <w:vAlign w:val="center"/>
        </w:tcPr>
        <w:p w14:paraId="607BB929" w14:textId="77777777" w:rsidR="0099504E" w:rsidRDefault="009950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057B49B1" w14:textId="1905398B" w:rsidR="0099504E" w:rsidRDefault="0099504E" w:rsidP="0061166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12779/INFOEM/IP/RR/2025 y acumulados</w:t>
          </w:r>
        </w:p>
      </w:tc>
    </w:tr>
    <w:tr w:rsidR="0099504E" w14:paraId="3750AE4C" w14:textId="77777777">
      <w:trPr>
        <w:trHeight w:val="228"/>
      </w:trPr>
      <w:tc>
        <w:tcPr>
          <w:tcW w:w="2694" w:type="dxa"/>
          <w:vAlign w:val="center"/>
        </w:tcPr>
        <w:p w14:paraId="149D2973" w14:textId="77777777" w:rsidR="0099504E" w:rsidRDefault="009950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6C4BE9AE" w14:textId="1AF62337" w:rsidR="0099504E" w:rsidRDefault="0099504E">
          <w:pPr>
            <w:jc w:val="both"/>
            <w:rPr>
              <w:rFonts w:ascii="Palatino Linotype" w:eastAsia="Palatino Linotype" w:hAnsi="Palatino Linotype" w:cs="Palatino Linotype"/>
              <w:b/>
              <w:sz w:val="22"/>
              <w:szCs w:val="22"/>
            </w:rPr>
          </w:pPr>
          <w:r w:rsidRPr="00C51BE3">
            <w:rPr>
              <w:rFonts w:ascii="Palatino Linotype" w:eastAsia="Palatino Linotype" w:hAnsi="Palatino Linotype" w:cs="Palatino Linotype"/>
              <w:b/>
              <w:sz w:val="22"/>
              <w:szCs w:val="22"/>
            </w:rPr>
            <w:t>Ayuntamiento de Tepotzotlán</w:t>
          </w:r>
        </w:p>
      </w:tc>
    </w:tr>
    <w:tr w:rsidR="0099504E" w14:paraId="34F35A4C" w14:textId="77777777">
      <w:tc>
        <w:tcPr>
          <w:tcW w:w="2694" w:type="dxa"/>
          <w:vAlign w:val="center"/>
        </w:tcPr>
        <w:p w14:paraId="2D3B7DA4" w14:textId="77777777" w:rsidR="0099504E" w:rsidRDefault="009950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5E4FC2DC" w14:textId="77777777" w:rsidR="0099504E" w:rsidRDefault="0099504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6DBF06B" w14:textId="77777777" w:rsidR="0099504E" w:rsidRDefault="0099504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4C40E" w14:textId="77777777" w:rsidR="0099504E" w:rsidRDefault="0099504E">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fd"/>
      <w:tblW w:w="5953" w:type="dxa"/>
      <w:tblInd w:w="3119" w:type="dxa"/>
      <w:tblLayout w:type="fixed"/>
      <w:tblLook w:val="0400" w:firstRow="0" w:lastRow="0" w:firstColumn="0" w:lastColumn="0" w:noHBand="0" w:noVBand="1"/>
    </w:tblPr>
    <w:tblGrid>
      <w:gridCol w:w="2551"/>
      <w:gridCol w:w="3402"/>
    </w:tblGrid>
    <w:tr w:rsidR="0099504E" w:rsidRPr="00C51BE3" w14:paraId="612D5716" w14:textId="77777777">
      <w:tc>
        <w:tcPr>
          <w:tcW w:w="2551" w:type="dxa"/>
          <w:vAlign w:val="center"/>
        </w:tcPr>
        <w:p w14:paraId="3C32311E" w14:textId="77777777" w:rsidR="0099504E" w:rsidRPr="00C51BE3" w:rsidRDefault="0099504E" w:rsidP="00C51BE3">
          <w:pPr>
            <w:rPr>
              <w:rFonts w:ascii="Palatino Linotype" w:eastAsia="Palatino Linotype" w:hAnsi="Palatino Linotype" w:cs="Palatino Linotype"/>
              <w:b/>
              <w:sz w:val="20"/>
              <w:szCs w:val="20"/>
            </w:rPr>
          </w:pPr>
          <w:r w:rsidRPr="00C51BE3">
            <w:rPr>
              <w:rFonts w:ascii="Palatino Linotype" w:eastAsia="Palatino Linotype" w:hAnsi="Palatino Linotype" w:cs="Palatino Linotype"/>
              <w:b/>
              <w:sz w:val="20"/>
              <w:szCs w:val="20"/>
            </w:rPr>
            <w:t>Recurso de Revisión:</w:t>
          </w:r>
        </w:p>
      </w:tc>
      <w:tc>
        <w:tcPr>
          <w:tcW w:w="3402" w:type="dxa"/>
          <w:vAlign w:val="center"/>
        </w:tcPr>
        <w:p w14:paraId="6C93122E" w14:textId="3B5A0406" w:rsidR="0099504E" w:rsidRPr="00C51BE3" w:rsidRDefault="0099504E" w:rsidP="00611664">
          <w:pPr>
            <w:ind w:left="36"/>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12779</w:t>
          </w:r>
          <w:r w:rsidRPr="00C51BE3">
            <w:rPr>
              <w:rFonts w:ascii="Palatino Linotype" w:eastAsia="Palatino Linotype" w:hAnsi="Palatino Linotype" w:cs="Palatino Linotype"/>
              <w:b/>
              <w:sz w:val="20"/>
              <w:szCs w:val="20"/>
            </w:rPr>
            <w:t>/INFOEM/IP/RR/202</w:t>
          </w:r>
          <w:r>
            <w:rPr>
              <w:rFonts w:ascii="Palatino Linotype" w:eastAsia="Palatino Linotype" w:hAnsi="Palatino Linotype" w:cs="Palatino Linotype"/>
              <w:b/>
              <w:sz w:val="20"/>
              <w:szCs w:val="20"/>
            </w:rPr>
            <w:t>5</w:t>
          </w:r>
          <w:r w:rsidRPr="00C51BE3">
            <w:rPr>
              <w:rFonts w:ascii="Palatino Linotype" w:eastAsia="Palatino Linotype" w:hAnsi="Palatino Linotype" w:cs="Palatino Linotype"/>
              <w:b/>
              <w:sz w:val="20"/>
              <w:szCs w:val="20"/>
            </w:rPr>
            <w:t xml:space="preserve"> y acumulados</w:t>
          </w:r>
        </w:p>
      </w:tc>
    </w:tr>
    <w:tr w:rsidR="0099504E" w:rsidRPr="00C51BE3" w14:paraId="730FFF94" w14:textId="77777777">
      <w:tc>
        <w:tcPr>
          <w:tcW w:w="2551" w:type="dxa"/>
          <w:vAlign w:val="center"/>
        </w:tcPr>
        <w:p w14:paraId="2372C1E2" w14:textId="77777777" w:rsidR="0099504E" w:rsidRPr="00C51BE3" w:rsidRDefault="0099504E" w:rsidP="00C51BE3">
          <w:pPr>
            <w:ind w:left="35" w:hanging="35"/>
            <w:rPr>
              <w:rFonts w:ascii="Palatino Linotype" w:eastAsia="Palatino Linotype" w:hAnsi="Palatino Linotype" w:cs="Palatino Linotype"/>
              <w:b/>
              <w:sz w:val="20"/>
              <w:szCs w:val="20"/>
            </w:rPr>
          </w:pPr>
          <w:r w:rsidRPr="00C51BE3">
            <w:rPr>
              <w:rFonts w:ascii="Palatino Linotype" w:eastAsia="Palatino Linotype" w:hAnsi="Palatino Linotype" w:cs="Palatino Linotype"/>
              <w:b/>
              <w:sz w:val="20"/>
              <w:szCs w:val="20"/>
            </w:rPr>
            <w:t>Recurrente:</w:t>
          </w:r>
        </w:p>
      </w:tc>
      <w:tc>
        <w:tcPr>
          <w:tcW w:w="3402" w:type="dxa"/>
          <w:vAlign w:val="center"/>
        </w:tcPr>
        <w:p w14:paraId="0484BB3E" w14:textId="41C0DEE1" w:rsidR="0099504E" w:rsidRPr="00C51BE3" w:rsidRDefault="00110D47" w:rsidP="00110D47">
          <w:pPr>
            <w:ind w:left="36"/>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XXXXXX XXXXXXX XXXXXXXXX </w:t>
          </w:r>
          <w:r w:rsidR="0099504E" w:rsidRPr="00C51BE3">
            <w:rPr>
              <w:noProof/>
              <w:sz w:val="20"/>
              <w:szCs w:val="20"/>
              <w:lang w:eastAsia="es-MX"/>
            </w:rPr>
            <w:drawing>
              <wp:anchor distT="0" distB="0" distL="0" distR="0" simplePos="0" relativeHeight="251659264" behindDoc="1" locked="0" layoutInCell="1" hidden="0" allowOverlap="1" wp14:anchorId="02558BFB" wp14:editId="26E7D0A3">
                <wp:simplePos x="0" y="0"/>
                <wp:positionH relativeFrom="column">
                  <wp:posOffset>-4685661</wp:posOffset>
                </wp:positionH>
                <wp:positionV relativeFrom="paragraph">
                  <wp:posOffset>-913759</wp:posOffset>
                </wp:positionV>
                <wp:extent cx="7635240" cy="9942830"/>
                <wp:effectExtent l="0" t="0" r="0" b="0"/>
                <wp:wrapNone/>
                <wp:docPr id="4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c>
    </w:tr>
    <w:tr w:rsidR="0099504E" w:rsidRPr="00C51BE3" w14:paraId="0F984EA1" w14:textId="77777777">
      <w:trPr>
        <w:trHeight w:val="228"/>
      </w:trPr>
      <w:tc>
        <w:tcPr>
          <w:tcW w:w="2551" w:type="dxa"/>
          <w:vAlign w:val="center"/>
        </w:tcPr>
        <w:p w14:paraId="47CCCA99" w14:textId="77777777" w:rsidR="0099504E" w:rsidRPr="00C51BE3" w:rsidRDefault="0099504E" w:rsidP="00C51BE3">
          <w:pPr>
            <w:rPr>
              <w:rFonts w:ascii="Palatino Linotype" w:eastAsia="Palatino Linotype" w:hAnsi="Palatino Linotype" w:cs="Palatino Linotype"/>
              <w:b/>
              <w:sz w:val="20"/>
              <w:szCs w:val="20"/>
            </w:rPr>
          </w:pPr>
          <w:r w:rsidRPr="00C51BE3">
            <w:rPr>
              <w:rFonts w:ascii="Palatino Linotype" w:eastAsia="Palatino Linotype" w:hAnsi="Palatino Linotype" w:cs="Palatino Linotype"/>
              <w:b/>
              <w:sz w:val="20"/>
              <w:szCs w:val="20"/>
            </w:rPr>
            <w:t>Sujeto obligado:</w:t>
          </w:r>
        </w:p>
      </w:tc>
      <w:tc>
        <w:tcPr>
          <w:tcW w:w="3402" w:type="dxa"/>
          <w:vAlign w:val="center"/>
        </w:tcPr>
        <w:p w14:paraId="168536E9" w14:textId="17763F6A" w:rsidR="0099504E" w:rsidRPr="00C51BE3" w:rsidRDefault="0099504E" w:rsidP="00C51BE3">
          <w:pPr>
            <w:ind w:left="36"/>
            <w:jc w:val="both"/>
            <w:rPr>
              <w:rFonts w:ascii="Palatino Linotype" w:eastAsia="Palatino Linotype" w:hAnsi="Palatino Linotype" w:cs="Palatino Linotype"/>
              <w:b/>
              <w:sz w:val="20"/>
              <w:szCs w:val="20"/>
            </w:rPr>
          </w:pPr>
          <w:r w:rsidRPr="00C51BE3">
            <w:rPr>
              <w:rFonts w:ascii="Palatino Linotype" w:eastAsia="Palatino Linotype" w:hAnsi="Palatino Linotype" w:cs="Palatino Linotype"/>
              <w:b/>
              <w:sz w:val="20"/>
              <w:szCs w:val="20"/>
            </w:rPr>
            <w:t>Ayuntamiento de Tepotzotlán</w:t>
          </w:r>
        </w:p>
      </w:tc>
    </w:tr>
    <w:tr w:rsidR="0099504E" w:rsidRPr="00C51BE3" w14:paraId="434D024A" w14:textId="77777777">
      <w:tc>
        <w:tcPr>
          <w:tcW w:w="2551" w:type="dxa"/>
          <w:vAlign w:val="center"/>
        </w:tcPr>
        <w:p w14:paraId="610D42FD" w14:textId="77777777" w:rsidR="0099504E" w:rsidRPr="00C51BE3" w:rsidRDefault="0099504E" w:rsidP="00C51BE3">
          <w:pPr>
            <w:rPr>
              <w:rFonts w:ascii="Palatino Linotype" w:eastAsia="Palatino Linotype" w:hAnsi="Palatino Linotype" w:cs="Palatino Linotype"/>
              <w:b/>
              <w:sz w:val="20"/>
              <w:szCs w:val="20"/>
            </w:rPr>
          </w:pPr>
          <w:r w:rsidRPr="00C51BE3">
            <w:rPr>
              <w:rFonts w:ascii="Palatino Linotype" w:eastAsia="Palatino Linotype" w:hAnsi="Palatino Linotype" w:cs="Palatino Linotype"/>
              <w:b/>
              <w:sz w:val="20"/>
              <w:szCs w:val="20"/>
            </w:rPr>
            <w:t>Comisionada ponente:</w:t>
          </w:r>
        </w:p>
      </w:tc>
      <w:tc>
        <w:tcPr>
          <w:tcW w:w="3402" w:type="dxa"/>
          <w:vAlign w:val="center"/>
        </w:tcPr>
        <w:p w14:paraId="54CFCF35" w14:textId="77777777" w:rsidR="0099504E" w:rsidRPr="00C51BE3" w:rsidRDefault="0099504E" w:rsidP="00C51BE3">
          <w:pPr>
            <w:ind w:left="36" w:right="-533"/>
            <w:jc w:val="both"/>
            <w:rPr>
              <w:rFonts w:ascii="Palatino Linotype" w:eastAsia="Palatino Linotype" w:hAnsi="Palatino Linotype" w:cs="Palatino Linotype"/>
              <w:b/>
              <w:sz w:val="20"/>
              <w:szCs w:val="20"/>
            </w:rPr>
          </w:pPr>
          <w:r w:rsidRPr="00C51BE3">
            <w:rPr>
              <w:rFonts w:ascii="Palatino Linotype" w:eastAsia="Palatino Linotype" w:hAnsi="Palatino Linotype" w:cs="Palatino Linotype"/>
              <w:b/>
              <w:sz w:val="20"/>
              <w:szCs w:val="20"/>
            </w:rPr>
            <w:t>Guadalupe Ramírez Peña</w:t>
          </w:r>
        </w:p>
      </w:tc>
    </w:tr>
  </w:tbl>
  <w:p w14:paraId="7C5DA925" w14:textId="77777777" w:rsidR="0099504E" w:rsidRDefault="0099504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9B171" w14:textId="77777777" w:rsidR="0099504E" w:rsidRDefault="0099504E">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77B9186F" w14:textId="77777777" w:rsidR="0099504E" w:rsidRDefault="0099504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003D7"/>
    <w:multiLevelType w:val="multilevel"/>
    <w:tmpl w:val="F578B7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6D4569"/>
    <w:multiLevelType w:val="multilevel"/>
    <w:tmpl w:val="0236252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D3394E"/>
    <w:multiLevelType w:val="multilevel"/>
    <w:tmpl w:val="257668B4"/>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843551"/>
    <w:multiLevelType w:val="multilevel"/>
    <w:tmpl w:val="37F66268"/>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893D34"/>
    <w:multiLevelType w:val="hybridMultilevel"/>
    <w:tmpl w:val="591CEB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9E0237"/>
    <w:multiLevelType w:val="multilevel"/>
    <w:tmpl w:val="38D6EC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F3F23A5"/>
    <w:multiLevelType w:val="hybridMultilevel"/>
    <w:tmpl w:val="BFE2D3EA"/>
    <w:lvl w:ilvl="0" w:tplc="FD44B302">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79A20B2"/>
    <w:multiLevelType w:val="multilevel"/>
    <w:tmpl w:val="E5BE3FEC"/>
    <w:lvl w:ilvl="0">
      <w:start w:val="1"/>
      <w:numFmt w:val="decimal"/>
      <w:lvlText w:val="%1."/>
      <w:lvlJc w:val="left"/>
      <w:pPr>
        <w:ind w:left="644" w:hanging="357"/>
      </w:pPr>
      <w:rPr>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7"/>
  </w:num>
  <w:num w:numId="2">
    <w:abstractNumId w:val="0"/>
  </w:num>
  <w:num w:numId="3">
    <w:abstractNumId w:val="5"/>
  </w:num>
  <w:num w:numId="4">
    <w:abstractNumId w:val="2"/>
  </w:num>
  <w:num w:numId="5">
    <w:abstractNumId w:val="1"/>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BC"/>
    <w:rsid w:val="000033EE"/>
    <w:rsid w:val="000D2644"/>
    <w:rsid w:val="000D6D7A"/>
    <w:rsid w:val="00110D47"/>
    <w:rsid w:val="00227CBA"/>
    <w:rsid w:val="002C68A5"/>
    <w:rsid w:val="00313479"/>
    <w:rsid w:val="00344ABC"/>
    <w:rsid w:val="00380380"/>
    <w:rsid w:val="003B4000"/>
    <w:rsid w:val="003D7618"/>
    <w:rsid w:val="003E0BD7"/>
    <w:rsid w:val="004100F2"/>
    <w:rsid w:val="004E4A84"/>
    <w:rsid w:val="00516D23"/>
    <w:rsid w:val="005C40B4"/>
    <w:rsid w:val="005F00D7"/>
    <w:rsid w:val="006018AE"/>
    <w:rsid w:val="00611664"/>
    <w:rsid w:val="00730996"/>
    <w:rsid w:val="007A0C4B"/>
    <w:rsid w:val="008B2686"/>
    <w:rsid w:val="008E304D"/>
    <w:rsid w:val="0095411C"/>
    <w:rsid w:val="0099504E"/>
    <w:rsid w:val="00A41D0E"/>
    <w:rsid w:val="00A603DA"/>
    <w:rsid w:val="00AA57B2"/>
    <w:rsid w:val="00AF2592"/>
    <w:rsid w:val="00B17CEB"/>
    <w:rsid w:val="00BE0B09"/>
    <w:rsid w:val="00C00FCB"/>
    <w:rsid w:val="00C32DB5"/>
    <w:rsid w:val="00C51BE3"/>
    <w:rsid w:val="00D05C74"/>
    <w:rsid w:val="00D23271"/>
    <w:rsid w:val="00D642C4"/>
    <w:rsid w:val="00D73FD2"/>
    <w:rsid w:val="00E14728"/>
    <w:rsid w:val="00E260A2"/>
    <w:rsid w:val="00E70143"/>
    <w:rsid w:val="00F871D1"/>
    <w:rsid w:val="00FA4B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0AE492"/>
  <w15:docId w15:val="{55D1BF19-5C9C-44C1-9EC6-2C0BD63D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paragraph" w:styleId="Sinespaciado">
    <w:name w:val="No Spacing"/>
    <w:aliases w:val="Francesa"/>
    <w:link w:val="SinespaciadoCar"/>
    <w:uiPriority w:val="1"/>
    <w:qFormat/>
    <w:rsid w:val="000039DE"/>
    <w:rPr>
      <w:lang w:eastAsia="es-ES"/>
    </w:rPr>
  </w:style>
  <w:style w:type="character" w:customStyle="1" w:styleId="SinespaciadoCar">
    <w:name w:val="Sin espaciado Car"/>
    <w:aliases w:val="Francesa Car"/>
    <w:link w:val="Sinespaciado"/>
    <w:uiPriority w:val="1"/>
    <w:locked/>
    <w:rsid w:val="000039DE"/>
    <w:rPr>
      <w:lang w:val="es-MX" w:eastAsia="es-ES"/>
    </w:rPr>
  </w:style>
  <w:style w:type="table" w:customStyle="1" w:styleId="a1">
    <w:basedOn w:val="TableNormal6"/>
    <w:tblPr>
      <w:tblStyleRowBandSize w:val="1"/>
      <w:tblStyleColBandSize w:val="1"/>
      <w:tblCellMar>
        <w:left w:w="108" w:type="dxa"/>
        <w:right w:w="108" w:type="dxa"/>
      </w:tblCellMar>
    </w:tbl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6D213A"/>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5">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6">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7">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8">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9">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a">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b">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c">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d">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e">
    <w:basedOn w:val="TableNormal0"/>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xrmpsUeyIBy2dS+FzGtlSaHckw==">CgMxLjAyCWguMXQzaDVzZjIJaC4zMGowemxsMghoLmdqZGd4czIJaC4xZm9iOXRlMghoLnR5amN3dDgAciExcnhITWpxZUVGU3pTYlhja05DY3BBWmN6cmZ5NVpSdDE=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8031</Words>
  <Characters>44175</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2025-12-05T19:26:00Z</cp:lastPrinted>
  <dcterms:created xsi:type="dcterms:W3CDTF">2026-01-19T23:12:00Z</dcterms:created>
  <dcterms:modified xsi:type="dcterms:W3CDTF">2026-01-19T23:12:00Z</dcterms:modified>
</cp:coreProperties>
</file>