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56E5" w14:textId="77777777" w:rsidR="00C852C8" w:rsidRDefault="00C852C8" w:rsidP="00591A5E">
      <w:pPr>
        <w:widowControl w:val="0"/>
        <w:pBdr>
          <w:top w:val="nil"/>
          <w:left w:val="nil"/>
          <w:bottom w:val="nil"/>
          <w:right w:val="nil"/>
          <w:between w:val="nil"/>
        </w:pBdr>
        <w:spacing w:after="0" w:line="276" w:lineRule="auto"/>
        <w:jc w:val="left"/>
      </w:pPr>
    </w:p>
    <w:sdt>
      <w:sdtPr>
        <w:rPr>
          <w:rFonts w:ascii="Palatino Linotype" w:eastAsia="Palatino Linotype" w:hAnsi="Palatino Linotype" w:cs="Palatino Linotype"/>
          <w:color w:val="auto"/>
          <w:sz w:val="22"/>
          <w:szCs w:val="22"/>
          <w:lang w:val="es-ES"/>
        </w:rPr>
        <w:id w:val="167458031"/>
        <w:docPartObj>
          <w:docPartGallery w:val="Table of Contents"/>
          <w:docPartUnique/>
        </w:docPartObj>
      </w:sdtPr>
      <w:sdtEndPr>
        <w:rPr>
          <w:b/>
          <w:bCs/>
        </w:rPr>
      </w:sdtEndPr>
      <w:sdtContent>
        <w:p w14:paraId="3AB42A6D" w14:textId="7A540983" w:rsidR="00FC0B1E" w:rsidRDefault="00FC0B1E">
          <w:pPr>
            <w:pStyle w:val="TtuloTDC"/>
          </w:pPr>
          <w:r>
            <w:rPr>
              <w:lang w:val="es-ES"/>
            </w:rPr>
            <w:t>Tabla de contenido</w:t>
          </w:r>
        </w:p>
        <w:p w14:paraId="4C60BE29" w14:textId="0D403432" w:rsidR="00733464" w:rsidRDefault="00FC0B1E">
          <w:pPr>
            <w:pStyle w:val="TDC1"/>
            <w:tabs>
              <w:tab w:val="right" w:leader="dot" w:pos="9204"/>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206086478" w:history="1">
            <w:r w:rsidR="00733464" w:rsidRPr="006C67C3">
              <w:rPr>
                <w:rStyle w:val="Hipervnculo"/>
                <w:noProof/>
              </w:rPr>
              <w:t>A N T E C E D E N T E S</w:t>
            </w:r>
            <w:r w:rsidR="00733464">
              <w:rPr>
                <w:noProof/>
                <w:webHidden/>
              </w:rPr>
              <w:tab/>
            </w:r>
            <w:r w:rsidR="00733464">
              <w:rPr>
                <w:noProof/>
                <w:webHidden/>
              </w:rPr>
              <w:fldChar w:fldCharType="begin"/>
            </w:r>
            <w:r w:rsidR="00733464">
              <w:rPr>
                <w:noProof/>
                <w:webHidden/>
              </w:rPr>
              <w:instrText xml:space="preserve"> PAGEREF _Toc206086478 \h </w:instrText>
            </w:r>
            <w:r w:rsidR="00733464">
              <w:rPr>
                <w:noProof/>
                <w:webHidden/>
              </w:rPr>
            </w:r>
            <w:r w:rsidR="00733464">
              <w:rPr>
                <w:noProof/>
                <w:webHidden/>
              </w:rPr>
              <w:fldChar w:fldCharType="separate"/>
            </w:r>
            <w:r w:rsidR="00820F8F">
              <w:rPr>
                <w:noProof/>
                <w:webHidden/>
              </w:rPr>
              <w:t>2</w:t>
            </w:r>
            <w:r w:rsidR="00733464">
              <w:rPr>
                <w:noProof/>
                <w:webHidden/>
              </w:rPr>
              <w:fldChar w:fldCharType="end"/>
            </w:r>
          </w:hyperlink>
        </w:p>
        <w:p w14:paraId="366C12D2" w14:textId="693FEC2C" w:rsidR="00733464" w:rsidRDefault="00733464">
          <w:pPr>
            <w:pStyle w:val="TDC2"/>
            <w:tabs>
              <w:tab w:val="right" w:leader="dot" w:pos="9204"/>
            </w:tabs>
            <w:rPr>
              <w:rFonts w:asciiTheme="minorHAnsi" w:eastAsiaTheme="minorEastAsia" w:hAnsiTheme="minorHAnsi" w:cstheme="minorBidi"/>
              <w:noProof/>
            </w:rPr>
          </w:pPr>
          <w:hyperlink w:anchor="_Toc206086479" w:history="1">
            <w:r w:rsidRPr="006C67C3">
              <w:rPr>
                <w:rStyle w:val="Hipervnculo"/>
                <w:noProof/>
              </w:rPr>
              <w:t>I. Presentación de la solicitud de información</w:t>
            </w:r>
            <w:r>
              <w:rPr>
                <w:noProof/>
                <w:webHidden/>
              </w:rPr>
              <w:tab/>
            </w:r>
            <w:r>
              <w:rPr>
                <w:noProof/>
                <w:webHidden/>
              </w:rPr>
              <w:fldChar w:fldCharType="begin"/>
            </w:r>
            <w:r>
              <w:rPr>
                <w:noProof/>
                <w:webHidden/>
              </w:rPr>
              <w:instrText xml:space="preserve"> PAGEREF _Toc206086479 \h </w:instrText>
            </w:r>
            <w:r>
              <w:rPr>
                <w:noProof/>
                <w:webHidden/>
              </w:rPr>
            </w:r>
            <w:r>
              <w:rPr>
                <w:noProof/>
                <w:webHidden/>
              </w:rPr>
              <w:fldChar w:fldCharType="separate"/>
            </w:r>
            <w:r w:rsidR="00820F8F">
              <w:rPr>
                <w:noProof/>
                <w:webHidden/>
              </w:rPr>
              <w:t>2</w:t>
            </w:r>
            <w:r>
              <w:rPr>
                <w:noProof/>
                <w:webHidden/>
              </w:rPr>
              <w:fldChar w:fldCharType="end"/>
            </w:r>
          </w:hyperlink>
        </w:p>
        <w:p w14:paraId="6B1AD9A7" w14:textId="3DAAFB19" w:rsidR="00733464" w:rsidRDefault="00733464">
          <w:pPr>
            <w:pStyle w:val="TDC2"/>
            <w:tabs>
              <w:tab w:val="right" w:leader="dot" w:pos="9204"/>
            </w:tabs>
            <w:rPr>
              <w:rFonts w:asciiTheme="minorHAnsi" w:eastAsiaTheme="minorEastAsia" w:hAnsiTheme="minorHAnsi" w:cstheme="minorBidi"/>
              <w:noProof/>
            </w:rPr>
          </w:pPr>
          <w:hyperlink w:anchor="_Toc206086480" w:history="1">
            <w:r w:rsidRPr="006C67C3">
              <w:rPr>
                <w:rStyle w:val="Hipervnculo"/>
                <w:noProof/>
              </w:rPr>
              <w:t>II. Respuesta del Sujeto Obligado</w:t>
            </w:r>
            <w:r>
              <w:rPr>
                <w:noProof/>
                <w:webHidden/>
              </w:rPr>
              <w:tab/>
            </w:r>
            <w:r>
              <w:rPr>
                <w:noProof/>
                <w:webHidden/>
              </w:rPr>
              <w:fldChar w:fldCharType="begin"/>
            </w:r>
            <w:r>
              <w:rPr>
                <w:noProof/>
                <w:webHidden/>
              </w:rPr>
              <w:instrText xml:space="preserve"> PAGEREF _Toc206086480 \h </w:instrText>
            </w:r>
            <w:r>
              <w:rPr>
                <w:noProof/>
                <w:webHidden/>
              </w:rPr>
            </w:r>
            <w:r>
              <w:rPr>
                <w:noProof/>
                <w:webHidden/>
              </w:rPr>
              <w:fldChar w:fldCharType="separate"/>
            </w:r>
            <w:r w:rsidR="00820F8F">
              <w:rPr>
                <w:noProof/>
                <w:webHidden/>
              </w:rPr>
              <w:t>3</w:t>
            </w:r>
            <w:r>
              <w:rPr>
                <w:noProof/>
                <w:webHidden/>
              </w:rPr>
              <w:fldChar w:fldCharType="end"/>
            </w:r>
          </w:hyperlink>
        </w:p>
        <w:p w14:paraId="001CD3EF" w14:textId="53526F06" w:rsidR="00733464" w:rsidRDefault="00733464">
          <w:pPr>
            <w:pStyle w:val="TDC2"/>
            <w:tabs>
              <w:tab w:val="right" w:leader="dot" w:pos="9204"/>
            </w:tabs>
            <w:rPr>
              <w:rFonts w:asciiTheme="minorHAnsi" w:eastAsiaTheme="minorEastAsia" w:hAnsiTheme="minorHAnsi" w:cstheme="minorBidi"/>
              <w:noProof/>
            </w:rPr>
          </w:pPr>
          <w:hyperlink w:anchor="_Toc206086481" w:history="1">
            <w:r w:rsidRPr="006C67C3">
              <w:rPr>
                <w:rStyle w:val="Hipervnculo"/>
                <w:noProof/>
              </w:rPr>
              <w:t>III. Interposición del Recurso de Revisión</w:t>
            </w:r>
            <w:r>
              <w:rPr>
                <w:noProof/>
                <w:webHidden/>
              </w:rPr>
              <w:tab/>
            </w:r>
            <w:r>
              <w:rPr>
                <w:noProof/>
                <w:webHidden/>
              </w:rPr>
              <w:fldChar w:fldCharType="begin"/>
            </w:r>
            <w:r>
              <w:rPr>
                <w:noProof/>
                <w:webHidden/>
              </w:rPr>
              <w:instrText xml:space="preserve"> PAGEREF _Toc206086481 \h </w:instrText>
            </w:r>
            <w:r>
              <w:rPr>
                <w:noProof/>
                <w:webHidden/>
              </w:rPr>
            </w:r>
            <w:r>
              <w:rPr>
                <w:noProof/>
                <w:webHidden/>
              </w:rPr>
              <w:fldChar w:fldCharType="separate"/>
            </w:r>
            <w:r w:rsidR="00820F8F">
              <w:rPr>
                <w:noProof/>
                <w:webHidden/>
              </w:rPr>
              <w:t>3</w:t>
            </w:r>
            <w:r>
              <w:rPr>
                <w:noProof/>
                <w:webHidden/>
              </w:rPr>
              <w:fldChar w:fldCharType="end"/>
            </w:r>
          </w:hyperlink>
        </w:p>
        <w:p w14:paraId="6CFB1977" w14:textId="154C150E" w:rsidR="00733464" w:rsidRDefault="00733464">
          <w:pPr>
            <w:pStyle w:val="TDC2"/>
            <w:tabs>
              <w:tab w:val="right" w:leader="dot" w:pos="9204"/>
            </w:tabs>
            <w:rPr>
              <w:rFonts w:asciiTheme="minorHAnsi" w:eastAsiaTheme="minorEastAsia" w:hAnsiTheme="minorHAnsi" w:cstheme="minorBidi"/>
              <w:noProof/>
            </w:rPr>
          </w:pPr>
          <w:hyperlink w:anchor="_Toc206086482" w:history="1">
            <w:r w:rsidRPr="006C67C3">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_Toc206086482 \h </w:instrText>
            </w:r>
            <w:r>
              <w:rPr>
                <w:noProof/>
                <w:webHidden/>
              </w:rPr>
            </w:r>
            <w:r>
              <w:rPr>
                <w:noProof/>
                <w:webHidden/>
              </w:rPr>
              <w:fldChar w:fldCharType="separate"/>
            </w:r>
            <w:r w:rsidR="00820F8F">
              <w:rPr>
                <w:noProof/>
                <w:webHidden/>
              </w:rPr>
              <w:t>4</w:t>
            </w:r>
            <w:r>
              <w:rPr>
                <w:noProof/>
                <w:webHidden/>
              </w:rPr>
              <w:fldChar w:fldCharType="end"/>
            </w:r>
          </w:hyperlink>
        </w:p>
        <w:p w14:paraId="780CD96C" w14:textId="34385A42" w:rsidR="00733464" w:rsidRDefault="00733464">
          <w:pPr>
            <w:pStyle w:val="TDC1"/>
            <w:tabs>
              <w:tab w:val="right" w:leader="dot" w:pos="9204"/>
            </w:tabs>
            <w:rPr>
              <w:rFonts w:asciiTheme="minorHAnsi" w:eastAsiaTheme="minorEastAsia" w:hAnsiTheme="minorHAnsi" w:cstheme="minorBidi"/>
              <w:noProof/>
            </w:rPr>
          </w:pPr>
          <w:hyperlink w:anchor="_Toc206086483" w:history="1">
            <w:r w:rsidRPr="006C67C3">
              <w:rPr>
                <w:rStyle w:val="Hipervnculo"/>
                <w:noProof/>
              </w:rPr>
              <w:t>C O N S I D E R A N D O S</w:t>
            </w:r>
            <w:r>
              <w:rPr>
                <w:noProof/>
                <w:webHidden/>
              </w:rPr>
              <w:tab/>
            </w:r>
            <w:r>
              <w:rPr>
                <w:noProof/>
                <w:webHidden/>
              </w:rPr>
              <w:fldChar w:fldCharType="begin"/>
            </w:r>
            <w:r>
              <w:rPr>
                <w:noProof/>
                <w:webHidden/>
              </w:rPr>
              <w:instrText xml:space="preserve"> PAGEREF _Toc206086483 \h </w:instrText>
            </w:r>
            <w:r>
              <w:rPr>
                <w:noProof/>
                <w:webHidden/>
              </w:rPr>
            </w:r>
            <w:r>
              <w:rPr>
                <w:noProof/>
                <w:webHidden/>
              </w:rPr>
              <w:fldChar w:fldCharType="separate"/>
            </w:r>
            <w:r w:rsidR="00820F8F">
              <w:rPr>
                <w:noProof/>
                <w:webHidden/>
              </w:rPr>
              <w:t>6</w:t>
            </w:r>
            <w:r>
              <w:rPr>
                <w:noProof/>
                <w:webHidden/>
              </w:rPr>
              <w:fldChar w:fldCharType="end"/>
            </w:r>
          </w:hyperlink>
        </w:p>
        <w:p w14:paraId="1FFE01BE" w14:textId="1030D900" w:rsidR="00733464" w:rsidRDefault="00733464">
          <w:pPr>
            <w:pStyle w:val="TDC2"/>
            <w:tabs>
              <w:tab w:val="right" w:leader="dot" w:pos="9204"/>
            </w:tabs>
            <w:rPr>
              <w:rFonts w:asciiTheme="minorHAnsi" w:eastAsiaTheme="minorEastAsia" w:hAnsiTheme="minorHAnsi" w:cstheme="minorBidi"/>
              <w:noProof/>
            </w:rPr>
          </w:pPr>
          <w:hyperlink w:anchor="_Toc206086484" w:history="1">
            <w:r w:rsidRPr="006C67C3">
              <w:rPr>
                <w:rStyle w:val="Hipervnculo"/>
                <w:noProof/>
              </w:rPr>
              <w:t>PRIMERO. Competencia</w:t>
            </w:r>
            <w:r>
              <w:rPr>
                <w:noProof/>
                <w:webHidden/>
              </w:rPr>
              <w:tab/>
            </w:r>
            <w:r>
              <w:rPr>
                <w:noProof/>
                <w:webHidden/>
              </w:rPr>
              <w:fldChar w:fldCharType="begin"/>
            </w:r>
            <w:r>
              <w:rPr>
                <w:noProof/>
                <w:webHidden/>
              </w:rPr>
              <w:instrText xml:space="preserve"> PAGEREF _Toc206086484 \h </w:instrText>
            </w:r>
            <w:r>
              <w:rPr>
                <w:noProof/>
                <w:webHidden/>
              </w:rPr>
            </w:r>
            <w:r>
              <w:rPr>
                <w:noProof/>
                <w:webHidden/>
              </w:rPr>
              <w:fldChar w:fldCharType="separate"/>
            </w:r>
            <w:r w:rsidR="00820F8F">
              <w:rPr>
                <w:noProof/>
                <w:webHidden/>
              </w:rPr>
              <w:t>6</w:t>
            </w:r>
            <w:r>
              <w:rPr>
                <w:noProof/>
                <w:webHidden/>
              </w:rPr>
              <w:fldChar w:fldCharType="end"/>
            </w:r>
          </w:hyperlink>
        </w:p>
        <w:p w14:paraId="6E959316" w14:textId="02195CC0" w:rsidR="00733464" w:rsidRDefault="00733464">
          <w:pPr>
            <w:pStyle w:val="TDC2"/>
            <w:tabs>
              <w:tab w:val="right" w:leader="dot" w:pos="9204"/>
            </w:tabs>
            <w:rPr>
              <w:rFonts w:asciiTheme="minorHAnsi" w:eastAsiaTheme="minorEastAsia" w:hAnsiTheme="minorHAnsi" w:cstheme="minorBidi"/>
              <w:noProof/>
            </w:rPr>
          </w:pPr>
          <w:hyperlink w:anchor="_Toc206086485" w:history="1">
            <w:r w:rsidRPr="006C67C3">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_Toc206086485 \h </w:instrText>
            </w:r>
            <w:r>
              <w:rPr>
                <w:noProof/>
                <w:webHidden/>
              </w:rPr>
            </w:r>
            <w:r>
              <w:rPr>
                <w:noProof/>
                <w:webHidden/>
              </w:rPr>
              <w:fldChar w:fldCharType="separate"/>
            </w:r>
            <w:r w:rsidR="00820F8F">
              <w:rPr>
                <w:noProof/>
                <w:webHidden/>
              </w:rPr>
              <w:t>6</w:t>
            </w:r>
            <w:r>
              <w:rPr>
                <w:noProof/>
                <w:webHidden/>
              </w:rPr>
              <w:fldChar w:fldCharType="end"/>
            </w:r>
          </w:hyperlink>
        </w:p>
        <w:p w14:paraId="7B38B49D" w14:textId="243C7062" w:rsidR="00733464" w:rsidRDefault="00733464">
          <w:pPr>
            <w:pStyle w:val="TDC2"/>
            <w:tabs>
              <w:tab w:val="right" w:leader="dot" w:pos="9204"/>
            </w:tabs>
            <w:rPr>
              <w:rFonts w:asciiTheme="minorHAnsi" w:eastAsiaTheme="minorEastAsia" w:hAnsiTheme="minorHAnsi" w:cstheme="minorBidi"/>
              <w:noProof/>
            </w:rPr>
          </w:pPr>
          <w:hyperlink w:anchor="_Toc206086486" w:history="1">
            <w:r w:rsidRPr="006C67C3">
              <w:rPr>
                <w:rStyle w:val="Hipervnculo"/>
                <w:noProof/>
              </w:rPr>
              <w:t>TERCERO. Determinación de la Controversia</w:t>
            </w:r>
            <w:r>
              <w:rPr>
                <w:noProof/>
                <w:webHidden/>
              </w:rPr>
              <w:tab/>
            </w:r>
            <w:r>
              <w:rPr>
                <w:noProof/>
                <w:webHidden/>
              </w:rPr>
              <w:fldChar w:fldCharType="begin"/>
            </w:r>
            <w:r>
              <w:rPr>
                <w:noProof/>
                <w:webHidden/>
              </w:rPr>
              <w:instrText xml:space="preserve"> PAGEREF _Toc206086486 \h </w:instrText>
            </w:r>
            <w:r>
              <w:rPr>
                <w:noProof/>
                <w:webHidden/>
              </w:rPr>
            </w:r>
            <w:r>
              <w:rPr>
                <w:noProof/>
                <w:webHidden/>
              </w:rPr>
              <w:fldChar w:fldCharType="separate"/>
            </w:r>
            <w:r w:rsidR="00820F8F">
              <w:rPr>
                <w:noProof/>
                <w:webHidden/>
              </w:rPr>
              <w:t>8</w:t>
            </w:r>
            <w:r>
              <w:rPr>
                <w:noProof/>
                <w:webHidden/>
              </w:rPr>
              <w:fldChar w:fldCharType="end"/>
            </w:r>
          </w:hyperlink>
        </w:p>
        <w:p w14:paraId="4975F487" w14:textId="2B6AA34E" w:rsidR="00733464" w:rsidRDefault="00733464">
          <w:pPr>
            <w:pStyle w:val="TDC2"/>
            <w:tabs>
              <w:tab w:val="right" w:leader="dot" w:pos="9204"/>
            </w:tabs>
            <w:rPr>
              <w:rFonts w:asciiTheme="minorHAnsi" w:eastAsiaTheme="minorEastAsia" w:hAnsiTheme="minorHAnsi" w:cstheme="minorBidi"/>
              <w:noProof/>
            </w:rPr>
          </w:pPr>
          <w:hyperlink w:anchor="_Toc206086487" w:history="1">
            <w:r w:rsidRPr="006C67C3">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_Toc206086487 \h </w:instrText>
            </w:r>
            <w:r>
              <w:rPr>
                <w:noProof/>
                <w:webHidden/>
              </w:rPr>
            </w:r>
            <w:r>
              <w:rPr>
                <w:noProof/>
                <w:webHidden/>
              </w:rPr>
              <w:fldChar w:fldCharType="separate"/>
            </w:r>
            <w:r w:rsidR="00820F8F">
              <w:rPr>
                <w:noProof/>
                <w:webHidden/>
              </w:rPr>
              <w:t>9</w:t>
            </w:r>
            <w:r>
              <w:rPr>
                <w:noProof/>
                <w:webHidden/>
              </w:rPr>
              <w:fldChar w:fldCharType="end"/>
            </w:r>
          </w:hyperlink>
        </w:p>
        <w:p w14:paraId="4D32C4DF" w14:textId="0154BD85" w:rsidR="00733464" w:rsidRDefault="00733464">
          <w:pPr>
            <w:pStyle w:val="TDC2"/>
            <w:tabs>
              <w:tab w:val="right" w:leader="dot" w:pos="9204"/>
            </w:tabs>
            <w:rPr>
              <w:rFonts w:asciiTheme="minorHAnsi" w:eastAsiaTheme="minorEastAsia" w:hAnsiTheme="minorHAnsi" w:cstheme="minorBidi"/>
              <w:noProof/>
            </w:rPr>
          </w:pPr>
          <w:hyperlink w:anchor="_Toc206086488" w:history="1">
            <w:r w:rsidRPr="006C67C3">
              <w:rPr>
                <w:rStyle w:val="Hipervnculo"/>
                <w:smallCaps/>
                <w:noProof/>
              </w:rPr>
              <w:t>QUINTO.</w:t>
            </w:r>
            <w:r w:rsidRPr="006C67C3">
              <w:rPr>
                <w:rStyle w:val="Hipervnculo"/>
                <w:noProof/>
              </w:rPr>
              <w:t xml:space="preserve"> Estudio de Fondo</w:t>
            </w:r>
            <w:r>
              <w:rPr>
                <w:noProof/>
                <w:webHidden/>
              </w:rPr>
              <w:tab/>
            </w:r>
            <w:r>
              <w:rPr>
                <w:noProof/>
                <w:webHidden/>
              </w:rPr>
              <w:fldChar w:fldCharType="begin"/>
            </w:r>
            <w:r>
              <w:rPr>
                <w:noProof/>
                <w:webHidden/>
              </w:rPr>
              <w:instrText xml:space="preserve"> PAGEREF _Toc206086488 \h </w:instrText>
            </w:r>
            <w:r>
              <w:rPr>
                <w:noProof/>
                <w:webHidden/>
              </w:rPr>
            </w:r>
            <w:r>
              <w:rPr>
                <w:noProof/>
                <w:webHidden/>
              </w:rPr>
              <w:fldChar w:fldCharType="separate"/>
            </w:r>
            <w:r w:rsidR="00820F8F">
              <w:rPr>
                <w:noProof/>
                <w:webHidden/>
              </w:rPr>
              <w:t>10</w:t>
            </w:r>
            <w:r>
              <w:rPr>
                <w:noProof/>
                <w:webHidden/>
              </w:rPr>
              <w:fldChar w:fldCharType="end"/>
            </w:r>
          </w:hyperlink>
        </w:p>
        <w:p w14:paraId="2FB77315" w14:textId="6D8CAD71" w:rsidR="00733464" w:rsidRDefault="00733464">
          <w:pPr>
            <w:pStyle w:val="TDC2"/>
            <w:tabs>
              <w:tab w:val="right" w:leader="dot" w:pos="9204"/>
            </w:tabs>
            <w:rPr>
              <w:rFonts w:asciiTheme="minorHAnsi" w:eastAsiaTheme="minorEastAsia" w:hAnsiTheme="minorHAnsi" w:cstheme="minorBidi"/>
              <w:noProof/>
            </w:rPr>
          </w:pPr>
          <w:hyperlink w:anchor="_Toc206086489" w:history="1">
            <w:r w:rsidRPr="006C67C3">
              <w:rPr>
                <w:rStyle w:val="Hipervnculo"/>
                <w:noProof/>
              </w:rPr>
              <w:t>SEXTO. Decisión</w:t>
            </w:r>
            <w:r>
              <w:rPr>
                <w:noProof/>
                <w:webHidden/>
              </w:rPr>
              <w:tab/>
            </w:r>
            <w:r>
              <w:rPr>
                <w:noProof/>
                <w:webHidden/>
              </w:rPr>
              <w:fldChar w:fldCharType="begin"/>
            </w:r>
            <w:r>
              <w:rPr>
                <w:noProof/>
                <w:webHidden/>
              </w:rPr>
              <w:instrText xml:space="preserve"> PAGEREF _Toc206086489 \h </w:instrText>
            </w:r>
            <w:r>
              <w:rPr>
                <w:noProof/>
                <w:webHidden/>
              </w:rPr>
            </w:r>
            <w:r>
              <w:rPr>
                <w:noProof/>
                <w:webHidden/>
              </w:rPr>
              <w:fldChar w:fldCharType="separate"/>
            </w:r>
            <w:r w:rsidR="00820F8F">
              <w:rPr>
                <w:noProof/>
                <w:webHidden/>
              </w:rPr>
              <w:t>33</w:t>
            </w:r>
            <w:r>
              <w:rPr>
                <w:noProof/>
                <w:webHidden/>
              </w:rPr>
              <w:fldChar w:fldCharType="end"/>
            </w:r>
          </w:hyperlink>
        </w:p>
        <w:p w14:paraId="2BC6BED4" w14:textId="54EA11EF" w:rsidR="00733464" w:rsidRDefault="00733464">
          <w:pPr>
            <w:pStyle w:val="TDC1"/>
            <w:tabs>
              <w:tab w:val="right" w:leader="dot" w:pos="9204"/>
            </w:tabs>
            <w:rPr>
              <w:rFonts w:asciiTheme="minorHAnsi" w:eastAsiaTheme="minorEastAsia" w:hAnsiTheme="minorHAnsi" w:cstheme="minorBidi"/>
              <w:noProof/>
            </w:rPr>
          </w:pPr>
          <w:hyperlink w:anchor="_Toc206086490" w:history="1">
            <w:r w:rsidRPr="006C67C3">
              <w:rPr>
                <w:rStyle w:val="Hipervnculo"/>
                <w:noProof/>
              </w:rPr>
              <w:t>R E S U E L V E</w:t>
            </w:r>
            <w:r>
              <w:rPr>
                <w:noProof/>
                <w:webHidden/>
              </w:rPr>
              <w:tab/>
            </w:r>
            <w:r>
              <w:rPr>
                <w:noProof/>
                <w:webHidden/>
              </w:rPr>
              <w:fldChar w:fldCharType="begin"/>
            </w:r>
            <w:r>
              <w:rPr>
                <w:noProof/>
                <w:webHidden/>
              </w:rPr>
              <w:instrText xml:space="preserve"> PAGEREF _Toc206086490 \h </w:instrText>
            </w:r>
            <w:r>
              <w:rPr>
                <w:noProof/>
                <w:webHidden/>
              </w:rPr>
            </w:r>
            <w:r>
              <w:rPr>
                <w:noProof/>
                <w:webHidden/>
              </w:rPr>
              <w:fldChar w:fldCharType="separate"/>
            </w:r>
            <w:r w:rsidR="00820F8F">
              <w:rPr>
                <w:noProof/>
                <w:webHidden/>
              </w:rPr>
              <w:t>34</w:t>
            </w:r>
            <w:r>
              <w:rPr>
                <w:noProof/>
                <w:webHidden/>
              </w:rPr>
              <w:fldChar w:fldCharType="end"/>
            </w:r>
          </w:hyperlink>
        </w:p>
        <w:p w14:paraId="2CCC74A9" w14:textId="6A7735B3" w:rsidR="00FC0B1E" w:rsidRDefault="00FC0B1E">
          <w:r>
            <w:rPr>
              <w:b/>
              <w:bCs/>
              <w:lang w:val="es-ES"/>
            </w:rPr>
            <w:fldChar w:fldCharType="end"/>
          </w:r>
        </w:p>
      </w:sdtContent>
    </w:sdt>
    <w:p w14:paraId="489BE08A" w14:textId="77777777" w:rsidR="00C852C8" w:rsidRDefault="008C4FC6" w:rsidP="00591A5E">
      <w:pPr>
        <w:pStyle w:val="Ttulo2"/>
        <w:spacing w:before="0" w:after="0"/>
      </w:pPr>
      <w:r>
        <w:br w:type="page"/>
      </w:r>
    </w:p>
    <w:p w14:paraId="1F01D8FD" w14:textId="77777777" w:rsidR="00C852C8" w:rsidRDefault="008C4FC6" w:rsidP="00591A5E">
      <w:pPr>
        <w:spacing w:after="0" w:line="360" w:lineRule="auto"/>
      </w:pPr>
      <w:r>
        <w:lastRenderedPageBreak/>
        <w:t>Resolución del Pleno del Instituto de Transparencia, Acceso a la Información Pública y Protección de Datos Personales del Estado de México y Municipios, con domicilio en Metepec, Estado de México, de fecha trece de agosto de dos mil veinticinco.</w:t>
      </w:r>
    </w:p>
    <w:p w14:paraId="24EE26FF" w14:textId="77777777" w:rsidR="00C852C8" w:rsidRDefault="00C852C8" w:rsidP="00591A5E">
      <w:pPr>
        <w:spacing w:after="0" w:line="360" w:lineRule="auto"/>
        <w:rPr>
          <w:b/>
        </w:rPr>
      </w:pPr>
    </w:p>
    <w:p w14:paraId="5F5ACA3E" w14:textId="77777777" w:rsidR="00C852C8" w:rsidRDefault="008C4FC6" w:rsidP="00591A5E">
      <w:pPr>
        <w:spacing w:after="0" w:line="360" w:lineRule="auto"/>
      </w:pPr>
      <w:r>
        <w:rPr>
          <w:b/>
        </w:rPr>
        <w:t>VISTO</w:t>
      </w:r>
      <w:r>
        <w:t xml:space="preserve"> el expediente conformado con motivo del Recurso de Revisión </w:t>
      </w:r>
      <w:r w:rsidRPr="001A6295">
        <w:rPr>
          <w:b/>
        </w:rPr>
        <w:t>05901/INFOEM/IP/RR/2025</w:t>
      </w:r>
      <w:r w:rsidRPr="00591A5E">
        <w:rPr>
          <w:bCs/>
        </w:rPr>
        <w:t xml:space="preserve">, interpuesto por un Particular, en lo sucesivo, la persona Recurrente o Particular, en contra de la respuesta del Sujeto Obligado, </w:t>
      </w:r>
      <w:r w:rsidRPr="001A6295">
        <w:rPr>
          <w:b/>
        </w:rPr>
        <w:t>Ayuntamiento de Tlatlaya</w:t>
      </w:r>
      <w:r w:rsidRPr="00591A5E">
        <w:rPr>
          <w:bCs/>
        </w:rPr>
        <w:t>, se emite la presente</w:t>
      </w:r>
      <w:r>
        <w:t xml:space="preserve"> Resolución, con base en los antecedentes y considerandos que se exponen a continuación:</w:t>
      </w:r>
    </w:p>
    <w:p w14:paraId="390DA2E9" w14:textId="77777777" w:rsidR="00C852C8" w:rsidRDefault="00C852C8" w:rsidP="00591A5E">
      <w:pPr>
        <w:spacing w:after="0" w:line="360" w:lineRule="auto"/>
      </w:pPr>
    </w:p>
    <w:p w14:paraId="5B2F9E2F" w14:textId="77777777" w:rsidR="00C852C8" w:rsidRDefault="008C4FC6" w:rsidP="00591A5E">
      <w:pPr>
        <w:pStyle w:val="Ttulo1"/>
        <w:spacing w:before="0" w:after="0"/>
        <w:rPr>
          <w:sz w:val="22"/>
          <w:szCs w:val="22"/>
        </w:rPr>
      </w:pPr>
      <w:bookmarkStart w:id="0" w:name="_Toc206086478"/>
      <w:r>
        <w:rPr>
          <w:sz w:val="22"/>
          <w:szCs w:val="22"/>
        </w:rPr>
        <w:t>A N T E C E D E N T E S</w:t>
      </w:r>
      <w:bookmarkEnd w:id="0"/>
    </w:p>
    <w:p w14:paraId="4CD44D3C" w14:textId="77777777" w:rsidR="00C852C8" w:rsidRDefault="00C852C8" w:rsidP="00591A5E">
      <w:pPr>
        <w:spacing w:after="0" w:line="360" w:lineRule="auto"/>
      </w:pPr>
      <w:bookmarkStart w:id="1" w:name="_heading=h.gjdgxs" w:colFirst="0" w:colLast="0"/>
      <w:bookmarkEnd w:id="1"/>
    </w:p>
    <w:p w14:paraId="07A3E0AD" w14:textId="77777777" w:rsidR="00C852C8" w:rsidRDefault="008C4FC6" w:rsidP="00591A5E">
      <w:pPr>
        <w:pStyle w:val="Ttulo2"/>
        <w:spacing w:before="0" w:after="0"/>
      </w:pPr>
      <w:bookmarkStart w:id="2" w:name="_Toc206086479"/>
      <w:r>
        <w:t>I. Presentación de la solicitud de información</w:t>
      </w:r>
      <w:bookmarkEnd w:id="2"/>
    </w:p>
    <w:p w14:paraId="34EEF336" w14:textId="77777777" w:rsidR="00C852C8" w:rsidRDefault="00C852C8" w:rsidP="00591A5E">
      <w:pPr>
        <w:tabs>
          <w:tab w:val="left" w:pos="567"/>
        </w:tabs>
        <w:spacing w:after="0" w:line="360" w:lineRule="auto"/>
      </w:pPr>
    </w:p>
    <w:p w14:paraId="4DF53875" w14:textId="77777777" w:rsidR="00C852C8" w:rsidRDefault="008C4FC6" w:rsidP="00591A5E">
      <w:pPr>
        <w:spacing w:after="0" w:line="360" w:lineRule="auto"/>
      </w:pPr>
      <w:bookmarkStart w:id="3" w:name="_heading=h.7z2hm1dstc2n" w:colFirst="0" w:colLast="0"/>
      <w:bookmarkEnd w:id="3"/>
      <w:r>
        <w:t>Con fecha dieciséis de abril de dos mil veinticinco, la cual se radicó el veintiuno de abril de dos mil veinticinco, por ser el siguiente día hábil conforme al Calendario de este Organismo Garante, la parte Solicitante presentó una solicitud de acceso a la información pública, a través del Sistema de Acceso a la Información Mexiquense, en lo sucesivo el SAIMEX, ante el Ayuntamiento de Tlatlaya, en la que requirió lo siguiente:</w:t>
      </w:r>
    </w:p>
    <w:p w14:paraId="5383B22D" w14:textId="77777777" w:rsidR="00C852C8" w:rsidRDefault="00C852C8" w:rsidP="00591A5E">
      <w:pPr>
        <w:spacing w:after="0" w:line="360" w:lineRule="auto"/>
      </w:pPr>
    </w:p>
    <w:p w14:paraId="7E5741BC" w14:textId="77777777" w:rsidR="00C852C8" w:rsidRDefault="008C4FC6" w:rsidP="00591A5E">
      <w:pPr>
        <w:tabs>
          <w:tab w:val="left" w:pos="567"/>
        </w:tabs>
        <w:spacing w:after="0" w:line="360" w:lineRule="auto"/>
        <w:ind w:left="567" w:right="709"/>
        <w:rPr>
          <w:b/>
          <w:sz w:val="20"/>
          <w:szCs w:val="20"/>
        </w:rPr>
      </w:pPr>
      <w:r>
        <w:rPr>
          <w:b/>
          <w:sz w:val="20"/>
          <w:szCs w:val="20"/>
        </w:rPr>
        <w:t>Folio de la solicitud: 00009/TLATLAYA/IP/2025</w:t>
      </w:r>
    </w:p>
    <w:p w14:paraId="7481BDE2" w14:textId="77777777" w:rsidR="00C852C8" w:rsidRDefault="008C4FC6" w:rsidP="00591A5E">
      <w:pPr>
        <w:tabs>
          <w:tab w:val="left" w:pos="567"/>
        </w:tabs>
        <w:spacing w:after="0" w:line="360" w:lineRule="auto"/>
        <w:ind w:left="567" w:right="709"/>
        <w:rPr>
          <w:b/>
          <w:sz w:val="20"/>
          <w:szCs w:val="20"/>
        </w:rPr>
      </w:pPr>
      <w:r>
        <w:rPr>
          <w:b/>
          <w:sz w:val="20"/>
          <w:szCs w:val="20"/>
        </w:rPr>
        <w:t>DESCRIPCIÓN CLARA Y PRECISA DE LA INFORMACIÓN SOLICITADA</w:t>
      </w:r>
    </w:p>
    <w:p w14:paraId="305E7938" w14:textId="77777777" w:rsidR="00C852C8" w:rsidRDefault="008C4FC6" w:rsidP="00591A5E">
      <w:pPr>
        <w:tabs>
          <w:tab w:val="left" w:pos="4667"/>
        </w:tabs>
        <w:spacing w:after="0" w:line="360" w:lineRule="auto"/>
        <w:ind w:left="567" w:right="709"/>
        <w:rPr>
          <w:i/>
          <w:sz w:val="20"/>
          <w:szCs w:val="20"/>
        </w:rPr>
      </w:pPr>
      <w:r>
        <w:rPr>
          <w:i/>
          <w:sz w:val="20"/>
          <w:szCs w:val="20"/>
        </w:rPr>
        <w:t xml:space="preserve">“se </w:t>
      </w:r>
      <w:proofErr w:type="spellStart"/>
      <w:r>
        <w:rPr>
          <w:i/>
          <w:sz w:val="20"/>
          <w:szCs w:val="20"/>
        </w:rPr>
        <w:t>solicitaa</w:t>
      </w:r>
      <w:proofErr w:type="spellEnd"/>
      <w:r>
        <w:rPr>
          <w:i/>
          <w:sz w:val="20"/>
          <w:szCs w:val="20"/>
        </w:rPr>
        <w:t xml:space="preserve"> la </w:t>
      </w:r>
      <w:proofErr w:type="spellStart"/>
      <w:r>
        <w:rPr>
          <w:i/>
          <w:sz w:val="20"/>
          <w:szCs w:val="20"/>
        </w:rPr>
        <w:t>nomina</w:t>
      </w:r>
      <w:proofErr w:type="spellEnd"/>
      <w:r>
        <w:rPr>
          <w:i/>
          <w:sz w:val="20"/>
          <w:szCs w:val="20"/>
        </w:rPr>
        <w:t xml:space="preserve"> de la segunda quincena de marzo </w:t>
      </w:r>
      <w:proofErr w:type="gramStart"/>
      <w:r>
        <w:rPr>
          <w:i/>
          <w:sz w:val="20"/>
          <w:szCs w:val="20"/>
        </w:rPr>
        <w:t>2025.(</w:t>
      </w:r>
      <w:proofErr w:type="gramEnd"/>
      <w:r>
        <w:rPr>
          <w:i/>
          <w:sz w:val="20"/>
          <w:szCs w:val="20"/>
        </w:rPr>
        <w:t xml:space="preserve">completa) del ayuntamiento que tengan servicio </w:t>
      </w:r>
      <w:proofErr w:type="spellStart"/>
      <w:r>
        <w:rPr>
          <w:i/>
          <w:sz w:val="20"/>
          <w:szCs w:val="20"/>
        </w:rPr>
        <w:t>medico</w:t>
      </w:r>
      <w:proofErr w:type="spellEnd"/>
      <w:r>
        <w:rPr>
          <w:i/>
          <w:sz w:val="20"/>
          <w:szCs w:val="20"/>
        </w:rPr>
        <w:t xml:space="preserve">, </w:t>
      </w:r>
      <w:proofErr w:type="spellStart"/>
      <w:r>
        <w:rPr>
          <w:i/>
          <w:sz w:val="20"/>
          <w:szCs w:val="20"/>
        </w:rPr>
        <w:t>asi</w:t>
      </w:r>
      <w:proofErr w:type="spellEnd"/>
      <w:r>
        <w:rPr>
          <w:i/>
          <w:sz w:val="20"/>
          <w:szCs w:val="20"/>
        </w:rPr>
        <w:t xml:space="preserve"> si tuvieran nomina eventual o nominas especiales que solo firman los trabajadores como listas de raya, la </w:t>
      </w:r>
      <w:proofErr w:type="spellStart"/>
      <w:r>
        <w:rPr>
          <w:i/>
          <w:sz w:val="20"/>
          <w:szCs w:val="20"/>
        </w:rPr>
        <w:t>informacion</w:t>
      </w:r>
      <w:proofErr w:type="spellEnd"/>
      <w:r>
        <w:rPr>
          <w:i/>
          <w:sz w:val="20"/>
          <w:szCs w:val="20"/>
        </w:rPr>
        <w:t xml:space="preserve"> se solicita en archivo de </w:t>
      </w:r>
      <w:proofErr w:type="spellStart"/>
      <w:r>
        <w:rPr>
          <w:i/>
          <w:sz w:val="20"/>
          <w:szCs w:val="20"/>
        </w:rPr>
        <w:t>excel</w:t>
      </w:r>
      <w:proofErr w:type="spellEnd"/>
      <w:r>
        <w:rPr>
          <w:i/>
          <w:sz w:val="20"/>
          <w:szCs w:val="20"/>
        </w:rPr>
        <w:t xml:space="preserve"> que contenga sueldo neto y nombre del completo del trabajador.” (Sic.)</w:t>
      </w:r>
    </w:p>
    <w:p w14:paraId="335D2566" w14:textId="77777777" w:rsidR="00C852C8" w:rsidRDefault="00C852C8" w:rsidP="00591A5E">
      <w:pPr>
        <w:tabs>
          <w:tab w:val="left" w:pos="4667"/>
        </w:tabs>
        <w:spacing w:after="0" w:line="360" w:lineRule="auto"/>
        <w:ind w:left="567" w:right="709"/>
        <w:rPr>
          <w:b/>
          <w:sz w:val="20"/>
          <w:szCs w:val="20"/>
        </w:rPr>
      </w:pPr>
    </w:p>
    <w:p w14:paraId="17707B8B" w14:textId="77777777" w:rsidR="00C852C8" w:rsidRDefault="008C4FC6" w:rsidP="00591A5E">
      <w:pPr>
        <w:tabs>
          <w:tab w:val="left" w:pos="4667"/>
        </w:tabs>
        <w:spacing w:after="0" w:line="360" w:lineRule="auto"/>
        <w:ind w:left="567" w:right="709"/>
        <w:rPr>
          <w:b/>
          <w:sz w:val="20"/>
          <w:szCs w:val="20"/>
        </w:rPr>
      </w:pPr>
      <w:r>
        <w:rPr>
          <w:b/>
          <w:sz w:val="20"/>
          <w:szCs w:val="20"/>
        </w:rPr>
        <w:lastRenderedPageBreak/>
        <w:t xml:space="preserve">MODALIDAD DE ENTREGA </w:t>
      </w:r>
      <w:r>
        <w:rPr>
          <w:i/>
          <w:sz w:val="20"/>
          <w:szCs w:val="20"/>
        </w:rPr>
        <w:t>“A través del SAIMEX.”</w:t>
      </w:r>
    </w:p>
    <w:p w14:paraId="514053E5" w14:textId="77777777" w:rsidR="00C852C8" w:rsidRDefault="00C852C8" w:rsidP="00591A5E">
      <w:pPr>
        <w:tabs>
          <w:tab w:val="left" w:pos="4667"/>
        </w:tabs>
        <w:spacing w:after="0" w:line="360" w:lineRule="auto"/>
        <w:ind w:right="709"/>
        <w:rPr>
          <w:i/>
        </w:rPr>
      </w:pPr>
    </w:p>
    <w:p w14:paraId="2BDF4E36" w14:textId="77777777" w:rsidR="00C852C8" w:rsidRDefault="008C4FC6" w:rsidP="00591A5E">
      <w:pPr>
        <w:pStyle w:val="Ttulo2"/>
        <w:spacing w:before="0" w:after="0"/>
      </w:pPr>
      <w:bookmarkStart w:id="4" w:name="_Toc206086480"/>
      <w:r>
        <w:t>II. Respuesta del Sujeto Obligado</w:t>
      </w:r>
      <w:bookmarkEnd w:id="4"/>
    </w:p>
    <w:p w14:paraId="30C8352D" w14:textId="77777777" w:rsidR="00C852C8" w:rsidRDefault="00C852C8" w:rsidP="00591A5E">
      <w:pPr>
        <w:spacing w:after="0" w:line="360" w:lineRule="auto"/>
      </w:pPr>
    </w:p>
    <w:p w14:paraId="0BACC4BC" w14:textId="77777777" w:rsidR="00C852C8" w:rsidRDefault="008C4FC6" w:rsidP="00591A5E">
      <w:pPr>
        <w:spacing w:after="0" w:line="360" w:lineRule="auto"/>
      </w:pPr>
      <w:r>
        <w:t>El trece de mayo de dos mil veinticinco, el Sujeto Obligado a través de SAIMEX, dio respuesta en los siguientes términos:</w:t>
      </w:r>
    </w:p>
    <w:p w14:paraId="34835CAB" w14:textId="77777777" w:rsidR="00591A5E" w:rsidRDefault="00591A5E" w:rsidP="00591A5E">
      <w:pPr>
        <w:spacing w:after="0" w:line="360" w:lineRule="auto"/>
      </w:pPr>
    </w:p>
    <w:p w14:paraId="7E041B69" w14:textId="77777777" w:rsidR="00C852C8" w:rsidRDefault="008C4FC6" w:rsidP="00591A5E">
      <w:pPr>
        <w:numPr>
          <w:ilvl w:val="0"/>
          <w:numId w:val="1"/>
        </w:numPr>
        <w:pBdr>
          <w:top w:val="nil"/>
          <w:left w:val="nil"/>
          <w:bottom w:val="nil"/>
          <w:right w:val="nil"/>
          <w:between w:val="nil"/>
        </w:pBdr>
        <w:spacing w:after="0" w:line="360" w:lineRule="auto"/>
        <w:rPr>
          <w:color w:val="000000"/>
        </w:rPr>
      </w:pPr>
      <w:r>
        <w:rPr>
          <w:b/>
          <w:i/>
          <w:color w:val="000000"/>
        </w:rPr>
        <w:t>SAIMEX 00009 2025.PDF</w:t>
      </w:r>
      <w:r>
        <w:rPr>
          <w:color w:val="000000"/>
        </w:rPr>
        <w:t xml:space="preserve">; del que se advierte un oficio suscrito por el Tesorero Municipal, en el que señala que, en atención a la solicitud, remite la nómina de marzo de 2025 en Excel. </w:t>
      </w:r>
    </w:p>
    <w:p w14:paraId="7E9C9768" w14:textId="77777777" w:rsidR="00C852C8" w:rsidRDefault="008C4FC6" w:rsidP="00591A5E">
      <w:pPr>
        <w:numPr>
          <w:ilvl w:val="0"/>
          <w:numId w:val="1"/>
        </w:numPr>
        <w:pBdr>
          <w:top w:val="nil"/>
          <w:left w:val="nil"/>
          <w:bottom w:val="nil"/>
          <w:right w:val="nil"/>
          <w:between w:val="nil"/>
        </w:pBdr>
        <w:spacing w:after="0" w:line="360" w:lineRule="auto"/>
        <w:rPr>
          <w:color w:val="000000"/>
        </w:rPr>
      </w:pPr>
      <w:r>
        <w:rPr>
          <w:b/>
          <w:i/>
          <w:color w:val="000000"/>
        </w:rPr>
        <w:t>Respuesta UT 00009.pdf</w:t>
      </w:r>
      <w:r>
        <w:rPr>
          <w:color w:val="000000"/>
        </w:rPr>
        <w:t xml:space="preserve">; del que se desprende un oficio suscrito por el Coordinador de la UTAIPMT y Gobierno digital en el que remitió la respuesta proporcionada por la Tesorería Municipal. </w:t>
      </w:r>
    </w:p>
    <w:p w14:paraId="5869722E" w14:textId="77777777" w:rsidR="00C852C8" w:rsidRDefault="008C4FC6" w:rsidP="00591A5E">
      <w:pPr>
        <w:numPr>
          <w:ilvl w:val="0"/>
          <w:numId w:val="1"/>
        </w:numPr>
        <w:pBdr>
          <w:top w:val="nil"/>
          <w:left w:val="nil"/>
          <w:bottom w:val="nil"/>
          <w:right w:val="nil"/>
          <w:between w:val="nil"/>
        </w:pBdr>
        <w:spacing w:after="0" w:line="360" w:lineRule="auto"/>
        <w:rPr>
          <w:color w:val="000000"/>
        </w:rPr>
      </w:pPr>
      <w:r>
        <w:rPr>
          <w:b/>
          <w:i/>
          <w:color w:val="000000"/>
        </w:rPr>
        <w:t>NOMINA MARZO 2025.xlsx</w:t>
      </w:r>
      <w:r>
        <w:rPr>
          <w:color w:val="000000"/>
        </w:rPr>
        <w:t xml:space="preserve">; del que se advierte una hoja de cálculo en formato editable, en el que se enlistan 72 nombres y sueldos netos. </w:t>
      </w:r>
    </w:p>
    <w:p w14:paraId="604E4339" w14:textId="77777777" w:rsidR="00C852C8" w:rsidRDefault="00C852C8" w:rsidP="00591A5E">
      <w:pPr>
        <w:spacing w:after="0" w:line="360" w:lineRule="auto"/>
      </w:pPr>
    </w:p>
    <w:p w14:paraId="3575CCDB" w14:textId="77777777" w:rsidR="00C852C8" w:rsidRDefault="008C4FC6" w:rsidP="00591A5E">
      <w:pPr>
        <w:pStyle w:val="Ttulo2"/>
        <w:spacing w:before="0" w:after="0"/>
      </w:pPr>
      <w:bookmarkStart w:id="5" w:name="_Toc206086481"/>
      <w:r>
        <w:t>III. Interposición del Recurso de Revisión</w:t>
      </w:r>
      <w:bookmarkEnd w:id="5"/>
    </w:p>
    <w:p w14:paraId="0340BDA9" w14:textId="77777777" w:rsidR="00C852C8" w:rsidRDefault="00C852C8" w:rsidP="00591A5E">
      <w:pPr>
        <w:spacing w:after="0" w:line="360" w:lineRule="auto"/>
        <w:rPr>
          <w:b/>
        </w:rPr>
      </w:pPr>
    </w:p>
    <w:p w14:paraId="65B8B689" w14:textId="0F6199CA" w:rsidR="00C852C8" w:rsidRDefault="008C4FC6" w:rsidP="00591A5E">
      <w:pPr>
        <w:spacing w:after="0" w:line="360" w:lineRule="auto"/>
      </w:pPr>
      <w:bookmarkStart w:id="6" w:name="_heading=h.2et92p0" w:colFirst="0" w:colLast="0"/>
      <w:bookmarkEnd w:id="6"/>
      <w:r>
        <w:t xml:space="preserve">Con fecha </w:t>
      </w:r>
      <w:r w:rsidR="00FC0B1E">
        <w:t>veinticuatro</w:t>
      </w:r>
      <w:r>
        <w:t xml:space="preserve"> de mayo de dos mil veinticinco, se recibió a través del SAIMEX, el Recurso de Revisión interpuesto por la persona Recurrente,</w:t>
      </w:r>
      <w:r w:rsidR="00FC0B1E">
        <w:t xml:space="preserve"> el cual se radicó el veintiséis del mismo mes y año, al tratarse del día siguiente hábil de conformidad con el calendario que para tales efectos emite el presente Organismo Garante,</w:t>
      </w:r>
      <w:r>
        <w:t xml:space="preserve"> en los siguientes términos:</w:t>
      </w:r>
    </w:p>
    <w:p w14:paraId="7A3FA42C" w14:textId="77777777" w:rsidR="00C852C8" w:rsidRDefault="00C852C8" w:rsidP="00591A5E">
      <w:pPr>
        <w:spacing w:after="0" w:line="360" w:lineRule="auto"/>
      </w:pPr>
    </w:p>
    <w:p w14:paraId="768A2D3C" w14:textId="77777777" w:rsidR="00C852C8" w:rsidRDefault="008C4FC6" w:rsidP="00591A5E">
      <w:pPr>
        <w:spacing w:after="0" w:line="360" w:lineRule="auto"/>
        <w:ind w:left="567" w:right="709"/>
        <w:rPr>
          <w:b/>
          <w:sz w:val="20"/>
          <w:szCs w:val="20"/>
        </w:rPr>
      </w:pPr>
      <w:r>
        <w:rPr>
          <w:b/>
          <w:sz w:val="20"/>
          <w:szCs w:val="20"/>
        </w:rPr>
        <w:t>ACTO IMPUGNADO</w:t>
      </w:r>
      <w:r>
        <w:rPr>
          <w:b/>
          <w:sz w:val="20"/>
          <w:szCs w:val="20"/>
        </w:rPr>
        <w:tab/>
      </w:r>
    </w:p>
    <w:p w14:paraId="2DF63D60" w14:textId="77777777" w:rsidR="00C852C8" w:rsidRDefault="008C4FC6" w:rsidP="00591A5E">
      <w:pPr>
        <w:spacing w:after="0" w:line="360" w:lineRule="auto"/>
        <w:ind w:left="567" w:right="709"/>
        <w:rPr>
          <w:b/>
          <w:sz w:val="20"/>
          <w:szCs w:val="20"/>
        </w:rPr>
      </w:pPr>
      <w:r>
        <w:rPr>
          <w:i/>
          <w:sz w:val="20"/>
          <w:szCs w:val="20"/>
        </w:rPr>
        <w:t>“solo tienen 72 trabajadores???” (Sic.)</w:t>
      </w:r>
    </w:p>
    <w:p w14:paraId="5A9D58FA" w14:textId="77777777" w:rsidR="00C852C8" w:rsidRDefault="00C852C8" w:rsidP="00591A5E">
      <w:pPr>
        <w:spacing w:after="0" w:line="360" w:lineRule="auto"/>
        <w:ind w:left="567" w:right="709"/>
        <w:rPr>
          <w:sz w:val="20"/>
          <w:szCs w:val="20"/>
        </w:rPr>
      </w:pPr>
    </w:p>
    <w:p w14:paraId="616B4523" w14:textId="77777777" w:rsidR="00C852C8" w:rsidRDefault="008C4FC6" w:rsidP="00591A5E">
      <w:pPr>
        <w:spacing w:after="0" w:line="360" w:lineRule="auto"/>
        <w:ind w:left="567" w:right="709"/>
        <w:rPr>
          <w:b/>
          <w:sz w:val="20"/>
          <w:szCs w:val="20"/>
        </w:rPr>
      </w:pPr>
      <w:r>
        <w:rPr>
          <w:b/>
          <w:sz w:val="20"/>
          <w:szCs w:val="20"/>
        </w:rPr>
        <w:t>RAZONES O MOTIVOS DE LA INCONFORMIDAD</w:t>
      </w:r>
      <w:r>
        <w:rPr>
          <w:b/>
          <w:sz w:val="20"/>
          <w:szCs w:val="20"/>
        </w:rPr>
        <w:tab/>
      </w:r>
    </w:p>
    <w:p w14:paraId="6B483324" w14:textId="77777777" w:rsidR="00C852C8" w:rsidRDefault="008C4FC6" w:rsidP="00591A5E">
      <w:pPr>
        <w:tabs>
          <w:tab w:val="left" w:pos="4667"/>
        </w:tabs>
        <w:spacing w:after="0" w:line="360" w:lineRule="auto"/>
        <w:ind w:left="567" w:right="709"/>
        <w:rPr>
          <w:i/>
          <w:sz w:val="20"/>
          <w:szCs w:val="20"/>
        </w:rPr>
      </w:pPr>
      <w:r>
        <w:rPr>
          <w:i/>
          <w:sz w:val="20"/>
          <w:szCs w:val="20"/>
        </w:rPr>
        <w:lastRenderedPageBreak/>
        <w:t xml:space="preserve">“creo que no </w:t>
      </w:r>
      <w:proofErr w:type="spellStart"/>
      <w:r>
        <w:rPr>
          <w:i/>
          <w:sz w:val="20"/>
          <w:szCs w:val="20"/>
        </w:rPr>
        <w:t>esta</w:t>
      </w:r>
      <w:proofErr w:type="spellEnd"/>
      <w:r>
        <w:rPr>
          <w:i/>
          <w:sz w:val="20"/>
          <w:szCs w:val="20"/>
        </w:rPr>
        <w:t xml:space="preserve"> completa la </w:t>
      </w:r>
      <w:proofErr w:type="spellStart"/>
      <w:r>
        <w:rPr>
          <w:i/>
          <w:sz w:val="20"/>
          <w:szCs w:val="20"/>
        </w:rPr>
        <w:t>informacion</w:t>
      </w:r>
      <w:proofErr w:type="spellEnd"/>
      <w:r>
        <w:rPr>
          <w:i/>
          <w:sz w:val="20"/>
          <w:szCs w:val="20"/>
        </w:rPr>
        <w:t xml:space="preserve"> solicitada, con solo 72 trabajadores laboran ???” (Sic.)</w:t>
      </w:r>
    </w:p>
    <w:p w14:paraId="4BDEEDB4" w14:textId="77777777" w:rsidR="00C852C8" w:rsidRDefault="00C852C8" w:rsidP="00591A5E">
      <w:pPr>
        <w:tabs>
          <w:tab w:val="left" w:pos="4667"/>
        </w:tabs>
        <w:spacing w:after="0" w:line="360" w:lineRule="auto"/>
      </w:pPr>
    </w:p>
    <w:p w14:paraId="4251F585" w14:textId="77777777" w:rsidR="00C852C8" w:rsidRDefault="008C4FC6" w:rsidP="00591A5E">
      <w:pPr>
        <w:pStyle w:val="Ttulo2"/>
        <w:spacing w:before="0" w:after="0"/>
      </w:pPr>
      <w:bookmarkStart w:id="7" w:name="_Toc206086482"/>
      <w:r>
        <w:t>IV. Trámite del Recurso de Revisión ante este Instituto</w:t>
      </w:r>
      <w:bookmarkEnd w:id="7"/>
    </w:p>
    <w:p w14:paraId="5D44D511" w14:textId="77777777" w:rsidR="00C852C8" w:rsidRDefault="00C852C8" w:rsidP="00591A5E">
      <w:pPr>
        <w:spacing w:after="0" w:line="360" w:lineRule="auto"/>
        <w:rPr>
          <w:b/>
        </w:rPr>
      </w:pPr>
    </w:p>
    <w:p w14:paraId="34AEE0A4" w14:textId="77777777" w:rsidR="00C852C8" w:rsidRDefault="008C4FC6" w:rsidP="00591A5E">
      <w:pPr>
        <w:spacing w:after="0" w:line="360" w:lineRule="auto"/>
      </w:pPr>
      <w:r>
        <w:rPr>
          <w:b/>
        </w:rPr>
        <w:t>a) Turno del Medio de Impugnación.</w:t>
      </w:r>
      <w:r>
        <w:t xml:space="preserve"> El veinticuatro de mayo de dos mil veinticinco, el SAIMEX, asignó el número de expediente</w:t>
      </w:r>
      <w:r>
        <w:rPr>
          <w:b/>
        </w:rPr>
        <w:t xml:space="preserve"> 05901/INFOEM/IP/RR/2025, </w:t>
      </w:r>
      <w: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33ECC9E6" w14:textId="77777777" w:rsidR="00C852C8" w:rsidRDefault="00C852C8" w:rsidP="00591A5E">
      <w:pPr>
        <w:spacing w:after="0" w:line="360" w:lineRule="auto"/>
      </w:pPr>
    </w:p>
    <w:p w14:paraId="1E0A39A0" w14:textId="77777777" w:rsidR="00C852C8" w:rsidRDefault="008C4FC6" w:rsidP="00591A5E">
      <w:pPr>
        <w:spacing w:after="0" w:line="360" w:lineRule="auto"/>
      </w:pPr>
      <w:r>
        <w:rPr>
          <w:b/>
        </w:rPr>
        <w:t>b) Admisión del Recurso de Revisión.</w:t>
      </w:r>
      <w:r>
        <w:t xml:space="preserve"> El tres de junio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la cual fue notificada a las partes en la misma fecha través del SAIMEX, en el que se les otorgó un plazo de siete días hábiles posteriores a la misma, para que manifestara lo que a su derecho conviniera y formularán alegatos.</w:t>
      </w:r>
    </w:p>
    <w:p w14:paraId="09516407" w14:textId="77777777" w:rsidR="00C852C8" w:rsidRDefault="00C852C8" w:rsidP="00591A5E">
      <w:pPr>
        <w:spacing w:after="0" w:line="360" w:lineRule="auto"/>
      </w:pPr>
    </w:p>
    <w:p w14:paraId="12771D2A" w14:textId="77777777" w:rsidR="00C852C8" w:rsidRDefault="008C4FC6" w:rsidP="00591A5E">
      <w:pPr>
        <w:spacing w:after="0" w:line="360" w:lineRule="auto"/>
      </w:pPr>
      <w:r>
        <w:rPr>
          <w:b/>
        </w:rPr>
        <w:t xml:space="preserve">c) Informe Justificado. </w:t>
      </w:r>
      <w:r>
        <w:t>En fecha doce de junio de dos mil veinticinco, el Sujeto Obligado rindió informe justificado a través de SAIMEX, en los siguientes términos:</w:t>
      </w:r>
    </w:p>
    <w:p w14:paraId="7EA685B5" w14:textId="77777777" w:rsidR="00C852C8" w:rsidRDefault="00C852C8" w:rsidP="00591A5E">
      <w:pPr>
        <w:spacing w:after="0" w:line="360" w:lineRule="auto"/>
      </w:pPr>
    </w:p>
    <w:p w14:paraId="55646C76" w14:textId="77777777" w:rsidR="00C852C8" w:rsidRDefault="008C4FC6" w:rsidP="00591A5E">
      <w:pPr>
        <w:numPr>
          <w:ilvl w:val="0"/>
          <w:numId w:val="2"/>
        </w:numPr>
        <w:pBdr>
          <w:top w:val="nil"/>
          <w:left w:val="nil"/>
          <w:bottom w:val="nil"/>
          <w:right w:val="nil"/>
          <w:between w:val="nil"/>
        </w:pBdr>
        <w:spacing w:after="0" w:line="360" w:lineRule="auto"/>
        <w:rPr>
          <w:color w:val="000000"/>
        </w:rPr>
      </w:pPr>
      <w:r>
        <w:rPr>
          <w:b/>
          <w:i/>
          <w:color w:val="000000"/>
        </w:rPr>
        <w:t>Oficio Respuesta Tesorería.PDF</w:t>
      </w:r>
      <w:r>
        <w:rPr>
          <w:color w:val="000000"/>
        </w:rPr>
        <w:t xml:space="preserve">; del que se desprende un oficio suscrito por el Tesorero Municipal en el que ratificó la respuesta inicial y señaló que por una cuestión informática en el archivo Excel, la información no se reflejó en su totalidad el número de trabajadores acorde al archivo de la </w:t>
      </w:r>
      <w:r>
        <w:t>nómina</w:t>
      </w:r>
      <w:r>
        <w:rPr>
          <w:color w:val="000000"/>
        </w:rPr>
        <w:t xml:space="preserve"> que se generó, por lo que, dijo remitir en formato Excel el archivo correcto. </w:t>
      </w:r>
    </w:p>
    <w:p w14:paraId="08A1C084" w14:textId="77777777" w:rsidR="00C852C8" w:rsidRDefault="00C852C8" w:rsidP="00591A5E">
      <w:pPr>
        <w:pBdr>
          <w:top w:val="nil"/>
          <w:left w:val="nil"/>
          <w:bottom w:val="nil"/>
          <w:right w:val="nil"/>
          <w:between w:val="nil"/>
        </w:pBdr>
        <w:spacing w:after="0" w:line="360" w:lineRule="auto"/>
        <w:ind w:left="720"/>
        <w:rPr>
          <w:color w:val="000000"/>
        </w:rPr>
      </w:pPr>
    </w:p>
    <w:p w14:paraId="40632CAB" w14:textId="77777777" w:rsidR="00C852C8" w:rsidRDefault="008C4FC6" w:rsidP="00591A5E">
      <w:pPr>
        <w:numPr>
          <w:ilvl w:val="0"/>
          <w:numId w:val="2"/>
        </w:numPr>
        <w:pBdr>
          <w:top w:val="nil"/>
          <w:left w:val="nil"/>
          <w:bottom w:val="nil"/>
          <w:right w:val="nil"/>
          <w:between w:val="nil"/>
        </w:pBdr>
        <w:spacing w:after="0" w:line="360" w:lineRule="auto"/>
        <w:rPr>
          <w:color w:val="000000"/>
        </w:rPr>
      </w:pPr>
      <w:r>
        <w:rPr>
          <w:b/>
          <w:i/>
          <w:color w:val="000000"/>
        </w:rPr>
        <w:t>Nomina marzo 2025.xlsx;</w:t>
      </w:r>
      <w:r>
        <w:rPr>
          <w:color w:val="000000"/>
        </w:rPr>
        <w:t xml:space="preserve"> del que se advierte una hoja de cálculo en formato editable, en el que se enlistan 131 nombres y sueldos netos.</w:t>
      </w:r>
    </w:p>
    <w:p w14:paraId="37B5761C" w14:textId="77777777" w:rsidR="00C852C8" w:rsidRDefault="00C852C8" w:rsidP="00591A5E">
      <w:pPr>
        <w:spacing w:after="0" w:line="360" w:lineRule="auto"/>
      </w:pPr>
    </w:p>
    <w:p w14:paraId="4780EFC8" w14:textId="77777777" w:rsidR="00C852C8" w:rsidRDefault="008C4FC6" w:rsidP="00591A5E">
      <w:pPr>
        <w:spacing w:after="0" w:line="360" w:lineRule="auto"/>
      </w:pPr>
      <w:r>
        <w:rPr>
          <w:b/>
        </w:rPr>
        <w:t>d) Vista del Informe Justificado.</w:t>
      </w:r>
      <w:r>
        <w:t xml:space="preserve"> El seis de agosto de dos mil veinticinco, se dictó acuerdo por medio del cual se puso a la vista de la persona Recurrente el informe justificado entregado por el Sujeto Obligado, únicamente por cuanto hace al archivo </w:t>
      </w:r>
      <w:r>
        <w:rPr>
          <w:b/>
          <w:i/>
        </w:rPr>
        <w:t>Oficio Respuesta Tesorería.PDF</w:t>
      </w:r>
      <w:r>
        <w:t xml:space="preserve"> el cual fue notificado a las partes, el mismo día, a través del SAIMEX.</w:t>
      </w:r>
    </w:p>
    <w:p w14:paraId="387B9CCE" w14:textId="77777777" w:rsidR="00C852C8" w:rsidRDefault="00C852C8" w:rsidP="00591A5E">
      <w:pPr>
        <w:spacing w:after="0" w:line="360" w:lineRule="auto"/>
      </w:pPr>
    </w:p>
    <w:p w14:paraId="793B59CF" w14:textId="77777777" w:rsidR="00C852C8" w:rsidRDefault="008C4FC6" w:rsidP="00591A5E">
      <w:pPr>
        <w:spacing w:after="0" w:line="360" w:lineRule="auto"/>
      </w:pPr>
      <w:r>
        <w:t xml:space="preserve">Cabe precisar que el archivo </w:t>
      </w:r>
      <w:r>
        <w:rPr>
          <w:b/>
          <w:i/>
        </w:rPr>
        <w:t xml:space="preserve">Nomina marzo 2025.xlsx </w:t>
      </w:r>
      <w:r>
        <w:t xml:space="preserve">no se puso a la vista de la parte Recurrente puesto que se desconoce si alguna persona servidora pública realiza funciones de elementos operativos de policía.  </w:t>
      </w:r>
    </w:p>
    <w:p w14:paraId="74F14545" w14:textId="77777777" w:rsidR="00C852C8" w:rsidRDefault="00C852C8" w:rsidP="00591A5E">
      <w:pPr>
        <w:spacing w:after="0" w:line="360" w:lineRule="auto"/>
        <w:rPr>
          <w:b/>
        </w:rPr>
      </w:pPr>
    </w:p>
    <w:p w14:paraId="66FB57A2" w14:textId="77777777" w:rsidR="00C852C8" w:rsidRDefault="008C4FC6" w:rsidP="00591A5E">
      <w:pPr>
        <w:spacing w:after="0" w:line="360" w:lineRule="auto"/>
      </w:pPr>
      <w:r>
        <w:rPr>
          <w:b/>
        </w:rPr>
        <w:t xml:space="preserve">e) Manifestaciones de la parte Recurrente. </w:t>
      </w:r>
      <w:r>
        <w:t xml:space="preserve">De las constancias que obran en el SAIMEX, se advierte que la parte Recurrente no añadió manifestaciones. </w:t>
      </w:r>
    </w:p>
    <w:p w14:paraId="535DCD86" w14:textId="77777777" w:rsidR="00C852C8" w:rsidRDefault="00C852C8" w:rsidP="00591A5E">
      <w:pPr>
        <w:spacing w:after="0" w:line="360" w:lineRule="auto"/>
      </w:pPr>
    </w:p>
    <w:p w14:paraId="50A26831" w14:textId="77777777" w:rsidR="00C852C8" w:rsidRDefault="008C4FC6" w:rsidP="00591A5E">
      <w:pPr>
        <w:spacing w:after="0" w:line="360" w:lineRule="auto"/>
      </w:pPr>
      <w:r>
        <w:rPr>
          <w:b/>
        </w:rPr>
        <w:t>f)</w:t>
      </w:r>
      <w:r>
        <w:t xml:space="preserve"> </w:t>
      </w:r>
      <w:r>
        <w:rPr>
          <w:b/>
        </w:rPr>
        <w:t>Ampliación de plazo para resolver</w:t>
      </w:r>
      <w:r>
        <w:t>. El siete de agosto de dos mil veinticinco, el Comisionado Ponente, con fundamento en lo dispuesto por el artículo 181, párrafo tercero, de la Ley de Transparencia y Acceso a la Información Pública del Estado de México y Municipios, acordó ampliar por un periodo de quince días, el plazo para resolver el Recurso de Revisión que nos ocupa; acto que fue notificado a las partes el mismo día mediante el SAIMEX.</w:t>
      </w:r>
    </w:p>
    <w:p w14:paraId="018409D4" w14:textId="77777777" w:rsidR="00C852C8" w:rsidRDefault="00C852C8" w:rsidP="00591A5E">
      <w:pPr>
        <w:spacing w:after="0" w:line="360" w:lineRule="auto"/>
      </w:pPr>
    </w:p>
    <w:p w14:paraId="4179BE51" w14:textId="77777777" w:rsidR="00C852C8" w:rsidRDefault="008C4FC6" w:rsidP="00591A5E">
      <w:pPr>
        <w:spacing w:after="0" w:line="360" w:lineRule="auto"/>
      </w:pPr>
      <w:r>
        <w:rPr>
          <w:b/>
        </w:rPr>
        <w:t>g) Cierre de instrucción.</w:t>
      </w:r>
      <w:r>
        <w:t xml:space="preserve"> El doce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lastRenderedPageBreak/>
        <w:t>Pública del Estado de México y Municipios, acto que fue notificado a las partes en la misma fecha, mediante el SAIMEX.</w:t>
      </w:r>
    </w:p>
    <w:p w14:paraId="22B18849" w14:textId="77777777" w:rsidR="00FC0B1E" w:rsidRDefault="00FC0B1E" w:rsidP="00591A5E">
      <w:pPr>
        <w:spacing w:after="0" w:line="360" w:lineRule="auto"/>
      </w:pPr>
    </w:p>
    <w:p w14:paraId="3358F311" w14:textId="77777777" w:rsidR="00C852C8" w:rsidRDefault="008C4FC6" w:rsidP="00591A5E">
      <w:pPr>
        <w:spacing w:after="0" w:line="360" w:lineRule="auto"/>
      </w:pPr>
      <w:proofErr w:type="gramStart"/>
      <w:r>
        <w:t>En razón de</w:t>
      </w:r>
      <w:proofErr w:type="gramEnd"/>
      <w:r>
        <w:t xml:space="preserve"> que fue debidamente sustanciado e integrado el expediente electrónico y no existir diligencia pendiente de desahogo, se emite la resolución que conforme a Derecho proceda, </w:t>
      </w:r>
      <w:proofErr w:type="gramStart"/>
      <w:r>
        <w:t>de acuerdo a</w:t>
      </w:r>
      <w:proofErr w:type="gramEnd"/>
      <w:r>
        <w:t xml:space="preserve"> los siguientes: </w:t>
      </w:r>
    </w:p>
    <w:p w14:paraId="76719D94" w14:textId="77777777" w:rsidR="00C852C8" w:rsidRDefault="00C852C8" w:rsidP="00591A5E">
      <w:pPr>
        <w:spacing w:after="0" w:line="360" w:lineRule="auto"/>
      </w:pPr>
    </w:p>
    <w:p w14:paraId="7FB71EC3" w14:textId="77777777" w:rsidR="00C852C8" w:rsidRDefault="008C4FC6" w:rsidP="00591A5E">
      <w:pPr>
        <w:pStyle w:val="Ttulo1"/>
        <w:spacing w:before="0" w:after="0"/>
        <w:rPr>
          <w:sz w:val="22"/>
          <w:szCs w:val="22"/>
        </w:rPr>
      </w:pPr>
      <w:bookmarkStart w:id="8" w:name="_Toc206086483"/>
      <w:r>
        <w:rPr>
          <w:sz w:val="22"/>
          <w:szCs w:val="22"/>
        </w:rPr>
        <w:t>C O N S I D E R A N D O S</w:t>
      </w:r>
      <w:bookmarkEnd w:id="8"/>
    </w:p>
    <w:p w14:paraId="2F24238A" w14:textId="77777777" w:rsidR="00C852C8" w:rsidRDefault="00C852C8" w:rsidP="00591A5E">
      <w:pPr>
        <w:spacing w:after="0" w:line="360" w:lineRule="auto"/>
        <w:rPr>
          <w:b/>
        </w:rPr>
      </w:pPr>
    </w:p>
    <w:p w14:paraId="187432FC" w14:textId="77777777" w:rsidR="00C852C8" w:rsidRDefault="008C4FC6" w:rsidP="00591A5E">
      <w:pPr>
        <w:pStyle w:val="Ttulo2"/>
        <w:spacing w:before="0" w:after="0"/>
      </w:pPr>
      <w:bookmarkStart w:id="9" w:name="_Toc206086484"/>
      <w:r>
        <w:t>PRIMERO. Competencia</w:t>
      </w:r>
      <w:bookmarkEnd w:id="9"/>
    </w:p>
    <w:p w14:paraId="3CD4BCD2" w14:textId="77777777" w:rsidR="00C852C8" w:rsidRDefault="00C852C8" w:rsidP="00591A5E">
      <w:pPr>
        <w:spacing w:after="0" w:line="360" w:lineRule="auto"/>
      </w:pPr>
    </w:p>
    <w:p w14:paraId="252DDE06" w14:textId="5109FBE9" w:rsidR="00C852C8" w:rsidRDefault="00FC0B1E" w:rsidP="00591A5E">
      <w:pPr>
        <w:spacing w:after="0" w:line="360" w:lineRule="auto"/>
      </w:pPr>
      <w:r w:rsidRPr="00FC0B1E">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8127E12" w14:textId="77777777" w:rsidR="00FC0B1E" w:rsidRDefault="00FC0B1E" w:rsidP="00591A5E">
      <w:pPr>
        <w:spacing w:after="0" w:line="360" w:lineRule="auto"/>
      </w:pPr>
    </w:p>
    <w:p w14:paraId="6BAB4BF1" w14:textId="77777777" w:rsidR="00C852C8" w:rsidRDefault="008C4FC6" w:rsidP="00591A5E">
      <w:pPr>
        <w:pStyle w:val="Ttulo2"/>
        <w:spacing w:before="0" w:after="0"/>
      </w:pPr>
      <w:bookmarkStart w:id="10" w:name="_Toc206086485"/>
      <w:r>
        <w:t>SEGUNDO. Causales de improcedencia y sobreseimiento</w:t>
      </w:r>
      <w:bookmarkEnd w:id="10"/>
    </w:p>
    <w:p w14:paraId="258D4C7F" w14:textId="77777777" w:rsidR="00C852C8" w:rsidRDefault="00C852C8" w:rsidP="00591A5E">
      <w:pPr>
        <w:spacing w:after="0" w:line="360" w:lineRule="auto"/>
      </w:pPr>
    </w:p>
    <w:p w14:paraId="38BC6600" w14:textId="77777777" w:rsidR="00C852C8" w:rsidRDefault="008C4FC6" w:rsidP="00591A5E">
      <w:pPr>
        <w:spacing w:after="0" w:line="360" w:lineRule="auto"/>
      </w:pPr>
      <w:r>
        <w:t xml:space="preserve">De las constancias que forman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2EA1DAE1" w14:textId="77777777" w:rsidR="00C852C8" w:rsidRDefault="00C852C8" w:rsidP="00591A5E">
      <w:pPr>
        <w:spacing w:after="0" w:line="360" w:lineRule="auto"/>
      </w:pPr>
    </w:p>
    <w:p w14:paraId="1256AB27" w14:textId="77777777" w:rsidR="00C852C8" w:rsidRDefault="008C4FC6" w:rsidP="00591A5E">
      <w:pPr>
        <w:spacing w:after="0" w:line="360" w:lineRule="auto"/>
        <w:rPr>
          <w:b/>
        </w:rPr>
      </w:pPr>
      <w:r>
        <w:rPr>
          <w:b/>
        </w:rPr>
        <w:lastRenderedPageBreak/>
        <w:t>Causales de improcedencia</w:t>
      </w:r>
    </w:p>
    <w:p w14:paraId="21F0C09A" w14:textId="77777777" w:rsidR="00C852C8" w:rsidRDefault="00C852C8" w:rsidP="00591A5E">
      <w:pPr>
        <w:spacing w:after="0" w:line="360" w:lineRule="auto"/>
      </w:pPr>
    </w:p>
    <w:p w14:paraId="2C1987B9" w14:textId="77777777" w:rsidR="00C852C8" w:rsidRDefault="008C4FC6" w:rsidP="00591A5E">
      <w:pPr>
        <w:spacing w:after="0" w:line="360" w:lineRule="auto"/>
      </w:pPr>
      <w: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Pr>
          <w:b/>
        </w:rPr>
        <w:t xml:space="preserve"> </w:t>
      </w:r>
      <w: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A788B63" w14:textId="77777777" w:rsidR="00C852C8" w:rsidRDefault="00C852C8" w:rsidP="00591A5E">
      <w:pPr>
        <w:spacing w:after="0" w:line="360" w:lineRule="auto"/>
      </w:pPr>
    </w:p>
    <w:p w14:paraId="2D88443C" w14:textId="77777777" w:rsidR="00C852C8" w:rsidRDefault="008C4FC6" w:rsidP="00591A5E">
      <w:pPr>
        <w:spacing w:after="0" w:line="360" w:lineRule="auto"/>
      </w:pPr>
      <w:r>
        <w:t xml:space="preserve">En el presente caso, </w:t>
      </w:r>
      <w:r>
        <w:rPr>
          <w:b/>
        </w:rPr>
        <w:t>no se actualiza ninguna de las causales de improcedencia</w:t>
      </w:r>
      <w: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5FAE8185" w14:textId="77777777" w:rsidR="00C852C8" w:rsidRDefault="00C852C8" w:rsidP="00591A5E">
      <w:pPr>
        <w:spacing w:after="0" w:line="360" w:lineRule="auto"/>
        <w:rPr>
          <w:b/>
        </w:rPr>
      </w:pPr>
    </w:p>
    <w:p w14:paraId="44ABAF59" w14:textId="77777777" w:rsidR="00C852C8" w:rsidRDefault="008C4FC6" w:rsidP="00591A5E">
      <w:pPr>
        <w:spacing w:after="0" w:line="360" w:lineRule="auto"/>
        <w:ind w:right="-28"/>
        <w:rPr>
          <w:b/>
        </w:rPr>
      </w:pPr>
      <w:r>
        <w:rPr>
          <w:b/>
        </w:rPr>
        <w:t>Causales de sobreseimiento</w:t>
      </w:r>
    </w:p>
    <w:p w14:paraId="0972AF9E" w14:textId="77777777" w:rsidR="00C852C8" w:rsidRDefault="00C852C8" w:rsidP="00591A5E">
      <w:pPr>
        <w:spacing w:after="0" w:line="360" w:lineRule="auto"/>
        <w:ind w:right="-28"/>
      </w:pPr>
    </w:p>
    <w:p w14:paraId="0FC8026A" w14:textId="77777777" w:rsidR="00C852C8" w:rsidRDefault="008C4FC6" w:rsidP="00591A5E">
      <w:pPr>
        <w:spacing w:after="0" w:line="360" w:lineRule="auto"/>
      </w:pPr>
      <w: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Pr>
          <w:b/>
        </w:rPr>
        <w:t xml:space="preserve"> </w:t>
      </w:r>
      <w:r>
        <w:t xml:space="preserve">toda vez que no hay constancias en el expediente en que se actúa, de que la persona Recurrente se haya desistido, fallecido, que el Sujeto Obligado hubiese modificado o revocado el acto impugnado o bien, que admitido una </w:t>
      </w:r>
      <w:r>
        <w:lastRenderedPageBreak/>
        <w:t>vez admitido el Recurso de Revisión, aparezca alguna causal de improcedencia o haya quedado sin materia.</w:t>
      </w:r>
    </w:p>
    <w:p w14:paraId="071150F6" w14:textId="77777777" w:rsidR="00C852C8" w:rsidRDefault="00C852C8" w:rsidP="00591A5E">
      <w:pPr>
        <w:spacing w:after="0" w:line="360" w:lineRule="auto"/>
      </w:pPr>
    </w:p>
    <w:p w14:paraId="3E5BA68A" w14:textId="77777777" w:rsidR="00C852C8" w:rsidRDefault="008C4FC6" w:rsidP="00591A5E">
      <w:pPr>
        <w:pStyle w:val="Ttulo2"/>
        <w:spacing w:before="0" w:after="0"/>
      </w:pPr>
      <w:bookmarkStart w:id="11" w:name="_Toc206086486"/>
      <w:r>
        <w:t>TERCERO. Determinación de la Controversia</w:t>
      </w:r>
      <w:bookmarkEnd w:id="11"/>
    </w:p>
    <w:p w14:paraId="5D10C64F" w14:textId="77777777" w:rsidR="00C852C8" w:rsidRDefault="008C4FC6" w:rsidP="00591A5E">
      <w:pPr>
        <w:tabs>
          <w:tab w:val="left" w:pos="4962"/>
        </w:tabs>
        <w:spacing w:after="0" w:line="360" w:lineRule="auto"/>
      </w:pPr>
      <w:r>
        <w:t>La parte Solicitante requirió lo siguiente:</w:t>
      </w:r>
    </w:p>
    <w:p w14:paraId="6794BE28" w14:textId="77777777" w:rsidR="00C852C8" w:rsidRDefault="00C852C8" w:rsidP="00591A5E">
      <w:pPr>
        <w:tabs>
          <w:tab w:val="left" w:pos="4962"/>
        </w:tabs>
        <w:spacing w:after="0" w:line="360" w:lineRule="auto"/>
      </w:pPr>
    </w:p>
    <w:p w14:paraId="504FEF3A" w14:textId="77777777" w:rsidR="00C852C8" w:rsidRDefault="008C4FC6" w:rsidP="00591A5E">
      <w:pPr>
        <w:tabs>
          <w:tab w:val="left" w:pos="4962"/>
        </w:tabs>
        <w:spacing w:after="0" w:line="360" w:lineRule="auto"/>
      </w:pPr>
      <w:r>
        <w:t>De la segunda quincena de marzo de 2025, en formato Excel que contenga el sueldo neto y nombre completo de las personas servidoras que tengan servicio médico, lo siguiente:</w:t>
      </w:r>
    </w:p>
    <w:p w14:paraId="25997716" w14:textId="77777777" w:rsidR="00C852C8" w:rsidRDefault="00C852C8" w:rsidP="00591A5E">
      <w:pPr>
        <w:tabs>
          <w:tab w:val="left" w:pos="4962"/>
        </w:tabs>
        <w:spacing w:after="0" w:line="360" w:lineRule="auto"/>
      </w:pPr>
    </w:p>
    <w:p w14:paraId="0B7A59DE" w14:textId="77777777" w:rsidR="00C852C8" w:rsidRDefault="008C4FC6" w:rsidP="00591A5E">
      <w:pPr>
        <w:numPr>
          <w:ilvl w:val="0"/>
          <w:numId w:val="3"/>
        </w:numPr>
        <w:pBdr>
          <w:top w:val="nil"/>
          <w:left w:val="nil"/>
          <w:bottom w:val="nil"/>
          <w:right w:val="nil"/>
          <w:between w:val="nil"/>
        </w:pBdr>
        <w:tabs>
          <w:tab w:val="left" w:pos="4962"/>
        </w:tabs>
        <w:spacing w:after="0" w:line="360" w:lineRule="auto"/>
        <w:rPr>
          <w:color w:val="000000"/>
        </w:rPr>
      </w:pPr>
      <w:r>
        <w:t>Nómina</w:t>
      </w:r>
      <w:r>
        <w:rPr>
          <w:color w:val="000000"/>
        </w:rPr>
        <w:t xml:space="preserve"> completa</w:t>
      </w:r>
    </w:p>
    <w:p w14:paraId="6FD64913" w14:textId="77777777" w:rsidR="00C852C8" w:rsidRDefault="008C4FC6" w:rsidP="00591A5E">
      <w:pPr>
        <w:numPr>
          <w:ilvl w:val="0"/>
          <w:numId w:val="3"/>
        </w:numPr>
        <w:pBdr>
          <w:top w:val="nil"/>
          <w:left w:val="nil"/>
          <w:bottom w:val="nil"/>
          <w:right w:val="nil"/>
          <w:between w:val="nil"/>
        </w:pBdr>
        <w:tabs>
          <w:tab w:val="left" w:pos="4962"/>
        </w:tabs>
        <w:spacing w:after="0" w:line="360" w:lineRule="auto"/>
        <w:rPr>
          <w:color w:val="000000"/>
        </w:rPr>
      </w:pPr>
      <w:r>
        <w:rPr>
          <w:color w:val="000000"/>
        </w:rPr>
        <w:t>Nomina eventual o especiales</w:t>
      </w:r>
    </w:p>
    <w:p w14:paraId="0ABE5D49" w14:textId="77777777" w:rsidR="00C852C8" w:rsidRDefault="008C4FC6" w:rsidP="00591A5E">
      <w:pPr>
        <w:numPr>
          <w:ilvl w:val="0"/>
          <w:numId w:val="3"/>
        </w:numPr>
        <w:pBdr>
          <w:top w:val="nil"/>
          <w:left w:val="nil"/>
          <w:bottom w:val="nil"/>
          <w:right w:val="nil"/>
          <w:between w:val="nil"/>
        </w:pBdr>
        <w:tabs>
          <w:tab w:val="left" w:pos="4962"/>
        </w:tabs>
        <w:spacing w:after="0" w:line="360" w:lineRule="auto"/>
        <w:rPr>
          <w:color w:val="000000"/>
        </w:rPr>
      </w:pPr>
      <w:r>
        <w:rPr>
          <w:color w:val="000000"/>
        </w:rPr>
        <w:t xml:space="preserve">Listas de raya  </w:t>
      </w:r>
    </w:p>
    <w:p w14:paraId="440D64E7" w14:textId="77777777" w:rsidR="00C852C8" w:rsidRDefault="00C852C8" w:rsidP="00591A5E">
      <w:pPr>
        <w:tabs>
          <w:tab w:val="left" w:pos="4962"/>
        </w:tabs>
        <w:spacing w:after="0" w:line="360" w:lineRule="auto"/>
      </w:pPr>
    </w:p>
    <w:p w14:paraId="50E4D246" w14:textId="77777777" w:rsidR="00C852C8" w:rsidRDefault="008C4FC6" w:rsidP="00591A5E">
      <w:pPr>
        <w:tabs>
          <w:tab w:val="left" w:pos="4962"/>
        </w:tabs>
        <w:spacing w:after="0" w:line="360" w:lineRule="auto"/>
      </w:pPr>
      <w:r>
        <w:t xml:space="preserve">En respuesta, el Sujeto Obligado a través del Tesorero Municipal remitió un archivo en formato Excel, del que se advierte una hoja de cálculo en formato editable, en el que se enlistan 72 nombres y sueldos netos. Derivado de la respuesta, la parte Recurrente se inconformó al señalar que la información estaba incompleta, dado que solo se entregó de 72 trabajadores. Durante la </w:t>
      </w:r>
    </w:p>
    <w:p w14:paraId="7563B7E5" w14:textId="77777777" w:rsidR="00C852C8" w:rsidRDefault="008C4FC6" w:rsidP="00591A5E">
      <w:pPr>
        <w:tabs>
          <w:tab w:val="left" w:pos="4962"/>
        </w:tabs>
        <w:spacing w:after="0" w:line="360" w:lineRule="auto"/>
      </w:pPr>
      <w:r>
        <w:t xml:space="preserve">sustanciación del Recurso de Revisión, el Sujeto Obligado a través del Tesorero Municipal señaló que por una cuestión informática en el archivo Excel, la información no se reflejó en su totalidad el número de trabajadores acorde al archivo de la nómina que se generó, por lo que, dijo remitir en formato Excel el archivo correcto y entregó una hoja de cálculo en formato editable, en el que se enlistan 131 nombres y sueldos netos, cabe señalar que este último no se puso a la vista de la parte Recurrente dado que no se tiene certeza sobre que algunos de los mencionados sean elementos operativos de seguridad pública. Por su parte, la persona Recurrente no añadió manifestaciones.  </w:t>
      </w:r>
    </w:p>
    <w:p w14:paraId="0D92BEAF" w14:textId="77777777" w:rsidR="00C852C8" w:rsidRDefault="00C852C8" w:rsidP="00591A5E">
      <w:pPr>
        <w:tabs>
          <w:tab w:val="left" w:pos="4962"/>
        </w:tabs>
        <w:spacing w:after="0" w:line="360" w:lineRule="auto"/>
      </w:pPr>
    </w:p>
    <w:p w14:paraId="51AA0807" w14:textId="77777777" w:rsidR="00C852C8" w:rsidRDefault="008C4FC6" w:rsidP="00591A5E">
      <w:pPr>
        <w:tabs>
          <w:tab w:val="left" w:pos="4962"/>
        </w:tabs>
        <w:spacing w:after="0" w:line="360" w:lineRule="auto"/>
      </w:pPr>
      <w:r>
        <w:lastRenderedPageBreak/>
        <w:t>Así pues, de las constancias que integran el expediente, se advierte que en el asunto que nos ocupa se actualiza la causal de procedencia señalada en el artículo 179, fracciones V de la Ley de la materia; por la entrega de información incompleta.</w:t>
      </w:r>
    </w:p>
    <w:p w14:paraId="0302E730" w14:textId="77777777" w:rsidR="00C852C8" w:rsidRDefault="00C852C8" w:rsidP="00591A5E">
      <w:pPr>
        <w:tabs>
          <w:tab w:val="left" w:pos="4962"/>
        </w:tabs>
        <w:spacing w:after="0" w:line="360" w:lineRule="auto"/>
      </w:pPr>
    </w:p>
    <w:p w14:paraId="216BCC78" w14:textId="77777777" w:rsidR="00C852C8" w:rsidRDefault="008C4FC6" w:rsidP="00591A5E">
      <w:pPr>
        <w:tabs>
          <w:tab w:val="left" w:pos="4962"/>
        </w:tabs>
        <w:spacing w:after="0" w:line="360" w:lineRule="auto"/>
      </w:pPr>
      <w: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F8FDBA2" w14:textId="77777777" w:rsidR="00C852C8" w:rsidRDefault="00C852C8" w:rsidP="00591A5E">
      <w:pPr>
        <w:spacing w:after="0" w:line="360" w:lineRule="auto"/>
      </w:pPr>
    </w:p>
    <w:p w14:paraId="0CE99DA3" w14:textId="77777777" w:rsidR="00C852C8" w:rsidRDefault="008C4FC6" w:rsidP="00591A5E">
      <w:pPr>
        <w:pStyle w:val="Ttulo2"/>
        <w:spacing w:before="0" w:after="0"/>
      </w:pPr>
      <w:bookmarkStart w:id="12" w:name="_Toc206086487"/>
      <w:r>
        <w:t>CUARTO. Marco normativo aplicable en materia de transparencia y acceso a la información pública</w:t>
      </w:r>
      <w:bookmarkEnd w:id="12"/>
    </w:p>
    <w:p w14:paraId="79512A23" w14:textId="77777777" w:rsidR="00C852C8" w:rsidRDefault="00C852C8" w:rsidP="00591A5E">
      <w:pPr>
        <w:spacing w:after="0" w:line="360" w:lineRule="auto"/>
      </w:pPr>
    </w:p>
    <w:p w14:paraId="39CA7C33" w14:textId="77777777" w:rsidR="00C852C8" w:rsidRDefault="008C4FC6" w:rsidP="00591A5E">
      <w:pPr>
        <w:spacing w:after="0" w:line="360" w:lineRule="auto"/>
      </w:pPr>
      <w:r>
        <w:t xml:space="preserve">El artículo 6°, Apartado A), fracción I, de la Constitución Política de los Estados Unidos Mexicanos, establece que toda la información en posesión de cualquier </w:t>
      </w:r>
      <w:proofErr w:type="gramStart"/>
      <w:r>
        <w:t>autoridad,</w:t>
      </w:r>
      <w:proofErr w:type="gramEnd"/>
      <w:r>
        <w:t xml:space="preserve"> es pública y sólo podrá ser reservada temporalmente por razones de interés público.</w:t>
      </w:r>
    </w:p>
    <w:p w14:paraId="280B7131" w14:textId="77777777" w:rsidR="00C852C8" w:rsidRDefault="00C852C8" w:rsidP="00591A5E">
      <w:pPr>
        <w:spacing w:after="0" w:line="360" w:lineRule="auto"/>
      </w:pPr>
    </w:p>
    <w:p w14:paraId="5A023546" w14:textId="77777777" w:rsidR="00C852C8" w:rsidRDefault="008C4FC6" w:rsidP="00591A5E">
      <w:pPr>
        <w:spacing w:after="0" w:line="360" w:lineRule="auto"/>
      </w:pPr>
      <w: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1C29B6B" w14:textId="77777777" w:rsidR="00C852C8" w:rsidRDefault="00C852C8" w:rsidP="00591A5E">
      <w:pPr>
        <w:spacing w:after="0" w:line="360" w:lineRule="auto"/>
      </w:pPr>
    </w:p>
    <w:p w14:paraId="41D11B4F" w14:textId="77777777" w:rsidR="00C852C8" w:rsidRDefault="008C4FC6" w:rsidP="00591A5E">
      <w:pPr>
        <w:spacing w:after="0" w:line="360" w:lineRule="auto"/>
      </w:pPr>
      <w:r>
        <w:t>Por su parte, la Ley de Transparencia y Acceso a la Información Pública del Estado de México y Municipios (Reglamentaria del artículo 5° de la Constitución Local), establece lo siguiente:</w:t>
      </w:r>
    </w:p>
    <w:p w14:paraId="0E116B76" w14:textId="77777777" w:rsidR="00C852C8" w:rsidRDefault="00C852C8" w:rsidP="00591A5E">
      <w:pPr>
        <w:spacing w:after="0" w:line="360" w:lineRule="auto"/>
      </w:pPr>
    </w:p>
    <w:p w14:paraId="4D544577" w14:textId="77777777" w:rsidR="00C852C8" w:rsidRDefault="008C4FC6" w:rsidP="00591A5E">
      <w:pPr>
        <w:spacing w:after="0" w:line="360" w:lineRule="auto"/>
      </w:pPr>
      <w:r>
        <w:t>El artículo 12 dice que, quienes generen, recopilen, administren, manejen, procesen, archiven o conserven información pública serán responsables de la misma.</w:t>
      </w:r>
    </w:p>
    <w:p w14:paraId="34F9B787" w14:textId="77777777" w:rsidR="00C852C8" w:rsidRDefault="00C852C8" w:rsidP="00591A5E">
      <w:pPr>
        <w:spacing w:after="0" w:line="360" w:lineRule="auto"/>
      </w:pPr>
    </w:p>
    <w:p w14:paraId="6B0292F4" w14:textId="77777777" w:rsidR="00C852C8" w:rsidRDefault="008C4FC6" w:rsidP="00591A5E">
      <w:pPr>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2BF654EA" w14:textId="77777777" w:rsidR="00C852C8" w:rsidRDefault="008C4FC6" w:rsidP="00591A5E">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245333" w14:textId="77777777" w:rsidR="00C852C8" w:rsidRDefault="00C852C8" w:rsidP="00591A5E">
      <w:pPr>
        <w:pStyle w:val="Ttulo2"/>
        <w:spacing w:before="0" w:after="0"/>
        <w:rPr>
          <w:smallCaps/>
        </w:rPr>
      </w:pPr>
    </w:p>
    <w:p w14:paraId="20989C3A" w14:textId="77777777" w:rsidR="00C852C8" w:rsidRDefault="008C4FC6" w:rsidP="00591A5E">
      <w:pPr>
        <w:pStyle w:val="Ttulo2"/>
        <w:spacing w:before="0" w:after="0"/>
      </w:pPr>
      <w:bookmarkStart w:id="13" w:name="_Toc206086488"/>
      <w:r>
        <w:rPr>
          <w:smallCaps/>
        </w:rPr>
        <w:t>QUINTO.</w:t>
      </w:r>
      <w:r>
        <w:t xml:space="preserve"> Estudio de Fondo</w:t>
      </w:r>
      <w:bookmarkEnd w:id="13"/>
    </w:p>
    <w:p w14:paraId="19AE289A" w14:textId="77777777" w:rsidR="00C852C8" w:rsidRDefault="00C852C8" w:rsidP="00591A5E">
      <w:pPr>
        <w:spacing w:after="0" w:line="360" w:lineRule="auto"/>
      </w:pPr>
    </w:p>
    <w:p w14:paraId="49585304" w14:textId="77777777" w:rsidR="00C852C8" w:rsidRDefault="008C4FC6" w:rsidP="00591A5E">
      <w:pPr>
        <w:spacing w:after="0" w:line="360" w:lineRule="auto"/>
      </w:pPr>
      <w:r>
        <w:t>Una vez expuesto lo anterior, es menester contextualizar la solicitud de información, la cual se relaciona con recibos de nómina.</w:t>
      </w:r>
    </w:p>
    <w:p w14:paraId="5C75ADB2" w14:textId="77777777" w:rsidR="00C852C8" w:rsidRDefault="00C852C8" w:rsidP="00591A5E">
      <w:pPr>
        <w:spacing w:after="0" w:line="360" w:lineRule="auto"/>
      </w:pPr>
    </w:p>
    <w:p w14:paraId="29957F6D" w14:textId="77777777" w:rsidR="00C852C8" w:rsidRDefault="008C4FC6" w:rsidP="00591A5E">
      <w:pPr>
        <w:spacing w:after="0" w:line="360" w:lineRule="auto"/>
        <w:rPr>
          <w:b/>
          <w:color w:val="000000"/>
        </w:rPr>
      </w:pPr>
      <w:r>
        <w:rPr>
          <w:color w:val="000000"/>
        </w:rPr>
        <w:t xml:space="preserve">Al respecto, 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Pr>
          <w:b/>
          <w:color w:val="000000"/>
        </w:rPr>
        <w:t>servidores públicos a todas las personas que desempeñen un empleo, cargo o comisión en los Municipios.</w:t>
      </w:r>
    </w:p>
    <w:p w14:paraId="67463271" w14:textId="77777777" w:rsidR="00C852C8" w:rsidRDefault="00C852C8" w:rsidP="00591A5E">
      <w:pPr>
        <w:spacing w:after="0" w:line="360" w:lineRule="auto"/>
        <w:rPr>
          <w:b/>
          <w:color w:val="FF0000"/>
        </w:rPr>
      </w:pPr>
    </w:p>
    <w:p w14:paraId="0B09FB96" w14:textId="77777777" w:rsidR="00C852C8" w:rsidRDefault="008C4FC6" w:rsidP="00591A5E">
      <w:pPr>
        <w:spacing w:after="0" w:line="360" w:lineRule="auto"/>
        <w:rPr>
          <w:color w:val="000000"/>
        </w:rPr>
      </w:pPr>
      <w:r>
        <w:rPr>
          <w:color w:val="000000"/>
        </w:rPr>
        <w:t xml:space="preserve">Además, el artículo 4°, fracción VI, de la Ley del Trabajo de los servidores públicos del Estado y Municipios, precisa que son </w:t>
      </w:r>
      <w:r>
        <w:rPr>
          <w:b/>
          <w:color w:val="000000"/>
        </w:rPr>
        <w:t>servidores públicos,</w:t>
      </w:r>
      <w:r>
        <w:rPr>
          <w:color w:val="000000"/>
        </w:rPr>
        <w:t xml:space="preserve"> todas las personas físicas que presten a una institución pública un trabajo personal subordinado, mediante el pago de un sueldo.</w:t>
      </w:r>
    </w:p>
    <w:p w14:paraId="19055780" w14:textId="77777777" w:rsidR="00C852C8" w:rsidRDefault="00C852C8" w:rsidP="00591A5E">
      <w:pPr>
        <w:widowControl w:val="0"/>
        <w:spacing w:after="0" w:line="360" w:lineRule="auto"/>
        <w:rPr>
          <w:color w:val="FF0000"/>
        </w:rPr>
      </w:pPr>
    </w:p>
    <w:p w14:paraId="7CFA9134" w14:textId="77777777" w:rsidR="00C852C8" w:rsidRDefault="008C4FC6" w:rsidP="00591A5E">
      <w:pPr>
        <w:widowControl w:val="0"/>
        <w:spacing w:after="0" w:line="360" w:lineRule="auto"/>
        <w:rPr>
          <w:color w:val="000000"/>
        </w:rPr>
      </w:pPr>
      <w:r>
        <w:rPr>
          <w:color w:val="000000"/>
        </w:rPr>
        <w:t xml:space="preserve">En orden de ideas, el artículo 3°, fracción LXVIII, del Código Financiero del Estado de México y </w:t>
      </w:r>
      <w:r>
        <w:rPr>
          <w:color w:val="000000"/>
        </w:rPr>
        <w:lastRenderedPageBreak/>
        <w:t>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3A17193" w14:textId="77777777" w:rsidR="00C852C8" w:rsidRDefault="00C852C8" w:rsidP="00591A5E">
      <w:pPr>
        <w:widowControl w:val="0"/>
        <w:spacing w:after="0" w:line="360" w:lineRule="auto"/>
        <w:rPr>
          <w:color w:val="000000"/>
        </w:rPr>
      </w:pPr>
    </w:p>
    <w:p w14:paraId="538EEDA4" w14:textId="77777777" w:rsidR="00C852C8" w:rsidRDefault="008C4FC6" w:rsidP="00591A5E">
      <w:pPr>
        <w:widowControl w:val="0"/>
        <w:spacing w:after="0" w:line="360" w:lineRule="auto"/>
        <w:rPr>
          <w:color w:val="000000"/>
        </w:rPr>
      </w:pPr>
      <w:r>
        <w:rPr>
          <w:color w:val="000000"/>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D3F933B" w14:textId="77777777" w:rsidR="00C852C8" w:rsidRDefault="00C852C8" w:rsidP="00591A5E">
      <w:pPr>
        <w:widowControl w:val="0"/>
        <w:spacing w:after="0" w:line="360" w:lineRule="auto"/>
        <w:rPr>
          <w:color w:val="FF0000"/>
        </w:rPr>
      </w:pPr>
    </w:p>
    <w:p w14:paraId="7B00126D" w14:textId="77777777" w:rsidR="00C852C8" w:rsidRDefault="008C4FC6" w:rsidP="00591A5E">
      <w:pPr>
        <w:widowControl w:val="0"/>
        <w:spacing w:after="0" w:line="360" w:lineRule="auto"/>
        <w:rPr>
          <w:b/>
          <w:color w:val="FF0000"/>
        </w:rPr>
      </w:pPr>
      <w:r>
        <w:rPr>
          <w:color w:val="000000"/>
        </w:rPr>
        <w:t>Por otra parte, respecto al documento requerido</w:t>
      </w:r>
      <w:r>
        <w:t>, el Glosario localizado en la página de Transparencia Presupuestaria de la Secretaría de Hacienda y Crédito Público (</w:t>
      </w:r>
      <w:hyperlink r:id="rId9">
        <w:r w:rsidR="00C852C8">
          <w:rPr>
            <w:color w:val="0563C1"/>
            <w:u w:val="single"/>
          </w:rPr>
          <w:t>http://www.transparenciapresupuestaria.gob.mx/es/PTP/Glosario</w:t>
        </w:r>
      </w:hyperlink>
      <w:r>
        <w:t xml:space="preserve">), establece que la </w:t>
      </w:r>
      <w:r>
        <w:rPr>
          <w:b/>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CCFD130" w14:textId="77777777" w:rsidR="00C852C8" w:rsidRDefault="00C852C8" w:rsidP="00591A5E">
      <w:pPr>
        <w:widowControl w:val="0"/>
        <w:spacing w:after="0" w:line="360" w:lineRule="auto"/>
        <w:rPr>
          <w:color w:val="FF0000"/>
        </w:rPr>
      </w:pPr>
    </w:p>
    <w:p w14:paraId="5B99065D" w14:textId="77777777" w:rsidR="00C852C8" w:rsidRDefault="008C4FC6" w:rsidP="00591A5E">
      <w:pPr>
        <w:widowControl w:val="0"/>
        <w:spacing w:after="0" w:line="360" w:lineRule="auto"/>
        <w:rPr>
          <w:b/>
          <w:color w:val="FF0000"/>
        </w:rPr>
      </w:pPr>
      <w:r>
        <w:t>De la misma manera, el Glosario de términos más usuales en la Administración Pública Federal, emitido por la Secretaría de Hacienda y Crédito Público (</w:t>
      </w:r>
      <w:hyperlink r:id="rId10">
        <w:r w:rsidR="00C852C8">
          <w:rPr>
            <w:color w:val="0563C1"/>
            <w:u w:val="single"/>
          </w:rPr>
          <w:t>https://www.apartados.hacienda.gob.mx/contabilidad/documentos/informe_cuenta/1998/cuenta_publica/Glosario/n.htm</w:t>
        </w:r>
      </w:hyperlink>
      <w:r>
        <w:t xml:space="preserve">),  establece que la </w:t>
      </w:r>
      <w:r>
        <w:rPr>
          <w:b/>
          <w:u w:val="single"/>
        </w:rPr>
        <w:t>nómina es un listado general</w:t>
      </w:r>
      <w:r>
        <w:rPr>
          <w:b/>
        </w:rPr>
        <w:t xml:space="preserve"> de los trabajadores de una institución, en el cual se asientan las percepciones brutas, deducciones y alcance neto de las mismas.</w:t>
      </w:r>
    </w:p>
    <w:p w14:paraId="1895F527" w14:textId="77777777" w:rsidR="00C852C8" w:rsidRDefault="00C852C8" w:rsidP="00591A5E">
      <w:pPr>
        <w:widowControl w:val="0"/>
        <w:spacing w:after="0" w:line="360" w:lineRule="auto"/>
        <w:rPr>
          <w:color w:val="FF0000"/>
        </w:rPr>
      </w:pPr>
    </w:p>
    <w:p w14:paraId="4BEAAB10" w14:textId="77777777" w:rsidR="00C852C8" w:rsidRDefault="008C4FC6" w:rsidP="00591A5E">
      <w:pPr>
        <w:widowControl w:val="0"/>
        <w:spacing w:after="0" w:line="360" w:lineRule="auto"/>
      </w:pPr>
      <w:r>
        <w:t xml:space="preserve">Conforme a lo anterior, se puede advertir que la nómina se puede referir a lo siguiente: </w:t>
      </w:r>
    </w:p>
    <w:p w14:paraId="04B1731C" w14:textId="77777777" w:rsidR="00C852C8" w:rsidRDefault="00C852C8" w:rsidP="00591A5E">
      <w:pPr>
        <w:widowControl w:val="0"/>
        <w:spacing w:after="0" w:line="360" w:lineRule="auto"/>
      </w:pPr>
    </w:p>
    <w:p w14:paraId="2699BB09" w14:textId="77777777" w:rsidR="00C852C8" w:rsidRDefault="008C4FC6" w:rsidP="00591A5E">
      <w:pPr>
        <w:widowControl w:val="0"/>
        <w:numPr>
          <w:ilvl w:val="0"/>
          <w:numId w:val="4"/>
        </w:numPr>
        <w:pBdr>
          <w:top w:val="nil"/>
          <w:left w:val="nil"/>
          <w:bottom w:val="nil"/>
          <w:right w:val="nil"/>
          <w:between w:val="nil"/>
        </w:pBdr>
        <w:spacing w:after="0" w:line="360" w:lineRule="auto"/>
        <w:rPr>
          <w:color w:val="000000"/>
        </w:rPr>
      </w:pPr>
      <w:r>
        <w:rPr>
          <w:color w:val="000000"/>
        </w:rPr>
        <w:t>Relación de trabajadores con las percepciones monetarias de cada uno.</w:t>
      </w:r>
    </w:p>
    <w:p w14:paraId="72A91525" w14:textId="77777777" w:rsidR="00C852C8" w:rsidRDefault="00C852C8" w:rsidP="00591A5E">
      <w:pPr>
        <w:widowControl w:val="0"/>
        <w:spacing w:after="0" w:line="360" w:lineRule="auto"/>
      </w:pPr>
    </w:p>
    <w:p w14:paraId="5B9D1437" w14:textId="77777777" w:rsidR="00C852C8" w:rsidRDefault="008C4FC6" w:rsidP="00591A5E">
      <w:pPr>
        <w:widowControl w:val="0"/>
        <w:numPr>
          <w:ilvl w:val="0"/>
          <w:numId w:val="4"/>
        </w:numPr>
        <w:pBdr>
          <w:top w:val="nil"/>
          <w:left w:val="nil"/>
          <w:bottom w:val="nil"/>
          <w:right w:val="nil"/>
          <w:between w:val="nil"/>
        </w:pBdr>
        <w:spacing w:after="0" w:line="360" w:lineRule="auto"/>
        <w:rPr>
          <w:color w:val="000000"/>
        </w:rPr>
      </w:pPr>
      <w:r>
        <w:rPr>
          <w:color w:val="000000"/>
        </w:rPr>
        <w:t xml:space="preserve">Recibo individual que contiene las prestaciones y deducciones de un trabajador. </w:t>
      </w:r>
    </w:p>
    <w:p w14:paraId="341D71D9" w14:textId="77777777" w:rsidR="00C852C8" w:rsidRDefault="00C852C8" w:rsidP="00591A5E">
      <w:pPr>
        <w:widowControl w:val="0"/>
        <w:spacing w:after="0" w:line="360" w:lineRule="auto"/>
      </w:pPr>
    </w:p>
    <w:p w14:paraId="68A572F0" w14:textId="77777777" w:rsidR="00C852C8" w:rsidRDefault="008C4FC6" w:rsidP="00591A5E">
      <w:pPr>
        <w:widowControl w:val="0"/>
        <w:numPr>
          <w:ilvl w:val="0"/>
          <w:numId w:val="4"/>
        </w:numPr>
        <w:pBdr>
          <w:top w:val="nil"/>
          <w:left w:val="nil"/>
          <w:bottom w:val="nil"/>
          <w:right w:val="nil"/>
          <w:between w:val="nil"/>
        </w:pBdr>
        <w:spacing w:after="0" w:line="360" w:lineRule="auto"/>
        <w:rPr>
          <w:b/>
          <w:color w:val="FF0000"/>
        </w:rPr>
      </w:pPr>
      <w:r>
        <w:rPr>
          <w:b/>
          <w:color w:val="000000"/>
        </w:rPr>
        <w:t>Listado general de los servidores públicos de una institución o dependencia, en el cual se asientan las percepciones brutas, deducciones y alcance neto de las mismas.</w:t>
      </w:r>
    </w:p>
    <w:p w14:paraId="2E374A9D" w14:textId="77777777" w:rsidR="00C852C8" w:rsidRDefault="00C852C8" w:rsidP="00591A5E">
      <w:pPr>
        <w:widowControl w:val="0"/>
        <w:spacing w:after="0" w:line="360" w:lineRule="auto"/>
      </w:pPr>
    </w:p>
    <w:p w14:paraId="1A363251" w14:textId="74219817" w:rsidR="00C852C8" w:rsidRDefault="008C4FC6" w:rsidP="00591A5E">
      <w:pPr>
        <w:widowControl w:val="0"/>
        <w:spacing w:after="0" w:line="360" w:lineRule="auto"/>
      </w:pPr>
      <w:r>
        <w:t xml:space="preserve">En ese contexto, los Lineamientos para la Integración y Entrega del Informe Trimestrales Estatales y Municipales para el Ejercicio Fiscal 2025,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w:t>
      </w:r>
      <w:r w:rsidR="00591A5E">
        <w:t>quincenal.</w:t>
      </w:r>
    </w:p>
    <w:p w14:paraId="4380329E" w14:textId="77777777" w:rsidR="00591A5E" w:rsidRDefault="00591A5E" w:rsidP="00591A5E">
      <w:pPr>
        <w:widowControl w:val="0"/>
        <w:spacing w:after="0" w:line="360" w:lineRule="auto"/>
      </w:pPr>
    </w:p>
    <w:p w14:paraId="15FBAC12" w14:textId="77777777" w:rsidR="00591A5E" w:rsidRPr="00591A5E" w:rsidRDefault="00591A5E" w:rsidP="00591A5E">
      <w:pPr>
        <w:spacing w:after="0" w:line="360" w:lineRule="auto"/>
        <w:ind w:right="-28"/>
        <w:rPr>
          <w:rFonts w:eastAsia="Calibri" w:cs="Times New Roman"/>
          <w:lang w:eastAsia="en-US"/>
        </w:rPr>
      </w:pPr>
      <w:r w:rsidRPr="00591A5E">
        <w:rPr>
          <w:rFonts w:eastAsia="Calibri" w:cs="Tahoma"/>
          <w:iCs/>
          <w:lang w:eastAsia="en-US"/>
        </w:rPr>
        <w:t>Por otro lado, l</w:t>
      </w:r>
      <w:r w:rsidRPr="00591A5E">
        <w:rPr>
          <w:rFonts w:eastAsia="Calibri" w:cs="Times New Roman"/>
          <w:lang w:eastAsia="en-US"/>
        </w:rPr>
        <w:t xml:space="preserve">a lista de raya consiste en un registro contable que contienen la relación de los trabajadores, en los que se asientan sus remuneraciones; sin embargo, en el presente caso, en dicho documento únicamente se encuentran los trabajadores contratados por determinado tiempo o eventuales; lo anterior, conforme al artículo 804, fracción II, de la Ley Federal de Trabajo, que señala que el patrón tiene la obligación de conservar y en su caso exhibir en juicio los documentos consistentes en </w:t>
      </w:r>
      <w:r w:rsidRPr="00591A5E">
        <w:rPr>
          <w:rFonts w:eastAsia="Calibri" w:cs="Times New Roman"/>
          <w:b/>
          <w:bCs/>
          <w:lang w:eastAsia="en-US"/>
        </w:rPr>
        <w:t>la lista de raya</w:t>
      </w:r>
      <w:r w:rsidRPr="00591A5E">
        <w:rPr>
          <w:rFonts w:eastAsia="Calibri" w:cs="Times New Roman"/>
          <w:lang w:eastAsia="en-US"/>
        </w:rPr>
        <w:t xml:space="preserve">, cuando se lleven en el centro de trabajo o recibos de pagos de salarios. </w:t>
      </w:r>
    </w:p>
    <w:p w14:paraId="7304F14C" w14:textId="77777777" w:rsidR="00591A5E" w:rsidRPr="00591A5E" w:rsidRDefault="00591A5E" w:rsidP="00591A5E">
      <w:pPr>
        <w:spacing w:after="0" w:line="360" w:lineRule="auto"/>
        <w:ind w:right="-28"/>
        <w:rPr>
          <w:rFonts w:eastAsia="Calibri" w:cs="Times New Roman"/>
          <w:lang w:eastAsia="en-US"/>
        </w:rPr>
      </w:pPr>
    </w:p>
    <w:p w14:paraId="1FA9EABF" w14:textId="77777777" w:rsidR="00591A5E" w:rsidRPr="00591A5E" w:rsidRDefault="00591A5E" w:rsidP="00591A5E">
      <w:pPr>
        <w:spacing w:after="0" w:line="360" w:lineRule="auto"/>
        <w:ind w:right="-28"/>
        <w:rPr>
          <w:rFonts w:eastAsia="Calibri" w:cs="Times New Roman"/>
          <w:lang w:eastAsia="en-US"/>
        </w:rPr>
      </w:pPr>
      <w:r w:rsidRPr="00591A5E">
        <w:rPr>
          <w:rFonts w:eastAsia="Calibri" w:cs="Times New Roman"/>
          <w:lang w:eastAsia="en-US"/>
        </w:rPr>
        <w:t xml:space="preserve">En ese orden de ideas, el artículo 50 de la Ley del Trabajo de los Servidores Públicos del Estado y Municipios, señala que el servidor público que se </w:t>
      </w:r>
      <w:r w:rsidRPr="00591A5E">
        <w:rPr>
          <w:rFonts w:eastAsia="Calibri" w:cs="Times New Roman"/>
          <w:b/>
          <w:bCs/>
          <w:lang w:eastAsia="en-US"/>
        </w:rPr>
        <w:t xml:space="preserve">encuentre en la lista de </w:t>
      </w:r>
      <w:proofErr w:type="gramStart"/>
      <w:r w:rsidRPr="00591A5E">
        <w:rPr>
          <w:rFonts w:eastAsia="Calibri" w:cs="Times New Roman"/>
          <w:b/>
          <w:bCs/>
          <w:lang w:eastAsia="en-US"/>
        </w:rPr>
        <w:t>raya</w:t>
      </w:r>
      <w:r w:rsidRPr="00591A5E">
        <w:rPr>
          <w:rFonts w:eastAsia="Calibri" w:cs="Times New Roman"/>
          <w:lang w:eastAsia="en-US"/>
        </w:rPr>
        <w:t>,</w:t>
      </w:r>
      <w:proofErr w:type="gramEnd"/>
      <w:r w:rsidRPr="00591A5E">
        <w:rPr>
          <w:rFonts w:eastAsia="Calibri" w:cs="Times New Roman"/>
          <w:lang w:eastAsia="en-US"/>
        </w:rPr>
        <w:t xml:space="preserve"> se obliga a </w:t>
      </w:r>
      <w:r w:rsidRPr="00591A5E">
        <w:rPr>
          <w:rFonts w:eastAsia="Calibri" w:cs="Times New Roman"/>
          <w:lang w:eastAsia="en-US"/>
        </w:rPr>
        <w:lastRenderedPageBreak/>
        <w:t>cumplir con los deberes inherentes al puesto especificado en el contrato, nombramiento o formato único de Movimiento de Personal.</w:t>
      </w:r>
    </w:p>
    <w:p w14:paraId="55246C46" w14:textId="77777777" w:rsidR="00591A5E" w:rsidRDefault="00591A5E" w:rsidP="00591A5E">
      <w:pPr>
        <w:widowControl w:val="0"/>
        <w:spacing w:after="0" w:line="360" w:lineRule="auto"/>
      </w:pPr>
    </w:p>
    <w:p w14:paraId="2C3519A1" w14:textId="77777777" w:rsidR="00C852C8" w:rsidRDefault="00C852C8" w:rsidP="00591A5E">
      <w:pPr>
        <w:spacing w:after="0" w:line="360" w:lineRule="auto"/>
      </w:pPr>
    </w:p>
    <w:p w14:paraId="0C2504EA" w14:textId="3B129C67" w:rsidR="00C852C8" w:rsidRDefault="008C4FC6" w:rsidP="00591A5E">
      <w:pPr>
        <w:spacing w:after="0" w:line="360" w:lineRule="auto"/>
      </w:pPr>
      <w:r>
        <w:t xml:space="preserve">Conforme a lo anterior, se logra vislumbrar que la pretensión del ahora Recurrente es obtener </w:t>
      </w:r>
      <w:r w:rsidR="00591A5E">
        <w:t>un listado con el nombre y sueldo neto pagado</w:t>
      </w:r>
      <w:r>
        <w:t xml:space="preserve"> de la segunda quincena de marzo de dos mil veinticinco</w:t>
      </w:r>
      <w:r w:rsidR="00591A5E">
        <w:t>, de los servidores públicos, incluyendo el personal eventual y lista de raya.</w:t>
      </w:r>
    </w:p>
    <w:p w14:paraId="033A4D2B" w14:textId="77777777" w:rsidR="00C852C8" w:rsidRDefault="00C852C8" w:rsidP="00591A5E">
      <w:pPr>
        <w:spacing w:after="0" w:line="360" w:lineRule="auto"/>
        <w:rPr>
          <w:color w:val="000000"/>
        </w:rPr>
      </w:pPr>
    </w:p>
    <w:p w14:paraId="6EAF1B06" w14:textId="22C606A1" w:rsidR="00C852C8" w:rsidRDefault="008C4FC6" w:rsidP="00591A5E">
      <w:pPr>
        <w:spacing w:after="0" w:line="360" w:lineRule="auto"/>
        <w:rPr>
          <w:color w:val="000000"/>
        </w:rPr>
      </w:pPr>
      <w:r>
        <w:rPr>
          <w:color w:val="000000"/>
        </w:rPr>
        <w:t xml:space="preserve">Cabe señalar que de conformidad con el artículo 86, fracción II de la Ley del Trabajo de los </w:t>
      </w:r>
      <w:r w:rsidR="00591A5E">
        <w:rPr>
          <w:color w:val="000000"/>
        </w:rPr>
        <w:t>S</w:t>
      </w:r>
      <w:r>
        <w:rPr>
          <w:color w:val="000000"/>
        </w:rPr>
        <w:t xml:space="preserve">ervidores públicos del Estado y Municipios prevé que las personas servidoras públicas tienen el derecho de gozar de los beneficios de la seguridad social, por tanto, existe la obligación de que, cada persona servidora pública cuente con servicio médico, en consecuencia, lo solicitado por la parte Recurrente debe comprender a la totalidad de personas servidoras públicas que laboran en el Sujeto Obligado. </w:t>
      </w:r>
    </w:p>
    <w:p w14:paraId="4EAC9C0F" w14:textId="77777777" w:rsidR="00C852C8" w:rsidRDefault="00C852C8" w:rsidP="00591A5E">
      <w:pPr>
        <w:spacing w:after="0" w:line="360" w:lineRule="auto"/>
        <w:rPr>
          <w:color w:val="000000"/>
        </w:rPr>
      </w:pPr>
    </w:p>
    <w:p w14:paraId="4EEBC4FD" w14:textId="77777777" w:rsidR="00C852C8" w:rsidRDefault="008C4FC6" w:rsidP="00591A5E">
      <w:pPr>
        <w:spacing w:after="0" w:line="360" w:lineRule="auto"/>
        <w:rPr>
          <w:color w:val="000000"/>
        </w:rPr>
      </w:pPr>
      <w:r>
        <w:rPr>
          <w:color w:val="000000"/>
        </w:rPr>
        <w:t xml:space="preserve">Ante dicha circunstancia, es necesario precisar que de las constancias que obran en el expediente electrónico, se logra advertir que el Sujeto Obligado turnó la solicitud de información a la  Tesorería Municipal, por lo que, resulta necesario hacer referencia al </w:t>
      </w:r>
      <w:r>
        <w:rPr>
          <w:b/>
          <w:color w:val="000000"/>
        </w:rPr>
        <w:t>procedimiento de búsqueda que deben seguir los Sujetos Obligados para localizar la información,</w:t>
      </w:r>
      <w:r>
        <w:rPr>
          <w:color w:val="000000"/>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5F0FA12" w14:textId="77777777" w:rsidR="00C852C8" w:rsidRDefault="00C852C8" w:rsidP="00591A5E">
      <w:pPr>
        <w:spacing w:after="0" w:line="360" w:lineRule="auto"/>
        <w:rPr>
          <w:color w:val="FF0000"/>
        </w:rPr>
      </w:pPr>
    </w:p>
    <w:p w14:paraId="48B66E6A" w14:textId="77777777" w:rsidR="00C852C8" w:rsidRDefault="008C4FC6" w:rsidP="00591A5E">
      <w:pPr>
        <w:spacing w:after="0" w:line="360" w:lineRule="auto"/>
        <w:rPr>
          <w:color w:val="000000"/>
        </w:rPr>
      </w:pPr>
      <w:r>
        <w:rPr>
          <w:color w:val="000000"/>
        </w:rPr>
        <w:lastRenderedPageBreak/>
        <w:t>Así, con la finalidad de determinar si el Sujeto Obligado cumplió con el procedimiento de búsqueda previamente establecido, es necesario traer a colación el artículo 68 del Bando Municipal del Sujeto Obligado 2025, el cual establece que la Tesorería Municipal tiene entre sus atribuciones, la de llevar los registros contables, financieros y administrativo de egresos, por lo que puede conocer de la información solicitada.</w:t>
      </w:r>
    </w:p>
    <w:p w14:paraId="0EEDC8A4" w14:textId="77777777" w:rsidR="00C852C8" w:rsidRDefault="008C4FC6" w:rsidP="00591A5E">
      <w:pPr>
        <w:spacing w:after="0" w:line="360" w:lineRule="auto"/>
        <w:rPr>
          <w:color w:val="FF0000"/>
        </w:rPr>
      </w:pPr>
      <w:r>
        <w:rPr>
          <w:color w:val="000000"/>
        </w:rPr>
        <w:t xml:space="preserve">Conforme a lo anterior se logra advertir </w:t>
      </w:r>
      <w:r>
        <w:rPr>
          <w:b/>
          <w:color w:val="000000"/>
        </w:rPr>
        <w:t xml:space="preserve">que el Sujeto Obligado cumplió con el procedimiento de búsqueda </w:t>
      </w:r>
      <w:r>
        <w:rPr>
          <w:color w:val="000000"/>
        </w:rPr>
        <w:t>previsto en el artículo 162 de la Ley de Transparencia y Acceso a la Información Pública del Estado de México y Municipios, toda vez que turnó la solicitud de información al área competente para conocer respecto de la nómina del Sujeto Obligado.</w:t>
      </w:r>
    </w:p>
    <w:p w14:paraId="5336E6E3" w14:textId="77777777" w:rsidR="00C852C8" w:rsidRDefault="00C852C8" w:rsidP="00591A5E">
      <w:pPr>
        <w:spacing w:after="0" w:line="360" w:lineRule="auto"/>
        <w:rPr>
          <w:color w:val="FF0000"/>
        </w:rPr>
      </w:pPr>
    </w:p>
    <w:p w14:paraId="7C446BDA" w14:textId="21F90CCA" w:rsidR="00C852C8" w:rsidRDefault="008C4FC6" w:rsidP="00591A5E">
      <w:pPr>
        <w:spacing w:after="0" w:line="360" w:lineRule="auto"/>
        <w:rPr>
          <w:color w:val="000000"/>
        </w:rPr>
      </w:pPr>
      <w:r>
        <w:rPr>
          <w:color w:val="000000"/>
        </w:rPr>
        <w:t>Ahora bien, tanto en respuesta</w:t>
      </w:r>
      <w:r w:rsidR="00591A5E">
        <w:rPr>
          <w:color w:val="000000"/>
        </w:rPr>
        <w:t>,</w:t>
      </w:r>
      <w:r>
        <w:rPr>
          <w:color w:val="000000"/>
        </w:rPr>
        <w:t xml:space="preserve"> como en informe justificado, el Sujeto Obligado remitió un archivo en formato Excel en el que se advierten enlistados el nombre de personas servidoras públicas y un sueldo neto; cabe destacar que en respuesta remitió un listado que contempla a 72 personas y en informe a 131 personas servidoras públicas.</w:t>
      </w:r>
    </w:p>
    <w:p w14:paraId="67EA7EC8" w14:textId="77777777" w:rsidR="00C852C8" w:rsidRDefault="00C852C8" w:rsidP="00591A5E">
      <w:pPr>
        <w:spacing w:after="0" w:line="360" w:lineRule="auto"/>
        <w:rPr>
          <w:color w:val="000000"/>
        </w:rPr>
      </w:pPr>
    </w:p>
    <w:p w14:paraId="5BD989D1" w14:textId="6D383D22" w:rsidR="00591A5E" w:rsidRDefault="008C4FC6" w:rsidP="00591A5E">
      <w:pPr>
        <w:spacing w:after="0" w:line="360" w:lineRule="auto"/>
        <w:rPr>
          <w:b/>
          <w:color w:val="000000"/>
        </w:rPr>
      </w:pPr>
      <w:r>
        <w:rPr>
          <w:color w:val="000000"/>
        </w:rPr>
        <w:t>En este sentido, vale la pena mencionar que los documentos remitidos tanto en respuesta como en informe justificado</w:t>
      </w:r>
      <w:r w:rsidR="00591A5E">
        <w:rPr>
          <w:color w:val="000000"/>
        </w:rPr>
        <w:t>, si bien contiene los datos solicitados por el Particular, lo cierto es que el primero se encuentra incompleto y el segundo no se tiene certeza que contenga la información de todos los servidores públicos; aunado a que no se pronunció de la lista de raya o trabajadores eventuales.</w:t>
      </w:r>
    </w:p>
    <w:p w14:paraId="7C072D24" w14:textId="77777777" w:rsidR="00591A5E" w:rsidRDefault="00591A5E" w:rsidP="00591A5E">
      <w:pPr>
        <w:spacing w:after="0" w:line="360" w:lineRule="auto"/>
        <w:rPr>
          <w:b/>
          <w:color w:val="000000"/>
        </w:rPr>
      </w:pPr>
    </w:p>
    <w:p w14:paraId="74BF1029" w14:textId="3AF71D0A" w:rsidR="00C852C8" w:rsidRDefault="008C4FC6" w:rsidP="00591A5E">
      <w:pPr>
        <w:spacing w:after="0" w:line="360" w:lineRule="auto"/>
        <w:rPr>
          <w:color w:val="000000"/>
        </w:rPr>
      </w:pPr>
      <w:r>
        <w:rPr>
          <w:color w:val="000000"/>
        </w:rPr>
        <w:t xml:space="preserve">Aunado a ello, cabe precisar </w:t>
      </w:r>
      <w:proofErr w:type="gramStart"/>
      <w:r>
        <w:rPr>
          <w:color w:val="000000"/>
        </w:rPr>
        <w:t>que</w:t>
      </w:r>
      <w:proofErr w:type="gramEnd"/>
      <w:r>
        <w:rPr>
          <w:color w:val="000000"/>
        </w:rPr>
        <w:t xml:space="preserve"> si bien en respuesta el Sujeto Obligado se pronunció por 72 servidores públicos, en informe justificado mencionó que </w:t>
      </w:r>
      <w:r>
        <w:t>remitirá</w:t>
      </w:r>
      <w:r>
        <w:rPr>
          <w:color w:val="000000"/>
        </w:rPr>
        <w:t xml:space="preserve"> el archivo completo y remitió un listado que contempla a 131 personas servidoras públicas</w:t>
      </w:r>
      <w:r w:rsidR="00591A5E">
        <w:rPr>
          <w:color w:val="000000"/>
        </w:rPr>
        <w:t xml:space="preserve">, </w:t>
      </w:r>
      <w:r>
        <w:rPr>
          <w:color w:val="000000"/>
        </w:rPr>
        <w:t>lo cierto, es que sí es posible verificar sí se contemplaron la totalidad de personas que laboran para el Ayuntamiento de Tlatlaya.</w:t>
      </w:r>
    </w:p>
    <w:p w14:paraId="60DBEFC6" w14:textId="77777777" w:rsidR="00C852C8" w:rsidRDefault="00C852C8" w:rsidP="00591A5E">
      <w:pPr>
        <w:spacing w:after="0" w:line="360" w:lineRule="auto"/>
        <w:rPr>
          <w:color w:val="000000"/>
        </w:rPr>
      </w:pPr>
    </w:p>
    <w:p w14:paraId="708A7AEF" w14:textId="77777777" w:rsidR="00C852C8" w:rsidRDefault="008C4FC6" w:rsidP="00591A5E">
      <w:pPr>
        <w:spacing w:after="0" w:line="360" w:lineRule="auto"/>
        <w:rPr>
          <w:color w:val="000000"/>
        </w:rPr>
      </w:pPr>
      <w:r>
        <w:rPr>
          <w:color w:val="000000"/>
        </w:rPr>
        <w:lastRenderedPageBreak/>
        <w:t>En este sentido, este Organismo Garante encontró el tabulador de sueldos del Municipio de Tlatlaya del ejercicio fiscal 2025, en el que se destaca un total de plazas de 589, distribuidos de la siguiente manera:</w:t>
      </w:r>
    </w:p>
    <w:p w14:paraId="0B9B1445" w14:textId="77777777" w:rsidR="00C852C8" w:rsidRDefault="008C4FC6" w:rsidP="00591A5E">
      <w:pPr>
        <w:spacing w:after="0" w:line="360" w:lineRule="auto"/>
        <w:jc w:val="center"/>
        <w:rPr>
          <w:color w:val="000000"/>
        </w:rPr>
      </w:pPr>
      <w:r>
        <w:rPr>
          <w:noProof/>
        </w:rPr>
        <w:drawing>
          <wp:inline distT="0" distB="0" distL="0" distR="0" wp14:anchorId="4C1AAD07" wp14:editId="366CCDC5">
            <wp:extent cx="5131268" cy="3062971"/>
            <wp:effectExtent l="0" t="0" r="0" b="0"/>
            <wp:docPr id="21199015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305" b="14077"/>
                    <a:stretch>
                      <a:fillRect/>
                    </a:stretch>
                  </pic:blipFill>
                  <pic:spPr>
                    <a:xfrm>
                      <a:off x="0" y="0"/>
                      <a:ext cx="5131268" cy="3062971"/>
                    </a:xfrm>
                    <a:prstGeom prst="rect">
                      <a:avLst/>
                    </a:prstGeom>
                    <a:ln/>
                  </pic:spPr>
                </pic:pic>
              </a:graphicData>
            </a:graphic>
          </wp:inline>
        </w:drawing>
      </w:r>
    </w:p>
    <w:p w14:paraId="57654ED7" w14:textId="77777777" w:rsidR="00C852C8" w:rsidRDefault="00C852C8" w:rsidP="00591A5E">
      <w:pPr>
        <w:spacing w:after="0" w:line="360" w:lineRule="auto"/>
        <w:rPr>
          <w:color w:val="000000"/>
        </w:rPr>
      </w:pPr>
    </w:p>
    <w:p w14:paraId="648E7BA6" w14:textId="7397F313" w:rsidR="00C852C8" w:rsidRDefault="008C4FC6" w:rsidP="00591A5E">
      <w:pPr>
        <w:spacing w:after="0" w:line="360" w:lineRule="auto"/>
        <w:rPr>
          <w:color w:val="000000"/>
        </w:rPr>
      </w:pPr>
      <w:r>
        <w:rPr>
          <w:color w:val="000000"/>
        </w:rPr>
        <w:t xml:space="preserve">En atención a lo anterior, es dable considerar que el Sujeto Obligado tiene un mínimo de 589 </w:t>
      </w:r>
      <w:r w:rsidR="00591A5E">
        <w:rPr>
          <w:color w:val="000000"/>
        </w:rPr>
        <w:t>plazas disponibles</w:t>
      </w:r>
      <w:r>
        <w:rPr>
          <w:color w:val="000000"/>
        </w:rPr>
        <w:t xml:space="preserve"> en el Ayuntamiento, por tanto, la información remitida en informe justificado y en respuesta, resulta claramente incompleta</w:t>
      </w:r>
      <w:r w:rsidR="00591A5E">
        <w:rPr>
          <w:color w:val="000000"/>
        </w:rPr>
        <w:t>.</w:t>
      </w:r>
    </w:p>
    <w:p w14:paraId="492A7E93" w14:textId="77777777" w:rsidR="00C852C8" w:rsidRDefault="00C852C8" w:rsidP="00591A5E">
      <w:pPr>
        <w:spacing w:after="0" w:line="360" w:lineRule="auto"/>
        <w:rPr>
          <w:color w:val="000000"/>
        </w:rPr>
      </w:pPr>
    </w:p>
    <w:p w14:paraId="7E469D1F" w14:textId="559082CB" w:rsidR="00C852C8" w:rsidRDefault="008C4FC6" w:rsidP="00591A5E">
      <w:pPr>
        <w:spacing w:after="0" w:line="360" w:lineRule="auto"/>
        <w:rPr>
          <w:b/>
        </w:rPr>
      </w:pPr>
      <w:r>
        <w:t xml:space="preserve">Por tales consideraciones, se concluye que el Sujeto Obligado no satisfizo el derecho de acceso a la información del Solicitante, pues proporcionó que no da cuenta de lo solicitado y no contempla a la totalidad del personal que labora en el Ayuntamiento, lo cual da como resultado que el agravio sea </w:t>
      </w:r>
      <w:r>
        <w:rPr>
          <w:b/>
        </w:rPr>
        <w:t xml:space="preserve">FUNDADO y es procedente </w:t>
      </w:r>
      <w:r w:rsidR="00241BD3">
        <w:rPr>
          <w:b/>
        </w:rPr>
        <w:t>MODIFICAR</w:t>
      </w:r>
      <w:r>
        <w:rPr>
          <w:b/>
        </w:rPr>
        <w:t xml:space="preserve"> la respuesta inicial a fin de entregar la documentación solicitada. </w:t>
      </w:r>
    </w:p>
    <w:p w14:paraId="7606B8A7" w14:textId="77777777" w:rsidR="00C852C8" w:rsidRDefault="00C852C8" w:rsidP="00591A5E">
      <w:pPr>
        <w:spacing w:after="0" w:line="360" w:lineRule="auto"/>
        <w:rPr>
          <w:b/>
        </w:rPr>
      </w:pPr>
    </w:p>
    <w:p w14:paraId="7AE6CB63" w14:textId="77777777" w:rsidR="00C852C8" w:rsidRDefault="008C4FC6" w:rsidP="00591A5E">
      <w:pPr>
        <w:spacing w:after="0" w:line="360" w:lineRule="auto"/>
      </w:pPr>
      <w:r>
        <w:lastRenderedPageBreak/>
        <w:t>Así, para atender al requerimiento en análisis, el Sujeto Obligado, deberá realizar una búsqueda exhaustiva y razonable en todas sus áreas competentes, a efecto de que proporcione la información solicitada;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3158463" w14:textId="77777777" w:rsidR="00C852C8" w:rsidRDefault="00C852C8" w:rsidP="00591A5E">
      <w:pPr>
        <w:spacing w:after="0" w:line="360" w:lineRule="auto"/>
      </w:pPr>
    </w:p>
    <w:p w14:paraId="6B848156" w14:textId="77777777" w:rsidR="00C852C8" w:rsidRDefault="008C4FC6" w:rsidP="00591A5E">
      <w:pPr>
        <w:spacing w:after="0" w:line="360" w:lineRule="auto"/>
      </w:pPr>
      <w:r>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14:paraId="5562A300" w14:textId="77777777" w:rsidR="00C852C8" w:rsidRDefault="00C852C8" w:rsidP="00591A5E">
      <w:pPr>
        <w:spacing w:after="0" w:line="360" w:lineRule="auto"/>
      </w:pPr>
    </w:p>
    <w:p w14:paraId="441410FD" w14:textId="3EA6AF0F" w:rsidR="00C852C8" w:rsidRDefault="008C4FC6" w:rsidP="00591A5E">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la información solicitada</w:t>
      </w:r>
      <w:r w:rsidR="00241BD3">
        <w:t>, a saber, el nombre y sueldo neto pagado en la segunda quincena de marzo de dos mil veinticinco, de los servidores públicos, trabajadores eventuales y lista de raya.</w:t>
      </w:r>
    </w:p>
    <w:p w14:paraId="000B9CA0" w14:textId="77777777" w:rsidR="00241BD3" w:rsidRDefault="00241BD3" w:rsidP="00591A5E">
      <w:pPr>
        <w:spacing w:after="0" w:line="360" w:lineRule="auto"/>
      </w:pPr>
    </w:p>
    <w:p w14:paraId="6682B0BB" w14:textId="4B7630E6" w:rsidR="00241BD3" w:rsidRDefault="00241BD3" w:rsidP="00591A5E">
      <w:pPr>
        <w:spacing w:after="0" w:line="360" w:lineRule="auto"/>
        <w:rPr>
          <w:b/>
        </w:rPr>
      </w:pPr>
      <w:r>
        <w:t>Ahora bien, para el caso de que no cuente con lista de raya, deberá hacerlo del conocimiento de la parte Recurrente, de manera clara y precisa, en términos del artículo 19, párrafo segundo, de la Ley de Transparencia y Acceso a la Información Pública del Estado de México y Municipios.</w:t>
      </w:r>
    </w:p>
    <w:p w14:paraId="50DC9985" w14:textId="77777777" w:rsidR="00C852C8" w:rsidRDefault="00C852C8" w:rsidP="00591A5E">
      <w:pPr>
        <w:spacing w:after="0" w:line="360" w:lineRule="auto"/>
        <w:rPr>
          <w:b/>
        </w:rPr>
      </w:pPr>
    </w:p>
    <w:p w14:paraId="39FA5477" w14:textId="77777777" w:rsidR="00C852C8" w:rsidRDefault="008C4FC6" w:rsidP="00591A5E">
      <w:pPr>
        <w:spacing w:after="0" w:line="360" w:lineRule="auto"/>
        <w:rPr>
          <w:color w:val="000000"/>
        </w:rPr>
      </w:pPr>
      <w:r>
        <w:rPr>
          <w:color w:val="000000"/>
        </w:rPr>
        <w:t>Ahora bien, no pasa desapercibido que los documentos que den cuenta de lo solicitado pudieran contener de manera enunciativa más no limitativa los siguientes datos:</w:t>
      </w:r>
    </w:p>
    <w:p w14:paraId="53872834" w14:textId="77777777" w:rsidR="00C852C8" w:rsidRDefault="00C852C8" w:rsidP="00591A5E">
      <w:pPr>
        <w:spacing w:after="0" w:line="360" w:lineRule="auto"/>
        <w:rPr>
          <w:color w:val="000000"/>
        </w:rPr>
      </w:pPr>
    </w:p>
    <w:p w14:paraId="031E3DF8" w14:textId="77777777" w:rsidR="00C852C8" w:rsidRDefault="008C4FC6" w:rsidP="00591A5E">
      <w:pPr>
        <w:numPr>
          <w:ilvl w:val="0"/>
          <w:numId w:val="5"/>
        </w:numPr>
        <w:spacing w:after="0" w:line="360" w:lineRule="auto"/>
        <w:rPr>
          <w:color w:val="000000"/>
        </w:rPr>
      </w:pPr>
      <w:bookmarkStart w:id="14" w:name="_heading=h.htxo5f8qb84d" w:colFirst="0" w:colLast="0"/>
      <w:bookmarkEnd w:id="14"/>
      <w:r>
        <w:rPr>
          <w:color w:val="000000"/>
        </w:rPr>
        <w:t>Clave Única de Registro de Población (CURP);</w:t>
      </w:r>
    </w:p>
    <w:p w14:paraId="3A3BF5DC" w14:textId="77777777" w:rsidR="00C852C8" w:rsidRDefault="008C4FC6" w:rsidP="00591A5E">
      <w:pPr>
        <w:numPr>
          <w:ilvl w:val="0"/>
          <w:numId w:val="5"/>
        </w:numPr>
        <w:spacing w:after="0" w:line="360" w:lineRule="auto"/>
        <w:rPr>
          <w:color w:val="000000"/>
        </w:rPr>
      </w:pPr>
      <w:r>
        <w:rPr>
          <w:color w:val="000000"/>
        </w:rPr>
        <w:t>Registro Federal de Contribuyentes del servidor público (RFC);</w:t>
      </w:r>
    </w:p>
    <w:p w14:paraId="2953DD8E" w14:textId="77777777" w:rsidR="00C852C8" w:rsidRDefault="008C4FC6" w:rsidP="00591A5E">
      <w:pPr>
        <w:numPr>
          <w:ilvl w:val="0"/>
          <w:numId w:val="5"/>
        </w:numPr>
        <w:spacing w:after="0" w:line="360" w:lineRule="auto"/>
        <w:rPr>
          <w:color w:val="000000"/>
        </w:rPr>
      </w:pPr>
      <w:r>
        <w:rPr>
          <w:color w:val="000000"/>
        </w:rPr>
        <w:t>Número de seguridad social del Instituto de Seguridad Social del Estado de México y Municipios;</w:t>
      </w:r>
    </w:p>
    <w:p w14:paraId="116758E5" w14:textId="77777777" w:rsidR="00C852C8" w:rsidRDefault="008C4FC6" w:rsidP="00591A5E">
      <w:pPr>
        <w:numPr>
          <w:ilvl w:val="0"/>
          <w:numId w:val="5"/>
        </w:numPr>
        <w:spacing w:after="0" w:line="360" w:lineRule="auto"/>
        <w:rPr>
          <w:color w:val="000000"/>
        </w:rPr>
      </w:pPr>
      <w:r>
        <w:rPr>
          <w:color w:val="000000"/>
        </w:rPr>
        <w:t>Deducciones personales, y</w:t>
      </w:r>
    </w:p>
    <w:p w14:paraId="44CA0788" w14:textId="77777777" w:rsidR="00C852C8" w:rsidRDefault="008C4FC6" w:rsidP="00591A5E">
      <w:pPr>
        <w:numPr>
          <w:ilvl w:val="0"/>
          <w:numId w:val="5"/>
        </w:numPr>
        <w:spacing w:after="0" w:line="360" w:lineRule="auto"/>
        <w:rPr>
          <w:color w:val="000000"/>
        </w:rPr>
      </w:pPr>
      <w:r>
        <w:rPr>
          <w:color w:val="000000"/>
        </w:rPr>
        <w:t>Cuenta Bancaria.</w:t>
      </w:r>
    </w:p>
    <w:p w14:paraId="158FCB0B" w14:textId="77777777" w:rsidR="00C852C8" w:rsidRDefault="00C852C8" w:rsidP="00591A5E">
      <w:pPr>
        <w:spacing w:after="0" w:line="360" w:lineRule="auto"/>
        <w:ind w:right="-93"/>
        <w:rPr>
          <w:color w:val="000000"/>
        </w:rPr>
      </w:pPr>
    </w:p>
    <w:p w14:paraId="486D2848" w14:textId="77777777" w:rsidR="00C852C8" w:rsidRDefault="008C4FC6" w:rsidP="00591A5E">
      <w:pPr>
        <w:spacing w:after="0" w:line="360" w:lineRule="auto"/>
        <w:ind w:right="-28"/>
        <w:rPr>
          <w:color w:val="000000"/>
        </w:rPr>
      </w:pPr>
      <w:r>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1EAF3058" w14:textId="77777777" w:rsidR="00C852C8" w:rsidRDefault="00C852C8" w:rsidP="00591A5E">
      <w:pPr>
        <w:spacing w:after="0" w:line="360" w:lineRule="auto"/>
        <w:rPr>
          <w:color w:val="000000"/>
        </w:rPr>
      </w:pPr>
    </w:p>
    <w:p w14:paraId="41DE5FCF" w14:textId="77777777" w:rsidR="00C852C8" w:rsidRDefault="008C4FC6" w:rsidP="00591A5E">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0B0E58C0" w14:textId="77777777" w:rsidR="00C852C8" w:rsidRDefault="00C852C8" w:rsidP="00591A5E">
      <w:pPr>
        <w:spacing w:after="0" w:line="360" w:lineRule="auto"/>
        <w:rPr>
          <w:color w:val="000000"/>
        </w:rPr>
      </w:pPr>
    </w:p>
    <w:p w14:paraId="406F7B57" w14:textId="77777777" w:rsidR="00C852C8" w:rsidRDefault="008C4FC6" w:rsidP="00591A5E">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0FDB9E49" w14:textId="77777777" w:rsidR="00C852C8" w:rsidRDefault="00C852C8" w:rsidP="00591A5E">
      <w:pPr>
        <w:spacing w:after="0" w:line="360" w:lineRule="auto"/>
        <w:rPr>
          <w:color w:val="000000"/>
        </w:rPr>
      </w:pPr>
    </w:p>
    <w:p w14:paraId="77541CA6" w14:textId="77777777" w:rsidR="00C852C8" w:rsidRDefault="008C4FC6" w:rsidP="00591A5E">
      <w:pPr>
        <w:numPr>
          <w:ilvl w:val="0"/>
          <w:numId w:val="6"/>
        </w:numPr>
        <w:spacing w:after="0" w:line="360" w:lineRule="auto"/>
        <w:rPr>
          <w:color w:val="000000"/>
        </w:rPr>
      </w:pPr>
      <w:r>
        <w:rPr>
          <w:color w:val="000000"/>
        </w:rPr>
        <w:t xml:space="preserve">Se trate de datos personales o información privada; esto es, información concerniente a una persona física o </w:t>
      </w:r>
      <w:r>
        <w:t>jurídica</w:t>
      </w:r>
      <w:r>
        <w:rPr>
          <w:color w:val="000000"/>
        </w:rPr>
        <w:t xml:space="preserve"> colectiva y que esta sea identificada o identificable. </w:t>
      </w:r>
    </w:p>
    <w:p w14:paraId="70DC0D1B" w14:textId="77777777" w:rsidR="00C852C8" w:rsidRDefault="00C852C8" w:rsidP="00591A5E">
      <w:pPr>
        <w:spacing w:after="0" w:line="360" w:lineRule="auto"/>
        <w:ind w:left="360"/>
        <w:rPr>
          <w:color w:val="000000"/>
        </w:rPr>
      </w:pPr>
    </w:p>
    <w:p w14:paraId="44EFA7F0" w14:textId="77777777" w:rsidR="00C852C8" w:rsidRDefault="008C4FC6" w:rsidP="00591A5E">
      <w:pPr>
        <w:numPr>
          <w:ilvl w:val="0"/>
          <w:numId w:val="6"/>
        </w:numPr>
        <w:spacing w:after="0" w:line="360" w:lineRule="auto"/>
        <w:rPr>
          <w:color w:val="000000"/>
        </w:rPr>
      </w:pPr>
      <w:r>
        <w:rPr>
          <w:color w:val="000000"/>
        </w:rPr>
        <w:t xml:space="preserve">Para la difusión de los datos, se </w:t>
      </w:r>
      <w:r>
        <w:t>requiere</w:t>
      </w:r>
      <w:r>
        <w:rPr>
          <w:color w:val="000000"/>
        </w:rPr>
        <w:t xml:space="preserve"> el consentimiento del titular. </w:t>
      </w:r>
    </w:p>
    <w:p w14:paraId="390A8804" w14:textId="77777777" w:rsidR="00C852C8" w:rsidRDefault="00C852C8" w:rsidP="00591A5E">
      <w:pPr>
        <w:spacing w:after="0" w:line="360" w:lineRule="auto"/>
        <w:rPr>
          <w:color w:val="000000"/>
        </w:rPr>
      </w:pPr>
    </w:p>
    <w:p w14:paraId="6410D585" w14:textId="77777777" w:rsidR="00C852C8" w:rsidRDefault="008C4FC6" w:rsidP="00591A5E">
      <w:pPr>
        <w:spacing w:after="0" w:line="360" w:lineRule="auto"/>
        <w:rPr>
          <w:color w:val="000000"/>
        </w:rPr>
      </w:pPr>
      <w:r>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4DC47E0" w14:textId="77777777" w:rsidR="00C852C8" w:rsidRDefault="00C852C8" w:rsidP="00591A5E">
      <w:pPr>
        <w:spacing w:after="0" w:line="360" w:lineRule="auto"/>
        <w:rPr>
          <w:color w:val="000000"/>
        </w:rPr>
      </w:pPr>
    </w:p>
    <w:p w14:paraId="41BE402E" w14:textId="77777777" w:rsidR="00C852C8" w:rsidRDefault="008C4FC6" w:rsidP="00591A5E">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AB0FC74" w14:textId="77777777" w:rsidR="00C852C8" w:rsidRDefault="00C852C8" w:rsidP="00591A5E">
      <w:pPr>
        <w:spacing w:after="0" w:line="360" w:lineRule="auto"/>
        <w:ind w:right="-28"/>
        <w:rPr>
          <w:color w:val="000000"/>
        </w:rPr>
      </w:pPr>
    </w:p>
    <w:p w14:paraId="32D1BC84" w14:textId="77777777" w:rsidR="00C852C8" w:rsidRDefault="008C4FC6" w:rsidP="00591A5E">
      <w:pPr>
        <w:numPr>
          <w:ilvl w:val="0"/>
          <w:numId w:val="7"/>
        </w:numPr>
        <w:spacing w:after="0" w:line="360" w:lineRule="auto"/>
        <w:rPr>
          <w:b/>
          <w:color w:val="000000"/>
        </w:rPr>
      </w:pPr>
      <w:r>
        <w:rPr>
          <w:b/>
          <w:color w:val="000000"/>
        </w:rPr>
        <w:t>Clave Única de Registro de Población (CURP)</w:t>
      </w:r>
    </w:p>
    <w:p w14:paraId="3339EDA5" w14:textId="77777777" w:rsidR="00C852C8" w:rsidRDefault="00C852C8" w:rsidP="00591A5E">
      <w:pPr>
        <w:spacing w:after="0" w:line="360" w:lineRule="auto"/>
        <w:rPr>
          <w:color w:val="000000"/>
        </w:rPr>
      </w:pPr>
    </w:p>
    <w:p w14:paraId="505E96AD" w14:textId="77777777" w:rsidR="00C852C8" w:rsidRDefault="008C4FC6" w:rsidP="00591A5E">
      <w:pPr>
        <w:spacing w:after="0" w:line="360" w:lineRule="auto"/>
        <w:rPr>
          <w:color w:val="000000"/>
        </w:rPr>
      </w:pPr>
      <w:r>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7C74C7A" w14:textId="77777777" w:rsidR="00C852C8" w:rsidRDefault="00C852C8" w:rsidP="00591A5E">
      <w:pPr>
        <w:spacing w:after="0" w:line="360" w:lineRule="auto"/>
        <w:rPr>
          <w:color w:val="000000"/>
        </w:rPr>
      </w:pPr>
    </w:p>
    <w:p w14:paraId="13CDD82A" w14:textId="77777777" w:rsidR="00C852C8" w:rsidRDefault="008C4FC6" w:rsidP="00591A5E">
      <w:pPr>
        <w:spacing w:after="0" w:line="360" w:lineRule="auto"/>
        <w:rPr>
          <w:color w:val="000000"/>
        </w:rPr>
      </w:pPr>
      <w:r>
        <w:rPr>
          <w:color w:val="000000"/>
        </w:rPr>
        <w:t xml:space="preserve">Acorde con lo anterior, el artículo 22 del Reglamento Interior de la Secretaría de Gobernación, establece en su fracción III, que la Dirección General del Registro Nacional de Población e </w:t>
      </w:r>
      <w:r>
        <w:rPr>
          <w:color w:val="000000"/>
        </w:rPr>
        <w:lastRenderedPageBreak/>
        <w:t>Identificación Personal tiene la atribución de asignar y depurar la Clave Única de Registro de Población a todas las personas residentes en el país, así como a los mexicanos que residan en el extranjero.</w:t>
      </w:r>
    </w:p>
    <w:p w14:paraId="5AEA6FB0" w14:textId="77777777" w:rsidR="00C852C8" w:rsidRDefault="00C852C8" w:rsidP="00591A5E">
      <w:pPr>
        <w:spacing w:after="0" w:line="360" w:lineRule="auto"/>
        <w:rPr>
          <w:color w:val="000000"/>
        </w:rPr>
      </w:pPr>
    </w:p>
    <w:p w14:paraId="6ECBA81F" w14:textId="77777777" w:rsidR="00C852C8" w:rsidRDefault="008C4FC6" w:rsidP="00591A5E">
      <w:pPr>
        <w:spacing w:after="0" w:line="360" w:lineRule="auto"/>
        <w:rPr>
          <w:color w:val="000000"/>
        </w:rPr>
      </w:pPr>
      <w:r>
        <w:rPr>
          <w:color w:val="000000"/>
        </w:rPr>
        <w:t xml:space="preserve">En ese orden de ideas, la Secretaría de Gobernación en las direcciones </w:t>
      </w:r>
      <w:hyperlink r:id="rId12">
        <w:r w:rsidR="00C852C8">
          <w:rPr>
            <w:color w:val="000000"/>
            <w:u w:val="single"/>
          </w:rPr>
          <w:t>https://consultas.curp.gob.mx/CurpSP/html/informacionecurpPS.html</w:t>
        </w:r>
      </w:hyperlink>
      <w:r>
        <w:rPr>
          <w:color w:val="000000"/>
        </w:rPr>
        <w:t xml:space="preserve"> y </w:t>
      </w:r>
      <w:hyperlink r:id="rId13">
        <w:r w:rsidR="00C852C8">
          <w:rPr>
            <w:color w:val="000000"/>
            <w:u w:val="single"/>
          </w:rPr>
          <w:t>https://www.gob.mx/segob/renapo/acciones-y-programas/clave-unica-de-registro-de-poblacion-curp-142226</w:t>
        </w:r>
      </w:hyperlink>
      <w:r>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Pr>
          <w:b/>
          <w:color w:val="000000"/>
        </w:rPr>
        <w:t>se generan a partir de los datos contenidos en el documento probatorio de la identidad</w:t>
      </w:r>
      <w:r>
        <w:rPr>
          <w:color w:val="000000"/>
        </w:rPr>
        <w:t xml:space="preserve"> </w:t>
      </w:r>
      <w:r>
        <w:rPr>
          <w:b/>
          <w:color w:val="000000"/>
        </w:rPr>
        <w:t xml:space="preserve">del interesado </w:t>
      </w:r>
      <w:r>
        <w:rPr>
          <w:color w:val="000000"/>
        </w:rPr>
        <w:t>(acta de nacimiento, carta de naturalización o documento migratorio) de la siguiente forma:</w:t>
      </w:r>
    </w:p>
    <w:p w14:paraId="15FDB0C4" w14:textId="77777777" w:rsidR="00C852C8" w:rsidRDefault="00C852C8" w:rsidP="00591A5E">
      <w:pPr>
        <w:spacing w:after="0" w:line="360" w:lineRule="auto"/>
        <w:rPr>
          <w:color w:val="000000"/>
        </w:rPr>
      </w:pPr>
    </w:p>
    <w:p w14:paraId="4072FA4A" w14:textId="77777777" w:rsidR="00C852C8" w:rsidRDefault="008C4FC6" w:rsidP="00591A5E">
      <w:pPr>
        <w:numPr>
          <w:ilvl w:val="0"/>
          <w:numId w:val="8"/>
        </w:numPr>
        <w:spacing w:after="0" w:line="360" w:lineRule="auto"/>
        <w:rPr>
          <w:color w:val="000000"/>
        </w:rPr>
      </w:pPr>
      <w:r>
        <w:rPr>
          <w:color w:val="000000"/>
        </w:rPr>
        <w:t>El primero y segundo apellidos, así como al nombre de pila;</w:t>
      </w:r>
    </w:p>
    <w:p w14:paraId="15F8AD5F" w14:textId="77777777" w:rsidR="00C852C8" w:rsidRDefault="008C4FC6" w:rsidP="00591A5E">
      <w:pPr>
        <w:numPr>
          <w:ilvl w:val="0"/>
          <w:numId w:val="8"/>
        </w:numPr>
        <w:spacing w:after="0" w:line="360" w:lineRule="auto"/>
        <w:rPr>
          <w:color w:val="000000"/>
        </w:rPr>
      </w:pPr>
      <w:r>
        <w:rPr>
          <w:color w:val="000000"/>
        </w:rPr>
        <w:t>La fecha de nacimiento;</w:t>
      </w:r>
    </w:p>
    <w:p w14:paraId="001FC9BE" w14:textId="77777777" w:rsidR="00C852C8" w:rsidRDefault="008C4FC6" w:rsidP="00591A5E">
      <w:pPr>
        <w:numPr>
          <w:ilvl w:val="0"/>
          <w:numId w:val="8"/>
        </w:numPr>
        <w:spacing w:after="0" w:line="360" w:lineRule="auto"/>
        <w:rPr>
          <w:color w:val="000000"/>
        </w:rPr>
      </w:pPr>
      <w:r>
        <w:rPr>
          <w:color w:val="000000"/>
        </w:rPr>
        <w:t>El sexo, y</w:t>
      </w:r>
    </w:p>
    <w:p w14:paraId="5E8B224A" w14:textId="77777777" w:rsidR="00C852C8" w:rsidRDefault="008C4FC6" w:rsidP="00591A5E">
      <w:pPr>
        <w:numPr>
          <w:ilvl w:val="0"/>
          <w:numId w:val="8"/>
        </w:numPr>
        <w:spacing w:after="0" w:line="360" w:lineRule="auto"/>
        <w:rPr>
          <w:color w:val="000000"/>
        </w:rPr>
      </w:pPr>
      <w:r>
        <w:rPr>
          <w:color w:val="000000"/>
        </w:rPr>
        <w:t>La entidad federativa de nacimiento.</w:t>
      </w:r>
    </w:p>
    <w:p w14:paraId="1AAF476E" w14:textId="77777777" w:rsidR="00C852C8" w:rsidRDefault="00C852C8" w:rsidP="00591A5E">
      <w:pPr>
        <w:spacing w:after="0" w:line="360" w:lineRule="auto"/>
        <w:rPr>
          <w:color w:val="000000"/>
        </w:rPr>
      </w:pPr>
    </w:p>
    <w:p w14:paraId="515400F4" w14:textId="77777777" w:rsidR="00C852C8" w:rsidRDefault="008C4FC6" w:rsidP="00591A5E">
      <w:pPr>
        <w:spacing w:after="0" w:line="360" w:lineRule="auto"/>
        <w:rPr>
          <w:color w:val="000000"/>
        </w:rPr>
      </w:pPr>
      <w:r>
        <w:rPr>
          <w:color w:val="000000"/>
        </w:rPr>
        <w:t>Los dos últimos elementos de la Clave Única de Registro de Población evitan la duplicidad de la Clave y garantizan su correcta integración.</w:t>
      </w:r>
    </w:p>
    <w:p w14:paraId="1EB5811C" w14:textId="77777777" w:rsidR="00C852C8" w:rsidRDefault="00C852C8" w:rsidP="00591A5E">
      <w:pPr>
        <w:spacing w:after="0" w:line="360" w:lineRule="auto"/>
        <w:rPr>
          <w:color w:val="000000"/>
        </w:rPr>
      </w:pPr>
    </w:p>
    <w:p w14:paraId="3426DB4D" w14:textId="77777777" w:rsidR="00C852C8" w:rsidRDefault="008C4FC6" w:rsidP="00591A5E">
      <w:pPr>
        <w:spacing w:after="0" w:line="360" w:lineRule="auto"/>
        <w:rPr>
          <w:color w:val="000000"/>
        </w:rPr>
      </w:pPr>
      <w:r>
        <w:rPr>
          <w:color w:val="000000"/>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w:t>
      </w:r>
      <w:r>
        <w:rPr>
          <w:color w:val="000000"/>
        </w:rPr>
        <w:lastRenderedPageBreak/>
        <w:t>un trámite administrativo requerido por la autoridad federal para hacer identificables a las personas.</w:t>
      </w:r>
    </w:p>
    <w:p w14:paraId="51B7E16D" w14:textId="77777777" w:rsidR="00C852C8" w:rsidRDefault="00C852C8" w:rsidP="00591A5E">
      <w:pPr>
        <w:spacing w:after="0" w:line="360" w:lineRule="auto"/>
        <w:rPr>
          <w:color w:val="000000"/>
        </w:rPr>
      </w:pPr>
    </w:p>
    <w:p w14:paraId="1650053E" w14:textId="77777777" w:rsidR="00C852C8" w:rsidRDefault="008C4FC6" w:rsidP="00591A5E">
      <w:pPr>
        <w:spacing w:after="0" w:line="360" w:lineRule="auto"/>
        <w:rPr>
          <w:color w:val="000000"/>
        </w:rPr>
      </w:pPr>
      <w:r>
        <w:rPr>
          <w:color w:val="000000"/>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16E5CB8E" w14:textId="77777777" w:rsidR="00C852C8" w:rsidRDefault="00C852C8" w:rsidP="00591A5E">
      <w:pPr>
        <w:spacing w:after="0" w:line="360" w:lineRule="auto"/>
        <w:ind w:left="567" w:right="567"/>
        <w:rPr>
          <w:color w:val="000000"/>
          <w:sz w:val="20"/>
          <w:szCs w:val="20"/>
        </w:rPr>
      </w:pPr>
    </w:p>
    <w:p w14:paraId="08BECAA0" w14:textId="77777777" w:rsidR="00C852C8" w:rsidRDefault="008C4FC6" w:rsidP="00591A5E">
      <w:pPr>
        <w:spacing w:after="0" w:line="360" w:lineRule="auto"/>
        <w:ind w:left="567" w:right="567"/>
        <w:rPr>
          <w:i/>
          <w:color w:val="000000"/>
          <w:sz w:val="20"/>
          <w:szCs w:val="20"/>
        </w:rPr>
      </w:pPr>
      <w:r>
        <w:rPr>
          <w:b/>
          <w:i/>
          <w:color w:val="000000"/>
          <w:sz w:val="20"/>
          <w:szCs w:val="20"/>
        </w:rPr>
        <w:t xml:space="preserve">“Clave Única de Registro de Población (CURP). </w:t>
      </w:r>
      <w:r>
        <w:rPr>
          <w:i/>
          <w:color w:val="000000"/>
          <w:sz w:val="20"/>
          <w:szCs w:val="20"/>
        </w:rPr>
        <w:t xml:space="preserve">La Clave Única de Registro de Población se integra por datos personales que sólo conciernen al particular titular de </w:t>
      </w:r>
      <w:proofErr w:type="gramStart"/>
      <w:r>
        <w:rPr>
          <w:i/>
          <w:color w:val="000000"/>
          <w:sz w:val="20"/>
          <w:szCs w:val="20"/>
        </w:rPr>
        <w:t>la misma</w:t>
      </w:r>
      <w:proofErr w:type="gramEnd"/>
      <w:r>
        <w:rPr>
          <w:i/>
          <w:color w:val="000000"/>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A700CE8" w14:textId="77777777" w:rsidR="00C852C8" w:rsidRDefault="00C852C8" w:rsidP="00591A5E">
      <w:pPr>
        <w:spacing w:after="0" w:line="360" w:lineRule="auto"/>
        <w:rPr>
          <w:color w:val="000000"/>
        </w:rPr>
      </w:pPr>
    </w:p>
    <w:p w14:paraId="57ABDD46" w14:textId="77777777" w:rsidR="00C852C8" w:rsidRDefault="008C4FC6" w:rsidP="00591A5E">
      <w:pPr>
        <w:spacing w:after="0" w:line="360" w:lineRule="auto"/>
        <w:rPr>
          <w:color w:val="000000"/>
        </w:rPr>
      </w:pPr>
      <w:r>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7549AB9" w14:textId="77777777" w:rsidR="00C852C8" w:rsidRDefault="00C852C8" w:rsidP="00591A5E">
      <w:pPr>
        <w:spacing w:after="0" w:line="360" w:lineRule="auto"/>
        <w:rPr>
          <w:color w:val="000000"/>
        </w:rPr>
      </w:pPr>
    </w:p>
    <w:p w14:paraId="03C09250" w14:textId="77777777" w:rsidR="00C852C8" w:rsidRDefault="008C4FC6" w:rsidP="00591A5E">
      <w:pPr>
        <w:numPr>
          <w:ilvl w:val="0"/>
          <w:numId w:val="7"/>
        </w:numPr>
        <w:spacing w:after="0" w:line="360" w:lineRule="auto"/>
        <w:rPr>
          <w:b/>
          <w:color w:val="000000"/>
        </w:rPr>
      </w:pPr>
      <w:r>
        <w:rPr>
          <w:b/>
          <w:color w:val="000000"/>
        </w:rPr>
        <w:t>Registro Federal de Contribuyentes (RFC)</w:t>
      </w:r>
    </w:p>
    <w:p w14:paraId="0DB9B825" w14:textId="77777777" w:rsidR="00C852C8" w:rsidRDefault="00C852C8" w:rsidP="00591A5E">
      <w:pPr>
        <w:spacing w:after="0" w:line="360" w:lineRule="auto"/>
        <w:rPr>
          <w:color w:val="000000"/>
        </w:rPr>
      </w:pPr>
    </w:p>
    <w:p w14:paraId="28DA15F2" w14:textId="77777777" w:rsidR="00C852C8" w:rsidRDefault="008C4FC6" w:rsidP="00591A5E">
      <w:pPr>
        <w:spacing w:after="0" w:line="360" w:lineRule="auto"/>
        <w:rPr>
          <w:color w:val="000000"/>
        </w:rPr>
      </w:pPr>
      <w:r>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188A8B9" w14:textId="77777777" w:rsidR="00C852C8" w:rsidRDefault="00C852C8" w:rsidP="00591A5E">
      <w:pPr>
        <w:spacing w:after="0" w:line="360" w:lineRule="auto"/>
        <w:rPr>
          <w:color w:val="000000"/>
        </w:rPr>
      </w:pPr>
    </w:p>
    <w:p w14:paraId="02BDA9D0" w14:textId="77777777" w:rsidR="00C852C8" w:rsidRDefault="008C4FC6" w:rsidP="00591A5E">
      <w:pPr>
        <w:spacing w:after="0" w:line="360" w:lineRule="auto"/>
        <w:rPr>
          <w:color w:val="000000"/>
        </w:rPr>
      </w:pPr>
      <w:proofErr w:type="gramStart"/>
      <w:r>
        <w:rPr>
          <w:color w:val="000000"/>
        </w:rPr>
        <w:t>De acuerdo a</w:t>
      </w:r>
      <w:proofErr w:type="gramEnd"/>
      <w:r>
        <w:rPr>
          <w:color w:val="000000"/>
        </w:rPr>
        <w:t xml:space="preserve"> lo establecido en el artículo en comento, esta clave se compone de trece caracteres alfanuméricos, con datos obtenidos de los apellidos, nombre(s), fecha de nacimiento del titular, más una </w:t>
      </w:r>
      <w:proofErr w:type="spellStart"/>
      <w:r>
        <w:rPr>
          <w:color w:val="000000"/>
        </w:rPr>
        <w:t>homoclave</w:t>
      </w:r>
      <w:proofErr w:type="spellEnd"/>
      <w:r>
        <w:rPr>
          <w:color w:val="000000"/>
        </w:rPr>
        <w:t xml:space="preserve"> que establece el sistema automático del Servicio de Administración Tributaria.</w:t>
      </w:r>
    </w:p>
    <w:p w14:paraId="4128338E" w14:textId="77777777" w:rsidR="00C852C8" w:rsidRDefault="00C852C8" w:rsidP="00591A5E">
      <w:pPr>
        <w:spacing w:after="0" w:line="360" w:lineRule="auto"/>
        <w:rPr>
          <w:color w:val="000000"/>
        </w:rPr>
      </w:pPr>
    </w:p>
    <w:p w14:paraId="3E4EA1C2" w14:textId="77777777" w:rsidR="00C852C8" w:rsidRDefault="008C4FC6" w:rsidP="00591A5E">
      <w:pPr>
        <w:spacing w:after="0" w:line="360" w:lineRule="auto"/>
        <w:rPr>
          <w:color w:val="000000"/>
        </w:rPr>
      </w:pPr>
      <w:r>
        <w:rPr>
          <w:color w:val="000000"/>
        </w:rPr>
        <w:t xml:space="preserve">Ahora bien, la clave del Registro Federal de </w:t>
      </w:r>
      <w:proofErr w:type="gramStart"/>
      <w:r>
        <w:rPr>
          <w:color w:val="000000"/>
        </w:rPr>
        <w:t>Contribuyentes,</w:t>
      </w:r>
      <w:proofErr w:type="gramEnd"/>
      <w:r>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9A071C8" w14:textId="77777777" w:rsidR="00C852C8" w:rsidRDefault="00C852C8" w:rsidP="00591A5E">
      <w:pPr>
        <w:spacing w:after="0" w:line="360" w:lineRule="auto"/>
        <w:rPr>
          <w:color w:val="000000"/>
        </w:rPr>
      </w:pPr>
    </w:p>
    <w:p w14:paraId="4B39EB7C" w14:textId="77777777" w:rsidR="00C852C8" w:rsidRDefault="008C4FC6" w:rsidP="00591A5E">
      <w:pPr>
        <w:spacing w:after="0" w:line="360" w:lineRule="auto"/>
        <w:rPr>
          <w:color w:val="000000"/>
        </w:rPr>
      </w:pPr>
      <w:r>
        <w:rPr>
          <w:color w:val="000000"/>
        </w:rPr>
        <w:t xml:space="preserve">Así, el Registro Federal de Contribuyentes, es un dato personal, ya que hace a las personas físicas </w:t>
      </w:r>
      <w:r>
        <w:t>identificadas</w:t>
      </w:r>
      <w:r>
        <w:rPr>
          <w:color w:val="000000"/>
        </w:rPr>
        <w:t xml:space="preserve"> e identificables, además de que las relaciona como contribuyentes de las autoridades fiscales. Es de destacar que dicho dato únicamente sirve para efectos fiscales y pago de contribuciones, por lo que se trata de un dato relevante únicamente para las personas </w:t>
      </w:r>
      <w:r>
        <w:t>involucradas</w:t>
      </w:r>
      <w:r>
        <w:rPr>
          <w:color w:val="000000"/>
        </w:rPr>
        <w:t xml:space="preserve">, en el pago de estos, en el presente caso, del pago del Impuesto Sobre el Producto del Trabajo. </w:t>
      </w:r>
    </w:p>
    <w:p w14:paraId="080BC81F" w14:textId="77777777" w:rsidR="00C852C8" w:rsidRDefault="00C852C8" w:rsidP="00591A5E">
      <w:pPr>
        <w:spacing w:after="0" w:line="360" w:lineRule="auto"/>
        <w:rPr>
          <w:color w:val="000000"/>
        </w:rPr>
      </w:pPr>
    </w:p>
    <w:p w14:paraId="4708F918" w14:textId="77777777" w:rsidR="00C852C8" w:rsidRDefault="008C4FC6" w:rsidP="00591A5E">
      <w:pPr>
        <w:spacing w:after="0" w:line="360" w:lineRule="auto"/>
        <w:rPr>
          <w:color w:val="000000"/>
        </w:rPr>
      </w:pPr>
      <w:r>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3E48F186" w14:textId="77777777" w:rsidR="00C852C8" w:rsidRDefault="00C852C8" w:rsidP="00591A5E">
      <w:pPr>
        <w:spacing w:after="0" w:line="360" w:lineRule="auto"/>
        <w:rPr>
          <w:color w:val="000000"/>
        </w:rPr>
      </w:pPr>
    </w:p>
    <w:p w14:paraId="0F66796D" w14:textId="77777777" w:rsidR="00C852C8" w:rsidRDefault="008C4FC6" w:rsidP="00591A5E">
      <w:pPr>
        <w:spacing w:after="0" w:line="360" w:lineRule="auto"/>
        <w:ind w:left="567" w:right="567"/>
        <w:rPr>
          <w:i/>
          <w:color w:val="000000"/>
          <w:sz w:val="20"/>
          <w:szCs w:val="20"/>
        </w:rPr>
      </w:pPr>
      <w:r>
        <w:rPr>
          <w:b/>
          <w:i/>
          <w:color w:val="000000"/>
          <w:sz w:val="20"/>
          <w:szCs w:val="20"/>
        </w:rPr>
        <w:t>“Registro Federal de Contribuyentes (RFC) de personas físicas.</w:t>
      </w:r>
      <w:r>
        <w:rPr>
          <w:i/>
          <w:color w:val="000000"/>
          <w:sz w:val="20"/>
          <w:szCs w:val="20"/>
        </w:rPr>
        <w:t xml:space="preserve"> El RFC es una clave de carácter fiscal, única e irrepetible, que permite identificar al titular, su edad y fecha de nacimiento, por lo que es un dato personal de carácter confidencial.”</w:t>
      </w:r>
    </w:p>
    <w:p w14:paraId="694CF29B" w14:textId="77777777" w:rsidR="00C852C8" w:rsidRDefault="00C852C8" w:rsidP="00591A5E">
      <w:pPr>
        <w:spacing w:after="0" w:line="360" w:lineRule="auto"/>
        <w:ind w:left="567" w:right="567"/>
        <w:rPr>
          <w:i/>
          <w:color w:val="000000"/>
        </w:rPr>
      </w:pPr>
    </w:p>
    <w:p w14:paraId="4804245C" w14:textId="77777777" w:rsidR="00C852C8" w:rsidRDefault="008C4FC6" w:rsidP="00591A5E">
      <w:pPr>
        <w:spacing w:after="0" w:line="360" w:lineRule="auto"/>
        <w:rPr>
          <w:color w:val="000000"/>
        </w:rPr>
      </w:pPr>
      <w:r>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1F3C785" w14:textId="77777777" w:rsidR="00C852C8" w:rsidRDefault="00C852C8" w:rsidP="00591A5E">
      <w:pPr>
        <w:tabs>
          <w:tab w:val="center" w:pos="4522"/>
        </w:tabs>
        <w:spacing w:after="0" w:line="360" w:lineRule="auto"/>
        <w:rPr>
          <w:color w:val="000000"/>
        </w:rPr>
      </w:pPr>
    </w:p>
    <w:p w14:paraId="603A1AF2" w14:textId="77777777" w:rsidR="00C852C8" w:rsidRDefault="008C4FC6" w:rsidP="00591A5E">
      <w:pPr>
        <w:numPr>
          <w:ilvl w:val="0"/>
          <w:numId w:val="7"/>
        </w:numPr>
        <w:spacing w:after="0" w:line="360" w:lineRule="auto"/>
        <w:rPr>
          <w:b/>
          <w:color w:val="000000"/>
        </w:rPr>
      </w:pPr>
      <w:r>
        <w:rPr>
          <w:b/>
          <w:color w:val="000000"/>
        </w:rPr>
        <w:t>Número de seguridad social del Instituto de Seguridad Social del Estado de México y Municipios</w:t>
      </w:r>
    </w:p>
    <w:p w14:paraId="3028A9C1" w14:textId="77777777" w:rsidR="00C852C8" w:rsidRDefault="00C852C8" w:rsidP="00591A5E">
      <w:pPr>
        <w:spacing w:after="0" w:line="360" w:lineRule="auto"/>
        <w:rPr>
          <w:b/>
          <w:color w:val="000000"/>
        </w:rPr>
      </w:pPr>
    </w:p>
    <w:p w14:paraId="230523E9" w14:textId="77777777" w:rsidR="00C852C8" w:rsidRDefault="008C4FC6" w:rsidP="00591A5E">
      <w:pPr>
        <w:spacing w:after="0" w:line="360" w:lineRule="auto"/>
        <w:rPr>
          <w:color w:val="000000"/>
        </w:rPr>
      </w:pPr>
      <w:r>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73F7079" w14:textId="77777777" w:rsidR="00C852C8" w:rsidRDefault="00C852C8" w:rsidP="00591A5E">
      <w:pPr>
        <w:spacing w:after="0" w:line="360" w:lineRule="auto"/>
        <w:rPr>
          <w:color w:val="000000"/>
        </w:rPr>
      </w:pPr>
    </w:p>
    <w:p w14:paraId="77CA88BA" w14:textId="77777777" w:rsidR="00C852C8" w:rsidRDefault="008C4FC6" w:rsidP="00591A5E">
      <w:pPr>
        <w:spacing w:after="0" w:line="360" w:lineRule="auto"/>
        <w:rPr>
          <w:color w:val="000000"/>
        </w:rPr>
      </w:pPr>
      <w:r>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2FEC3F4F" w14:textId="77777777" w:rsidR="00C852C8" w:rsidRDefault="00C852C8" w:rsidP="00591A5E">
      <w:pPr>
        <w:spacing w:after="0" w:line="360" w:lineRule="auto"/>
        <w:rPr>
          <w:color w:val="000000"/>
        </w:rPr>
      </w:pPr>
    </w:p>
    <w:p w14:paraId="1545775E" w14:textId="77777777" w:rsidR="00C852C8" w:rsidRDefault="008C4FC6" w:rsidP="00591A5E">
      <w:pPr>
        <w:spacing w:after="0" w:line="360" w:lineRule="auto"/>
        <w:rPr>
          <w:color w:val="000000"/>
        </w:rPr>
      </w:pPr>
      <w:r>
        <w:rPr>
          <w:color w:val="000000"/>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501176F" w14:textId="77777777" w:rsidR="00C852C8" w:rsidRDefault="00C852C8" w:rsidP="00591A5E">
      <w:pPr>
        <w:spacing w:after="0" w:line="360" w:lineRule="auto"/>
        <w:rPr>
          <w:color w:val="000000"/>
        </w:rPr>
      </w:pPr>
    </w:p>
    <w:p w14:paraId="35ECBF56" w14:textId="77777777" w:rsidR="00C852C8" w:rsidRDefault="008C4FC6" w:rsidP="00591A5E">
      <w:pPr>
        <w:spacing w:after="0" w:line="360" w:lineRule="auto"/>
        <w:rPr>
          <w:color w:val="000000"/>
        </w:rPr>
      </w:pPr>
      <w:r>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675210E" w14:textId="77777777" w:rsidR="00C852C8" w:rsidRDefault="00C852C8" w:rsidP="00591A5E">
      <w:pPr>
        <w:spacing w:after="0" w:line="360" w:lineRule="auto"/>
        <w:rPr>
          <w:color w:val="000000"/>
        </w:rPr>
      </w:pPr>
    </w:p>
    <w:p w14:paraId="6681F59E" w14:textId="77777777" w:rsidR="00C852C8" w:rsidRDefault="008C4FC6" w:rsidP="00591A5E">
      <w:pPr>
        <w:numPr>
          <w:ilvl w:val="0"/>
          <w:numId w:val="9"/>
        </w:numPr>
        <w:spacing w:after="0" w:line="360" w:lineRule="auto"/>
        <w:jc w:val="left"/>
        <w:rPr>
          <w:b/>
          <w:color w:val="000000"/>
        </w:rPr>
      </w:pPr>
      <w:r>
        <w:rPr>
          <w:b/>
          <w:color w:val="000000"/>
        </w:rPr>
        <w:t>Deducciones personales</w:t>
      </w:r>
    </w:p>
    <w:p w14:paraId="22B89EF1" w14:textId="77777777" w:rsidR="00C852C8" w:rsidRDefault="00C852C8" w:rsidP="00591A5E">
      <w:pPr>
        <w:spacing w:after="0" w:line="360" w:lineRule="auto"/>
        <w:ind w:left="720"/>
        <w:rPr>
          <w:b/>
          <w:color w:val="000000"/>
        </w:rPr>
      </w:pPr>
    </w:p>
    <w:p w14:paraId="1FB656A6" w14:textId="77777777" w:rsidR="00C852C8" w:rsidRDefault="008C4FC6" w:rsidP="00591A5E">
      <w:pPr>
        <w:spacing w:after="0" w:line="360" w:lineRule="auto"/>
        <w:rPr>
          <w:color w:val="000000"/>
        </w:rPr>
      </w:pPr>
      <w:r>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3126E2A4" w14:textId="77777777" w:rsidR="00C852C8" w:rsidRDefault="00C852C8" w:rsidP="00591A5E">
      <w:pPr>
        <w:spacing w:after="0" w:line="360" w:lineRule="auto"/>
        <w:rPr>
          <w:color w:val="000000"/>
        </w:rPr>
      </w:pPr>
    </w:p>
    <w:p w14:paraId="3BD17A3B" w14:textId="77777777" w:rsidR="00C852C8" w:rsidRDefault="008C4FC6" w:rsidP="00591A5E">
      <w:pPr>
        <w:spacing w:after="0" w:line="360" w:lineRule="auto"/>
        <w:rPr>
          <w:color w:val="000000"/>
        </w:rPr>
      </w:pPr>
      <w:r>
        <w:rPr>
          <w:color w:val="000000"/>
        </w:rPr>
        <w:t xml:space="preserve">Asimismo, hay otras que se generan con motivo de una sentencia judicial, como es la pensión alimenticia que periódicamente se retira de la cuenta de un empleado, a efecto de que sea entregado a un tercero.  </w:t>
      </w:r>
    </w:p>
    <w:p w14:paraId="6E4AFC4D" w14:textId="77777777" w:rsidR="00C852C8" w:rsidRDefault="00C852C8" w:rsidP="00591A5E">
      <w:pPr>
        <w:spacing w:after="0" w:line="360" w:lineRule="auto"/>
        <w:rPr>
          <w:color w:val="000000"/>
        </w:rPr>
      </w:pPr>
    </w:p>
    <w:p w14:paraId="4DBE1221" w14:textId="77777777" w:rsidR="00C852C8" w:rsidRDefault="008C4FC6" w:rsidP="00591A5E">
      <w:pPr>
        <w:spacing w:after="0" w:line="360" w:lineRule="auto"/>
        <w:rPr>
          <w:color w:val="000000"/>
        </w:rPr>
      </w:pPr>
      <w:r>
        <w:rPr>
          <w:color w:val="000000"/>
        </w:rPr>
        <w:t xml:space="preserve">En consecuencia, este tipo de deducciones son fruto de decisiones que impactan en el patrimonio de un servidor público con la finalidad de obtener un beneficio conforme a la </w:t>
      </w:r>
      <w:r>
        <w:rPr>
          <w:color w:val="000000"/>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FCA5515" w14:textId="77777777" w:rsidR="00C852C8" w:rsidRDefault="00C852C8" w:rsidP="00591A5E">
      <w:pPr>
        <w:spacing w:after="0" w:line="360" w:lineRule="auto"/>
        <w:rPr>
          <w:color w:val="000000"/>
        </w:rPr>
      </w:pPr>
    </w:p>
    <w:p w14:paraId="602EB8FB" w14:textId="77777777" w:rsidR="00C852C8" w:rsidRDefault="008C4FC6" w:rsidP="00591A5E">
      <w:pPr>
        <w:spacing w:after="0" w:line="360" w:lineRule="auto"/>
        <w:rPr>
          <w:color w:val="000000"/>
        </w:rPr>
      </w:pPr>
      <w:r>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7B7B516B" w14:textId="77777777" w:rsidR="00C852C8" w:rsidRDefault="00C852C8" w:rsidP="00591A5E">
      <w:pPr>
        <w:spacing w:after="0" w:line="360" w:lineRule="auto"/>
        <w:rPr>
          <w:b/>
          <w:color w:val="000000"/>
        </w:rPr>
      </w:pPr>
    </w:p>
    <w:p w14:paraId="44EF66B7" w14:textId="77777777" w:rsidR="00C852C8" w:rsidRDefault="008C4FC6" w:rsidP="00591A5E">
      <w:pPr>
        <w:numPr>
          <w:ilvl w:val="0"/>
          <w:numId w:val="9"/>
        </w:numPr>
        <w:spacing w:after="0" w:line="360" w:lineRule="auto"/>
        <w:jc w:val="left"/>
        <w:rPr>
          <w:b/>
          <w:color w:val="000000"/>
        </w:rPr>
      </w:pPr>
      <w:r>
        <w:rPr>
          <w:b/>
          <w:color w:val="000000"/>
        </w:rPr>
        <w:t>Cuenta bancaria de servidores públicos</w:t>
      </w:r>
    </w:p>
    <w:p w14:paraId="2F44433D" w14:textId="77777777" w:rsidR="00C852C8" w:rsidRDefault="00C852C8" w:rsidP="00591A5E">
      <w:pPr>
        <w:spacing w:after="0" w:line="360" w:lineRule="auto"/>
        <w:ind w:left="720"/>
        <w:rPr>
          <w:b/>
          <w:color w:val="000000"/>
        </w:rPr>
      </w:pPr>
    </w:p>
    <w:p w14:paraId="68D43CF2" w14:textId="77777777" w:rsidR="00C852C8" w:rsidRDefault="008C4FC6" w:rsidP="00591A5E">
      <w:pPr>
        <w:spacing w:after="0" w:line="360" w:lineRule="auto"/>
        <w:rPr>
          <w:color w:val="000000"/>
        </w:rPr>
      </w:pPr>
      <w:r>
        <w:rPr>
          <w:color w:val="000000"/>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w:t>
      </w:r>
      <w:r>
        <w:t>de fondos</w:t>
      </w:r>
      <w:r>
        <w:rPr>
          <w:color w:val="000000"/>
        </w:rPr>
        <w:t xml:space="preserve"> interbancarios, entre otros movimientos que sean utilizados exclusivamente en la cuenta señalada por el cliente y por lo tanto, los datos bancarios corresponden a información que se encuentra relacionada con el patrimonio de la persona titular de la cuenta.</w:t>
      </w:r>
    </w:p>
    <w:p w14:paraId="3132FC30" w14:textId="77777777" w:rsidR="00C852C8" w:rsidRDefault="008C4FC6" w:rsidP="00591A5E">
      <w:pPr>
        <w:spacing w:after="0" w:line="360" w:lineRule="auto"/>
        <w:rPr>
          <w:color w:val="000000"/>
        </w:rPr>
      </w:pPr>
      <w:r>
        <w:rPr>
          <w:color w:val="000000"/>
        </w:rPr>
        <w:t> </w:t>
      </w:r>
    </w:p>
    <w:p w14:paraId="0C0182F9" w14:textId="77777777" w:rsidR="00C852C8" w:rsidRDefault="008C4FC6" w:rsidP="00591A5E">
      <w:pPr>
        <w:spacing w:after="0" w:line="360" w:lineRule="auto"/>
        <w:rPr>
          <w:color w:val="000000"/>
        </w:rPr>
      </w:pPr>
      <w:r>
        <w:rPr>
          <w:color w:val="000000"/>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310A5383" w14:textId="77777777" w:rsidR="00C852C8" w:rsidRDefault="00C852C8" w:rsidP="00591A5E">
      <w:pPr>
        <w:spacing w:after="0" w:line="360" w:lineRule="auto"/>
        <w:rPr>
          <w:color w:val="000000"/>
        </w:rPr>
      </w:pPr>
    </w:p>
    <w:p w14:paraId="7432A63F" w14:textId="77777777" w:rsidR="00C852C8" w:rsidRDefault="008C4FC6" w:rsidP="00591A5E">
      <w:pPr>
        <w:spacing w:after="0" w:line="360" w:lineRule="auto"/>
        <w:ind w:left="567" w:right="567"/>
        <w:rPr>
          <w:i/>
          <w:color w:val="000000"/>
          <w:sz w:val="20"/>
          <w:szCs w:val="20"/>
        </w:rPr>
      </w:pPr>
      <w:r>
        <w:rPr>
          <w:i/>
          <w:color w:val="000000"/>
          <w:sz w:val="20"/>
          <w:szCs w:val="20"/>
        </w:rPr>
        <w:t>“</w:t>
      </w:r>
      <w:r>
        <w:rPr>
          <w:b/>
          <w:i/>
          <w:color w:val="000000"/>
          <w:sz w:val="20"/>
          <w:szCs w:val="20"/>
        </w:rPr>
        <w:t>Cuentas bancarias y/o CLABE interbancaria de personas físicas y morales privadas.</w:t>
      </w:r>
      <w:r>
        <w:rPr>
          <w:i/>
          <w:color w:val="000000"/>
          <w:sz w:val="20"/>
          <w:szCs w:val="20"/>
        </w:rPr>
        <w:t xml:space="preserve"> El número de cuenta bancaria y/o CLABE interbancaria de particulares es información confidencial, al </w:t>
      </w:r>
      <w:r>
        <w:rPr>
          <w:i/>
          <w:color w:val="000000"/>
          <w:sz w:val="20"/>
          <w:szCs w:val="20"/>
        </w:rPr>
        <w:lastRenderedPageBreak/>
        <w:t>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620C109" w14:textId="77777777" w:rsidR="00C852C8" w:rsidRDefault="00C852C8" w:rsidP="00591A5E">
      <w:pPr>
        <w:spacing w:after="0" w:line="360" w:lineRule="auto"/>
        <w:rPr>
          <w:color w:val="000000"/>
        </w:rPr>
      </w:pPr>
    </w:p>
    <w:p w14:paraId="419A63BD" w14:textId="77777777" w:rsidR="00C852C8" w:rsidRDefault="008C4FC6" w:rsidP="00591A5E">
      <w:pPr>
        <w:spacing w:after="0" w:line="360" w:lineRule="auto"/>
        <w:rPr>
          <w:color w:val="000000"/>
        </w:rPr>
      </w:pPr>
      <w:r>
        <w:rPr>
          <w:color w:val="000000"/>
        </w:rPr>
        <w:t xml:space="preserve">Por lo cual, se puede colegir que dichos datos no guardan relación con el servicio público ni con los recursos públicos, pues </w:t>
      </w:r>
      <w:r>
        <w:t>sólo</w:t>
      </w:r>
      <w:r>
        <w:rPr>
          <w:color w:val="000000"/>
        </w:rPr>
        <w:t xml:space="preserve">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AF131F6" w14:textId="77777777" w:rsidR="00C852C8" w:rsidRDefault="00C852C8" w:rsidP="00591A5E">
      <w:pPr>
        <w:spacing w:after="0" w:line="360" w:lineRule="auto"/>
        <w:rPr>
          <w:color w:val="000000"/>
        </w:rPr>
      </w:pPr>
    </w:p>
    <w:p w14:paraId="72167E36" w14:textId="77777777" w:rsidR="00C852C8" w:rsidRDefault="008C4FC6" w:rsidP="00591A5E">
      <w:pPr>
        <w:tabs>
          <w:tab w:val="left" w:pos="4962"/>
        </w:tabs>
        <w:spacing w:after="0" w:line="360" w:lineRule="auto"/>
      </w:pPr>
      <w:r>
        <w:t>De tal circunstancia, el Sujeto Obligado al entregar la información, deberá tomar en cuenta lo establecido en párrafos anteriores, para que únicamente clasifique aquellos datos que sean confidenciales.</w:t>
      </w:r>
    </w:p>
    <w:p w14:paraId="63F4C145" w14:textId="77777777" w:rsidR="00C852C8" w:rsidRDefault="00C852C8" w:rsidP="00591A5E">
      <w:pPr>
        <w:spacing w:after="0" w:line="360" w:lineRule="auto"/>
        <w:ind w:right="-93"/>
      </w:pPr>
    </w:p>
    <w:p w14:paraId="3FA76462" w14:textId="77777777" w:rsidR="00C852C8" w:rsidRDefault="008C4FC6" w:rsidP="00591A5E">
      <w:pPr>
        <w:spacing w:after="0" w:line="360" w:lineRule="auto"/>
        <w:rPr>
          <w:color w:val="000000"/>
        </w:rPr>
      </w:pPr>
      <w:r>
        <w:t>Por otra parte, el Sujeto Obligado clasificó el nombre del personal adscrito a la Dirección de Seguridad Pública, por lo cual es necesario analizar dicha situación; al respecto, con relación, los primeros dos datos referidos, el artículo 140, fracción IV, de la Ley de Transparencia y Acceso a la Información Pública del Estado de México y Municipios, homólogo a parte del artículo 113, fracción V de la Ley General de Transparencia y Acceso a la Información Pública, vigente a la fecha de la solicitud, prevé lo siguiente:</w:t>
      </w:r>
    </w:p>
    <w:p w14:paraId="13C2E829" w14:textId="77777777" w:rsidR="00C852C8" w:rsidRDefault="00C852C8" w:rsidP="00591A5E">
      <w:pPr>
        <w:tabs>
          <w:tab w:val="left" w:pos="4962"/>
        </w:tabs>
        <w:spacing w:after="0" w:line="360" w:lineRule="auto"/>
        <w:ind w:left="567" w:right="567"/>
        <w:rPr>
          <w:i/>
        </w:rPr>
      </w:pPr>
    </w:p>
    <w:p w14:paraId="3751173B" w14:textId="77777777" w:rsidR="00C852C8" w:rsidRDefault="008C4FC6" w:rsidP="00591A5E">
      <w:pPr>
        <w:tabs>
          <w:tab w:val="left" w:pos="4962"/>
        </w:tabs>
        <w:spacing w:after="0" w:line="360" w:lineRule="auto"/>
        <w:ind w:left="567" w:right="567"/>
        <w:rPr>
          <w:i/>
          <w:sz w:val="20"/>
          <w:szCs w:val="20"/>
        </w:rPr>
      </w:pPr>
      <w:r>
        <w:rPr>
          <w:i/>
          <w:sz w:val="20"/>
          <w:szCs w:val="20"/>
        </w:rPr>
        <w:t xml:space="preserve"> “</w:t>
      </w: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3CF4FDF6" w14:textId="77777777" w:rsidR="00C852C8" w:rsidRDefault="008C4FC6" w:rsidP="00591A5E">
      <w:pPr>
        <w:tabs>
          <w:tab w:val="left" w:pos="4962"/>
        </w:tabs>
        <w:spacing w:after="0" w:line="360" w:lineRule="auto"/>
        <w:ind w:left="567" w:right="567"/>
        <w:rPr>
          <w:i/>
          <w:sz w:val="20"/>
          <w:szCs w:val="20"/>
        </w:rPr>
      </w:pPr>
      <w:r>
        <w:rPr>
          <w:i/>
          <w:sz w:val="20"/>
          <w:szCs w:val="20"/>
        </w:rPr>
        <w:t>…</w:t>
      </w:r>
    </w:p>
    <w:p w14:paraId="1DBFA3CE" w14:textId="77777777" w:rsidR="00C852C8" w:rsidRDefault="008C4FC6" w:rsidP="00591A5E">
      <w:pPr>
        <w:tabs>
          <w:tab w:val="left" w:pos="4962"/>
        </w:tabs>
        <w:spacing w:after="0" w:line="360" w:lineRule="auto"/>
        <w:ind w:left="567" w:right="567"/>
        <w:rPr>
          <w:i/>
          <w:sz w:val="20"/>
          <w:szCs w:val="20"/>
        </w:rPr>
      </w:pPr>
      <w:r>
        <w:rPr>
          <w:i/>
          <w:sz w:val="20"/>
          <w:szCs w:val="20"/>
        </w:rPr>
        <w:lastRenderedPageBreak/>
        <w:t>IV. Ponga en riesgo la vida, la seguridad o la salud de una persona física;</w:t>
      </w:r>
    </w:p>
    <w:p w14:paraId="5BFBDCB7" w14:textId="77777777" w:rsidR="00C852C8" w:rsidRDefault="008C4FC6" w:rsidP="00591A5E">
      <w:pPr>
        <w:tabs>
          <w:tab w:val="left" w:pos="4962"/>
        </w:tabs>
        <w:spacing w:after="0" w:line="360" w:lineRule="auto"/>
        <w:ind w:left="567" w:right="567"/>
        <w:rPr>
          <w:i/>
          <w:sz w:val="20"/>
          <w:szCs w:val="20"/>
        </w:rPr>
      </w:pPr>
      <w:r>
        <w:rPr>
          <w:i/>
          <w:sz w:val="20"/>
          <w:szCs w:val="20"/>
        </w:rPr>
        <w:t xml:space="preserve">…” </w:t>
      </w:r>
    </w:p>
    <w:p w14:paraId="684F523D" w14:textId="77777777" w:rsidR="00C852C8" w:rsidRDefault="00C852C8" w:rsidP="00591A5E">
      <w:pPr>
        <w:spacing w:after="0" w:line="360" w:lineRule="auto"/>
      </w:pPr>
    </w:p>
    <w:p w14:paraId="4612CE5E" w14:textId="77777777" w:rsidR="00C852C8" w:rsidRDefault="008C4FC6" w:rsidP="00591A5E">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5A83CEAE" w14:textId="77777777" w:rsidR="00C852C8" w:rsidRDefault="00C852C8" w:rsidP="00591A5E">
      <w:pPr>
        <w:spacing w:after="0" w:line="360" w:lineRule="auto"/>
      </w:pPr>
    </w:p>
    <w:p w14:paraId="0D9CBD95" w14:textId="77777777" w:rsidR="00C852C8" w:rsidRDefault="008C4FC6" w:rsidP="00591A5E">
      <w:pPr>
        <w:spacing w:after="0" w:line="360" w:lineRule="auto"/>
        <w:ind w:left="567" w:right="567"/>
        <w:rPr>
          <w:i/>
          <w:sz w:val="20"/>
          <w:szCs w:val="20"/>
        </w:rPr>
      </w:pPr>
      <w:r>
        <w:rPr>
          <w:b/>
          <w:i/>
          <w:sz w:val="20"/>
          <w:szCs w:val="20"/>
        </w:rPr>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5121C4D6" w14:textId="77777777" w:rsidR="00C852C8" w:rsidRDefault="00C852C8" w:rsidP="00591A5E">
      <w:pPr>
        <w:spacing w:after="0" w:line="360" w:lineRule="auto"/>
        <w:ind w:left="567" w:right="567"/>
        <w:rPr>
          <w:i/>
        </w:rPr>
      </w:pPr>
    </w:p>
    <w:p w14:paraId="17891911" w14:textId="77777777" w:rsidR="00C852C8" w:rsidRDefault="008C4FC6" w:rsidP="00591A5E">
      <w:pPr>
        <w:spacing w:after="0" w:line="360" w:lineRule="auto"/>
        <w:rPr>
          <w:b/>
        </w:rPr>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0193540E" w14:textId="77777777" w:rsidR="00C852C8" w:rsidRDefault="00C852C8" w:rsidP="00591A5E">
      <w:pPr>
        <w:spacing w:after="0" w:line="360" w:lineRule="auto"/>
      </w:pPr>
    </w:p>
    <w:p w14:paraId="0C0C5D61" w14:textId="77777777" w:rsidR="00C852C8" w:rsidRDefault="008C4FC6" w:rsidP="00591A5E">
      <w:pPr>
        <w:spacing w:after="0" w:line="360" w:lineRule="auto"/>
      </w:pPr>
      <w:r>
        <w:t>Además, el artículo 81, fracción III, de la Ley de Seguridad del Estado de México, establece lo siguiente:</w:t>
      </w:r>
    </w:p>
    <w:p w14:paraId="5166FFDF" w14:textId="77777777" w:rsidR="00C852C8" w:rsidRDefault="00C852C8" w:rsidP="00591A5E">
      <w:pPr>
        <w:spacing w:after="0" w:line="360" w:lineRule="auto"/>
      </w:pPr>
    </w:p>
    <w:p w14:paraId="7772E4BD" w14:textId="77777777" w:rsidR="00C852C8" w:rsidRDefault="008C4FC6" w:rsidP="00591A5E">
      <w:pPr>
        <w:spacing w:after="0" w:line="360" w:lineRule="auto"/>
        <w:ind w:left="567" w:right="567"/>
        <w:rPr>
          <w:i/>
          <w:sz w:val="20"/>
          <w:szCs w:val="20"/>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Pr>
          <w:i/>
          <w:sz w:val="20"/>
          <w:szCs w:val="20"/>
        </w:rPr>
        <w:t>obstante</w:t>
      </w:r>
      <w:proofErr w:type="gramEnd"/>
      <w:r>
        <w:rPr>
          <w:i/>
          <w:sz w:val="20"/>
          <w:szCs w:val="20"/>
        </w:rPr>
        <w:t xml:space="preserve"> lo anterior, esta información se considerará reservada en los casos siguientes: </w:t>
      </w:r>
    </w:p>
    <w:p w14:paraId="0DBE1D33" w14:textId="77777777" w:rsidR="00C852C8" w:rsidRDefault="008C4FC6" w:rsidP="00591A5E">
      <w:pPr>
        <w:spacing w:after="0" w:line="360" w:lineRule="auto"/>
        <w:ind w:left="567" w:right="567"/>
        <w:rPr>
          <w:i/>
          <w:sz w:val="20"/>
          <w:szCs w:val="20"/>
        </w:rPr>
      </w:pPr>
      <w:r>
        <w:rPr>
          <w:i/>
          <w:sz w:val="20"/>
          <w:szCs w:val="20"/>
        </w:rPr>
        <w:t>…</w:t>
      </w:r>
    </w:p>
    <w:p w14:paraId="5172EECA" w14:textId="77777777" w:rsidR="00C852C8" w:rsidRDefault="008C4FC6" w:rsidP="00591A5E">
      <w:pPr>
        <w:spacing w:after="0" w:line="360" w:lineRule="auto"/>
        <w:ind w:left="567" w:right="567"/>
        <w:rPr>
          <w:i/>
          <w:sz w:val="20"/>
          <w:szCs w:val="20"/>
        </w:rPr>
      </w:pPr>
      <w:r>
        <w:rPr>
          <w:i/>
          <w:sz w:val="20"/>
          <w:szCs w:val="20"/>
        </w:rPr>
        <w:t>III. La relativa a los servidores públicos integrantes de las instituciones de seguridad pública, cuya revelación pueda poner en riesgo su vida e integridad física con motivo de sus funciones;</w:t>
      </w:r>
    </w:p>
    <w:p w14:paraId="413F9D3D" w14:textId="77777777" w:rsidR="00C852C8" w:rsidRDefault="008C4FC6" w:rsidP="00591A5E">
      <w:pPr>
        <w:spacing w:after="0" w:line="360" w:lineRule="auto"/>
        <w:ind w:left="567" w:right="567"/>
        <w:rPr>
          <w:i/>
          <w:sz w:val="20"/>
          <w:szCs w:val="20"/>
        </w:rPr>
      </w:pPr>
      <w:r>
        <w:rPr>
          <w:i/>
          <w:sz w:val="20"/>
          <w:szCs w:val="20"/>
        </w:rPr>
        <w:lastRenderedPageBreak/>
        <w:t>…”</w:t>
      </w:r>
    </w:p>
    <w:p w14:paraId="40800F8B" w14:textId="77777777" w:rsidR="00C852C8" w:rsidRDefault="00C852C8" w:rsidP="00591A5E">
      <w:pPr>
        <w:spacing w:after="0" w:line="360" w:lineRule="auto"/>
      </w:pPr>
    </w:p>
    <w:p w14:paraId="0BE10DEF" w14:textId="77777777" w:rsidR="00C852C8" w:rsidRDefault="008C4FC6" w:rsidP="00591A5E">
      <w:pPr>
        <w:spacing w:after="0" w:line="360" w:lineRule="auto"/>
      </w:pPr>
      <w: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53E03369" w14:textId="77777777" w:rsidR="00C852C8" w:rsidRDefault="00C852C8" w:rsidP="00591A5E">
      <w:pPr>
        <w:spacing w:after="0" w:line="360" w:lineRule="auto"/>
        <w:rPr>
          <w:color w:val="000000"/>
        </w:rPr>
      </w:pPr>
    </w:p>
    <w:p w14:paraId="5B2115B7" w14:textId="77777777" w:rsidR="00C852C8" w:rsidRDefault="008C4FC6" w:rsidP="00591A5E">
      <w:pPr>
        <w:spacing w:after="0" w:line="360" w:lineRule="auto"/>
      </w:pPr>
      <w:r>
        <w:t>En ese contexto, es de señalar que los datos de servidores públicos, entre los que se encuentran el nombre de los trabajadores, por regla general, son de naturaleza pública, de conformidad con el 92, fracción VII, de la Ley de Transparencia y Acceso a la Información Pública del Estado de México y Municipios.</w:t>
      </w:r>
    </w:p>
    <w:p w14:paraId="697356F9" w14:textId="77777777" w:rsidR="00241BD3" w:rsidRDefault="00241BD3" w:rsidP="00591A5E">
      <w:pPr>
        <w:spacing w:after="0" w:line="360" w:lineRule="auto"/>
      </w:pPr>
    </w:p>
    <w:p w14:paraId="1F4AEDC4" w14:textId="77777777" w:rsidR="00C852C8" w:rsidRDefault="008C4FC6" w:rsidP="00591A5E">
      <w:pPr>
        <w:spacing w:after="0" w:line="360" w:lineRule="auto"/>
      </w:pPr>
      <w:r>
        <w:t xml:space="preserve">No obstante, resulta necesario traer a colación por analogía, el </w:t>
      </w:r>
      <w:r>
        <w:rPr>
          <w:color w:val="000000"/>
        </w:rPr>
        <w:t xml:space="preserve">Criterio Orientador, con número de registro SO/006/2009, de la Primera Época, </w:t>
      </w:r>
      <w:r>
        <w:t>emitido por el entonces Instituto Federal de Acceso a la Información y Protección de Datos ahora Instituto Nacional de Transparencia, Acceso a la Información y Protección de Datos Personales, vigente a la fecha de la solicitud, que establece lo siguiente:</w:t>
      </w:r>
    </w:p>
    <w:p w14:paraId="18903B57" w14:textId="77777777" w:rsidR="00C852C8" w:rsidRDefault="00C852C8" w:rsidP="00591A5E">
      <w:pPr>
        <w:spacing w:after="0" w:line="360" w:lineRule="auto"/>
      </w:pPr>
    </w:p>
    <w:p w14:paraId="704148DA" w14:textId="77777777" w:rsidR="00C852C8" w:rsidRDefault="008C4FC6" w:rsidP="00591A5E">
      <w:pPr>
        <w:tabs>
          <w:tab w:val="left" w:pos="4962"/>
        </w:tabs>
        <w:spacing w:after="0" w:line="360" w:lineRule="auto"/>
        <w:ind w:left="567" w:right="567"/>
        <w:rPr>
          <w:i/>
          <w:sz w:val="20"/>
          <w:szCs w:val="20"/>
        </w:rPr>
      </w:pPr>
      <w:r>
        <w:rPr>
          <w:b/>
          <w:i/>
          <w:sz w:val="20"/>
          <w:szCs w:val="20"/>
        </w:rPr>
        <w:t>“Nombres de servidores públicos dedicados a actividades en materia de seguridad, por excepción pueden considerarse información reservada.</w:t>
      </w:r>
      <w:r>
        <w:rPr>
          <w:i/>
          <w:sz w:val="20"/>
          <w:szCs w:val="20"/>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Pr>
          <w:i/>
          <w:sz w:val="20"/>
          <w:szCs w:val="20"/>
        </w:rPr>
        <w:t>obstante</w:t>
      </w:r>
      <w:proofErr w:type="gramEnd"/>
      <w:r>
        <w:rPr>
          <w:i/>
          <w:sz w:val="20"/>
          <w:szCs w:val="20"/>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w:t>
      </w:r>
      <w:r>
        <w:rPr>
          <w:i/>
          <w:sz w:val="20"/>
          <w:szCs w:val="20"/>
        </w:rPr>
        <w:lastRenderedPageBreak/>
        <w:t>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394C1A5" w14:textId="77777777" w:rsidR="00C852C8" w:rsidRDefault="00C852C8" w:rsidP="00591A5E">
      <w:pPr>
        <w:spacing w:after="0" w:line="360" w:lineRule="auto"/>
      </w:pPr>
    </w:p>
    <w:p w14:paraId="4CD58087" w14:textId="77777777" w:rsidR="00C852C8" w:rsidRDefault="008C4FC6" w:rsidP="00591A5E">
      <w:pPr>
        <w:spacing w:after="0" w:line="360" w:lineRule="auto"/>
      </w:pPr>
      <w: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5B08D9D" w14:textId="77777777" w:rsidR="00C852C8" w:rsidRDefault="00C852C8" w:rsidP="00591A5E">
      <w:pPr>
        <w:spacing w:after="0" w:line="360" w:lineRule="auto"/>
      </w:pPr>
    </w:p>
    <w:p w14:paraId="5135A051" w14:textId="77777777" w:rsidR="00C852C8" w:rsidRDefault="008C4FC6" w:rsidP="00591A5E">
      <w:pPr>
        <w:spacing w:after="0" w:line="360" w:lineRule="auto"/>
        <w:rPr>
          <w:color w:val="000000"/>
        </w:rPr>
      </w:pPr>
      <w:r>
        <w:rPr>
          <w:color w:val="000000"/>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11542CEE" w14:textId="77777777" w:rsidR="00C852C8" w:rsidRDefault="00C852C8" w:rsidP="00591A5E">
      <w:pPr>
        <w:spacing w:after="0" w:line="360" w:lineRule="auto"/>
      </w:pPr>
    </w:p>
    <w:p w14:paraId="654C5058" w14:textId="77777777" w:rsidR="00C852C8" w:rsidRDefault="008C4FC6" w:rsidP="00591A5E">
      <w:pPr>
        <w:spacing w:after="0" w:line="360" w:lineRule="auto"/>
      </w:pPr>
      <w:r>
        <w:t xml:space="preserve">En ese orden de ideas, si bien por regla general los nombres de los trabajadores gubernamentales son información pública de oficio, existe una excepción relativa a </w:t>
      </w:r>
      <w:r>
        <w:rPr>
          <w:b/>
        </w:rPr>
        <w:t>aquellos que realicen actividades operativas en materia de seguridad,</w:t>
      </w:r>
      <w:r>
        <w:t xml:space="preserve"> como es el caso de los elementos operativos y la policía municipal.</w:t>
      </w:r>
    </w:p>
    <w:p w14:paraId="3BB32E6A" w14:textId="77777777" w:rsidR="00C852C8" w:rsidRDefault="00C852C8" w:rsidP="00591A5E">
      <w:pPr>
        <w:spacing w:after="0" w:line="360" w:lineRule="auto"/>
      </w:pPr>
    </w:p>
    <w:p w14:paraId="6408684E" w14:textId="77777777" w:rsidR="00C852C8" w:rsidRDefault="008C4FC6" w:rsidP="00591A5E">
      <w:pPr>
        <w:spacing w:after="0" w:line="360" w:lineRule="auto"/>
      </w:pPr>
      <w: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1966356" w14:textId="77777777" w:rsidR="00C852C8" w:rsidRDefault="00C852C8" w:rsidP="00591A5E">
      <w:pPr>
        <w:spacing w:after="0" w:line="360" w:lineRule="auto"/>
      </w:pPr>
    </w:p>
    <w:p w14:paraId="716D9C67" w14:textId="77777777" w:rsidR="00C852C8" w:rsidRDefault="008C4FC6" w:rsidP="00591A5E">
      <w:pPr>
        <w:spacing w:after="0" w:line="360" w:lineRule="auto"/>
      </w:pPr>
      <w:r>
        <w:t>En ese contexto, el artículo 6°, fracciones XI y XII de dicho ordenamiento jurídico, establece los siguientes conceptos:</w:t>
      </w:r>
    </w:p>
    <w:p w14:paraId="1516042C" w14:textId="77777777" w:rsidR="00C852C8" w:rsidRDefault="00C852C8" w:rsidP="00591A5E">
      <w:pPr>
        <w:spacing w:after="0" w:line="360" w:lineRule="auto"/>
      </w:pPr>
    </w:p>
    <w:p w14:paraId="08AABD11" w14:textId="77777777" w:rsidR="00C852C8" w:rsidRDefault="008C4FC6" w:rsidP="00591A5E">
      <w:pPr>
        <w:numPr>
          <w:ilvl w:val="0"/>
          <w:numId w:val="11"/>
        </w:numPr>
        <w:spacing w:after="0" w:line="360" w:lineRule="auto"/>
        <w:jc w:val="left"/>
        <w:rPr>
          <w:b/>
        </w:rPr>
      </w:pPr>
      <w:r>
        <w:rPr>
          <w:b/>
        </w:rPr>
        <w:t xml:space="preserve">Instituciones Policiales: </w:t>
      </w:r>
      <w:r>
        <w:t xml:space="preserve">Son los cuerpos de policía, de vigilancia y custodia de los establecimientos penitenciarios, detención preventiva, centros de arraigo y en general, </w:t>
      </w:r>
      <w:r>
        <w:rPr>
          <w:b/>
        </w:rPr>
        <w:t>todas las dependencias encargadas de la seguridad pública a nivel</w:t>
      </w:r>
      <w:r>
        <w:t xml:space="preserve"> estatal y </w:t>
      </w:r>
      <w:r>
        <w:rPr>
          <w:b/>
        </w:rPr>
        <w:t>municipal.</w:t>
      </w:r>
    </w:p>
    <w:p w14:paraId="1923E7AE" w14:textId="77777777" w:rsidR="00C852C8" w:rsidRDefault="00C852C8" w:rsidP="00591A5E">
      <w:pPr>
        <w:spacing w:after="0" w:line="360" w:lineRule="auto"/>
        <w:ind w:left="720"/>
      </w:pPr>
    </w:p>
    <w:p w14:paraId="117BC206" w14:textId="77777777" w:rsidR="00C852C8" w:rsidRDefault="008C4FC6" w:rsidP="00591A5E">
      <w:pPr>
        <w:numPr>
          <w:ilvl w:val="0"/>
          <w:numId w:val="11"/>
        </w:numPr>
        <w:spacing w:after="0" w:line="360" w:lineRule="auto"/>
        <w:jc w:val="left"/>
        <w:rPr>
          <w:b/>
        </w:rPr>
      </w:pPr>
      <w:r>
        <w:rPr>
          <w:b/>
        </w:rPr>
        <w:t xml:space="preserve">Instituciones de Seguridad Pública: </w:t>
      </w:r>
      <w:r>
        <w:t xml:space="preserve">Instituciones Policiales, Procuración de Justicia, Sistema Penitenciario y </w:t>
      </w:r>
      <w:r>
        <w:rPr>
          <w:b/>
        </w:rPr>
        <w:t xml:space="preserve">dependencias encargadas de la seguridad pública a nivel </w:t>
      </w:r>
      <w:r>
        <w:t xml:space="preserve">estatal y </w:t>
      </w:r>
      <w:r>
        <w:rPr>
          <w:b/>
        </w:rPr>
        <w:t>municipal.</w:t>
      </w:r>
    </w:p>
    <w:p w14:paraId="53CF226A" w14:textId="77777777" w:rsidR="00C852C8" w:rsidRDefault="00C852C8" w:rsidP="00591A5E">
      <w:pPr>
        <w:spacing w:after="0" w:line="360" w:lineRule="auto"/>
        <w:rPr>
          <w:b/>
        </w:rPr>
      </w:pPr>
    </w:p>
    <w:p w14:paraId="4C682C3A" w14:textId="77777777" w:rsidR="00C852C8" w:rsidRDefault="008C4FC6" w:rsidP="00591A5E">
      <w:pPr>
        <w:spacing w:after="0" w:line="360" w:lineRule="auto"/>
      </w:pPr>
      <w:r>
        <w:t>Conforme a lo anterior, se puede deducir que la</w:t>
      </w:r>
      <w:r>
        <w:rPr>
          <w:color w:val="000000"/>
        </w:rPr>
        <w:t xml:space="preserve"> Dirección de Seguridad Pública</w:t>
      </w:r>
      <w:r>
        <w:t>, es una institución de seguridad pública, pues tiene como atribución principal, la prevención de delitos y proteger a las personas, sus propiedades, posesiones y derechos.</w:t>
      </w:r>
    </w:p>
    <w:p w14:paraId="5375803D" w14:textId="77777777" w:rsidR="00C852C8" w:rsidRDefault="00C852C8" w:rsidP="00591A5E">
      <w:pPr>
        <w:spacing w:after="0" w:line="360" w:lineRule="auto"/>
      </w:pPr>
    </w:p>
    <w:p w14:paraId="5DC595D3" w14:textId="77777777" w:rsidR="00C852C8" w:rsidRDefault="008C4FC6" w:rsidP="00591A5E">
      <w:pPr>
        <w:tabs>
          <w:tab w:val="left" w:pos="4962"/>
        </w:tabs>
        <w:spacing w:after="0" w:line="360" w:lineRule="auto"/>
        <w:ind w:right="-28"/>
      </w:pPr>
      <w:r>
        <w:t xml:space="preserve">Además, el Instructivo de llenado del Formato “Personal de Seguridad Pública”, del Secretariado Ejecutivo del Sistema Nacional de Seguridad Pública, establece que los elementos operativos de seguridad </w:t>
      </w:r>
      <w:proofErr w:type="gramStart"/>
      <w:r>
        <w:t>pública,</w:t>
      </w:r>
      <w:proofErr w:type="gramEnd"/>
      <w:r>
        <w:t xml:space="preserve"> son aquellos que desempeñan funciones de campo (policiales, </w:t>
      </w:r>
      <w:r>
        <w:lastRenderedPageBreak/>
        <w:t xml:space="preserve">especializadas o equivalentes y que no </w:t>
      </w:r>
      <w:r>
        <w:rPr>
          <w:b/>
        </w:rPr>
        <w:t>desempeña funciones de mando</w:t>
      </w:r>
      <w:r>
        <w:t xml:space="preserve">), entre los cuales, se encuentra </w:t>
      </w:r>
      <w:r>
        <w:rPr>
          <w:b/>
        </w:rPr>
        <w:t>la Policía Municipal</w:t>
      </w:r>
      <w:r>
        <w:t>.</w:t>
      </w:r>
    </w:p>
    <w:p w14:paraId="0011AE8D" w14:textId="77777777" w:rsidR="00C852C8" w:rsidRDefault="00C852C8" w:rsidP="00591A5E">
      <w:pPr>
        <w:tabs>
          <w:tab w:val="left" w:pos="4962"/>
        </w:tabs>
        <w:spacing w:after="0" w:line="360" w:lineRule="auto"/>
        <w:ind w:right="-28"/>
      </w:pPr>
    </w:p>
    <w:p w14:paraId="4162041B" w14:textId="77777777" w:rsidR="00C852C8" w:rsidRDefault="008C4FC6" w:rsidP="00591A5E">
      <w:pPr>
        <w:tabs>
          <w:tab w:val="left" w:pos="4962"/>
        </w:tabs>
        <w:spacing w:after="0" w:line="360" w:lineRule="auto"/>
        <w:ind w:right="-28"/>
      </w:pPr>
      <w:r>
        <w:t xml:space="preserve">Asimismo, se advierte que las Instituciones Policiales, se conforman del personal </w:t>
      </w:r>
      <w:r>
        <w:rPr>
          <w:b/>
        </w:rPr>
        <w:t>administrativo,</w:t>
      </w:r>
      <w:r>
        <w:t xml:space="preserve"> que son los trabajadores de apoyo (chofer, personal de mantenimiento, servicios generales y área secretaría); </w:t>
      </w:r>
      <w:r>
        <w:rPr>
          <w:b/>
        </w:rPr>
        <w:t>así como, el personal de mando</w:t>
      </w:r>
      <w:r>
        <w:t xml:space="preserve"> (alto, medio y superior), que es aquel que realiza funciones de dirección, coordinación y supervisión, por lo cual, corresponde a aquel que tenga trabajadores a su cargo.</w:t>
      </w:r>
    </w:p>
    <w:p w14:paraId="68445214" w14:textId="77777777" w:rsidR="00C852C8" w:rsidRDefault="00C852C8" w:rsidP="00591A5E">
      <w:pPr>
        <w:spacing w:after="0" w:line="360" w:lineRule="auto"/>
      </w:pPr>
    </w:p>
    <w:p w14:paraId="200DC1AD" w14:textId="77777777" w:rsidR="00C852C8" w:rsidRDefault="008C4FC6" w:rsidP="00591A5E">
      <w:pPr>
        <w:spacing w:after="0" w:line="360" w:lineRule="auto"/>
      </w:pPr>
      <w: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ACBDFB7" w14:textId="77777777" w:rsidR="00C852C8" w:rsidRDefault="00C852C8" w:rsidP="00591A5E">
      <w:pPr>
        <w:spacing w:after="0" w:line="360" w:lineRule="auto"/>
      </w:pPr>
    </w:p>
    <w:p w14:paraId="0A524F78" w14:textId="77777777" w:rsidR="00C852C8" w:rsidRDefault="008C4FC6" w:rsidP="00591A5E">
      <w:pPr>
        <w:spacing w:after="0" w:line="360" w:lineRule="auto"/>
      </w:pPr>
      <w:r>
        <w:t xml:space="preserve">Sin embargo, por lo que hace al </w:t>
      </w:r>
      <w:r>
        <w:rPr>
          <w:b/>
        </w:rPr>
        <w:t>personal administrativo y los mandos medios y superiores</w:t>
      </w:r>
      <w: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12BF55DC" w14:textId="77777777" w:rsidR="00C852C8" w:rsidRDefault="00C852C8" w:rsidP="00591A5E">
      <w:pPr>
        <w:spacing w:after="0" w:line="360" w:lineRule="auto"/>
      </w:pPr>
    </w:p>
    <w:p w14:paraId="514D934A" w14:textId="77777777" w:rsidR="00C852C8" w:rsidRDefault="008C4FC6" w:rsidP="00591A5E">
      <w:pPr>
        <w:spacing w:after="0" w:line="360" w:lineRule="auto"/>
      </w:pPr>
      <w:r>
        <w:lastRenderedPageBreak/>
        <w:t>De tal situación, se considera que dar a conocer el nombre de los elementos operativos en materia de seguridad, como lo son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8186AD5" w14:textId="77777777" w:rsidR="00C852C8" w:rsidRDefault="00C852C8" w:rsidP="00591A5E">
      <w:pPr>
        <w:spacing w:after="0" w:line="360" w:lineRule="auto"/>
      </w:pPr>
    </w:p>
    <w:p w14:paraId="4BC724E6" w14:textId="77777777" w:rsidR="00C852C8" w:rsidRDefault="008C4FC6" w:rsidP="00591A5E">
      <w:pPr>
        <w:spacing w:after="0" w:line="360" w:lineRule="auto"/>
      </w:pPr>
      <w: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31DF7C3F" w14:textId="77777777" w:rsidR="00C852C8" w:rsidRDefault="00C852C8" w:rsidP="00591A5E">
      <w:pPr>
        <w:spacing w:after="0" w:line="360" w:lineRule="auto"/>
      </w:pPr>
    </w:p>
    <w:p w14:paraId="65AE5DEB" w14:textId="77777777" w:rsidR="00C852C8" w:rsidRDefault="008C4FC6" w:rsidP="00591A5E">
      <w:pPr>
        <w:spacing w:after="0" w:line="360" w:lineRule="auto"/>
      </w:pPr>
      <w:r>
        <w:t xml:space="preserve">Por tales consideraciones, </w:t>
      </w:r>
      <w:r>
        <w:rPr>
          <w:b/>
        </w:rPr>
        <w:t>resulta procedente la reserva del nombre de los elementos operativos adscritos a la</w:t>
      </w:r>
      <w:r>
        <w:rPr>
          <w:b/>
          <w:color w:val="000000"/>
        </w:rPr>
        <w:t xml:space="preserve"> Dirección de Seguridad Pública</w:t>
      </w:r>
      <w:r>
        <w:rPr>
          <w:b/>
        </w:rPr>
        <w:t>, en términos del artículo 140, fracción IV, de la Ley de Transparencia y Acceso a la Información Pública del Estado de México y Municipios. No obstante, no podrá clasificar al personal administrativo, ni los mandos medios o superiores de dicha área.</w:t>
      </w:r>
    </w:p>
    <w:p w14:paraId="6D55E2D3" w14:textId="77777777" w:rsidR="00C852C8" w:rsidRDefault="00C852C8" w:rsidP="00591A5E">
      <w:pPr>
        <w:spacing w:after="0" w:line="360" w:lineRule="auto"/>
        <w:rPr>
          <w:b/>
        </w:rPr>
      </w:pPr>
    </w:p>
    <w:p w14:paraId="12EBAC6B" w14:textId="77777777" w:rsidR="00C852C8" w:rsidRDefault="008C4FC6" w:rsidP="00591A5E">
      <w:pPr>
        <w:tabs>
          <w:tab w:val="left" w:pos="4962"/>
        </w:tabs>
        <w:spacing w:after="0" w:line="360" w:lineRule="auto"/>
      </w:pPr>
      <w: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64250C5" w14:textId="77777777" w:rsidR="00C852C8" w:rsidRDefault="00C852C8" w:rsidP="00591A5E">
      <w:pPr>
        <w:tabs>
          <w:tab w:val="left" w:pos="4962"/>
        </w:tabs>
        <w:spacing w:after="0" w:line="360" w:lineRule="auto"/>
      </w:pPr>
    </w:p>
    <w:p w14:paraId="692195D7" w14:textId="77777777" w:rsidR="00C852C8" w:rsidRDefault="008C4FC6" w:rsidP="00591A5E">
      <w:pPr>
        <w:numPr>
          <w:ilvl w:val="0"/>
          <w:numId w:val="10"/>
        </w:numPr>
        <w:tabs>
          <w:tab w:val="left" w:pos="4962"/>
        </w:tabs>
        <w:spacing w:after="0" w:line="360" w:lineRule="auto"/>
        <w:ind w:left="709" w:hanging="436"/>
      </w:pPr>
      <w:r>
        <w:t>La divulgación de la información representa un riesgo real, demostrable e identificable de perjuicio significativo al interés público o a la seguridad nacional.</w:t>
      </w:r>
    </w:p>
    <w:p w14:paraId="0899D0E7" w14:textId="77777777" w:rsidR="00C148B8" w:rsidRDefault="00C148B8" w:rsidP="00C148B8">
      <w:pPr>
        <w:tabs>
          <w:tab w:val="left" w:pos="4962"/>
        </w:tabs>
        <w:spacing w:after="0" w:line="360" w:lineRule="auto"/>
        <w:ind w:left="709"/>
      </w:pPr>
    </w:p>
    <w:p w14:paraId="487E581C" w14:textId="77777777" w:rsidR="00C852C8" w:rsidRDefault="008C4FC6" w:rsidP="00591A5E">
      <w:pPr>
        <w:numPr>
          <w:ilvl w:val="0"/>
          <w:numId w:val="10"/>
        </w:numPr>
        <w:tabs>
          <w:tab w:val="left" w:pos="4962"/>
        </w:tabs>
        <w:spacing w:after="0" w:line="360" w:lineRule="auto"/>
        <w:ind w:left="709" w:hanging="436"/>
        <w:jc w:val="left"/>
      </w:pPr>
      <w:r>
        <w:lastRenderedPageBreak/>
        <w:t>El riesgo de perjuicio supera el interés público general de que se difunda.</w:t>
      </w:r>
    </w:p>
    <w:p w14:paraId="3D6E44BC" w14:textId="77777777" w:rsidR="00C148B8" w:rsidRDefault="00C148B8" w:rsidP="00C148B8">
      <w:pPr>
        <w:pStyle w:val="Prrafodelista"/>
      </w:pPr>
    </w:p>
    <w:p w14:paraId="7FFA391F" w14:textId="77777777" w:rsidR="00C148B8" w:rsidRDefault="00C148B8" w:rsidP="00C148B8">
      <w:pPr>
        <w:tabs>
          <w:tab w:val="left" w:pos="4962"/>
        </w:tabs>
        <w:spacing w:after="0" w:line="360" w:lineRule="auto"/>
        <w:ind w:left="709"/>
        <w:jc w:val="left"/>
      </w:pPr>
    </w:p>
    <w:p w14:paraId="3206FF71" w14:textId="77777777" w:rsidR="00C852C8" w:rsidRDefault="008C4FC6" w:rsidP="00591A5E">
      <w:pPr>
        <w:numPr>
          <w:ilvl w:val="0"/>
          <w:numId w:val="10"/>
        </w:numPr>
        <w:tabs>
          <w:tab w:val="left" w:pos="4962"/>
        </w:tabs>
        <w:spacing w:after="0" w:line="360" w:lineRule="auto"/>
        <w:ind w:left="709" w:hanging="436"/>
        <w:jc w:val="left"/>
      </w:pPr>
      <w:r>
        <w:t>Que la limitación se adecua al principio de proporcionalidad y representa el medio menos restrictivo disponible para evitar el perjuicio.</w:t>
      </w:r>
    </w:p>
    <w:p w14:paraId="518260A6" w14:textId="77777777" w:rsidR="00C852C8" w:rsidRDefault="00C852C8" w:rsidP="00591A5E">
      <w:pPr>
        <w:spacing w:after="0" w:line="360" w:lineRule="auto"/>
        <w:jc w:val="left"/>
      </w:pPr>
    </w:p>
    <w:p w14:paraId="11C2AEE7" w14:textId="77777777" w:rsidR="00C852C8" w:rsidRDefault="008C4FC6" w:rsidP="00591A5E">
      <w:pPr>
        <w:spacing w:after="0" w:line="360" w:lineRule="auto"/>
      </w:pPr>
      <w: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p>
    <w:p w14:paraId="74BC8B49" w14:textId="77777777" w:rsidR="00C852C8" w:rsidRDefault="00C852C8" w:rsidP="00591A5E">
      <w:pPr>
        <w:spacing w:after="0" w:line="360" w:lineRule="auto"/>
      </w:pPr>
    </w:p>
    <w:p w14:paraId="003878A4" w14:textId="77777777" w:rsidR="00C852C8" w:rsidRDefault="008C4FC6" w:rsidP="00591A5E">
      <w:pPr>
        <w:spacing w:after="0" w:line="360" w:lineRule="auto"/>
      </w:pPr>
      <w: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de la</w:t>
      </w:r>
      <w:r>
        <w:rPr>
          <w:color w:val="000000"/>
        </w:rPr>
        <w:t xml:space="preserve"> Dirección de Seguridad Pública</w:t>
      </w:r>
      <w:r>
        <w:t>, de manera fundada y motivada, mediante la respectiva prueba de daño, y deberá proporcionar la información del personal administrativo y mandos medios y superiores de dicha área.</w:t>
      </w:r>
    </w:p>
    <w:p w14:paraId="1178EEA4" w14:textId="77777777" w:rsidR="00C852C8" w:rsidRDefault="00C852C8" w:rsidP="00591A5E">
      <w:pPr>
        <w:tabs>
          <w:tab w:val="center" w:pos="4522"/>
        </w:tabs>
        <w:spacing w:after="0" w:line="360" w:lineRule="auto"/>
        <w:rPr>
          <w:color w:val="000000"/>
        </w:rPr>
      </w:pPr>
    </w:p>
    <w:p w14:paraId="6767D2DB" w14:textId="77777777" w:rsidR="00C852C8" w:rsidRDefault="008C4FC6" w:rsidP="00591A5E">
      <w:pPr>
        <w:spacing w:after="0" w:line="360" w:lineRule="auto"/>
        <w:ind w:right="-28"/>
        <w:rPr>
          <w:color w:val="000000"/>
        </w:rPr>
      </w:pPr>
      <w:r>
        <w:t>Por lo que, para atender el requerimiento deberá proporcionar los documentos solicitados en versión pública; p</w:t>
      </w:r>
      <w:r>
        <w:rPr>
          <w:color w:val="000000"/>
        </w:rPr>
        <w:t xml:space="preserve">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w:t>
      </w:r>
      <w:r>
        <w:rPr>
          <w:color w:val="000000"/>
        </w:rPr>
        <w:lastRenderedPageBreak/>
        <w:t>enunciativa más no limitativa los datos previamente señalados, fundando y motivando la clasificación.</w:t>
      </w:r>
    </w:p>
    <w:p w14:paraId="15111C7F" w14:textId="77777777" w:rsidR="00C852C8" w:rsidRDefault="00C852C8" w:rsidP="00591A5E">
      <w:pPr>
        <w:spacing w:after="0" w:line="360" w:lineRule="auto"/>
      </w:pPr>
    </w:p>
    <w:p w14:paraId="4C7EE045" w14:textId="77777777" w:rsidR="00C852C8" w:rsidRDefault="008C4FC6" w:rsidP="00591A5E">
      <w:pPr>
        <w:pStyle w:val="Ttulo2"/>
        <w:spacing w:before="0" w:after="0"/>
        <w:rPr>
          <w:b w:val="0"/>
        </w:rPr>
      </w:pPr>
      <w:bookmarkStart w:id="15" w:name="_Toc206086489"/>
      <w:r>
        <w:t>SEXTO. Decisión</w:t>
      </w:r>
      <w:bookmarkEnd w:id="15"/>
    </w:p>
    <w:p w14:paraId="3A6E9062" w14:textId="77777777" w:rsidR="00C852C8" w:rsidRDefault="00C852C8" w:rsidP="00591A5E">
      <w:pPr>
        <w:spacing w:after="0" w:line="360" w:lineRule="auto"/>
        <w:rPr>
          <w:b/>
        </w:rPr>
      </w:pPr>
    </w:p>
    <w:p w14:paraId="3EA5C6DC" w14:textId="56DC04E4" w:rsidR="00C852C8" w:rsidRDefault="008C4FC6" w:rsidP="00591A5E">
      <w:pPr>
        <w:spacing w:after="0" w:line="360" w:lineRule="auto"/>
      </w:pPr>
      <w:r>
        <w:t xml:space="preserve">Con fundamento en el artículo 186, fracción III, de la Ley de Transparencia y Acceso a la Información Pública del Estado de México y Municipios, este Instituto considera procedente </w:t>
      </w:r>
      <w:r w:rsidR="00241BD3">
        <w:rPr>
          <w:b/>
        </w:rPr>
        <w:t>MODIFI</w:t>
      </w:r>
      <w:r>
        <w:rPr>
          <w:b/>
        </w:rPr>
        <w:t xml:space="preserve">CAR </w:t>
      </w:r>
      <w:r>
        <w:t xml:space="preserve">la respuesta otorgada por el Sujeto Obligado a la solicitud de información </w:t>
      </w:r>
      <w:r>
        <w:rPr>
          <w:b/>
        </w:rPr>
        <w:t>00009/TLATLAYA/IP/2025</w:t>
      </w:r>
      <w:r>
        <w:t xml:space="preserve">, por resultar fundadas las razones o motivos de inconformidad hechos valer por la parte Recurrente, en el Recurso de Revisión </w:t>
      </w:r>
      <w:r>
        <w:rPr>
          <w:b/>
        </w:rPr>
        <w:t>05901/INFOEM/IP/RR/2025</w:t>
      </w:r>
      <w:r>
        <w:t xml:space="preserve">, en consecuencia procede </w:t>
      </w:r>
      <w:r>
        <w:rPr>
          <w:b/>
        </w:rPr>
        <w:t xml:space="preserve">ORDENAR, </w:t>
      </w:r>
      <w:r>
        <w:t>la entrega de la información en los términos expuestos.</w:t>
      </w:r>
    </w:p>
    <w:p w14:paraId="78CAB5CB" w14:textId="77777777" w:rsidR="00C852C8" w:rsidRDefault="00C852C8" w:rsidP="00591A5E">
      <w:pPr>
        <w:spacing w:after="0" w:line="360" w:lineRule="auto"/>
      </w:pPr>
    </w:p>
    <w:p w14:paraId="13AD1EB7" w14:textId="70E6C83E" w:rsidR="00C852C8" w:rsidRDefault="008C4FC6" w:rsidP="00591A5E">
      <w:pPr>
        <w:spacing w:after="0" w:line="360" w:lineRule="auto"/>
        <w:rPr>
          <w:b/>
          <w:u w:val="single"/>
        </w:rPr>
      </w:pPr>
      <w:r>
        <w:rPr>
          <w:b/>
          <w:u w:val="single"/>
        </w:rPr>
        <w:t>Términos de la Reso</w:t>
      </w:r>
      <w:r w:rsidR="00733464">
        <w:rPr>
          <w:b/>
          <w:u w:val="single"/>
        </w:rPr>
        <w:t>lución para la parte Recurrente</w:t>
      </w:r>
    </w:p>
    <w:p w14:paraId="73801098" w14:textId="77777777" w:rsidR="00C852C8" w:rsidRDefault="00C852C8" w:rsidP="00591A5E">
      <w:pPr>
        <w:spacing w:after="0" w:line="360" w:lineRule="auto"/>
      </w:pPr>
    </w:p>
    <w:p w14:paraId="13098751" w14:textId="77777777" w:rsidR="00C852C8" w:rsidRDefault="008C4FC6" w:rsidP="00591A5E">
      <w:pPr>
        <w:spacing w:after="0" w:line="360" w:lineRule="auto"/>
        <w:rPr>
          <w:u w:val="single"/>
        </w:rPr>
      </w:pPr>
      <w:r>
        <w:rPr>
          <w:u w:val="single"/>
        </w:rPr>
        <w:t xml:space="preserve">Se hace del conocimiento de parte Recurrente que este Organismo Garante determinó concederle la razón, puesto que lo entregado en respuesta e informe justificado no corresponde con lo solicitado y se advierte que cuenta con un número mayor de personas servidoras públicas que del informado. Por lo que se ordena la entrega de la información. </w:t>
      </w:r>
    </w:p>
    <w:p w14:paraId="6F98D7B5" w14:textId="77777777" w:rsidR="00C852C8" w:rsidRDefault="00C852C8" w:rsidP="00591A5E">
      <w:pPr>
        <w:spacing w:after="0" w:line="360" w:lineRule="auto"/>
        <w:rPr>
          <w:u w:val="single"/>
        </w:rPr>
      </w:pPr>
    </w:p>
    <w:p w14:paraId="55983E2D" w14:textId="77777777" w:rsidR="00C852C8" w:rsidRDefault="008C4FC6" w:rsidP="00591A5E">
      <w:pPr>
        <w:spacing w:after="0" w:line="360" w:lineRule="auto"/>
        <w:rPr>
          <w:u w:val="single"/>
        </w:rPr>
      </w:pPr>
      <w:r>
        <w:rPr>
          <w:u w:val="single"/>
        </w:rPr>
        <w:t>Es necesario mencionar que para el caso de que la información tenga información confidencial o reservada, la misma debe ser testada y se entregará acompañada de un acuerdo en el que se expresen las razones por las que se protege dicha información.</w:t>
      </w:r>
    </w:p>
    <w:p w14:paraId="4C963544" w14:textId="77777777" w:rsidR="00C852C8" w:rsidRDefault="00C852C8" w:rsidP="00591A5E">
      <w:pPr>
        <w:spacing w:after="0" w:line="360" w:lineRule="auto"/>
        <w:rPr>
          <w:u w:val="single"/>
        </w:rPr>
      </w:pPr>
    </w:p>
    <w:p w14:paraId="39864147" w14:textId="77777777" w:rsidR="00C852C8" w:rsidRDefault="008C4FC6" w:rsidP="00591A5E">
      <w:pPr>
        <w:spacing w:after="0" w:line="360" w:lineRule="auto"/>
        <w:rPr>
          <w:u w:val="single"/>
        </w:rPr>
      </w:pPr>
      <w:r>
        <w:rPr>
          <w:u w:val="single"/>
        </w:rPr>
        <w:t>La labor del INFOEM, es apoyar a la población para acceder a la información pública y garantizar la protección de sus datos personales.</w:t>
      </w:r>
    </w:p>
    <w:p w14:paraId="6E8316E2" w14:textId="77777777" w:rsidR="00C852C8" w:rsidRDefault="00C852C8" w:rsidP="00591A5E">
      <w:pPr>
        <w:spacing w:after="0" w:line="360" w:lineRule="auto"/>
        <w:rPr>
          <w:u w:val="single"/>
        </w:rPr>
      </w:pPr>
    </w:p>
    <w:p w14:paraId="3611D0FE" w14:textId="77777777" w:rsidR="00C852C8" w:rsidRDefault="008C4FC6" w:rsidP="00591A5E">
      <w:pPr>
        <w:pStyle w:val="Ttulo1"/>
        <w:spacing w:before="0" w:after="0"/>
        <w:rPr>
          <w:b w:val="0"/>
          <w:sz w:val="22"/>
          <w:szCs w:val="22"/>
        </w:rPr>
      </w:pPr>
      <w:bookmarkStart w:id="16" w:name="_Toc206086490"/>
      <w:r>
        <w:rPr>
          <w:sz w:val="22"/>
          <w:szCs w:val="22"/>
        </w:rPr>
        <w:lastRenderedPageBreak/>
        <w:t>R E S U E L V E</w:t>
      </w:r>
      <w:bookmarkEnd w:id="16"/>
    </w:p>
    <w:p w14:paraId="648B6189" w14:textId="77777777" w:rsidR="00C852C8" w:rsidRDefault="00C852C8" w:rsidP="00591A5E">
      <w:pPr>
        <w:spacing w:after="0" w:line="360" w:lineRule="auto"/>
        <w:rPr>
          <w:b/>
        </w:rPr>
      </w:pPr>
    </w:p>
    <w:p w14:paraId="5229A6A0" w14:textId="192389E5" w:rsidR="00C852C8" w:rsidRDefault="008C4FC6" w:rsidP="00591A5E">
      <w:pPr>
        <w:spacing w:after="0" w:line="360" w:lineRule="auto"/>
      </w:pPr>
      <w:r>
        <w:rPr>
          <w:b/>
        </w:rPr>
        <w:t xml:space="preserve">PRIMERO. </w:t>
      </w:r>
      <w:r>
        <w:t xml:space="preserve">Se </w:t>
      </w:r>
      <w:r w:rsidR="00241BD3">
        <w:rPr>
          <w:b/>
        </w:rPr>
        <w:t>MODIFI</w:t>
      </w:r>
      <w:r>
        <w:rPr>
          <w:b/>
        </w:rPr>
        <w:t>CA</w:t>
      </w:r>
      <w:r>
        <w:t xml:space="preserve"> la respuesta entregada por el Ayuntamiento de Tlatlaya a la solicitud de información </w:t>
      </w:r>
      <w:r w:rsidRPr="00241BD3">
        <w:rPr>
          <w:bCs/>
        </w:rPr>
        <w:t>00009/TLATLAYA/IP/2025 por resultar fundadas las razones o motivos de inconformidad hechos valer por la persona Recurrente en el Recurso de Revisión 05901/INFOEM/IP/RR/2025,</w:t>
      </w:r>
      <w:r>
        <w:t xml:space="preserve"> en términos de los considerandos QUINTO y SEXTO de la presente Resolución.</w:t>
      </w:r>
    </w:p>
    <w:p w14:paraId="22EA2A82" w14:textId="77777777" w:rsidR="00C852C8" w:rsidRDefault="00C852C8" w:rsidP="00591A5E">
      <w:pPr>
        <w:spacing w:after="0" w:line="360" w:lineRule="auto"/>
      </w:pPr>
    </w:p>
    <w:p w14:paraId="3E33A713" w14:textId="3DD463ED" w:rsidR="00241BD3" w:rsidRDefault="008C4FC6" w:rsidP="00241BD3">
      <w:pPr>
        <w:spacing w:after="0" w:line="360" w:lineRule="auto"/>
      </w:pPr>
      <w:bookmarkStart w:id="17" w:name="_heading=h.argy21qnkmhr" w:colFirst="0" w:colLast="0"/>
      <w:bookmarkEnd w:id="17"/>
      <w:r>
        <w:rPr>
          <w:b/>
        </w:rPr>
        <w:t xml:space="preserve">SEGUNDO. </w:t>
      </w:r>
      <w:r>
        <w:t xml:space="preserve">Se </w:t>
      </w:r>
      <w:r>
        <w:rPr>
          <w:b/>
        </w:rPr>
        <w:t>ORDENA</w:t>
      </w:r>
      <w:r>
        <w:t xml:space="preserve"> al Sujeto Obligado, a efecto de que previa búsqueda exhaustiva y razonable, en los archivos de las unidades administrativas competentes, entregue a través del Sistema de Acceso a la Información Mexiquense (SAIMEX), </w:t>
      </w:r>
      <w:r w:rsidR="00241BD3">
        <w:t xml:space="preserve">en </w:t>
      </w:r>
      <w:r>
        <w:t xml:space="preserve">versión pública, en el formato Excel o aquel en el que lo haya generado, </w:t>
      </w:r>
      <w:r w:rsidR="00241BD3">
        <w:t>los documentos donde conste lo siguiente:</w:t>
      </w:r>
    </w:p>
    <w:p w14:paraId="07D23E29" w14:textId="77777777" w:rsidR="00241BD3" w:rsidRDefault="00241BD3" w:rsidP="00591A5E">
      <w:pPr>
        <w:spacing w:after="0" w:line="360" w:lineRule="auto"/>
      </w:pPr>
    </w:p>
    <w:p w14:paraId="79D99489" w14:textId="2F4F61AD" w:rsidR="00C852C8" w:rsidRDefault="00241BD3" w:rsidP="00241BD3">
      <w:pPr>
        <w:pStyle w:val="Prrafodelista"/>
        <w:numPr>
          <w:ilvl w:val="0"/>
          <w:numId w:val="14"/>
        </w:numPr>
        <w:spacing w:line="360" w:lineRule="auto"/>
      </w:pPr>
      <w:r>
        <w:t xml:space="preserve">El nombre y sueldo neto pagado en la segunda quincena de marzo de dos mil veinticinco, de todos los servidores públicos adscritos al Ayuntamiento de Tlatlaya, así como, del personal eventual y lista de raya. </w:t>
      </w:r>
    </w:p>
    <w:p w14:paraId="2B24526B" w14:textId="77777777" w:rsidR="00C852C8" w:rsidRDefault="00C852C8" w:rsidP="00591A5E">
      <w:pPr>
        <w:spacing w:after="0" w:line="360" w:lineRule="auto"/>
      </w:pPr>
    </w:p>
    <w:p w14:paraId="047C2DEC" w14:textId="1362EE8F" w:rsidR="00C852C8" w:rsidRDefault="008C4FC6" w:rsidP="00591A5E">
      <w:pPr>
        <w:spacing w:after="0" w:line="360" w:lineRule="auto"/>
      </w:pPr>
      <w:r>
        <w:rPr>
          <w:color w:val="000000"/>
        </w:rPr>
        <w:t xml:space="preserve">Además, </w:t>
      </w:r>
      <w: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5F0ABCE5" w14:textId="77777777" w:rsidR="00241BD3" w:rsidRDefault="00241BD3" w:rsidP="00591A5E">
      <w:pPr>
        <w:spacing w:after="0" w:line="360" w:lineRule="auto"/>
      </w:pPr>
    </w:p>
    <w:p w14:paraId="4B78E354" w14:textId="20106CE8" w:rsidR="00241BD3" w:rsidRDefault="00241BD3" w:rsidP="00591A5E">
      <w:pPr>
        <w:spacing w:after="0" w:line="360" w:lineRule="auto"/>
      </w:pPr>
      <w:r>
        <w:t>Para el supuesto, de que no cuente con lista de raya, deberá hacerlo del conocimiento de la parte Recurrente de manera clara y precisa.</w:t>
      </w:r>
    </w:p>
    <w:p w14:paraId="2AFA77D9" w14:textId="77777777" w:rsidR="00C852C8" w:rsidRDefault="00C852C8" w:rsidP="00591A5E">
      <w:pPr>
        <w:spacing w:after="0" w:line="360" w:lineRule="auto"/>
      </w:pPr>
    </w:p>
    <w:p w14:paraId="65D493C0" w14:textId="77777777" w:rsidR="00C852C8" w:rsidRDefault="008C4FC6" w:rsidP="00591A5E">
      <w:pPr>
        <w:spacing w:after="0" w:line="360" w:lineRule="auto"/>
      </w:pPr>
      <w:r>
        <w:rPr>
          <w:b/>
        </w:rPr>
        <w:t xml:space="preserve">TERCERO. NOTIFÍQUESE POR SAIMEX </w:t>
      </w:r>
      <w:r>
        <w:t xml:space="preserve">la presente resolución al Titular de la Unidad de Transparencia del Sujeto Obligado, para que conforme al artículo 186, último párrafo, 189, </w:t>
      </w:r>
      <w: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27351760" w14:textId="77777777" w:rsidR="00C852C8" w:rsidRDefault="00C852C8" w:rsidP="00591A5E">
      <w:pPr>
        <w:spacing w:after="0" w:line="360" w:lineRule="auto"/>
      </w:pPr>
    </w:p>
    <w:p w14:paraId="3ACE838F" w14:textId="77777777" w:rsidR="00C852C8" w:rsidRDefault="008C4FC6" w:rsidP="00591A5E">
      <w:pPr>
        <w:spacing w:after="0" w:line="360" w:lineRule="auto"/>
      </w:pPr>
      <w: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99DBF1" w14:textId="77777777" w:rsidR="00C852C8" w:rsidRDefault="00C852C8" w:rsidP="00591A5E">
      <w:pPr>
        <w:spacing w:after="0" w:line="360" w:lineRule="auto"/>
      </w:pPr>
    </w:p>
    <w:p w14:paraId="6C9781F7" w14:textId="77777777" w:rsidR="00C852C8" w:rsidRDefault="008C4FC6" w:rsidP="00591A5E">
      <w:pPr>
        <w:spacing w:after="0" w:line="360" w:lineRule="auto"/>
      </w:pPr>
      <w:r>
        <w:rPr>
          <w:b/>
        </w:rPr>
        <w:t>CUARTO. NOTIFÍQUESE</w:t>
      </w:r>
      <w:r>
        <w:t xml:space="preserve"> </w:t>
      </w:r>
      <w:r>
        <w:rPr>
          <w:b/>
        </w:rPr>
        <w:t xml:space="preserve">POR SAIMEX </w:t>
      </w:r>
      <w:r>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B61E3A2" w14:textId="77777777" w:rsidR="00C852C8" w:rsidRDefault="00C852C8" w:rsidP="00591A5E">
      <w:pPr>
        <w:spacing w:after="0" w:line="360" w:lineRule="auto"/>
      </w:pPr>
    </w:p>
    <w:p w14:paraId="45667DEA" w14:textId="31B4FE8E" w:rsidR="00C852C8" w:rsidRDefault="008C4FC6" w:rsidP="00591A5E">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w:t>
      </w:r>
      <w:r w:rsidR="001A6295">
        <w:t xml:space="preserve"> </w:t>
      </w:r>
      <w:r>
        <w:t>Y GUADALUPE RAMÍREZ PEÑA</w:t>
      </w:r>
      <w:r w:rsidR="00FC0B1E">
        <w:t xml:space="preserve"> CON VOTO PARTICULAR</w:t>
      </w:r>
      <w:r>
        <w:t>, EN LA VIGÉSIMA OCTAVA SESIÓN ORDINARIA, CELEBRADA EL TRECE DE AGOSTO DE DOS MIL VEINTICINCO, ANTE EL SECRETARIO TÉCNICO DEL PLENO, ALEXIS TAPIA RAMÍREZ.</w:t>
      </w:r>
    </w:p>
    <w:p w14:paraId="07F95F77" w14:textId="77777777" w:rsidR="00C852C8" w:rsidRDefault="00C852C8" w:rsidP="00591A5E">
      <w:pPr>
        <w:pStyle w:val="Ttulo2"/>
        <w:spacing w:before="0" w:after="0"/>
        <w:rPr>
          <w:b w:val="0"/>
        </w:rPr>
      </w:pPr>
    </w:p>
    <w:p w14:paraId="04D00976" w14:textId="77777777" w:rsidR="00C852C8" w:rsidRDefault="00C852C8" w:rsidP="00591A5E">
      <w:pPr>
        <w:spacing w:after="0" w:line="360" w:lineRule="auto"/>
      </w:pPr>
    </w:p>
    <w:p w14:paraId="3C07B44E" w14:textId="77777777" w:rsidR="00C852C8" w:rsidRDefault="00C852C8" w:rsidP="00591A5E">
      <w:pPr>
        <w:spacing w:after="0" w:line="360" w:lineRule="auto"/>
      </w:pPr>
    </w:p>
    <w:p w14:paraId="0E9CF645" w14:textId="77777777" w:rsidR="00C852C8" w:rsidRDefault="00C852C8" w:rsidP="00591A5E">
      <w:pPr>
        <w:spacing w:after="0" w:line="360" w:lineRule="auto"/>
      </w:pPr>
    </w:p>
    <w:p w14:paraId="36A0780E" w14:textId="77777777" w:rsidR="00C852C8" w:rsidRDefault="00C852C8" w:rsidP="00591A5E">
      <w:pPr>
        <w:spacing w:after="0" w:line="360" w:lineRule="auto"/>
      </w:pPr>
    </w:p>
    <w:p w14:paraId="452A7366" w14:textId="77777777" w:rsidR="00C852C8" w:rsidRDefault="00C852C8" w:rsidP="00591A5E">
      <w:pPr>
        <w:spacing w:after="0" w:line="360" w:lineRule="auto"/>
      </w:pPr>
    </w:p>
    <w:p w14:paraId="0899E062" w14:textId="77777777" w:rsidR="00C852C8" w:rsidRDefault="00C852C8" w:rsidP="00591A5E">
      <w:pPr>
        <w:spacing w:after="0" w:line="360" w:lineRule="auto"/>
      </w:pPr>
    </w:p>
    <w:p w14:paraId="1241B84A" w14:textId="77777777" w:rsidR="00C852C8" w:rsidRDefault="00C852C8" w:rsidP="00591A5E">
      <w:pPr>
        <w:spacing w:after="0" w:line="360" w:lineRule="auto"/>
      </w:pPr>
    </w:p>
    <w:p w14:paraId="7E47BA8F" w14:textId="77777777" w:rsidR="00C852C8" w:rsidRDefault="00C852C8" w:rsidP="00591A5E">
      <w:pPr>
        <w:spacing w:after="0" w:line="360" w:lineRule="auto"/>
      </w:pPr>
    </w:p>
    <w:p w14:paraId="20CCEB53" w14:textId="77777777" w:rsidR="00C852C8" w:rsidRDefault="00C852C8" w:rsidP="00591A5E">
      <w:pPr>
        <w:spacing w:after="0" w:line="360" w:lineRule="auto"/>
      </w:pPr>
    </w:p>
    <w:p w14:paraId="706C8DDD" w14:textId="77777777" w:rsidR="00C852C8" w:rsidRDefault="00C852C8" w:rsidP="00591A5E">
      <w:pPr>
        <w:spacing w:after="0" w:line="360" w:lineRule="auto"/>
      </w:pPr>
    </w:p>
    <w:p w14:paraId="0F8B58C4" w14:textId="77777777" w:rsidR="00C852C8" w:rsidRDefault="00C852C8" w:rsidP="00591A5E">
      <w:pPr>
        <w:spacing w:after="0" w:line="360" w:lineRule="auto"/>
      </w:pPr>
    </w:p>
    <w:p w14:paraId="6FD905E2" w14:textId="77777777" w:rsidR="00C852C8" w:rsidRDefault="00C852C8" w:rsidP="00591A5E">
      <w:pPr>
        <w:spacing w:after="0" w:line="360" w:lineRule="auto"/>
      </w:pPr>
    </w:p>
    <w:p w14:paraId="73C38F28" w14:textId="77777777" w:rsidR="00C852C8" w:rsidRDefault="00C852C8" w:rsidP="00591A5E">
      <w:pPr>
        <w:spacing w:after="0" w:line="360" w:lineRule="auto"/>
      </w:pPr>
    </w:p>
    <w:p w14:paraId="3057ECA4" w14:textId="77777777" w:rsidR="00C852C8" w:rsidRDefault="00C852C8" w:rsidP="00591A5E">
      <w:pPr>
        <w:spacing w:after="0" w:line="360" w:lineRule="auto"/>
      </w:pPr>
    </w:p>
    <w:p w14:paraId="381E13D7" w14:textId="77777777" w:rsidR="00C852C8" w:rsidRDefault="00C852C8" w:rsidP="00591A5E">
      <w:pPr>
        <w:spacing w:after="0" w:line="360" w:lineRule="auto"/>
      </w:pPr>
    </w:p>
    <w:p w14:paraId="74EBE4C9" w14:textId="77777777" w:rsidR="00C852C8" w:rsidRDefault="00C852C8" w:rsidP="00591A5E">
      <w:pPr>
        <w:spacing w:after="0" w:line="360" w:lineRule="auto"/>
      </w:pPr>
    </w:p>
    <w:p w14:paraId="18B4F061" w14:textId="77777777" w:rsidR="00C852C8" w:rsidRDefault="00C852C8" w:rsidP="00591A5E">
      <w:pPr>
        <w:spacing w:after="0" w:line="360" w:lineRule="auto"/>
      </w:pPr>
    </w:p>
    <w:p w14:paraId="7076685E" w14:textId="77777777" w:rsidR="00C852C8" w:rsidRDefault="00C852C8" w:rsidP="00591A5E">
      <w:pPr>
        <w:spacing w:after="0" w:line="360" w:lineRule="auto"/>
      </w:pPr>
    </w:p>
    <w:p w14:paraId="098EC1A8" w14:textId="77777777" w:rsidR="00C852C8" w:rsidRDefault="00C852C8" w:rsidP="00591A5E">
      <w:pPr>
        <w:spacing w:after="0" w:line="360" w:lineRule="auto"/>
      </w:pPr>
    </w:p>
    <w:p w14:paraId="44A805E6" w14:textId="77777777" w:rsidR="00C852C8" w:rsidRDefault="00C852C8" w:rsidP="00591A5E">
      <w:pPr>
        <w:spacing w:after="0" w:line="360" w:lineRule="auto"/>
      </w:pPr>
    </w:p>
    <w:p w14:paraId="7CF72769" w14:textId="77777777" w:rsidR="00C852C8" w:rsidRDefault="00C852C8" w:rsidP="00591A5E">
      <w:pPr>
        <w:spacing w:after="0" w:line="360" w:lineRule="auto"/>
      </w:pPr>
    </w:p>
    <w:p w14:paraId="30AFE5B3" w14:textId="77777777" w:rsidR="00C852C8" w:rsidRDefault="00C852C8" w:rsidP="00591A5E">
      <w:pPr>
        <w:spacing w:after="0" w:line="360" w:lineRule="auto"/>
      </w:pPr>
    </w:p>
    <w:p w14:paraId="670BD5EC" w14:textId="77777777" w:rsidR="00C852C8" w:rsidRDefault="00C852C8" w:rsidP="00591A5E">
      <w:pPr>
        <w:spacing w:after="0" w:line="360" w:lineRule="auto"/>
      </w:pPr>
    </w:p>
    <w:sectPr w:rsidR="00C852C8">
      <w:headerReference w:type="even" r:id="rId14"/>
      <w:headerReference w:type="default" r:id="rId15"/>
      <w:footerReference w:type="even" r:id="rId16"/>
      <w:footerReference w:type="default" r:id="rId17"/>
      <w:headerReference w:type="first" r:id="rId18"/>
      <w:footerReference w:type="first" r:id="rId19"/>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3241" w14:textId="77777777" w:rsidR="002546F0" w:rsidRDefault="002546F0">
      <w:pPr>
        <w:spacing w:after="0" w:line="240" w:lineRule="auto"/>
      </w:pPr>
      <w:r>
        <w:separator/>
      </w:r>
    </w:p>
  </w:endnote>
  <w:endnote w:type="continuationSeparator" w:id="0">
    <w:p w14:paraId="49169112" w14:textId="77777777" w:rsidR="002546F0" w:rsidRDefault="0025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3CE9" w14:textId="1312801B" w:rsidR="00C852C8" w:rsidRDefault="008C4FC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820F8F">
      <w:rPr>
        <w:b/>
        <w:color w:val="000000"/>
        <w:sz w:val="24"/>
        <w:szCs w:val="24"/>
      </w:rPr>
      <w:fldChar w:fldCharType="separate"/>
    </w:r>
    <w:r w:rsidR="00820F8F">
      <w:rPr>
        <w:b/>
        <w:noProof/>
        <w:color w:val="000000"/>
        <w:sz w:val="24"/>
        <w:szCs w:val="24"/>
      </w:rPr>
      <w:t>36</w:t>
    </w:r>
    <w:r>
      <w:rPr>
        <w:b/>
        <w:color w:val="000000"/>
        <w:sz w:val="24"/>
        <w:szCs w:val="24"/>
      </w:rPr>
      <w:fldChar w:fldCharType="end"/>
    </w:r>
  </w:p>
  <w:p w14:paraId="0A379834" w14:textId="77777777" w:rsidR="00C852C8" w:rsidRDefault="00C852C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924F8" w14:textId="77777777" w:rsidR="00C852C8" w:rsidRDefault="008C4FC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3464">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3464">
      <w:rPr>
        <w:b/>
        <w:noProof/>
        <w:color w:val="000000"/>
        <w:sz w:val="24"/>
        <w:szCs w:val="24"/>
      </w:rPr>
      <w:t>36</w:t>
    </w:r>
    <w:r>
      <w:rPr>
        <w:b/>
        <w:color w:val="000000"/>
        <w:sz w:val="24"/>
        <w:szCs w:val="24"/>
      </w:rPr>
      <w:fldChar w:fldCharType="end"/>
    </w:r>
  </w:p>
  <w:p w14:paraId="2C0C32E9" w14:textId="77777777" w:rsidR="00C852C8" w:rsidRDefault="00C852C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3928" w14:textId="77777777" w:rsidR="00C852C8" w:rsidRDefault="008C4FC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3346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33464">
      <w:rPr>
        <w:b/>
        <w:noProof/>
        <w:color w:val="000000"/>
        <w:sz w:val="24"/>
        <w:szCs w:val="24"/>
      </w:rPr>
      <w:t>36</w:t>
    </w:r>
    <w:r>
      <w:rPr>
        <w:b/>
        <w:color w:val="000000"/>
        <w:sz w:val="24"/>
        <w:szCs w:val="24"/>
      </w:rPr>
      <w:fldChar w:fldCharType="end"/>
    </w:r>
  </w:p>
  <w:p w14:paraId="643B802E" w14:textId="77777777" w:rsidR="00C852C8" w:rsidRDefault="00C852C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2BB3" w14:textId="77777777" w:rsidR="002546F0" w:rsidRDefault="002546F0">
      <w:pPr>
        <w:spacing w:after="0" w:line="240" w:lineRule="auto"/>
      </w:pPr>
      <w:r>
        <w:separator/>
      </w:r>
    </w:p>
  </w:footnote>
  <w:footnote w:type="continuationSeparator" w:id="0">
    <w:p w14:paraId="675E2282" w14:textId="77777777" w:rsidR="002546F0" w:rsidRDefault="0025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9135" w14:textId="77777777" w:rsidR="00C852C8" w:rsidRDefault="00C852C8">
    <w:pPr>
      <w:widowControl w:val="0"/>
      <w:pBdr>
        <w:top w:val="nil"/>
        <w:left w:val="nil"/>
        <w:bottom w:val="nil"/>
        <w:right w:val="nil"/>
        <w:between w:val="nil"/>
      </w:pBdr>
      <w:spacing w:after="0" w:line="276" w:lineRule="auto"/>
      <w:jc w:val="left"/>
      <w:rPr>
        <w:color w:val="000000"/>
      </w:rPr>
    </w:pPr>
  </w:p>
  <w:tbl>
    <w:tblPr>
      <w:tblStyle w:val="afffff8"/>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C852C8" w14:paraId="5AB4B850" w14:textId="77777777">
      <w:trPr>
        <w:trHeight w:val="141"/>
      </w:trPr>
      <w:tc>
        <w:tcPr>
          <w:tcW w:w="2404" w:type="dxa"/>
        </w:tcPr>
        <w:p w14:paraId="67C19F6E" w14:textId="77777777" w:rsidR="00C852C8" w:rsidRDefault="008C4FC6">
          <w:pPr>
            <w:tabs>
              <w:tab w:val="right" w:pos="8838"/>
            </w:tabs>
            <w:ind w:right="-105"/>
            <w:rPr>
              <w:b/>
            </w:rPr>
          </w:pPr>
          <w:r>
            <w:rPr>
              <w:b/>
            </w:rPr>
            <w:t>Recurso de Revisión:</w:t>
          </w:r>
        </w:p>
      </w:tc>
      <w:tc>
        <w:tcPr>
          <w:tcW w:w="3587" w:type="dxa"/>
        </w:tcPr>
        <w:p w14:paraId="0A0E1E80" w14:textId="77777777" w:rsidR="00C852C8" w:rsidRDefault="008C4FC6">
          <w:pPr>
            <w:tabs>
              <w:tab w:val="right" w:pos="8838"/>
            </w:tabs>
            <w:ind w:left="-28" w:right="683"/>
          </w:pPr>
          <w:r>
            <w:t>04196/INFOEM/IP/RR/2020</w:t>
          </w:r>
        </w:p>
      </w:tc>
    </w:tr>
    <w:tr w:rsidR="00C852C8" w14:paraId="31B0F91B" w14:textId="77777777">
      <w:trPr>
        <w:trHeight w:val="276"/>
      </w:trPr>
      <w:tc>
        <w:tcPr>
          <w:tcW w:w="2404" w:type="dxa"/>
        </w:tcPr>
        <w:p w14:paraId="620FCE85" w14:textId="77777777" w:rsidR="00C852C8" w:rsidRDefault="008C4FC6">
          <w:pPr>
            <w:tabs>
              <w:tab w:val="right" w:pos="8838"/>
            </w:tabs>
            <w:ind w:right="-105"/>
            <w:rPr>
              <w:b/>
            </w:rPr>
          </w:pPr>
          <w:r>
            <w:rPr>
              <w:b/>
            </w:rPr>
            <w:t>Sujeto Obligado:</w:t>
          </w:r>
        </w:p>
      </w:tc>
      <w:tc>
        <w:tcPr>
          <w:tcW w:w="3587" w:type="dxa"/>
        </w:tcPr>
        <w:p w14:paraId="1372AF04" w14:textId="77777777" w:rsidR="00C852C8" w:rsidRDefault="008C4FC6">
          <w:pPr>
            <w:tabs>
              <w:tab w:val="right" w:pos="8838"/>
            </w:tabs>
            <w:ind w:right="116"/>
          </w:pPr>
          <w:r>
            <w:t>Ayuntamiento de Chapultepec</w:t>
          </w:r>
        </w:p>
      </w:tc>
    </w:tr>
    <w:tr w:rsidR="00C852C8" w14:paraId="0AE6CF75" w14:textId="77777777">
      <w:trPr>
        <w:trHeight w:val="276"/>
      </w:trPr>
      <w:tc>
        <w:tcPr>
          <w:tcW w:w="2404" w:type="dxa"/>
        </w:tcPr>
        <w:p w14:paraId="6D5153AD" w14:textId="77777777" w:rsidR="00C852C8" w:rsidRDefault="008C4FC6">
          <w:pPr>
            <w:tabs>
              <w:tab w:val="right" w:pos="8838"/>
            </w:tabs>
            <w:ind w:right="-105"/>
            <w:rPr>
              <w:b/>
            </w:rPr>
          </w:pPr>
          <w:r>
            <w:rPr>
              <w:b/>
            </w:rPr>
            <w:t>Comisionado Ponente:</w:t>
          </w:r>
        </w:p>
      </w:tc>
      <w:tc>
        <w:tcPr>
          <w:tcW w:w="3587" w:type="dxa"/>
        </w:tcPr>
        <w:p w14:paraId="64041001" w14:textId="77777777" w:rsidR="00C852C8" w:rsidRDefault="008C4FC6">
          <w:pPr>
            <w:tabs>
              <w:tab w:val="right" w:pos="8838"/>
            </w:tabs>
            <w:ind w:right="-32"/>
          </w:pPr>
          <w:r>
            <w:t>Luis Gustavo Parra Noriega</w:t>
          </w:r>
        </w:p>
      </w:tc>
    </w:tr>
  </w:tbl>
  <w:p w14:paraId="53B16DDB" w14:textId="77777777" w:rsidR="00C852C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69F1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CA96" w14:textId="77777777" w:rsidR="00C852C8" w:rsidRDefault="00C852C8">
    <w:pPr>
      <w:rPr>
        <w:sz w:val="16"/>
        <w:szCs w:val="16"/>
      </w:rPr>
    </w:pPr>
  </w:p>
  <w:tbl>
    <w:tblPr>
      <w:tblStyle w:val="afffff9"/>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C852C8" w14:paraId="11BC1BC8" w14:textId="77777777">
      <w:trPr>
        <w:trHeight w:val="141"/>
      </w:trPr>
      <w:tc>
        <w:tcPr>
          <w:tcW w:w="2409" w:type="dxa"/>
        </w:tcPr>
        <w:p w14:paraId="22C0CB77" w14:textId="77777777" w:rsidR="00C852C8" w:rsidRDefault="008C4FC6">
          <w:pPr>
            <w:tabs>
              <w:tab w:val="right" w:pos="8838"/>
            </w:tabs>
            <w:ind w:left="-395" w:right="-105" w:firstLine="395"/>
            <w:rPr>
              <w:b/>
            </w:rPr>
          </w:pPr>
          <w:r>
            <w:rPr>
              <w:b/>
            </w:rPr>
            <w:t>Recurso de Revisión:</w:t>
          </w:r>
        </w:p>
      </w:tc>
      <w:tc>
        <w:tcPr>
          <w:tcW w:w="3686" w:type="dxa"/>
        </w:tcPr>
        <w:p w14:paraId="594A4814" w14:textId="77777777" w:rsidR="00C852C8" w:rsidRDefault="008C4FC6">
          <w:pPr>
            <w:tabs>
              <w:tab w:val="right" w:pos="8838"/>
            </w:tabs>
            <w:ind w:right="176"/>
            <w:rPr>
              <w:b/>
            </w:rPr>
          </w:pPr>
          <w:r>
            <w:rPr>
              <w:b/>
            </w:rPr>
            <w:t>05901/INFOEM/IP/RR/2025</w:t>
          </w:r>
        </w:p>
      </w:tc>
    </w:tr>
    <w:tr w:rsidR="00C852C8" w14:paraId="5316E163" w14:textId="77777777">
      <w:trPr>
        <w:trHeight w:val="266"/>
      </w:trPr>
      <w:tc>
        <w:tcPr>
          <w:tcW w:w="2409" w:type="dxa"/>
        </w:tcPr>
        <w:p w14:paraId="78828C70" w14:textId="77777777" w:rsidR="00C852C8" w:rsidRDefault="008C4FC6">
          <w:pPr>
            <w:tabs>
              <w:tab w:val="right" w:pos="8838"/>
            </w:tabs>
            <w:ind w:right="-105"/>
            <w:rPr>
              <w:b/>
            </w:rPr>
          </w:pPr>
          <w:r>
            <w:rPr>
              <w:b/>
            </w:rPr>
            <w:t>Sujeto Obligado:</w:t>
          </w:r>
        </w:p>
      </w:tc>
      <w:tc>
        <w:tcPr>
          <w:tcW w:w="3686" w:type="dxa"/>
        </w:tcPr>
        <w:p w14:paraId="43529B26" w14:textId="77777777" w:rsidR="00C852C8" w:rsidRDefault="008C4FC6">
          <w:pPr>
            <w:tabs>
              <w:tab w:val="left" w:pos="3158"/>
              <w:tab w:val="left" w:pos="4292"/>
              <w:tab w:val="right" w:pos="8838"/>
            </w:tabs>
            <w:ind w:right="176"/>
          </w:pPr>
          <w:r>
            <w:t>Ayuntamiento de Tlatlaya</w:t>
          </w:r>
        </w:p>
      </w:tc>
    </w:tr>
    <w:tr w:rsidR="00C852C8" w14:paraId="1BA0E99E" w14:textId="77777777">
      <w:trPr>
        <w:trHeight w:val="276"/>
      </w:trPr>
      <w:tc>
        <w:tcPr>
          <w:tcW w:w="2409" w:type="dxa"/>
        </w:tcPr>
        <w:p w14:paraId="2FD171FA" w14:textId="77777777" w:rsidR="00C852C8" w:rsidRDefault="008C4FC6">
          <w:pPr>
            <w:tabs>
              <w:tab w:val="right" w:pos="8838"/>
            </w:tabs>
            <w:ind w:right="-105"/>
            <w:rPr>
              <w:b/>
            </w:rPr>
          </w:pPr>
          <w:r>
            <w:rPr>
              <w:b/>
            </w:rPr>
            <w:t>Comisionado Ponente:</w:t>
          </w:r>
        </w:p>
      </w:tc>
      <w:tc>
        <w:tcPr>
          <w:tcW w:w="3686" w:type="dxa"/>
        </w:tcPr>
        <w:p w14:paraId="110E4396" w14:textId="77777777" w:rsidR="00C852C8" w:rsidRDefault="008C4FC6">
          <w:pPr>
            <w:tabs>
              <w:tab w:val="right" w:pos="8838"/>
            </w:tabs>
            <w:ind w:right="176"/>
          </w:pPr>
          <w:r>
            <w:t>Luis Gustavo Parra Noriega</w:t>
          </w:r>
        </w:p>
        <w:p w14:paraId="6B439B12" w14:textId="77777777" w:rsidR="00C852C8" w:rsidRDefault="00C852C8">
          <w:pPr>
            <w:tabs>
              <w:tab w:val="right" w:pos="8838"/>
            </w:tabs>
            <w:ind w:right="176"/>
          </w:pPr>
        </w:p>
      </w:tc>
    </w:tr>
  </w:tbl>
  <w:p w14:paraId="072F116B" w14:textId="77777777" w:rsidR="00C852C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F9FE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9308" w14:textId="77777777" w:rsidR="00C852C8" w:rsidRDefault="00000000">
    <w:pPr>
      <w:widowControl w:val="0"/>
      <w:pBdr>
        <w:top w:val="nil"/>
        <w:left w:val="nil"/>
        <w:bottom w:val="nil"/>
        <w:right w:val="nil"/>
        <w:between w:val="nil"/>
      </w:pBdr>
      <w:spacing w:after="0" w:line="276" w:lineRule="auto"/>
      <w:jc w:val="left"/>
      <w:rPr>
        <w:color w:val="000000"/>
      </w:rPr>
    </w:pPr>
    <w:r>
      <w:rPr>
        <w:color w:val="000000"/>
      </w:rPr>
      <w:pict w14:anchorId="53939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a"/>
      <w:tblW w:w="9214" w:type="dxa"/>
      <w:tblInd w:w="0" w:type="dxa"/>
      <w:tblLayout w:type="fixed"/>
      <w:tblLook w:val="0400" w:firstRow="0" w:lastRow="0" w:firstColumn="0" w:lastColumn="0" w:noHBand="0" w:noVBand="1"/>
    </w:tblPr>
    <w:tblGrid>
      <w:gridCol w:w="2127"/>
      <w:gridCol w:w="7087"/>
    </w:tblGrid>
    <w:tr w:rsidR="00C852C8" w14:paraId="348B4D53" w14:textId="77777777">
      <w:trPr>
        <w:trHeight w:val="1546"/>
      </w:trPr>
      <w:tc>
        <w:tcPr>
          <w:tcW w:w="2127" w:type="dxa"/>
        </w:tcPr>
        <w:p w14:paraId="24B09E4E" w14:textId="77777777" w:rsidR="00C852C8" w:rsidRDefault="00C852C8">
          <w:pPr>
            <w:tabs>
              <w:tab w:val="right" w:pos="4273"/>
            </w:tabs>
            <w:rPr>
              <w:rFonts w:ascii="Garamond" w:eastAsia="Garamond" w:hAnsi="Garamond" w:cs="Garamond"/>
              <w:sz w:val="16"/>
              <w:szCs w:val="16"/>
            </w:rPr>
          </w:pPr>
        </w:p>
      </w:tc>
      <w:tc>
        <w:tcPr>
          <w:tcW w:w="7087" w:type="dxa"/>
        </w:tcPr>
        <w:p w14:paraId="26B5EEAE" w14:textId="77777777" w:rsidR="00C852C8" w:rsidRDefault="00C852C8">
          <w:pPr>
            <w:rPr>
              <w:sz w:val="10"/>
              <w:szCs w:val="10"/>
            </w:rPr>
          </w:pPr>
        </w:p>
        <w:tbl>
          <w:tblPr>
            <w:tblStyle w:val="afffffb"/>
            <w:tblW w:w="5812" w:type="dxa"/>
            <w:tblInd w:w="1167" w:type="dxa"/>
            <w:tblLayout w:type="fixed"/>
            <w:tblLook w:val="0400" w:firstRow="0" w:lastRow="0" w:firstColumn="0" w:lastColumn="0" w:noHBand="0" w:noVBand="1"/>
          </w:tblPr>
          <w:tblGrid>
            <w:gridCol w:w="2410"/>
            <w:gridCol w:w="3402"/>
          </w:tblGrid>
          <w:tr w:rsidR="00C852C8" w14:paraId="3E0EAB0F" w14:textId="77777777">
            <w:trPr>
              <w:trHeight w:val="427"/>
            </w:trPr>
            <w:tc>
              <w:tcPr>
                <w:tcW w:w="2410" w:type="dxa"/>
                <w:vAlign w:val="bottom"/>
              </w:tcPr>
              <w:p w14:paraId="2C92429C" w14:textId="77777777" w:rsidR="00C852C8" w:rsidRDefault="008C4FC6">
                <w:pPr>
                  <w:tabs>
                    <w:tab w:val="right" w:pos="8838"/>
                  </w:tabs>
                  <w:ind w:right="-105"/>
                  <w:rPr>
                    <w:b/>
                  </w:rPr>
                </w:pPr>
                <w:r>
                  <w:rPr>
                    <w:b/>
                  </w:rPr>
                  <w:t>Recurso de Revisión:</w:t>
                </w:r>
              </w:p>
            </w:tc>
            <w:tc>
              <w:tcPr>
                <w:tcW w:w="3402" w:type="dxa"/>
              </w:tcPr>
              <w:p w14:paraId="02121366" w14:textId="77777777" w:rsidR="00C852C8" w:rsidRDefault="00C852C8">
                <w:pPr>
                  <w:tabs>
                    <w:tab w:val="right" w:pos="8838"/>
                  </w:tabs>
                  <w:ind w:left="-28" w:right="-107"/>
                  <w:rPr>
                    <w:b/>
                  </w:rPr>
                </w:pPr>
              </w:p>
              <w:p w14:paraId="0A7ED06D" w14:textId="77777777" w:rsidR="00C852C8" w:rsidRDefault="008C4FC6">
                <w:pPr>
                  <w:tabs>
                    <w:tab w:val="right" w:pos="8838"/>
                  </w:tabs>
                  <w:ind w:left="-28" w:right="-107"/>
                  <w:rPr>
                    <w:b/>
                  </w:rPr>
                </w:pPr>
                <w:r>
                  <w:rPr>
                    <w:b/>
                  </w:rPr>
                  <w:t>05901/INFOEM/IP/RR/2025</w:t>
                </w:r>
              </w:p>
            </w:tc>
          </w:tr>
          <w:tr w:rsidR="00C852C8" w14:paraId="4AE85CE1" w14:textId="77777777">
            <w:trPr>
              <w:trHeight w:val="141"/>
            </w:trPr>
            <w:tc>
              <w:tcPr>
                <w:tcW w:w="2410" w:type="dxa"/>
              </w:tcPr>
              <w:p w14:paraId="53C53787" w14:textId="77777777" w:rsidR="00C852C8" w:rsidRDefault="008C4FC6">
                <w:pPr>
                  <w:tabs>
                    <w:tab w:val="right" w:pos="8838"/>
                  </w:tabs>
                  <w:ind w:right="-105"/>
                  <w:rPr>
                    <w:b/>
                  </w:rPr>
                </w:pPr>
                <w:r>
                  <w:rPr>
                    <w:b/>
                  </w:rPr>
                  <w:t>Recurrente:</w:t>
                </w:r>
              </w:p>
            </w:tc>
            <w:tc>
              <w:tcPr>
                <w:tcW w:w="3402" w:type="dxa"/>
              </w:tcPr>
              <w:p w14:paraId="4FF025D6" w14:textId="77777777" w:rsidR="00C852C8" w:rsidRDefault="008C4FC6">
                <w:pPr>
                  <w:tabs>
                    <w:tab w:val="right" w:pos="8838"/>
                  </w:tabs>
                  <w:ind w:right="-107"/>
                </w:pPr>
                <w:r>
                  <w:t xml:space="preserve"> </w:t>
                </w:r>
              </w:p>
            </w:tc>
          </w:tr>
          <w:tr w:rsidR="00C852C8" w14:paraId="2D0BB353" w14:textId="77777777">
            <w:trPr>
              <w:trHeight w:val="276"/>
            </w:trPr>
            <w:tc>
              <w:tcPr>
                <w:tcW w:w="2410" w:type="dxa"/>
              </w:tcPr>
              <w:p w14:paraId="4F401148" w14:textId="77777777" w:rsidR="00C852C8" w:rsidRDefault="008C4FC6">
                <w:pPr>
                  <w:tabs>
                    <w:tab w:val="right" w:pos="8838"/>
                  </w:tabs>
                  <w:ind w:right="-105"/>
                  <w:rPr>
                    <w:b/>
                  </w:rPr>
                </w:pPr>
                <w:r>
                  <w:rPr>
                    <w:b/>
                  </w:rPr>
                  <w:t>Sujeto Obligado:</w:t>
                </w:r>
              </w:p>
            </w:tc>
            <w:tc>
              <w:tcPr>
                <w:tcW w:w="3402" w:type="dxa"/>
              </w:tcPr>
              <w:p w14:paraId="67E3E66C" w14:textId="77777777" w:rsidR="00C852C8" w:rsidRDefault="008C4FC6">
                <w:pPr>
                  <w:tabs>
                    <w:tab w:val="right" w:pos="8838"/>
                  </w:tabs>
                  <w:ind w:right="33"/>
                </w:pPr>
                <w:r>
                  <w:t>Ayuntamiento de Tlatlaya</w:t>
                </w:r>
              </w:p>
            </w:tc>
          </w:tr>
          <w:tr w:rsidR="00C852C8" w14:paraId="0979236B" w14:textId="77777777">
            <w:trPr>
              <w:trHeight w:val="276"/>
            </w:trPr>
            <w:tc>
              <w:tcPr>
                <w:tcW w:w="2410" w:type="dxa"/>
              </w:tcPr>
              <w:p w14:paraId="34EB34D2" w14:textId="77777777" w:rsidR="00C852C8" w:rsidRDefault="008C4FC6">
                <w:pPr>
                  <w:tabs>
                    <w:tab w:val="right" w:pos="8838"/>
                  </w:tabs>
                  <w:ind w:right="-105"/>
                  <w:rPr>
                    <w:b/>
                  </w:rPr>
                </w:pPr>
                <w:r>
                  <w:rPr>
                    <w:b/>
                  </w:rPr>
                  <w:t>Comisionado Ponente:</w:t>
                </w:r>
              </w:p>
            </w:tc>
            <w:tc>
              <w:tcPr>
                <w:tcW w:w="3402" w:type="dxa"/>
              </w:tcPr>
              <w:p w14:paraId="3E562292" w14:textId="77777777" w:rsidR="00C852C8" w:rsidRDefault="008C4FC6">
                <w:pPr>
                  <w:tabs>
                    <w:tab w:val="right" w:pos="8838"/>
                  </w:tabs>
                  <w:ind w:right="-107"/>
                </w:pPr>
                <w:r>
                  <w:t>Luis Gustavo Parra Noriega</w:t>
                </w:r>
              </w:p>
            </w:tc>
          </w:tr>
        </w:tbl>
        <w:p w14:paraId="07507453" w14:textId="77777777" w:rsidR="00C852C8" w:rsidRDefault="00C852C8">
          <w:pPr>
            <w:tabs>
              <w:tab w:val="right" w:pos="8838"/>
            </w:tabs>
            <w:ind w:left="-28"/>
            <w:rPr>
              <w:rFonts w:ascii="Arial" w:eastAsia="Arial" w:hAnsi="Arial" w:cs="Arial"/>
              <w:b/>
            </w:rPr>
          </w:pPr>
        </w:p>
      </w:tc>
    </w:tr>
  </w:tbl>
  <w:p w14:paraId="5F223354" w14:textId="77777777" w:rsidR="00C852C8" w:rsidRDefault="00C852C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FDA"/>
    <w:multiLevelType w:val="multilevel"/>
    <w:tmpl w:val="588C6F0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D503A"/>
    <w:multiLevelType w:val="multilevel"/>
    <w:tmpl w:val="1BE8EF2A"/>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840F39"/>
    <w:multiLevelType w:val="multilevel"/>
    <w:tmpl w:val="6658D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472533"/>
    <w:multiLevelType w:val="hybridMultilevel"/>
    <w:tmpl w:val="BA68A8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B4B25"/>
    <w:multiLevelType w:val="multilevel"/>
    <w:tmpl w:val="0F22C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7E0A2F"/>
    <w:multiLevelType w:val="multilevel"/>
    <w:tmpl w:val="CE8E97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27798"/>
    <w:multiLevelType w:val="multilevel"/>
    <w:tmpl w:val="A614E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25738D"/>
    <w:multiLevelType w:val="multilevel"/>
    <w:tmpl w:val="93188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E676FB"/>
    <w:multiLevelType w:val="hybridMultilevel"/>
    <w:tmpl w:val="9656D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6E5033"/>
    <w:multiLevelType w:val="multilevel"/>
    <w:tmpl w:val="05BEBCC2"/>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BD2C2E"/>
    <w:multiLevelType w:val="multilevel"/>
    <w:tmpl w:val="1278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FC362F5"/>
    <w:multiLevelType w:val="multilevel"/>
    <w:tmpl w:val="3DB484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F606AA"/>
    <w:multiLevelType w:val="multilevel"/>
    <w:tmpl w:val="D09EB9B8"/>
    <w:lvl w:ilvl="0">
      <w:start w:val="2"/>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0173967">
    <w:abstractNumId w:val="12"/>
  </w:num>
  <w:num w:numId="2" w16cid:durableId="681514705">
    <w:abstractNumId w:val="1"/>
  </w:num>
  <w:num w:numId="3" w16cid:durableId="224949602">
    <w:abstractNumId w:val="6"/>
  </w:num>
  <w:num w:numId="4" w16cid:durableId="479465211">
    <w:abstractNumId w:val="9"/>
  </w:num>
  <w:num w:numId="5" w16cid:durableId="787625276">
    <w:abstractNumId w:val="4"/>
  </w:num>
  <w:num w:numId="6" w16cid:durableId="41296931">
    <w:abstractNumId w:val="11"/>
  </w:num>
  <w:num w:numId="7" w16cid:durableId="1946769640">
    <w:abstractNumId w:val="0"/>
  </w:num>
  <w:num w:numId="8" w16cid:durableId="689986063">
    <w:abstractNumId w:val="2"/>
  </w:num>
  <w:num w:numId="9" w16cid:durableId="1889799736">
    <w:abstractNumId w:val="13"/>
  </w:num>
  <w:num w:numId="10" w16cid:durableId="314722132">
    <w:abstractNumId w:val="5"/>
  </w:num>
  <w:num w:numId="11" w16cid:durableId="613177399">
    <w:abstractNumId w:val="7"/>
  </w:num>
  <w:num w:numId="12" w16cid:durableId="570769832">
    <w:abstractNumId w:val="10"/>
  </w:num>
  <w:num w:numId="13" w16cid:durableId="1865289675">
    <w:abstractNumId w:val="8"/>
  </w:num>
  <w:num w:numId="14" w16cid:durableId="570625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C8"/>
    <w:rsid w:val="001A6295"/>
    <w:rsid w:val="00241BD3"/>
    <w:rsid w:val="002546F0"/>
    <w:rsid w:val="00587A10"/>
    <w:rsid w:val="00591A5E"/>
    <w:rsid w:val="00733464"/>
    <w:rsid w:val="00820F8F"/>
    <w:rsid w:val="008C4FC6"/>
    <w:rsid w:val="009E5833"/>
    <w:rsid w:val="00A85604"/>
    <w:rsid w:val="00C148B8"/>
    <w:rsid w:val="00C852C8"/>
    <w:rsid w:val="00E637E7"/>
    <w:rsid w:val="00FC0B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34BC"/>
  <w15:docId w15:val="{B8B68AD8-2D6C-405C-8CA1-BDA1BC71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0"/>
    <w:pPr>
      <w:spacing w:after="0" w:line="240" w:lineRule="auto"/>
    </w:pPr>
    <w:tblPr>
      <w:tblStyleRowBandSize w:val="1"/>
      <w:tblStyleColBandSize w:val="1"/>
      <w:tblCellMar>
        <w:left w:w="108" w:type="dxa"/>
        <w:right w:w="108" w:type="dxa"/>
      </w:tblCellMar>
    </w:tblPr>
  </w:style>
  <w:style w:type="table" w:customStyle="1" w:styleId="a0">
    <w:basedOn w:val="TableNormalf0"/>
    <w:pPr>
      <w:spacing w:after="0" w:line="240" w:lineRule="auto"/>
    </w:pPr>
    <w:tblPr>
      <w:tblStyleRowBandSize w:val="1"/>
      <w:tblStyleColBandSize w:val="1"/>
      <w:tblCellMar>
        <w:left w:w="108" w:type="dxa"/>
        <w:right w:w="108" w:type="dxa"/>
      </w:tblCellMar>
    </w:tblPr>
  </w:style>
  <w:style w:type="table" w:customStyle="1" w:styleId="a1">
    <w:basedOn w:val="TableNormalf0"/>
    <w:tblPr>
      <w:tblStyleRowBandSize w:val="1"/>
      <w:tblStyleColBandSize w:val="1"/>
      <w:tblCellMar>
        <w:left w:w="115" w:type="dxa"/>
        <w:right w:w="115" w:type="dxa"/>
      </w:tblCellMar>
    </w:tblPr>
  </w:style>
  <w:style w:type="table" w:customStyle="1" w:styleId="a2">
    <w:basedOn w:val="TableNormalf0"/>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0"/>
    <w:pPr>
      <w:spacing w:after="0" w:line="240" w:lineRule="auto"/>
    </w:pPr>
    <w:tblPr>
      <w:tblStyleRowBandSize w:val="1"/>
      <w:tblStyleColBandSize w:val="1"/>
      <w:tblCellMar>
        <w:left w:w="108" w:type="dxa"/>
        <w:right w:w="108" w:type="dxa"/>
      </w:tblCellMar>
    </w:tblPr>
  </w:style>
  <w:style w:type="table" w:customStyle="1" w:styleId="a4">
    <w:basedOn w:val="TableNormalf0"/>
    <w:pPr>
      <w:spacing w:after="0" w:line="240" w:lineRule="auto"/>
    </w:pPr>
    <w:tblPr>
      <w:tblStyleRowBandSize w:val="1"/>
      <w:tblStyleColBandSize w:val="1"/>
      <w:tblCellMar>
        <w:left w:w="108" w:type="dxa"/>
        <w:right w:w="108" w:type="dxa"/>
      </w:tblCellMar>
    </w:tblPr>
  </w:style>
  <w:style w:type="table" w:customStyle="1" w:styleId="a5">
    <w:basedOn w:val="TableNormalf0"/>
    <w:pPr>
      <w:spacing w:after="0" w:line="240" w:lineRule="auto"/>
    </w:pPr>
    <w:tblPr>
      <w:tblStyleRowBandSize w:val="1"/>
      <w:tblStyleColBandSize w:val="1"/>
      <w:tblCellMar>
        <w:left w:w="108" w:type="dxa"/>
        <w:right w:w="108" w:type="dxa"/>
      </w:tblCellMar>
    </w:tblPr>
  </w:style>
  <w:style w:type="table" w:customStyle="1" w:styleId="a6">
    <w:basedOn w:val="TableNormalf0"/>
    <w:pPr>
      <w:spacing w:after="0" w:line="240" w:lineRule="auto"/>
    </w:pPr>
    <w:tblPr>
      <w:tblStyleRowBandSize w:val="1"/>
      <w:tblStyleColBandSize w:val="1"/>
      <w:tblCellMar>
        <w:left w:w="108" w:type="dxa"/>
        <w:right w:w="108" w:type="dxa"/>
      </w:tblCellMar>
    </w:tblPr>
  </w:style>
  <w:style w:type="table" w:customStyle="1" w:styleId="a7">
    <w:basedOn w:val="TableNormalf"/>
    <w:pPr>
      <w:spacing w:after="0" w:line="240" w:lineRule="auto"/>
    </w:pPr>
    <w:tblPr>
      <w:tblStyleRowBandSize w:val="1"/>
      <w:tblStyleColBandSize w:val="1"/>
      <w:tblCellMar>
        <w:left w:w="108" w:type="dxa"/>
        <w:right w:w="108" w:type="dxa"/>
      </w:tblCellMar>
    </w:tblPr>
  </w:style>
  <w:style w:type="table" w:customStyle="1" w:styleId="a8">
    <w:basedOn w:val="TableNormalf"/>
    <w:pPr>
      <w:spacing w:after="0" w:line="240" w:lineRule="auto"/>
    </w:pPr>
    <w:tblPr>
      <w:tblStyleRowBandSize w:val="1"/>
      <w:tblStyleColBandSize w:val="1"/>
      <w:tblCellMar>
        <w:left w:w="108" w:type="dxa"/>
        <w:right w:w="108" w:type="dxa"/>
      </w:tblCellMar>
    </w:tblPr>
  </w:style>
  <w:style w:type="table" w:customStyle="1" w:styleId="a9">
    <w:basedOn w:val="TableNormalf"/>
    <w:pPr>
      <w:spacing w:after="0" w:line="240" w:lineRule="auto"/>
    </w:pPr>
    <w:tblPr>
      <w:tblStyleRowBandSize w:val="1"/>
      <w:tblStyleColBandSize w:val="1"/>
      <w:tblCellMar>
        <w:left w:w="108" w:type="dxa"/>
        <w:right w:w="108" w:type="dxa"/>
      </w:tblCellMar>
    </w:tblPr>
  </w:style>
  <w:style w:type="table" w:customStyle="1" w:styleId="aa">
    <w:basedOn w:val="TableNormalf"/>
    <w:pPr>
      <w:spacing w:after="0" w:line="240" w:lineRule="auto"/>
    </w:pPr>
    <w:tblPr>
      <w:tblStyleRowBandSize w:val="1"/>
      <w:tblStyleColBandSize w:val="1"/>
      <w:tblCellMar>
        <w:left w:w="108" w:type="dxa"/>
        <w:right w:w="108" w:type="dxa"/>
      </w:tblCellMar>
    </w:tblPr>
  </w:style>
  <w:style w:type="table" w:customStyle="1" w:styleId="ab">
    <w:basedOn w:val="TableNormale"/>
    <w:pPr>
      <w:spacing w:after="0" w:line="240" w:lineRule="auto"/>
    </w:pPr>
    <w:tblPr>
      <w:tblStyleRowBandSize w:val="1"/>
      <w:tblStyleColBandSize w:val="1"/>
      <w:tblCellMar>
        <w:left w:w="108" w:type="dxa"/>
        <w:right w:w="108" w:type="dxa"/>
      </w:tblCellMar>
    </w:tblPr>
  </w:style>
  <w:style w:type="table" w:customStyle="1" w:styleId="ac">
    <w:basedOn w:val="TableNormale"/>
    <w:pPr>
      <w:spacing w:after="0" w:line="240" w:lineRule="auto"/>
    </w:pPr>
    <w:tblPr>
      <w:tblStyleRowBandSize w:val="1"/>
      <w:tblStyleColBandSize w:val="1"/>
      <w:tblCellMar>
        <w:left w:w="108" w:type="dxa"/>
        <w:right w:w="108" w:type="dxa"/>
      </w:tblCellMar>
    </w:tblPr>
  </w:style>
  <w:style w:type="table" w:customStyle="1" w:styleId="ad">
    <w:basedOn w:val="TableNormale"/>
    <w:pPr>
      <w:spacing w:after="0" w:line="240" w:lineRule="auto"/>
    </w:pPr>
    <w:tblPr>
      <w:tblStyleRowBandSize w:val="1"/>
      <w:tblStyleColBandSize w:val="1"/>
      <w:tblCellMar>
        <w:left w:w="108" w:type="dxa"/>
        <w:right w:w="108" w:type="dxa"/>
      </w:tblCellMar>
    </w:tblPr>
  </w:style>
  <w:style w:type="table" w:customStyle="1" w:styleId="ae">
    <w:basedOn w:val="TableNormale"/>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customStyle="1" w:styleId="af0">
    <w:basedOn w:val="TableNormald"/>
    <w:pPr>
      <w:spacing w:after="0" w:line="240" w:lineRule="auto"/>
    </w:pPr>
    <w:tblPr>
      <w:tblStyleRowBandSize w:val="1"/>
      <w:tblStyleColBandSize w:val="1"/>
      <w:tblCellMar>
        <w:left w:w="108" w:type="dxa"/>
        <w:right w:w="108" w:type="dxa"/>
      </w:tblCellMar>
    </w:tblPr>
  </w:style>
  <w:style w:type="table" w:customStyle="1" w:styleId="af1">
    <w:basedOn w:val="TableNormald"/>
    <w:pPr>
      <w:spacing w:after="0" w:line="240" w:lineRule="auto"/>
    </w:pPr>
    <w:tblPr>
      <w:tblStyleRowBandSize w:val="1"/>
      <w:tblStyleColBandSize w:val="1"/>
      <w:tblCellMar>
        <w:left w:w="108" w:type="dxa"/>
        <w:right w:w="108" w:type="dxa"/>
      </w:tblCellMar>
    </w:tblPr>
  </w:style>
  <w:style w:type="table" w:customStyle="1" w:styleId="af2">
    <w:basedOn w:val="TableNormald"/>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table" w:customStyle="1" w:styleId="af4">
    <w:basedOn w:val="TableNormalc"/>
    <w:pPr>
      <w:spacing w:after="0" w:line="240" w:lineRule="auto"/>
    </w:pPr>
    <w:tblPr>
      <w:tblStyleRowBandSize w:val="1"/>
      <w:tblStyleColBandSize w:val="1"/>
      <w:tblCellMar>
        <w:left w:w="108" w:type="dxa"/>
        <w:right w:w="108" w:type="dxa"/>
      </w:tblCellMar>
    </w:tblPr>
  </w:style>
  <w:style w:type="table" w:customStyle="1" w:styleId="af5">
    <w:basedOn w:val="TableNormalc"/>
    <w:pPr>
      <w:spacing w:after="0" w:line="240" w:lineRule="auto"/>
    </w:pPr>
    <w:tblPr>
      <w:tblStyleRowBandSize w:val="1"/>
      <w:tblStyleColBandSize w:val="1"/>
      <w:tblCellMar>
        <w:left w:w="108" w:type="dxa"/>
        <w:right w:w="108" w:type="dxa"/>
      </w:tblCellMar>
    </w:tblPr>
  </w:style>
  <w:style w:type="table" w:customStyle="1" w:styleId="af6">
    <w:basedOn w:val="TableNormalc"/>
    <w:pPr>
      <w:spacing w:after="0" w:line="240" w:lineRule="auto"/>
    </w:pPr>
    <w:tblPr>
      <w:tblStyleRowBandSize w:val="1"/>
      <w:tblStyleColBandSize w:val="1"/>
      <w:tblCellMar>
        <w:left w:w="108" w:type="dxa"/>
        <w:right w:w="108" w:type="dxa"/>
      </w:tblCellMar>
    </w:tblPr>
  </w:style>
  <w:style w:type="table" w:customStyle="1" w:styleId="af7">
    <w:basedOn w:val="TableNormalb"/>
    <w:pPr>
      <w:spacing w:after="0" w:line="240" w:lineRule="auto"/>
    </w:pPr>
    <w:tblPr>
      <w:tblStyleRowBandSize w:val="1"/>
      <w:tblStyleColBandSize w:val="1"/>
      <w:tblCellMar>
        <w:left w:w="108" w:type="dxa"/>
        <w:right w:w="108" w:type="dxa"/>
      </w:tblCellMar>
    </w:tblPr>
  </w:style>
  <w:style w:type="table" w:customStyle="1" w:styleId="af8">
    <w:basedOn w:val="TableNormalb"/>
    <w:pPr>
      <w:spacing w:after="0" w:line="240" w:lineRule="auto"/>
    </w:pPr>
    <w:tblPr>
      <w:tblStyleRowBandSize w:val="1"/>
      <w:tblStyleColBandSize w:val="1"/>
      <w:tblCellMar>
        <w:left w:w="108" w:type="dxa"/>
        <w:right w:w="108" w:type="dxa"/>
      </w:tblCellMar>
    </w:tblPr>
  </w:style>
  <w:style w:type="table" w:customStyle="1" w:styleId="af9">
    <w:basedOn w:val="TableNormalb"/>
    <w:pPr>
      <w:spacing w:after="0" w:line="240" w:lineRule="auto"/>
    </w:pPr>
    <w:tblPr>
      <w:tblStyleRowBandSize w:val="1"/>
      <w:tblStyleColBandSize w:val="1"/>
      <w:tblCellMar>
        <w:left w:w="108" w:type="dxa"/>
        <w:right w:w="108" w:type="dxa"/>
      </w:tblCellMar>
    </w:tblPr>
  </w:style>
  <w:style w:type="table" w:customStyle="1" w:styleId="afa">
    <w:basedOn w:val="TableNormalb"/>
    <w:pPr>
      <w:spacing w:after="0" w:line="240" w:lineRule="auto"/>
    </w:pPr>
    <w:tblPr>
      <w:tblStyleRowBandSize w:val="1"/>
      <w:tblStyleColBandSize w:val="1"/>
      <w:tblCellMar>
        <w:left w:w="108" w:type="dxa"/>
        <w:right w:w="108" w:type="dxa"/>
      </w:tblCellMar>
    </w:tblPr>
  </w:style>
  <w:style w:type="table" w:customStyle="1" w:styleId="afb">
    <w:basedOn w:val="TableNormala"/>
    <w:pPr>
      <w:spacing w:after="0" w:line="240" w:lineRule="auto"/>
    </w:pPr>
    <w:tblPr>
      <w:tblStyleRowBandSize w:val="1"/>
      <w:tblStyleColBandSize w:val="1"/>
      <w:tblCellMar>
        <w:left w:w="108" w:type="dxa"/>
        <w:right w:w="108" w:type="dxa"/>
      </w:tblCellMar>
    </w:tblPr>
  </w:style>
  <w:style w:type="table" w:customStyle="1" w:styleId="afc">
    <w:basedOn w:val="TableNormala"/>
    <w:pPr>
      <w:spacing w:after="0" w:line="240" w:lineRule="auto"/>
    </w:pPr>
    <w:tblPr>
      <w:tblStyleRowBandSize w:val="1"/>
      <w:tblStyleColBandSize w:val="1"/>
      <w:tblCellMar>
        <w:left w:w="108" w:type="dxa"/>
        <w:right w:w="108" w:type="dxa"/>
      </w:tblCellMar>
    </w:tblPr>
  </w:style>
  <w:style w:type="table" w:customStyle="1" w:styleId="afd">
    <w:basedOn w:val="TableNormala"/>
    <w:pPr>
      <w:spacing w:after="0" w:line="240" w:lineRule="auto"/>
    </w:pPr>
    <w:tblPr>
      <w:tblStyleRowBandSize w:val="1"/>
      <w:tblStyleColBandSize w:val="1"/>
      <w:tblCellMar>
        <w:left w:w="108" w:type="dxa"/>
        <w:right w:w="108" w:type="dxa"/>
      </w:tblCellMar>
    </w:tblPr>
  </w:style>
  <w:style w:type="table" w:customStyle="1" w:styleId="afe">
    <w:basedOn w:val="TableNormala"/>
    <w:pPr>
      <w:spacing w:after="0" w:line="240" w:lineRule="auto"/>
    </w:pPr>
    <w:tblPr>
      <w:tblStyleRowBandSize w:val="1"/>
      <w:tblStyleColBandSize w:val="1"/>
      <w:tblCellMar>
        <w:left w:w="108" w:type="dxa"/>
        <w:right w:w="108" w:type="dxa"/>
      </w:tblCellMar>
    </w:tblPr>
  </w:style>
  <w:style w:type="table" w:customStyle="1" w:styleId="aff">
    <w:basedOn w:val="TableNormal9"/>
    <w:pPr>
      <w:spacing w:after="0" w:line="240" w:lineRule="auto"/>
    </w:pPr>
    <w:tblPr>
      <w:tblStyleRowBandSize w:val="1"/>
      <w:tblStyleColBandSize w:val="1"/>
      <w:tblCellMar>
        <w:left w:w="108" w:type="dxa"/>
        <w:right w:w="108" w:type="dxa"/>
      </w:tblCellMar>
    </w:tblPr>
  </w:style>
  <w:style w:type="table" w:customStyle="1" w:styleId="aff0">
    <w:basedOn w:val="TableNormal9"/>
    <w:pPr>
      <w:spacing w:after="0" w:line="240" w:lineRule="auto"/>
    </w:pPr>
    <w:tblPr>
      <w:tblStyleRowBandSize w:val="1"/>
      <w:tblStyleColBandSize w:val="1"/>
      <w:tblCellMar>
        <w:left w:w="108" w:type="dxa"/>
        <w:right w:w="108" w:type="dxa"/>
      </w:tblCellMar>
    </w:tblPr>
  </w:style>
  <w:style w:type="table" w:customStyle="1" w:styleId="aff1">
    <w:basedOn w:val="TableNormal9"/>
    <w:pPr>
      <w:spacing w:after="0" w:line="240" w:lineRule="auto"/>
    </w:pPr>
    <w:tblPr>
      <w:tblStyleRowBandSize w:val="1"/>
      <w:tblStyleColBandSize w:val="1"/>
      <w:tblCellMar>
        <w:left w:w="108" w:type="dxa"/>
        <w:right w:w="108" w:type="dxa"/>
      </w:tblCellMar>
    </w:tblPr>
  </w:style>
  <w:style w:type="table" w:customStyle="1" w:styleId="aff2">
    <w:basedOn w:val="TableNormal9"/>
    <w:pPr>
      <w:spacing w:after="0" w:line="240" w:lineRule="auto"/>
    </w:pPr>
    <w:tblPr>
      <w:tblStyleRowBandSize w:val="1"/>
      <w:tblStyleColBandSize w:val="1"/>
      <w:tblCellMar>
        <w:left w:w="108" w:type="dxa"/>
        <w:right w:w="108" w:type="dxa"/>
      </w:tblCellMar>
    </w:tblPr>
  </w:style>
  <w:style w:type="table" w:customStyle="1" w:styleId="aff3">
    <w:basedOn w:val="TableNormal8"/>
    <w:pPr>
      <w:spacing w:after="0" w:line="240" w:lineRule="auto"/>
    </w:pPr>
    <w:tblPr>
      <w:tblStyleRowBandSize w:val="1"/>
      <w:tblStyleColBandSize w:val="1"/>
      <w:tblCellMar>
        <w:left w:w="108" w:type="dxa"/>
        <w:right w:w="108" w:type="dxa"/>
      </w:tblCellMar>
    </w:tblPr>
  </w:style>
  <w:style w:type="table" w:customStyle="1" w:styleId="aff4">
    <w:basedOn w:val="TableNormal8"/>
    <w:pPr>
      <w:spacing w:after="0" w:line="240" w:lineRule="auto"/>
    </w:pPr>
    <w:tblPr>
      <w:tblStyleRowBandSize w:val="1"/>
      <w:tblStyleColBandSize w:val="1"/>
      <w:tblCellMar>
        <w:left w:w="108" w:type="dxa"/>
        <w:right w:w="108" w:type="dxa"/>
      </w:tblCellMar>
    </w:tblPr>
  </w:style>
  <w:style w:type="table" w:customStyle="1" w:styleId="aff5">
    <w:basedOn w:val="TableNormal8"/>
    <w:pPr>
      <w:spacing w:after="0" w:line="240" w:lineRule="auto"/>
    </w:pPr>
    <w:tblPr>
      <w:tblStyleRowBandSize w:val="1"/>
      <w:tblStyleColBandSize w:val="1"/>
      <w:tblCellMar>
        <w:left w:w="108" w:type="dxa"/>
        <w:right w:w="108" w:type="dxa"/>
      </w:tblCellMar>
    </w:tblPr>
  </w:style>
  <w:style w:type="table" w:customStyle="1" w:styleId="aff6">
    <w:basedOn w:val="TableNormal8"/>
    <w:pPr>
      <w:spacing w:after="0" w:line="240" w:lineRule="auto"/>
    </w:pPr>
    <w:tblPr>
      <w:tblStyleRowBandSize w:val="1"/>
      <w:tblStyleColBandSize w:val="1"/>
      <w:tblCellMar>
        <w:left w:w="108" w:type="dxa"/>
        <w:right w:w="108" w:type="dxa"/>
      </w:tblCellMar>
    </w:tblPr>
  </w:style>
  <w:style w:type="table" w:customStyle="1" w:styleId="aff7">
    <w:basedOn w:val="TableNormal7"/>
    <w:pPr>
      <w:spacing w:after="0" w:line="240" w:lineRule="auto"/>
    </w:pPr>
    <w:tblPr>
      <w:tblStyleRowBandSize w:val="1"/>
      <w:tblStyleColBandSize w:val="1"/>
      <w:tblCellMar>
        <w:left w:w="108" w:type="dxa"/>
        <w:right w:w="108" w:type="dxa"/>
      </w:tblCellMar>
    </w:tblPr>
  </w:style>
  <w:style w:type="table" w:customStyle="1" w:styleId="aff8">
    <w:basedOn w:val="TableNormal7"/>
    <w:pPr>
      <w:spacing w:after="0" w:line="240" w:lineRule="auto"/>
    </w:pPr>
    <w:tblPr>
      <w:tblStyleRowBandSize w:val="1"/>
      <w:tblStyleColBandSize w:val="1"/>
      <w:tblCellMar>
        <w:left w:w="108" w:type="dxa"/>
        <w:right w:w="108" w:type="dxa"/>
      </w:tblCellMar>
    </w:tblPr>
  </w:style>
  <w:style w:type="table" w:customStyle="1" w:styleId="aff9">
    <w:basedOn w:val="TableNormal7"/>
    <w:pPr>
      <w:spacing w:after="0" w:line="240" w:lineRule="auto"/>
    </w:pPr>
    <w:tblPr>
      <w:tblStyleRowBandSize w:val="1"/>
      <w:tblStyleColBandSize w:val="1"/>
      <w:tblCellMar>
        <w:left w:w="108" w:type="dxa"/>
        <w:right w:w="108" w:type="dxa"/>
      </w:tblCellMar>
    </w:tblPr>
  </w:style>
  <w:style w:type="table" w:customStyle="1" w:styleId="affa">
    <w:basedOn w:val="TableNormal7"/>
    <w:pPr>
      <w:spacing w:after="0" w:line="240" w:lineRule="auto"/>
    </w:pPr>
    <w:tblPr>
      <w:tblStyleRowBandSize w:val="1"/>
      <w:tblStyleColBandSize w:val="1"/>
      <w:tblCellMar>
        <w:left w:w="108" w:type="dxa"/>
        <w:right w:w="108" w:type="dxa"/>
      </w:tblCellMar>
    </w:tblPr>
  </w:style>
  <w:style w:type="table" w:customStyle="1" w:styleId="affb">
    <w:basedOn w:val="TableNormal7"/>
    <w:pPr>
      <w:spacing w:after="0" w:line="240" w:lineRule="auto"/>
    </w:pPr>
    <w:tblPr>
      <w:tblStyleRowBandSize w:val="1"/>
      <w:tblStyleColBandSize w:val="1"/>
      <w:tblCellMar>
        <w:left w:w="108" w:type="dxa"/>
        <w:right w:w="108" w:type="dxa"/>
      </w:tblCellMar>
    </w:tblPr>
  </w:style>
  <w:style w:type="table" w:customStyle="1" w:styleId="affc">
    <w:basedOn w:val="TableNormal7"/>
    <w:pPr>
      <w:spacing w:after="0" w:line="240" w:lineRule="auto"/>
    </w:pPr>
    <w:tblPr>
      <w:tblStyleRowBandSize w:val="1"/>
      <w:tblStyleColBandSize w:val="1"/>
      <w:tblCellMar>
        <w:left w:w="108" w:type="dxa"/>
        <w:right w:w="108" w:type="dxa"/>
      </w:tblCellMar>
    </w:tblPr>
  </w:style>
  <w:style w:type="table" w:customStyle="1" w:styleId="affd">
    <w:basedOn w:val="TableNormal7"/>
    <w:pPr>
      <w:spacing w:after="0" w:line="240" w:lineRule="auto"/>
    </w:pPr>
    <w:tblPr>
      <w:tblStyleRowBandSize w:val="1"/>
      <w:tblStyleColBandSize w:val="1"/>
      <w:tblCellMar>
        <w:left w:w="108" w:type="dxa"/>
        <w:right w:w="108" w:type="dxa"/>
      </w:tblCellMar>
    </w:tblPr>
  </w:style>
  <w:style w:type="table" w:customStyle="1" w:styleId="affe">
    <w:basedOn w:val="TableNormal7"/>
    <w:pPr>
      <w:spacing w:after="0" w:line="240" w:lineRule="auto"/>
    </w:pPr>
    <w:tblPr>
      <w:tblStyleRowBandSize w:val="1"/>
      <w:tblStyleColBandSize w:val="1"/>
      <w:tblCellMar>
        <w:left w:w="108" w:type="dxa"/>
        <w:right w:w="108" w:type="dxa"/>
      </w:tblCellMar>
    </w:tblPr>
  </w:style>
  <w:style w:type="table" w:customStyle="1" w:styleId="afff">
    <w:basedOn w:val="TableNormal7"/>
    <w:pPr>
      <w:spacing w:after="0" w:line="240" w:lineRule="auto"/>
    </w:pPr>
    <w:tblPr>
      <w:tblStyleRowBandSize w:val="1"/>
      <w:tblStyleColBandSize w:val="1"/>
      <w:tblCellMar>
        <w:left w:w="108" w:type="dxa"/>
        <w:right w:w="108" w:type="dxa"/>
      </w:tblCellMar>
    </w:tblPr>
  </w:style>
  <w:style w:type="table" w:customStyle="1" w:styleId="afff0">
    <w:basedOn w:val="TableNormal7"/>
    <w:pPr>
      <w:spacing w:after="0" w:line="240" w:lineRule="auto"/>
    </w:pPr>
    <w:tblPr>
      <w:tblStyleRowBandSize w:val="1"/>
      <w:tblStyleColBandSize w:val="1"/>
      <w:tblCellMar>
        <w:left w:w="108" w:type="dxa"/>
        <w:right w:w="108" w:type="dxa"/>
      </w:tblCellMar>
    </w:tblPr>
  </w:style>
  <w:style w:type="table" w:customStyle="1" w:styleId="afff1">
    <w:basedOn w:val="TableNormal7"/>
    <w:pPr>
      <w:spacing w:after="0" w:line="240" w:lineRule="auto"/>
    </w:pPr>
    <w:tblPr>
      <w:tblStyleRowBandSize w:val="1"/>
      <w:tblStyleColBandSize w:val="1"/>
      <w:tblCellMar>
        <w:left w:w="108" w:type="dxa"/>
        <w:right w:w="108" w:type="dxa"/>
      </w:tblCellMar>
    </w:tblPr>
  </w:style>
  <w:style w:type="table" w:customStyle="1" w:styleId="afff2">
    <w:basedOn w:val="TableNormal7"/>
    <w:pPr>
      <w:spacing w:after="0" w:line="240" w:lineRule="auto"/>
    </w:pPr>
    <w:tblPr>
      <w:tblStyleRowBandSize w:val="1"/>
      <w:tblStyleColBandSize w:val="1"/>
      <w:tblCellMar>
        <w:left w:w="108" w:type="dxa"/>
        <w:right w:w="108" w:type="dxa"/>
      </w:tblCellMar>
    </w:tblPr>
  </w:style>
  <w:style w:type="table" w:customStyle="1" w:styleId="afff3">
    <w:basedOn w:val="TableNormal7"/>
    <w:pPr>
      <w:spacing w:after="0" w:line="240" w:lineRule="auto"/>
    </w:pPr>
    <w:tblPr>
      <w:tblStyleRowBandSize w:val="1"/>
      <w:tblStyleColBandSize w:val="1"/>
      <w:tblCellMar>
        <w:left w:w="108" w:type="dxa"/>
        <w:right w:w="108" w:type="dxa"/>
      </w:tblCellMar>
    </w:tblPr>
  </w:style>
  <w:style w:type="table" w:customStyle="1" w:styleId="afff4">
    <w:basedOn w:val="TableNormal7"/>
    <w:pPr>
      <w:spacing w:after="0" w:line="240" w:lineRule="auto"/>
    </w:pPr>
    <w:tblPr>
      <w:tblStyleRowBandSize w:val="1"/>
      <w:tblStyleColBandSize w:val="1"/>
      <w:tblCellMar>
        <w:left w:w="108" w:type="dxa"/>
        <w:right w:w="108" w:type="dxa"/>
      </w:tblCellMar>
    </w:tblPr>
  </w:style>
  <w:style w:type="table" w:customStyle="1" w:styleId="afff5">
    <w:basedOn w:val="TableNormal7"/>
    <w:pPr>
      <w:spacing w:after="0" w:line="240" w:lineRule="auto"/>
    </w:pPr>
    <w:tblPr>
      <w:tblStyleRowBandSize w:val="1"/>
      <w:tblStyleColBandSize w:val="1"/>
      <w:tblCellMar>
        <w:left w:w="108" w:type="dxa"/>
        <w:right w:w="108" w:type="dxa"/>
      </w:tblCellMar>
    </w:tblPr>
  </w:style>
  <w:style w:type="table" w:customStyle="1" w:styleId="afff6">
    <w:basedOn w:val="TableNormal7"/>
    <w:pPr>
      <w:spacing w:after="0" w:line="240" w:lineRule="auto"/>
    </w:pPr>
    <w:tblPr>
      <w:tblStyleRowBandSize w:val="1"/>
      <w:tblStyleColBandSize w:val="1"/>
      <w:tblCellMar>
        <w:left w:w="108" w:type="dxa"/>
        <w:right w:w="108" w:type="dxa"/>
      </w:tblCellMar>
    </w:tblPr>
  </w:style>
  <w:style w:type="table" w:customStyle="1" w:styleId="afff7">
    <w:basedOn w:val="TableNormal7"/>
    <w:pPr>
      <w:spacing w:after="0" w:line="240" w:lineRule="auto"/>
    </w:pPr>
    <w:tblPr>
      <w:tblStyleRowBandSize w:val="1"/>
      <w:tblStyleColBandSize w:val="1"/>
      <w:tblCellMar>
        <w:left w:w="108" w:type="dxa"/>
        <w:right w:w="108" w:type="dxa"/>
      </w:tblCellMar>
    </w:tblPr>
  </w:style>
  <w:style w:type="table" w:customStyle="1" w:styleId="afff8">
    <w:basedOn w:val="TableNormal7"/>
    <w:pPr>
      <w:spacing w:after="0" w:line="240" w:lineRule="auto"/>
    </w:pPr>
    <w:tblPr>
      <w:tblStyleRowBandSize w:val="1"/>
      <w:tblStyleColBandSize w:val="1"/>
      <w:tblCellMar>
        <w:left w:w="108" w:type="dxa"/>
        <w:right w:w="108" w:type="dxa"/>
      </w:tblCellMar>
    </w:tblPr>
  </w:style>
  <w:style w:type="table" w:customStyle="1" w:styleId="afff9">
    <w:basedOn w:val="TableNormal7"/>
    <w:pPr>
      <w:spacing w:after="0" w:line="240" w:lineRule="auto"/>
    </w:pPr>
    <w:tblPr>
      <w:tblStyleRowBandSize w:val="1"/>
      <w:tblStyleColBandSize w:val="1"/>
      <w:tblCellMar>
        <w:left w:w="108" w:type="dxa"/>
        <w:right w:w="108" w:type="dxa"/>
      </w:tblCellMar>
    </w:tblPr>
  </w:style>
  <w:style w:type="table" w:customStyle="1" w:styleId="afffa">
    <w:basedOn w:val="TableNormal7"/>
    <w:pPr>
      <w:spacing w:after="0" w:line="240" w:lineRule="auto"/>
    </w:pPr>
    <w:tblPr>
      <w:tblStyleRowBandSize w:val="1"/>
      <w:tblStyleColBandSize w:val="1"/>
      <w:tblCellMar>
        <w:left w:w="108" w:type="dxa"/>
        <w:right w:w="108" w:type="dxa"/>
      </w:tblCellMar>
    </w:tblPr>
  </w:style>
  <w:style w:type="table" w:customStyle="1" w:styleId="afffb">
    <w:basedOn w:val="TableNormal7"/>
    <w:pPr>
      <w:spacing w:after="0" w:line="240" w:lineRule="auto"/>
    </w:pPr>
    <w:tblPr>
      <w:tblStyleRowBandSize w:val="1"/>
      <w:tblStyleColBandSize w:val="1"/>
      <w:tblCellMar>
        <w:left w:w="108" w:type="dxa"/>
        <w:right w:w="108" w:type="dxa"/>
      </w:tblCellMar>
    </w:tblPr>
  </w:style>
  <w:style w:type="table" w:customStyle="1" w:styleId="afffc">
    <w:basedOn w:val="TableNormal7"/>
    <w:pPr>
      <w:spacing w:after="0" w:line="240" w:lineRule="auto"/>
    </w:pPr>
    <w:tblPr>
      <w:tblStyleRowBandSize w:val="1"/>
      <w:tblStyleColBandSize w:val="1"/>
      <w:tblCellMar>
        <w:left w:w="108" w:type="dxa"/>
        <w:right w:w="108" w:type="dxa"/>
      </w:tblCellMar>
    </w:tblPr>
  </w:style>
  <w:style w:type="table" w:customStyle="1" w:styleId="afffd">
    <w:basedOn w:val="TableNormal6"/>
    <w:pPr>
      <w:spacing w:after="0" w:line="240" w:lineRule="auto"/>
    </w:pPr>
    <w:tblPr>
      <w:tblStyleRowBandSize w:val="1"/>
      <w:tblStyleColBandSize w:val="1"/>
      <w:tblCellMar>
        <w:left w:w="108" w:type="dxa"/>
        <w:right w:w="108" w:type="dxa"/>
      </w:tblCellMar>
    </w:tblPr>
  </w:style>
  <w:style w:type="table" w:customStyle="1" w:styleId="afffe">
    <w:basedOn w:val="TableNormal6"/>
    <w:pPr>
      <w:spacing w:after="0" w:line="240" w:lineRule="auto"/>
    </w:pPr>
    <w:tblPr>
      <w:tblStyleRowBandSize w:val="1"/>
      <w:tblStyleColBandSize w:val="1"/>
      <w:tblCellMar>
        <w:left w:w="108" w:type="dxa"/>
        <w:right w:w="108" w:type="dxa"/>
      </w:tblCellMar>
    </w:tblPr>
  </w:style>
  <w:style w:type="table" w:customStyle="1" w:styleId="affff">
    <w:basedOn w:val="TableNormal6"/>
    <w:pPr>
      <w:spacing w:after="0" w:line="240" w:lineRule="auto"/>
    </w:pPr>
    <w:tblPr>
      <w:tblStyleRowBandSize w:val="1"/>
      <w:tblStyleColBandSize w:val="1"/>
      <w:tblCellMar>
        <w:left w:w="108" w:type="dxa"/>
        <w:right w:w="108" w:type="dxa"/>
      </w:tblCellMar>
    </w:tblPr>
  </w:style>
  <w:style w:type="table" w:customStyle="1" w:styleId="affff0">
    <w:basedOn w:val="TableNormal6"/>
    <w:pPr>
      <w:spacing w:after="0" w:line="240" w:lineRule="auto"/>
    </w:pPr>
    <w:tblPr>
      <w:tblStyleRowBandSize w:val="1"/>
      <w:tblStyleColBandSize w:val="1"/>
      <w:tblCellMar>
        <w:left w:w="108" w:type="dxa"/>
        <w:right w:w="108" w:type="dxa"/>
      </w:tblCellMar>
    </w:tblPr>
  </w:style>
  <w:style w:type="table" w:customStyle="1" w:styleId="affff1">
    <w:basedOn w:val="TableNormal6"/>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5"/>
    <w:pPr>
      <w:spacing w:after="0" w:line="240" w:lineRule="auto"/>
    </w:pPr>
    <w:tblPr>
      <w:tblStyleRowBandSize w:val="1"/>
      <w:tblStyleColBandSize w:val="1"/>
      <w:tblCellMar>
        <w:left w:w="108" w:type="dxa"/>
        <w:right w:w="108" w:type="dxa"/>
      </w:tblCellMar>
    </w:tblPr>
  </w:style>
  <w:style w:type="table" w:customStyle="1" w:styleId="affff3">
    <w:basedOn w:val="TableNormal5"/>
    <w:pPr>
      <w:spacing w:after="0" w:line="240" w:lineRule="auto"/>
    </w:pPr>
    <w:tblPr>
      <w:tblStyleRowBandSize w:val="1"/>
      <w:tblStyleColBandSize w:val="1"/>
      <w:tblCellMar>
        <w:left w:w="108" w:type="dxa"/>
        <w:right w:w="108" w:type="dxa"/>
      </w:tblCellMar>
    </w:tblPr>
  </w:style>
  <w:style w:type="table" w:customStyle="1" w:styleId="affff4">
    <w:basedOn w:val="TableNormal5"/>
    <w:pPr>
      <w:spacing w:after="0" w:line="240" w:lineRule="auto"/>
    </w:pPr>
    <w:tblPr>
      <w:tblStyleRowBandSize w:val="1"/>
      <w:tblStyleColBandSize w:val="1"/>
      <w:tblCellMar>
        <w:left w:w="108" w:type="dxa"/>
        <w:right w:w="108" w:type="dxa"/>
      </w:tblCellMar>
    </w:tblPr>
  </w:style>
  <w:style w:type="table" w:customStyle="1" w:styleId="affff5">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4"/>
    <w:pPr>
      <w:spacing w:after="0" w:line="240" w:lineRule="auto"/>
    </w:pPr>
    <w:tblPr>
      <w:tblStyleRowBandSize w:val="1"/>
      <w:tblStyleColBandSize w:val="1"/>
      <w:tblCellMar>
        <w:left w:w="108" w:type="dxa"/>
        <w:right w:w="108" w:type="dxa"/>
      </w:tblCellMar>
    </w:tblPr>
  </w:style>
  <w:style w:type="table" w:customStyle="1" w:styleId="affff7">
    <w:basedOn w:val="TableNormal4"/>
    <w:pPr>
      <w:spacing w:after="0" w:line="240" w:lineRule="auto"/>
    </w:pPr>
    <w:tblPr>
      <w:tblStyleRowBandSize w:val="1"/>
      <w:tblStyleColBandSize w:val="1"/>
      <w:tblCellMar>
        <w:left w:w="108" w:type="dxa"/>
        <w:right w:w="108" w:type="dxa"/>
      </w:tblCellMar>
    </w:tblPr>
  </w:style>
  <w:style w:type="table" w:customStyle="1" w:styleId="affff8">
    <w:basedOn w:val="TableNormal4"/>
    <w:pPr>
      <w:spacing w:after="0" w:line="240" w:lineRule="auto"/>
    </w:pPr>
    <w:tblPr>
      <w:tblStyleRowBandSize w:val="1"/>
      <w:tblStyleColBandSize w:val="1"/>
      <w:tblCellMar>
        <w:left w:w="108" w:type="dxa"/>
        <w:right w:w="108" w:type="dxa"/>
      </w:tblCellMar>
    </w:tblPr>
  </w:style>
  <w:style w:type="table" w:customStyle="1" w:styleId="affff9">
    <w:basedOn w:val="TableNormal4"/>
    <w:pPr>
      <w:spacing w:after="0" w:line="240" w:lineRule="auto"/>
    </w:pPr>
    <w:tblPr>
      <w:tblStyleRowBandSize w:val="1"/>
      <w:tblStyleColBandSize w:val="1"/>
      <w:tblCellMar>
        <w:left w:w="108" w:type="dxa"/>
        <w:right w:w="108" w:type="dxa"/>
      </w:tblCellMar>
    </w:tblPr>
  </w:style>
  <w:style w:type="table" w:customStyle="1" w:styleId="affffa">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3"/>
    <w:pPr>
      <w:spacing w:after="0" w:line="240" w:lineRule="auto"/>
    </w:pPr>
    <w:tblPr>
      <w:tblStyleRowBandSize w:val="1"/>
      <w:tblStyleColBandSize w:val="1"/>
      <w:tblCellMar>
        <w:left w:w="108" w:type="dxa"/>
        <w:right w:w="108" w:type="dxa"/>
      </w:tblCellMar>
    </w:tblPr>
  </w:style>
  <w:style w:type="table" w:customStyle="1" w:styleId="affffc">
    <w:basedOn w:val="TableNormal3"/>
    <w:pPr>
      <w:spacing w:after="0" w:line="240" w:lineRule="auto"/>
    </w:pPr>
    <w:tblPr>
      <w:tblStyleRowBandSize w:val="1"/>
      <w:tblStyleColBandSize w:val="1"/>
      <w:tblCellMar>
        <w:left w:w="108" w:type="dxa"/>
        <w:right w:w="108" w:type="dxa"/>
      </w:tblCellMar>
    </w:tblPr>
  </w:style>
  <w:style w:type="table" w:customStyle="1" w:styleId="affffd">
    <w:basedOn w:val="TableNormal3"/>
    <w:pPr>
      <w:spacing w:after="0" w:line="240" w:lineRule="auto"/>
    </w:pPr>
    <w:tblPr>
      <w:tblStyleRowBandSize w:val="1"/>
      <w:tblStyleColBandSize w:val="1"/>
      <w:tblCellMar>
        <w:left w:w="108" w:type="dxa"/>
        <w:right w:w="108" w:type="dxa"/>
      </w:tblCellMar>
    </w:tblPr>
  </w:style>
  <w:style w:type="table" w:customStyle="1" w:styleId="affffe">
    <w:basedOn w:val="TableNormal3"/>
    <w:pPr>
      <w:spacing w:after="0" w:line="240" w:lineRule="auto"/>
    </w:pPr>
    <w:tblPr>
      <w:tblStyleRowBandSize w:val="1"/>
      <w:tblStyleColBandSize w:val="1"/>
      <w:tblCellMar>
        <w:left w:w="108" w:type="dxa"/>
        <w:right w:w="108" w:type="dxa"/>
      </w:tblCellMar>
    </w:tblPr>
  </w:style>
  <w:style w:type="table" w:customStyle="1" w:styleId="afffff">
    <w:basedOn w:val="TableNormal2"/>
    <w:pPr>
      <w:spacing w:after="0" w:line="240" w:lineRule="auto"/>
    </w:pPr>
    <w:tblPr>
      <w:tblStyleRowBandSize w:val="1"/>
      <w:tblStyleColBandSize w:val="1"/>
      <w:tblCellMar>
        <w:left w:w="108" w:type="dxa"/>
        <w:right w:w="108" w:type="dxa"/>
      </w:tblCellMar>
    </w:tblPr>
  </w:style>
  <w:style w:type="table" w:customStyle="1" w:styleId="afffff0">
    <w:basedOn w:val="TableNormal2"/>
    <w:pPr>
      <w:spacing w:after="0" w:line="240" w:lineRule="auto"/>
    </w:pPr>
    <w:tblPr>
      <w:tblStyleRowBandSize w:val="1"/>
      <w:tblStyleColBandSize w:val="1"/>
      <w:tblCellMar>
        <w:left w:w="108" w:type="dxa"/>
        <w:right w:w="108" w:type="dxa"/>
      </w:tblCellMar>
    </w:tblPr>
  </w:style>
  <w:style w:type="table" w:customStyle="1" w:styleId="afffff1">
    <w:basedOn w:val="TableNormal2"/>
    <w:pPr>
      <w:spacing w:after="0" w:line="240" w:lineRule="auto"/>
    </w:pPr>
    <w:tblPr>
      <w:tblStyleRowBandSize w:val="1"/>
      <w:tblStyleColBandSize w:val="1"/>
      <w:tblCellMar>
        <w:left w:w="108" w:type="dxa"/>
        <w:right w:w="108" w:type="dxa"/>
      </w:tblCellMar>
    </w:tblPr>
  </w:style>
  <w:style w:type="table" w:customStyle="1" w:styleId="afffff2">
    <w:basedOn w:val="TableNormal2"/>
    <w:pPr>
      <w:spacing w:after="0" w:line="240" w:lineRule="auto"/>
    </w:pPr>
    <w:tblPr>
      <w:tblStyleRowBandSize w:val="1"/>
      <w:tblStyleColBandSize w:val="1"/>
      <w:tblCellMar>
        <w:left w:w="108" w:type="dxa"/>
        <w:right w:w="108" w:type="dxa"/>
      </w:tblCellMar>
    </w:tblPr>
  </w:style>
  <w:style w:type="table" w:customStyle="1" w:styleId="afffff3">
    <w:basedOn w:val="TableNormal2"/>
    <w:pPr>
      <w:spacing w:after="0" w:line="240" w:lineRule="auto"/>
    </w:pPr>
    <w:tblPr>
      <w:tblStyleRowBandSize w:val="1"/>
      <w:tblStyleColBandSize w:val="1"/>
      <w:tblCellMar>
        <w:left w:w="108" w:type="dxa"/>
        <w:right w:w="108" w:type="dxa"/>
      </w:tblCellMar>
    </w:tblPr>
  </w:style>
  <w:style w:type="table" w:customStyle="1" w:styleId="afffff4">
    <w:basedOn w:val="TableNormal1"/>
    <w:pPr>
      <w:spacing w:after="0" w:line="240" w:lineRule="auto"/>
    </w:pPr>
    <w:tblPr>
      <w:tblStyleRowBandSize w:val="1"/>
      <w:tblStyleColBandSize w:val="1"/>
      <w:tblCellMar>
        <w:left w:w="108" w:type="dxa"/>
        <w:right w:w="108" w:type="dxa"/>
      </w:tblCellMar>
    </w:tblPr>
  </w:style>
  <w:style w:type="table" w:customStyle="1" w:styleId="afffff5">
    <w:basedOn w:val="TableNormal1"/>
    <w:pPr>
      <w:spacing w:after="0" w:line="240" w:lineRule="auto"/>
    </w:pPr>
    <w:tblPr>
      <w:tblStyleRowBandSize w:val="1"/>
      <w:tblStyleColBandSize w:val="1"/>
      <w:tblCellMar>
        <w:left w:w="108" w:type="dxa"/>
        <w:right w:w="108" w:type="dxa"/>
      </w:tblCellMar>
    </w:tblPr>
  </w:style>
  <w:style w:type="table" w:customStyle="1" w:styleId="afffff6">
    <w:basedOn w:val="TableNormal1"/>
    <w:pPr>
      <w:spacing w:after="0" w:line="240" w:lineRule="auto"/>
    </w:pPr>
    <w:tblPr>
      <w:tblStyleRowBandSize w:val="1"/>
      <w:tblStyleColBandSize w:val="1"/>
      <w:tblCellMar>
        <w:left w:w="108" w:type="dxa"/>
        <w:right w:w="108" w:type="dxa"/>
      </w:tblCellMar>
    </w:tblPr>
  </w:style>
  <w:style w:type="table" w:customStyle="1" w:styleId="afffff7">
    <w:basedOn w:val="TableNormal1"/>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D82F25"/>
    <w:rPr>
      <w:color w:val="605E5C"/>
      <w:shd w:val="clear" w:color="auto" w:fill="E1DFDD"/>
    </w:rPr>
  </w:style>
  <w:style w:type="character" w:customStyle="1" w:styleId="Mencinsinresolver8">
    <w:name w:val="Mención sin resolver8"/>
    <w:basedOn w:val="Fuentedeprrafopredeter"/>
    <w:uiPriority w:val="99"/>
    <w:semiHidden/>
    <w:unhideWhenUsed/>
    <w:rsid w:val="006F079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 w:type="table" w:customStyle="1" w:styleId="afffff9">
    <w:basedOn w:val="TableNormal0"/>
    <w:pPr>
      <w:spacing w:after="0" w:line="240" w:lineRule="auto"/>
    </w:pPr>
    <w:tblPr>
      <w:tblStyleRowBandSize w:val="1"/>
      <w:tblStyleColBandSize w:val="1"/>
      <w:tblCellMar>
        <w:left w:w="108" w:type="dxa"/>
        <w:right w:w="108" w:type="dxa"/>
      </w:tblCellMar>
    </w:tblPr>
  </w:style>
  <w:style w:type="table" w:customStyle="1" w:styleId="afffffa">
    <w:basedOn w:val="TableNormal0"/>
    <w:pPr>
      <w:spacing w:after="0" w:line="240" w:lineRule="auto"/>
    </w:pPr>
    <w:tblPr>
      <w:tblStyleRowBandSize w:val="1"/>
      <w:tblStyleColBandSize w:val="1"/>
      <w:tblCellMar>
        <w:left w:w="108" w:type="dxa"/>
        <w:right w:w="108" w:type="dxa"/>
      </w:tblCellMar>
    </w:tblPr>
  </w:style>
  <w:style w:type="table" w:customStyle="1" w:styleId="afffffb">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7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segob/renapo/acciones-y-programas/clave-unica-de-registro-de-poblacion-curp-14222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apartados.hacienda.gob.mx/contabilidad/documentos/informe_cuenta/1998/cuenta_publica/Glosario/n.ht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transparenciapresupuestaria.gob.mx/es/PTP/Glosari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yRLHgssmo1eKz6YMmhpv+Vmkw==">CgMxLjAyDmguMWsxZDlzaXlydWNxMghoLmdqZGd4czIOaC5qd3Y3b2kyZWIzOW0yDmguN3oyaG0xZHN0YzJuMg5oLjh3cGprZGI2OWQ4djIOaC5yZ3J1dWdsM3ptbmYyCWguMmV0OTJwMDIOaC44Y3M2a2RhZWVtY2UyDmgubTFmeWxmbHRrMmxpMg5oLjVyajllYnZ5eTczdzIOaC5uMmVxa2FlbnZ1NGsyDmgub2kwem10cHVlMjR3Mg5oLjNxOWVtazZrc3pwYTINaC5tMHNicnQ5MXJvZTIOaC5odHhvNWY4cWI4NGQyDmgueDZ5MHJoMjVqNnJ3Mg5oLjh3ZnliN2ZqN3FsbTIOaC5hcmd5MjFxbmttaHI4AHIhMVhrS0NFQ1Atb1VTX2ZtTlh1eHVEMDlKX3l4TWZHV2d6</go:docsCustomData>
</go:gDocsCustomXmlDataStorage>
</file>

<file path=customXml/itemProps1.xml><?xml version="1.0" encoding="utf-8"?>
<ds:datastoreItem xmlns:ds="http://schemas.openxmlformats.org/officeDocument/2006/customXml" ds:itemID="{933F995B-1777-40D0-9351-06C54DF2C7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9232</Words>
  <Characters>50776</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Office</cp:lastModifiedBy>
  <cp:revision>3</cp:revision>
  <cp:lastPrinted>2025-08-15T05:04:00Z</cp:lastPrinted>
  <dcterms:created xsi:type="dcterms:W3CDTF">2025-08-15T05:04:00Z</dcterms:created>
  <dcterms:modified xsi:type="dcterms:W3CDTF">2025-08-15T05:04:00Z</dcterms:modified>
</cp:coreProperties>
</file>