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69DE3"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29940DBE" w14:textId="77777777" w:rsidR="00B41C6D" w:rsidRPr="00D541A9" w:rsidRDefault="00B41C6D">
      <w:pPr>
        <w:spacing w:after="0" w:line="360" w:lineRule="auto"/>
        <w:ind w:right="49"/>
        <w:jc w:val="center"/>
        <w:rPr>
          <w:rFonts w:ascii="Palatino Linotype" w:eastAsia="Palatino Linotype" w:hAnsi="Palatino Linotype" w:cs="Palatino Linotype"/>
        </w:rPr>
      </w:pPr>
    </w:p>
    <w:p w14:paraId="2FE00AAA" w14:textId="1BC8658D"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Visto el expediente relativo al recurso de revisión </w:t>
      </w:r>
      <w:r w:rsidRPr="00D541A9">
        <w:rPr>
          <w:rFonts w:ascii="Palatino Linotype" w:eastAsia="Palatino Linotype" w:hAnsi="Palatino Linotype" w:cs="Palatino Linotype"/>
          <w:b/>
        </w:rPr>
        <w:t>06709/INFOEM/IP/RR/2025</w:t>
      </w:r>
      <w:r w:rsidRPr="00D541A9">
        <w:rPr>
          <w:rFonts w:ascii="Palatino Linotype" w:eastAsia="Palatino Linotype" w:hAnsi="Palatino Linotype" w:cs="Palatino Linotype"/>
        </w:rPr>
        <w:t xml:space="preserve">, interpuesto por </w:t>
      </w:r>
      <w:r w:rsidR="00793DD1" w:rsidRPr="00793DD1">
        <w:rPr>
          <w:rFonts w:ascii="Palatino Linotype" w:eastAsia="Palatino Linotype" w:hAnsi="Palatino Linotype" w:cs="Palatino Linotype"/>
          <w:b/>
        </w:rPr>
        <w:t>XXXXXXX XXXXXX XXXXXXX XXXXXX</w:t>
      </w:r>
      <w:r w:rsidRPr="00793DD1">
        <w:rPr>
          <w:rFonts w:ascii="Palatino Linotype" w:eastAsia="Palatino Linotype" w:hAnsi="Palatino Linotype" w:cs="Palatino Linotype"/>
          <w:b/>
        </w:rPr>
        <w:t>,</w:t>
      </w:r>
      <w:bookmarkStart w:id="0" w:name="_GoBack"/>
      <w:bookmarkEnd w:id="0"/>
      <w:r w:rsidRPr="00D541A9">
        <w:rPr>
          <w:rFonts w:ascii="Palatino Linotype" w:eastAsia="Palatino Linotype" w:hAnsi="Palatino Linotype" w:cs="Palatino Linotype"/>
        </w:rPr>
        <w:t xml:space="preserve"> al cual en lo sucesivo se le denominará la parte </w:t>
      </w:r>
      <w:r w:rsidRPr="00D541A9">
        <w:rPr>
          <w:rFonts w:ascii="Palatino Linotype" w:eastAsia="Palatino Linotype" w:hAnsi="Palatino Linotype" w:cs="Palatino Linotype"/>
          <w:b/>
        </w:rPr>
        <w:t>RECURRENTE</w:t>
      </w:r>
      <w:r w:rsidRPr="00D541A9">
        <w:rPr>
          <w:rFonts w:ascii="Palatino Linotype" w:eastAsia="Palatino Linotype" w:hAnsi="Palatino Linotype" w:cs="Palatino Linotype"/>
        </w:rPr>
        <w:t xml:space="preserve">, en contra de la respuesta a su solicitud de información identificada con número de folio </w:t>
      </w:r>
      <w:r w:rsidRPr="00D541A9">
        <w:rPr>
          <w:rFonts w:ascii="Palatino Linotype" w:eastAsia="Palatino Linotype" w:hAnsi="Palatino Linotype" w:cs="Palatino Linotype"/>
          <w:b/>
        </w:rPr>
        <w:t xml:space="preserve">00285/PLEGISLA/IP/2025 </w:t>
      </w:r>
      <w:r w:rsidRPr="00D541A9">
        <w:rPr>
          <w:rFonts w:ascii="Palatino Linotype" w:eastAsia="Palatino Linotype" w:hAnsi="Palatino Linotype" w:cs="Palatino Linotype"/>
        </w:rPr>
        <w:t xml:space="preserve">proporcionada por parte del </w:t>
      </w:r>
      <w:r w:rsidRPr="00D541A9">
        <w:rPr>
          <w:rFonts w:ascii="Palatino Linotype" w:eastAsia="Palatino Linotype" w:hAnsi="Palatino Linotype" w:cs="Palatino Linotype"/>
          <w:b/>
        </w:rPr>
        <w:t>Poder Legislativo</w:t>
      </w:r>
      <w:r w:rsidRPr="00D541A9">
        <w:rPr>
          <w:rFonts w:ascii="Palatino Linotype" w:eastAsia="Palatino Linotype" w:hAnsi="Palatino Linotype" w:cs="Palatino Linotype"/>
        </w:rPr>
        <w:t xml:space="preserve"> en lo sucesivo el </w:t>
      </w:r>
      <w:r w:rsidRPr="00D541A9">
        <w:rPr>
          <w:rFonts w:ascii="Palatino Linotype" w:eastAsia="Palatino Linotype" w:hAnsi="Palatino Linotype" w:cs="Palatino Linotype"/>
          <w:b/>
        </w:rPr>
        <w:t>SUJETO OBLIGADO</w:t>
      </w:r>
      <w:r w:rsidRPr="00D541A9">
        <w:rPr>
          <w:rFonts w:ascii="Palatino Linotype" w:eastAsia="Palatino Linotype" w:hAnsi="Palatino Linotype" w:cs="Palatino Linotype"/>
        </w:rPr>
        <w:t>; se procede a dictar la presente resolución, con base en los siguientes:</w:t>
      </w:r>
    </w:p>
    <w:p w14:paraId="4105F107" w14:textId="77777777" w:rsidR="00B41C6D" w:rsidRPr="00D541A9" w:rsidRDefault="00B41C6D">
      <w:pPr>
        <w:spacing w:after="0" w:line="360" w:lineRule="auto"/>
        <w:ind w:right="49"/>
        <w:jc w:val="both"/>
        <w:rPr>
          <w:rFonts w:ascii="Palatino Linotype" w:eastAsia="Palatino Linotype" w:hAnsi="Palatino Linotype" w:cs="Palatino Linotype"/>
        </w:rPr>
      </w:pPr>
    </w:p>
    <w:p w14:paraId="1BFC6825" w14:textId="77777777" w:rsidR="00B41C6D" w:rsidRPr="00D541A9" w:rsidRDefault="00724AD9">
      <w:pPr>
        <w:spacing w:after="0" w:line="360" w:lineRule="auto"/>
        <w:ind w:right="49"/>
        <w:jc w:val="center"/>
        <w:rPr>
          <w:rFonts w:ascii="Palatino Linotype" w:eastAsia="Palatino Linotype" w:hAnsi="Palatino Linotype" w:cs="Palatino Linotype"/>
          <w:b/>
        </w:rPr>
      </w:pPr>
      <w:r w:rsidRPr="00D541A9">
        <w:rPr>
          <w:rFonts w:ascii="Palatino Linotype" w:eastAsia="Palatino Linotype" w:hAnsi="Palatino Linotype" w:cs="Palatino Linotype"/>
          <w:b/>
        </w:rPr>
        <w:t>I.</w:t>
      </w:r>
      <w:r w:rsidRPr="00D541A9">
        <w:rPr>
          <w:rFonts w:ascii="Palatino Linotype" w:eastAsia="Palatino Linotype" w:hAnsi="Palatino Linotype" w:cs="Palatino Linotype"/>
          <w:b/>
        </w:rPr>
        <w:tab/>
        <w:t>A N T E C E D E N T E S</w:t>
      </w:r>
    </w:p>
    <w:p w14:paraId="3D341BAC" w14:textId="77777777" w:rsidR="00B41C6D" w:rsidRPr="00D541A9" w:rsidRDefault="00B41C6D">
      <w:pPr>
        <w:spacing w:after="0" w:line="360" w:lineRule="auto"/>
        <w:ind w:right="49"/>
        <w:jc w:val="both"/>
        <w:rPr>
          <w:rFonts w:ascii="Palatino Linotype" w:eastAsia="Palatino Linotype" w:hAnsi="Palatino Linotype" w:cs="Palatino Linotype"/>
        </w:rPr>
      </w:pPr>
    </w:p>
    <w:p w14:paraId="13167339"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Solicitud de acceso a la información.</w:t>
      </w:r>
      <w:r w:rsidRPr="00D541A9">
        <w:rPr>
          <w:rFonts w:ascii="Palatino Linotype" w:eastAsia="Palatino Linotype" w:hAnsi="Palatino Linotype" w:cs="Palatino Linotype"/>
        </w:rPr>
        <w:t xml:space="preserve"> Con fecha </w:t>
      </w:r>
      <w:r w:rsidRPr="00D541A9">
        <w:rPr>
          <w:rFonts w:ascii="Palatino Linotype" w:eastAsia="Palatino Linotype" w:hAnsi="Palatino Linotype" w:cs="Palatino Linotype"/>
          <w:b/>
        </w:rPr>
        <w:t>siete de mayo de dos mil veinticinco</w:t>
      </w:r>
      <w:r w:rsidRPr="00D541A9">
        <w:rPr>
          <w:rFonts w:ascii="Palatino Linotype" w:eastAsia="Palatino Linotype" w:hAnsi="Palatino Linotype" w:cs="Palatino Linotype"/>
        </w:rPr>
        <w:t xml:space="preserve">, la parte </w:t>
      </w:r>
      <w:r w:rsidRPr="00D541A9">
        <w:rPr>
          <w:rFonts w:ascii="Palatino Linotype" w:eastAsia="Palatino Linotype" w:hAnsi="Palatino Linotype" w:cs="Palatino Linotype"/>
          <w:b/>
        </w:rPr>
        <w:t>RECURRENTE</w:t>
      </w:r>
      <w:r w:rsidRPr="00D541A9">
        <w:rPr>
          <w:rFonts w:ascii="Palatino Linotype" w:eastAsia="Palatino Linotype" w:hAnsi="Palatino Linotype" w:cs="Palatino Linotype"/>
        </w:rPr>
        <w:t xml:space="preserve"> formuló solicitud de acceso a información pública al</w:t>
      </w:r>
      <w:r w:rsidRPr="00D541A9">
        <w:rPr>
          <w:rFonts w:ascii="Palatino Linotype" w:eastAsia="Palatino Linotype" w:hAnsi="Palatino Linotype" w:cs="Palatino Linotype"/>
          <w:b/>
        </w:rPr>
        <w:t xml:space="preserve"> SUJETO OBLIGADO</w:t>
      </w:r>
      <w:r w:rsidRPr="00D541A9">
        <w:rPr>
          <w:rFonts w:ascii="Palatino Linotype" w:eastAsia="Palatino Linotype" w:hAnsi="Palatino Linotype" w:cs="Palatino Linotype"/>
        </w:rPr>
        <w:t xml:space="preserve"> a través del Sistema de Acceso a la Información Mexiquense, en adelante SAIMEX, en la que requirió lo siguiente: </w:t>
      </w:r>
    </w:p>
    <w:p w14:paraId="5F4F0E19" w14:textId="77777777" w:rsidR="00B41C6D" w:rsidRPr="00D541A9" w:rsidRDefault="00724AD9">
      <w:pPr>
        <w:tabs>
          <w:tab w:val="left" w:pos="1530"/>
        </w:tabs>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ab/>
      </w:r>
    </w:p>
    <w:p w14:paraId="76DCBE5A" w14:textId="77777777" w:rsidR="00B41C6D" w:rsidRPr="00D541A9" w:rsidRDefault="00724AD9">
      <w:pPr>
        <w:spacing w:after="0" w:line="240" w:lineRule="auto"/>
        <w:ind w:left="567" w:right="560"/>
        <w:jc w:val="both"/>
        <w:rPr>
          <w:rFonts w:ascii="Palatino Linotype" w:eastAsia="Palatino Linotype" w:hAnsi="Palatino Linotype" w:cs="Palatino Linotype"/>
          <w:i/>
        </w:rPr>
      </w:pPr>
      <w:bookmarkStart w:id="1" w:name="_heading=h.30j0zll" w:colFirst="0" w:colLast="0"/>
      <w:bookmarkEnd w:id="1"/>
      <w:r w:rsidRPr="00D541A9">
        <w:rPr>
          <w:rFonts w:ascii="Palatino Linotype" w:eastAsia="Palatino Linotype" w:hAnsi="Palatino Linotype" w:cs="Palatino Linotype"/>
          <w:i/>
        </w:rPr>
        <w:t xml:space="preserve">“Por medio del presente, me permito solicitar atentamente una copia del </w:t>
      </w:r>
      <w:r w:rsidRPr="00D541A9">
        <w:rPr>
          <w:rFonts w:ascii="Palatino Linotype" w:eastAsia="Palatino Linotype" w:hAnsi="Palatino Linotype" w:cs="Palatino Linotype"/>
          <w:b/>
          <w:i/>
          <w:u w:val="single"/>
        </w:rPr>
        <w:t>decreto de creación del Municipio de Tecámac de Felipe Villanueva Estado de México y/o Tecámac, Estado de México</w:t>
      </w:r>
      <w:r w:rsidRPr="00D541A9">
        <w:rPr>
          <w:rFonts w:ascii="Palatino Linotype" w:eastAsia="Palatino Linotype" w:hAnsi="Palatino Linotype" w:cs="Palatino Linotype"/>
          <w:i/>
        </w:rPr>
        <w:t xml:space="preserve">, ya que dicha información es de gran importancia para fines de consulta y referencia histórica relacionados con la conformación territorial del Estado de México, por lo que se solicita a través de la Comisión de </w:t>
      </w:r>
      <w:proofErr w:type="spellStart"/>
      <w:r w:rsidRPr="00D541A9">
        <w:rPr>
          <w:rFonts w:ascii="Palatino Linotype" w:eastAsia="Palatino Linotype" w:hAnsi="Palatino Linotype" w:cs="Palatino Linotype"/>
          <w:i/>
        </w:rPr>
        <w:t>Limites</w:t>
      </w:r>
      <w:proofErr w:type="spellEnd"/>
      <w:r w:rsidRPr="00D541A9">
        <w:rPr>
          <w:rFonts w:ascii="Palatino Linotype" w:eastAsia="Palatino Linotype" w:hAnsi="Palatino Linotype" w:cs="Palatino Linotype"/>
          <w:i/>
        </w:rPr>
        <w:t xml:space="preserve"> Territoriales de la Subsecretaria de Gobierno del Estado de México”</w:t>
      </w:r>
    </w:p>
    <w:p w14:paraId="0D7F8AC5" w14:textId="77777777" w:rsidR="00B41C6D" w:rsidRPr="00D541A9" w:rsidRDefault="00B41C6D">
      <w:pPr>
        <w:spacing w:after="0" w:line="360" w:lineRule="auto"/>
        <w:ind w:right="49"/>
        <w:jc w:val="both"/>
        <w:rPr>
          <w:rFonts w:ascii="Palatino Linotype" w:eastAsia="Palatino Linotype" w:hAnsi="Palatino Linotype" w:cs="Palatino Linotype"/>
          <w:b/>
        </w:rPr>
      </w:pPr>
    </w:p>
    <w:p w14:paraId="70FB55A5"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b/>
        </w:rPr>
        <w:t>Modalidad elegida para la entrega de la información:</w:t>
      </w:r>
      <w:r w:rsidRPr="00D541A9">
        <w:rPr>
          <w:rFonts w:ascii="Palatino Linotype" w:eastAsia="Palatino Linotype" w:hAnsi="Palatino Linotype" w:cs="Palatino Linotype"/>
        </w:rPr>
        <w:t xml:space="preserve"> a través del Sistema de Acceso a la Información Mexiquense (SAIMEX). </w:t>
      </w:r>
    </w:p>
    <w:p w14:paraId="75118FFA"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lastRenderedPageBreak/>
        <w:t xml:space="preserve">Respuesta. </w:t>
      </w:r>
      <w:r w:rsidRPr="00D541A9">
        <w:rPr>
          <w:rFonts w:ascii="Palatino Linotype" w:eastAsia="Palatino Linotype" w:hAnsi="Palatino Linotype" w:cs="Palatino Linotype"/>
        </w:rPr>
        <w:t xml:space="preserve">En </w:t>
      </w:r>
      <w:r w:rsidRPr="00D541A9">
        <w:rPr>
          <w:rFonts w:ascii="Palatino Linotype" w:eastAsia="Palatino Linotype" w:hAnsi="Palatino Linotype" w:cs="Palatino Linotype"/>
          <w:b/>
        </w:rPr>
        <w:t>veinte de mayo de dos mil veinticinco</w:t>
      </w:r>
      <w:r w:rsidRPr="00D541A9">
        <w:rPr>
          <w:rFonts w:ascii="Palatino Linotype" w:eastAsia="Palatino Linotype" w:hAnsi="Palatino Linotype" w:cs="Palatino Linotype"/>
        </w:rPr>
        <w:t xml:space="preserve">, el </w:t>
      </w:r>
      <w:r w:rsidRPr="00D541A9">
        <w:rPr>
          <w:rFonts w:ascii="Palatino Linotype" w:eastAsia="Palatino Linotype" w:hAnsi="Palatino Linotype" w:cs="Palatino Linotype"/>
          <w:b/>
        </w:rPr>
        <w:t xml:space="preserve">SUJETO OBLIGADO </w:t>
      </w:r>
      <w:r w:rsidRPr="00D541A9">
        <w:rPr>
          <w:rFonts w:ascii="Palatino Linotype" w:eastAsia="Palatino Linotype" w:hAnsi="Palatino Linotype" w:cs="Palatino Linotype"/>
        </w:rPr>
        <w:t>proporcionó respuesta a la solicitud de información, la cual fue previamente del conocimiento de la parte Recurrente.</w:t>
      </w:r>
    </w:p>
    <w:p w14:paraId="3DCD5F88" w14:textId="77777777" w:rsidR="00B41C6D" w:rsidRPr="00D541A9" w:rsidRDefault="00B41C6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AD6CC09"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Recurso de Revisión. </w:t>
      </w:r>
      <w:r w:rsidRPr="00D541A9">
        <w:rPr>
          <w:rFonts w:ascii="Palatino Linotype" w:eastAsia="Palatino Linotype" w:hAnsi="Palatino Linotype" w:cs="Palatino Linotype"/>
        </w:rPr>
        <w:t xml:space="preserve">En fecha </w:t>
      </w:r>
      <w:r w:rsidRPr="00D541A9">
        <w:rPr>
          <w:rFonts w:ascii="Palatino Linotype" w:eastAsia="Palatino Linotype" w:hAnsi="Palatino Linotype" w:cs="Palatino Linotype"/>
          <w:b/>
        </w:rPr>
        <w:t>nueve de junio de dos mil veinticinco</w:t>
      </w:r>
      <w:r w:rsidRPr="00D541A9">
        <w:rPr>
          <w:rFonts w:ascii="Palatino Linotype" w:eastAsia="Palatino Linotype" w:hAnsi="Palatino Linotype" w:cs="Palatino Linotype"/>
        </w:rPr>
        <w:t xml:space="preserve"> la persona Solicitante interpuso Recurso de Revisión a través del </w:t>
      </w:r>
      <w:r w:rsidRPr="00D541A9">
        <w:rPr>
          <w:rFonts w:ascii="Palatino Linotype" w:eastAsia="Palatino Linotype" w:hAnsi="Palatino Linotype" w:cs="Palatino Linotype"/>
          <w:b/>
        </w:rPr>
        <w:t xml:space="preserve">SAIMEX, </w:t>
      </w:r>
      <w:r w:rsidRPr="00D541A9">
        <w:rPr>
          <w:rFonts w:ascii="Palatino Linotype" w:eastAsia="Palatino Linotype" w:hAnsi="Palatino Linotype" w:cs="Palatino Linotype"/>
        </w:rPr>
        <w:t>a través del cual expresó lo siguiente:</w:t>
      </w:r>
    </w:p>
    <w:p w14:paraId="6D5E30C3"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1818B38" w14:textId="77777777" w:rsidR="00B41C6D" w:rsidRPr="00D541A9" w:rsidRDefault="00724AD9">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D541A9">
        <w:rPr>
          <w:rFonts w:ascii="Palatino Linotype" w:eastAsia="Palatino Linotype" w:hAnsi="Palatino Linotype" w:cs="Palatino Linotype"/>
          <w:b/>
        </w:rPr>
        <w:t>Acto impugnado</w:t>
      </w:r>
      <w:r w:rsidRPr="00D541A9">
        <w:rPr>
          <w:rFonts w:ascii="Palatino Linotype" w:eastAsia="Palatino Linotype" w:hAnsi="Palatino Linotype" w:cs="Palatino Linotype"/>
          <w:b/>
          <w:i/>
        </w:rPr>
        <w:t xml:space="preserve">. </w:t>
      </w:r>
      <w:r w:rsidRPr="00D541A9">
        <w:rPr>
          <w:rFonts w:ascii="Palatino Linotype" w:eastAsia="Palatino Linotype" w:hAnsi="Palatino Linotype" w:cs="Palatino Linotype"/>
          <w:i/>
        </w:rPr>
        <w:t xml:space="preserve">“INFORMACIÓN NO PROPORCIONADA” </w:t>
      </w:r>
    </w:p>
    <w:p w14:paraId="71C6D036" w14:textId="77777777" w:rsidR="00B41C6D" w:rsidRPr="00D541A9" w:rsidRDefault="00B41C6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732EA4E5" w14:textId="77777777" w:rsidR="00B41C6D" w:rsidRPr="00D541A9" w:rsidRDefault="00724AD9">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D541A9">
        <w:rPr>
          <w:rFonts w:ascii="Palatino Linotype" w:eastAsia="Palatino Linotype" w:hAnsi="Palatino Linotype" w:cs="Palatino Linotype"/>
          <w:b/>
        </w:rPr>
        <w:t>Razones o motivos de la inconformidad</w:t>
      </w:r>
      <w:r w:rsidRPr="00D541A9">
        <w:rPr>
          <w:rFonts w:ascii="Palatino Linotype" w:eastAsia="Palatino Linotype" w:hAnsi="Palatino Linotype" w:cs="Palatino Linotype"/>
          <w:i/>
        </w:rPr>
        <w:t xml:space="preserve">: “Informa el S.O. que la información no puede ser otorgada ya que el solicitante debe de acudir de manera personal a realizar la búsqueda de investigación, por lo que es incongruente ya que se solicita por este medio proporcione la misma.”. </w:t>
      </w:r>
    </w:p>
    <w:p w14:paraId="5F78DA01" w14:textId="77777777" w:rsidR="00B41C6D" w:rsidRPr="00D541A9" w:rsidRDefault="00B41C6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3A503919" w14:textId="77777777" w:rsidR="00B41C6D" w:rsidRPr="00D541A9" w:rsidRDefault="00724AD9">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Asimismo, remitió el documento enviado en respuesta. </w:t>
      </w:r>
    </w:p>
    <w:p w14:paraId="32AB3AAA" w14:textId="77777777" w:rsidR="00B41C6D" w:rsidRPr="00D541A9" w:rsidRDefault="00724AD9">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 </w:t>
      </w:r>
    </w:p>
    <w:p w14:paraId="6DF669A4"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Turno.</w:t>
      </w:r>
      <w:r w:rsidRPr="00D541A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D541A9">
        <w:rPr>
          <w:rFonts w:ascii="Palatino Linotype" w:eastAsia="Palatino Linotype" w:hAnsi="Palatino Linotype" w:cs="Palatino Linotype"/>
          <w:b/>
        </w:rPr>
        <w:t>06709/INFOEM/IP/RR/2025</w:t>
      </w:r>
      <w:r w:rsidRPr="00D541A9">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13FA946"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24D9D1A"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Admisión del recurso de revisión</w:t>
      </w:r>
      <w:r w:rsidRPr="00D541A9">
        <w:rPr>
          <w:rFonts w:ascii="Palatino Linotype" w:eastAsia="Palatino Linotype" w:hAnsi="Palatino Linotype" w:cs="Palatino Linotype"/>
        </w:rPr>
        <w:t>: En fecha</w:t>
      </w:r>
      <w:r w:rsidRPr="00D541A9">
        <w:rPr>
          <w:rFonts w:ascii="Palatino Linotype" w:eastAsia="Palatino Linotype" w:hAnsi="Palatino Linotype" w:cs="Palatino Linotype"/>
          <w:b/>
        </w:rPr>
        <w:t xml:space="preserve"> doce de junio de dos mil veinticinco</w:t>
      </w:r>
      <w:r w:rsidRPr="00D541A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w:t>
      </w:r>
      <w:r w:rsidRPr="00D541A9">
        <w:rPr>
          <w:rFonts w:ascii="Palatino Linotype" w:eastAsia="Palatino Linotype" w:hAnsi="Palatino Linotype" w:cs="Palatino Linotype"/>
        </w:rPr>
        <w:lastRenderedPageBreak/>
        <w:t xml:space="preserve">derecho resultara conveniente, ofrecieran pruebas, formularan alegatos y el Sujeto Obligado presentara su informe justificado. </w:t>
      </w:r>
    </w:p>
    <w:p w14:paraId="1690AA8A"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EB3D89"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Manifestaciones: </w:t>
      </w:r>
      <w:r w:rsidRPr="00D541A9">
        <w:rPr>
          <w:rFonts w:ascii="Palatino Linotype" w:eastAsia="Palatino Linotype" w:hAnsi="Palatino Linotype" w:cs="Palatino Linotype"/>
        </w:rPr>
        <w:t xml:space="preserve">En fecha </w:t>
      </w:r>
      <w:r w:rsidRPr="00D541A9">
        <w:rPr>
          <w:rFonts w:ascii="Palatino Linotype" w:eastAsia="Palatino Linotype" w:hAnsi="Palatino Linotype" w:cs="Palatino Linotype"/>
          <w:b/>
        </w:rPr>
        <w:t>veintitrés de junio de dos mil veinticinco</w:t>
      </w:r>
      <w:r w:rsidRPr="00D541A9">
        <w:rPr>
          <w:rFonts w:ascii="Palatino Linotype" w:eastAsia="Palatino Linotype" w:hAnsi="Palatino Linotype" w:cs="Palatino Linotype"/>
        </w:rPr>
        <w:t xml:space="preserve">, el </w:t>
      </w:r>
      <w:r w:rsidRPr="00D541A9">
        <w:rPr>
          <w:rFonts w:ascii="Palatino Linotype" w:eastAsia="Palatino Linotype" w:hAnsi="Palatino Linotype" w:cs="Palatino Linotype"/>
          <w:b/>
        </w:rPr>
        <w:t xml:space="preserve">SUJETO OBLIGADO </w:t>
      </w:r>
      <w:r w:rsidRPr="00D541A9">
        <w:rPr>
          <w:rFonts w:ascii="Palatino Linotype" w:eastAsia="Palatino Linotype" w:hAnsi="Palatino Linotype" w:cs="Palatino Linotype"/>
        </w:rPr>
        <w:t xml:space="preserve">rindió su informe justificado, el cual se hizo del conocimiento de la parte Recurrente el </w:t>
      </w:r>
      <w:r w:rsidRPr="00D541A9">
        <w:rPr>
          <w:rFonts w:ascii="Palatino Linotype" w:eastAsia="Palatino Linotype" w:hAnsi="Palatino Linotype" w:cs="Palatino Linotype"/>
          <w:b/>
        </w:rPr>
        <w:t>cinco de noviembre de dos mil veinticinco</w:t>
      </w:r>
      <w:r w:rsidRPr="00D541A9">
        <w:rPr>
          <w:rFonts w:ascii="Palatino Linotype" w:eastAsia="Palatino Linotype" w:hAnsi="Palatino Linotype" w:cs="Palatino Linotype"/>
        </w:rPr>
        <w:t xml:space="preserve">. </w:t>
      </w:r>
    </w:p>
    <w:p w14:paraId="49A47C99"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4CCC87"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Ampliación de plazo:</w:t>
      </w:r>
      <w:r w:rsidRPr="00D541A9">
        <w:rPr>
          <w:rFonts w:ascii="Palatino Linotype" w:eastAsia="Palatino Linotype" w:hAnsi="Palatino Linotype" w:cs="Palatino Linotype"/>
        </w:rPr>
        <w:t xml:space="preserve"> En fecha </w:t>
      </w:r>
      <w:r w:rsidRPr="00D541A9">
        <w:rPr>
          <w:rFonts w:ascii="Palatino Linotype" w:eastAsia="Palatino Linotype" w:hAnsi="Palatino Linotype" w:cs="Palatino Linotype"/>
          <w:b/>
        </w:rPr>
        <w:t>cinco de noviembre de dos mil veinticinco</w:t>
      </w:r>
      <w:r w:rsidRPr="00D541A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B4F33CF" w14:textId="77777777" w:rsidR="00B41C6D" w:rsidRPr="00D541A9" w:rsidRDefault="00B41C6D">
      <w:pPr>
        <w:widowControl w:val="0"/>
        <w:spacing w:after="0" w:line="360" w:lineRule="auto"/>
        <w:jc w:val="both"/>
        <w:rPr>
          <w:rFonts w:ascii="Palatino Linotype" w:eastAsia="Palatino Linotype" w:hAnsi="Palatino Linotype" w:cs="Palatino Linotype"/>
        </w:rPr>
      </w:pPr>
    </w:p>
    <w:p w14:paraId="78833ABA" w14:textId="77777777" w:rsidR="00B41C6D" w:rsidRPr="00D541A9" w:rsidRDefault="00724AD9">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D70EA0E" w14:textId="77777777" w:rsidR="00B41C6D" w:rsidRPr="00D541A9" w:rsidRDefault="00B41C6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4FCFF7EC"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66F498" w14:textId="77777777" w:rsidR="00B41C6D" w:rsidRPr="00D541A9" w:rsidRDefault="00B41C6D">
      <w:pPr>
        <w:spacing w:after="0" w:line="360" w:lineRule="auto"/>
        <w:jc w:val="both"/>
        <w:rPr>
          <w:rFonts w:ascii="Palatino Linotype" w:eastAsia="Palatino Linotype" w:hAnsi="Palatino Linotype" w:cs="Palatino Linotype"/>
        </w:rPr>
      </w:pPr>
    </w:p>
    <w:p w14:paraId="20C25F96"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D9B46A" w14:textId="77777777" w:rsidR="00B41C6D" w:rsidRPr="00D541A9" w:rsidRDefault="00B41C6D">
      <w:pPr>
        <w:spacing w:after="0" w:line="360" w:lineRule="auto"/>
        <w:jc w:val="both"/>
        <w:rPr>
          <w:rFonts w:ascii="Palatino Linotype" w:eastAsia="Palatino Linotype" w:hAnsi="Palatino Linotype" w:cs="Palatino Linotype"/>
        </w:rPr>
      </w:pPr>
    </w:p>
    <w:p w14:paraId="49EB25D1"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169E90" w14:textId="77777777" w:rsidR="00B41C6D" w:rsidRPr="00D541A9" w:rsidRDefault="00B41C6D">
      <w:pPr>
        <w:spacing w:after="0" w:line="360" w:lineRule="auto"/>
        <w:jc w:val="both"/>
        <w:rPr>
          <w:rFonts w:ascii="Palatino Linotype" w:eastAsia="Palatino Linotype" w:hAnsi="Palatino Linotype" w:cs="Palatino Linotype"/>
        </w:rPr>
      </w:pPr>
    </w:p>
    <w:p w14:paraId="47CDD9C5" w14:textId="77777777" w:rsidR="00B41C6D" w:rsidRPr="00D541A9" w:rsidRDefault="00724AD9">
      <w:pPr>
        <w:spacing w:after="0" w:line="360" w:lineRule="auto"/>
        <w:jc w:val="both"/>
        <w:rPr>
          <w:rFonts w:ascii="Palatino Linotype" w:eastAsia="Palatino Linotype" w:hAnsi="Palatino Linotype" w:cs="Palatino Linotype"/>
          <w:strike/>
        </w:rPr>
      </w:pPr>
      <w:r w:rsidRPr="00D541A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F284424" w14:textId="77777777" w:rsidR="00B41C6D" w:rsidRPr="00D541A9" w:rsidRDefault="00B41C6D">
      <w:pPr>
        <w:spacing w:after="0" w:line="360" w:lineRule="auto"/>
        <w:jc w:val="both"/>
        <w:rPr>
          <w:rFonts w:ascii="Palatino Linotype" w:eastAsia="Palatino Linotype" w:hAnsi="Palatino Linotype" w:cs="Palatino Linotype"/>
        </w:rPr>
      </w:pPr>
    </w:p>
    <w:p w14:paraId="06CAF04C" w14:textId="77777777" w:rsidR="00B41C6D" w:rsidRPr="00D541A9" w:rsidRDefault="00724AD9">
      <w:pPr>
        <w:numPr>
          <w:ilvl w:val="0"/>
          <w:numId w:val="4"/>
        </w:num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32715792" w14:textId="77777777" w:rsidR="00B41C6D" w:rsidRPr="00D541A9" w:rsidRDefault="00724AD9">
      <w:pPr>
        <w:numPr>
          <w:ilvl w:val="0"/>
          <w:numId w:val="4"/>
        </w:num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Actividad Procesal del interesado. Acciones u omisiones del interesado.</w:t>
      </w:r>
    </w:p>
    <w:p w14:paraId="41394C36" w14:textId="77777777" w:rsidR="00B41C6D" w:rsidRPr="00D541A9" w:rsidRDefault="00724AD9">
      <w:pPr>
        <w:numPr>
          <w:ilvl w:val="0"/>
          <w:numId w:val="4"/>
        </w:num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Conducta de la Autoridad: Las Acciones u omisiones realizadas en el procedimiento. Así como si la autoridad actuó con la debida diligencia.</w:t>
      </w:r>
    </w:p>
    <w:p w14:paraId="4E2D9B18" w14:textId="77777777" w:rsidR="00B41C6D" w:rsidRPr="00D541A9" w:rsidRDefault="00724AD9">
      <w:pPr>
        <w:numPr>
          <w:ilvl w:val="0"/>
          <w:numId w:val="4"/>
        </w:num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6A3BBA3" w14:textId="77777777" w:rsidR="00B41C6D" w:rsidRPr="00D541A9" w:rsidRDefault="00B41C6D">
      <w:pPr>
        <w:spacing w:after="0" w:line="360" w:lineRule="auto"/>
        <w:ind w:left="927"/>
        <w:jc w:val="both"/>
        <w:rPr>
          <w:rFonts w:ascii="Palatino Linotype" w:eastAsia="Palatino Linotype" w:hAnsi="Palatino Linotype" w:cs="Palatino Linotype"/>
        </w:rPr>
      </w:pPr>
    </w:p>
    <w:p w14:paraId="126246D7"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446BCA" w14:textId="77777777" w:rsidR="00B41C6D" w:rsidRPr="00D541A9" w:rsidRDefault="00B41C6D">
      <w:pPr>
        <w:spacing w:after="0" w:line="360" w:lineRule="auto"/>
        <w:jc w:val="both"/>
        <w:rPr>
          <w:rFonts w:ascii="Palatino Linotype" w:eastAsia="Palatino Linotype" w:hAnsi="Palatino Linotype" w:cs="Palatino Linotype"/>
        </w:rPr>
      </w:pPr>
    </w:p>
    <w:p w14:paraId="5EE7FB5F"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541A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541A9">
        <w:rPr>
          <w:rFonts w:ascii="Palatino Linotype" w:eastAsia="Palatino Linotype" w:hAnsi="Palatino Linotype" w:cs="Palatino Linotype"/>
        </w:rPr>
        <w:t>, visible en la Gaceta del Seminario Judicial de la Federación con el registro digital 205635.</w:t>
      </w:r>
    </w:p>
    <w:p w14:paraId="04A3674C" w14:textId="77777777" w:rsidR="00B41C6D" w:rsidRPr="00D541A9" w:rsidRDefault="00B41C6D">
      <w:pPr>
        <w:spacing w:after="0" w:line="360" w:lineRule="auto"/>
        <w:jc w:val="both"/>
        <w:rPr>
          <w:rFonts w:ascii="Palatino Linotype" w:eastAsia="Palatino Linotype" w:hAnsi="Palatino Linotype" w:cs="Palatino Linotype"/>
        </w:rPr>
      </w:pPr>
    </w:p>
    <w:p w14:paraId="0BBE84C9"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F8D303" w14:textId="77777777" w:rsidR="00B41C6D" w:rsidRPr="00D541A9" w:rsidRDefault="00B41C6D">
      <w:pPr>
        <w:spacing w:after="0" w:line="360" w:lineRule="auto"/>
        <w:jc w:val="both"/>
        <w:rPr>
          <w:rFonts w:ascii="Palatino Linotype" w:eastAsia="Palatino Linotype" w:hAnsi="Palatino Linotype" w:cs="Palatino Linotype"/>
        </w:rPr>
      </w:pPr>
    </w:p>
    <w:p w14:paraId="32C3D236"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D643D55" w14:textId="77777777" w:rsidR="00B41C6D" w:rsidRPr="00D541A9" w:rsidRDefault="00B41C6D">
      <w:pPr>
        <w:spacing w:after="0" w:line="360" w:lineRule="auto"/>
        <w:jc w:val="both"/>
        <w:rPr>
          <w:rFonts w:ascii="Palatino Linotype" w:eastAsia="Palatino Linotype" w:hAnsi="Palatino Linotype" w:cs="Palatino Linotype"/>
        </w:rPr>
      </w:pPr>
    </w:p>
    <w:p w14:paraId="2991A5F2" w14:textId="77777777" w:rsidR="00B41C6D" w:rsidRPr="00D541A9" w:rsidRDefault="00724AD9">
      <w:pPr>
        <w:spacing w:after="0" w:line="360" w:lineRule="auto"/>
        <w:ind w:left="567" w:right="616"/>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 </w:t>
      </w:r>
      <w:r w:rsidRPr="00D541A9">
        <w:rPr>
          <w:rFonts w:ascii="Palatino Linotype" w:eastAsia="Palatino Linotype" w:hAnsi="Palatino Linotype" w:cs="Palatino Linotype"/>
          <w:b/>
          <w:i/>
        </w:rPr>
        <w:t>“PLAZO RAZONABLE PARA RESOLVER. DIMENSIÓN Y EFECTOS DE ESTE CONCEPTO CUANDO SE ADUCE EXCESIVA CARGA DE TRABAJO.”</w:t>
      </w:r>
      <w:r w:rsidRPr="00D541A9">
        <w:rPr>
          <w:rFonts w:ascii="Palatino Linotype" w:eastAsia="Palatino Linotype" w:hAnsi="Palatino Linotype" w:cs="Palatino Linotype"/>
        </w:rPr>
        <w:t xml:space="preserve"> consultable en el Seminario Judicial de la Federación y su gaceta, con el registro digital 2002351.</w:t>
      </w:r>
    </w:p>
    <w:p w14:paraId="5397F401" w14:textId="77777777" w:rsidR="00B41C6D" w:rsidRPr="00D541A9" w:rsidRDefault="00724AD9">
      <w:pPr>
        <w:spacing w:after="0" w:line="360" w:lineRule="auto"/>
        <w:ind w:left="567" w:right="616"/>
        <w:jc w:val="both"/>
        <w:rPr>
          <w:rFonts w:ascii="Palatino Linotype" w:eastAsia="Palatino Linotype" w:hAnsi="Palatino Linotype" w:cs="Palatino Linotype"/>
        </w:rPr>
      </w:pPr>
      <w:r w:rsidRPr="00D541A9">
        <w:rPr>
          <w:rFonts w:ascii="Palatino Linotype" w:eastAsia="Palatino Linotype" w:hAnsi="Palatino Linotype" w:cs="Palatino Linotype"/>
          <w:b/>
          <w:i/>
        </w:rPr>
        <w:t>“PLAZO RAZONABLE PARA RESOLVER. CONCEPTO Y ELEMENTOS QUE LO INTEGRAN A LA LUZ DEL DERECHO INTERNACIONAL DE LOS DERECHOS HUMANOS</w:t>
      </w:r>
      <w:r w:rsidRPr="00D541A9">
        <w:rPr>
          <w:rFonts w:ascii="Palatino Linotype" w:eastAsia="Palatino Linotype" w:hAnsi="Palatino Linotype" w:cs="Palatino Linotype"/>
          <w:i/>
        </w:rPr>
        <w:t>.”</w:t>
      </w:r>
      <w:r w:rsidRPr="00D541A9">
        <w:rPr>
          <w:rFonts w:ascii="Palatino Linotype" w:eastAsia="Palatino Linotype" w:hAnsi="Palatino Linotype" w:cs="Palatino Linotype"/>
        </w:rPr>
        <w:t>, visible en el Seminario Judicial de la Federación y su gaceta, con el registro digital 2002350.</w:t>
      </w:r>
    </w:p>
    <w:p w14:paraId="0778A1F5" w14:textId="77777777" w:rsidR="00B41C6D" w:rsidRPr="00D541A9" w:rsidRDefault="00B41C6D">
      <w:pPr>
        <w:spacing w:after="0" w:line="360" w:lineRule="auto"/>
        <w:ind w:left="567" w:right="616"/>
        <w:jc w:val="both"/>
        <w:rPr>
          <w:rFonts w:ascii="Palatino Linotype" w:eastAsia="Palatino Linotype" w:hAnsi="Palatino Linotype" w:cs="Palatino Linotype"/>
        </w:rPr>
      </w:pPr>
    </w:p>
    <w:p w14:paraId="39E9F471"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F5374FB"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FBBAA89" w14:textId="77777777" w:rsidR="00B41C6D" w:rsidRPr="00D541A9" w:rsidRDefault="00724AD9">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541A9">
        <w:rPr>
          <w:rFonts w:ascii="Palatino Linotype" w:eastAsia="Palatino Linotype" w:hAnsi="Palatino Linotype" w:cs="Palatino Linotype"/>
          <w:b/>
        </w:rPr>
        <w:t>Cierre de instrucción</w:t>
      </w:r>
      <w:r w:rsidRPr="00D541A9">
        <w:rPr>
          <w:rFonts w:ascii="Palatino Linotype" w:eastAsia="Palatino Linotype" w:hAnsi="Palatino Linotype" w:cs="Palatino Linotype"/>
        </w:rPr>
        <w:t xml:space="preserve">. En fecha </w:t>
      </w:r>
      <w:r w:rsidRPr="00D541A9">
        <w:rPr>
          <w:rFonts w:ascii="Palatino Linotype" w:eastAsia="Palatino Linotype" w:hAnsi="Palatino Linotype" w:cs="Palatino Linotype"/>
          <w:b/>
        </w:rPr>
        <w:t>once de noviembre de dos mil veinticinco</w:t>
      </w:r>
      <w:r w:rsidRPr="00D541A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D8A0C14"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3FE51F4"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E9ACCB1"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3AB6DFA" w14:textId="77777777" w:rsidR="00B41C6D" w:rsidRPr="00D541A9" w:rsidRDefault="00724AD9">
      <w:pPr>
        <w:spacing w:after="0" w:line="360" w:lineRule="auto"/>
        <w:ind w:right="49"/>
        <w:jc w:val="center"/>
        <w:rPr>
          <w:rFonts w:ascii="Palatino Linotype" w:eastAsia="Palatino Linotype" w:hAnsi="Palatino Linotype" w:cs="Palatino Linotype"/>
          <w:b/>
        </w:rPr>
      </w:pPr>
      <w:r w:rsidRPr="00D541A9">
        <w:rPr>
          <w:rFonts w:ascii="Palatino Linotype" w:eastAsia="Palatino Linotype" w:hAnsi="Palatino Linotype" w:cs="Palatino Linotype"/>
          <w:b/>
        </w:rPr>
        <w:t>II.</w:t>
      </w:r>
      <w:r w:rsidRPr="00D541A9">
        <w:rPr>
          <w:rFonts w:ascii="Palatino Linotype" w:eastAsia="Palatino Linotype" w:hAnsi="Palatino Linotype" w:cs="Palatino Linotype"/>
          <w:b/>
        </w:rPr>
        <w:tab/>
        <w:t>C O N S I D E R A N D O:</w:t>
      </w:r>
    </w:p>
    <w:p w14:paraId="72A6FB31" w14:textId="77777777" w:rsidR="00B41C6D" w:rsidRPr="00D541A9" w:rsidRDefault="00B41C6D">
      <w:pPr>
        <w:spacing w:after="0" w:line="360" w:lineRule="auto"/>
        <w:ind w:right="49"/>
        <w:jc w:val="both"/>
        <w:rPr>
          <w:rFonts w:ascii="Palatino Linotype" w:eastAsia="Palatino Linotype" w:hAnsi="Palatino Linotype" w:cs="Palatino Linotype"/>
        </w:rPr>
      </w:pPr>
    </w:p>
    <w:p w14:paraId="0AFF6BCF"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b/>
        </w:rPr>
        <w:t>Primero. Competencia.</w:t>
      </w:r>
      <w:r w:rsidRPr="00D541A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D541A9">
        <w:t xml:space="preserve"> </w:t>
      </w:r>
      <w:r w:rsidRPr="00D541A9">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3D791FC" w14:textId="77777777" w:rsidR="00B41C6D" w:rsidRPr="00D541A9" w:rsidRDefault="00B41C6D">
      <w:pPr>
        <w:spacing w:after="0" w:line="360" w:lineRule="auto"/>
        <w:ind w:right="49"/>
        <w:jc w:val="both"/>
        <w:rPr>
          <w:rFonts w:ascii="Palatino Linotype" w:eastAsia="Palatino Linotype" w:hAnsi="Palatino Linotype" w:cs="Palatino Linotype"/>
        </w:rPr>
      </w:pPr>
    </w:p>
    <w:p w14:paraId="0008235A"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b/>
        </w:rPr>
        <w:t>Segundo. Oportunidad y Procedibilidad del Recurso de Revisión.</w:t>
      </w:r>
      <w:r w:rsidRPr="00D541A9">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5340ED04" w14:textId="77777777" w:rsidR="00B41C6D" w:rsidRPr="00D541A9" w:rsidRDefault="00B41C6D">
      <w:pPr>
        <w:spacing w:after="0" w:line="360" w:lineRule="auto"/>
        <w:ind w:right="49"/>
        <w:jc w:val="both"/>
        <w:rPr>
          <w:rFonts w:ascii="Palatino Linotype" w:eastAsia="Palatino Linotype" w:hAnsi="Palatino Linotype" w:cs="Palatino Linotype"/>
        </w:rPr>
      </w:pPr>
    </w:p>
    <w:p w14:paraId="7CD18A91"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D541A9">
        <w:rPr>
          <w:rFonts w:ascii="Palatino Linotype" w:eastAsia="Palatino Linotype" w:hAnsi="Palatino Linotype" w:cs="Palatino Linotype"/>
          <w:b/>
        </w:rPr>
        <w:t>SUJETO OBLIGADO</w:t>
      </w:r>
      <w:r w:rsidRPr="00D541A9">
        <w:rPr>
          <w:rFonts w:ascii="Palatino Linotype" w:eastAsia="Palatino Linotype" w:hAnsi="Palatino Linotype" w:cs="Palatino Linotype"/>
        </w:rPr>
        <w:t xml:space="preserve"> remitió la respuesta a la solicitud de información del </w:t>
      </w:r>
      <w:r w:rsidRPr="00D541A9">
        <w:rPr>
          <w:rFonts w:ascii="Palatino Linotype" w:eastAsia="Palatino Linotype" w:hAnsi="Palatino Linotype" w:cs="Palatino Linotype"/>
          <w:b/>
        </w:rPr>
        <w:t>veinte de mayo de dos mil veinticinco</w:t>
      </w:r>
      <w:r w:rsidRPr="00D541A9">
        <w:rPr>
          <w:rFonts w:ascii="Palatino Linotype" w:eastAsia="Palatino Linotype" w:hAnsi="Palatino Linotype" w:cs="Palatino Linotype"/>
        </w:rPr>
        <w:t xml:space="preserve">, mientras que el recurso de revisión interpuesto por la parte </w:t>
      </w:r>
      <w:r w:rsidRPr="00D541A9">
        <w:rPr>
          <w:rFonts w:ascii="Palatino Linotype" w:eastAsia="Palatino Linotype" w:hAnsi="Palatino Linotype" w:cs="Palatino Linotype"/>
          <w:b/>
        </w:rPr>
        <w:t xml:space="preserve">RECURRENTE </w:t>
      </w:r>
      <w:r w:rsidRPr="00D541A9">
        <w:rPr>
          <w:rFonts w:ascii="Palatino Linotype" w:eastAsia="Palatino Linotype" w:hAnsi="Palatino Linotype" w:cs="Palatino Linotype"/>
        </w:rPr>
        <w:t xml:space="preserve">se tuvo por presentado </w:t>
      </w:r>
      <w:r w:rsidRPr="00D541A9">
        <w:rPr>
          <w:rFonts w:ascii="Palatino Linotype" w:eastAsia="Palatino Linotype" w:hAnsi="Palatino Linotype" w:cs="Palatino Linotype"/>
          <w:b/>
        </w:rPr>
        <w:t>nueve de junio de dos mil veinticinco</w:t>
      </w:r>
      <w:r w:rsidRPr="00D541A9">
        <w:rPr>
          <w:rFonts w:ascii="Palatino Linotype" w:eastAsia="Palatino Linotype" w:hAnsi="Palatino Linotype" w:cs="Palatino Linotype"/>
        </w:rPr>
        <w:t xml:space="preserve"> esto es al décimo cuarto día hábil en que se tuvo conocimiento de la respuesta.</w:t>
      </w:r>
    </w:p>
    <w:p w14:paraId="0DBDDB88" w14:textId="77777777" w:rsidR="00B41C6D" w:rsidRPr="00D541A9" w:rsidRDefault="00B41C6D">
      <w:pPr>
        <w:spacing w:after="0" w:line="360" w:lineRule="auto"/>
        <w:ind w:right="49"/>
        <w:jc w:val="both"/>
        <w:rPr>
          <w:rFonts w:ascii="Palatino Linotype" w:eastAsia="Palatino Linotype" w:hAnsi="Palatino Linotype" w:cs="Palatino Linotype"/>
        </w:rPr>
      </w:pPr>
    </w:p>
    <w:p w14:paraId="479BB7D0"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VIII  de la Ley de la materia, que a la letra dice:</w:t>
      </w:r>
    </w:p>
    <w:p w14:paraId="3BE78460" w14:textId="77777777" w:rsidR="00B41C6D" w:rsidRPr="00D541A9" w:rsidRDefault="00B41C6D">
      <w:pPr>
        <w:spacing w:after="0" w:line="360" w:lineRule="auto"/>
        <w:ind w:right="49"/>
        <w:jc w:val="both"/>
        <w:rPr>
          <w:rFonts w:ascii="Palatino Linotype" w:eastAsia="Palatino Linotype" w:hAnsi="Palatino Linotype" w:cs="Palatino Linotype"/>
        </w:rPr>
      </w:pPr>
    </w:p>
    <w:p w14:paraId="3BCE1A3C" w14:textId="77777777" w:rsidR="00B41C6D" w:rsidRPr="00D541A9" w:rsidRDefault="00724AD9">
      <w:pPr>
        <w:spacing w:after="0"/>
        <w:ind w:left="567" w:right="560"/>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r w:rsidRPr="00D541A9">
        <w:rPr>
          <w:rFonts w:ascii="Palatino Linotype" w:eastAsia="Palatino Linotype" w:hAnsi="Palatino Linotype" w:cs="Palatino Linotype"/>
          <w:b/>
          <w:i/>
        </w:rPr>
        <w:t>Artículo 179.</w:t>
      </w:r>
      <w:r w:rsidRPr="00D541A9">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CD154F3" w14:textId="77777777" w:rsidR="00B41C6D" w:rsidRPr="00D541A9" w:rsidRDefault="00724AD9">
      <w:pPr>
        <w:spacing w:after="0"/>
        <w:ind w:left="567" w:right="560"/>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p>
    <w:p w14:paraId="35B4D05C" w14:textId="77777777" w:rsidR="00B41C6D" w:rsidRPr="00D541A9" w:rsidRDefault="00724AD9">
      <w:pPr>
        <w:spacing w:after="0"/>
        <w:ind w:left="567" w:right="560"/>
        <w:jc w:val="both"/>
        <w:rPr>
          <w:rFonts w:ascii="Palatino Linotype" w:eastAsia="Palatino Linotype" w:hAnsi="Palatino Linotype" w:cs="Palatino Linotype"/>
          <w:i/>
        </w:rPr>
      </w:pPr>
      <w:r w:rsidRPr="00D541A9">
        <w:rPr>
          <w:rFonts w:ascii="Palatino Linotype" w:eastAsia="Palatino Linotype" w:hAnsi="Palatino Linotype" w:cs="Palatino Linotype"/>
          <w:i/>
        </w:rPr>
        <w:t>VIII. La notificación, entrega o puesta a disposición de información en una modalidad o formato distinto al solicitado;</w:t>
      </w:r>
    </w:p>
    <w:p w14:paraId="74AA2A6B" w14:textId="77777777" w:rsidR="00B41C6D" w:rsidRPr="00D541A9" w:rsidRDefault="00724AD9">
      <w:pPr>
        <w:spacing w:after="0"/>
        <w:ind w:left="567" w:right="560"/>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p>
    <w:p w14:paraId="3F2A3246" w14:textId="77777777" w:rsidR="00B41C6D" w:rsidRPr="00D541A9" w:rsidRDefault="00B41C6D">
      <w:pPr>
        <w:spacing w:after="0" w:line="360" w:lineRule="auto"/>
        <w:ind w:right="49"/>
        <w:jc w:val="both"/>
        <w:rPr>
          <w:rFonts w:ascii="Palatino Linotype" w:eastAsia="Palatino Linotype" w:hAnsi="Palatino Linotype" w:cs="Palatino Linotype"/>
          <w:b/>
        </w:rPr>
      </w:pPr>
    </w:p>
    <w:p w14:paraId="50D77461" w14:textId="77777777" w:rsidR="00B41C6D" w:rsidRPr="00D541A9" w:rsidRDefault="00B41C6D">
      <w:pPr>
        <w:spacing w:after="0" w:line="360" w:lineRule="auto"/>
        <w:ind w:right="49"/>
        <w:jc w:val="both"/>
        <w:rPr>
          <w:rFonts w:ascii="Palatino Linotype" w:eastAsia="Palatino Linotype" w:hAnsi="Palatino Linotype" w:cs="Palatino Linotype"/>
          <w:b/>
        </w:rPr>
      </w:pPr>
    </w:p>
    <w:p w14:paraId="74989BFB" w14:textId="77777777" w:rsidR="00B41C6D" w:rsidRPr="00D541A9" w:rsidRDefault="00B41C6D">
      <w:pPr>
        <w:spacing w:after="0" w:line="360" w:lineRule="auto"/>
        <w:ind w:left="567" w:right="616"/>
        <w:jc w:val="both"/>
        <w:rPr>
          <w:rFonts w:ascii="Palatino Linotype" w:eastAsia="Palatino Linotype" w:hAnsi="Palatino Linotype" w:cs="Palatino Linotype"/>
          <w:i/>
        </w:rPr>
      </w:pPr>
    </w:p>
    <w:p w14:paraId="1DA4D7DC"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Tercero. Análisis de las causales de sobreseimiento. </w:t>
      </w:r>
      <w:r w:rsidRPr="00D541A9">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F9C725" w14:textId="77777777" w:rsidR="00B41C6D" w:rsidRPr="00D541A9" w:rsidRDefault="00B41C6D">
      <w:pPr>
        <w:spacing w:after="0" w:line="360" w:lineRule="auto"/>
        <w:jc w:val="both"/>
        <w:rPr>
          <w:rFonts w:ascii="Palatino Linotype" w:eastAsia="Palatino Linotype" w:hAnsi="Palatino Linotype" w:cs="Palatino Linotype"/>
        </w:rPr>
      </w:pPr>
    </w:p>
    <w:p w14:paraId="2459C76F"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344C3DE" w14:textId="77777777" w:rsidR="00B41C6D" w:rsidRPr="00D541A9" w:rsidRDefault="00B41C6D">
      <w:pPr>
        <w:spacing w:after="0" w:line="360" w:lineRule="auto"/>
        <w:jc w:val="both"/>
        <w:rPr>
          <w:rFonts w:ascii="Palatino Linotype" w:eastAsia="Palatino Linotype" w:hAnsi="Palatino Linotype" w:cs="Palatino Linotype"/>
        </w:rPr>
      </w:pPr>
    </w:p>
    <w:p w14:paraId="201AED9F"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Dicho lo anterior, es importante recordar que la pretensión de la parte Recurrente es obtener el decreto de creación del Municipio de Tecámac de Felipe Villanueva Estado de México y/o Tecámac, Estado de México. </w:t>
      </w:r>
    </w:p>
    <w:p w14:paraId="441ABBA9"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09E267F"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En respuesta, el Sujeto Obligado proporcionó la siguiente información:</w:t>
      </w:r>
    </w:p>
    <w:p w14:paraId="5E37C9C0"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 </w:t>
      </w:r>
    </w:p>
    <w:p w14:paraId="1D43AF02" w14:textId="77777777" w:rsidR="00B41C6D" w:rsidRPr="00D541A9" w:rsidRDefault="00724AD9">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Oficio de fecha diecinueve de mayo de dos mil veinticinco, mediante el cual se informa que, la Comisión de Límites Territoriales forma parte del Poder Ejecutivo del Estado, por lo que deberá dirigirse a dicho sujeto obligado. Por otro lado, no omito referir que, en caso de requerir algún documento que forme parte del archivo histórico legislativo de este Poder Legislativo, es necesario que el solicitante acuda de manera personal a dicho recinto, a realizar la investigación a que haya lugar, dicho recinto se encuentra ubicado en Pedro Ascencio, norte, número 201, Colonia La Merced (Alameda), Toluca, México, y se encuentra en servicio al público de 9:00 a 18:00 horas de lunes a viernes, en días hábiles. </w:t>
      </w:r>
    </w:p>
    <w:p w14:paraId="489D948D" w14:textId="77777777" w:rsidR="00B41C6D" w:rsidRPr="00D541A9" w:rsidRDefault="00724AD9">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Oficio de fecha veinte de mayo de dos mil veinticinco, signado por el Titular de la Unidad de Transparencia, mediante el cual informa se remite la respuesta a la solicitud de información. </w:t>
      </w:r>
    </w:p>
    <w:p w14:paraId="6058C13C" w14:textId="77777777" w:rsidR="00B41C6D" w:rsidRPr="00D541A9" w:rsidRDefault="00B41C6D">
      <w:pPr>
        <w:spacing w:after="0" w:line="360" w:lineRule="auto"/>
        <w:ind w:right="49"/>
        <w:jc w:val="both"/>
        <w:rPr>
          <w:rFonts w:ascii="Palatino Linotype" w:eastAsia="Palatino Linotype" w:hAnsi="Palatino Linotype" w:cs="Palatino Linotype"/>
        </w:rPr>
      </w:pPr>
    </w:p>
    <w:p w14:paraId="47F9F6BC"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Derivado de ello, la parte Recurrente se inconformó arguyendo la negativa de entrega de la información por parte del Sujeto Obligado al solicitar que acuda de manera presencial. </w:t>
      </w:r>
    </w:p>
    <w:p w14:paraId="5B7B5F44" w14:textId="77777777" w:rsidR="00B41C6D" w:rsidRPr="00D541A9" w:rsidRDefault="00B41C6D">
      <w:pPr>
        <w:spacing w:after="0" w:line="360" w:lineRule="auto"/>
        <w:ind w:right="49"/>
        <w:jc w:val="both"/>
        <w:rPr>
          <w:rFonts w:ascii="Palatino Linotype" w:eastAsia="Palatino Linotype" w:hAnsi="Palatino Linotype" w:cs="Palatino Linotype"/>
        </w:rPr>
      </w:pPr>
    </w:p>
    <w:p w14:paraId="27028CCB"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El Sujeto Obligado en manifestaciones remitió lo siguiente: </w:t>
      </w:r>
    </w:p>
    <w:p w14:paraId="27E02077"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C4A2B1A" w14:textId="77777777" w:rsidR="00B41C6D" w:rsidRPr="00D541A9" w:rsidRDefault="00724AD9">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Oficio de fecha veintitrés de junio de dos mil veinticinco, signado por el Titular de la Unidad de Información, mediante el cual informa que, se turnó la solicitud de información a la Secretaría de Asuntos Parlamentarios, área responsable de dirigir el acervo histórico del Poder Legislativo localizado en la Biblioteca Legislativa “Dr. José María Luis Mora” con la finalidad de realizar una búsqueda exhaustiva y razonable de la información; sin embargo y como ya ha quedado señalado el decreto de creación del Municipio de Tecámac de Felipe Villanueva, Estado de México y/o Tecámac, Estado de México, se estableció que su creación ocurrió antes de la existencia del Poder Legislativo, por lo que al realizar la búsqueda se determinó que dentro de los registros no existe información que refiera explícitamente el decreto. </w:t>
      </w:r>
    </w:p>
    <w:p w14:paraId="2464754A" w14:textId="77777777" w:rsidR="00B41C6D" w:rsidRPr="00D541A9" w:rsidRDefault="00724AD9">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En tal sentido, se sugirió al Recurrente que acudiera directamente a las oficinas de la biblioteca Legislativa “Dr. José María Luis Mora”, con la finalidad de poder consultar información relativa al Municipio de Tecámac, Estado de México y constatar si efectivamente existe información que pudiera ayudarle con su petición. </w:t>
      </w:r>
    </w:p>
    <w:p w14:paraId="3CF4607D" w14:textId="77777777" w:rsidR="00B41C6D" w:rsidRPr="00D541A9" w:rsidRDefault="00724AD9">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D541A9">
        <w:rPr>
          <w:rFonts w:ascii="Palatino Linotype" w:eastAsia="Palatino Linotype" w:hAnsi="Palatino Linotype" w:cs="Palatino Linotype"/>
        </w:rPr>
        <w:t>En este orden de ideas, se evidencia que derivado de la búsqueda realizada por el Sujeto Obligado, no se obtuvo información referente a lo solicitado; pero en aras de maximizar el acceso a la información, se intentó sugerirle al ahora recurrente que acudiera directamente a realizar su investigación; por tal motivo no puede entenderse que existe una negativa de acceso a la información por parte de este sujeto obligado, sino que de acuerdo a la búsqueda existe información relativa a dicho Municipio, lo que pudiera arrojar información en caso de realizar un estudio más minucioso.</w:t>
      </w:r>
    </w:p>
    <w:p w14:paraId="062675A1" w14:textId="77777777" w:rsidR="00B41C6D" w:rsidRPr="00D541A9" w:rsidRDefault="00724AD9">
      <w:pPr>
        <w:numPr>
          <w:ilvl w:val="0"/>
          <w:numId w:val="1"/>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Oficio de fecha dieciséis de julio de dos mil veinticinco, signado por el servidor público habilitado de la Secretaría de Asuntos Parlamentarios, mediante el cual refiere que, el Estado de México, se erigió el 2 de marzo de 1824 con la instalación del Congreso del Estado, y es, a partir de ese momento, que surge a la vida jurídico política y en consecuencia, la existencia del Poder Legislativo Local; este Poder Legislativo, a lo largo de su trayectoria, ha emitido resoluciones que actualmente forman parte del Archivo Histórico Legislativo de este Poder, por lo que, es probable que exista un decreto por el que se haya creado el Municipio de Tecámac, México, sin embargo, existen antecedentes, en otras fuentes, que indican que este municipio ya había sido creado cuando se erigió el estado actualmente denominado México, por lo que es muy posible que el documento que pudiera existir sobre la creación del Municipio de Tecámac, México, o Tecámac de Felipe Villanueva, México, no obre como parte del archivo histórico legislativo de este Poder, pues como ya se comentó, el municipio es anterior a la formación del estado de México. </w:t>
      </w:r>
    </w:p>
    <w:p w14:paraId="0C7B4947" w14:textId="77777777" w:rsidR="00B41C6D" w:rsidRPr="00D541A9" w:rsidRDefault="00724AD9">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El acervo documental del Archivo Histórico Legislativo de este Congreso, es público y se encuentra en resguardo en la Biblioteca Legislativa “Dr. José María Luis Mora” lugar en donde se puede consultar la información; ahora bien, para saber si el decreto de creación del municipio de Tecámac, obra en dicho archivo histórico, es necesario realizar una investigación pues dada su antigüedad, no se tiene determinado si este documento obra en él. </w:t>
      </w:r>
    </w:p>
    <w:p w14:paraId="70B6ED93" w14:textId="77777777" w:rsidR="00B41C6D" w:rsidRPr="00D541A9" w:rsidRDefault="00724AD9">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Adicionalmente a lo anterior, es de utilidad considerar que existen documentos que fueron expedidos con anterioridad a la erección del Estado de México, que obran en otros archivos históricos, como pudiera ser el Archivo General de la Nación o en archivos de lugares en los que, por circunstancias políticas o de otra índole, fueron en algún momento capital del Estado, y por ende, sede de los poderes (de ahí que se requiere una investigación). </w:t>
      </w:r>
    </w:p>
    <w:p w14:paraId="34C516DD" w14:textId="77777777" w:rsidR="00B41C6D" w:rsidRPr="00D541A9" w:rsidRDefault="00724AD9">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Es importante tener en consideración que, en el caso particular, la solicitud en su parte final refiere de manera expresa, que la solicitud va dirigida a la Comisión de Límites del Estado de México; sobre esto, me permito hacer de conocimiento lo siguiente: la Comisión de Límites del Estado de México, de acuerdo con lo que establecen los artículos 3, fracción II, y 17 de la Ley Reglamentaria del artículo 61 fracciones XV y XVI de la Constitución Política del Estado Libre y Soberano de México, es un órgano técnico y de consulta para los Poderes Ejecutivo y Legislativo, así como para los municipios, en materia de conservación y demarcación de los límites del Estado y sus municipios; también es muy importante saber que depende orgánicamente del Poder Ejecutivo, por lo que la solicitud debe dirigirse a dicho sujeto obligado. </w:t>
      </w:r>
    </w:p>
    <w:p w14:paraId="080AFCDF" w14:textId="77777777" w:rsidR="00B41C6D" w:rsidRPr="00D541A9" w:rsidRDefault="00724AD9">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Finalmente, este Poder Legislativo garantiza el acceso a la información pública que le es solicitada, pero como lo establece el artículo 12, segundo párrafo, de la ley de transparencia ya citada, no está obligado a realizar la investigación, que en el caso particular es necesaria, pues no se tiene identificado el documento. </w:t>
      </w:r>
    </w:p>
    <w:p w14:paraId="2893AFA9" w14:textId="77777777" w:rsidR="00B41C6D" w:rsidRPr="00D541A9" w:rsidRDefault="00724AD9">
      <w:p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D541A9">
        <w:rPr>
          <w:rFonts w:ascii="Palatino Linotype" w:eastAsia="Palatino Linotype" w:hAnsi="Palatino Linotype" w:cs="Palatino Linotype"/>
        </w:rPr>
        <w:t>Aquí, no omito referir que han existido diversas solicitudes de información en las que, el solicitante, luego de haber realizado su investigación, y de identificar el documento, lo solicita y le es entregado sin problema alguno.</w:t>
      </w:r>
    </w:p>
    <w:p w14:paraId="44C6A629"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De lo anterior, se procede a contextualizar la información solicitada, para ello, en principio es menester referir que un decreto de creación de municipio es un documento en el que se formaliza la creación de un nuevo municipio, en el que se definen sus límites, cabecera y otras características administrativas. </w:t>
      </w:r>
    </w:p>
    <w:p w14:paraId="13E13C7A" w14:textId="77777777" w:rsidR="00B41C6D" w:rsidRPr="00D541A9" w:rsidRDefault="00B41C6D">
      <w:pPr>
        <w:spacing w:after="0" w:line="360" w:lineRule="auto"/>
        <w:ind w:right="49"/>
        <w:jc w:val="both"/>
        <w:rPr>
          <w:rFonts w:ascii="Palatino Linotype" w:eastAsia="Palatino Linotype" w:hAnsi="Palatino Linotype" w:cs="Palatino Linotype"/>
        </w:rPr>
      </w:pPr>
    </w:p>
    <w:p w14:paraId="42D9D608"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Por otro lado, la Ley Orgánica Municipal del Estado de México en su artículo 4 establece que, la creación y supresión de municipios, la modificación de su territorio, cambios en su denominación o ubicación de sus cabeceras municipales, así como la solución de conflictos sobre límites intermunicipales, corresponden a la Legislatura del Estado. </w:t>
      </w:r>
    </w:p>
    <w:p w14:paraId="39F4D636" w14:textId="77777777" w:rsidR="00B41C6D" w:rsidRPr="00D541A9" w:rsidRDefault="00B41C6D">
      <w:pPr>
        <w:spacing w:after="0" w:line="360" w:lineRule="auto"/>
        <w:ind w:right="49"/>
        <w:jc w:val="both"/>
        <w:rPr>
          <w:rFonts w:ascii="Palatino Linotype" w:eastAsia="Palatino Linotype" w:hAnsi="Palatino Linotype" w:cs="Palatino Linotype"/>
        </w:rPr>
      </w:pPr>
    </w:p>
    <w:p w14:paraId="00CA9F47"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Asimismo, de conformidad con el Reglamento del Poder Legislativo del Estado Libre y Soberano de México refiere en su artículo 13 A que, entre las facultades de las Comisiones Legislativas de manera enunciativa y no limitativa se encuentran las siguientes:  </w:t>
      </w:r>
    </w:p>
    <w:p w14:paraId="784D091B" w14:textId="77777777" w:rsidR="00B41C6D" w:rsidRPr="00D541A9" w:rsidRDefault="00B41C6D">
      <w:pPr>
        <w:spacing w:after="0" w:line="360" w:lineRule="auto"/>
        <w:ind w:right="49"/>
        <w:jc w:val="both"/>
        <w:rPr>
          <w:rFonts w:ascii="Palatino Linotype" w:eastAsia="Palatino Linotype" w:hAnsi="Palatino Linotype" w:cs="Palatino Linotype"/>
        </w:rPr>
      </w:pPr>
    </w:p>
    <w:p w14:paraId="3E63585B"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b/>
          <w:i/>
        </w:rPr>
        <w:t>Artículo 13 A.-</w:t>
      </w:r>
      <w:r w:rsidRPr="00D541A9">
        <w:rPr>
          <w:rFonts w:ascii="Palatino Linotype" w:eastAsia="Palatino Linotype" w:hAnsi="Palatino Linotype" w:cs="Palatino Linotype"/>
          <w:i/>
        </w:rPr>
        <w:t xml:space="preserve"> Las facultades de las Comisiones Legislativas de manera enunciativa y no limitativa, son las siguientes:</w:t>
      </w:r>
    </w:p>
    <w:p w14:paraId="044170B5"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p>
    <w:p w14:paraId="5D8D7478"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 xml:space="preserve">XXV. La Comisión de Límites Territoriales del Estado de México y sus Municipios, conocerá de los temas siguientes: </w:t>
      </w:r>
    </w:p>
    <w:p w14:paraId="16B9F996"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a) Fijar los límites de los municipios del Estado y resolver las diferencias que en esta materia se produzcan;</w:t>
      </w:r>
    </w:p>
    <w:p w14:paraId="77A8A8BC"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 xml:space="preserve">b) Crear y suprimir municipios, tomando en cuenta criterios de orden demográfico, político, social y económico; y </w:t>
      </w:r>
    </w:p>
    <w:p w14:paraId="1C5E2BCF" w14:textId="77777777" w:rsidR="00B41C6D" w:rsidRPr="00D541A9" w:rsidRDefault="00724AD9">
      <w:pPr>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c) Los asuntos que se le asignen en la Legislatura, en la Diputación Permanente o en la Junta de Coordinación Política.</w:t>
      </w:r>
    </w:p>
    <w:p w14:paraId="63C3733F"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C2929ED"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Del mismo modo, en el artículo 152, 152 Bis de la normatividad en cita, se advierte lo siguiente: </w:t>
      </w:r>
    </w:p>
    <w:p w14:paraId="323A5479" w14:textId="77777777" w:rsidR="00B41C6D" w:rsidRPr="00D541A9" w:rsidRDefault="00B41C6D">
      <w:pPr>
        <w:tabs>
          <w:tab w:val="left" w:pos="8222"/>
        </w:tabs>
        <w:spacing w:after="0"/>
        <w:ind w:left="567" w:right="709"/>
        <w:jc w:val="both"/>
        <w:rPr>
          <w:rFonts w:ascii="Palatino Linotype" w:eastAsia="Palatino Linotype" w:hAnsi="Palatino Linotype" w:cs="Palatino Linotype"/>
          <w:i/>
        </w:rPr>
      </w:pPr>
    </w:p>
    <w:p w14:paraId="02C7649A" w14:textId="77777777" w:rsidR="00B41C6D" w:rsidRPr="00D541A9" w:rsidRDefault="00724AD9">
      <w:pPr>
        <w:tabs>
          <w:tab w:val="left" w:pos="8222"/>
        </w:tabs>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b/>
          <w:i/>
        </w:rPr>
        <w:t>Artículo 152.-</w:t>
      </w:r>
      <w:r w:rsidRPr="00D541A9">
        <w:rPr>
          <w:rFonts w:ascii="Palatino Linotype" w:eastAsia="Palatino Linotype" w:hAnsi="Palatino Linotype" w:cs="Palatino Linotype"/>
          <w:i/>
        </w:rPr>
        <w:t xml:space="preserve"> Corresponden a la Secretaría de Asuntos Parlamentarios, las siguientes atribuciones:</w:t>
      </w:r>
    </w:p>
    <w:p w14:paraId="366B15BA" w14:textId="77777777" w:rsidR="00B41C6D" w:rsidRPr="00D541A9" w:rsidRDefault="00724AD9">
      <w:pPr>
        <w:tabs>
          <w:tab w:val="left" w:pos="8222"/>
        </w:tabs>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p>
    <w:p w14:paraId="452D59BD" w14:textId="77777777" w:rsidR="00B41C6D" w:rsidRPr="00D541A9" w:rsidRDefault="00724AD9">
      <w:pPr>
        <w:tabs>
          <w:tab w:val="left" w:pos="8222"/>
        </w:tabs>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IX. Coadyuvar al cuidado y conservación del archivo histórico y biblioteca de la Legislatura;</w:t>
      </w:r>
    </w:p>
    <w:p w14:paraId="77D877FB" w14:textId="77777777" w:rsidR="00B41C6D" w:rsidRPr="00D541A9" w:rsidRDefault="00724AD9">
      <w:pPr>
        <w:tabs>
          <w:tab w:val="left" w:pos="8222"/>
        </w:tabs>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i/>
        </w:rPr>
        <w:t>…</w:t>
      </w:r>
    </w:p>
    <w:p w14:paraId="467FCD99" w14:textId="77777777" w:rsidR="00B41C6D" w:rsidRPr="00D541A9" w:rsidRDefault="00724AD9">
      <w:pPr>
        <w:tabs>
          <w:tab w:val="left" w:pos="8222"/>
        </w:tabs>
        <w:spacing w:after="0"/>
        <w:ind w:left="567" w:right="709"/>
        <w:jc w:val="both"/>
        <w:rPr>
          <w:rFonts w:ascii="Palatino Linotype" w:eastAsia="Palatino Linotype" w:hAnsi="Palatino Linotype" w:cs="Palatino Linotype"/>
          <w:i/>
        </w:rPr>
      </w:pPr>
      <w:r w:rsidRPr="00D541A9">
        <w:rPr>
          <w:rFonts w:ascii="Palatino Linotype" w:eastAsia="Palatino Linotype" w:hAnsi="Palatino Linotype" w:cs="Palatino Linotype"/>
          <w:b/>
          <w:i/>
        </w:rPr>
        <w:t>Artículo 152 BIS.-</w:t>
      </w:r>
      <w:r w:rsidRPr="00D541A9">
        <w:rPr>
          <w:rFonts w:ascii="Palatino Linotype" w:eastAsia="Palatino Linotype" w:hAnsi="Palatino Linotype" w:cs="Palatino Linotype"/>
          <w:i/>
        </w:rPr>
        <w:t xml:space="preserve"> El titular de la Biblioteca Legislativa “Dr. José María Luis Mora” será el encargado de cuidar y conservar el archivo histórico a su cargo, de formar la colección de decretos y leyes que se publiquen en los Periódicos Oficiales de la Federación y del Estado, así como de traducir a las lenguas originarias del Estado de México y al braille para su consulta, las leyes y disposiciones de carácter general que expida la Legislatura. De igual manera, deberá encargarse del registro de la obra editorial, y ejercerá las demás atribuciones que este Reglamento y otros ordenamientos aplicables le confieran.</w:t>
      </w:r>
    </w:p>
    <w:p w14:paraId="2FFF3256" w14:textId="77777777" w:rsidR="00B41C6D" w:rsidRPr="00D541A9" w:rsidRDefault="00B41C6D">
      <w:pPr>
        <w:spacing w:after="0" w:line="360" w:lineRule="auto"/>
        <w:ind w:right="49"/>
        <w:jc w:val="both"/>
        <w:rPr>
          <w:rFonts w:ascii="Palatino Linotype" w:eastAsia="Palatino Linotype" w:hAnsi="Palatino Linotype" w:cs="Palatino Linotype"/>
        </w:rPr>
      </w:pPr>
    </w:p>
    <w:p w14:paraId="6C3AD938"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Dicho esto, se considera que, el Sujeto Obligado cuenta con facultades, atribuciones y competencia para generar, administrar y poseer la información solicitada.</w:t>
      </w:r>
    </w:p>
    <w:p w14:paraId="28AC1A3A" w14:textId="77777777" w:rsidR="00B41C6D" w:rsidRPr="00D541A9" w:rsidRDefault="00B41C6D">
      <w:pPr>
        <w:spacing w:after="0" w:line="360" w:lineRule="auto"/>
        <w:ind w:right="49"/>
        <w:jc w:val="both"/>
        <w:rPr>
          <w:rFonts w:ascii="Palatino Linotype" w:eastAsia="Palatino Linotype" w:hAnsi="Palatino Linotype" w:cs="Palatino Linotype"/>
        </w:rPr>
      </w:pPr>
    </w:p>
    <w:p w14:paraId="6D76F7A9" w14:textId="77777777" w:rsidR="00B41C6D" w:rsidRPr="00D541A9" w:rsidRDefault="00724AD9">
      <w:pPr>
        <w:spacing w:after="0" w:line="360" w:lineRule="auto"/>
        <w:ind w:right="-93"/>
        <w:jc w:val="both"/>
        <w:rPr>
          <w:rFonts w:ascii="Palatino Linotype" w:eastAsia="Palatino Linotype" w:hAnsi="Palatino Linotype" w:cs="Palatino Linotype"/>
        </w:rPr>
      </w:pPr>
      <w:r w:rsidRPr="00D541A9">
        <w:rPr>
          <w:rFonts w:ascii="Palatino Linotype" w:eastAsia="Palatino Linotype" w:hAnsi="Palatino Linotype" w:cs="Palatino Linotype"/>
        </w:rPr>
        <w:t>De ello,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808115F" w14:textId="77777777" w:rsidR="00B41C6D" w:rsidRPr="00D541A9" w:rsidRDefault="00B41C6D">
      <w:pPr>
        <w:spacing w:after="0" w:line="360" w:lineRule="auto"/>
        <w:ind w:right="560"/>
        <w:jc w:val="both"/>
        <w:rPr>
          <w:rFonts w:ascii="Palatino Linotype" w:eastAsia="Palatino Linotype" w:hAnsi="Palatino Linotype" w:cs="Palatino Linotype"/>
        </w:rPr>
      </w:pPr>
    </w:p>
    <w:p w14:paraId="388F3078" w14:textId="77777777" w:rsidR="00B41C6D" w:rsidRPr="00D541A9" w:rsidRDefault="00724AD9">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D541A9">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84345F5" w14:textId="77777777" w:rsidR="00B41C6D" w:rsidRPr="00D541A9" w:rsidRDefault="00B41C6D">
      <w:pPr>
        <w:spacing w:after="0" w:line="360" w:lineRule="auto"/>
        <w:ind w:left="567" w:right="560"/>
        <w:jc w:val="both"/>
        <w:rPr>
          <w:rFonts w:ascii="Palatino Linotype" w:eastAsia="Palatino Linotype" w:hAnsi="Palatino Linotype" w:cs="Palatino Linotype"/>
        </w:rPr>
      </w:pPr>
    </w:p>
    <w:p w14:paraId="77DFA416" w14:textId="77777777" w:rsidR="00B41C6D" w:rsidRPr="00D541A9" w:rsidRDefault="00724AD9">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D541A9">
        <w:rPr>
          <w:rFonts w:ascii="Palatino Linotype" w:eastAsia="Palatino Linotype" w:hAnsi="Palatino Linotype" w:cs="Palatino Linotype"/>
        </w:rPr>
        <w:t>Los sujetos obligados otorgarán acceso a los documentos que se encuentren en sus archivos o que estén obligados a documentar de acuerdo con sus facultades, competencias o funciones, en el formato en que la solicitante manifieste, de entre aquellos formatos existentes.</w:t>
      </w:r>
    </w:p>
    <w:p w14:paraId="59A6E942" w14:textId="77777777" w:rsidR="00B41C6D" w:rsidRPr="00D541A9" w:rsidRDefault="00B41C6D">
      <w:pPr>
        <w:spacing w:after="0" w:line="360" w:lineRule="auto"/>
        <w:ind w:right="49"/>
        <w:jc w:val="both"/>
        <w:rPr>
          <w:rFonts w:ascii="Palatino Linotype" w:eastAsia="Palatino Linotype" w:hAnsi="Palatino Linotype" w:cs="Palatino Linotype"/>
        </w:rPr>
      </w:pPr>
    </w:p>
    <w:p w14:paraId="734F802F"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4BF58AE7" w14:textId="77777777" w:rsidR="00B41C6D" w:rsidRPr="00D541A9" w:rsidRDefault="00B41C6D">
      <w:pPr>
        <w:spacing w:after="0" w:line="360" w:lineRule="auto"/>
        <w:ind w:right="49"/>
        <w:jc w:val="both"/>
        <w:rPr>
          <w:rFonts w:ascii="Palatino Linotype" w:eastAsia="Palatino Linotype" w:hAnsi="Palatino Linotype" w:cs="Palatino Linotype"/>
        </w:rPr>
      </w:pPr>
    </w:p>
    <w:p w14:paraId="25DE9543" w14:textId="77777777" w:rsidR="00B41C6D" w:rsidRPr="00D541A9" w:rsidRDefault="00724AD9">
      <w:pPr>
        <w:spacing w:after="0" w:line="360" w:lineRule="auto"/>
        <w:ind w:right="49"/>
        <w:jc w:val="both"/>
        <w:rPr>
          <w:rFonts w:ascii="Palatino Linotype" w:eastAsia="Palatino Linotype" w:hAnsi="Palatino Linotype" w:cs="Palatino Linotype"/>
          <w:b/>
        </w:rPr>
      </w:pPr>
      <w:r w:rsidRPr="00D541A9">
        <w:rPr>
          <w:rFonts w:ascii="Palatino Linotype" w:eastAsia="Palatino Linotype" w:hAnsi="Palatino Linotype" w:cs="Palatino Linotype"/>
        </w:rPr>
        <w:t xml:space="preserve">Ahora bien, en lo que respecta a los agravios hechos valer por la parte Recurrente es menester precisar que, la Secretaría de Asuntos Parlamentarios refirió mediante informe justificado que, la creación del Municipio de Tecámac ocurrió antes de la existencia del Poder Legislativo, por lo que, al realizarse la búsqueda de la información </w:t>
      </w:r>
      <w:r w:rsidRPr="00D541A9">
        <w:rPr>
          <w:rFonts w:ascii="Palatino Linotype" w:eastAsia="Palatino Linotype" w:hAnsi="Palatino Linotype" w:cs="Palatino Linotype"/>
          <w:b/>
        </w:rPr>
        <w:t xml:space="preserve">no se encontró información que refiera explícitamente el decreto de creación. </w:t>
      </w:r>
    </w:p>
    <w:p w14:paraId="671100E8" w14:textId="77777777" w:rsidR="00B41C6D" w:rsidRPr="00D541A9" w:rsidRDefault="00B41C6D">
      <w:pPr>
        <w:spacing w:after="0" w:line="360" w:lineRule="auto"/>
        <w:ind w:right="49"/>
        <w:jc w:val="both"/>
        <w:rPr>
          <w:rFonts w:ascii="Palatino Linotype" w:eastAsia="Palatino Linotype" w:hAnsi="Palatino Linotype" w:cs="Palatino Linotype"/>
          <w:b/>
        </w:rPr>
      </w:pPr>
    </w:p>
    <w:p w14:paraId="125CAEC2"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En el mismo orden de ideas, el Sujeto Obligado señaló que el Estado de México se erigió el 2 de marzo de 1824 con la instalación del Congreso del Estado, sin embargo, existen fuentes que refieren que el municipio ya se había creado cuando se erigió el estado, por lo que, se considera que el documento que pudiera existir sobre la creación del Municipio no obre como parte del archivo histórico legislativo de este Poder.</w:t>
      </w:r>
      <w:r w:rsidRPr="00D541A9">
        <w:rPr>
          <w:rFonts w:ascii="Palatino Linotype" w:eastAsia="Palatino Linotype" w:hAnsi="Palatino Linotype" w:cs="Palatino Linotype"/>
          <w:b/>
        </w:rPr>
        <w:t xml:space="preserve"> </w:t>
      </w:r>
    </w:p>
    <w:p w14:paraId="08A9003A"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67A69F1"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Es así que se sugirió que se acudiera directamente a las oficinas de la Biblioteca Legislativa con la finalidad de consultar la información del Municipio de Tecámac y constatar si existe información que pudiera ser de ayuda del particular, no sin antes referirse que, dada la antigüedad no se tiene determinado si existe algún documento similar. </w:t>
      </w:r>
    </w:p>
    <w:p w14:paraId="313F1739" w14:textId="77777777" w:rsidR="00B41C6D" w:rsidRPr="00D541A9" w:rsidRDefault="00B41C6D">
      <w:pPr>
        <w:spacing w:after="0" w:line="360" w:lineRule="auto"/>
        <w:ind w:right="49"/>
        <w:jc w:val="both"/>
        <w:rPr>
          <w:rFonts w:ascii="Palatino Linotype" w:eastAsia="Palatino Linotype" w:hAnsi="Palatino Linotype" w:cs="Palatino Linotype"/>
        </w:rPr>
      </w:pPr>
    </w:p>
    <w:p w14:paraId="5C6AA2EC"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En ese sentido, es de referir que el Sujeto Obligado, a través de su unidad administrativa competente, atendió cabalmente la solicitud de información siendo que mediante informe justificado, explicó de manera clara y precisa las razones por las cuáles no se proporcionaba la información solicitada, esto es que, la creación del Municipio de Tecámac fue previa a la creación de un Poder Legislativo y con ello, anterior a cualquier normatividad jurídica que regule la materia de archivo; es así que, resulta imposible entregar información que no obra en el Sujeto Obligado. </w:t>
      </w:r>
    </w:p>
    <w:p w14:paraId="01F920F0" w14:textId="77777777" w:rsidR="00B41C6D" w:rsidRPr="00D541A9" w:rsidRDefault="00B41C6D">
      <w:pPr>
        <w:spacing w:after="0" w:line="360" w:lineRule="auto"/>
        <w:ind w:right="49"/>
        <w:jc w:val="both"/>
        <w:rPr>
          <w:rFonts w:ascii="Palatino Linotype" w:eastAsia="Palatino Linotype" w:hAnsi="Palatino Linotype" w:cs="Palatino Linotype"/>
        </w:rPr>
      </w:pPr>
    </w:p>
    <w:p w14:paraId="4D714B90"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Por lo que, nos encontramos ante la presencia de un denominado hecho negativo. Esto es que, es obvio que la información no puede fácticamente obrar en los archivos del Sujeto Obligado, ya que no puede probarse por ser lógica y materialmente imposible.</w:t>
      </w:r>
    </w:p>
    <w:p w14:paraId="0E6CABE2" w14:textId="77777777" w:rsidR="00B41C6D" w:rsidRPr="00D541A9" w:rsidRDefault="00B41C6D">
      <w:pPr>
        <w:spacing w:after="0" w:line="360" w:lineRule="auto"/>
        <w:jc w:val="both"/>
        <w:rPr>
          <w:rFonts w:ascii="Palatino Linotype" w:eastAsia="Palatino Linotype" w:hAnsi="Palatino Linotype" w:cs="Palatino Linotype"/>
        </w:rPr>
      </w:pPr>
    </w:p>
    <w:p w14:paraId="7A0ABC0A"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08DCBBA8" w14:textId="77777777" w:rsidR="00B41C6D" w:rsidRPr="00D541A9" w:rsidRDefault="00B41C6D">
      <w:pPr>
        <w:spacing w:after="0" w:line="360" w:lineRule="auto"/>
        <w:jc w:val="both"/>
        <w:rPr>
          <w:rFonts w:ascii="Palatino Linotype" w:eastAsia="Palatino Linotype" w:hAnsi="Palatino Linotype" w:cs="Palatino Linotype"/>
        </w:rPr>
      </w:pPr>
    </w:p>
    <w:p w14:paraId="1717BE6D"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 </w:t>
      </w:r>
      <w:r w:rsidRPr="00D541A9">
        <w:rPr>
          <w:rFonts w:ascii="Palatino Linotype" w:eastAsia="Palatino Linotype" w:hAnsi="Palatino Linotype" w:cs="Palatino Linotype"/>
          <w:b/>
          <w:i/>
        </w:rPr>
        <w:t xml:space="preserve">HECHOS NEGATIVOS, NO SON SUSCEPTIBLES DE DEMOSTRACIÓN. </w:t>
      </w:r>
      <w:r w:rsidRPr="00D541A9">
        <w:rPr>
          <w:rFonts w:ascii="Palatino Linotype" w:eastAsia="Palatino Linotype" w:hAnsi="Palatino Linotype" w:cs="Palatino Linotype"/>
        </w:rPr>
        <w:t xml:space="preserve"> </w:t>
      </w:r>
      <w:r w:rsidRPr="00D541A9">
        <w:rPr>
          <w:rFonts w:ascii="Palatino Linotype" w:eastAsia="Palatino Linotype" w:hAnsi="Palatino Linotype" w:cs="Palatino Linotype"/>
          <w:i/>
        </w:rPr>
        <w:t>Tratándose de un hecho negativo, el Juez no tiene por qué invocar prueba alguna de la que se desprenda, ya que es bien sabido que esta clase de hechos no son susceptibles de demostración.</w:t>
      </w:r>
    </w:p>
    <w:p w14:paraId="04F11D63" w14:textId="77777777" w:rsidR="00B41C6D" w:rsidRPr="00D541A9" w:rsidRDefault="00B41C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10124E0" w14:textId="77777777" w:rsidR="00B41C6D" w:rsidRPr="00D541A9" w:rsidRDefault="00724AD9">
      <w:pPr>
        <w:spacing w:after="0" w:line="360" w:lineRule="auto"/>
        <w:jc w:val="both"/>
        <w:rPr>
          <w:rFonts w:ascii="Palatino Linotype" w:eastAsia="Palatino Linotype" w:hAnsi="Palatino Linotype" w:cs="Palatino Linotype"/>
          <w:b/>
        </w:rPr>
      </w:pPr>
      <w:r w:rsidRPr="00D541A9">
        <w:rPr>
          <w:rFonts w:ascii="Palatino Linotype" w:eastAsia="Palatino Linotype" w:hAnsi="Palatino Linotype" w:cs="Palatino Linotype"/>
        </w:rPr>
        <w:t xml:space="preserve">Por lo que, estos requerimientos, se tienen por </w:t>
      </w:r>
      <w:r w:rsidRPr="00D541A9">
        <w:rPr>
          <w:rFonts w:ascii="Palatino Linotype" w:eastAsia="Palatino Linotype" w:hAnsi="Palatino Linotype" w:cs="Palatino Linotype"/>
          <w:b/>
        </w:rPr>
        <w:t xml:space="preserve">colmados. </w:t>
      </w:r>
    </w:p>
    <w:p w14:paraId="13F06AE9" w14:textId="77777777" w:rsidR="00B41C6D" w:rsidRPr="00D541A9" w:rsidRDefault="00B41C6D">
      <w:pPr>
        <w:spacing w:after="0" w:line="360" w:lineRule="auto"/>
        <w:ind w:right="49"/>
        <w:jc w:val="both"/>
        <w:rPr>
          <w:rFonts w:ascii="Palatino Linotype" w:eastAsia="Palatino Linotype" w:hAnsi="Palatino Linotype" w:cs="Palatino Linotype"/>
        </w:rPr>
      </w:pPr>
    </w:p>
    <w:p w14:paraId="094235B4"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Derivado de lo anterior,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4C12F1B0" w14:textId="77777777" w:rsidR="00B41C6D" w:rsidRPr="00D541A9" w:rsidRDefault="00B41C6D">
      <w:pPr>
        <w:spacing w:after="0" w:line="360" w:lineRule="auto"/>
        <w:ind w:right="49"/>
        <w:jc w:val="both"/>
        <w:rPr>
          <w:rFonts w:ascii="Palatino Linotype" w:eastAsia="Palatino Linotype" w:hAnsi="Palatino Linotype" w:cs="Palatino Linotype"/>
        </w:rPr>
      </w:pPr>
    </w:p>
    <w:p w14:paraId="0DCEC8BA" w14:textId="77777777" w:rsidR="00B41C6D" w:rsidRPr="00D541A9" w:rsidRDefault="00724AD9">
      <w:pPr>
        <w:spacing w:after="0" w:line="360" w:lineRule="auto"/>
        <w:ind w:right="900" w:firstLine="567"/>
        <w:jc w:val="both"/>
      </w:pPr>
      <w:r w:rsidRPr="00D541A9">
        <w:rPr>
          <w:rFonts w:ascii="Palatino Linotype" w:eastAsia="Palatino Linotype" w:hAnsi="Palatino Linotype" w:cs="Palatino Linotype"/>
        </w:rPr>
        <w:t>a) Cuando el sujeto obligado modifique el acto impugnado y;</w:t>
      </w:r>
    </w:p>
    <w:p w14:paraId="50F74E9A" w14:textId="77777777" w:rsidR="00B41C6D" w:rsidRPr="00D541A9" w:rsidRDefault="00724AD9">
      <w:pPr>
        <w:spacing w:after="0" w:line="360" w:lineRule="auto"/>
        <w:ind w:right="900" w:firstLine="567"/>
        <w:jc w:val="both"/>
        <w:rPr>
          <w:rFonts w:ascii="Palatino Linotype" w:eastAsia="Palatino Linotype" w:hAnsi="Palatino Linotype" w:cs="Palatino Linotype"/>
        </w:rPr>
      </w:pPr>
      <w:r w:rsidRPr="00D541A9">
        <w:rPr>
          <w:rFonts w:ascii="Palatino Linotype" w:eastAsia="Palatino Linotype" w:hAnsi="Palatino Linotype" w:cs="Palatino Linotype"/>
        </w:rPr>
        <w:t>b) Cuando el sujeto obligado revoque el acto impugnado.</w:t>
      </w:r>
    </w:p>
    <w:p w14:paraId="3A8F4B47" w14:textId="77777777" w:rsidR="00B41C6D" w:rsidRPr="00D541A9" w:rsidRDefault="00B41C6D">
      <w:pPr>
        <w:spacing w:after="0" w:line="360" w:lineRule="auto"/>
        <w:ind w:right="900" w:firstLine="567"/>
        <w:jc w:val="both"/>
      </w:pPr>
    </w:p>
    <w:p w14:paraId="2647BAC3"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Quedando en ambos casos el acto combatido sin materia o sin efectos.</w:t>
      </w:r>
    </w:p>
    <w:p w14:paraId="28D487C2" w14:textId="77777777" w:rsidR="00B41C6D" w:rsidRPr="00D541A9" w:rsidRDefault="00B41C6D">
      <w:pPr>
        <w:spacing w:after="0" w:line="360" w:lineRule="auto"/>
        <w:jc w:val="both"/>
      </w:pPr>
    </w:p>
    <w:p w14:paraId="7C68EACD"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Como se observa de lo anterior, un acto impugnado es </w:t>
      </w:r>
      <w:r w:rsidRPr="00D541A9">
        <w:rPr>
          <w:rFonts w:ascii="Palatino Linotype" w:eastAsia="Palatino Linotype" w:hAnsi="Palatino Linotype" w:cs="Palatino Linotype"/>
          <w:b/>
        </w:rPr>
        <w:t>modificado</w:t>
      </w:r>
      <w:r w:rsidRPr="00D541A9">
        <w:rPr>
          <w:rFonts w:ascii="Palatino Linotype" w:eastAsia="Palatino Linotype" w:hAnsi="Palatino Linotype" w:cs="Palatino Linotype"/>
        </w:rPr>
        <w:t xml:space="preserve"> en aquellos casos en los que el sujeto obligado </w:t>
      </w:r>
      <w:r w:rsidRPr="00D541A9">
        <w:rPr>
          <w:rFonts w:ascii="Palatino Linotype" w:eastAsia="Palatino Linotype" w:hAnsi="Palatino Linotype" w:cs="Palatino Linotype"/>
          <w:b/>
          <w:u w:val="single"/>
        </w:rPr>
        <w:t>subsana las deficiencias que hubiera tenido en primer momento</w:t>
      </w:r>
      <w:r w:rsidRPr="00D541A9">
        <w:rPr>
          <w:rFonts w:ascii="Palatino Linotype" w:eastAsia="Palatino Linotype" w:hAnsi="Palatino Linotype" w:cs="Palatino Linotype"/>
          <w:b/>
        </w:rPr>
        <w:t>,</w:t>
      </w:r>
      <w:r w:rsidRPr="00D541A9">
        <w:rPr>
          <w:rFonts w:ascii="Palatino Linotype" w:eastAsia="Palatino Linotype" w:hAnsi="Palatino Linotype" w:cs="Palatino Linotype"/>
        </w:rPr>
        <w:t xml:space="preserve"> quedando satisfecho el derecho subjetivo accionado por la parte recurrente. </w:t>
      </w:r>
    </w:p>
    <w:p w14:paraId="6004A5B2" w14:textId="77777777" w:rsidR="00B41C6D" w:rsidRPr="00D541A9" w:rsidRDefault="00B41C6D">
      <w:pPr>
        <w:spacing w:after="0" w:line="360" w:lineRule="auto"/>
        <w:jc w:val="both"/>
        <w:rPr>
          <w:rFonts w:ascii="Palatino Linotype" w:eastAsia="Palatino Linotype" w:hAnsi="Palatino Linotype" w:cs="Palatino Linotype"/>
        </w:rPr>
      </w:pPr>
    </w:p>
    <w:p w14:paraId="2D5574CF"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Por lo que hace a la</w:t>
      </w:r>
      <w:r w:rsidRPr="00D541A9">
        <w:rPr>
          <w:rFonts w:ascii="Palatino Linotype" w:eastAsia="Palatino Linotype" w:hAnsi="Palatino Linotype" w:cs="Palatino Linotype"/>
          <w:b/>
        </w:rPr>
        <w:t xml:space="preserve"> revocación</w:t>
      </w:r>
      <w:r w:rsidRPr="00D541A9">
        <w:rPr>
          <w:rFonts w:ascii="Palatino Linotype" w:eastAsia="Palatino Linotype" w:hAnsi="Palatino Linotype" w:cs="Palatino Linotype"/>
        </w:rPr>
        <w:t>, ésta se actualiza cuando el sujeto obligado</w:t>
      </w:r>
      <w:r w:rsidRPr="00D541A9">
        <w:rPr>
          <w:rFonts w:ascii="Palatino Linotype" w:eastAsia="Palatino Linotype" w:hAnsi="Palatino Linotype" w:cs="Palatino Linotype"/>
          <w:b/>
        </w:rPr>
        <w:t xml:space="preserve"> </w:t>
      </w:r>
      <w:r w:rsidRPr="00D541A9">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426EE631" w14:textId="77777777" w:rsidR="00B41C6D" w:rsidRPr="00D541A9" w:rsidRDefault="00B41C6D">
      <w:pPr>
        <w:spacing w:after="0" w:line="360" w:lineRule="auto"/>
        <w:jc w:val="both"/>
        <w:rPr>
          <w:rFonts w:ascii="Palatino Linotype" w:eastAsia="Palatino Linotype" w:hAnsi="Palatino Linotype" w:cs="Palatino Linotype"/>
        </w:rPr>
      </w:pPr>
    </w:p>
    <w:p w14:paraId="3381BA19"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rPr>
        <w:t>En ese tenor, un acto impugnado quedará sin efectos, cuando aun existiendo jurídicamente ya no genera ninguna consecuencia legal.</w:t>
      </w:r>
    </w:p>
    <w:p w14:paraId="12CD11D3" w14:textId="77777777" w:rsidR="00B41C6D" w:rsidRPr="00D541A9" w:rsidRDefault="00B41C6D">
      <w:pPr>
        <w:spacing w:after="0" w:line="360" w:lineRule="auto"/>
        <w:jc w:val="both"/>
        <w:rPr>
          <w:rFonts w:ascii="Palatino Linotype" w:eastAsia="Palatino Linotype" w:hAnsi="Palatino Linotype" w:cs="Palatino Linotype"/>
        </w:rPr>
      </w:pPr>
    </w:p>
    <w:p w14:paraId="60317CBB"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En tanto, en el presente caso, toda vez que, el Sujeto Obligado mediante informe justificado, a través de su unidad administrativa competente, explicó las razones y motivos por las cuáles no cuenta con la información solicitada; dejó sin materia el presente recurso de revisión, actualizándose entonces la causal prevista en la fracción III del artículo 192 de la Ley de la Materia vigente en la Entidad. </w:t>
      </w:r>
    </w:p>
    <w:p w14:paraId="658AEACC" w14:textId="77777777" w:rsidR="00B41C6D" w:rsidRPr="00D541A9" w:rsidRDefault="00B41C6D">
      <w:pPr>
        <w:spacing w:after="0" w:line="360" w:lineRule="auto"/>
        <w:ind w:right="49"/>
        <w:jc w:val="both"/>
        <w:rPr>
          <w:rFonts w:ascii="Palatino Linotype" w:eastAsia="Palatino Linotype" w:hAnsi="Palatino Linotype" w:cs="Palatino Linotype"/>
        </w:rPr>
      </w:pPr>
    </w:p>
    <w:p w14:paraId="1D5E7E49" w14:textId="77777777" w:rsidR="00B41C6D" w:rsidRPr="00D541A9"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D1F78C1" w14:textId="77777777" w:rsidR="00B41C6D" w:rsidRPr="00D541A9" w:rsidRDefault="00B41C6D">
      <w:pPr>
        <w:spacing w:after="0" w:line="360" w:lineRule="auto"/>
        <w:ind w:right="49"/>
        <w:jc w:val="both"/>
        <w:rPr>
          <w:rFonts w:ascii="Palatino Linotype" w:eastAsia="Palatino Linotype" w:hAnsi="Palatino Linotype" w:cs="Palatino Linotype"/>
        </w:rPr>
      </w:pPr>
    </w:p>
    <w:p w14:paraId="4B6873D5" w14:textId="77777777" w:rsidR="00B41C6D" w:rsidRPr="00D541A9" w:rsidRDefault="00724AD9">
      <w:pPr>
        <w:spacing w:after="0" w:line="360" w:lineRule="auto"/>
        <w:ind w:right="49"/>
        <w:jc w:val="center"/>
        <w:rPr>
          <w:rFonts w:ascii="Palatino Linotype" w:eastAsia="Palatino Linotype" w:hAnsi="Palatino Linotype" w:cs="Palatino Linotype"/>
          <w:b/>
        </w:rPr>
      </w:pPr>
      <w:r w:rsidRPr="00D541A9">
        <w:rPr>
          <w:rFonts w:ascii="Palatino Linotype" w:eastAsia="Palatino Linotype" w:hAnsi="Palatino Linotype" w:cs="Palatino Linotype"/>
          <w:b/>
        </w:rPr>
        <w:t>III.</w:t>
      </w:r>
      <w:r w:rsidRPr="00D541A9">
        <w:rPr>
          <w:rFonts w:ascii="Palatino Linotype" w:eastAsia="Palatino Linotype" w:hAnsi="Palatino Linotype" w:cs="Palatino Linotype"/>
          <w:b/>
        </w:rPr>
        <w:tab/>
        <w:t>R E S U E L V E:</w:t>
      </w:r>
    </w:p>
    <w:p w14:paraId="0130858E" w14:textId="77777777" w:rsidR="00B41C6D" w:rsidRPr="00D541A9" w:rsidRDefault="00B41C6D">
      <w:pPr>
        <w:spacing w:after="0" w:line="360" w:lineRule="auto"/>
        <w:ind w:right="49"/>
        <w:jc w:val="both"/>
        <w:rPr>
          <w:rFonts w:ascii="Palatino Linotype" w:eastAsia="Palatino Linotype" w:hAnsi="Palatino Linotype" w:cs="Palatino Linotype"/>
        </w:rPr>
      </w:pPr>
    </w:p>
    <w:p w14:paraId="3D803D87" w14:textId="77777777"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PRIMERO. </w:t>
      </w:r>
      <w:r w:rsidRPr="00D541A9">
        <w:rPr>
          <w:rFonts w:ascii="Palatino Linotype" w:eastAsia="Palatino Linotype" w:hAnsi="Palatino Linotype" w:cs="Palatino Linotype"/>
        </w:rPr>
        <w:t xml:space="preserve">Se </w:t>
      </w:r>
      <w:r w:rsidRPr="00D541A9">
        <w:rPr>
          <w:rFonts w:ascii="Palatino Linotype" w:eastAsia="Palatino Linotype" w:hAnsi="Palatino Linotype" w:cs="Palatino Linotype"/>
          <w:b/>
        </w:rPr>
        <w:t xml:space="preserve">SOBRESEE </w:t>
      </w:r>
      <w:r w:rsidRPr="00D541A9">
        <w:rPr>
          <w:rFonts w:ascii="Palatino Linotype" w:eastAsia="Palatino Linotype" w:hAnsi="Palatino Linotype" w:cs="Palatino Linotype"/>
        </w:rPr>
        <w:t>el Recurso de Revisión número</w:t>
      </w:r>
      <w:r w:rsidRPr="00D541A9">
        <w:rPr>
          <w:rFonts w:ascii="Palatino Linotype" w:eastAsia="Palatino Linotype" w:hAnsi="Palatino Linotype" w:cs="Palatino Linotype"/>
          <w:b/>
        </w:rPr>
        <w:t xml:space="preserve"> 06709/INFOEM/IP/RR/2025</w:t>
      </w:r>
      <w:r w:rsidRPr="00D541A9">
        <w:rPr>
          <w:rFonts w:ascii="Palatino Linotype" w:eastAsia="Palatino Linotype" w:hAnsi="Palatino Linotype" w:cs="Palatino Linotype"/>
        </w:rPr>
        <w:t xml:space="preserve">, porque el </w:t>
      </w:r>
      <w:r w:rsidRPr="00D541A9">
        <w:rPr>
          <w:rFonts w:ascii="Palatino Linotype" w:eastAsia="Palatino Linotype" w:hAnsi="Palatino Linotype" w:cs="Palatino Linotype"/>
          <w:b/>
        </w:rPr>
        <w:t xml:space="preserve">SUJETO OBLIGADO </w:t>
      </w:r>
      <w:r w:rsidRPr="00D541A9">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de la Entidad, en términos del </w:t>
      </w:r>
      <w:r w:rsidRPr="00D541A9">
        <w:rPr>
          <w:rFonts w:ascii="Palatino Linotype" w:eastAsia="Palatino Linotype" w:hAnsi="Palatino Linotype" w:cs="Palatino Linotype"/>
          <w:b/>
        </w:rPr>
        <w:t>Considerando Tercero</w:t>
      </w:r>
      <w:r w:rsidRPr="00D541A9">
        <w:rPr>
          <w:rFonts w:ascii="Palatino Linotype" w:eastAsia="Palatino Linotype" w:hAnsi="Palatino Linotype" w:cs="Palatino Linotype"/>
        </w:rPr>
        <w:t xml:space="preserve"> de la presente resolución.</w:t>
      </w:r>
    </w:p>
    <w:p w14:paraId="7BC52C92" w14:textId="77777777" w:rsidR="00B41C6D" w:rsidRPr="00D541A9" w:rsidRDefault="00B41C6D">
      <w:pPr>
        <w:spacing w:after="0" w:line="360" w:lineRule="auto"/>
        <w:jc w:val="both"/>
        <w:rPr>
          <w:rFonts w:ascii="Palatino Linotype" w:eastAsia="Palatino Linotype" w:hAnsi="Palatino Linotype" w:cs="Palatino Linotype"/>
        </w:rPr>
      </w:pPr>
    </w:p>
    <w:p w14:paraId="564BE21C" w14:textId="77777777" w:rsidR="00B41C6D" w:rsidRPr="00D541A9" w:rsidRDefault="00724AD9">
      <w:pPr>
        <w:spacing w:after="0" w:line="360" w:lineRule="auto"/>
        <w:jc w:val="both"/>
        <w:rPr>
          <w:rFonts w:ascii="Palatino Linotype" w:eastAsia="Palatino Linotype" w:hAnsi="Palatino Linotype" w:cs="Palatino Linotype"/>
          <w:b/>
        </w:rPr>
      </w:pPr>
      <w:r w:rsidRPr="00D541A9">
        <w:rPr>
          <w:rFonts w:ascii="Palatino Linotype" w:eastAsia="Palatino Linotype" w:hAnsi="Palatino Linotype" w:cs="Palatino Linotype"/>
          <w:b/>
        </w:rPr>
        <w:t>SEGUNDO. Notifíquese a través del Sistema de Acceso a la Información Mexiquense</w:t>
      </w:r>
      <w:r w:rsidRPr="00D541A9">
        <w:rPr>
          <w:rFonts w:ascii="Palatino Linotype" w:eastAsia="Palatino Linotype" w:hAnsi="Palatino Linotype" w:cs="Palatino Linotype"/>
        </w:rPr>
        <w:t xml:space="preserve"> </w:t>
      </w:r>
      <w:r w:rsidRPr="00D541A9">
        <w:rPr>
          <w:rFonts w:ascii="Palatino Linotype" w:eastAsia="Palatino Linotype" w:hAnsi="Palatino Linotype" w:cs="Palatino Linotype"/>
          <w:b/>
        </w:rPr>
        <w:t xml:space="preserve">(SAIMEX) </w:t>
      </w:r>
      <w:r w:rsidRPr="00D541A9">
        <w:rPr>
          <w:rFonts w:ascii="Palatino Linotype" w:eastAsia="Palatino Linotype" w:hAnsi="Palatino Linotype" w:cs="Palatino Linotype"/>
        </w:rPr>
        <w:t>la presente resolución a la Titular de la Unidad de Transparencia del</w:t>
      </w:r>
      <w:r w:rsidRPr="00D541A9">
        <w:rPr>
          <w:rFonts w:ascii="Palatino Linotype" w:eastAsia="Palatino Linotype" w:hAnsi="Palatino Linotype" w:cs="Palatino Linotype"/>
          <w:b/>
        </w:rPr>
        <w:t xml:space="preserve"> SUJETO OBLIGADO. </w:t>
      </w:r>
    </w:p>
    <w:p w14:paraId="382E3CCA" w14:textId="77777777" w:rsidR="00B41C6D" w:rsidRPr="00D541A9" w:rsidRDefault="00B41C6D">
      <w:pPr>
        <w:spacing w:after="0" w:line="360" w:lineRule="auto"/>
        <w:jc w:val="both"/>
        <w:rPr>
          <w:rFonts w:ascii="Palatino Linotype" w:eastAsia="Palatino Linotype" w:hAnsi="Palatino Linotype" w:cs="Palatino Linotype"/>
          <w:b/>
        </w:rPr>
      </w:pPr>
    </w:p>
    <w:p w14:paraId="60DEEB72" w14:textId="11DC2FB6" w:rsidR="00B41C6D" w:rsidRPr="00D541A9" w:rsidRDefault="00724AD9">
      <w:pPr>
        <w:spacing w:after="0" w:line="360" w:lineRule="auto"/>
        <w:jc w:val="both"/>
        <w:rPr>
          <w:rFonts w:ascii="Palatino Linotype" w:eastAsia="Palatino Linotype" w:hAnsi="Palatino Linotype" w:cs="Palatino Linotype"/>
        </w:rPr>
      </w:pPr>
      <w:r w:rsidRPr="00D541A9">
        <w:rPr>
          <w:rFonts w:ascii="Palatino Linotype" w:eastAsia="Palatino Linotype" w:hAnsi="Palatino Linotype" w:cs="Palatino Linotype"/>
          <w:b/>
        </w:rPr>
        <w:t xml:space="preserve">TERCERO. Notifíquese a través del Sistema de Acceso a la Información Mexiquense (SAIMEX) </w:t>
      </w:r>
      <w:r w:rsidRPr="00D541A9">
        <w:rPr>
          <w:rFonts w:ascii="Palatino Linotype" w:eastAsia="Palatino Linotype" w:hAnsi="Palatino Linotype" w:cs="Palatino Linotype"/>
        </w:rPr>
        <w:t xml:space="preserve">a la parte </w:t>
      </w:r>
      <w:r w:rsidRPr="00D541A9">
        <w:rPr>
          <w:rFonts w:ascii="Palatino Linotype" w:eastAsia="Palatino Linotype" w:hAnsi="Palatino Linotype" w:cs="Palatino Linotype"/>
          <w:b/>
        </w:rPr>
        <w:t>RECURRENTE,</w:t>
      </w:r>
      <w:r w:rsidRPr="00D541A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471F0F97" w14:textId="0DA5EFB9" w:rsidR="005B06EA" w:rsidRPr="00D541A9" w:rsidRDefault="005B06EA">
      <w:pPr>
        <w:spacing w:after="0" w:line="360" w:lineRule="auto"/>
        <w:jc w:val="both"/>
        <w:rPr>
          <w:rFonts w:ascii="Palatino Linotype" w:eastAsia="Palatino Linotype" w:hAnsi="Palatino Linotype" w:cs="Palatino Linotype"/>
        </w:rPr>
      </w:pPr>
    </w:p>
    <w:p w14:paraId="31EA33D8" w14:textId="77777777" w:rsidR="005B06EA" w:rsidRPr="00D541A9" w:rsidRDefault="005B06EA">
      <w:pPr>
        <w:spacing w:after="0" w:line="360" w:lineRule="auto"/>
        <w:jc w:val="both"/>
        <w:rPr>
          <w:rFonts w:ascii="Palatino Linotype" w:eastAsia="Palatino Linotype" w:hAnsi="Palatino Linotype" w:cs="Palatino Linotype"/>
        </w:rPr>
      </w:pPr>
    </w:p>
    <w:p w14:paraId="62FB5AFD" w14:textId="63FD5636" w:rsidR="00B41C6D" w:rsidRPr="005B06EA" w:rsidRDefault="00724AD9">
      <w:pPr>
        <w:spacing w:after="0" w:line="360" w:lineRule="auto"/>
        <w:ind w:right="49"/>
        <w:jc w:val="both"/>
        <w:rPr>
          <w:rFonts w:ascii="Palatino Linotype" w:eastAsia="Palatino Linotype" w:hAnsi="Palatino Linotype" w:cs="Palatino Linotype"/>
        </w:rPr>
      </w:pPr>
      <w:r w:rsidRPr="00D541A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w:t>
      </w:r>
      <w:r w:rsidR="00D541A9" w:rsidRPr="00D541A9">
        <w:rPr>
          <w:rFonts w:ascii="Palatino Linotype" w:eastAsia="Palatino Linotype" w:hAnsi="Palatino Linotype" w:cs="Palatino Linotype"/>
        </w:rPr>
        <w:t>DOCE</w:t>
      </w:r>
      <w:r w:rsidRPr="00D541A9">
        <w:rPr>
          <w:rFonts w:ascii="Palatino Linotype" w:eastAsia="Palatino Linotype" w:hAnsi="Palatino Linotype" w:cs="Palatino Linotype"/>
        </w:rPr>
        <w:t xml:space="preserve"> DE NOVIEMBRE DE DOS MIL VEINTICINCO, ANTE EL SECRETARIO TÉCNICO DEL PLENO ALEXIS TAPIA RAMÍREZ.</w:t>
      </w:r>
      <w:r w:rsidRPr="005B06EA">
        <w:rPr>
          <w:rFonts w:ascii="Palatino Linotype" w:eastAsia="Palatino Linotype" w:hAnsi="Palatino Linotype" w:cs="Palatino Linotype"/>
        </w:rPr>
        <w:t xml:space="preserve"> </w:t>
      </w:r>
    </w:p>
    <w:p w14:paraId="5FDE8F4C" w14:textId="77777777" w:rsidR="00B41C6D" w:rsidRPr="005B06EA" w:rsidRDefault="00B41C6D">
      <w:pPr>
        <w:spacing w:after="0" w:line="360" w:lineRule="auto"/>
        <w:ind w:right="49"/>
        <w:jc w:val="both"/>
        <w:rPr>
          <w:rFonts w:ascii="Palatino Linotype" w:eastAsia="Palatino Linotype" w:hAnsi="Palatino Linotype" w:cs="Palatino Linotype"/>
        </w:rPr>
      </w:pPr>
    </w:p>
    <w:p w14:paraId="782C4C52" w14:textId="00D3C2AF" w:rsidR="00B41C6D" w:rsidRPr="005B06EA" w:rsidRDefault="00B41C6D"/>
    <w:p w14:paraId="56E0658D" w14:textId="79A4B1FB" w:rsidR="005B06EA" w:rsidRPr="005B06EA" w:rsidRDefault="005B06EA"/>
    <w:p w14:paraId="3E4CD4BB" w14:textId="2489EF2A" w:rsidR="005B06EA" w:rsidRPr="005B06EA" w:rsidRDefault="005B06EA"/>
    <w:p w14:paraId="5AA8E0F1" w14:textId="1BCA70B8" w:rsidR="005B06EA" w:rsidRPr="005B06EA" w:rsidRDefault="005B06EA"/>
    <w:p w14:paraId="4052FD4A" w14:textId="4ACBCD6F" w:rsidR="005B06EA" w:rsidRPr="005B06EA" w:rsidRDefault="005B06EA"/>
    <w:p w14:paraId="0794F518" w14:textId="788B3E0E" w:rsidR="005B06EA" w:rsidRPr="005B06EA" w:rsidRDefault="005B06EA"/>
    <w:p w14:paraId="10D8A2F7" w14:textId="61F08537" w:rsidR="005B06EA" w:rsidRPr="005B06EA" w:rsidRDefault="005B06EA"/>
    <w:p w14:paraId="6333849E" w14:textId="4A7381FB" w:rsidR="005B06EA" w:rsidRPr="005B06EA" w:rsidRDefault="005B06EA"/>
    <w:p w14:paraId="4C4E5931" w14:textId="74C092ED" w:rsidR="005B06EA" w:rsidRPr="005B06EA" w:rsidRDefault="005B06EA"/>
    <w:p w14:paraId="1AD17E0B" w14:textId="71DD2DDB" w:rsidR="005B06EA" w:rsidRPr="005B06EA" w:rsidRDefault="005B06EA"/>
    <w:p w14:paraId="4D351DCC" w14:textId="09C5030A" w:rsidR="005B06EA" w:rsidRPr="005B06EA" w:rsidRDefault="005B06EA"/>
    <w:p w14:paraId="661247A2" w14:textId="66530A1C" w:rsidR="005B06EA" w:rsidRPr="005B06EA" w:rsidRDefault="005B06EA"/>
    <w:p w14:paraId="1AB7C278" w14:textId="16AC3775" w:rsidR="005B06EA" w:rsidRPr="005B06EA" w:rsidRDefault="005B06EA"/>
    <w:p w14:paraId="67D85061" w14:textId="70908103" w:rsidR="005B06EA" w:rsidRPr="005B06EA" w:rsidRDefault="005B06EA"/>
    <w:p w14:paraId="72B23FE1" w14:textId="3B499B3E" w:rsidR="005B06EA" w:rsidRPr="005B06EA" w:rsidRDefault="005B06EA"/>
    <w:p w14:paraId="11D560C9" w14:textId="41EEA888" w:rsidR="005B06EA" w:rsidRPr="005B06EA" w:rsidRDefault="005B06EA"/>
    <w:p w14:paraId="7BC43501" w14:textId="31327222" w:rsidR="005B06EA" w:rsidRPr="005B06EA" w:rsidRDefault="005B06EA"/>
    <w:p w14:paraId="7751451C" w14:textId="03D53D4F" w:rsidR="005B06EA" w:rsidRPr="005B06EA" w:rsidRDefault="005B06EA"/>
    <w:p w14:paraId="269DB62D" w14:textId="0B6291DA" w:rsidR="005B06EA" w:rsidRPr="005B06EA" w:rsidRDefault="005B06EA"/>
    <w:p w14:paraId="5F81FFD5" w14:textId="19406B98" w:rsidR="005B06EA" w:rsidRPr="005B06EA" w:rsidRDefault="005B06EA"/>
    <w:p w14:paraId="576C5832" w14:textId="728055EB" w:rsidR="005B06EA" w:rsidRPr="005B06EA" w:rsidRDefault="005B06EA"/>
    <w:p w14:paraId="406D1DD2" w14:textId="77777777" w:rsidR="005B06EA" w:rsidRPr="005B06EA" w:rsidRDefault="005B06EA"/>
    <w:sectPr w:rsidR="005B06EA" w:rsidRPr="005B06EA">
      <w:headerReference w:type="default" r:id="rId8"/>
      <w:footerReference w:type="default" r:id="rId9"/>
      <w:headerReference w:type="first" r:id="rId10"/>
      <w:footerReference w:type="first" r:id="rId11"/>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8FD41" w14:textId="77777777" w:rsidR="00D87E1F" w:rsidRDefault="00D87E1F">
      <w:pPr>
        <w:spacing w:after="0" w:line="240" w:lineRule="auto"/>
      </w:pPr>
      <w:r>
        <w:separator/>
      </w:r>
    </w:p>
  </w:endnote>
  <w:endnote w:type="continuationSeparator" w:id="0">
    <w:p w14:paraId="4CD022BE" w14:textId="77777777" w:rsidR="00D87E1F" w:rsidRDefault="00D87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72E7356B-79DC-45F1-A2AB-B9262E2ABDDA}"/>
    <w:embedBold r:id="rId2" w:fontKey="{749441C3-A772-4318-8343-A335D0B2450D}"/>
    <w:embedItalic r:id="rId3" w:fontKey="{E9BE36B3-3631-4B2B-AC25-57C1938891CF}"/>
    <w:embedBoldItalic r:id="rId4" w:fontKey="{0F68AA1D-2BD7-4919-A395-90A20814A8FD}"/>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5E912D9-63B1-45FD-8562-2482CAEED49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64D69DD-801C-490B-AC38-79325F035621}"/>
    <w:embedBold r:id="rId7" w:fontKey="{F218ED96-3A82-4978-AB66-7381BDBC7E90}"/>
  </w:font>
  <w:font w:name="Georgia">
    <w:panose1 w:val="02040502050405020303"/>
    <w:charset w:val="00"/>
    <w:family w:val="roman"/>
    <w:pitch w:val="variable"/>
    <w:sig w:usb0="00000287" w:usb1="00000000" w:usb2="00000000" w:usb3="00000000" w:csb0="0000009F" w:csb1="00000000"/>
    <w:embedRegular r:id="rId8" w:fontKey="{71085DBB-C57F-48BC-8F1A-13EE67476843}"/>
    <w:embedItalic r:id="rId9" w:fontKey="{BE919E95-69AE-4478-8B1C-57AA6E2247DC}"/>
  </w:font>
  <w:font w:name="Calibri Light">
    <w:panose1 w:val="020F0302020204030204"/>
    <w:charset w:val="00"/>
    <w:family w:val="swiss"/>
    <w:pitch w:val="variable"/>
    <w:sig w:usb0="E4002EFF" w:usb1="C200247B" w:usb2="00000009" w:usb3="00000000" w:csb0="000001FF" w:csb1="00000000"/>
    <w:embedRegular r:id="rId10" w:fontKey="{EB27D6C0-CDDA-4E80-8650-8CAA43CCB38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F988C" w14:textId="22959573" w:rsidR="00B41C6D" w:rsidRDefault="00724AD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3DD1">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3DD1">
      <w:rPr>
        <w:b/>
        <w:noProof/>
        <w:color w:val="000000"/>
        <w:sz w:val="24"/>
        <w:szCs w:val="24"/>
      </w:rPr>
      <w:t>19</w:t>
    </w:r>
    <w:r>
      <w:rPr>
        <w:b/>
        <w:color w:val="000000"/>
        <w:sz w:val="24"/>
        <w:szCs w:val="24"/>
      </w:rPr>
      <w:fldChar w:fldCharType="end"/>
    </w:r>
  </w:p>
  <w:p w14:paraId="3FABF206" w14:textId="77777777" w:rsidR="00B41C6D" w:rsidRDefault="00B41C6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1D46D" w14:textId="6CF34A73" w:rsidR="00B41C6D" w:rsidRDefault="00724AD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93DD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93DD1">
      <w:rPr>
        <w:b/>
        <w:noProof/>
        <w:color w:val="000000"/>
        <w:sz w:val="24"/>
        <w:szCs w:val="24"/>
      </w:rPr>
      <w:t>19</w:t>
    </w:r>
    <w:r>
      <w:rPr>
        <w:b/>
        <w:color w:val="000000"/>
        <w:sz w:val="24"/>
        <w:szCs w:val="24"/>
      </w:rPr>
      <w:fldChar w:fldCharType="end"/>
    </w:r>
  </w:p>
  <w:p w14:paraId="186F31B7" w14:textId="77777777" w:rsidR="00B41C6D" w:rsidRDefault="00B41C6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AE4F3" w14:textId="77777777" w:rsidR="00D87E1F" w:rsidRDefault="00D87E1F">
      <w:pPr>
        <w:spacing w:after="0" w:line="240" w:lineRule="auto"/>
      </w:pPr>
      <w:r>
        <w:separator/>
      </w:r>
    </w:p>
  </w:footnote>
  <w:footnote w:type="continuationSeparator" w:id="0">
    <w:p w14:paraId="18982167" w14:textId="77777777" w:rsidR="00D87E1F" w:rsidRDefault="00D87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AF3B" w14:textId="77777777" w:rsidR="00B41C6D" w:rsidRDefault="00724AD9">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09FD8847" wp14:editId="5E61C363">
          <wp:simplePos x="0" y="0"/>
          <wp:positionH relativeFrom="column">
            <wp:posOffset>-553719</wp:posOffset>
          </wp:positionH>
          <wp:positionV relativeFrom="paragraph">
            <wp:posOffset>-562609</wp:posOffset>
          </wp:positionV>
          <wp:extent cx="7809876" cy="10165823"/>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B41C6D" w14:paraId="654F7415" w14:textId="77777777">
      <w:tc>
        <w:tcPr>
          <w:tcW w:w="2551" w:type="dxa"/>
          <w:vAlign w:val="center"/>
        </w:tcPr>
        <w:p w14:paraId="32D54579"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AD70108"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06709/INFOEM/IP/RR/202</w:t>
          </w:r>
          <w:r>
            <w:rPr>
              <w:rFonts w:ascii="Palatino Linotype" w:eastAsia="Palatino Linotype" w:hAnsi="Palatino Linotype" w:cs="Palatino Linotype"/>
              <w:b/>
              <w:sz w:val="20"/>
              <w:szCs w:val="20"/>
            </w:rPr>
            <w:t>5</w:t>
          </w:r>
        </w:p>
      </w:tc>
    </w:tr>
    <w:tr w:rsidR="00B41C6D" w14:paraId="3EE7C050" w14:textId="77777777">
      <w:trPr>
        <w:trHeight w:val="217"/>
      </w:trPr>
      <w:tc>
        <w:tcPr>
          <w:tcW w:w="2551" w:type="dxa"/>
          <w:vAlign w:val="center"/>
        </w:tcPr>
        <w:p w14:paraId="34254436"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4B6ABC1" w14:textId="77777777" w:rsidR="00B41C6D" w:rsidRDefault="00724AD9">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Poder Legislativo</w:t>
          </w:r>
        </w:p>
      </w:tc>
    </w:tr>
    <w:tr w:rsidR="00B41C6D" w14:paraId="13EA2137" w14:textId="77777777">
      <w:tc>
        <w:tcPr>
          <w:tcW w:w="2551" w:type="dxa"/>
          <w:vAlign w:val="center"/>
        </w:tcPr>
        <w:p w14:paraId="5BC9958D"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F7B2FEB"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8090277" w14:textId="77777777" w:rsidR="00B41C6D" w:rsidRDefault="00B41C6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C8257" w14:textId="77777777" w:rsidR="00B41C6D" w:rsidRDefault="00724AD9">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791A4A0" wp14:editId="59656B09">
          <wp:simplePos x="0" y="0"/>
          <wp:positionH relativeFrom="column">
            <wp:posOffset>-712466</wp:posOffset>
          </wp:positionH>
          <wp:positionV relativeFrom="paragraph">
            <wp:posOffset>-117472</wp:posOffset>
          </wp:positionV>
          <wp:extent cx="7809865" cy="1016571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595" w:type="dxa"/>
      <w:tblInd w:w="3611" w:type="dxa"/>
      <w:tblLayout w:type="fixed"/>
      <w:tblLook w:val="0400" w:firstRow="0" w:lastRow="0" w:firstColumn="0" w:lastColumn="0" w:noHBand="0" w:noVBand="1"/>
    </w:tblPr>
    <w:tblGrid>
      <w:gridCol w:w="2565"/>
      <w:gridCol w:w="3030"/>
    </w:tblGrid>
    <w:tr w:rsidR="00B41C6D" w14:paraId="03F32E27" w14:textId="77777777">
      <w:tc>
        <w:tcPr>
          <w:tcW w:w="2565" w:type="dxa"/>
          <w:vAlign w:val="center"/>
        </w:tcPr>
        <w:p w14:paraId="47514335"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30" w:type="dxa"/>
          <w:vAlign w:val="center"/>
        </w:tcPr>
        <w:p w14:paraId="138C2EFC"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06709/INFOEM/IP/RR/2025</w:t>
          </w:r>
        </w:p>
      </w:tc>
    </w:tr>
    <w:tr w:rsidR="00B41C6D" w14:paraId="48261922" w14:textId="77777777">
      <w:tc>
        <w:tcPr>
          <w:tcW w:w="2565" w:type="dxa"/>
          <w:vAlign w:val="center"/>
        </w:tcPr>
        <w:p w14:paraId="233E2EEA"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p w14:paraId="239A88F2" w14:textId="77777777" w:rsidR="00B41C6D" w:rsidRDefault="00B41C6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p>
      </w:tc>
      <w:tc>
        <w:tcPr>
          <w:tcW w:w="3030" w:type="dxa"/>
          <w:vAlign w:val="center"/>
        </w:tcPr>
        <w:p w14:paraId="7A847FC1" w14:textId="62055339" w:rsidR="00B41C6D" w:rsidRDefault="00793DD1" w:rsidP="00793DD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XXXXXXX XXXXXX XXXXXXX XXXXXX </w:t>
          </w:r>
        </w:p>
      </w:tc>
    </w:tr>
    <w:tr w:rsidR="00B41C6D" w14:paraId="733FAEAC" w14:textId="77777777">
      <w:trPr>
        <w:trHeight w:val="152"/>
      </w:trPr>
      <w:tc>
        <w:tcPr>
          <w:tcW w:w="2565" w:type="dxa"/>
          <w:vAlign w:val="center"/>
        </w:tcPr>
        <w:p w14:paraId="789EF74D" w14:textId="77777777" w:rsidR="00B41C6D" w:rsidRDefault="00724AD9">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30" w:type="dxa"/>
          <w:vAlign w:val="center"/>
        </w:tcPr>
        <w:p w14:paraId="05824FE5" w14:textId="77777777" w:rsidR="00B41C6D" w:rsidRDefault="00724AD9">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Poder Legislativo</w:t>
          </w:r>
        </w:p>
      </w:tc>
    </w:tr>
    <w:tr w:rsidR="00B41C6D" w14:paraId="381A916D" w14:textId="77777777">
      <w:tc>
        <w:tcPr>
          <w:tcW w:w="2565" w:type="dxa"/>
          <w:vAlign w:val="center"/>
        </w:tcPr>
        <w:p w14:paraId="6D1CFC4F"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30" w:type="dxa"/>
          <w:vAlign w:val="center"/>
        </w:tcPr>
        <w:p w14:paraId="0C085E69" w14:textId="77777777" w:rsidR="00B41C6D" w:rsidRDefault="00724AD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E49CDAC" w14:textId="77777777" w:rsidR="00B41C6D" w:rsidRDefault="00724AD9">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B3A21"/>
    <w:multiLevelType w:val="multilevel"/>
    <w:tmpl w:val="8864DADA"/>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A75EC6"/>
    <w:multiLevelType w:val="multilevel"/>
    <w:tmpl w:val="23640ADE"/>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47380A"/>
    <w:multiLevelType w:val="multilevel"/>
    <w:tmpl w:val="0F4E737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1911C8"/>
    <w:multiLevelType w:val="multilevel"/>
    <w:tmpl w:val="93301E3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6D"/>
    <w:rsid w:val="005B06EA"/>
    <w:rsid w:val="00724AD9"/>
    <w:rsid w:val="00793DD1"/>
    <w:rsid w:val="00B41C6D"/>
    <w:rsid w:val="00D541A9"/>
    <w:rsid w:val="00D87E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47E52"/>
  <w15:docId w15:val="{6945D0A0-18E7-47E3-9A25-B322F4C8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067EB"/>
    <w:pPr>
      <w:spacing w:before="100" w:beforeAutospacing="1" w:after="100" w:afterAutospacing="1" w:line="240" w:lineRule="auto"/>
    </w:pPr>
    <w:rPr>
      <w:rFonts w:ascii="Times New Roman" w:hAnsi="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Ax+JREG8cRS0gRGxZTY0vXrCQ==">CgMxLjAyCWguMzBqMHpsbDgAciExeWtuNVlfWlFNekVGZlFfdzNKQ2ZDMXQxVHpSeFBXdzQ=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4531</Words>
  <Characters>24922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2025-11-14T18:46:00Z</cp:lastPrinted>
  <dcterms:created xsi:type="dcterms:W3CDTF">2025-12-10T21:47:00Z</dcterms:created>
  <dcterms:modified xsi:type="dcterms:W3CDTF">2025-12-10T21:47:00Z</dcterms:modified>
</cp:coreProperties>
</file>