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2B727"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veintidós de octubre de dos mil veinticinco. </w:t>
      </w:r>
    </w:p>
    <w:p w14:paraId="1F294E34" w14:textId="77777777" w:rsidR="00531191" w:rsidRPr="00681A91" w:rsidRDefault="00531191">
      <w:pPr>
        <w:spacing w:after="0" w:line="360" w:lineRule="auto"/>
        <w:ind w:right="49"/>
        <w:jc w:val="center"/>
        <w:rPr>
          <w:rFonts w:ascii="Palatino Linotype" w:eastAsia="Palatino Linotype" w:hAnsi="Palatino Linotype" w:cs="Palatino Linotype"/>
        </w:rPr>
      </w:pPr>
    </w:p>
    <w:p w14:paraId="0EA9DE43" w14:textId="7749BC1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Visto el expediente relativo al recurso de revisión </w:t>
      </w:r>
      <w:r w:rsidRPr="00681A91">
        <w:rPr>
          <w:rFonts w:ascii="Palatino Linotype" w:eastAsia="Palatino Linotype" w:hAnsi="Palatino Linotype" w:cs="Palatino Linotype"/>
          <w:b/>
        </w:rPr>
        <w:t>08774/INFOEM/IP/RR/2025</w:t>
      </w:r>
      <w:r w:rsidRPr="00681A91">
        <w:rPr>
          <w:rFonts w:ascii="Palatino Linotype" w:eastAsia="Palatino Linotype" w:hAnsi="Palatino Linotype" w:cs="Palatino Linotype"/>
        </w:rPr>
        <w:t xml:space="preserve">, interpuesto por </w:t>
      </w:r>
      <w:r w:rsidR="003B5F3F">
        <w:rPr>
          <w:rFonts w:ascii="Palatino Linotype" w:eastAsia="Palatino Linotype" w:hAnsi="Palatino Linotype" w:cs="Palatino Linotype"/>
          <w:b/>
        </w:rPr>
        <w:t>XXX</w:t>
      </w:r>
      <w:bookmarkStart w:id="0" w:name="_GoBack"/>
      <w:bookmarkEnd w:id="0"/>
      <w:r w:rsidRPr="00681A91">
        <w:rPr>
          <w:rFonts w:ascii="Palatino Linotype" w:eastAsia="Palatino Linotype" w:hAnsi="Palatino Linotype" w:cs="Palatino Linotype"/>
        </w:rPr>
        <w:t xml:space="preserve">, al cual en lo sucesivo se le denominará la parte </w:t>
      </w:r>
      <w:r w:rsidRPr="00681A91">
        <w:rPr>
          <w:rFonts w:ascii="Palatino Linotype" w:eastAsia="Palatino Linotype" w:hAnsi="Palatino Linotype" w:cs="Palatino Linotype"/>
          <w:b/>
        </w:rPr>
        <w:t>Recurrente</w:t>
      </w:r>
      <w:r w:rsidRPr="00681A91">
        <w:rPr>
          <w:rFonts w:ascii="Palatino Linotype" w:eastAsia="Palatino Linotype" w:hAnsi="Palatino Linotype" w:cs="Palatino Linotype"/>
        </w:rPr>
        <w:t xml:space="preserve">, en contra de la respuesta a su solicitud de información identificada con número de folio </w:t>
      </w:r>
      <w:r w:rsidRPr="00681A91">
        <w:rPr>
          <w:rFonts w:ascii="Palatino Linotype" w:eastAsia="Palatino Linotype" w:hAnsi="Palatino Linotype" w:cs="Palatino Linotype"/>
          <w:b/>
        </w:rPr>
        <w:t>00372/SMOV/IP/2025</w:t>
      </w:r>
      <w:r w:rsidRPr="00681A91">
        <w:rPr>
          <w:rFonts w:ascii="Palatino Linotype" w:eastAsia="Palatino Linotype" w:hAnsi="Palatino Linotype" w:cs="Palatino Linotype"/>
        </w:rPr>
        <w:t xml:space="preserve"> proporcionada por parte de la </w:t>
      </w:r>
      <w:r w:rsidRPr="00681A91">
        <w:rPr>
          <w:rFonts w:ascii="Palatino Linotype" w:eastAsia="Palatino Linotype" w:hAnsi="Palatino Linotype" w:cs="Palatino Linotype"/>
          <w:b/>
        </w:rPr>
        <w:t>Secretaría de Movilidad</w:t>
      </w:r>
      <w:r w:rsidRPr="00681A91">
        <w:rPr>
          <w:rFonts w:ascii="Palatino Linotype" w:eastAsia="Palatino Linotype" w:hAnsi="Palatino Linotype" w:cs="Palatino Linotype"/>
        </w:rPr>
        <w:t xml:space="preserve">, en lo sucesivo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se procede a dictar la presente resolución, con base en los siguientes:</w:t>
      </w:r>
    </w:p>
    <w:p w14:paraId="25C05AC0" w14:textId="77777777" w:rsidR="00531191" w:rsidRPr="00681A91" w:rsidRDefault="00531191">
      <w:pPr>
        <w:spacing w:after="0" w:line="360" w:lineRule="auto"/>
        <w:ind w:right="49"/>
        <w:jc w:val="both"/>
        <w:rPr>
          <w:rFonts w:ascii="Palatino Linotype" w:eastAsia="Palatino Linotype" w:hAnsi="Palatino Linotype" w:cs="Palatino Linotype"/>
        </w:rPr>
      </w:pPr>
    </w:p>
    <w:p w14:paraId="5F664A3F" w14:textId="77777777" w:rsidR="00531191" w:rsidRPr="00681A91" w:rsidRDefault="005948C5">
      <w:pPr>
        <w:spacing w:after="0" w:line="360" w:lineRule="auto"/>
        <w:ind w:right="49"/>
        <w:jc w:val="center"/>
        <w:rPr>
          <w:rFonts w:ascii="Palatino Linotype" w:eastAsia="Palatino Linotype" w:hAnsi="Palatino Linotype" w:cs="Palatino Linotype"/>
          <w:b/>
        </w:rPr>
      </w:pPr>
      <w:r w:rsidRPr="00681A91">
        <w:rPr>
          <w:rFonts w:ascii="Palatino Linotype" w:eastAsia="Palatino Linotype" w:hAnsi="Palatino Linotype" w:cs="Palatino Linotype"/>
          <w:b/>
        </w:rPr>
        <w:t>I.</w:t>
      </w:r>
      <w:r w:rsidRPr="00681A91">
        <w:rPr>
          <w:rFonts w:ascii="Palatino Linotype" w:eastAsia="Palatino Linotype" w:hAnsi="Palatino Linotype" w:cs="Palatino Linotype"/>
          <w:b/>
        </w:rPr>
        <w:tab/>
        <w:t>A N T E C E D E N T E S</w:t>
      </w:r>
    </w:p>
    <w:p w14:paraId="723B2C33" w14:textId="77777777" w:rsidR="00531191" w:rsidRPr="00681A91" w:rsidRDefault="00531191">
      <w:pPr>
        <w:spacing w:after="0" w:line="360" w:lineRule="auto"/>
        <w:ind w:right="49"/>
        <w:jc w:val="both"/>
        <w:rPr>
          <w:rFonts w:ascii="Palatino Linotype" w:eastAsia="Palatino Linotype" w:hAnsi="Palatino Linotype" w:cs="Palatino Linotype"/>
        </w:rPr>
      </w:pPr>
    </w:p>
    <w:p w14:paraId="631B8E25" w14:textId="77777777" w:rsidR="00531191" w:rsidRPr="00681A91" w:rsidRDefault="005948C5">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681A91">
        <w:rPr>
          <w:rFonts w:ascii="Palatino Linotype" w:eastAsia="Palatino Linotype" w:hAnsi="Palatino Linotype" w:cs="Palatino Linotype"/>
          <w:b/>
        </w:rPr>
        <w:t>Solicitud de acceso a la información.</w:t>
      </w:r>
      <w:r w:rsidRPr="00681A91">
        <w:rPr>
          <w:rFonts w:ascii="Palatino Linotype" w:eastAsia="Palatino Linotype" w:hAnsi="Palatino Linotype" w:cs="Palatino Linotype"/>
        </w:rPr>
        <w:t xml:space="preserve"> Con fecha </w:t>
      </w:r>
      <w:r w:rsidRPr="00681A91">
        <w:rPr>
          <w:rFonts w:ascii="Palatino Linotype" w:eastAsia="Palatino Linotype" w:hAnsi="Palatino Linotype" w:cs="Palatino Linotype"/>
          <w:b/>
        </w:rPr>
        <w:t>veinte de junio de dos mil veinticinco</w:t>
      </w:r>
      <w:r w:rsidRPr="00681A91">
        <w:rPr>
          <w:rFonts w:ascii="Palatino Linotype" w:eastAsia="Palatino Linotype" w:hAnsi="Palatino Linotype" w:cs="Palatino Linotype"/>
        </w:rPr>
        <w:t xml:space="preserve">, la parte </w:t>
      </w:r>
      <w:r w:rsidRPr="00681A91">
        <w:rPr>
          <w:rFonts w:ascii="Palatino Linotype" w:eastAsia="Palatino Linotype" w:hAnsi="Palatino Linotype" w:cs="Palatino Linotype"/>
          <w:b/>
        </w:rPr>
        <w:t>Recurrente</w:t>
      </w:r>
      <w:r w:rsidRPr="00681A91">
        <w:rPr>
          <w:rFonts w:ascii="Palatino Linotype" w:eastAsia="Palatino Linotype" w:hAnsi="Palatino Linotype" w:cs="Palatino Linotype"/>
        </w:rPr>
        <w:t xml:space="preserve"> formuló solicitud de acceso a información pública al</w:t>
      </w:r>
      <w:r w:rsidRPr="00681A91">
        <w:rPr>
          <w:rFonts w:ascii="Palatino Linotype" w:eastAsia="Palatino Linotype" w:hAnsi="Palatino Linotype" w:cs="Palatino Linotype"/>
          <w:b/>
        </w:rPr>
        <w:t xml:space="preserve"> Sujeto Obligado</w:t>
      </w:r>
      <w:r w:rsidRPr="00681A91">
        <w:rPr>
          <w:rFonts w:ascii="Palatino Linotype" w:eastAsia="Palatino Linotype" w:hAnsi="Palatino Linotype" w:cs="Palatino Linotype"/>
        </w:rPr>
        <w:t xml:space="preserve"> a través del Sistema de Acceso a la Información Mexiquense, en adelante SAIMEX, en la que requirió lo siguiente: </w:t>
      </w:r>
    </w:p>
    <w:p w14:paraId="332917C1" w14:textId="77777777" w:rsidR="00531191" w:rsidRPr="00681A91" w:rsidRDefault="00531191">
      <w:pPr>
        <w:tabs>
          <w:tab w:val="left" w:pos="1530"/>
        </w:tabs>
        <w:spacing w:after="0" w:line="360" w:lineRule="auto"/>
        <w:ind w:right="49"/>
        <w:jc w:val="both"/>
        <w:rPr>
          <w:rFonts w:ascii="Palatino Linotype" w:eastAsia="Palatino Linotype" w:hAnsi="Palatino Linotype" w:cs="Palatino Linotype"/>
        </w:rPr>
      </w:pPr>
    </w:p>
    <w:p w14:paraId="4A8119AF" w14:textId="77777777" w:rsidR="00531191" w:rsidRPr="00681A91" w:rsidRDefault="005948C5">
      <w:pPr>
        <w:spacing w:after="0"/>
        <w:ind w:left="851" w:right="843"/>
        <w:jc w:val="both"/>
        <w:rPr>
          <w:rFonts w:ascii="Palatino Linotype" w:eastAsia="Palatino Linotype" w:hAnsi="Palatino Linotype" w:cs="Palatino Linotype"/>
          <w:i/>
        </w:rPr>
      </w:pPr>
      <w:bookmarkStart w:id="1" w:name="_heading=h.30j0zll" w:colFirst="0" w:colLast="0"/>
      <w:bookmarkEnd w:id="1"/>
      <w:r w:rsidRPr="00681A91">
        <w:rPr>
          <w:rFonts w:ascii="Palatino Linotype" w:eastAsia="Palatino Linotype" w:hAnsi="Palatino Linotype" w:cs="Palatino Linotype"/>
          <w:i/>
        </w:rPr>
        <w:t xml:space="preserve">“SOLICITO SABER EL PERSONAL DE CONFIANZA DE TODOS LOS PUESTOS LIDERES DE PROYECTO Y OPERADORES DE PROYECTO DE TRANSPORTE QUE ESTA EN LA SECRETARIA DE MOVILIDAD QUE ESTABA EN EL MES DE JULIO A DICIEMBRE DEL AÑO 2024 ASI COMO SU SUELDO DERIVADO A QUE NO ESTA PUBLICADO EN SU PAGINA DE IPOMEX”. </w:t>
      </w:r>
    </w:p>
    <w:p w14:paraId="55C32EDB" w14:textId="77777777" w:rsidR="00531191" w:rsidRPr="00681A91" w:rsidRDefault="005948C5">
      <w:pPr>
        <w:spacing w:after="0"/>
        <w:ind w:left="567" w:right="560"/>
        <w:jc w:val="both"/>
        <w:rPr>
          <w:rFonts w:ascii="Palatino Linotype" w:eastAsia="Palatino Linotype" w:hAnsi="Palatino Linotype" w:cs="Palatino Linotype"/>
          <w:i/>
        </w:rPr>
      </w:pPr>
      <w:r w:rsidRPr="00681A91">
        <w:rPr>
          <w:rFonts w:ascii="Palatino Linotype" w:eastAsia="Palatino Linotype" w:hAnsi="Palatino Linotype" w:cs="Palatino Linotype"/>
          <w:i/>
        </w:rPr>
        <w:t xml:space="preserve"> </w:t>
      </w:r>
    </w:p>
    <w:p w14:paraId="3BE9710F"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b/>
        </w:rPr>
        <w:t>Modalidad elegida para la entrega de la información:</w:t>
      </w:r>
      <w:r w:rsidRPr="00681A91">
        <w:rPr>
          <w:rFonts w:ascii="Palatino Linotype" w:eastAsia="Palatino Linotype" w:hAnsi="Palatino Linotype" w:cs="Palatino Linotype"/>
        </w:rPr>
        <w:t xml:space="preserve"> a través del Sistema de Acceso a la Información Mexiquense (SAIMEX). </w:t>
      </w:r>
    </w:p>
    <w:p w14:paraId="05A31CB4" w14:textId="77777777" w:rsidR="00531191" w:rsidRPr="00681A91" w:rsidRDefault="00531191">
      <w:pPr>
        <w:spacing w:after="0" w:line="360" w:lineRule="auto"/>
        <w:ind w:right="49"/>
        <w:jc w:val="both"/>
        <w:rPr>
          <w:rFonts w:ascii="Palatino Linotype" w:eastAsia="Palatino Linotype" w:hAnsi="Palatino Linotype" w:cs="Palatino Linotype"/>
        </w:rPr>
      </w:pPr>
    </w:p>
    <w:p w14:paraId="5D90C71B" w14:textId="77777777" w:rsidR="00531191" w:rsidRPr="00681A91" w:rsidRDefault="005948C5">
      <w:pPr>
        <w:numPr>
          <w:ilvl w:val="0"/>
          <w:numId w:val="5"/>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rPr>
      </w:pPr>
      <w:r w:rsidRPr="00681A91">
        <w:rPr>
          <w:rFonts w:ascii="Palatino Linotype" w:eastAsia="Palatino Linotype" w:hAnsi="Palatino Linotype" w:cs="Palatino Linotype"/>
          <w:b/>
        </w:rPr>
        <w:lastRenderedPageBreak/>
        <w:t xml:space="preserve">Respuesta. </w:t>
      </w:r>
      <w:r w:rsidRPr="00681A91">
        <w:rPr>
          <w:rFonts w:ascii="Palatino Linotype" w:eastAsia="Palatino Linotype" w:hAnsi="Palatino Linotype" w:cs="Palatino Linotype"/>
        </w:rPr>
        <w:t xml:space="preserve">En fecha </w:t>
      </w:r>
      <w:r w:rsidRPr="00681A91">
        <w:rPr>
          <w:rFonts w:ascii="Palatino Linotype" w:eastAsia="Palatino Linotype" w:hAnsi="Palatino Linotype" w:cs="Palatino Linotype"/>
          <w:b/>
        </w:rPr>
        <w:t>nueve de julio de dos mil veinticinco</w:t>
      </w:r>
      <w:r w:rsidRPr="00681A91">
        <w:rPr>
          <w:rFonts w:ascii="Palatino Linotype" w:eastAsia="Palatino Linotype" w:hAnsi="Palatino Linotype" w:cs="Palatino Linotype"/>
        </w:rPr>
        <w:t xml:space="preserve">, el </w:t>
      </w:r>
      <w:r w:rsidRPr="00681A91">
        <w:rPr>
          <w:rFonts w:ascii="Palatino Linotype" w:eastAsia="Palatino Linotype" w:hAnsi="Palatino Linotype" w:cs="Palatino Linotype"/>
          <w:b/>
        </w:rPr>
        <w:t xml:space="preserve">SUJETO OBLIGADO </w:t>
      </w:r>
      <w:r w:rsidRPr="00681A91">
        <w:rPr>
          <w:rFonts w:ascii="Palatino Linotype" w:eastAsia="Palatino Linotype" w:hAnsi="Palatino Linotype" w:cs="Palatino Linotype"/>
        </w:rPr>
        <w:t xml:space="preserve">emitió respuesta a la solicitud de información, al tenor de lo siguiente: </w:t>
      </w:r>
    </w:p>
    <w:p w14:paraId="16334CF9" w14:textId="77777777" w:rsidR="00531191" w:rsidRPr="00681A91" w:rsidRDefault="00531191">
      <w:pPr>
        <w:spacing w:after="0" w:line="360" w:lineRule="auto"/>
        <w:ind w:left="567"/>
        <w:jc w:val="both"/>
        <w:rPr>
          <w:rFonts w:ascii="Palatino Linotype" w:eastAsia="Palatino Linotype" w:hAnsi="Palatino Linotype" w:cs="Palatino Linotype"/>
          <w:b/>
        </w:rPr>
      </w:pPr>
    </w:p>
    <w:p w14:paraId="491CB117" w14:textId="77777777" w:rsidR="00531191" w:rsidRPr="00681A91" w:rsidRDefault="005948C5">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C2A7E1" w14:textId="77777777" w:rsidR="00531191" w:rsidRPr="00681A91" w:rsidRDefault="005948C5">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Se anexa respuesta.</w:t>
      </w:r>
    </w:p>
    <w:p w14:paraId="02AF4B7E" w14:textId="77777777" w:rsidR="00531191" w:rsidRPr="00681A91" w:rsidRDefault="005948C5">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ATENTAMENTE</w:t>
      </w:r>
    </w:p>
    <w:p w14:paraId="19EFD1DB" w14:textId="77777777" w:rsidR="00531191" w:rsidRPr="00681A91" w:rsidRDefault="005948C5">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Lic. José Antonio Galicia Rivera.”</w:t>
      </w:r>
    </w:p>
    <w:p w14:paraId="20527111" w14:textId="77777777" w:rsidR="00531191" w:rsidRPr="00681A91" w:rsidRDefault="0053119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5C84DA1" w14:textId="77777777" w:rsidR="00531191" w:rsidRPr="00681A91" w:rsidRDefault="005948C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Asimismo, adjuntó a su respuesta el archivo que se describe a continuación: </w:t>
      </w:r>
    </w:p>
    <w:p w14:paraId="4056D2A9" w14:textId="77777777" w:rsidR="00531191" w:rsidRPr="00681A91" w:rsidRDefault="0053119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DDC6792" w14:textId="77777777" w:rsidR="00531191" w:rsidRPr="00681A91" w:rsidRDefault="005948C5">
      <w:pPr>
        <w:numPr>
          <w:ilvl w:val="0"/>
          <w:numId w:val="3"/>
        </w:numPr>
        <w:pBdr>
          <w:top w:val="nil"/>
          <w:left w:val="nil"/>
          <w:bottom w:val="nil"/>
          <w:right w:val="nil"/>
          <w:between w:val="nil"/>
        </w:pBdr>
        <w:spacing w:after="0" w:line="360" w:lineRule="auto"/>
        <w:ind w:right="843"/>
        <w:jc w:val="both"/>
        <w:rPr>
          <w:rFonts w:ascii="Palatino Linotype" w:eastAsia="Palatino Linotype" w:hAnsi="Palatino Linotype" w:cs="Palatino Linotype"/>
        </w:rPr>
      </w:pPr>
      <w:r w:rsidRPr="00681A91">
        <w:rPr>
          <w:rFonts w:ascii="Palatino Linotype" w:eastAsia="Palatino Linotype" w:hAnsi="Palatino Linotype" w:cs="Palatino Linotype"/>
          <w:b/>
          <w:i/>
        </w:rPr>
        <w:t>SAIMEX 2025 - 00372 CH.pdf</w:t>
      </w:r>
      <w:r w:rsidRPr="00681A91">
        <w:rPr>
          <w:rFonts w:ascii="Palatino Linotype" w:eastAsia="Palatino Linotype" w:hAnsi="Palatino Linotype" w:cs="Palatino Linotype"/>
        </w:rPr>
        <w:t xml:space="preserve">: Contiene lo siguiente:  </w:t>
      </w:r>
    </w:p>
    <w:p w14:paraId="6B7E457F" w14:textId="77777777" w:rsidR="00531191" w:rsidRPr="00681A91" w:rsidRDefault="005948C5">
      <w:pPr>
        <w:numPr>
          <w:ilvl w:val="0"/>
          <w:numId w:val="1"/>
        </w:numPr>
        <w:pBdr>
          <w:top w:val="nil"/>
          <w:left w:val="nil"/>
          <w:bottom w:val="nil"/>
          <w:right w:val="nil"/>
          <w:between w:val="nil"/>
        </w:pBdr>
        <w:spacing w:after="0" w:line="360" w:lineRule="auto"/>
        <w:ind w:right="843"/>
        <w:jc w:val="both"/>
        <w:rPr>
          <w:rFonts w:ascii="Palatino Linotype" w:eastAsia="Palatino Linotype" w:hAnsi="Palatino Linotype" w:cs="Palatino Linotype"/>
        </w:rPr>
      </w:pPr>
      <w:r w:rsidRPr="00681A91">
        <w:rPr>
          <w:rFonts w:ascii="Palatino Linotype" w:eastAsia="Palatino Linotype" w:hAnsi="Palatino Linotype" w:cs="Palatino Linotype"/>
        </w:rPr>
        <w:t>Oficio número 22000012000100S/3606/2025 de fecha primero de julio de dos mil veinticinco, signado por el Subdirector de Administración del Capital Humano, mediante el cual informó que en cuanto al puesto denominado "</w:t>
      </w:r>
      <w:r w:rsidRPr="00681A91">
        <w:rPr>
          <w:rFonts w:ascii="Palatino Linotype" w:eastAsia="Palatino Linotype" w:hAnsi="Palatino Linotype" w:cs="Palatino Linotype"/>
          <w:i/>
        </w:rPr>
        <w:t>LIDERES DE PROYECTO"</w:t>
      </w:r>
      <w:r w:rsidRPr="00681A91">
        <w:rPr>
          <w:rFonts w:ascii="Palatino Linotype" w:eastAsia="Palatino Linotype" w:hAnsi="Palatino Linotype" w:cs="Palatino Linotype"/>
        </w:rPr>
        <w:t>, no se encontró información que coincida con los criterios solicitados.</w:t>
      </w:r>
    </w:p>
    <w:p w14:paraId="663D03D5" w14:textId="77777777" w:rsidR="00531191" w:rsidRPr="00681A91" w:rsidRDefault="005948C5">
      <w:pPr>
        <w:pBdr>
          <w:top w:val="nil"/>
          <w:left w:val="nil"/>
          <w:bottom w:val="nil"/>
          <w:right w:val="nil"/>
          <w:between w:val="nil"/>
        </w:pBdr>
        <w:spacing w:after="0" w:line="360" w:lineRule="auto"/>
        <w:ind w:left="1440" w:right="843"/>
        <w:jc w:val="both"/>
        <w:rPr>
          <w:rFonts w:ascii="Palatino Linotype" w:eastAsia="Palatino Linotype" w:hAnsi="Palatino Linotype" w:cs="Palatino Linotype"/>
        </w:rPr>
      </w:pPr>
      <w:r w:rsidRPr="00681A91">
        <w:rPr>
          <w:rFonts w:ascii="Palatino Linotype" w:eastAsia="Palatino Linotype" w:hAnsi="Palatino Linotype" w:cs="Palatino Linotype"/>
        </w:rPr>
        <w:t>En cuanto a "OPERADORES DE PROYECTO DE TRANSPORTE", informó la entrega de la información correspondiente al personal que presta servicios mediante contrato individual de trabajo por tiempo determinado del 01 de julio al 27 de diciembre de 2024.</w:t>
      </w:r>
    </w:p>
    <w:p w14:paraId="4DC8F565" w14:textId="77777777" w:rsidR="00531191" w:rsidRPr="00681A91" w:rsidRDefault="005948C5">
      <w:pPr>
        <w:pBdr>
          <w:top w:val="nil"/>
          <w:left w:val="nil"/>
          <w:bottom w:val="nil"/>
          <w:right w:val="nil"/>
          <w:between w:val="nil"/>
        </w:pBdr>
        <w:spacing w:after="0" w:line="360" w:lineRule="auto"/>
        <w:ind w:left="1440" w:right="843"/>
        <w:jc w:val="both"/>
        <w:rPr>
          <w:rFonts w:ascii="Palatino Linotype" w:eastAsia="Palatino Linotype" w:hAnsi="Palatino Linotype" w:cs="Palatino Linotype"/>
        </w:rPr>
      </w:pPr>
      <w:r w:rsidRPr="00681A91">
        <w:rPr>
          <w:rFonts w:ascii="Palatino Linotype" w:eastAsia="Palatino Linotype" w:hAnsi="Palatino Linotype" w:cs="Palatino Linotype"/>
        </w:rPr>
        <w:t>Referente al "PERSONAL DE CONFIANZA", es información pública de oficio y se encuentra publicado en el Portal de Información Pública de Oficio Mexiquense (IPOMEX 4.0), Artículo 92, Estructura Organizacional, Fracción VIIA- REMUNERACIÓNES, que puede consultar en el siguiente enlace:</w:t>
      </w:r>
    </w:p>
    <w:p w14:paraId="317AF690" w14:textId="77777777" w:rsidR="00531191" w:rsidRPr="00681A91" w:rsidRDefault="005948C5">
      <w:pPr>
        <w:pBdr>
          <w:top w:val="nil"/>
          <w:left w:val="nil"/>
          <w:bottom w:val="nil"/>
          <w:right w:val="nil"/>
          <w:between w:val="nil"/>
        </w:pBdr>
        <w:spacing w:after="0" w:line="360" w:lineRule="auto"/>
        <w:ind w:left="1440" w:right="843"/>
        <w:jc w:val="both"/>
        <w:rPr>
          <w:rFonts w:ascii="Palatino Linotype" w:eastAsia="Palatino Linotype" w:hAnsi="Palatino Linotype" w:cs="Palatino Linotype"/>
        </w:rPr>
      </w:pPr>
      <w:r w:rsidRPr="00681A91">
        <w:rPr>
          <w:rFonts w:ascii="Palatino Linotype" w:eastAsia="Palatino Linotype" w:hAnsi="Palatino Linotype" w:cs="Palatino Linotype"/>
          <w:noProof/>
        </w:rPr>
        <w:lastRenderedPageBreak/>
        <w:drawing>
          <wp:inline distT="0" distB="0" distL="0" distR="0" wp14:anchorId="4B94C24E" wp14:editId="24EF0D05">
            <wp:extent cx="4503355" cy="392957"/>
            <wp:effectExtent l="0" t="0" r="0" b="0"/>
            <wp:docPr id="18163921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503355" cy="392957"/>
                    </a:xfrm>
                    <a:prstGeom prst="rect">
                      <a:avLst/>
                    </a:prstGeom>
                    <a:ln/>
                  </pic:spPr>
                </pic:pic>
              </a:graphicData>
            </a:graphic>
          </wp:inline>
        </w:drawing>
      </w:r>
    </w:p>
    <w:p w14:paraId="5551C81B" w14:textId="77777777" w:rsidR="00531191" w:rsidRPr="00681A91" w:rsidRDefault="003B5F3F">
      <w:pPr>
        <w:pBdr>
          <w:top w:val="nil"/>
          <w:left w:val="nil"/>
          <w:bottom w:val="nil"/>
          <w:right w:val="nil"/>
          <w:between w:val="nil"/>
        </w:pBdr>
        <w:spacing w:after="0" w:line="360" w:lineRule="auto"/>
        <w:ind w:left="1440" w:right="843"/>
        <w:jc w:val="both"/>
        <w:rPr>
          <w:rFonts w:ascii="Palatino Linotype" w:eastAsia="Palatino Linotype" w:hAnsi="Palatino Linotype" w:cs="Palatino Linotype"/>
        </w:rPr>
      </w:pPr>
      <w:hyperlink r:id="rId9" w:anchor="/info-fraccion/11/365/28">
        <w:r w:rsidR="005948C5" w:rsidRPr="00681A91">
          <w:rPr>
            <w:rFonts w:ascii="Palatino Linotype" w:eastAsia="Palatino Linotype" w:hAnsi="Palatino Linotype" w:cs="Palatino Linotype"/>
            <w:u w:val="single"/>
          </w:rPr>
          <w:t>https://infoem2.ipomex.org.mx/ipomex/#/info-fraccion/11/365/28</w:t>
        </w:r>
      </w:hyperlink>
      <w:r w:rsidR="005948C5" w:rsidRPr="00681A91">
        <w:rPr>
          <w:rFonts w:ascii="Palatino Linotype" w:eastAsia="Palatino Linotype" w:hAnsi="Palatino Linotype" w:cs="Palatino Linotype"/>
        </w:rPr>
        <w:t xml:space="preserve"> </w:t>
      </w:r>
    </w:p>
    <w:p w14:paraId="3D768CD3" w14:textId="77777777" w:rsidR="00531191" w:rsidRPr="00681A91" w:rsidRDefault="00531191">
      <w:pPr>
        <w:pBdr>
          <w:top w:val="nil"/>
          <w:left w:val="nil"/>
          <w:bottom w:val="nil"/>
          <w:right w:val="nil"/>
          <w:between w:val="nil"/>
        </w:pBdr>
        <w:spacing w:after="0" w:line="360" w:lineRule="auto"/>
        <w:ind w:left="720" w:right="843"/>
        <w:jc w:val="both"/>
        <w:rPr>
          <w:rFonts w:ascii="Palatino Linotype" w:eastAsia="Palatino Linotype" w:hAnsi="Palatino Linotype" w:cs="Palatino Linotype"/>
        </w:rPr>
      </w:pPr>
    </w:p>
    <w:p w14:paraId="08054C67" w14:textId="77777777" w:rsidR="00531191" w:rsidRPr="00681A91" w:rsidRDefault="005948C5">
      <w:pPr>
        <w:numPr>
          <w:ilvl w:val="0"/>
          <w:numId w:val="1"/>
        </w:numPr>
        <w:pBdr>
          <w:top w:val="nil"/>
          <w:left w:val="nil"/>
          <w:bottom w:val="nil"/>
          <w:right w:val="nil"/>
          <w:between w:val="nil"/>
        </w:pBdr>
        <w:spacing w:after="0" w:line="360" w:lineRule="auto"/>
        <w:ind w:right="843"/>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Listado de personal que presta sus servicios mediante contrato individual de trabajo por tiempo determinado, del 01 de julio al 27 de diciembre de 2024, con nombre, puesto, sueldo bruto y neto mensual. </w:t>
      </w:r>
    </w:p>
    <w:p w14:paraId="4E50C569" w14:textId="77777777" w:rsidR="00531191" w:rsidRPr="00681A91" w:rsidRDefault="0053119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0BB23D9E" w14:textId="77777777" w:rsidR="00531191" w:rsidRPr="00681A91" w:rsidRDefault="005948C5">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681A91">
        <w:rPr>
          <w:rFonts w:ascii="Palatino Linotype" w:eastAsia="Palatino Linotype" w:hAnsi="Palatino Linotype" w:cs="Palatino Linotype"/>
          <w:b/>
        </w:rPr>
        <w:t xml:space="preserve">Recurso de Revisión. </w:t>
      </w:r>
      <w:r w:rsidRPr="00681A91">
        <w:rPr>
          <w:rFonts w:ascii="Palatino Linotype" w:eastAsia="Palatino Linotype" w:hAnsi="Palatino Linotype" w:cs="Palatino Linotype"/>
        </w:rPr>
        <w:t xml:space="preserve">En fecha </w:t>
      </w:r>
      <w:r w:rsidRPr="00681A91">
        <w:rPr>
          <w:rFonts w:ascii="Palatino Linotype" w:eastAsia="Palatino Linotype" w:hAnsi="Palatino Linotype" w:cs="Palatino Linotype"/>
          <w:b/>
        </w:rPr>
        <w:t xml:space="preserve">dieciocho de julio de dos mil veinticinco </w:t>
      </w:r>
      <w:r w:rsidRPr="00681A91">
        <w:rPr>
          <w:rFonts w:ascii="Palatino Linotype" w:eastAsia="Palatino Linotype" w:hAnsi="Palatino Linotype" w:cs="Palatino Linotype"/>
        </w:rPr>
        <w:t xml:space="preserve">la persona Solicitante interpuso Recurso de Revisión a través del </w:t>
      </w:r>
      <w:r w:rsidRPr="00681A91">
        <w:rPr>
          <w:rFonts w:ascii="Palatino Linotype" w:eastAsia="Palatino Linotype" w:hAnsi="Palatino Linotype" w:cs="Palatino Linotype"/>
          <w:b/>
        </w:rPr>
        <w:t>SAIMEX</w:t>
      </w:r>
      <w:r w:rsidRPr="00681A91">
        <w:rPr>
          <w:rFonts w:ascii="Palatino Linotype" w:eastAsia="Palatino Linotype" w:hAnsi="Palatino Linotype" w:cs="Palatino Linotype"/>
        </w:rPr>
        <w:t>, a través del cual expresó lo siguiente:</w:t>
      </w:r>
    </w:p>
    <w:p w14:paraId="4FF27C29" w14:textId="77777777" w:rsidR="00531191" w:rsidRPr="00681A91" w:rsidRDefault="0053119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4921FB7" w14:textId="77777777" w:rsidR="00531191" w:rsidRPr="00681A91" w:rsidRDefault="005948C5">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r w:rsidRPr="00681A91">
        <w:rPr>
          <w:rFonts w:ascii="Palatino Linotype" w:eastAsia="Palatino Linotype" w:hAnsi="Palatino Linotype" w:cs="Palatino Linotype"/>
          <w:b/>
        </w:rPr>
        <w:t>Acto impugnado</w:t>
      </w:r>
      <w:r w:rsidRPr="00681A91">
        <w:rPr>
          <w:rFonts w:ascii="Palatino Linotype" w:eastAsia="Palatino Linotype" w:hAnsi="Palatino Linotype" w:cs="Palatino Linotype"/>
          <w:b/>
          <w:i/>
        </w:rPr>
        <w:t xml:space="preserve">. </w:t>
      </w:r>
      <w:r w:rsidRPr="00681A91">
        <w:rPr>
          <w:rFonts w:ascii="Palatino Linotype" w:eastAsia="Palatino Linotype" w:hAnsi="Palatino Linotype" w:cs="Palatino Linotype"/>
          <w:i/>
        </w:rPr>
        <w:t>“informacion incompleta”.</w:t>
      </w:r>
    </w:p>
    <w:p w14:paraId="14D77BC3" w14:textId="77777777" w:rsidR="00531191" w:rsidRPr="00681A91" w:rsidRDefault="00531191">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p>
    <w:p w14:paraId="29B397DF" w14:textId="77777777" w:rsidR="00531191" w:rsidRPr="00681A91" w:rsidRDefault="005948C5">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b/>
        </w:rPr>
        <w:t xml:space="preserve">Razones o motivos de la inconformidad: </w:t>
      </w:r>
      <w:r w:rsidRPr="00681A91">
        <w:rPr>
          <w:rFonts w:ascii="Palatino Linotype" w:eastAsia="Palatino Linotype" w:hAnsi="Palatino Linotype" w:cs="Palatino Linotype"/>
          <w:i/>
        </w:rPr>
        <w:t>“</w:t>
      </w:r>
      <w:r w:rsidRPr="00681A91">
        <w:rPr>
          <w:rFonts w:ascii="Palatino Linotype" w:eastAsia="Palatino Linotype" w:hAnsi="Palatino Linotype" w:cs="Palatino Linotype"/>
          <w:b/>
          <w:i/>
        </w:rPr>
        <w:t>informacion incompleta</w:t>
      </w:r>
      <w:r w:rsidRPr="00681A91">
        <w:rPr>
          <w:rFonts w:ascii="Palatino Linotype" w:eastAsia="Palatino Linotype" w:hAnsi="Palatino Linotype" w:cs="Palatino Linotype"/>
          <w:i/>
        </w:rPr>
        <w:t xml:space="preserve">”. </w:t>
      </w:r>
    </w:p>
    <w:p w14:paraId="69D60A0B" w14:textId="77777777" w:rsidR="00531191" w:rsidRPr="00681A91" w:rsidRDefault="00531191">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534C4580" w14:textId="77777777" w:rsidR="00531191" w:rsidRPr="00681A91" w:rsidRDefault="005948C5">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681A91">
        <w:rPr>
          <w:rFonts w:ascii="Palatino Linotype" w:eastAsia="Palatino Linotype" w:hAnsi="Palatino Linotype" w:cs="Palatino Linotype"/>
          <w:b/>
        </w:rPr>
        <w:t>Turno.</w:t>
      </w:r>
      <w:r w:rsidRPr="00681A91">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681A91">
        <w:rPr>
          <w:rFonts w:ascii="Palatino Linotype" w:eastAsia="Palatino Linotype" w:hAnsi="Palatino Linotype" w:cs="Palatino Linotype"/>
          <w:b/>
        </w:rPr>
        <w:t>08774/INFOEM/IP/RR/2025</w:t>
      </w:r>
      <w:r w:rsidRPr="00681A91">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301322DB" w14:textId="77777777" w:rsidR="00531191" w:rsidRPr="00681A91" w:rsidRDefault="0053119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92CFFDA" w14:textId="77777777" w:rsidR="00531191" w:rsidRPr="00681A91" w:rsidRDefault="005948C5">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681A91">
        <w:rPr>
          <w:rFonts w:ascii="Palatino Linotype" w:eastAsia="Palatino Linotype" w:hAnsi="Palatino Linotype" w:cs="Palatino Linotype"/>
          <w:b/>
        </w:rPr>
        <w:t>Admisión del recurso de revisión</w:t>
      </w:r>
      <w:r w:rsidRPr="00681A91">
        <w:rPr>
          <w:rFonts w:ascii="Palatino Linotype" w:eastAsia="Palatino Linotype" w:hAnsi="Palatino Linotype" w:cs="Palatino Linotype"/>
        </w:rPr>
        <w:t xml:space="preserve">: En fecha </w:t>
      </w:r>
      <w:r w:rsidRPr="00681A91">
        <w:rPr>
          <w:rFonts w:ascii="Palatino Linotype" w:eastAsia="Palatino Linotype" w:hAnsi="Palatino Linotype" w:cs="Palatino Linotype"/>
          <w:b/>
        </w:rPr>
        <w:t>seis de agosto de dos mil veinticinco</w:t>
      </w:r>
      <w:r w:rsidRPr="00681A91">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7E60354B" w14:textId="77777777" w:rsidR="00531191" w:rsidRPr="00681A91" w:rsidRDefault="00531191">
      <w:pPr>
        <w:pBdr>
          <w:top w:val="nil"/>
          <w:left w:val="nil"/>
          <w:bottom w:val="nil"/>
          <w:right w:val="nil"/>
          <w:between w:val="nil"/>
        </w:pBdr>
        <w:spacing w:after="0"/>
        <w:ind w:left="720"/>
        <w:rPr>
          <w:rFonts w:ascii="Palatino Linotype" w:eastAsia="Palatino Linotype" w:hAnsi="Palatino Linotype" w:cs="Palatino Linotype"/>
        </w:rPr>
      </w:pPr>
    </w:p>
    <w:p w14:paraId="4BE97C0D" w14:textId="77777777" w:rsidR="00531191" w:rsidRPr="00681A91" w:rsidRDefault="005948C5">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681A91">
        <w:rPr>
          <w:rFonts w:ascii="Palatino Linotype" w:eastAsia="Palatino Linotype" w:hAnsi="Palatino Linotype" w:cs="Palatino Linotype"/>
          <w:b/>
        </w:rPr>
        <w:t xml:space="preserve">Informe Justificado. </w:t>
      </w:r>
      <w:r w:rsidRPr="00681A91">
        <w:rPr>
          <w:rFonts w:ascii="Palatino Linotype" w:eastAsia="Palatino Linotype" w:hAnsi="Palatino Linotype" w:cs="Palatino Linotype"/>
        </w:rPr>
        <w:t xml:space="preserve">En fecha </w:t>
      </w:r>
      <w:r w:rsidRPr="00681A91">
        <w:rPr>
          <w:rFonts w:ascii="Palatino Linotype" w:eastAsia="Palatino Linotype" w:hAnsi="Palatino Linotype" w:cs="Palatino Linotype"/>
          <w:b/>
        </w:rPr>
        <w:t>veinte de agosto de dos mil veinticinco</w:t>
      </w:r>
      <w:r w:rsidRPr="00681A91">
        <w:rPr>
          <w:rFonts w:ascii="Palatino Linotype" w:eastAsia="Palatino Linotype" w:hAnsi="Palatino Linotype" w:cs="Palatino Linotype"/>
        </w:rPr>
        <w:t xml:space="preserve">, el </w:t>
      </w:r>
      <w:r w:rsidRPr="00681A91">
        <w:rPr>
          <w:rFonts w:ascii="Palatino Linotype" w:eastAsia="Palatino Linotype" w:hAnsi="Palatino Linotype" w:cs="Palatino Linotype"/>
          <w:b/>
        </w:rPr>
        <w:t xml:space="preserve">Sujeto Obligado </w:t>
      </w:r>
      <w:r w:rsidRPr="00681A91">
        <w:rPr>
          <w:rFonts w:ascii="Palatino Linotype" w:eastAsia="Palatino Linotype" w:hAnsi="Palatino Linotype" w:cs="Palatino Linotype"/>
        </w:rPr>
        <w:t xml:space="preserve">rindió su informe justificado, a través de los siguientes oficios: </w:t>
      </w:r>
    </w:p>
    <w:p w14:paraId="5748D7A9" w14:textId="77777777" w:rsidR="00531191" w:rsidRPr="00681A91" w:rsidRDefault="0053119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0865F8A" w14:textId="77777777" w:rsidR="00531191" w:rsidRPr="00681A91" w:rsidRDefault="005948C5">
      <w:pPr>
        <w:numPr>
          <w:ilvl w:val="0"/>
          <w:numId w:val="3"/>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Oficio número T-247/2025 de fecha cinco de agosto de dos mil veinticinco, signado por el Servidor Público Habilitado en materia de Transparencia, mediante el cual informó la entrega del oficio del Departamento de Registro de Incidencias en el que atiende lo expresado a través del recurso que nos ocupa, como anexo 1. </w:t>
      </w:r>
    </w:p>
    <w:p w14:paraId="5E0BEF3F" w14:textId="77777777" w:rsidR="00531191" w:rsidRPr="00681A91" w:rsidRDefault="005948C5">
      <w:pPr>
        <w:numPr>
          <w:ilvl w:val="0"/>
          <w:numId w:val="3"/>
        </w:numPr>
        <w:pBdr>
          <w:top w:val="nil"/>
          <w:left w:val="nil"/>
          <w:bottom w:val="nil"/>
          <w:right w:val="nil"/>
          <w:between w:val="nil"/>
        </w:pBdr>
        <w:spacing w:after="0" w:line="360" w:lineRule="auto"/>
        <w:ind w:right="560"/>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Oficio número numeral 22000012000101S/0171/2025, de fecha cuatro de agosto de dos mil veinticinco, signado por la Jefa de Departamento de Registro de Incidencias, en el que medularmente ratificó su respuesta inicial. </w:t>
      </w:r>
    </w:p>
    <w:p w14:paraId="0AE633FC" w14:textId="77777777" w:rsidR="00531191" w:rsidRPr="00681A91" w:rsidRDefault="00531191">
      <w:pPr>
        <w:pBdr>
          <w:top w:val="nil"/>
          <w:left w:val="nil"/>
          <w:bottom w:val="nil"/>
          <w:right w:val="nil"/>
          <w:between w:val="nil"/>
        </w:pBdr>
        <w:spacing w:after="0" w:line="360" w:lineRule="auto"/>
        <w:ind w:left="720" w:right="560"/>
        <w:jc w:val="both"/>
        <w:rPr>
          <w:rFonts w:ascii="Palatino Linotype" w:eastAsia="Palatino Linotype" w:hAnsi="Palatino Linotype" w:cs="Palatino Linotype"/>
        </w:rPr>
      </w:pPr>
    </w:p>
    <w:p w14:paraId="3C64F3D5" w14:textId="77777777" w:rsidR="00531191" w:rsidRPr="00681A91" w:rsidRDefault="005948C5">
      <w:pPr>
        <w:pBdr>
          <w:top w:val="nil"/>
          <w:left w:val="nil"/>
          <w:bottom w:val="nil"/>
          <w:right w:val="nil"/>
          <w:between w:val="nil"/>
        </w:pBdr>
        <w:tabs>
          <w:tab w:val="left" w:pos="8647"/>
        </w:tabs>
        <w:spacing w:after="0" w:line="360" w:lineRule="auto"/>
        <w:ind w:right="134"/>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Documento que se hizo del conocimiento de la parte Recurrente en fecha </w:t>
      </w:r>
      <w:r w:rsidRPr="00681A91">
        <w:rPr>
          <w:rFonts w:ascii="Palatino Linotype" w:eastAsia="Palatino Linotype" w:hAnsi="Palatino Linotype" w:cs="Palatino Linotype"/>
          <w:b/>
        </w:rPr>
        <w:t xml:space="preserve">catorce de octubre de dos mil veinticinco. </w:t>
      </w:r>
      <w:r w:rsidRPr="00681A91">
        <w:rPr>
          <w:rFonts w:ascii="Palatino Linotype" w:eastAsia="Palatino Linotype" w:hAnsi="Palatino Linotype" w:cs="Palatino Linotype"/>
        </w:rPr>
        <w:t xml:space="preserve">Mientras que la parte </w:t>
      </w:r>
      <w:r w:rsidRPr="00681A91">
        <w:rPr>
          <w:rFonts w:ascii="Palatino Linotype" w:eastAsia="Palatino Linotype" w:hAnsi="Palatino Linotype" w:cs="Palatino Linotype"/>
          <w:b/>
        </w:rPr>
        <w:t>Recurrente</w:t>
      </w:r>
      <w:r w:rsidRPr="00681A91">
        <w:rPr>
          <w:rFonts w:ascii="Palatino Linotype" w:eastAsia="Palatino Linotype" w:hAnsi="Palatino Linotype" w:cs="Palatino Linotype"/>
        </w:rPr>
        <w:t xml:space="preserve"> no realizó manifestaciones. </w:t>
      </w:r>
    </w:p>
    <w:p w14:paraId="07EB0F72" w14:textId="77777777" w:rsidR="00531191" w:rsidRPr="00681A91" w:rsidRDefault="00531191">
      <w:pPr>
        <w:pBdr>
          <w:top w:val="nil"/>
          <w:left w:val="nil"/>
          <w:bottom w:val="nil"/>
          <w:right w:val="nil"/>
          <w:between w:val="nil"/>
        </w:pBdr>
        <w:spacing w:after="0" w:line="360" w:lineRule="auto"/>
        <w:ind w:right="49"/>
        <w:rPr>
          <w:rFonts w:ascii="Palatino Linotype" w:eastAsia="Palatino Linotype" w:hAnsi="Palatino Linotype" w:cs="Palatino Linotype"/>
        </w:rPr>
      </w:pPr>
    </w:p>
    <w:p w14:paraId="5FBC2C74" w14:textId="77777777" w:rsidR="00531191" w:rsidRPr="00681A91" w:rsidRDefault="005948C5">
      <w:pPr>
        <w:numPr>
          <w:ilvl w:val="0"/>
          <w:numId w:val="5"/>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rPr>
      </w:pPr>
      <w:r w:rsidRPr="00681A91">
        <w:rPr>
          <w:rFonts w:ascii="Palatino Linotype" w:eastAsia="Palatino Linotype" w:hAnsi="Palatino Linotype" w:cs="Palatino Linotype"/>
          <w:b/>
        </w:rPr>
        <w:t>Ampliación de plazo:</w:t>
      </w:r>
      <w:r w:rsidRPr="00681A91">
        <w:rPr>
          <w:rFonts w:ascii="Palatino Linotype" w:eastAsia="Palatino Linotype" w:hAnsi="Palatino Linotype" w:cs="Palatino Linotype"/>
        </w:rPr>
        <w:t xml:space="preserve"> En fecha </w:t>
      </w:r>
      <w:r w:rsidRPr="00681A91">
        <w:rPr>
          <w:rFonts w:ascii="Palatino Linotype" w:eastAsia="Palatino Linotype" w:hAnsi="Palatino Linotype" w:cs="Palatino Linotype"/>
          <w:b/>
        </w:rPr>
        <w:t>catorce de octubre de dos mil veinticinco</w:t>
      </w:r>
      <w:r w:rsidRPr="00681A91">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1024624" w14:textId="77777777" w:rsidR="00531191" w:rsidRPr="00681A91" w:rsidRDefault="00531191">
      <w:pPr>
        <w:widowControl w:val="0"/>
        <w:spacing w:after="0" w:line="360" w:lineRule="auto"/>
        <w:jc w:val="both"/>
        <w:rPr>
          <w:rFonts w:ascii="Palatino Linotype" w:eastAsia="Palatino Linotype" w:hAnsi="Palatino Linotype" w:cs="Palatino Linotype"/>
        </w:rPr>
      </w:pPr>
    </w:p>
    <w:p w14:paraId="5F49B169" w14:textId="77777777" w:rsidR="00531191" w:rsidRPr="00681A91" w:rsidRDefault="005948C5">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927FD49" w14:textId="77777777" w:rsidR="00531191" w:rsidRPr="00681A91" w:rsidRDefault="00531191">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p>
    <w:p w14:paraId="7E2CA1D2"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149005C" w14:textId="77777777" w:rsidR="00531191" w:rsidRPr="00681A91" w:rsidRDefault="00531191">
      <w:pPr>
        <w:spacing w:after="0" w:line="360" w:lineRule="auto"/>
        <w:jc w:val="both"/>
        <w:rPr>
          <w:rFonts w:ascii="Palatino Linotype" w:eastAsia="Palatino Linotype" w:hAnsi="Palatino Linotype" w:cs="Palatino Linotype"/>
        </w:rPr>
      </w:pPr>
    </w:p>
    <w:p w14:paraId="389F81B2"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A3F4CF3" w14:textId="77777777" w:rsidR="00531191" w:rsidRPr="00681A91" w:rsidRDefault="00531191">
      <w:pPr>
        <w:spacing w:after="0" w:line="360" w:lineRule="auto"/>
        <w:jc w:val="both"/>
        <w:rPr>
          <w:rFonts w:ascii="Palatino Linotype" w:eastAsia="Palatino Linotype" w:hAnsi="Palatino Linotype" w:cs="Palatino Linotype"/>
        </w:rPr>
      </w:pPr>
    </w:p>
    <w:p w14:paraId="4977E476"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846912" w14:textId="77777777" w:rsidR="00531191" w:rsidRPr="00681A91" w:rsidRDefault="00531191">
      <w:pPr>
        <w:spacing w:after="0" w:line="360" w:lineRule="auto"/>
        <w:jc w:val="both"/>
        <w:rPr>
          <w:rFonts w:ascii="Palatino Linotype" w:eastAsia="Palatino Linotype" w:hAnsi="Palatino Linotype" w:cs="Palatino Linotype"/>
        </w:rPr>
      </w:pPr>
    </w:p>
    <w:p w14:paraId="4DBFA816" w14:textId="77777777" w:rsidR="00531191" w:rsidRPr="00681A91" w:rsidRDefault="005948C5">
      <w:pPr>
        <w:spacing w:after="0" w:line="360" w:lineRule="auto"/>
        <w:jc w:val="both"/>
        <w:rPr>
          <w:rFonts w:ascii="Palatino Linotype" w:eastAsia="Palatino Linotype" w:hAnsi="Palatino Linotype" w:cs="Palatino Linotype"/>
          <w:strike/>
        </w:rPr>
      </w:pPr>
      <w:r w:rsidRPr="00681A9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CA037F2" w14:textId="77777777" w:rsidR="00531191" w:rsidRPr="00681A91" w:rsidRDefault="00531191">
      <w:pPr>
        <w:spacing w:after="0" w:line="360" w:lineRule="auto"/>
        <w:jc w:val="both"/>
        <w:rPr>
          <w:rFonts w:ascii="Palatino Linotype" w:eastAsia="Palatino Linotype" w:hAnsi="Palatino Linotype" w:cs="Palatino Linotype"/>
        </w:rPr>
      </w:pPr>
    </w:p>
    <w:p w14:paraId="398F2498" w14:textId="77777777" w:rsidR="00531191" w:rsidRPr="00681A91" w:rsidRDefault="005948C5">
      <w:pPr>
        <w:numPr>
          <w:ilvl w:val="0"/>
          <w:numId w:val="6"/>
        </w:num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437BA15A" w14:textId="77777777" w:rsidR="00531191" w:rsidRPr="00681A91" w:rsidRDefault="005948C5">
      <w:pPr>
        <w:numPr>
          <w:ilvl w:val="0"/>
          <w:numId w:val="6"/>
        </w:num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Actividad Procesal del interesado. Acciones u omisiones del interesado.</w:t>
      </w:r>
    </w:p>
    <w:p w14:paraId="78E9D421" w14:textId="77777777" w:rsidR="00531191" w:rsidRPr="00681A91" w:rsidRDefault="005948C5">
      <w:pPr>
        <w:numPr>
          <w:ilvl w:val="0"/>
          <w:numId w:val="6"/>
        </w:num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Conducta de la Autoridad: Las Acciones u omisiones realizadas en el procedimiento. Así como si la autoridad actuó con la debida diligencia.</w:t>
      </w:r>
    </w:p>
    <w:p w14:paraId="3D7BFF68" w14:textId="77777777" w:rsidR="00531191" w:rsidRPr="00681A91" w:rsidRDefault="005948C5">
      <w:pPr>
        <w:numPr>
          <w:ilvl w:val="0"/>
          <w:numId w:val="6"/>
        </w:num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590217B7" w14:textId="77777777" w:rsidR="00531191" w:rsidRPr="00681A91" w:rsidRDefault="00531191">
      <w:pPr>
        <w:spacing w:after="0" w:line="360" w:lineRule="auto"/>
        <w:jc w:val="both"/>
        <w:rPr>
          <w:rFonts w:ascii="Palatino Linotype" w:eastAsia="Palatino Linotype" w:hAnsi="Palatino Linotype" w:cs="Palatino Linotype"/>
        </w:rPr>
      </w:pPr>
    </w:p>
    <w:p w14:paraId="4054A6A4"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A89AF48" w14:textId="77777777" w:rsidR="00531191" w:rsidRPr="00681A91" w:rsidRDefault="00531191">
      <w:pPr>
        <w:spacing w:after="0" w:line="360" w:lineRule="auto"/>
        <w:jc w:val="both"/>
        <w:rPr>
          <w:rFonts w:ascii="Palatino Linotype" w:eastAsia="Palatino Linotype" w:hAnsi="Palatino Linotype" w:cs="Palatino Linotype"/>
        </w:rPr>
      </w:pPr>
    </w:p>
    <w:p w14:paraId="5F161E7E"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681A9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81A91">
        <w:rPr>
          <w:rFonts w:ascii="Palatino Linotype" w:eastAsia="Palatino Linotype" w:hAnsi="Palatino Linotype" w:cs="Palatino Linotype"/>
        </w:rPr>
        <w:t>, visible en la Gaceta del Seminario Judicial de la Federación con el registro digital 205635.</w:t>
      </w:r>
    </w:p>
    <w:p w14:paraId="6E9CB098" w14:textId="77777777" w:rsidR="00531191" w:rsidRPr="00681A91" w:rsidRDefault="00531191">
      <w:pPr>
        <w:spacing w:after="0" w:line="360" w:lineRule="auto"/>
        <w:jc w:val="both"/>
        <w:rPr>
          <w:rFonts w:ascii="Palatino Linotype" w:eastAsia="Palatino Linotype" w:hAnsi="Palatino Linotype" w:cs="Palatino Linotype"/>
        </w:rPr>
      </w:pPr>
    </w:p>
    <w:p w14:paraId="0C2FBBD8"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E46146E" w14:textId="77777777" w:rsidR="00531191" w:rsidRPr="00681A91" w:rsidRDefault="00531191">
      <w:pPr>
        <w:spacing w:after="0" w:line="360" w:lineRule="auto"/>
        <w:jc w:val="both"/>
        <w:rPr>
          <w:rFonts w:ascii="Palatino Linotype" w:eastAsia="Palatino Linotype" w:hAnsi="Palatino Linotype" w:cs="Palatino Linotype"/>
        </w:rPr>
      </w:pPr>
    </w:p>
    <w:p w14:paraId="018A73F7"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78F8074" w14:textId="77777777" w:rsidR="00531191" w:rsidRPr="00681A91" w:rsidRDefault="00531191">
      <w:pPr>
        <w:spacing w:after="0" w:line="360" w:lineRule="auto"/>
        <w:jc w:val="both"/>
        <w:rPr>
          <w:rFonts w:ascii="Palatino Linotype" w:eastAsia="Palatino Linotype" w:hAnsi="Palatino Linotype" w:cs="Palatino Linotype"/>
        </w:rPr>
      </w:pPr>
    </w:p>
    <w:p w14:paraId="173FC50D" w14:textId="77777777" w:rsidR="00531191" w:rsidRPr="00681A91" w:rsidRDefault="005948C5">
      <w:pPr>
        <w:spacing w:after="0" w:line="360" w:lineRule="auto"/>
        <w:ind w:left="567" w:right="616"/>
        <w:jc w:val="both"/>
        <w:rPr>
          <w:rFonts w:ascii="Palatino Linotype" w:eastAsia="Palatino Linotype" w:hAnsi="Palatino Linotype" w:cs="Palatino Linotype"/>
        </w:rPr>
      </w:pPr>
      <w:r w:rsidRPr="00681A91">
        <w:rPr>
          <w:rFonts w:ascii="Palatino Linotype" w:eastAsia="Palatino Linotype" w:hAnsi="Palatino Linotype" w:cs="Palatino Linotype"/>
          <w:b/>
        </w:rPr>
        <w:t xml:space="preserve"> </w:t>
      </w:r>
      <w:r w:rsidRPr="00681A91">
        <w:rPr>
          <w:rFonts w:ascii="Palatino Linotype" w:eastAsia="Palatino Linotype" w:hAnsi="Palatino Linotype" w:cs="Palatino Linotype"/>
          <w:b/>
          <w:i/>
        </w:rPr>
        <w:t>“PLAZO RAZONABLE PARA RESOLVER. DIMENSIÓN Y EFECTOS DE ESTE CONCEPTO CUANDO SE ADUCE EXCESIVA CARGA DE TRABAJO.”</w:t>
      </w:r>
      <w:r w:rsidRPr="00681A91">
        <w:rPr>
          <w:rFonts w:ascii="Palatino Linotype" w:eastAsia="Palatino Linotype" w:hAnsi="Palatino Linotype" w:cs="Palatino Linotype"/>
        </w:rPr>
        <w:t xml:space="preserve"> consultable en el Seminario Judicial de la Federación y su gaceta, con el registro digital 2002351.</w:t>
      </w:r>
    </w:p>
    <w:p w14:paraId="047739AD" w14:textId="77777777" w:rsidR="00531191" w:rsidRPr="00681A91" w:rsidRDefault="005948C5">
      <w:pPr>
        <w:spacing w:after="0" w:line="360" w:lineRule="auto"/>
        <w:ind w:left="567" w:right="616"/>
        <w:jc w:val="both"/>
        <w:rPr>
          <w:rFonts w:ascii="Palatino Linotype" w:eastAsia="Palatino Linotype" w:hAnsi="Palatino Linotype" w:cs="Palatino Linotype"/>
        </w:rPr>
      </w:pPr>
      <w:r w:rsidRPr="00681A91">
        <w:rPr>
          <w:rFonts w:ascii="Palatino Linotype" w:eastAsia="Palatino Linotype" w:hAnsi="Palatino Linotype" w:cs="Palatino Linotype"/>
          <w:b/>
          <w:i/>
        </w:rPr>
        <w:t>“PLAZO RAZONABLE PARA RESOLVER. CONCEPTO Y ELEMENTOS QUE LO INTEGRAN A LA LUZ DEL DERECHO INTERNACIONAL DE LOS DERECHOS HUMANOS</w:t>
      </w:r>
      <w:r w:rsidRPr="00681A91">
        <w:rPr>
          <w:rFonts w:ascii="Palatino Linotype" w:eastAsia="Palatino Linotype" w:hAnsi="Palatino Linotype" w:cs="Palatino Linotype"/>
          <w:i/>
        </w:rPr>
        <w:t>.”</w:t>
      </w:r>
      <w:r w:rsidRPr="00681A91">
        <w:rPr>
          <w:rFonts w:ascii="Palatino Linotype" w:eastAsia="Palatino Linotype" w:hAnsi="Palatino Linotype" w:cs="Palatino Linotype"/>
        </w:rPr>
        <w:t>, visible en el Seminario Judicial de la Federación y su gaceta, con el registro digital 2002350.</w:t>
      </w:r>
    </w:p>
    <w:p w14:paraId="6CEC4CEE" w14:textId="77777777" w:rsidR="00531191" w:rsidRPr="00681A91" w:rsidRDefault="00531191">
      <w:pPr>
        <w:spacing w:after="0" w:line="360" w:lineRule="auto"/>
        <w:ind w:left="567" w:right="616"/>
        <w:jc w:val="both"/>
        <w:rPr>
          <w:rFonts w:ascii="Palatino Linotype" w:eastAsia="Palatino Linotype" w:hAnsi="Palatino Linotype" w:cs="Palatino Linotype"/>
        </w:rPr>
      </w:pPr>
    </w:p>
    <w:p w14:paraId="4050314F"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5F807E70" w14:textId="77777777" w:rsidR="00531191" w:rsidRPr="00681A91" w:rsidRDefault="00531191">
      <w:pPr>
        <w:spacing w:after="0" w:line="360" w:lineRule="auto"/>
        <w:jc w:val="both"/>
        <w:rPr>
          <w:rFonts w:ascii="Palatino Linotype" w:eastAsia="Palatino Linotype" w:hAnsi="Palatino Linotype" w:cs="Palatino Linotype"/>
        </w:rPr>
      </w:pPr>
    </w:p>
    <w:p w14:paraId="5F7F6740" w14:textId="77777777" w:rsidR="00531191" w:rsidRPr="00681A91" w:rsidRDefault="005948C5">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681A91">
        <w:rPr>
          <w:rFonts w:ascii="Palatino Linotype" w:eastAsia="Palatino Linotype" w:hAnsi="Palatino Linotype" w:cs="Palatino Linotype"/>
          <w:b/>
        </w:rPr>
        <w:t>Cierre de instrucción</w:t>
      </w:r>
      <w:r w:rsidRPr="00681A91">
        <w:rPr>
          <w:rFonts w:ascii="Palatino Linotype" w:eastAsia="Palatino Linotype" w:hAnsi="Palatino Linotype" w:cs="Palatino Linotype"/>
        </w:rPr>
        <w:t xml:space="preserve">. En fecha </w:t>
      </w:r>
      <w:r w:rsidRPr="00681A91">
        <w:rPr>
          <w:rFonts w:ascii="Palatino Linotype" w:eastAsia="Palatino Linotype" w:hAnsi="Palatino Linotype" w:cs="Palatino Linotype"/>
          <w:b/>
        </w:rPr>
        <w:t>veinte de octubre de dos mil veinticinco</w:t>
      </w:r>
      <w:r w:rsidRPr="00681A9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5A8F6EA" w14:textId="77777777" w:rsidR="00531191" w:rsidRPr="00681A91" w:rsidRDefault="00531191">
      <w:pPr>
        <w:spacing w:after="0" w:line="360" w:lineRule="auto"/>
        <w:ind w:right="49"/>
        <w:jc w:val="both"/>
        <w:rPr>
          <w:rFonts w:ascii="Palatino Linotype" w:eastAsia="Palatino Linotype" w:hAnsi="Palatino Linotype" w:cs="Palatino Linotype"/>
        </w:rPr>
      </w:pPr>
    </w:p>
    <w:p w14:paraId="2E1541BB"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00876ACB" w14:textId="77777777" w:rsidR="00531191" w:rsidRPr="00681A91" w:rsidRDefault="00531191">
      <w:pPr>
        <w:spacing w:after="0" w:line="360" w:lineRule="auto"/>
        <w:ind w:right="49"/>
        <w:jc w:val="both"/>
        <w:rPr>
          <w:rFonts w:ascii="Palatino Linotype" w:eastAsia="Palatino Linotype" w:hAnsi="Palatino Linotype" w:cs="Palatino Linotype"/>
        </w:rPr>
      </w:pPr>
    </w:p>
    <w:p w14:paraId="6618A8A3" w14:textId="77777777" w:rsidR="00531191" w:rsidRPr="00681A91" w:rsidRDefault="005948C5">
      <w:pPr>
        <w:spacing w:after="0" w:line="360" w:lineRule="auto"/>
        <w:ind w:right="49"/>
        <w:jc w:val="center"/>
        <w:rPr>
          <w:rFonts w:ascii="Palatino Linotype" w:eastAsia="Palatino Linotype" w:hAnsi="Palatino Linotype" w:cs="Palatino Linotype"/>
          <w:b/>
        </w:rPr>
      </w:pPr>
      <w:r w:rsidRPr="00681A91">
        <w:rPr>
          <w:rFonts w:ascii="Palatino Linotype" w:eastAsia="Palatino Linotype" w:hAnsi="Palatino Linotype" w:cs="Palatino Linotype"/>
          <w:b/>
        </w:rPr>
        <w:t>II.</w:t>
      </w:r>
      <w:r w:rsidRPr="00681A91">
        <w:rPr>
          <w:rFonts w:ascii="Palatino Linotype" w:eastAsia="Palatino Linotype" w:hAnsi="Palatino Linotype" w:cs="Palatino Linotype"/>
          <w:b/>
        </w:rPr>
        <w:tab/>
        <w:t>C O N S I D E R A N D O:</w:t>
      </w:r>
    </w:p>
    <w:p w14:paraId="5B0A6C93" w14:textId="77777777" w:rsidR="00531191" w:rsidRPr="00681A91" w:rsidRDefault="00531191">
      <w:pPr>
        <w:spacing w:after="0" w:line="360" w:lineRule="auto"/>
        <w:ind w:right="49"/>
        <w:jc w:val="both"/>
        <w:rPr>
          <w:rFonts w:ascii="Palatino Linotype" w:eastAsia="Palatino Linotype" w:hAnsi="Palatino Linotype" w:cs="Palatino Linotype"/>
        </w:rPr>
      </w:pPr>
    </w:p>
    <w:p w14:paraId="39F43645"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b/>
        </w:rPr>
        <w:t xml:space="preserve">Primero. Competencia. </w:t>
      </w:r>
      <w:r w:rsidRPr="00681A91">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8D2BA00" w14:textId="77777777" w:rsidR="00531191" w:rsidRPr="00681A91" w:rsidRDefault="00531191">
      <w:pPr>
        <w:spacing w:after="0" w:line="360" w:lineRule="auto"/>
        <w:ind w:right="49"/>
        <w:jc w:val="both"/>
        <w:rPr>
          <w:rFonts w:ascii="Palatino Linotype" w:eastAsia="Palatino Linotype" w:hAnsi="Palatino Linotype" w:cs="Palatino Linotype"/>
        </w:rPr>
      </w:pPr>
    </w:p>
    <w:p w14:paraId="77367008"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b/>
        </w:rPr>
        <w:t>Segundo. Oportunidad y Procedibilidad del Recurso de Revisión</w:t>
      </w:r>
      <w:r w:rsidRPr="00681A91">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E74E188" w14:textId="77777777" w:rsidR="00531191" w:rsidRPr="00681A91" w:rsidRDefault="00531191">
      <w:pPr>
        <w:spacing w:after="0" w:line="360" w:lineRule="auto"/>
        <w:jc w:val="both"/>
        <w:rPr>
          <w:rFonts w:ascii="Palatino Linotype" w:eastAsia="Palatino Linotype" w:hAnsi="Palatino Linotype" w:cs="Palatino Linotype"/>
        </w:rPr>
      </w:pPr>
    </w:p>
    <w:p w14:paraId="64FD1DB5"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xml:space="preserve"> proporcionó su respuesta a la solicitud de información el </w:t>
      </w:r>
      <w:r w:rsidRPr="00681A91">
        <w:rPr>
          <w:rFonts w:ascii="Palatino Linotype" w:eastAsia="Palatino Linotype" w:hAnsi="Palatino Linotype" w:cs="Palatino Linotype"/>
          <w:b/>
        </w:rPr>
        <w:t>nueve de julio de dos mil veinticinco</w:t>
      </w:r>
      <w:r w:rsidRPr="00681A91">
        <w:rPr>
          <w:rFonts w:ascii="Palatino Linotype" w:eastAsia="Palatino Linotype" w:hAnsi="Palatino Linotype" w:cs="Palatino Linotype"/>
        </w:rPr>
        <w:t xml:space="preserve">, y la parte </w:t>
      </w:r>
      <w:r w:rsidRPr="00681A91">
        <w:rPr>
          <w:rFonts w:ascii="Palatino Linotype" w:eastAsia="Palatino Linotype" w:hAnsi="Palatino Linotype" w:cs="Palatino Linotype"/>
          <w:b/>
        </w:rPr>
        <w:t>RECURRENTE</w:t>
      </w:r>
      <w:r w:rsidRPr="00681A91">
        <w:rPr>
          <w:rFonts w:ascii="Palatino Linotype" w:eastAsia="Palatino Linotype" w:hAnsi="Palatino Linotype" w:cs="Palatino Linotype"/>
        </w:rPr>
        <w:t xml:space="preserve"> presentó su recurso de revisión el </w:t>
      </w:r>
      <w:r w:rsidRPr="00681A91">
        <w:rPr>
          <w:rFonts w:ascii="Palatino Linotype" w:eastAsia="Palatino Linotype" w:hAnsi="Palatino Linotype" w:cs="Palatino Linotype"/>
          <w:b/>
        </w:rPr>
        <w:t>dieciocho de julio de dos mil veinticinco</w:t>
      </w:r>
      <w:r w:rsidRPr="00681A91">
        <w:rPr>
          <w:rFonts w:ascii="Palatino Linotype" w:eastAsia="Palatino Linotype" w:hAnsi="Palatino Linotype" w:cs="Palatino Linotype"/>
        </w:rPr>
        <w:t xml:space="preserve">, esto es al séptimo día en que se tuvo conocimiento de la respuesta.  </w:t>
      </w:r>
    </w:p>
    <w:p w14:paraId="5D6999F8" w14:textId="77777777" w:rsidR="00531191" w:rsidRPr="00681A91" w:rsidRDefault="00531191">
      <w:pPr>
        <w:spacing w:after="0"/>
        <w:ind w:right="560"/>
        <w:jc w:val="both"/>
        <w:rPr>
          <w:rFonts w:ascii="Palatino Linotype" w:eastAsia="Palatino Linotype" w:hAnsi="Palatino Linotype" w:cs="Palatino Linotype"/>
          <w:i/>
        </w:rPr>
      </w:pPr>
    </w:p>
    <w:p w14:paraId="3744AA8B"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Es de suma importancia mencionar que, si bien, la parte no proporcionó un nombre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04F5C1A"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r w:rsidRPr="00681A91">
        <w:rPr>
          <w:rFonts w:ascii="Palatino Linotype" w:eastAsia="Palatino Linotype" w:hAnsi="Palatino Linotype" w:cs="Palatino Linotype"/>
          <w:b/>
          <w:i/>
        </w:rPr>
        <w:t>Las solicitudes anónimas</w:t>
      </w:r>
      <w:r w:rsidRPr="00681A91">
        <w:rPr>
          <w:rFonts w:ascii="Palatino Linotype" w:eastAsia="Palatino Linotype" w:hAnsi="Palatino Linotype" w:cs="Palatino Linotype"/>
          <w:i/>
        </w:rPr>
        <w:t xml:space="preserve">, </w:t>
      </w:r>
      <w:r w:rsidRPr="00681A91">
        <w:rPr>
          <w:rFonts w:ascii="Palatino Linotype" w:eastAsia="Palatino Linotype" w:hAnsi="Palatino Linotype" w:cs="Palatino Linotype"/>
          <w:b/>
          <w:i/>
        </w:rPr>
        <w:t>con nombre incompleto o seudónimo</w:t>
      </w:r>
      <w:r w:rsidRPr="00681A91">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proporcionado por el solicitante."</w:t>
      </w:r>
    </w:p>
    <w:p w14:paraId="5F8D47D5" w14:textId="77777777" w:rsidR="00531191" w:rsidRPr="00681A91" w:rsidRDefault="00531191">
      <w:pPr>
        <w:spacing w:after="0"/>
        <w:ind w:left="851" w:right="843"/>
        <w:jc w:val="both"/>
        <w:rPr>
          <w:rFonts w:ascii="Palatino Linotype" w:eastAsia="Palatino Linotype" w:hAnsi="Palatino Linotype" w:cs="Palatino Linotype"/>
          <w:i/>
        </w:rPr>
      </w:pPr>
    </w:p>
    <w:p w14:paraId="4A098FEB" w14:textId="77777777" w:rsidR="00531191" w:rsidRPr="00681A91" w:rsidRDefault="005948C5">
      <w:pPr>
        <w:spacing w:after="0" w:line="360" w:lineRule="auto"/>
        <w:ind w:right="49"/>
        <w:jc w:val="both"/>
        <w:rPr>
          <w:rFonts w:ascii="Palatino Linotype" w:eastAsia="Palatino Linotype" w:hAnsi="Palatino Linotype" w:cs="Palatino Linotype"/>
          <w:i/>
        </w:rPr>
      </w:pPr>
      <w:r w:rsidRPr="00681A91">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681A91">
        <w:rPr>
          <w:rFonts w:ascii="Palatino Linotype" w:eastAsia="Palatino Linotype" w:hAnsi="Palatino Linotype" w:cs="Palatino Linotype"/>
          <w:b/>
        </w:rPr>
        <w:t>SAIMEX</w:t>
      </w:r>
      <w:r w:rsidRPr="00681A91">
        <w:rPr>
          <w:rFonts w:ascii="Palatino Linotype" w:eastAsia="Palatino Linotype" w:hAnsi="Palatino Linotype" w:cs="Palatino Linotype"/>
        </w:rPr>
        <w:t xml:space="preserve">. </w:t>
      </w:r>
    </w:p>
    <w:p w14:paraId="6BE30688" w14:textId="77777777" w:rsidR="00531191" w:rsidRPr="00681A91" w:rsidRDefault="00531191">
      <w:pPr>
        <w:spacing w:after="0"/>
        <w:ind w:right="560"/>
        <w:jc w:val="both"/>
        <w:rPr>
          <w:rFonts w:ascii="Palatino Linotype" w:eastAsia="Palatino Linotype" w:hAnsi="Palatino Linotype" w:cs="Palatino Linotype"/>
          <w:i/>
        </w:rPr>
      </w:pPr>
    </w:p>
    <w:p w14:paraId="7F7E7947"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Asimismo, resulta procedente la interposición del recurso de revisión al rubro anotado, toda vez que se actualiza la hipótesis prevista en el artículo 179, fracción V de la ley de la materia, que a la letra dice:</w:t>
      </w:r>
    </w:p>
    <w:p w14:paraId="31FF8BF5" w14:textId="77777777" w:rsidR="00531191" w:rsidRPr="00681A91" w:rsidRDefault="00531191">
      <w:pPr>
        <w:spacing w:after="0" w:line="360" w:lineRule="auto"/>
        <w:jc w:val="both"/>
        <w:rPr>
          <w:rFonts w:ascii="Palatino Linotype" w:eastAsia="Palatino Linotype" w:hAnsi="Palatino Linotype" w:cs="Palatino Linotype"/>
        </w:rPr>
      </w:pPr>
    </w:p>
    <w:p w14:paraId="33A916E3"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r w:rsidRPr="00681A91">
        <w:rPr>
          <w:rFonts w:ascii="Palatino Linotype" w:eastAsia="Palatino Linotype" w:hAnsi="Palatino Linotype" w:cs="Palatino Linotype"/>
          <w:b/>
          <w:i/>
        </w:rPr>
        <w:t xml:space="preserve">Artículo 179. </w:t>
      </w:r>
      <w:r w:rsidRPr="00681A91">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78DFD6FB"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p>
    <w:p w14:paraId="3E475731"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V. La entrega de información incompleta;</w:t>
      </w:r>
    </w:p>
    <w:p w14:paraId="51E8BDF4"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 xml:space="preserve">…” </w:t>
      </w:r>
    </w:p>
    <w:p w14:paraId="68CC1A98" w14:textId="77777777" w:rsidR="00531191" w:rsidRPr="00681A91" w:rsidRDefault="00531191">
      <w:pPr>
        <w:spacing w:after="0" w:line="360" w:lineRule="auto"/>
        <w:ind w:left="567" w:right="616"/>
        <w:jc w:val="both"/>
        <w:rPr>
          <w:rFonts w:ascii="Palatino Linotype" w:eastAsia="Palatino Linotype" w:hAnsi="Palatino Linotype" w:cs="Palatino Linotype"/>
          <w:i/>
        </w:rPr>
      </w:pPr>
    </w:p>
    <w:p w14:paraId="79253B11"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b/>
        </w:rPr>
        <w:t>Tercero. Materia de Revisión</w:t>
      </w:r>
      <w:r w:rsidRPr="00681A91">
        <w:rPr>
          <w:rFonts w:ascii="Palatino Linotype" w:eastAsia="Palatino Linotype" w:hAnsi="Palatino Linotype" w:cs="Palatino Linotype"/>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14:paraId="2457F310" w14:textId="77777777" w:rsidR="00531191" w:rsidRPr="00681A91" w:rsidRDefault="00531191">
      <w:pPr>
        <w:spacing w:after="0" w:line="360" w:lineRule="auto"/>
        <w:jc w:val="both"/>
        <w:rPr>
          <w:rFonts w:ascii="Palatino Linotype" w:eastAsia="Palatino Linotype" w:hAnsi="Palatino Linotype" w:cs="Palatino Linotype"/>
        </w:rPr>
      </w:pPr>
    </w:p>
    <w:p w14:paraId="5D147844"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b/>
        </w:rPr>
        <w:t>Cuarto.</w:t>
      </w:r>
      <w:r w:rsidRPr="00681A91">
        <w:rPr>
          <w:rFonts w:ascii="Palatino Linotype" w:eastAsia="Palatino Linotype" w:hAnsi="Palatino Linotype" w:cs="Palatino Linotype"/>
        </w:rPr>
        <w:t xml:space="preserve"> </w:t>
      </w:r>
      <w:r w:rsidRPr="00681A91">
        <w:rPr>
          <w:rFonts w:ascii="Palatino Linotype" w:eastAsia="Palatino Linotype" w:hAnsi="Palatino Linotype" w:cs="Palatino Linotype"/>
          <w:b/>
        </w:rPr>
        <w:t>Estudio de fondo del asunto.</w:t>
      </w:r>
      <w:r w:rsidRPr="00681A91">
        <w:rPr>
          <w:rFonts w:ascii="Palatino Linotype" w:eastAsia="Palatino Linotype" w:hAnsi="Palatino Linotype" w:cs="Palatino Linotype"/>
        </w:rPr>
        <w:t xml:space="preserve">  Es conveniente analizar si la respuesta e informe justificado del Sujeto Obligado</w:t>
      </w:r>
      <w:r w:rsidRPr="00681A91">
        <w:rPr>
          <w:rFonts w:ascii="Palatino Linotype" w:eastAsia="Palatino Linotype" w:hAnsi="Palatino Linotype" w:cs="Palatino Linotype"/>
          <w:b/>
        </w:rPr>
        <w:t xml:space="preserve"> </w:t>
      </w:r>
      <w:r w:rsidRPr="00681A91">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5569F2B" w14:textId="77777777" w:rsidR="00531191" w:rsidRPr="00681A91" w:rsidRDefault="00531191">
      <w:pPr>
        <w:spacing w:after="0" w:line="360" w:lineRule="auto"/>
        <w:jc w:val="both"/>
        <w:rPr>
          <w:rFonts w:ascii="Palatino Linotype" w:eastAsia="Palatino Linotype" w:hAnsi="Palatino Linotype" w:cs="Palatino Linotype"/>
        </w:rPr>
      </w:pPr>
    </w:p>
    <w:p w14:paraId="172525FE" w14:textId="77777777" w:rsidR="00531191" w:rsidRPr="00681A91" w:rsidRDefault="005948C5">
      <w:pPr>
        <w:tabs>
          <w:tab w:val="left" w:pos="851"/>
        </w:tabs>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r w:rsidRPr="00681A91">
        <w:rPr>
          <w:rFonts w:ascii="Palatino Linotype" w:eastAsia="Palatino Linotype" w:hAnsi="Palatino Linotype" w:cs="Palatino Linotype"/>
          <w:b/>
          <w:i/>
        </w:rPr>
        <w:t>Artículo 4</w:t>
      </w:r>
      <w:r w:rsidRPr="00681A91">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72F2E02" w14:textId="77777777" w:rsidR="00531191" w:rsidRPr="00681A91" w:rsidRDefault="005948C5">
      <w:pPr>
        <w:tabs>
          <w:tab w:val="left" w:pos="851"/>
        </w:tabs>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681A91">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804C710" w14:textId="77777777" w:rsidR="00531191" w:rsidRPr="00681A91" w:rsidRDefault="005948C5">
      <w:pPr>
        <w:tabs>
          <w:tab w:val="left" w:pos="851"/>
        </w:tabs>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681A91">
        <w:rPr>
          <w:rFonts w:ascii="Palatino Linotype" w:eastAsia="Palatino Linotype" w:hAnsi="Palatino Linotype" w:cs="Palatino Linotype"/>
          <w:i/>
        </w:rPr>
        <w:t>.”</w:t>
      </w:r>
    </w:p>
    <w:p w14:paraId="2A557D77" w14:textId="77777777" w:rsidR="00531191" w:rsidRPr="00681A91" w:rsidRDefault="00531191">
      <w:pPr>
        <w:spacing w:after="0" w:line="360" w:lineRule="auto"/>
        <w:jc w:val="both"/>
        <w:rPr>
          <w:rFonts w:ascii="Palatino Linotype" w:eastAsia="Palatino Linotype" w:hAnsi="Palatino Linotype" w:cs="Palatino Linotype"/>
        </w:rPr>
      </w:pPr>
    </w:p>
    <w:p w14:paraId="2CBB111A"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F8BE83E" w14:textId="77777777" w:rsidR="00531191" w:rsidRPr="00681A91" w:rsidRDefault="00531191">
      <w:pPr>
        <w:spacing w:after="0"/>
        <w:ind w:left="567" w:right="616"/>
        <w:jc w:val="both"/>
        <w:rPr>
          <w:rFonts w:ascii="Palatino Linotype" w:eastAsia="Palatino Linotype" w:hAnsi="Palatino Linotype" w:cs="Palatino Linotype"/>
        </w:rPr>
      </w:pPr>
    </w:p>
    <w:p w14:paraId="5559452D"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r w:rsidRPr="00681A91">
        <w:rPr>
          <w:rFonts w:ascii="Palatino Linotype" w:eastAsia="Palatino Linotype" w:hAnsi="Palatino Linotype" w:cs="Palatino Linotype"/>
          <w:b/>
          <w:i/>
        </w:rPr>
        <w:t>Artículo 12.-</w:t>
      </w:r>
      <w:r w:rsidRPr="00681A91">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CBFA118" w14:textId="77777777" w:rsidR="00531191" w:rsidRPr="00681A91" w:rsidRDefault="00531191">
      <w:pPr>
        <w:spacing w:after="0"/>
        <w:ind w:left="851" w:right="843"/>
        <w:jc w:val="both"/>
        <w:rPr>
          <w:rFonts w:ascii="Palatino Linotype" w:eastAsia="Palatino Linotype" w:hAnsi="Palatino Linotype" w:cs="Palatino Linotype"/>
          <w:i/>
        </w:rPr>
      </w:pPr>
    </w:p>
    <w:p w14:paraId="3E93F614"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681A91">
        <w:rPr>
          <w:rFonts w:ascii="Palatino Linotype" w:eastAsia="Palatino Linotype" w:hAnsi="Palatino Linotype" w:cs="Palatino Linotype"/>
          <w:i/>
        </w:rPr>
        <w:t xml:space="preserve">. </w:t>
      </w:r>
      <w:r w:rsidRPr="00681A91">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r w:rsidRPr="00681A91">
        <w:rPr>
          <w:rFonts w:ascii="Palatino Linotype" w:eastAsia="Palatino Linotype" w:hAnsi="Palatino Linotype" w:cs="Palatino Linotype"/>
          <w:i/>
        </w:rPr>
        <w:t xml:space="preserve">.” </w:t>
      </w:r>
    </w:p>
    <w:p w14:paraId="4D54275F" w14:textId="77777777" w:rsidR="00531191" w:rsidRPr="00681A91" w:rsidRDefault="00531191">
      <w:pPr>
        <w:spacing w:after="0"/>
        <w:ind w:left="567" w:right="616"/>
        <w:jc w:val="both"/>
        <w:rPr>
          <w:rFonts w:ascii="Palatino Linotype" w:eastAsia="Palatino Linotype" w:hAnsi="Palatino Linotype" w:cs="Palatino Linotype"/>
          <w:i/>
        </w:rPr>
      </w:pPr>
    </w:p>
    <w:p w14:paraId="307733A4" w14:textId="77777777" w:rsidR="00531191" w:rsidRPr="00681A91" w:rsidRDefault="005948C5">
      <w:pPr>
        <w:spacing w:after="0" w:line="360" w:lineRule="auto"/>
        <w:ind w:right="-93"/>
        <w:jc w:val="both"/>
        <w:rPr>
          <w:rFonts w:ascii="Palatino Linotype" w:eastAsia="Palatino Linotype" w:hAnsi="Palatino Linotype" w:cs="Palatino Linotype"/>
        </w:rPr>
      </w:pPr>
      <w:r w:rsidRPr="00681A91">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6804E308" w14:textId="77777777" w:rsidR="00531191" w:rsidRPr="00681A91" w:rsidRDefault="00531191">
      <w:pPr>
        <w:spacing w:after="0" w:line="360" w:lineRule="auto"/>
        <w:ind w:right="-93"/>
        <w:jc w:val="both"/>
        <w:rPr>
          <w:rFonts w:ascii="Palatino Linotype" w:eastAsia="Palatino Linotype" w:hAnsi="Palatino Linotype" w:cs="Palatino Linotype"/>
        </w:rPr>
      </w:pPr>
    </w:p>
    <w:p w14:paraId="1E869C8D" w14:textId="77777777" w:rsidR="00531191" w:rsidRPr="00681A91" w:rsidRDefault="005948C5">
      <w:pPr>
        <w:spacing w:after="0" w:line="360" w:lineRule="auto"/>
        <w:jc w:val="both"/>
        <w:rPr>
          <w:rFonts w:ascii="Palatino Linotype" w:eastAsia="Palatino Linotype" w:hAnsi="Palatino Linotype" w:cs="Palatino Linotype"/>
          <w:b/>
        </w:rPr>
      </w:pPr>
      <w:r w:rsidRPr="00681A91">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681A91">
        <w:rPr>
          <w:rFonts w:ascii="Palatino Linotype" w:eastAsia="Palatino Linotype" w:hAnsi="Palatino Linotype" w:cs="Palatino Linotype"/>
          <w:b/>
        </w:rPr>
        <w:t xml:space="preserve"> </w:t>
      </w:r>
    </w:p>
    <w:p w14:paraId="2D307D41" w14:textId="77777777" w:rsidR="00531191" w:rsidRPr="00681A91" w:rsidRDefault="00531191">
      <w:pPr>
        <w:spacing w:after="0"/>
        <w:ind w:left="851" w:right="850"/>
        <w:jc w:val="both"/>
        <w:rPr>
          <w:rFonts w:ascii="Palatino Linotype" w:eastAsia="Palatino Linotype" w:hAnsi="Palatino Linotype" w:cs="Palatino Linotype"/>
        </w:rPr>
      </w:pPr>
    </w:p>
    <w:p w14:paraId="3841EAA6" w14:textId="77777777" w:rsidR="00531191" w:rsidRPr="00681A91" w:rsidRDefault="005948C5">
      <w:pPr>
        <w:tabs>
          <w:tab w:val="left" w:pos="8080"/>
        </w:tabs>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r w:rsidRPr="00681A91">
        <w:rPr>
          <w:rFonts w:ascii="Palatino Linotype" w:eastAsia="Palatino Linotype" w:hAnsi="Palatino Linotype" w:cs="Palatino Linotype"/>
          <w:b/>
          <w:i/>
        </w:rPr>
        <w:t>No existe obligación de elaborar documentos ad hoc para atender las solicitudes de acceso a la información.</w:t>
      </w:r>
      <w:r w:rsidRPr="00681A91">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3D3B972" w14:textId="77777777" w:rsidR="00531191" w:rsidRPr="00681A91" w:rsidRDefault="00531191">
      <w:pPr>
        <w:spacing w:after="0" w:line="360" w:lineRule="auto"/>
        <w:jc w:val="both"/>
        <w:rPr>
          <w:rFonts w:ascii="Palatino Linotype" w:eastAsia="Palatino Linotype" w:hAnsi="Palatino Linotype" w:cs="Palatino Linotype"/>
        </w:rPr>
      </w:pPr>
    </w:p>
    <w:p w14:paraId="7C7E2DC4"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FAEB2DD" w14:textId="77777777" w:rsidR="00531191" w:rsidRPr="00681A91" w:rsidRDefault="00531191">
      <w:pPr>
        <w:spacing w:after="0" w:line="360" w:lineRule="auto"/>
        <w:jc w:val="both"/>
        <w:rPr>
          <w:rFonts w:ascii="Palatino Linotype" w:eastAsia="Palatino Linotype" w:hAnsi="Palatino Linotype" w:cs="Palatino Linotype"/>
        </w:rPr>
      </w:pPr>
    </w:p>
    <w:p w14:paraId="3C108919"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168627D" w14:textId="77777777" w:rsidR="00531191" w:rsidRPr="00681A91" w:rsidRDefault="00531191">
      <w:pPr>
        <w:spacing w:after="0" w:line="360" w:lineRule="auto"/>
        <w:ind w:right="49"/>
        <w:jc w:val="both"/>
        <w:rPr>
          <w:rFonts w:ascii="Palatino Linotype" w:eastAsia="Palatino Linotype" w:hAnsi="Palatino Linotype" w:cs="Palatino Linotype"/>
        </w:rPr>
      </w:pPr>
    </w:p>
    <w:p w14:paraId="7C975084"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3F8C280" w14:textId="77777777" w:rsidR="00531191" w:rsidRPr="00681A91" w:rsidRDefault="00531191">
      <w:pPr>
        <w:spacing w:after="0" w:line="360" w:lineRule="auto"/>
        <w:jc w:val="both"/>
        <w:rPr>
          <w:rFonts w:ascii="Palatino Linotype" w:eastAsia="Palatino Linotype" w:hAnsi="Palatino Linotype" w:cs="Palatino Linotype"/>
        </w:rPr>
      </w:pPr>
    </w:p>
    <w:p w14:paraId="094A8DBB"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r w:rsidRPr="00681A91">
        <w:rPr>
          <w:rFonts w:ascii="Palatino Linotype" w:eastAsia="Palatino Linotype" w:hAnsi="Palatino Linotype" w:cs="Palatino Linotype"/>
          <w:b/>
          <w:i/>
        </w:rPr>
        <w:t xml:space="preserve">Artículo 3. </w:t>
      </w:r>
      <w:r w:rsidRPr="00681A91">
        <w:rPr>
          <w:rFonts w:ascii="Palatino Linotype" w:eastAsia="Palatino Linotype" w:hAnsi="Palatino Linotype" w:cs="Palatino Linotype"/>
          <w:i/>
        </w:rPr>
        <w:t>Para los efectos de la presente Ley se entenderá por:</w:t>
      </w:r>
    </w:p>
    <w:p w14:paraId="0C2C01A0"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p>
    <w:p w14:paraId="0F46FD91"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b/>
          <w:i/>
        </w:rPr>
        <w:t>XI. Documento:</w:t>
      </w:r>
      <w:r w:rsidRPr="00681A91">
        <w:rPr>
          <w:rFonts w:ascii="Palatino Linotype" w:eastAsia="Palatino Linotype" w:hAnsi="Palatino Linotype" w:cs="Palatino Linotype"/>
          <w:i/>
        </w:rPr>
        <w:t xml:space="preserve"> Los expedientes, reportes, estudios, actas</w:t>
      </w:r>
      <w:r w:rsidRPr="00681A91">
        <w:rPr>
          <w:rFonts w:ascii="Palatino Linotype" w:eastAsia="Palatino Linotype" w:hAnsi="Palatino Linotype" w:cs="Palatino Linotype"/>
          <w:b/>
          <w:i/>
        </w:rPr>
        <w:t>,</w:t>
      </w:r>
      <w:r w:rsidRPr="00681A91">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17A5E1F" w14:textId="77777777" w:rsidR="00531191" w:rsidRPr="00681A91" w:rsidRDefault="00531191">
      <w:pPr>
        <w:spacing w:after="0" w:line="360" w:lineRule="auto"/>
        <w:ind w:left="851" w:right="899"/>
        <w:jc w:val="both"/>
        <w:rPr>
          <w:rFonts w:ascii="Palatino Linotype" w:eastAsia="Palatino Linotype" w:hAnsi="Palatino Linotype" w:cs="Palatino Linotype"/>
        </w:rPr>
      </w:pPr>
    </w:p>
    <w:p w14:paraId="3E7998D0"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9E83D53" w14:textId="77777777" w:rsidR="00531191" w:rsidRPr="00681A91" w:rsidRDefault="00531191">
      <w:pPr>
        <w:spacing w:after="0" w:line="360" w:lineRule="auto"/>
        <w:ind w:left="851" w:right="899"/>
        <w:jc w:val="both"/>
        <w:rPr>
          <w:rFonts w:ascii="Palatino Linotype" w:eastAsia="Palatino Linotype" w:hAnsi="Palatino Linotype" w:cs="Palatino Linotype"/>
        </w:rPr>
      </w:pPr>
    </w:p>
    <w:p w14:paraId="3D858A38" w14:textId="77777777" w:rsidR="00531191" w:rsidRPr="00681A91" w:rsidRDefault="005948C5">
      <w:pPr>
        <w:tabs>
          <w:tab w:val="left" w:pos="7797"/>
        </w:tabs>
        <w:spacing w:after="0"/>
        <w:ind w:left="851" w:right="843"/>
        <w:jc w:val="both"/>
        <w:rPr>
          <w:rFonts w:ascii="Palatino Linotype" w:eastAsia="Palatino Linotype" w:hAnsi="Palatino Linotype" w:cs="Palatino Linotype"/>
          <w:b/>
          <w:i/>
        </w:rPr>
      </w:pPr>
      <w:r w:rsidRPr="00681A91">
        <w:rPr>
          <w:rFonts w:ascii="Palatino Linotype" w:eastAsia="Palatino Linotype" w:hAnsi="Palatino Linotype" w:cs="Palatino Linotype"/>
          <w:b/>
        </w:rPr>
        <w:t>“</w:t>
      </w:r>
      <w:r w:rsidRPr="00681A91">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681A91">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71463DB" w14:textId="77777777" w:rsidR="00531191" w:rsidRPr="00681A91" w:rsidRDefault="005948C5">
      <w:pPr>
        <w:tabs>
          <w:tab w:val="left" w:pos="7797"/>
        </w:tabs>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En consecuencia el acceso a la información se refiere a que se cumplan cualquiera de los siguientes tres supuestos:</w:t>
      </w:r>
    </w:p>
    <w:p w14:paraId="74479668" w14:textId="77777777" w:rsidR="00531191" w:rsidRPr="00681A91" w:rsidRDefault="005948C5">
      <w:pPr>
        <w:tabs>
          <w:tab w:val="left" w:pos="7797"/>
        </w:tabs>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7962096A" w14:textId="77777777" w:rsidR="00531191" w:rsidRPr="00681A91" w:rsidRDefault="005948C5">
      <w:pPr>
        <w:tabs>
          <w:tab w:val="left" w:pos="7797"/>
        </w:tabs>
        <w:spacing w:after="0"/>
        <w:ind w:left="851" w:right="843"/>
        <w:jc w:val="both"/>
        <w:rPr>
          <w:rFonts w:ascii="Palatino Linotype" w:eastAsia="Palatino Linotype" w:hAnsi="Palatino Linotype" w:cs="Palatino Linotype"/>
          <w:b/>
          <w:i/>
        </w:rPr>
      </w:pPr>
      <w:r w:rsidRPr="00681A91">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41102E9B" w14:textId="77777777" w:rsidR="00531191" w:rsidRPr="00681A91" w:rsidRDefault="005948C5">
      <w:pPr>
        <w:tabs>
          <w:tab w:val="left" w:pos="7797"/>
        </w:tabs>
        <w:spacing w:after="0"/>
        <w:ind w:left="851" w:right="843"/>
        <w:jc w:val="both"/>
        <w:rPr>
          <w:rFonts w:ascii="Palatino Linotype" w:eastAsia="Palatino Linotype" w:hAnsi="Palatino Linotype" w:cs="Palatino Linotype"/>
          <w:b/>
          <w:i/>
        </w:rPr>
      </w:pPr>
      <w:r w:rsidRPr="00681A91">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24D8B6F8" w14:textId="77777777" w:rsidR="00531191" w:rsidRPr="00681A91" w:rsidRDefault="00531191">
      <w:pPr>
        <w:spacing w:after="0" w:line="360" w:lineRule="auto"/>
        <w:jc w:val="both"/>
        <w:rPr>
          <w:rFonts w:ascii="Palatino Linotype" w:eastAsia="Palatino Linotype" w:hAnsi="Palatino Linotype" w:cs="Palatino Linotype"/>
        </w:rPr>
      </w:pPr>
    </w:p>
    <w:p w14:paraId="28F00696"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Dicho lo anterior, por cuestiones de técnica jurídica, es de recordar lo que la parte Solicitante requirió lo siguiente: </w:t>
      </w:r>
    </w:p>
    <w:p w14:paraId="1B396EB4" w14:textId="77777777" w:rsidR="00531191" w:rsidRPr="00681A91" w:rsidRDefault="00531191">
      <w:pPr>
        <w:spacing w:after="0" w:line="360" w:lineRule="auto"/>
        <w:jc w:val="both"/>
        <w:rPr>
          <w:rFonts w:ascii="Palatino Linotype" w:eastAsia="Palatino Linotype" w:hAnsi="Palatino Linotype" w:cs="Palatino Linotype"/>
        </w:rPr>
      </w:pPr>
    </w:p>
    <w:p w14:paraId="0558AA70" w14:textId="77777777" w:rsidR="00531191" w:rsidRPr="00681A91" w:rsidRDefault="005948C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bookmarkStart w:id="2" w:name="_heading=h.modanggnu9vz" w:colFirst="0" w:colLast="0"/>
      <w:bookmarkEnd w:id="2"/>
      <w:r w:rsidRPr="00681A91">
        <w:rPr>
          <w:rFonts w:ascii="Palatino Linotype" w:eastAsia="Palatino Linotype" w:hAnsi="Palatino Linotype" w:cs="Palatino Linotype"/>
        </w:rPr>
        <w:t>El personal de confianza de todos los puestos, lideres de proyecto y operadores de proyecto de transporte; así como, su sueldo, del primero de julio al treinta y uno de diciembre del año 2024,</w:t>
      </w:r>
    </w:p>
    <w:p w14:paraId="358F4342" w14:textId="77777777" w:rsidR="00531191" w:rsidRPr="00681A91" w:rsidRDefault="00531191">
      <w:pPr>
        <w:spacing w:after="0"/>
        <w:ind w:right="560"/>
        <w:jc w:val="both"/>
        <w:rPr>
          <w:rFonts w:ascii="Palatino Linotype" w:eastAsia="Palatino Linotype" w:hAnsi="Palatino Linotype" w:cs="Palatino Linotype"/>
          <w:i/>
        </w:rPr>
      </w:pPr>
    </w:p>
    <w:p w14:paraId="54141A22" w14:textId="77777777" w:rsidR="00531191" w:rsidRPr="00681A91" w:rsidRDefault="005948C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En respuesta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xml:space="preserve"> a través del Subdirector de Administración del Capital Humano, informó que en cuanto al puesto denominado "</w:t>
      </w:r>
      <w:r w:rsidRPr="00681A91">
        <w:rPr>
          <w:rFonts w:ascii="Palatino Linotype" w:eastAsia="Palatino Linotype" w:hAnsi="Palatino Linotype" w:cs="Palatino Linotype"/>
          <w:i/>
        </w:rPr>
        <w:t>LIDERES DE PROYECTO</w:t>
      </w:r>
      <w:r w:rsidRPr="00681A91">
        <w:rPr>
          <w:rFonts w:ascii="Palatino Linotype" w:eastAsia="Palatino Linotype" w:hAnsi="Palatino Linotype" w:cs="Palatino Linotype"/>
        </w:rPr>
        <w:t>", no se encontró información que coincida con los criterios solicitados.</w:t>
      </w:r>
    </w:p>
    <w:p w14:paraId="223B7E6B" w14:textId="77777777" w:rsidR="00531191" w:rsidRPr="00681A91" w:rsidRDefault="005948C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 </w:t>
      </w:r>
    </w:p>
    <w:p w14:paraId="5F6D9035" w14:textId="77777777" w:rsidR="00531191" w:rsidRPr="00681A91" w:rsidRDefault="005948C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Referente a los "</w:t>
      </w:r>
      <w:r w:rsidRPr="00681A91">
        <w:rPr>
          <w:rFonts w:ascii="Palatino Linotype" w:eastAsia="Palatino Linotype" w:hAnsi="Palatino Linotype" w:cs="Palatino Linotype"/>
          <w:i/>
        </w:rPr>
        <w:t>OPERADORES DE PROYECTO DE TRANSPORTE</w:t>
      </w:r>
      <w:r w:rsidRPr="00681A91">
        <w:rPr>
          <w:rFonts w:ascii="Palatino Linotype" w:eastAsia="Palatino Linotype" w:hAnsi="Palatino Linotype" w:cs="Palatino Linotype"/>
        </w:rPr>
        <w:t>", informó la entrega de la información correspondiente al personal que presta servicios mediante contrato individual de trabajo por tiempo determinado del 01 de julio al 27 de diciembre de 2024.</w:t>
      </w:r>
    </w:p>
    <w:p w14:paraId="09422A15" w14:textId="77777777" w:rsidR="00531191" w:rsidRPr="00681A91" w:rsidRDefault="0053119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A551F86" w14:textId="77777777" w:rsidR="00531191" w:rsidRPr="00681A91" w:rsidRDefault="005948C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Respecto al </w:t>
      </w:r>
      <w:r w:rsidRPr="00681A91">
        <w:rPr>
          <w:rFonts w:ascii="Palatino Linotype" w:eastAsia="Palatino Linotype" w:hAnsi="Palatino Linotype" w:cs="Palatino Linotype"/>
          <w:i/>
        </w:rPr>
        <w:t>"PERSONAL DE CONFIANZA",</w:t>
      </w:r>
      <w:r w:rsidRPr="00681A91">
        <w:rPr>
          <w:rFonts w:ascii="Palatino Linotype" w:eastAsia="Palatino Linotype" w:hAnsi="Palatino Linotype" w:cs="Palatino Linotype"/>
        </w:rPr>
        <w:t xml:space="preserve"> refirió que es información pública de oficio y se encuentra publicado en el Portal de Información Pública de Oficio Mexiquense, artículo 92, Estructura Organizacional, Fracción VIIA- REMUNERACIÓNES, que puede consultar en el siguiente enlace:</w:t>
      </w:r>
    </w:p>
    <w:p w14:paraId="3EA744DA" w14:textId="77777777" w:rsidR="00531191" w:rsidRPr="00681A91" w:rsidRDefault="005948C5">
      <w:pPr>
        <w:pBdr>
          <w:top w:val="nil"/>
          <w:left w:val="nil"/>
          <w:bottom w:val="nil"/>
          <w:right w:val="nil"/>
          <w:between w:val="nil"/>
        </w:pBdr>
        <w:spacing w:after="0" w:line="360" w:lineRule="auto"/>
        <w:ind w:left="426"/>
        <w:rPr>
          <w:rFonts w:ascii="Palatino Linotype" w:eastAsia="Palatino Linotype" w:hAnsi="Palatino Linotype" w:cs="Palatino Linotype"/>
        </w:rPr>
      </w:pPr>
      <w:r w:rsidRPr="00681A91">
        <w:rPr>
          <w:rFonts w:ascii="Palatino Linotype" w:eastAsia="Palatino Linotype" w:hAnsi="Palatino Linotype" w:cs="Palatino Linotype"/>
          <w:noProof/>
        </w:rPr>
        <w:drawing>
          <wp:inline distT="0" distB="0" distL="0" distR="0" wp14:anchorId="01D334C3" wp14:editId="1E9BDC4E">
            <wp:extent cx="5520982" cy="666724"/>
            <wp:effectExtent l="0" t="0" r="0" b="0"/>
            <wp:docPr id="18163921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520982" cy="666724"/>
                    </a:xfrm>
                    <a:prstGeom prst="rect">
                      <a:avLst/>
                    </a:prstGeom>
                    <a:ln/>
                  </pic:spPr>
                </pic:pic>
              </a:graphicData>
            </a:graphic>
          </wp:inline>
        </w:drawing>
      </w:r>
    </w:p>
    <w:p w14:paraId="32092BA0" w14:textId="77777777" w:rsidR="00531191" w:rsidRPr="00681A91" w:rsidRDefault="0053119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4DB5718" w14:textId="77777777" w:rsidR="00531191" w:rsidRPr="00681A91" w:rsidRDefault="005948C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Derivado de ello, la parte </w:t>
      </w:r>
      <w:r w:rsidRPr="00681A91">
        <w:rPr>
          <w:rFonts w:ascii="Palatino Linotype" w:eastAsia="Palatino Linotype" w:hAnsi="Palatino Linotype" w:cs="Palatino Linotype"/>
          <w:b/>
        </w:rPr>
        <w:t>Recurrente</w:t>
      </w:r>
      <w:r w:rsidRPr="00681A91">
        <w:rPr>
          <w:rFonts w:ascii="Palatino Linotype" w:eastAsia="Palatino Linotype" w:hAnsi="Palatino Linotype" w:cs="Palatino Linotype"/>
        </w:rPr>
        <w:t xml:space="preserve"> se inconformó arguyendo medularmente la entrega de información incompleta. </w:t>
      </w:r>
    </w:p>
    <w:p w14:paraId="0DA8EF84" w14:textId="77777777" w:rsidR="00531191" w:rsidRPr="00681A91" w:rsidRDefault="00531191">
      <w:pPr>
        <w:spacing w:after="0" w:line="360" w:lineRule="auto"/>
        <w:jc w:val="both"/>
        <w:rPr>
          <w:rFonts w:ascii="Palatino Linotype" w:eastAsia="Palatino Linotype" w:hAnsi="Palatino Linotype" w:cs="Palatino Linotype"/>
        </w:rPr>
      </w:pPr>
    </w:p>
    <w:p w14:paraId="24F94C7C"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En atención a ello,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xml:space="preserve"> mediante informe justificado medularmente ratificó su respuesta inicial. </w:t>
      </w:r>
    </w:p>
    <w:p w14:paraId="0AF7E700" w14:textId="77777777" w:rsidR="00531191" w:rsidRPr="00681A91" w:rsidRDefault="00531191">
      <w:pPr>
        <w:spacing w:after="0" w:line="360" w:lineRule="auto"/>
        <w:jc w:val="both"/>
        <w:rPr>
          <w:rFonts w:ascii="Palatino Linotype" w:eastAsia="Palatino Linotype" w:hAnsi="Palatino Linotype" w:cs="Palatino Linotype"/>
        </w:rPr>
      </w:pPr>
    </w:p>
    <w:p w14:paraId="63659615"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Establecido lo anterior, en principio es de recordar que, quien dio atención a la solicitud de información fue el Subdirector de Administración del Capital Humano, situación por la que, de acuerdo con el artículo 162 de la Ley de Transparencia y Acceso a la Información Pública del Estado de México y Municipios, se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w:t>
      </w:r>
    </w:p>
    <w:p w14:paraId="4B3B8E7A" w14:textId="77777777" w:rsidR="00531191" w:rsidRPr="00681A91" w:rsidRDefault="00531191">
      <w:pPr>
        <w:spacing w:after="0" w:line="360" w:lineRule="auto"/>
        <w:ind w:right="49"/>
        <w:jc w:val="both"/>
        <w:rPr>
          <w:rFonts w:ascii="Palatino Linotype" w:eastAsia="Palatino Linotype" w:hAnsi="Palatino Linotype" w:cs="Palatino Linotype"/>
        </w:rPr>
      </w:pPr>
    </w:p>
    <w:p w14:paraId="46D5B8E9" w14:textId="77777777" w:rsidR="00531191" w:rsidRPr="00681A91" w:rsidRDefault="005948C5">
      <w:pPr>
        <w:spacing w:after="0" w:line="360" w:lineRule="auto"/>
        <w:jc w:val="both"/>
        <w:rPr>
          <w:rFonts w:ascii="Palatino Linotype" w:eastAsia="Palatino Linotype" w:hAnsi="Palatino Linotype" w:cs="Palatino Linotype"/>
          <w:b/>
        </w:rPr>
      </w:pPr>
      <w:r w:rsidRPr="00681A91">
        <w:rPr>
          <w:rFonts w:ascii="Palatino Linotype" w:eastAsia="Palatino Linotype" w:hAnsi="Palatino Linotype" w:cs="Palatino Linotype"/>
        </w:rPr>
        <w:t xml:space="preserve">En ese sentido, según Jarquín, Soledad (2019), en el “Diccionario de Transparencia y Acceso a la Información Pública” (p. 68), </w:t>
      </w:r>
      <w:r w:rsidRPr="00681A91">
        <w:rPr>
          <w:rFonts w:ascii="Palatino Linotype" w:eastAsia="Palatino Linotype" w:hAnsi="Palatino Linotype" w:cs="Palatino Linotype"/>
          <w:b/>
        </w:rPr>
        <w:t>la búsqueda exhaustiva</w:t>
      </w:r>
      <w:r w:rsidRPr="00681A91">
        <w:rPr>
          <w:rFonts w:ascii="Palatino Linotype" w:eastAsia="Palatino Linotype" w:hAnsi="Palatino Linotype" w:cs="Palatino Linotype"/>
        </w:rPr>
        <w:t xml:space="preserve"> es la obligación del área administrativa del Sujeto Obligado que cuenta o puede contar con la información requerida, la cual consiste en localizar toda aquella que atienda la solicitud, hasta agotar por completo las posibilidades de indagación.</w:t>
      </w:r>
    </w:p>
    <w:p w14:paraId="10238D47" w14:textId="77777777" w:rsidR="00531191" w:rsidRPr="00681A91" w:rsidRDefault="00531191">
      <w:pPr>
        <w:spacing w:after="0" w:line="360" w:lineRule="auto"/>
        <w:ind w:right="49"/>
        <w:jc w:val="both"/>
        <w:rPr>
          <w:rFonts w:ascii="Palatino Linotype" w:eastAsia="Palatino Linotype" w:hAnsi="Palatino Linotype" w:cs="Palatino Linotype"/>
        </w:rPr>
      </w:pPr>
    </w:p>
    <w:p w14:paraId="3EEF8CF9"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Por ello, es de referir que el Ente Recurrido turnó la solicitud de información a la unidad administrativa competente, la cual de conformidad con el Manual de Organización de la Secretaría de Movilidad, tiene como objetivo gestionar, coordinar, controlar y supervisar los movimientos administrativos de las personas servidoras públicas de la Secretaría y sus organismos auxiliares sectorizados, así como verificar que se lleven en observancia a la normativa aplicable; asimismo contara con las siguientes funciones: </w:t>
      </w:r>
    </w:p>
    <w:p w14:paraId="06FFFE6F" w14:textId="77777777" w:rsidR="00531191" w:rsidRPr="00681A91" w:rsidRDefault="00531191">
      <w:pPr>
        <w:spacing w:after="0" w:line="360" w:lineRule="auto"/>
        <w:ind w:right="49"/>
        <w:jc w:val="both"/>
        <w:rPr>
          <w:rFonts w:ascii="Palatino Linotype" w:eastAsia="Palatino Linotype" w:hAnsi="Palatino Linotype" w:cs="Palatino Linotype"/>
          <w:b/>
          <w:i/>
        </w:rPr>
      </w:pPr>
    </w:p>
    <w:p w14:paraId="25D090DD" w14:textId="77777777" w:rsidR="00531191" w:rsidRPr="00681A91" w:rsidRDefault="005948C5">
      <w:pPr>
        <w:spacing w:after="0"/>
        <w:ind w:left="851" w:right="843"/>
        <w:jc w:val="both"/>
        <w:rPr>
          <w:rFonts w:ascii="Palatino Linotype" w:eastAsia="Palatino Linotype" w:hAnsi="Palatino Linotype" w:cs="Palatino Linotype"/>
          <w:b/>
          <w:i/>
        </w:rPr>
      </w:pPr>
      <w:r w:rsidRPr="00681A91">
        <w:rPr>
          <w:rFonts w:ascii="Palatino Linotype" w:eastAsia="Palatino Linotype" w:hAnsi="Palatino Linotype" w:cs="Palatino Linotype"/>
          <w:i/>
        </w:rPr>
        <w:t>“</w:t>
      </w:r>
      <w:r w:rsidRPr="00681A91">
        <w:rPr>
          <w:rFonts w:ascii="Palatino Linotype" w:eastAsia="Palatino Linotype" w:hAnsi="Palatino Linotype" w:cs="Palatino Linotype"/>
          <w:b/>
          <w:i/>
        </w:rPr>
        <w:t xml:space="preserve">22000012000100S SUBDIRECCIÓN DE ADMINISTRACIÓN DEL CAPITAL HUMANO </w:t>
      </w:r>
    </w:p>
    <w:p w14:paraId="4D522C07" w14:textId="77777777" w:rsidR="00531191" w:rsidRPr="00681A91" w:rsidRDefault="00531191">
      <w:pPr>
        <w:spacing w:after="0"/>
        <w:ind w:left="851" w:right="843"/>
        <w:jc w:val="both"/>
        <w:rPr>
          <w:rFonts w:ascii="Palatino Linotype" w:eastAsia="Palatino Linotype" w:hAnsi="Palatino Linotype" w:cs="Palatino Linotype"/>
          <w:i/>
        </w:rPr>
      </w:pPr>
    </w:p>
    <w:p w14:paraId="646FD5CB" w14:textId="77777777" w:rsidR="00531191" w:rsidRPr="00681A91" w:rsidRDefault="005948C5">
      <w:pPr>
        <w:spacing w:after="0"/>
        <w:ind w:left="851" w:right="843"/>
        <w:jc w:val="both"/>
        <w:rPr>
          <w:rFonts w:ascii="Palatino Linotype" w:eastAsia="Palatino Linotype" w:hAnsi="Palatino Linotype" w:cs="Palatino Linotype"/>
          <w:b/>
          <w:i/>
        </w:rPr>
      </w:pPr>
      <w:r w:rsidRPr="00681A91">
        <w:rPr>
          <w:rFonts w:ascii="Palatino Linotype" w:eastAsia="Palatino Linotype" w:hAnsi="Palatino Linotype" w:cs="Palatino Linotype"/>
          <w:b/>
          <w:i/>
        </w:rPr>
        <w:t xml:space="preserve">FUNCIONES: </w:t>
      </w:r>
    </w:p>
    <w:p w14:paraId="3169B100"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 xml:space="preserve">1. Planear, organizar y controlar el aprovisionamiento de los recursos humanos, que permita alcanzar los objetivos estratégicos de la dependencia. </w:t>
      </w:r>
    </w:p>
    <w:p w14:paraId="3EB82830"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 xml:space="preserve">2. Difundir y promover, en coordinación con el Instituto de Profesionalización de los Servidores Públicos del Poder Ejecutivo del Gobierno del Estado de México, los cursos de capacitación y/o desarrollo, que contribuyan a la superación personal de las personas servidoras públicas. </w:t>
      </w:r>
    </w:p>
    <w:p w14:paraId="39EA9573" w14:textId="77777777" w:rsidR="00531191" w:rsidRPr="00681A91" w:rsidRDefault="005948C5">
      <w:pPr>
        <w:spacing w:after="0"/>
        <w:ind w:left="851" w:right="843"/>
        <w:jc w:val="both"/>
        <w:rPr>
          <w:rFonts w:ascii="Palatino Linotype" w:eastAsia="Palatino Linotype" w:hAnsi="Palatino Linotype" w:cs="Palatino Linotype"/>
          <w:b/>
          <w:i/>
        </w:rPr>
      </w:pPr>
      <w:r w:rsidRPr="00681A91">
        <w:rPr>
          <w:rFonts w:ascii="Palatino Linotype" w:eastAsia="Palatino Linotype" w:hAnsi="Palatino Linotype" w:cs="Palatino Linotype"/>
          <w:b/>
          <w:i/>
        </w:rPr>
        <w:t xml:space="preserve">3. Integrar y gestionar ante la Dirección General de Personal de la Oficialía Mayor los nombramientos, cambios de adscripción, compactaciones y/o conversiones de puestos, cambio de datos, licencias, vacaciones, pago de prestaciones, entre otros, a que tienen derecho las personas servidoras públicas de la Secretaría. </w:t>
      </w:r>
    </w:p>
    <w:p w14:paraId="777438B6"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 xml:space="preserve">4. Supervisar el cumplimiento de la normatividad vigente en materia de recursos humanos, con el propósito de aplicar los ordenamientos aplicables a las personas servidoras públicas de la Secretaría. </w:t>
      </w:r>
    </w:p>
    <w:p w14:paraId="40B09973"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 xml:space="preserve">5. Supervisar y participar en la integración del proyecto anual de presupuesto de egresos, correspondiente al Capítulo 1000 Servicios Personales, así como su programación y seguimiento en su aplicación. </w:t>
      </w:r>
    </w:p>
    <w:p w14:paraId="51FBAA04"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 xml:space="preserve">... </w:t>
      </w:r>
    </w:p>
    <w:p w14:paraId="3EB6421B" w14:textId="77777777" w:rsidR="00531191" w:rsidRPr="00681A91" w:rsidRDefault="005948C5">
      <w:pPr>
        <w:spacing w:after="0"/>
        <w:ind w:left="851" w:right="843"/>
        <w:jc w:val="both"/>
        <w:rPr>
          <w:rFonts w:ascii="Palatino Linotype" w:eastAsia="Palatino Linotype" w:hAnsi="Palatino Linotype" w:cs="Palatino Linotype"/>
          <w:b/>
          <w:i/>
        </w:rPr>
      </w:pPr>
      <w:r w:rsidRPr="00681A91">
        <w:rPr>
          <w:rFonts w:ascii="Palatino Linotype" w:eastAsia="Palatino Linotype" w:hAnsi="Palatino Linotype" w:cs="Palatino Linotype"/>
          <w:b/>
          <w:i/>
        </w:rPr>
        <w:t xml:space="preserve">8. Validar y supervisar la actualización de la plantilla de personal de las unidades administrativas de la Secretaría. </w:t>
      </w:r>
    </w:p>
    <w:p w14:paraId="7112D9CD"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p>
    <w:p w14:paraId="7B3A7F10"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b/>
          <w:i/>
          <w:u w:val="single"/>
        </w:rPr>
        <w:t>22. Supervisar y aprobar la debida dispersión y aplicación de las nóminas de la Secretaría</w:t>
      </w:r>
      <w:r w:rsidRPr="00681A91">
        <w:rPr>
          <w:rFonts w:ascii="Palatino Linotype" w:eastAsia="Palatino Linotype" w:hAnsi="Palatino Linotype" w:cs="Palatino Linotype"/>
          <w:i/>
        </w:rPr>
        <w:t xml:space="preserve">. </w:t>
      </w:r>
    </w:p>
    <w:p w14:paraId="0E2970BE"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 xml:space="preserve">23. Instruir al Departamento de Registro de Incidencias el realizar supervisiones al sistema de registro y control de personal, así como a la permanencia y asistencia de las personas servidoras públicas en sus lugares de adscripción y/o centros de trabajo. </w:t>
      </w:r>
    </w:p>
    <w:p w14:paraId="66D6DA19"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 xml:space="preserve">24. Supervisar y aprobar el cálculo de estímulos, descuentos, prestaciones de seguridad social, finiquitos y demás prestaciones de las personas servidoras públicas, previa comprobación. </w:t>
      </w:r>
    </w:p>
    <w:p w14:paraId="5B79F04F"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p>
    <w:p w14:paraId="7004F0DF" w14:textId="77777777" w:rsidR="00531191" w:rsidRPr="00681A91" w:rsidRDefault="00531191">
      <w:pPr>
        <w:spacing w:after="0" w:line="360" w:lineRule="auto"/>
        <w:ind w:right="49"/>
        <w:jc w:val="both"/>
        <w:rPr>
          <w:rFonts w:ascii="Palatino Linotype" w:eastAsia="Palatino Linotype" w:hAnsi="Palatino Linotype" w:cs="Palatino Linotype"/>
        </w:rPr>
      </w:pPr>
    </w:p>
    <w:p w14:paraId="0899839E"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Es así que, se colige que quien dio atención a la solicitud de información, fue la unidad administrativa competente. </w:t>
      </w:r>
    </w:p>
    <w:p w14:paraId="045AE765" w14:textId="77777777" w:rsidR="00531191" w:rsidRPr="00681A91" w:rsidRDefault="00531191">
      <w:pPr>
        <w:spacing w:after="0" w:line="360" w:lineRule="auto"/>
        <w:ind w:right="49"/>
        <w:jc w:val="both"/>
        <w:rPr>
          <w:rFonts w:ascii="Palatino Linotype" w:eastAsia="Palatino Linotype" w:hAnsi="Palatino Linotype" w:cs="Palatino Linotype"/>
        </w:rPr>
      </w:pPr>
    </w:p>
    <w:p w14:paraId="2E6BBA80"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Dicho esto, debido a que, la información solicitada se relaciona con nombre del personal de confianza de todos los puestos de la Secretaría de Movilidad, incluyendo lideres de proyecto y operadores de proyecto de Transporte y sueldo de dichos servidores públicos, se procede a contextualizar la información, en razón de lo siguiente:</w:t>
      </w:r>
    </w:p>
    <w:p w14:paraId="75DE8BCD" w14:textId="77777777" w:rsidR="00531191" w:rsidRPr="00681A91" w:rsidRDefault="00531191">
      <w:pPr>
        <w:spacing w:after="0" w:line="360" w:lineRule="auto"/>
        <w:ind w:right="49"/>
        <w:jc w:val="both"/>
        <w:rPr>
          <w:rFonts w:ascii="Palatino Linotype" w:eastAsia="Palatino Linotype" w:hAnsi="Palatino Linotype" w:cs="Palatino Linotype"/>
        </w:rPr>
      </w:pPr>
    </w:p>
    <w:p w14:paraId="75A6265D"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Debido a que la información solicitada se relaciona con el </w:t>
      </w:r>
      <w:r w:rsidRPr="00681A91">
        <w:rPr>
          <w:rFonts w:ascii="Palatino Linotype" w:eastAsia="Palatino Linotype" w:hAnsi="Palatino Linotype" w:cs="Palatino Linotype"/>
          <w:b/>
        </w:rPr>
        <w:t>sueldo de servidores públicos</w:t>
      </w:r>
      <w:r w:rsidRPr="00681A91">
        <w:rPr>
          <w:rFonts w:ascii="Palatino Linotype" w:eastAsia="Palatino Linotype" w:hAnsi="Palatino Linotype" w:cs="Palatino Linotype"/>
        </w:rPr>
        <w:t xml:space="preserve">; el Glosario localizado en la página de Transparencia Presupuestaria de la Secretaría de Hacienda y Crédito Público (consultado en </w:t>
      </w:r>
      <w:hyperlink r:id="rId10">
        <w:r w:rsidRPr="00681A91">
          <w:rPr>
            <w:rFonts w:ascii="Palatino Linotype" w:eastAsia="Palatino Linotype" w:hAnsi="Palatino Linotype" w:cs="Palatino Linotype"/>
            <w:u w:val="single"/>
          </w:rPr>
          <w:t>https://www.transparenciapresupuestaria.gob.mx/es/PTP/Glosario</w:t>
        </w:r>
      </w:hyperlink>
      <w:r w:rsidRPr="00681A91">
        <w:rPr>
          <w:rFonts w:ascii="Palatino Linotype" w:eastAsia="Palatino Linotype" w:hAnsi="Palatino Linotype" w:cs="Palatino Linotype"/>
        </w:rPr>
        <w:t>), establece que:</w:t>
      </w:r>
    </w:p>
    <w:p w14:paraId="021AB766" w14:textId="77777777" w:rsidR="00531191" w:rsidRPr="00681A91" w:rsidRDefault="00531191">
      <w:pPr>
        <w:tabs>
          <w:tab w:val="left" w:pos="3261"/>
        </w:tabs>
        <w:spacing w:after="0" w:line="360" w:lineRule="auto"/>
        <w:jc w:val="both"/>
        <w:rPr>
          <w:rFonts w:ascii="Palatino Linotype" w:eastAsia="Palatino Linotype" w:hAnsi="Palatino Linotype" w:cs="Palatino Linotype"/>
        </w:rPr>
      </w:pPr>
    </w:p>
    <w:p w14:paraId="55FA7009" w14:textId="77777777" w:rsidR="00531191" w:rsidRPr="00681A91" w:rsidRDefault="005948C5">
      <w:pPr>
        <w:spacing w:after="0" w:line="360" w:lineRule="auto"/>
        <w:jc w:val="center"/>
        <w:rPr>
          <w:rFonts w:ascii="Palatino Linotype" w:eastAsia="Palatino Linotype" w:hAnsi="Palatino Linotype" w:cs="Palatino Linotype"/>
        </w:rPr>
      </w:pPr>
      <w:r w:rsidRPr="00681A91">
        <w:rPr>
          <w:rFonts w:ascii="Palatino Linotype" w:eastAsia="Palatino Linotype" w:hAnsi="Palatino Linotype" w:cs="Palatino Linotype"/>
          <w:noProof/>
        </w:rPr>
        <w:drawing>
          <wp:inline distT="0" distB="0" distL="0" distR="0" wp14:anchorId="5C5F7068" wp14:editId="54682EFB">
            <wp:extent cx="4186953" cy="1197435"/>
            <wp:effectExtent l="0" t="0" r="0" b="0"/>
            <wp:docPr id="18163921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186953" cy="1197435"/>
                    </a:xfrm>
                    <a:prstGeom prst="rect">
                      <a:avLst/>
                    </a:prstGeom>
                    <a:ln/>
                  </pic:spPr>
                </pic:pic>
              </a:graphicData>
            </a:graphic>
          </wp:inline>
        </w:drawing>
      </w:r>
    </w:p>
    <w:p w14:paraId="03A8FB04" w14:textId="77777777" w:rsidR="00531191" w:rsidRPr="00681A91" w:rsidRDefault="00531191">
      <w:pPr>
        <w:spacing w:after="0" w:line="360" w:lineRule="auto"/>
        <w:jc w:val="both"/>
        <w:rPr>
          <w:rFonts w:ascii="Palatino Linotype" w:eastAsia="Palatino Linotype" w:hAnsi="Palatino Linotype" w:cs="Palatino Linotype"/>
        </w:rPr>
      </w:pPr>
    </w:p>
    <w:p w14:paraId="04B28898"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De la misma manera, el Glosario de términos más usuales en la Administración Pública Federal, emitido por la Secretaría de Hacienda y Crédito Público (</w:t>
      </w:r>
      <w:hyperlink r:id="rId12">
        <w:r w:rsidRPr="00681A91">
          <w:rPr>
            <w:rFonts w:ascii="Palatino Linotype" w:eastAsia="Palatino Linotype" w:hAnsi="Palatino Linotype" w:cs="Palatino Linotype"/>
            <w:u w:val="single"/>
          </w:rPr>
          <w:t>http://www.apartados.hacienda.gob.mx/contabilidad/documentos/informe_cuenta/1998/cuenta_publica/Glosario/n.htm</w:t>
        </w:r>
      </w:hyperlink>
      <w:r w:rsidRPr="00681A91">
        <w:rPr>
          <w:rFonts w:ascii="Palatino Linotype" w:eastAsia="Palatino Linotype" w:hAnsi="Palatino Linotype" w:cs="Palatino Linotype"/>
        </w:rPr>
        <w:t>), establece que la nómina es un listado general de los trabajadores de una institución, en el cual se asientan las percepciones brutas, deducciones y alcance neto de las mismas.</w:t>
      </w:r>
    </w:p>
    <w:p w14:paraId="502EF547" w14:textId="77777777" w:rsidR="00531191" w:rsidRPr="00681A91" w:rsidRDefault="00531191">
      <w:pPr>
        <w:spacing w:after="0" w:line="360" w:lineRule="auto"/>
        <w:jc w:val="both"/>
        <w:rPr>
          <w:rFonts w:ascii="Palatino Linotype" w:eastAsia="Palatino Linotype" w:hAnsi="Palatino Linotype" w:cs="Palatino Linotype"/>
        </w:rPr>
      </w:pPr>
    </w:p>
    <w:p w14:paraId="34847844"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Conforme a lo anterior, se puede advertir que la nómina se puede referir a lo siguiente:</w:t>
      </w:r>
    </w:p>
    <w:p w14:paraId="59068984"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 </w:t>
      </w:r>
    </w:p>
    <w:p w14:paraId="6AD66B5C" w14:textId="77777777" w:rsidR="00531191" w:rsidRPr="00681A91" w:rsidRDefault="005948C5">
      <w:pPr>
        <w:tabs>
          <w:tab w:val="left" w:pos="8222"/>
        </w:tabs>
        <w:spacing w:after="0"/>
        <w:ind w:left="567" w:right="709"/>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a)      </w:t>
      </w:r>
      <w:r w:rsidRPr="00681A91">
        <w:rPr>
          <w:rFonts w:ascii="Palatino Linotype" w:eastAsia="Palatino Linotype" w:hAnsi="Palatino Linotype" w:cs="Palatino Linotype"/>
          <w:b/>
          <w:u w:val="single"/>
        </w:rPr>
        <w:t>Relación de trabajadores con las percepciones monetarias de cada uno</w:t>
      </w:r>
      <w:r w:rsidRPr="00681A91">
        <w:rPr>
          <w:rFonts w:ascii="Palatino Linotype" w:eastAsia="Palatino Linotype" w:hAnsi="Palatino Linotype" w:cs="Palatino Linotype"/>
        </w:rPr>
        <w:t>.</w:t>
      </w:r>
    </w:p>
    <w:p w14:paraId="3EE1A388" w14:textId="77777777" w:rsidR="00531191" w:rsidRPr="00681A91" w:rsidRDefault="005948C5">
      <w:pPr>
        <w:tabs>
          <w:tab w:val="left" w:pos="8222"/>
        </w:tabs>
        <w:spacing w:after="0"/>
        <w:ind w:left="567" w:right="709"/>
        <w:jc w:val="both"/>
        <w:rPr>
          <w:rFonts w:ascii="Palatino Linotype" w:eastAsia="Palatino Linotype" w:hAnsi="Palatino Linotype" w:cs="Palatino Linotype"/>
        </w:rPr>
      </w:pPr>
      <w:r w:rsidRPr="00681A91">
        <w:rPr>
          <w:rFonts w:ascii="Palatino Linotype" w:eastAsia="Palatino Linotype" w:hAnsi="Palatino Linotype" w:cs="Palatino Linotype"/>
        </w:rPr>
        <w:t>b)      Recibo individual que contiene las prestaciones y deducciones de un trabajador.</w:t>
      </w:r>
    </w:p>
    <w:p w14:paraId="714B5CAA" w14:textId="77777777" w:rsidR="00531191" w:rsidRPr="00681A91" w:rsidRDefault="005948C5">
      <w:pPr>
        <w:tabs>
          <w:tab w:val="left" w:pos="8222"/>
        </w:tabs>
        <w:spacing w:after="0"/>
        <w:ind w:left="567" w:right="709"/>
        <w:jc w:val="both"/>
        <w:rPr>
          <w:rFonts w:ascii="Palatino Linotype" w:eastAsia="Palatino Linotype" w:hAnsi="Palatino Linotype" w:cs="Palatino Linotype"/>
          <w:b/>
        </w:rPr>
      </w:pPr>
      <w:r w:rsidRPr="00681A91">
        <w:rPr>
          <w:rFonts w:ascii="Palatino Linotype" w:eastAsia="Palatino Linotype" w:hAnsi="Palatino Linotype" w:cs="Palatino Linotype"/>
          <w:b/>
        </w:rPr>
        <w:t>c)       Listado general de los servidores públicos de una institución o dependencia, en el cual se asientan las percepciones brutas, deducciones y alcance neto de las mismas.</w:t>
      </w:r>
    </w:p>
    <w:p w14:paraId="732ED1CD" w14:textId="77777777" w:rsidR="00531191" w:rsidRPr="00681A91" w:rsidRDefault="00531191">
      <w:pPr>
        <w:spacing w:after="0" w:line="360" w:lineRule="auto"/>
        <w:jc w:val="both"/>
        <w:rPr>
          <w:rFonts w:ascii="Palatino Linotype" w:eastAsia="Palatino Linotype" w:hAnsi="Palatino Linotype" w:cs="Palatino Linotype"/>
        </w:rPr>
      </w:pPr>
    </w:p>
    <w:p w14:paraId="6633A2FA"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Ahora bien, de conformidad con el artículo 147 de la Constitución Política del Estado Libre y Soberano de México, los trabajadores al servicio del Estado, como los miembros de los Ayuntamientos, recibirán una remuneración adecuada e irrenunciable por el desempeño de su empleo, cargo o comisión que será determinada en el presupuesto de egresos que corresponda. </w:t>
      </w:r>
    </w:p>
    <w:p w14:paraId="66003440" w14:textId="77777777" w:rsidR="00531191" w:rsidRPr="00681A91" w:rsidRDefault="00531191">
      <w:pPr>
        <w:spacing w:after="0" w:line="360" w:lineRule="auto"/>
        <w:ind w:right="49"/>
        <w:jc w:val="both"/>
        <w:rPr>
          <w:rFonts w:ascii="Palatino Linotype" w:eastAsia="Palatino Linotype" w:hAnsi="Palatino Linotype" w:cs="Palatino Linotype"/>
        </w:rPr>
      </w:pPr>
    </w:p>
    <w:p w14:paraId="30E15684"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14:paraId="4FC0C292" w14:textId="77777777" w:rsidR="00531191" w:rsidRPr="00681A91" w:rsidRDefault="00531191">
      <w:pPr>
        <w:spacing w:after="0" w:line="360" w:lineRule="auto"/>
        <w:ind w:right="49"/>
        <w:jc w:val="both"/>
        <w:rPr>
          <w:rFonts w:ascii="Palatino Linotype" w:eastAsia="Palatino Linotype" w:hAnsi="Palatino Linotype" w:cs="Palatino Linotype"/>
        </w:rPr>
      </w:pPr>
    </w:p>
    <w:p w14:paraId="30F532DB"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14:paraId="49ACD0E7" w14:textId="77777777" w:rsidR="00531191" w:rsidRPr="00681A91" w:rsidRDefault="00531191">
      <w:pPr>
        <w:spacing w:after="0" w:line="360" w:lineRule="auto"/>
        <w:ind w:right="843"/>
        <w:jc w:val="both"/>
        <w:rPr>
          <w:rFonts w:ascii="Palatino Linotype" w:eastAsia="Palatino Linotype" w:hAnsi="Palatino Linotype" w:cs="Palatino Linotype"/>
          <w:i/>
        </w:rPr>
      </w:pPr>
    </w:p>
    <w:p w14:paraId="05D7037D"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Por su parte, la Ley del Trabajo de los Servidores Públicos del Estado y Municipios, en su artículo 220 K, fracciones II y IV, establece que: </w:t>
      </w:r>
    </w:p>
    <w:p w14:paraId="24AD9686" w14:textId="77777777" w:rsidR="00531191" w:rsidRPr="00681A91" w:rsidRDefault="00531191">
      <w:pPr>
        <w:spacing w:after="0" w:line="360" w:lineRule="auto"/>
        <w:jc w:val="both"/>
        <w:rPr>
          <w:rFonts w:ascii="Palatino Linotype" w:eastAsia="Palatino Linotype" w:hAnsi="Palatino Linotype" w:cs="Palatino Linotype"/>
        </w:rPr>
      </w:pPr>
    </w:p>
    <w:p w14:paraId="32744A6D"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b/>
          <w:i/>
        </w:rPr>
        <w:t>ARTÍCULO 220 K</w:t>
      </w:r>
      <w:r w:rsidRPr="00681A91">
        <w:rPr>
          <w:rFonts w:ascii="Palatino Linotype" w:eastAsia="Palatino Linotype" w:hAnsi="Palatino Linotype" w:cs="Palatino Linotype"/>
          <w:i/>
        </w:rPr>
        <w:t>.- La institución o dependencia pública tiene la obligación de conservar y exhibir en el proceso los documentos que a continuación se precisan:</w:t>
      </w:r>
    </w:p>
    <w:p w14:paraId="325816D5"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p>
    <w:p w14:paraId="7870BE0B"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II. Recibos de pagos de salarios o las constancias documentales del pago de salario cuando sea por depósito o mediante información electrónica;</w:t>
      </w:r>
    </w:p>
    <w:p w14:paraId="1837B5F1"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p>
    <w:p w14:paraId="2C4BA177" w14:textId="77777777" w:rsidR="00531191" w:rsidRPr="00681A91" w:rsidRDefault="005948C5">
      <w:pP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 xml:space="preserve">IV. Recibos o las constancias de deposito o del medio de información magnética o electrónica que sean utilizadas para el pago de salarios, prima vacacional, aguinaldo y demás prestaciones establecidas en la presente ley; </w:t>
      </w:r>
    </w:p>
    <w:p w14:paraId="6C7E0D92" w14:textId="77777777" w:rsidR="00531191" w:rsidRPr="00681A91" w:rsidRDefault="00531191">
      <w:pPr>
        <w:spacing w:after="0"/>
        <w:ind w:left="567" w:right="843"/>
        <w:jc w:val="both"/>
        <w:rPr>
          <w:rFonts w:ascii="Palatino Linotype" w:eastAsia="Palatino Linotype" w:hAnsi="Palatino Linotype" w:cs="Palatino Linotype"/>
          <w:i/>
        </w:rPr>
      </w:pPr>
    </w:p>
    <w:p w14:paraId="3ADB94D9"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Es decir, del precepto normativo se advierte que entre los documentos que tiene la obligación de conservar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se encuentran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w:t>
      </w:r>
    </w:p>
    <w:p w14:paraId="14EA1796" w14:textId="77777777" w:rsidR="00531191" w:rsidRPr="00681A91" w:rsidRDefault="00531191">
      <w:pPr>
        <w:spacing w:after="0" w:line="360" w:lineRule="auto"/>
        <w:ind w:right="49"/>
        <w:jc w:val="both"/>
        <w:rPr>
          <w:rFonts w:ascii="Palatino Linotype" w:eastAsia="Palatino Linotype" w:hAnsi="Palatino Linotype" w:cs="Palatino Linotype"/>
        </w:rPr>
      </w:pPr>
    </w:p>
    <w:p w14:paraId="7397854B"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En lo que hace a nuestra materia,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16E18A1B" w14:textId="77777777" w:rsidR="00531191" w:rsidRPr="00681A91" w:rsidRDefault="00531191">
      <w:pPr>
        <w:spacing w:after="0"/>
        <w:ind w:right="843"/>
        <w:jc w:val="both"/>
        <w:rPr>
          <w:rFonts w:ascii="Palatino Linotype" w:eastAsia="Palatino Linotype" w:hAnsi="Palatino Linotype" w:cs="Palatino Linotype"/>
          <w:i/>
        </w:rPr>
      </w:pPr>
    </w:p>
    <w:p w14:paraId="657BEB06" w14:textId="77777777" w:rsidR="00531191" w:rsidRPr="00681A91" w:rsidRDefault="005948C5">
      <w:pPr>
        <w:spacing w:after="0"/>
        <w:ind w:left="993" w:right="843"/>
        <w:jc w:val="both"/>
        <w:rPr>
          <w:rFonts w:ascii="Palatino Linotype" w:eastAsia="Palatino Linotype" w:hAnsi="Palatino Linotype" w:cs="Palatino Linotype"/>
          <w:i/>
        </w:rPr>
      </w:pPr>
      <w:r w:rsidRPr="00681A91">
        <w:rPr>
          <w:rFonts w:ascii="Palatino Linotype" w:eastAsia="Palatino Linotype" w:hAnsi="Palatino Linotype" w:cs="Palatino Linotype"/>
          <w:b/>
          <w:i/>
        </w:rPr>
        <w:t>“Artículo 92.</w:t>
      </w:r>
      <w:r w:rsidRPr="00681A91">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DF42E61" w14:textId="77777777" w:rsidR="00531191" w:rsidRPr="00681A91" w:rsidRDefault="005948C5">
      <w:pPr>
        <w:spacing w:after="0"/>
        <w:ind w:left="993"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p>
    <w:p w14:paraId="7BA419F9" w14:textId="77777777" w:rsidR="00531191" w:rsidRPr="00681A91" w:rsidRDefault="005948C5">
      <w:pPr>
        <w:spacing w:after="0"/>
        <w:ind w:left="993" w:right="843"/>
        <w:jc w:val="both"/>
        <w:rPr>
          <w:rFonts w:ascii="Palatino Linotype" w:eastAsia="Palatino Linotype" w:hAnsi="Palatino Linotype" w:cs="Palatino Linotype"/>
          <w:i/>
        </w:rPr>
      </w:pPr>
      <w:r w:rsidRPr="00681A91">
        <w:rPr>
          <w:rFonts w:ascii="Palatino Linotype" w:eastAsia="Palatino Linotype" w:hAnsi="Palatino Linotype" w:cs="Palatino Linotype"/>
          <w:b/>
          <w:i/>
        </w:rPr>
        <w:t>VIII. La remuneración bruta y neta de todos los servidores públicos de base o de confianza,</w:t>
      </w:r>
      <w:r w:rsidRPr="00681A91">
        <w:rPr>
          <w:rFonts w:ascii="Palatino Linotype" w:eastAsia="Palatino Linotype" w:hAnsi="Palatino Linotype" w:cs="Palatino Linotype"/>
          <w:i/>
        </w:rPr>
        <w:t xml:space="preserve"> de todas las percepciones, incluyendo sueldos, prestaciones, gratificaciones, primas, comisiones, dietas, bonos, estímulos, ingresos y sistemas de compensación, señalando la periodicidad de dicha remuneración;</w:t>
      </w:r>
    </w:p>
    <w:p w14:paraId="61856462" w14:textId="77777777" w:rsidR="00531191" w:rsidRPr="00681A91" w:rsidRDefault="005948C5">
      <w:pPr>
        <w:spacing w:after="0"/>
        <w:ind w:left="993"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p>
    <w:p w14:paraId="5568F86A" w14:textId="77777777" w:rsidR="00531191" w:rsidRPr="00681A91" w:rsidRDefault="00531191">
      <w:pPr>
        <w:spacing w:after="0"/>
        <w:ind w:left="993" w:right="843"/>
        <w:jc w:val="both"/>
        <w:rPr>
          <w:rFonts w:ascii="Palatino Linotype" w:eastAsia="Palatino Linotype" w:hAnsi="Palatino Linotype" w:cs="Palatino Linotype"/>
          <w:i/>
        </w:rPr>
      </w:pPr>
    </w:p>
    <w:p w14:paraId="370EDB2B" w14:textId="77777777" w:rsidR="00531191" w:rsidRPr="00681A91" w:rsidRDefault="005948C5">
      <w:pPr>
        <w:spacing w:after="0" w:line="360" w:lineRule="auto"/>
        <w:ind w:right="134"/>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Por lo anterior, se puede apreciar que, proporcionar información relacionada con la remuneración de los servidores públicos, es información que obra en los archivos de los sujetos obligados y que se encuentra relacionada con obligaciones de transparencia, situación que constriñe a los sujetos obligados a poner a disposición de los particulares esta información de manera actualizada y permanente. </w:t>
      </w:r>
    </w:p>
    <w:p w14:paraId="4FFAC03C" w14:textId="77777777" w:rsidR="00531191" w:rsidRPr="00681A91" w:rsidRDefault="00531191">
      <w:pPr>
        <w:spacing w:after="0" w:line="360" w:lineRule="auto"/>
        <w:ind w:right="134"/>
        <w:jc w:val="both"/>
        <w:rPr>
          <w:rFonts w:ascii="Palatino Linotype" w:eastAsia="Palatino Linotype" w:hAnsi="Palatino Linotype" w:cs="Palatino Linotype"/>
        </w:rPr>
      </w:pPr>
    </w:p>
    <w:p w14:paraId="61AD9FCD"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Dicho esto, conviene recordar que en respuesta asume que cuenta con la información referente a los operadores de proyecto de transporte y personal de confianza, haciendo entrega del listado que contiene la información correspondiente al personal que presta servicios mediante contrato individual de trabajo por tiempo determinado del primero de julio al veintisiete de diciembre de dos mil veinticuatro, del que se advierte el nombre, puesto y sueldo bruto y neto mensual de cada operador de proyecto de transporte, tal y como se muestra a continuación: </w:t>
      </w:r>
    </w:p>
    <w:p w14:paraId="5CD86BCA" w14:textId="77777777" w:rsidR="00531191" w:rsidRPr="00681A91" w:rsidRDefault="00531191">
      <w:pPr>
        <w:spacing w:after="0" w:line="360" w:lineRule="auto"/>
        <w:ind w:right="49"/>
        <w:jc w:val="both"/>
        <w:rPr>
          <w:rFonts w:ascii="Palatino Linotype" w:eastAsia="Palatino Linotype" w:hAnsi="Palatino Linotype" w:cs="Palatino Linotype"/>
        </w:rPr>
      </w:pPr>
    </w:p>
    <w:p w14:paraId="75AC08EF"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noProof/>
        </w:rPr>
        <w:drawing>
          <wp:inline distT="0" distB="0" distL="0" distR="0" wp14:anchorId="3BDF2DEC" wp14:editId="7BF18F4C">
            <wp:extent cx="5756275" cy="5403215"/>
            <wp:effectExtent l="0" t="0" r="0" b="0"/>
            <wp:docPr id="1816392124" name="image13.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3.png" descr="Tabla&#10;&#10;El contenido generado por IA puede ser incorrecto."/>
                    <pic:cNvPicPr preferRelativeResize="0"/>
                  </pic:nvPicPr>
                  <pic:blipFill>
                    <a:blip r:embed="rId13"/>
                    <a:srcRect/>
                    <a:stretch>
                      <a:fillRect/>
                    </a:stretch>
                  </pic:blipFill>
                  <pic:spPr>
                    <a:xfrm>
                      <a:off x="0" y="0"/>
                      <a:ext cx="5756275" cy="5403215"/>
                    </a:xfrm>
                    <a:prstGeom prst="rect">
                      <a:avLst/>
                    </a:prstGeom>
                    <a:ln/>
                  </pic:spPr>
                </pic:pic>
              </a:graphicData>
            </a:graphic>
          </wp:inline>
        </w:drawing>
      </w:r>
    </w:p>
    <w:p w14:paraId="63DFAFE2" w14:textId="77777777" w:rsidR="00531191" w:rsidRPr="00681A91" w:rsidRDefault="00531191">
      <w:pPr>
        <w:spacing w:after="0" w:line="360" w:lineRule="auto"/>
        <w:ind w:right="49"/>
        <w:jc w:val="both"/>
        <w:rPr>
          <w:rFonts w:ascii="Palatino Linotype" w:eastAsia="Palatino Linotype" w:hAnsi="Palatino Linotype" w:cs="Palatino Linotype"/>
        </w:rPr>
      </w:pPr>
    </w:p>
    <w:p w14:paraId="176B6312"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De lo anterior se advierte que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xml:space="preserve"> colmó la pretensión de la parte </w:t>
      </w:r>
      <w:r w:rsidRPr="00681A91">
        <w:rPr>
          <w:rFonts w:ascii="Palatino Linotype" w:eastAsia="Palatino Linotype" w:hAnsi="Palatino Linotype" w:cs="Palatino Linotype"/>
          <w:b/>
        </w:rPr>
        <w:t>Recurrente</w:t>
      </w:r>
      <w:r w:rsidRPr="00681A91">
        <w:rPr>
          <w:rFonts w:ascii="Palatino Linotype" w:eastAsia="Palatino Linotype" w:hAnsi="Palatino Linotype" w:cs="Palatino Linotype"/>
        </w:rPr>
        <w:t xml:space="preserve"> respecto al personal operador de proyecto de transporte durante la temporalidad solicitada. </w:t>
      </w:r>
    </w:p>
    <w:p w14:paraId="0DC46795" w14:textId="77777777" w:rsidR="00531191" w:rsidRPr="00681A91" w:rsidRDefault="00531191">
      <w:pPr>
        <w:spacing w:after="0" w:line="360" w:lineRule="auto"/>
        <w:ind w:right="49"/>
        <w:jc w:val="both"/>
        <w:rPr>
          <w:rFonts w:ascii="Palatino Linotype" w:eastAsia="Palatino Linotype" w:hAnsi="Palatino Linotype" w:cs="Palatino Linotype"/>
        </w:rPr>
      </w:pPr>
    </w:p>
    <w:p w14:paraId="42C681E4"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Ahora bien, respecto al personal de confianza, informó que es información pública de oficio y se encuentra publicada en el Portal de Información Pública de Oficio Mexiquense (IPOMEX 4.0), Artículo 92, Estructura Organizacional, Fracción VIIA- REMUNERACIÓNES, que puede consultarse en el siguiente enlace:</w:t>
      </w:r>
    </w:p>
    <w:p w14:paraId="5471DB99"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noProof/>
        </w:rPr>
        <w:drawing>
          <wp:inline distT="0" distB="0" distL="0" distR="0" wp14:anchorId="7D134B45" wp14:editId="683B8F39">
            <wp:extent cx="5445793" cy="562773"/>
            <wp:effectExtent l="0" t="0" r="0" b="0"/>
            <wp:docPr id="18163921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445793" cy="562773"/>
                    </a:xfrm>
                    <a:prstGeom prst="rect">
                      <a:avLst/>
                    </a:prstGeom>
                    <a:ln/>
                  </pic:spPr>
                </pic:pic>
              </a:graphicData>
            </a:graphic>
          </wp:inline>
        </w:drawing>
      </w:r>
    </w:p>
    <w:p w14:paraId="2F025945"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Liga electrónica que como puede advertirse se encuentra en formato cerrado, es decir, que no se puede copiar y pegar para tener acceso; sobre el tema, Trujillo, Humberto (2019), en el “Diccionario de Transparencia y Acceso a la Información Pública”, precisa que cuando un </w:t>
      </w:r>
      <w:r w:rsidRPr="00681A91">
        <w:rPr>
          <w:rFonts w:ascii="Palatino Linotype" w:eastAsia="Palatino Linotype" w:hAnsi="Palatino Linotype" w:cs="Palatino Linotype"/>
          <w:b/>
        </w:rPr>
        <w:t xml:space="preserve">Sujeto Obligado </w:t>
      </w:r>
      <w:r w:rsidRPr="00681A91">
        <w:rPr>
          <w:rFonts w:ascii="Palatino Linotype" w:eastAsia="Palatino Linotype" w:hAnsi="Palatino Linotype" w:cs="Palatino Linotype"/>
        </w:rPr>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082779FF" w14:textId="77777777" w:rsidR="00531191" w:rsidRPr="00681A91" w:rsidRDefault="00531191">
      <w:pPr>
        <w:spacing w:after="0" w:line="360" w:lineRule="auto"/>
        <w:jc w:val="both"/>
        <w:rPr>
          <w:rFonts w:ascii="Palatino Linotype" w:eastAsia="Palatino Linotype" w:hAnsi="Palatino Linotype" w:cs="Palatino Linotype"/>
        </w:rPr>
      </w:pPr>
    </w:p>
    <w:p w14:paraId="6D7FDB83"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14:paraId="5D15336A" w14:textId="77777777" w:rsidR="00531191" w:rsidRPr="00681A91" w:rsidRDefault="00531191">
      <w:pPr>
        <w:spacing w:after="0" w:line="360" w:lineRule="auto"/>
        <w:jc w:val="both"/>
        <w:rPr>
          <w:rFonts w:ascii="Palatino Linotype" w:eastAsia="Palatino Linotype" w:hAnsi="Palatino Linotype" w:cs="Palatino Linotype"/>
        </w:rPr>
      </w:pPr>
    </w:p>
    <w:p w14:paraId="1162490B"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0298F52E"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 </w:t>
      </w:r>
    </w:p>
    <w:p w14:paraId="41029272" w14:textId="77777777" w:rsidR="00531191" w:rsidRPr="00681A91" w:rsidRDefault="005948C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b/>
        </w:rPr>
        <w:t>Dato abierto:</w:t>
      </w:r>
      <w:r w:rsidRPr="00681A91">
        <w:rPr>
          <w:rFonts w:ascii="Palatino Linotype" w:eastAsia="Palatino Linotype" w:hAnsi="Palatino Linotype" w:cs="Palatino Linotype"/>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1AB8E3C1" w14:textId="77777777" w:rsidR="00531191" w:rsidRPr="00681A91" w:rsidRDefault="00531191">
      <w:pPr>
        <w:spacing w:after="0" w:line="360" w:lineRule="auto"/>
        <w:ind w:firstLine="60"/>
        <w:jc w:val="both"/>
        <w:rPr>
          <w:rFonts w:ascii="Palatino Linotype" w:eastAsia="Palatino Linotype" w:hAnsi="Palatino Linotype" w:cs="Palatino Linotype"/>
        </w:rPr>
      </w:pPr>
    </w:p>
    <w:p w14:paraId="42062068" w14:textId="77777777" w:rsidR="00531191" w:rsidRPr="00681A91" w:rsidRDefault="005948C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b/>
        </w:rPr>
        <w:t xml:space="preserve">Formato accesible: </w:t>
      </w:r>
      <w:r w:rsidRPr="00681A91">
        <w:rPr>
          <w:rFonts w:ascii="Palatino Linotype" w:eastAsia="Palatino Linotype" w:hAnsi="Palatino Linotype" w:cs="Palatino Linotype"/>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0015FF97" w14:textId="77777777" w:rsidR="00531191" w:rsidRPr="00681A91" w:rsidRDefault="00531191">
      <w:pPr>
        <w:spacing w:after="0" w:line="360" w:lineRule="auto"/>
        <w:jc w:val="both"/>
        <w:rPr>
          <w:rFonts w:ascii="Palatino Linotype" w:eastAsia="Palatino Linotype" w:hAnsi="Palatino Linotype" w:cs="Palatino Linotype"/>
        </w:rPr>
      </w:pPr>
    </w:p>
    <w:p w14:paraId="66FAF41B"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Conforme a lo anterior, se considera que en el caso de que la información peticionada obre en ligas electrónicas,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xml:space="preserve"> deberá privilegiar la entrega de estas, en datos abiertos, es decir, en un formato que permita la accesibilidad y facilidad a los Particulares, para obtener la información contenida en estas.</w:t>
      </w:r>
    </w:p>
    <w:p w14:paraId="4473AF1D" w14:textId="77777777" w:rsidR="00531191" w:rsidRPr="00681A91" w:rsidRDefault="00531191">
      <w:pPr>
        <w:spacing w:after="0" w:line="360" w:lineRule="auto"/>
        <w:jc w:val="both"/>
        <w:rPr>
          <w:rFonts w:ascii="Palatino Linotype" w:eastAsia="Palatino Linotype" w:hAnsi="Palatino Linotype" w:cs="Palatino Linotype"/>
        </w:rPr>
      </w:pPr>
    </w:p>
    <w:p w14:paraId="2511C3F4"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Al respecto, el artículo 161 de la Ley de Transparencia y Acceso a la Información Pública del Estado de México y Municipios, establece que cuando la documentación peticionada ya se encuentre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35972801" w14:textId="77777777" w:rsidR="00531191" w:rsidRPr="00681A91" w:rsidRDefault="00531191">
      <w:pPr>
        <w:spacing w:after="0" w:line="360" w:lineRule="auto"/>
        <w:jc w:val="both"/>
        <w:rPr>
          <w:rFonts w:ascii="Palatino Linotype" w:eastAsia="Palatino Linotype" w:hAnsi="Palatino Linotype" w:cs="Palatino Linotype"/>
        </w:rPr>
      </w:pPr>
    </w:p>
    <w:p w14:paraId="02E68955"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Como se logra observar,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xml:space="preserve"> si bien señaló una página electrónica, omitió proporcionarla en formato abierto; lo cual implica la dificultad de acceder a la misma, pues se traduce al hecho de que el particular tendría que colocar cada dígito alfanumérico, y cuya equivocación implicaría no acceder a la información contenida en la misma; por lo que no puede darse por atendido la información referente al personal de confianza de la Secretaría de Movilidad. </w:t>
      </w:r>
    </w:p>
    <w:p w14:paraId="612F229F" w14:textId="77777777" w:rsidR="00531191" w:rsidRPr="00681A91" w:rsidRDefault="00531191">
      <w:pPr>
        <w:spacing w:after="0" w:line="360" w:lineRule="auto"/>
        <w:jc w:val="both"/>
        <w:rPr>
          <w:rFonts w:ascii="Palatino Linotype" w:eastAsia="Palatino Linotype" w:hAnsi="Palatino Linotype" w:cs="Palatino Linotype"/>
        </w:rPr>
      </w:pPr>
    </w:p>
    <w:p w14:paraId="68501610"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Finalmente, y respecto a la información referente a los lideres de proyecto,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xml:space="preserve"> informó que no se encontró información que coincida con los criterios solicitados; sin embargo, este Organismo Garante consulto la información que tiene publicada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xml:space="preserve"> dentro del Portal de Información Pública de Oficio Mexiquense, del se advierte que, si cuenta con puestos denominados “Líder de Proyecto”, tal y como se muestra a continuación: </w:t>
      </w:r>
    </w:p>
    <w:p w14:paraId="636B4EA9" w14:textId="77777777" w:rsidR="00531191" w:rsidRPr="00681A91" w:rsidRDefault="00531191">
      <w:pPr>
        <w:spacing w:after="0" w:line="360" w:lineRule="auto"/>
        <w:jc w:val="both"/>
        <w:rPr>
          <w:rFonts w:ascii="Palatino Linotype" w:eastAsia="Palatino Linotype" w:hAnsi="Palatino Linotype" w:cs="Palatino Linotype"/>
        </w:rPr>
      </w:pPr>
    </w:p>
    <w:p w14:paraId="26B583FC"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noProof/>
        </w:rPr>
        <w:drawing>
          <wp:inline distT="0" distB="0" distL="0" distR="0" wp14:anchorId="4FF272F8" wp14:editId="23317833">
            <wp:extent cx="5756275" cy="3630295"/>
            <wp:effectExtent l="0" t="0" r="0" b="0"/>
            <wp:docPr id="18163921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56275" cy="3630295"/>
                    </a:xfrm>
                    <a:prstGeom prst="rect">
                      <a:avLst/>
                    </a:prstGeom>
                    <a:ln/>
                  </pic:spPr>
                </pic:pic>
              </a:graphicData>
            </a:graphic>
          </wp:inline>
        </w:drawing>
      </w:r>
      <w:r w:rsidRPr="00681A91">
        <w:rPr>
          <w:noProof/>
        </w:rPr>
        <mc:AlternateContent>
          <mc:Choice Requires="wpg">
            <w:drawing>
              <wp:anchor distT="0" distB="0" distL="114300" distR="114300" simplePos="0" relativeHeight="251658240" behindDoc="0" locked="0" layoutInCell="1" hidden="0" allowOverlap="1" wp14:anchorId="3BDD09C7" wp14:editId="29CCFB8C">
                <wp:simplePos x="0" y="0"/>
                <wp:positionH relativeFrom="column">
                  <wp:posOffset>3172778</wp:posOffset>
                </wp:positionH>
                <wp:positionV relativeFrom="paragraph">
                  <wp:posOffset>1136333</wp:posOffset>
                </wp:positionV>
                <wp:extent cx="701436" cy="2257425"/>
                <wp:effectExtent l="0" t="0" r="0" b="0"/>
                <wp:wrapNone/>
                <wp:docPr id="1816392113" name="Rectángulo 1816392113"/>
                <wp:cNvGraphicFramePr/>
                <a:graphic xmlns:a="http://schemas.openxmlformats.org/drawingml/2006/main">
                  <a:graphicData uri="http://schemas.microsoft.com/office/word/2010/wordprocessingShape">
                    <wps:wsp>
                      <wps:cNvSpPr/>
                      <wps:spPr>
                        <a:xfrm>
                          <a:off x="5009570" y="2665575"/>
                          <a:ext cx="672861" cy="2228850"/>
                        </a:xfrm>
                        <a:prstGeom prst="rect">
                          <a:avLst/>
                        </a:prstGeom>
                        <a:noFill/>
                        <a:ln w="28575" cap="flat" cmpd="sng">
                          <a:solidFill>
                            <a:srgbClr val="EE0000"/>
                          </a:solidFill>
                          <a:prstDash val="solid"/>
                          <a:miter lim="800000"/>
                          <a:headEnd type="none" w="sm" len="sm"/>
                          <a:tailEnd type="none" w="sm" len="sm"/>
                        </a:ln>
                      </wps:spPr>
                      <wps:txbx>
                        <w:txbxContent>
                          <w:p w14:paraId="6050185B" w14:textId="77777777" w:rsidR="00531191" w:rsidRDefault="0053119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3172778</wp:posOffset>
                </wp:positionH>
                <wp:positionV relativeFrom="paragraph">
                  <wp:posOffset>1136333</wp:posOffset>
                </wp:positionV>
                <wp:extent cx="701436" cy="2257425"/>
                <wp:effectExtent b="0" l="0" r="0" t="0"/>
                <wp:wrapNone/>
                <wp:docPr id="1816392113"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701436" cy="2257425"/>
                        </a:xfrm>
                        <a:prstGeom prst="rect"/>
                        <a:ln/>
                      </pic:spPr>
                    </pic:pic>
                  </a:graphicData>
                </a:graphic>
              </wp:anchor>
            </w:drawing>
          </mc:Fallback>
        </mc:AlternateContent>
      </w:r>
      <w:r w:rsidRPr="00681A91">
        <w:rPr>
          <w:noProof/>
        </w:rPr>
        <mc:AlternateContent>
          <mc:Choice Requires="wpg">
            <w:drawing>
              <wp:anchor distT="0" distB="0" distL="114300" distR="114300" simplePos="0" relativeHeight="251659264" behindDoc="0" locked="0" layoutInCell="1" hidden="0" allowOverlap="1" wp14:anchorId="37DB050C" wp14:editId="685D795F">
                <wp:simplePos x="0" y="0"/>
                <wp:positionH relativeFrom="column">
                  <wp:posOffset>-8571</wp:posOffset>
                </wp:positionH>
                <wp:positionV relativeFrom="paragraph">
                  <wp:posOffset>1498283</wp:posOffset>
                </wp:positionV>
                <wp:extent cx="476250" cy="1781175"/>
                <wp:effectExtent l="0" t="0" r="0" b="0"/>
                <wp:wrapNone/>
                <wp:docPr id="1816392117" name="Rectángulo 1816392117"/>
                <wp:cNvGraphicFramePr/>
                <a:graphic xmlns:a="http://schemas.openxmlformats.org/drawingml/2006/main">
                  <a:graphicData uri="http://schemas.microsoft.com/office/word/2010/wordprocessingShape">
                    <wps:wsp>
                      <wps:cNvSpPr/>
                      <wps:spPr>
                        <a:xfrm>
                          <a:off x="5122163" y="2903700"/>
                          <a:ext cx="447675" cy="1752600"/>
                        </a:xfrm>
                        <a:prstGeom prst="rect">
                          <a:avLst/>
                        </a:prstGeom>
                        <a:noFill/>
                        <a:ln w="28575" cap="flat" cmpd="sng">
                          <a:solidFill>
                            <a:srgbClr val="EE0000"/>
                          </a:solidFill>
                          <a:prstDash val="solid"/>
                          <a:miter lim="800000"/>
                          <a:headEnd type="none" w="sm" len="sm"/>
                          <a:tailEnd type="none" w="sm" len="sm"/>
                        </a:ln>
                      </wps:spPr>
                      <wps:txbx>
                        <w:txbxContent>
                          <w:p w14:paraId="0C0A7F22" w14:textId="77777777" w:rsidR="00531191" w:rsidRDefault="0053119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-8571</wp:posOffset>
                </wp:positionH>
                <wp:positionV relativeFrom="paragraph">
                  <wp:posOffset>1498283</wp:posOffset>
                </wp:positionV>
                <wp:extent cx="476250" cy="1781175"/>
                <wp:effectExtent b="0" l="0" r="0" t="0"/>
                <wp:wrapNone/>
                <wp:docPr id="1816392117"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476250" cy="1781175"/>
                        </a:xfrm>
                        <a:prstGeom prst="rect"/>
                        <a:ln/>
                      </pic:spPr>
                    </pic:pic>
                  </a:graphicData>
                </a:graphic>
              </wp:anchor>
            </w:drawing>
          </mc:Fallback>
        </mc:AlternateContent>
      </w:r>
    </w:p>
    <w:p w14:paraId="1C95252E"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noProof/>
        </w:rPr>
        <w:drawing>
          <wp:inline distT="0" distB="0" distL="0" distR="0" wp14:anchorId="65060D72" wp14:editId="343EC9BF">
            <wp:extent cx="5756275" cy="1496695"/>
            <wp:effectExtent l="0" t="0" r="0" b="0"/>
            <wp:docPr id="18163921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756275" cy="1496695"/>
                    </a:xfrm>
                    <a:prstGeom prst="rect">
                      <a:avLst/>
                    </a:prstGeom>
                    <a:ln/>
                  </pic:spPr>
                </pic:pic>
              </a:graphicData>
            </a:graphic>
          </wp:inline>
        </w:drawing>
      </w:r>
    </w:p>
    <w:p w14:paraId="20C005E4" w14:textId="77777777" w:rsidR="00531191" w:rsidRPr="00681A91" w:rsidRDefault="00531191">
      <w:pPr>
        <w:spacing w:after="0" w:line="360" w:lineRule="auto"/>
        <w:jc w:val="center"/>
        <w:rPr>
          <w:rFonts w:ascii="Palatino Linotype" w:eastAsia="Palatino Linotype" w:hAnsi="Palatino Linotype" w:cs="Palatino Linotype"/>
        </w:rPr>
      </w:pPr>
    </w:p>
    <w:p w14:paraId="01AECDCE" w14:textId="77777777" w:rsidR="00531191" w:rsidRPr="00681A91" w:rsidRDefault="005948C5">
      <w:pPr>
        <w:spacing w:after="0" w:line="360" w:lineRule="auto"/>
        <w:ind w:right="49"/>
        <w:jc w:val="both"/>
        <w:rPr>
          <w:rFonts w:ascii="Palatino Linotype" w:eastAsia="Palatino Linotype" w:hAnsi="Palatino Linotype" w:cs="Palatino Linotype"/>
          <w:i/>
        </w:rPr>
      </w:pPr>
      <w:r w:rsidRPr="00681A91">
        <w:rPr>
          <w:rFonts w:ascii="Palatino Linotype" w:eastAsia="Palatino Linotype" w:hAnsi="Palatino Linotype" w:cs="Palatino Linotype"/>
        </w:rPr>
        <w:t xml:space="preserve">De las imágenes insertadas con anterioridad, se advierte que contrario con lo manifestado por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xml:space="preserve"> en respuesta, la Secretaría de Movilidad si cuenta con servidores públicos que ostentan el cargo de </w:t>
      </w:r>
      <w:r w:rsidRPr="00681A91">
        <w:rPr>
          <w:rFonts w:ascii="Palatino Linotype" w:eastAsia="Palatino Linotype" w:hAnsi="Palatino Linotype" w:cs="Palatino Linotype"/>
          <w:i/>
        </w:rPr>
        <w:t>lideresa o líder de proyecto</w:t>
      </w:r>
      <w:r w:rsidRPr="00681A91">
        <w:rPr>
          <w:rFonts w:ascii="Palatino Linotype" w:eastAsia="Palatino Linotype" w:hAnsi="Palatino Linotype" w:cs="Palatino Linotype"/>
        </w:rPr>
        <w:t>; por lo que tampoco se puede dar por atendido dicho requerimiento.</w:t>
      </w:r>
      <w:r w:rsidRPr="00681A91">
        <w:rPr>
          <w:rFonts w:ascii="Palatino Linotype" w:eastAsia="Palatino Linotype" w:hAnsi="Palatino Linotype" w:cs="Palatino Linotype"/>
          <w:i/>
        </w:rPr>
        <w:t xml:space="preserve"> </w:t>
      </w:r>
    </w:p>
    <w:p w14:paraId="2A1A0060" w14:textId="77777777" w:rsidR="00531191" w:rsidRPr="00681A91" w:rsidRDefault="00531191">
      <w:pPr>
        <w:spacing w:after="0" w:line="360" w:lineRule="auto"/>
        <w:ind w:right="49"/>
        <w:jc w:val="both"/>
        <w:rPr>
          <w:rFonts w:ascii="Palatino Linotype" w:eastAsia="Palatino Linotype" w:hAnsi="Palatino Linotype" w:cs="Palatino Linotype"/>
        </w:rPr>
      </w:pPr>
    </w:p>
    <w:p w14:paraId="428D209E" w14:textId="77777777" w:rsidR="00531191" w:rsidRPr="00681A91" w:rsidRDefault="005948C5">
      <w:pPr>
        <w:spacing w:after="0" w:line="360" w:lineRule="auto"/>
        <w:jc w:val="both"/>
        <w:rPr>
          <w:rFonts w:ascii="Palatino Linotype" w:eastAsia="Palatino Linotype" w:hAnsi="Palatino Linotype" w:cs="Palatino Linotype"/>
        </w:rPr>
      </w:pPr>
      <w:bookmarkStart w:id="3" w:name="_heading=h.2103afgfnne9" w:colFirst="0" w:colLast="0"/>
      <w:bookmarkEnd w:id="3"/>
      <w:r w:rsidRPr="00681A91">
        <w:rPr>
          <w:rFonts w:ascii="Palatino Linotype" w:eastAsia="Palatino Linotype" w:hAnsi="Palatino Linotype" w:cs="Palatino Linotype"/>
        </w:rPr>
        <w:t xml:space="preserve">Ahora bien, no se omite mencionar que, de manera enunciativa más no limitativa, la información que puede dar cuenta de la información requerida es la nómina detallada, la cual de acuerdo con los Lineamientos para la integración y entrega del Informe Estatal, para el ejercicio 2024 y los Instructivos de llenado correspondientes, en el Módulo 4, se puede encontrar un formato con esa denominación, el cual contiene lo siguiente: </w:t>
      </w:r>
    </w:p>
    <w:p w14:paraId="3B2931A7" w14:textId="77777777" w:rsidR="00531191" w:rsidRPr="00681A91" w:rsidRDefault="00531191">
      <w:pPr>
        <w:spacing w:after="0" w:line="360" w:lineRule="auto"/>
        <w:jc w:val="both"/>
        <w:rPr>
          <w:rFonts w:ascii="Palatino Linotype" w:eastAsia="Palatino Linotype" w:hAnsi="Palatino Linotype" w:cs="Palatino Linotype"/>
        </w:rPr>
      </w:pPr>
    </w:p>
    <w:p w14:paraId="3662AEDB" w14:textId="77777777" w:rsidR="00531191" w:rsidRPr="00681A91" w:rsidRDefault="005948C5">
      <w:pPr>
        <w:spacing w:after="0" w:line="360" w:lineRule="auto"/>
        <w:ind w:right="49"/>
        <w:jc w:val="center"/>
        <w:rPr>
          <w:rFonts w:ascii="Palatino Linotype" w:eastAsia="Palatino Linotype" w:hAnsi="Palatino Linotype" w:cs="Palatino Linotype"/>
        </w:rPr>
      </w:pPr>
      <w:r w:rsidRPr="00681A91">
        <w:rPr>
          <w:rFonts w:ascii="Palatino Linotype" w:eastAsia="Palatino Linotype" w:hAnsi="Palatino Linotype" w:cs="Palatino Linotype"/>
          <w:noProof/>
        </w:rPr>
        <w:drawing>
          <wp:inline distT="0" distB="0" distL="0" distR="0" wp14:anchorId="67CE7D79" wp14:editId="77B08A08">
            <wp:extent cx="5426800" cy="2496719"/>
            <wp:effectExtent l="0" t="0" r="0" b="0"/>
            <wp:docPr id="1816392128" name="image7.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Tabla&#10;&#10;El contenido generado por IA puede ser incorrecto."/>
                    <pic:cNvPicPr preferRelativeResize="0"/>
                  </pic:nvPicPr>
                  <pic:blipFill>
                    <a:blip r:embed="rId17"/>
                    <a:srcRect/>
                    <a:stretch>
                      <a:fillRect/>
                    </a:stretch>
                  </pic:blipFill>
                  <pic:spPr>
                    <a:xfrm>
                      <a:off x="0" y="0"/>
                      <a:ext cx="5426800" cy="2496719"/>
                    </a:xfrm>
                    <a:prstGeom prst="rect">
                      <a:avLst/>
                    </a:prstGeom>
                    <a:ln/>
                  </pic:spPr>
                </pic:pic>
              </a:graphicData>
            </a:graphic>
          </wp:inline>
        </w:drawing>
      </w:r>
    </w:p>
    <w:p w14:paraId="02DAE393" w14:textId="77777777" w:rsidR="00531191" w:rsidRPr="00681A91" w:rsidRDefault="005948C5">
      <w:pPr>
        <w:spacing w:after="0" w:line="360" w:lineRule="auto"/>
        <w:ind w:right="49"/>
        <w:jc w:val="center"/>
        <w:rPr>
          <w:rFonts w:ascii="Palatino Linotype" w:eastAsia="Palatino Linotype" w:hAnsi="Palatino Linotype" w:cs="Palatino Linotype"/>
        </w:rPr>
      </w:pPr>
      <w:r w:rsidRPr="00681A91">
        <w:rPr>
          <w:rFonts w:ascii="Palatino Linotype" w:eastAsia="Palatino Linotype" w:hAnsi="Palatino Linotype" w:cs="Palatino Linotype"/>
          <w:noProof/>
        </w:rPr>
        <w:drawing>
          <wp:inline distT="0" distB="0" distL="0" distR="0" wp14:anchorId="4AAC5782" wp14:editId="50A5E0C8">
            <wp:extent cx="4252648" cy="3000545"/>
            <wp:effectExtent l="0" t="0" r="0" b="0"/>
            <wp:docPr id="1816392127" name="image4.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Tabla&#10;&#10;El contenido generado por IA puede ser incorrecto."/>
                    <pic:cNvPicPr preferRelativeResize="0"/>
                  </pic:nvPicPr>
                  <pic:blipFill>
                    <a:blip r:embed="rId18"/>
                    <a:srcRect/>
                    <a:stretch>
                      <a:fillRect/>
                    </a:stretch>
                  </pic:blipFill>
                  <pic:spPr>
                    <a:xfrm>
                      <a:off x="0" y="0"/>
                      <a:ext cx="4252648" cy="3000545"/>
                    </a:xfrm>
                    <a:prstGeom prst="rect">
                      <a:avLst/>
                    </a:prstGeom>
                    <a:ln/>
                  </pic:spPr>
                </pic:pic>
              </a:graphicData>
            </a:graphic>
          </wp:inline>
        </w:drawing>
      </w:r>
      <w:r w:rsidRPr="00681A91">
        <w:rPr>
          <w:noProof/>
        </w:rPr>
        <mc:AlternateContent>
          <mc:Choice Requires="wpg">
            <w:drawing>
              <wp:anchor distT="0" distB="0" distL="114300" distR="114300" simplePos="0" relativeHeight="251660288" behindDoc="0" locked="0" layoutInCell="1" hidden="0" allowOverlap="1" wp14:anchorId="06AD283C" wp14:editId="3BED3587">
                <wp:simplePos x="0" y="0"/>
                <wp:positionH relativeFrom="column">
                  <wp:posOffset>782272</wp:posOffset>
                </wp:positionH>
                <wp:positionV relativeFrom="paragraph">
                  <wp:posOffset>2010122</wp:posOffset>
                </wp:positionV>
                <wp:extent cx="3573133" cy="433118"/>
                <wp:effectExtent l="0" t="0" r="0" b="0"/>
                <wp:wrapNone/>
                <wp:docPr id="1816392114" name="Rectángulo 1816392114"/>
                <wp:cNvGraphicFramePr/>
                <a:graphic xmlns:a="http://schemas.openxmlformats.org/drawingml/2006/main">
                  <a:graphicData uri="http://schemas.microsoft.com/office/word/2010/wordprocessingShape">
                    <wps:wsp>
                      <wps:cNvSpPr/>
                      <wps:spPr>
                        <a:xfrm>
                          <a:off x="3568959" y="3572966"/>
                          <a:ext cx="3554083" cy="414068"/>
                        </a:xfrm>
                        <a:prstGeom prst="rect">
                          <a:avLst/>
                        </a:prstGeom>
                        <a:noFill/>
                        <a:ln w="19050" cap="flat" cmpd="sng">
                          <a:solidFill>
                            <a:srgbClr val="EE0000"/>
                          </a:solidFill>
                          <a:prstDash val="solid"/>
                          <a:miter lim="800000"/>
                          <a:headEnd type="none" w="sm" len="sm"/>
                          <a:tailEnd type="none" w="sm" len="sm"/>
                        </a:ln>
                      </wps:spPr>
                      <wps:txbx>
                        <w:txbxContent>
                          <w:p w14:paraId="0B63FA11" w14:textId="77777777" w:rsidR="00531191" w:rsidRDefault="0053119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782272</wp:posOffset>
                </wp:positionH>
                <wp:positionV relativeFrom="paragraph">
                  <wp:posOffset>2010122</wp:posOffset>
                </wp:positionV>
                <wp:extent cx="3573133" cy="433118"/>
                <wp:effectExtent b="0" l="0" r="0" t="0"/>
                <wp:wrapNone/>
                <wp:docPr id="1816392114"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3573133" cy="433118"/>
                        </a:xfrm>
                        <a:prstGeom prst="rect"/>
                        <a:ln/>
                      </pic:spPr>
                    </pic:pic>
                  </a:graphicData>
                </a:graphic>
              </wp:anchor>
            </w:drawing>
          </mc:Fallback>
        </mc:AlternateContent>
      </w:r>
      <w:r w:rsidRPr="00681A91">
        <w:rPr>
          <w:noProof/>
        </w:rPr>
        <mc:AlternateContent>
          <mc:Choice Requires="wpg">
            <w:drawing>
              <wp:anchor distT="0" distB="0" distL="114300" distR="114300" simplePos="0" relativeHeight="251661312" behindDoc="0" locked="0" layoutInCell="1" hidden="0" allowOverlap="1" wp14:anchorId="162B4A92" wp14:editId="15D8844E">
                <wp:simplePos x="0" y="0"/>
                <wp:positionH relativeFrom="column">
                  <wp:posOffset>782271</wp:posOffset>
                </wp:positionH>
                <wp:positionV relativeFrom="paragraph">
                  <wp:posOffset>2751994</wp:posOffset>
                </wp:positionV>
                <wp:extent cx="4228405" cy="246907"/>
                <wp:effectExtent l="0" t="0" r="0" b="0"/>
                <wp:wrapNone/>
                <wp:docPr id="1816392115" name="Rectángulo 1816392115"/>
                <wp:cNvGraphicFramePr/>
                <a:graphic xmlns:a="http://schemas.openxmlformats.org/drawingml/2006/main">
                  <a:graphicData uri="http://schemas.microsoft.com/office/word/2010/wordprocessingShape">
                    <wps:wsp>
                      <wps:cNvSpPr/>
                      <wps:spPr>
                        <a:xfrm>
                          <a:off x="3241323" y="3666072"/>
                          <a:ext cx="4209355" cy="227857"/>
                        </a:xfrm>
                        <a:prstGeom prst="rect">
                          <a:avLst/>
                        </a:prstGeom>
                        <a:noFill/>
                        <a:ln w="19050" cap="flat" cmpd="sng">
                          <a:solidFill>
                            <a:srgbClr val="EE0000"/>
                          </a:solidFill>
                          <a:prstDash val="solid"/>
                          <a:miter lim="800000"/>
                          <a:headEnd type="none" w="sm" len="sm"/>
                          <a:tailEnd type="none" w="sm" len="sm"/>
                        </a:ln>
                      </wps:spPr>
                      <wps:txbx>
                        <w:txbxContent>
                          <w:p w14:paraId="7D17A2F0" w14:textId="77777777" w:rsidR="00531191" w:rsidRDefault="0053119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782271</wp:posOffset>
                </wp:positionH>
                <wp:positionV relativeFrom="paragraph">
                  <wp:posOffset>2751994</wp:posOffset>
                </wp:positionV>
                <wp:extent cx="4228405" cy="246907"/>
                <wp:effectExtent b="0" l="0" r="0" t="0"/>
                <wp:wrapNone/>
                <wp:docPr id="1816392115"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4228405" cy="246907"/>
                        </a:xfrm>
                        <a:prstGeom prst="rect"/>
                        <a:ln/>
                      </pic:spPr>
                    </pic:pic>
                  </a:graphicData>
                </a:graphic>
              </wp:anchor>
            </w:drawing>
          </mc:Fallback>
        </mc:AlternateContent>
      </w:r>
    </w:p>
    <w:p w14:paraId="225933FA" w14:textId="77777777" w:rsidR="00531191" w:rsidRPr="00681A91" w:rsidRDefault="005948C5">
      <w:pPr>
        <w:spacing w:after="0" w:line="360" w:lineRule="auto"/>
        <w:ind w:right="49"/>
        <w:jc w:val="center"/>
        <w:rPr>
          <w:rFonts w:ascii="Palatino Linotype" w:eastAsia="Palatino Linotype" w:hAnsi="Palatino Linotype" w:cs="Palatino Linotype"/>
        </w:rPr>
      </w:pPr>
      <w:r w:rsidRPr="00681A91">
        <w:rPr>
          <w:rFonts w:ascii="Palatino Linotype" w:eastAsia="Palatino Linotype" w:hAnsi="Palatino Linotype" w:cs="Palatino Linotype"/>
          <w:noProof/>
        </w:rPr>
        <w:drawing>
          <wp:inline distT="0" distB="0" distL="0" distR="0" wp14:anchorId="2E585FD5" wp14:editId="0F612A66">
            <wp:extent cx="4271437" cy="4393949"/>
            <wp:effectExtent l="0" t="0" r="0" b="0"/>
            <wp:docPr id="1816392129" name="image8.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png" descr="Tabla&#10;&#10;El contenido generado por IA puede ser incorrecto."/>
                    <pic:cNvPicPr preferRelativeResize="0"/>
                  </pic:nvPicPr>
                  <pic:blipFill>
                    <a:blip r:embed="rId19"/>
                    <a:srcRect/>
                    <a:stretch>
                      <a:fillRect/>
                    </a:stretch>
                  </pic:blipFill>
                  <pic:spPr>
                    <a:xfrm>
                      <a:off x="0" y="0"/>
                      <a:ext cx="4271437" cy="4393949"/>
                    </a:xfrm>
                    <a:prstGeom prst="rect">
                      <a:avLst/>
                    </a:prstGeom>
                    <a:ln/>
                  </pic:spPr>
                </pic:pic>
              </a:graphicData>
            </a:graphic>
          </wp:inline>
        </w:drawing>
      </w:r>
      <w:r w:rsidRPr="00681A91">
        <w:rPr>
          <w:noProof/>
        </w:rPr>
        <mc:AlternateContent>
          <mc:Choice Requires="wpg">
            <w:drawing>
              <wp:anchor distT="0" distB="0" distL="114300" distR="114300" simplePos="0" relativeHeight="251662336" behindDoc="0" locked="0" layoutInCell="1" hidden="0" allowOverlap="1" wp14:anchorId="1DA4517D" wp14:editId="43D6F85C">
                <wp:simplePos x="0" y="0"/>
                <wp:positionH relativeFrom="column">
                  <wp:posOffset>678754</wp:posOffset>
                </wp:positionH>
                <wp:positionV relativeFrom="paragraph">
                  <wp:posOffset>184749</wp:posOffset>
                </wp:positionV>
                <wp:extent cx="4030333" cy="165699"/>
                <wp:effectExtent l="0" t="0" r="0" b="0"/>
                <wp:wrapNone/>
                <wp:docPr id="1816392116" name="Rectángulo 1816392116"/>
                <wp:cNvGraphicFramePr/>
                <a:graphic xmlns:a="http://schemas.openxmlformats.org/drawingml/2006/main">
                  <a:graphicData uri="http://schemas.microsoft.com/office/word/2010/wordprocessingShape">
                    <wps:wsp>
                      <wps:cNvSpPr/>
                      <wps:spPr>
                        <a:xfrm>
                          <a:off x="3340359" y="3706676"/>
                          <a:ext cx="4011283" cy="146649"/>
                        </a:xfrm>
                        <a:prstGeom prst="rect">
                          <a:avLst/>
                        </a:prstGeom>
                        <a:noFill/>
                        <a:ln w="19050" cap="flat" cmpd="sng">
                          <a:solidFill>
                            <a:srgbClr val="EE0000"/>
                          </a:solidFill>
                          <a:prstDash val="solid"/>
                          <a:miter lim="800000"/>
                          <a:headEnd type="none" w="sm" len="sm"/>
                          <a:tailEnd type="none" w="sm" len="sm"/>
                        </a:ln>
                      </wps:spPr>
                      <wps:txbx>
                        <w:txbxContent>
                          <w:p w14:paraId="455961DF" w14:textId="77777777" w:rsidR="00531191" w:rsidRDefault="0053119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678754</wp:posOffset>
                </wp:positionH>
                <wp:positionV relativeFrom="paragraph">
                  <wp:posOffset>184749</wp:posOffset>
                </wp:positionV>
                <wp:extent cx="4030333" cy="165699"/>
                <wp:effectExtent b="0" l="0" r="0" t="0"/>
                <wp:wrapNone/>
                <wp:docPr id="1816392116"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4030333" cy="165699"/>
                        </a:xfrm>
                        <a:prstGeom prst="rect"/>
                        <a:ln/>
                      </pic:spPr>
                    </pic:pic>
                  </a:graphicData>
                </a:graphic>
              </wp:anchor>
            </w:drawing>
          </mc:Fallback>
        </mc:AlternateContent>
      </w:r>
    </w:p>
    <w:p w14:paraId="532BD2CA" w14:textId="77777777" w:rsidR="00531191" w:rsidRPr="00681A91" w:rsidRDefault="00531191">
      <w:pPr>
        <w:spacing w:after="0" w:line="360" w:lineRule="auto"/>
        <w:ind w:right="49"/>
        <w:jc w:val="both"/>
        <w:rPr>
          <w:rFonts w:ascii="Palatino Linotype" w:eastAsia="Palatino Linotype" w:hAnsi="Palatino Linotype" w:cs="Palatino Linotype"/>
        </w:rPr>
      </w:pPr>
    </w:p>
    <w:p w14:paraId="53427F7A"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En observancia a las imágenes anteriores, se acredita que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xml:space="preserve">, debió generar la información relativa a la nómina detallada de manera quincenal y remitirla de manera trimestral al Órgano Superior de Fiscalización del Estado de México, para su respectiva revisión y fiscalización, siendo los documentos que contienen las remuneraciones de los servidores públicos adscritos a la Secretaría de Movilidad. </w:t>
      </w:r>
    </w:p>
    <w:p w14:paraId="39213AF8" w14:textId="77777777" w:rsidR="00531191" w:rsidRPr="00681A91" w:rsidRDefault="00531191">
      <w:pPr>
        <w:spacing w:after="0" w:line="360" w:lineRule="auto"/>
        <w:jc w:val="both"/>
        <w:rPr>
          <w:rFonts w:ascii="Palatino Linotype" w:eastAsia="Palatino Linotype" w:hAnsi="Palatino Linotype" w:cs="Palatino Linotype"/>
        </w:rPr>
      </w:pPr>
    </w:p>
    <w:p w14:paraId="4AE01928" w14:textId="77777777" w:rsidR="00531191" w:rsidRPr="00681A91" w:rsidRDefault="005948C5">
      <w:pPr>
        <w:spacing w:after="0" w:line="360" w:lineRule="auto"/>
        <w:ind w:right="51"/>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En resumen, la nómina detallada, de manera enunciativa más no limitada, es el documento que contiene el nombre, puesto y categoría de los servidores públicos adscritos a la Secretaría de Movilidad, del que se puede advertir el personal de confianza, incluyendo los lideres de proyectos requeridos por la parte </w:t>
      </w:r>
      <w:r w:rsidRPr="00681A91">
        <w:rPr>
          <w:rFonts w:ascii="Palatino Linotype" w:eastAsia="Palatino Linotype" w:hAnsi="Palatino Linotype" w:cs="Palatino Linotype"/>
          <w:b/>
        </w:rPr>
        <w:t>Recurrente</w:t>
      </w:r>
      <w:r w:rsidRPr="00681A91">
        <w:rPr>
          <w:rFonts w:ascii="Palatino Linotype" w:eastAsia="Palatino Linotype" w:hAnsi="Palatino Linotype" w:cs="Palatino Linotype"/>
        </w:rPr>
        <w:t xml:space="preserve">, ya que es información que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debió haber</w:t>
      </w:r>
      <w:r w:rsidRPr="00681A91">
        <w:rPr>
          <w:rFonts w:ascii="Palatino Linotype" w:eastAsia="Palatino Linotype" w:hAnsi="Palatino Linotype" w:cs="Palatino Linotype"/>
          <w:b/>
        </w:rPr>
        <w:t xml:space="preserve"> </w:t>
      </w:r>
      <w:r w:rsidRPr="00681A91">
        <w:rPr>
          <w:rFonts w:ascii="Palatino Linotype" w:eastAsia="Palatino Linotype" w:hAnsi="Palatino Linotype" w:cs="Palatino Linotype"/>
        </w:rPr>
        <w:t xml:space="preserve">generado, administrado o poseído de acuerdo a lo establecido en el presente considerando; por lo que resulta procedente ordenar al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xml:space="preserve"> su entrega salvaguardando los datos personales que contenga, de conformidad con el considerando quinto. </w:t>
      </w:r>
    </w:p>
    <w:p w14:paraId="1231DDF0" w14:textId="77777777" w:rsidR="00531191" w:rsidRPr="00681A91" w:rsidRDefault="00531191">
      <w:pPr>
        <w:spacing w:after="0" w:line="360" w:lineRule="auto"/>
        <w:ind w:right="51"/>
        <w:jc w:val="both"/>
        <w:rPr>
          <w:rFonts w:ascii="Palatino Linotype" w:eastAsia="Palatino Linotype" w:hAnsi="Palatino Linotype" w:cs="Palatino Linotype"/>
        </w:rPr>
      </w:pPr>
    </w:p>
    <w:p w14:paraId="1E1C01D4"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337ED9FD" w14:textId="77777777" w:rsidR="00531191" w:rsidRPr="00681A91" w:rsidRDefault="00531191">
      <w:pPr>
        <w:spacing w:after="0" w:line="360" w:lineRule="auto"/>
        <w:jc w:val="both"/>
        <w:rPr>
          <w:rFonts w:ascii="Palatino Linotype" w:eastAsia="Palatino Linotype" w:hAnsi="Palatino Linotype" w:cs="Palatino Linotype"/>
        </w:rPr>
      </w:pPr>
    </w:p>
    <w:p w14:paraId="247D8CB0" w14:textId="77777777" w:rsidR="00531191" w:rsidRPr="00681A91" w:rsidRDefault="005948C5">
      <w:pPr>
        <w:spacing w:after="0"/>
        <w:ind w:left="851" w:right="851"/>
        <w:jc w:val="both"/>
        <w:rPr>
          <w:rFonts w:ascii="Palatino Linotype" w:eastAsia="Palatino Linotype" w:hAnsi="Palatino Linotype" w:cs="Palatino Linotype"/>
          <w:i/>
          <w:u w:val="single"/>
        </w:rPr>
      </w:pPr>
      <w:r w:rsidRPr="00681A91">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681A91">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681A91">
        <w:rPr>
          <w:rFonts w:ascii="Palatino Linotype" w:eastAsia="Palatino Linotype" w:hAnsi="Palatino Linotype" w:cs="Palatino Linotype"/>
          <w:b/>
          <w:i/>
          <w:u w:val="single"/>
        </w:rPr>
        <w:t>que reciba y ejerza recursos públicos</w:t>
      </w:r>
      <w:r w:rsidRPr="00681A91">
        <w:rPr>
          <w:rFonts w:ascii="Palatino Linotype" w:eastAsia="Palatino Linotype" w:hAnsi="Palatino Linotype" w:cs="Palatino Linotype"/>
          <w:i/>
        </w:rPr>
        <w:t xml:space="preserve"> o realice actos de autoridad </w:t>
      </w:r>
      <w:r w:rsidRPr="00681A91">
        <w:rPr>
          <w:rFonts w:ascii="Palatino Linotype" w:eastAsia="Palatino Linotype" w:hAnsi="Palatino Linotype" w:cs="Palatino Linotype"/>
          <w:b/>
          <w:i/>
          <w:u w:val="single"/>
        </w:rPr>
        <w:t>en el ámbito de competencia del Estado de México y sus municipios</w:t>
      </w:r>
      <w:r w:rsidRPr="00681A91">
        <w:rPr>
          <w:rFonts w:ascii="Palatino Linotype" w:eastAsia="Palatino Linotype" w:hAnsi="Palatino Linotype" w:cs="Palatino Linotype"/>
          <w:i/>
          <w:u w:val="single"/>
        </w:rPr>
        <w:t>.</w:t>
      </w:r>
    </w:p>
    <w:p w14:paraId="7F8B043D" w14:textId="77777777" w:rsidR="00531191" w:rsidRPr="00681A91" w:rsidRDefault="005948C5">
      <w:pPr>
        <w:spacing w:after="0"/>
        <w:ind w:left="851" w:right="851"/>
        <w:jc w:val="both"/>
        <w:rPr>
          <w:rFonts w:ascii="Palatino Linotype" w:eastAsia="Palatino Linotype" w:hAnsi="Palatino Linotype" w:cs="Palatino Linotype"/>
          <w:i/>
        </w:rPr>
      </w:pPr>
      <w:r w:rsidRPr="00681A91">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132EA33B" w14:textId="77777777" w:rsidR="00531191" w:rsidRPr="00681A91" w:rsidRDefault="005948C5">
      <w:pPr>
        <w:spacing w:after="0"/>
        <w:ind w:left="851" w:right="851"/>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p>
    <w:p w14:paraId="7F38C6B4" w14:textId="77777777" w:rsidR="00531191" w:rsidRPr="00681A91" w:rsidRDefault="005948C5">
      <w:pPr>
        <w:spacing w:after="0"/>
        <w:ind w:left="851" w:right="851"/>
        <w:jc w:val="both"/>
        <w:rPr>
          <w:rFonts w:ascii="Palatino Linotype" w:eastAsia="Palatino Linotype" w:hAnsi="Palatino Linotype" w:cs="Palatino Linotype"/>
          <w:b/>
          <w:i/>
          <w:u w:val="single"/>
        </w:rPr>
      </w:pPr>
      <w:r w:rsidRPr="00681A91">
        <w:rPr>
          <w:rFonts w:ascii="Palatino Linotype" w:eastAsia="Palatino Linotype" w:hAnsi="Palatino Linotype" w:cs="Palatino Linotype"/>
          <w:b/>
          <w:i/>
          <w:u w:val="single"/>
        </w:rPr>
        <w:t xml:space="preserve">I. </w:t>
      </w:r>
    </w:p>
    <w:p w14:paraId="402BD10A" w14:textId="77777777" w:rsidR="00531191" w:rsidRPr="00681A91" w:rsidRDefault="005948C5">
      <w:pPr>
        <w:spacing w:after="0"/>
        <w:ind w:left="851" w:right="851"/>
        <w:jc w:val="both"/>
        <w:rPr>
          <w:rFonts w:ascii="Palatino Linotype" w:eastAsia="Palatino Linotype" w:hAnsi="Palatino Linotype" w:cs="Palatino Linotype"/>
          <w:b/>
          <w:i/>
          <w:u w:val="single"/>
        </w:rPr>
      </w:pPr>
      <w:r w:rsidRPr="00681A91">
        <w:rPr>
          <w:rFonts w:ascii="Palatino Linotype" w:eastAsia="Palatino Linotype" w:hAnsi="Palatino Linotype" w:cs="Palatino Linotype"/>
          <w:b/>
          <w:i/>
          <w:u w:val="single"/>
        </w:rPr>
        <w:t>El Poder Ejecutivo del Estado de México, las dependencias, organismos auxiliares, órganos, entidades, fideicomisos y fondos públicos, así como la Fiscalía General de Justicia del Estado de México;</w:t>
      </w:r>
    </w:p>
    <w:p w14:paraId="6BFF4AF7" w14:textId="77777777" w:rsidR="00531191" w:rsidRPr="00681A91" w:rsidRDefault="005948C5">
      <w:pPr>
        <w:spacing w:after="0"/>
        <w:ind w:left="851" w:right="851"/>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p>
    <w:p w14:paraId="3BEBD9DF" w14:textId="77777777" w:rsidR="00531191" w:rsidRPr="00681A91" w:rsidRDefault="005948C5">
      <w:pPr>
        <w:spacing w:after="0"/>
        <w:ind w:left="851" w:right="851"/>
        <w:jc w:val="both"/>
        <w:rPr>
          <w:rFonts w:ascii="Palatino Linotype" w:eastAsia="Palatino Linotype" w:hAnsi="Palatino Linotype" w:cs="Palatino Linotype"/>
          <w:b/>
          <w:i/>
          <w:u w:val="single"/>
        </w:rPr>
      </w:pPr>
      <w:r w:rsidRPr="00681A91">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2120877" w14:textId="77777777" w:rsidR="00531191" w:rsidRPr="00681A91" w:rsidRDefault="005948C5">
      <w:pPr>
        <w:spacing w:after="0"/>
        <w:ind w:left="851" w:right="851"/>
        <w:jc w:val="both"/>
        <w:rPr>
          <w:rFonts w:ascii="Palatino Linotype" w:eastAsia="Palatino Linotype" w:hAnsi="Palatino Linotype" w:cs="Palatino Linotype"/>
          <w:b/>
          <w:i/>
        </w:rPr>
      </w:pPr>
      <w:r w:rsidRPr="00681A91">
        <w:rPr>
          <w:rFonts w:ascii="Palatino Linotype" w:eastAsia="Palatino Linotype" w:hAnsi="Palatino Linotype" w:cs="Palatino Linotype"/>
          <w:i/>
        </w:rPr>
        <w:t>Los servidores públicos deberán transparentar sus acciones así como garantizar y respetar el derecho de acceso a la información pública.”</w:t>
      </w:r>
      <w:r w:rsidRPr="00681A91">
        <w:rPr>
          <w:rFonts w:ascii="Palatino Linotype" w:eastAsia="Palatino Linotype" w:hAnsi="Palatino Linotype" w:cs="Palatino Linotype"/>
          <w:b/>
          <w:i/>
        </w:rPr>
        <w:t xml:space="preserve"> [Sic]</w:t>
      </w:r>
    </w:p>
    <w:p w14:paraId="68DBAFDE" w14:textId="77777777" w:rsidR="00531191" w:rsidRPr="00681A91" w:rsidRDefault="00531191">
      <w:pPr>
        <w:spacing w:after="0" w:line="360" w:lineRule="auto"/>
        <w:jc w:val="both"/>
        <w:rPr>
          <w:rFonts w:ascii="Palatino Linotype" w:eastAsia="Palatino Linotype" w:hAnsi="Palatino Linotype" w:cs="Palatino Linotype"/>
        </w:rPr>
      </w:pPr>
    </w:p>
    <w:p w14:paraId="4EF6D467"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681A91">
        <w:rPr>
          <w:rFonts w:ascii="Palatino Linotype" w:eastAsia="Palatino Linotype" w:hAnsi="Palatino Linotype" w:cs="Palatino Linotype"/>
          <w:b/>
        </w:rPr>
        <w:t>01/2003</w:t>
      </w:r>
      <w:r w:rsidRPr="00681A91">
        <w:rPr>
          <w:rFonts w:ascii="Palatino Linotype" w:eastAsia="Palatino Linotype" w:hAnsi="Palatino Linotype" w:cs="Palatino Linotype"/>
        </w:rPr>
        <w:t xml:space="preserve"> y </w:t>
      </w:r>
      <w:r w:rsidRPr="00681A91">
        <w:rPr>
          <w:rFonts w:ascii="Palatino Linotype" w:eastAsia="Palatino Linotype" w:hAnsi="Palatino Linotype" w:cs="Palatino Linotype"/>
          <w:b/>
        </w:rPr>
        <w:t>02/2003</w:t>
      </w:r>
      <w:r w:rsidRPr="00681A91">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6E3F5DD0" w14:textId="77777777" w:rsidR="00531191" w:rsidRPr="00681A91" w:rsidRDefault="00531191">
      <w:pPr>
        <w:spacing w:after="0"/>
        <w:ind w:left="851" w:right="851"/>
        <w:rPr>
          <w:rFonts w:ascii="Palatino Linotype" w:eastAsia="Palatino Linotype" w:hAnsi="Palatino Linotype" w:cs="Palatino Linotype"/>
          <w:b/>
          <w:i/>
        </w:rPr>
      </w:pPr>
    </w:p>
    <w:p w14:paraId="0FFEF212" w14:textId="77777777" w:rsidR="00531191" w:rsidRPr="00681A91" w:rsidRDefault="005948C5">
      <w:pPr>
        <w:spacing w:after="0"/>
        <w:ind w:left="851" w:right="851"/>
        <w:rPr>
          <w:rFonts w:ascii="Palatino Linotype" w:eastAsia="Palatino Linotype" w:hAnsi="Palatino Linotype" w:cs="Palatino Linotype"/>
          <w:b/>
          <w:i/>
        </w:rPr>
      </w:pPr>
      <w:r w:rsidRPr="00681A91">
        <w:rPr>
          <w:rFonts w:ascii="Palatino Linotype" w:eastAsia="Palatino Linotype" w:hAnsi="Palatino Linotype" w:cs="Palatino Linotype"/>
          <w:b/>
          <w:i/>
        </w:rPr>
        <w:t>“Criterio 01/2003.</w:t>
      </w:r>
    </w:p>
    <w:p w14:paraId="4299599B" w14:textId="77777777" w:rsidR="00531191" w:rsidRPr="00681A91" w:rsidRDefault="005948C5">
      <w:pPr>
        <w:spacing w:after="0"/>
        <w:ind w:left="851" w:right="851"/>
        <w:jc w:val="both"/>
        <w:rPr>
          <w:rFonts w:ascii="Palatino Linotype" w:eastAsia="Palatino Linotype" w:hAnsi="Palatino Linotype" w:cs="Palatino Linotype"/>
          <w:i/>
        </w:rPr>
      </w:pPr>
      <w:r w:rsidRPr="00681A91">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681A91">
        <w:rPr>
          <w:rFonts w:ascii="Palatino Linotype" w:eastAsia="Palatino Linotype" w:hAnsi="Palatino Linotype" w:cs="Palatino Linotype"/>
          <w:i/>
        </w:rPr>
        <w:t xml:space="preserve"> </w:t>
      </w:r>
    </w:p>
    <w:p w14:paraId="100F6A93" w14:textId="77777777" w:rsidR="00531191" w:rsidRPr="00681A91" w:rsidRDefault="005948C5">
      <w:pPr>
        <w:spacing w:after="0"/>
        <w:ind w:left="851" w:right="851"/>
        <w:jc w:val="both"/>
        <w:rPr>
          <w:rFonts w:ascii="Palatino Linotype" w:eastAsia="Palatino Linotype" w:hAnsi="Palatino Linotype" w:cs="Palatino Linotype"/>
          <w:i/>
          <w:u w:val="single"/>
        </w:rPr>
      </w:pPr>
      <w:r w:rsidRPr="00681A91">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81A91">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81A91">
        <w:rPr>
          <w:rFonts w:ascii="Palatino Linotype" w:eastAsia="Palatino Linotype" w:hAnsi="Palatino Linotype" w:cs="Palatino Linotype"/>
          <w:i/>
          <w:u w:val="single"/>
        </w:rPr>
        <w:t>…”</w:t>
      </w:r>
    </w:p>
    <w:p w14:paraId="3A784605" w14:textId="77777777" w:rsidR="00531191" w:rsidRPr="00681A91" w:rsidRDefault="00531191">
      <w:pPr>
        <w:spacing w:after="0"/>
        <w:ind w:left="851" w:right="851"/>
        <w:jc w:val="both"/>
        <w:rPr>
          <w:rFonts w:ascii="Palatino Linotype" w:eastAsia="Palatino Linotype" w:hAnsi="Palatino Linotype" w:cs="Palatino Linotype"/>
          <w:i/>
        </w:rPr>
      </w:pPr>
    </w:p>
    <w:p w14:paraId="332305A2" w14:textId="77777777" w:rsidR="00531191" w:rsidRPr="00681A91" w:rsidRDefault="005948C5">
      <w:pPr>
        <w:spacing w:after="0"/>
        <w:ind w:left="851" w:right="851"/>
        <w:rPr>
          <w:rFonts w:ascii="Palatino Linotype" w:eastAsia="Palatino Linotype" w:hAnsi="Palatino Linotype" w:cs="Palatino Linotype"/>
          <w:b/>
          <w:i/>
        </w:rPr>
      </w:pPr>
      <w:r w:rsidRPr="00681A91">
        <w:rPr>
          <w:rFonts w:ascii="Palatino Linotype" w:eastAsia="Palatino Linotype" w:hAnsi="Palatino Linotype" w:cs="Palatino Linotype"/>
          <w:b/>
          <w:i/>
        </w:rPr>
        <w:t>“Criterio 02/2003.</w:t>
      </w:r>
    </w:p>
    <w:p w14:paraId="619BED31" w14:textId="77777777" w:rsidR="00531191" w:rsidRPr="00681A91" w:rsidRDefault="005948C5">
      <w:pPr>
        <w:spacing w:after="0"/>
        <w:ind w:left="851" w:right="851"/>
        <w:jc w:val="both"/>
        <w:rPr>
          <w:rFonts w:ascii="Palatino Linotype" w:eastAsia="Palatino Linotype" w:hAnsi="Palatino Linotype" w:cs="Palatino Linotype"/>
          <w:i/>
        </w:rPr>
      </w:pPr>
      <w:r w:rsidRPr="00681A91">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681A91">
        <w:rPr>
          <w:rFonts w:ascii="Palatino Linotype" w:eastAsia="Palatino Linotype" w:hAnsi="Palatino Linotype" w:cs="Palatino Linotype"/>
          <w:i/>
        </w:rPr>
        <w:t xml:space="preserve"> </w:t>
      </w:r>
    </w:p>
    <w:p w14:paraId="35E76CBC" w14:textId="77777777" w:rsidR="00531191" w:rsidRPr="00681A91" w:rsidRDefault="005948C5">
      <w:pPr>
        <w:spacing w:after="0"/>
        <w:ind w:left="851" w:right="851"/>
        <w:jc w:val="both"/>
        <w:rPr>
          <w:rFonts w:ascii="Palatino Linotype" w:eastAsia="Palatino Linotype" w:hAnsi="Palatino Linotype" w:cs="Palatino Linotype"/>
          <w:b/>
          <w:i/>
        </w:rPr>
      </w:pPr>
      <w:r w:rsidRPr="00681A91">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81A91">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81A91">
        <w:rPr>
          <w:rFonts w:ascii="Palatino Linotype" w:eastAsia="Palatino Linotype" w:hAnsi="Palatino Linotype" w:cs="Palatino Linotype"/>
          <w:i/>
        </w:rPr>
        <w:t xml:space="preserve"> el sistema de compensación…” </w:t>
      </w:r>
      <w:r w:rsidRPr="00681A91">
        <w:rPr>
          <w:rFonts w:ascii="Palatino Linotype" w:eastAsia="Palatino Linotype" w:hAnsi="Palatino Linotype" w:cs="Palatino Linotype"/>
          <w:b/>
          <w:i/>
        </w:rPr>
        <w:t>[Sic]</w:t>
      </w:r>
    </w:p>
    <w:p w14:paraId="0A432C69" w14:textId="77777777" w:rsidR="00531191" w:rsidRPr="00681A91" w:rsidRDefault="00531191">
      <w:pPr>
        <w:spacing w:after="0" w:line="360" w:lineRule="auto"/>
        <w:jc w:val="both"/>
        <w:rPr>
          <w:rFonts w:ascii="Palatino Linotype" w:eastAsia="Palatino Linotype" w:hAnsi="Palatino Linotype" w:cs="Palatino Linotype"/>
        </w:rPr>
      </w:pPr>
    </w:p>
    <w:p w14:paraId="4E0B6FE4"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Razones por las cuales lo procedente es ordenar la búsqueda exhaustiva y razonable del documento o documentos en donde conste el sueldo bruto y neto de los servidores públicos de confianza y de los Lideres de Proyecto de la secretaría de Movilidad, del primero de julio al treinta y uno de diciembre de dos mil veinticuatro, de ser procedente en versión pública conforme a lo señalado por el considerando quinto del presente fallo. </w:t>
      </w:r>
    </w:p>
    <w:p w14:paraId="27D05D10" w14:textId="77777777" w:rsidR="00531191" w:rsidRPr="00681A91" w:rsidRDefault="00531191">
      <w:pPr>
        <w:spacing w:after="0" w:line="360" w:lineRule="auto"/>
        <w:jc w:val="both"/>
        <w:rPr>
          <w:rFonts w:ascii="Palatino Linotype" w:eastAsia="Palatino Linotype" w:hAnsi="Palatino Linotype" w:cs="Palatino Linotype"/>
        </w:rPr>
      </w:pPr>
    </w:p>
    <w:p w14:paraId="7F8F037A" w14:textId="77777777" w:rsidR="00531191" w:rsidRPr="00681A91" w:rsidRDefault="005948C5">
      <w:pPr>
        <w:spacing w:after="0" w:line="360" w:lineRule="auto"/>
        <w:ind w:right="51"/>
        <w:jc w:val="both"/>
        <w:rPr>
          <w:rFonts w:ascii="Palatino Linotype" w:eastAsia="Palatino Linotype" w:hAnsi="Palatino Linotype" w:cs="Palatino Linotype"/>
        </w:rPr>
      </w:pPr>
      <w:r w:rsidRPr="00681A91">
        <w:rPr>
          <w:rFonts w:ascii="Palatino Linotype" w:eastAsia="Palatino Linotype" w:hAnsi="Palatino Linotype" w:cs="Palatino Linotype"/>
          <w:b/>
        </w:rPr>
        <w:t xml:space="preserve">Quinto. Versión Pública. </w:t>
      </w:r>
      <w:r w:rsidRPr="00681A91">
        <w:rPr>
          <w:rFonts w:ascii="Palatino Linotype" w:eastAsia="Palatino Linotype" w:hAnsi="Palatino Linotype" w:cs="Palatino Linotype"/>
        </w:rPr>
        <w:t>Como fue debidamente apuntado,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2C856944" w14:textId="77777777" w:rsidR="00531191" w:rsidRPr="00681A91" w:rsidRDefault="00531191">
      <w:pPr>
        <w:spacing w:after="0" w:line="360" w:lineRule="auto"/>
        <w:ind w:right="51"/>
        <w:jc w:val="both"/>
        <w:rPr>
          <w:rFonts w:ascii="Palatino Linotype" w:eastAsia="Palatino Linotype" w:hAnsi="Palatino Linotype" w:cs="Palatino Linotype"/>
        </w:rPr>
      </w:pPr>
    </w:p>
    <w:p w14:paraId="1524189E"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24D120BE" w14:textId="77777777" w:rsidR="00531191" w:rsidRPr="00681A91" w:rsidRDefault="00531191">
      <w:pPr>
        <w:spacing w:after="0" w:line="360" w:lineRule="auto"/>
        <w:ind w:right="49"/>
        <w:jc w:val="both"/>
        <w:rPr>
          <w:rFonts w:ascii="Palatino Linotype" w:eastAsia="Palatino Linotype" w:hAnsi="Palatino Linotype" w:cs="Palatino Linotype"/>
        </w:rPr>
      </w:pPr>
    </w:p>
    <w:p w14:paraId="05E1ED79"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475FE345"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vigente establecen:</w:t>
      </w:r>
    </w:p>
    <w:p w14:paraId="449E9D44" w14:textId="77777777" w:rsidR="00531191" w:rsidRPr="00681A91" w:rsidRDefault="00531191">
      <w:pPr>
        <w:spacing w:after="0"/>
        <w:ind w:left="851" w:right="902"/>
        <w:jc w:val="both"/>
        <w:rPr>
          <w:rFonts w:ascii="Palatino Linotype" w:eastAsia="Palatino Linotype" w:hAnsi="Palatino Linotype" w:cs="Palatino Linotype"/>
          <w:i/>
        </w:rPr>
      </w:pPr>
    </w:p>
    <w:p w14:paraId="14041352"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r w:rsidRPr="00681A91">
        <w:rPr>
          <w:rFonts w:ascii="Palatino Linotype" w:eastAsia="Palatino Linotype" w:hAnsi="Palatino Linotype" w:cs="Palatino Linotype"/>
          <w:b/>
          <w:i/>
        </w:rPr>
        <w:t>Artículo 3.</w:t>
      </w:r>
      <w:r w:rsidRPr="00681A91">
        <w:rPr>
          <w:rFonts w:ascii="Palatino Linotype" w:eastAsia="Palatino Linotype" w:hAnsi="Palatino Linotype" w:cs="Palatino Linotype"/>
          <w:i/>
        </w:rPr>
        <w:t xml:space="preserve"> Para los efectos de la presente Ley se entenderá por:</w:t>
      </w:r>
    </w:p>
    <w:p w14:paraId="7B65ED8D" w14:textId="77777777" w:rsidR="00531191" w:rsidRPr="00681A91" w:rsidRDefault="005948C5">
      <w:pPr>
        <w:tabs>
          <w:tab w:val="left" w:pos="1276"/>
        </w:tabs>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p>
    <w:p w14:paraId="10574658" w14:textId="77777777" w:rsidR="00531191" w:rsidRPr="00681A91" w:rsidRDefault="005948C5">
      <w:pPr>
        <w:tabs>
          <w:tab w:val="left" w:pos="1276"/>
        </w:tabs>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IX. Datos personales</w:t>
      </w:r>
      <w:r w:rsidRPr="00681A91">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7F3244DA" w14:textId="77777777" w:rsidR="00531191" w:rsidRPr="00681A91" w:rsidRDefault="005948C5">
      <w:pPr>
        <w:tabs>
          <w:tab w:val="left" w:pos="1276"/>
        </w:tabs>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p>
    <w:p w14:paraId="468869D0" w14:textId="77777777" w:rsidR="00531191" w:rsidRPr="00681A91" w:rsidRDefault="005948C5">
      <w:pPr>
        <w:tabs>
          <w:tab w:val="left" w:pos="1276"/>
        </w:tabs>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XX. Información clasificada</w:t>
      </w:r>
      <w:r w:rsidRPr="00681A91">
        <w:rPr>
          <w:rFonts w:ascii="Palatino Linotype" w:eastAsia="Palatino Linotype" w:hAnsi="Palatino Linotype" w:cs="Palatino Linotype"/>
          <w:i/>
        </w:rPr>
        <w:t>: Aquella considerada por la presente Ley como reservada o confidencial;</w:t>
      </w:r>
    </w:p>
    <w:p w14:paraId="7A502BE6" w14:textId="77777777" w:rsidR="00531191" w:rsidRPr="00681A91" w:rsidRDefault="005948C5">
      <w:pPr>
        <w:tabs>
          <w:tab w:val="left" w:pos="1276"/>
        </w:tabs>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XXI. Información confidencial</w:t>
      </w:r>
      <w:r w:rsidRPr="00681A91">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0B10080" w14:textId="77777777" w:rsidR="00531191" w:rsidRPr="00681A91" w:rsidRDefault="005948C5">
      <w:pPr>
        <w:tabs>
          <w:tab w:val="left" w:pos="1276"/>
        </w:tabs>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p>
    <w:p w14:paraId="516D28B5" w14:textId="77777777" w:rsidR="00531191" w:rsidRPr="00681A91" w:rsidRDefault="005948C5">
      <w:pPr>
        <w:tabs>
          <w:tab w:val="left" w:pos="1276"/>
        </w:tabs>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XXXII. Protección de Datos Personales</w:t>
      </w:r>
      <w:r w:rsidRPr="00681A91">
        <w:rPr>
          <w:rFonts w:ascii="Palatino Linotype" w:eastAsia="Palatino Linotype" w:hAnsi="Palatino Linotype" w:cs="Palatino Linotype"/>
          <w:i/>
        </w:rPr>
        <w:t>: Derecho humano que tutela la privacidad de datos personales en poder de los sujetos obligados y sujetos particulares;</w:t>
      </w:r>
    </w:p>
    <w:p w14:paraId="63BF8B7B" w14:textId="77777777" w:rsidR="00531191" w:rsidRPr="00681A91" w:rsidRDefault="005948C5">
      <w:pPr>
        <w:tabs>
          <w:tab w:val="left" w:pos="1276"/>
        </w:tabs>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p>
    <w:p w14:paraId="4656E4D2" w14:textId="77777777" w:rsidR="00531191" w:rsidRPr="00681A91" w:rsidRDefault="005948C5">
      <w:pPr>
        <w:tabs>
          <w:tab w:val="left" w:pos="1276"/>
        </w:tabs>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XLV. Versión pública</w:t>
      </w:r>
      <w:r w:rsidRPr="00681A91">
        <w:rPr>
          <w:rFonts w:ascii="Palatino Linotype" w:eastAsia="Palatino Linotype" w:hAnsi="Palatino Linotype" w:cs="Palatino Linotype"/>
          <w:i/>
        </w:rPr>
        <w:t>: Documento en el que se elimine, suprime o borra la información clasificada como reservada o confidencial para permitir su acceso.</w:t>
      </w:r>
    </w:p>
    <w:p w14:paraId="0E951ECA"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 Artículo 6</w:t>
      </w:r>
      <w:r w:rsidRPr="00681A91">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9CADE56"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p>
    <w:p w14:paraId="46C05080"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Artículo 91.</w:t>
      </w:r>
      <w:r w:rsidRPr="00681A91">
        <w:rPr>
          <w:rFonts w:ascii="Palatino Linotype" w:eastAsia="Palatino Linotype" w:hAnsi="Palatino Linotype" w:cs="Palatino Linotype"/>
          <w:i/>
        </w:rPr>
        <w:t xml:space="preserve"> El acceso a la información pública será restringido excepcionalmente, cuando ésta sea clasificada como reservada o confidencial.</w:t>
      </w:r>
      <w:r w:rsidRPr="00681A91">
        <w:rPr>
          <w:rFonts w:ascii="Palatino Linotype" w:eastAsia="Palatino Linotype" w:hAnsi="Palatino Linotype" w:cs="Palatino Linotype"/>
          <w:i/>
        </w:rPr>
        <w:br/>
        <w:t>…</w:t>
      </w:r>
    </w:p>
    <w:p w14:paraId="5ADD0E5F"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Artículo 132.</w:t>
      </w:r>
      <w:r w:rsidRPr="00681A91">
        <w:rPr>
          <w:rFonts w:ascii="Palatino Linotype" w:eastAsia="Palatino Linotype" w:hAnsi="Palatino Linotype" w:cs="Palatino Linotype"/>
          <w:i/>
        </w:rPr>
        <w:t xml:space="preserve"> La clasificación de la información se llevará a cabo en el momento en que:</w:t>
      </w:r>
    </w:p>
    <w:p w14:paraId="6D7D447A" w14:textId="77777777" w:rsidR="00531191" w:rsidRPr="00681A91" w:rsidRDefault="005948C5">
      <w:pP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I</w:t>
      </w:r>
      <w:r w:rsidRPr="00681A91">
        <w:rPr>
          <w:rFonts w:ascii="Palatino Linotype" w:eastAsia="Palatino Linotype" w:hAnsi="Palatino Linotype" w:cs="Palatino Linotype"/>
          <w:i/>
        </w:rPr>
        <w:t>. Se reciba una solicitud de acceso a la información;</w:t>
      </w:r>
    </w:p>
    <w:p w14:paraId="79B8E0B9" w14:textId="77777777" w:rsidR="00531191" w:rsidRPr="00681A91" w:rsidRDefault="005948C5">
      <w:pP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II.</w:t>
      </w:r>
      <w:r w:rsidRPr="00681A91">
        <w:rPr>
          <w:rFonts w:ascii="Palatino Linotype" w:eastAsia="Palatino Linotype" w:hAnsi="Palatino Linotype" w:cs="Palatino Linotype"/>
          <w:i/>
        </w:rPr>
        <w:t xml:space="preserve"> Se determine mediante resolución de autoridad competente; o</w:t>
      </w:r>
    </w:p>
    <w:p w14:paraId="44920255" w14:textId="77777777" w:rsidR="00531191" w:rsidRPr="00681A91" w:rsidRDefault="005948C5">
      <w:pP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III.</w:t>
      </w:r>
      <w:r w:rsidRPr="00681A91">
        <w:rPr>
          <w:rFonts w:ascii="Palatino Linotype" w:eastAsia="Palatino Linotype" w:hAnsi="Palatino Linotype" w:cs="Palatino Linotype"/>
          <w:i/>
        </w:rPr>
        <w:t xml:space="preserve"> Se generen versiones públicas para dar cumplimiento a las obligaciones de transparencia previstas en esta Ley.</w:t>
      </w:r>
    </w:p>
    <w:p w14:paraId="30704ABA"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w:t>
      </w:r>
    </w:p>
    <w:p w14:paraId="5EEF7EDC"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Artículo 137.</w:t>
      </w:r>
      <w:r w:rsidRPr="00681A91">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4E2AE17"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 Artículo 143.</w:t>
      </w:r>
      <w:r w:rsidRPr="00681A91">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273D7EF9" w14:textId="77777777" w:rsidR="00531191" w:rsidRPr="00681A91" w:rsidRDefault="005948C5">
      <w:pP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I.</w:t>
      </w:r>
      <w:r w:rsidRPr="00681A91">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7D3CEF65" w14:textId="77777777" w:rsidR="00531191" w:rsidRPr="00681A91" w:rsidRDefault="00531191">
      <w:pPr>
        <w:spacing w:after="0" w:line="360" w:lineRule="auto"/>
        <w:ind w:right="50"/>
        <w:jc w:val="both"/>
        <w:rPr>
          <w:rFonts w:ascii="Palatino Linotype" w:eastAsia="Palatino Linotype" w:hAnsi="Palatino Linotype" w:cs="Palatino Linotype"/>
        </w:rPr>
      </w:pPr>
    </w:p>
    <w:p w14:paraId="25B8E6D6" w14:textId="77777777" w:rsidR="00531191" w:rsidRPr="00681A91" w:rsidRDefault="005948C5">
      <w:pPr>
        <w:spacing w:after="0" w:line="360" w:lineRule="auto"/>
        <w:ind w:right="50"/>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w:t>
      </w:r>
      <w:r w:rsidRPr="00681A91">
        <w:rPr>
          <w:rFonts w:ascii="Palatino Linotype" w:eastAsia="Palatino Linotype" w:hAnsi="Palatino Linotype" w:cs="Palatino Linotype"/>
          <w:b/>
        </w:rPr>
        <w:t>Recurrente,</w:t>
      </w:r>
      <w:r w:rsidRPr="00681A91">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17C5E02" w14:textId="77777777" w:rsidR="00531191" w:rsidRPr="00681A91" w:rsidRDefault="00531191">
      <w:pPr>
        <w:spacing w:after="0" w:line="360" w:lineRule="auto"/>
        <w:ind w:right="50"/>
        <w:jc w:val="both"/>
        <w:rPr>
          <w:rFonts w:ascii="Palatino Linotype" w:eastAsia="Palatino Linotype" w:hAnsi="Palatino Linotype" w:cs="Palatino Linotype"/>
        </w:rPr>
      </w:pPr>
    </w:p>
    <w:p w14:paraId="5B2F4A64" w14:textId="77777777" w:rsidR="00531191" w:rsidRPr="00681A91" w:rsidRDefault="005948C5">
      <w:pPr>
        <w:spacing w:after="0" w:line="360" w:lineRule="auto"/>
        <w:ind w:right="50"/>
        <w:jc w:val="both"/>
        <w:rPr>
          <w:rFonts w:ascii="Palatino Linotype" w:eastAsia="Palatino Linotype" w:hAnsi="Palatino Linotype" w:cs="Palatino Linotype"/>
        </w:rPr>
      </w:pPr>
      <w:r w:rsidRPr="00681A91">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045CC19" w14:textId="77777777" w:rsidR="00531191" w:rsidRPr="00681A91" w:rsidRDefault="00531191">
      <w:pPr>
        <w:spacing w:after="0" w:line="360" w:lineRule="auto"/>
        <w:ind w:right="50"/>
        <w:jc w:val="both"/>
        <w:rPr>
          <w:rFonts w:ascii="Palatino Linotype" w:eastAsia="Palatino Linotype" w:hAnsi="Palatino Linotype" w:cs="Palatino Linotype"/>
        </w:rPr>
      </w:pPr>
    </w:p>
    <w:p w14:paraId="50B3B8E4"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En el caso específico, la información que se ordena si bien tiene el carácter información pública en razón de que se trata de documentos que se encuentran en posesión del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681A91">
        <w:rPr>
          <w:rFonts w:ascii="Palatino Linotype" w:eastAsia="Palatino Linotype" w:hAnsi="Palatino Linotype" w:cs="Palatino Linotype"/>
          <w:b/>
        </w:rPr>
        <w:t>Registro Federal de Contribuyentes</w:t>
      </w:r>
      <w:r w:rsidRPr="00681A91">
        <w:rPr>
          <w:rFonts w:ascii="Palatino Linotype" w:eastAsia="Palatino Linotype" w:hAnsi="Palatino Linotype" w:cs="Palatino Linotype"/>
        </w:rPr>
        <w:t xml:space="preserve"> (RFC), la </w:t>
      </w:r>
      <w:r w:rsidRPr="00681A91">
        <w:rPr>
          <w:rFonts w:ascii="Palatino Linotype" w:eastAsia="Palatino Linotype" w:hAnsi="Palatino Linotype" w:cs="Palatino Linotype"/>
          <w:b/>
        </w:rPr>
        <w:t>Clave Única de Registro de Población</w:t>
      </w:r>
      <w:r w:rsidRPr="00681A91">
        <w:rPr>
          <w:rFonts w:ascii="Palatino Linotype" w:eastAsia="Palatino Linotype" w:hAnsi="Palatino Linotype" w:cs="Palatino Linotype"/>
        </w:rPr>
        <w:t xml:space="preserve"> (CURP), la </w:t>
      </w:r>
      <w:r w:rsidRPr="00681A91">
        <w:rPr>
          <w:rFonts w:ascii="Palatino Linotype" w:eastAsia="Palatino Linotype" w:hAnsi="Palatino Linotype" w:cs="Palatino Linotype"/>
          <w:b/>
        </w:rPr>
        <w:t>Clave de cualquier tipo de seguridad social</w:t>
      </w:r>
      <w:r w:rsidRPr="00681A91">
        <w:rPr>
          <w:rFonts w:ascii="Palatino Linotype" w:eastAsia="Palatino Linotype" w:hAnsi="Palatino Linotype" w:cs="Palatino Linotype"/>
        </w:rPr>
        <w:t xml:space="preserve"> (ISSEMYM, u otros), los </w:t>
      </w:r>
      <w:r w:rsidRPr="00681A91">
        <w:rPr>
          <w:rFonts w:ascii="Palatino Linotype" w:eastAsia="Palatino Linotype" w:hAnsi="Palatino Linotype" w:cs="Palatino Linotype"/>
          <w:b/>
        </w:rPr>
        <w:t>números de cuentas bancarias</w:t>
      </w:r>
      <w:r w:rsidRPr="00681A91">
        <w:rPr>
          <w:rFonts w:ascii="Palatino Linotype" w:eastAsia="Palatino Linotype" w:hAnsi="Palatino Linotype" w:cs="Palatino Linotype"/>
        </w:rPr>
        <w:t xml:space="preserve">, claves estandarizadas – interbancarias - (CLABES) y de tarjetas, los </w:t>
      </w:r>
      <w:r w:rsidRPr="00681A91">
        <w:rPr>
          <w:rFonts w:ascii="Palatino Linotype" w:eastAsia="Palatino Linotype" w:hAnsi="Palatino Linotype" w:cs="Palatino Linotype"/>
          <w:b/>
        </w:rPr>
        <w:t>préstamos o descuentos</w:t>
      </w:r>
      <w:r w:rsidRPr="00681A91">
        <w:rPr>
          <w:rFonts w:ascii="Palatino Linotype" w:eastAsia="Palatino Linotype" w:hAnsi="Palatino Linotype" w:cs="Palatino Linotype"/>
        </w:rPr>
        <w:t xml:space="preserve"> que se le hagan a la persona y que no tengan relación con los impuestos o la cuota por seguridad social, el</w:t>
      </w:r>
      <w:r w:rsidRPr="00681A91">
        <w:rPr>
          <w:rFonts w:ascii="Palatino Linotype" w:eastAsia="Palatino Linotype" w:hAnsi="Palatino Linotype" w:cs="Palatino Linotype"/>
          <w:b/>
        </w:rPr>
        <w:t xml:space="preserve"> número de empleado, </w:t>
      </w:r>
      <w:r w:rsidRPr="00681A91">
        <w:rPr>
          <w:rFonts w:ascii="Palatino Linotype" w:eastAsia="Palatino Linotype" w:hAnsi="Palatino Linotype" w:cs="Palatino Linotype"/>
        </w:rPr>
        <w:t>y cualquier información de carácter fiscal.</w:t>
      </w:r>
    </w:p>
    <w:p w14:paraId="19C8EC8E" w14:textId="77777777" w:rsidR="00531191" w:rsidRPr="00681A91" w:rsidRDefault="00531191">
      <w:pPr>
        <w:spacing w:after="0" w:line="360" w:lineRule="auto"/>
        <w:jc w:val="both"/>
        <w:rPr>
          <w:rFonts w:ascii="Palatino Linotype" w:eastAsia="Palatino Linotype" w:hAnsi="Palatino Linotype" w:cs="Palatino Linotype"/>
        </w:rPr>
      </w:pPr>
    </w:p>
    <w:p w14:paraId="4C27C260" w14:textId="77777777" w:rsidR="00531191" w:rsidRPr="00681A91" w:rsidRDefault="005948C5">
      <w:pPr>
        <w:spacing w:after="0" w:line="360" w:lineRule="auto"/>
        <w:ind w:right="50"/>
        <w:jc w:val="both"/>
        <w:rPr>
          <w:rFonts w:ascii="Palatino Linotype" w:eastAsia="Palatino Linotype" w:hAnsi="Palatino Linotype" w:cs="Palatino Linotype"/>
        </w:rPr>
      </w:pPr>
      <w:r w:rsidRPr="00681A91">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C58BEF5"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Por cuanto hace al </w:t>
      </w:r>
      <w:r w:rsidRPr="00681A91">
        <w:rPr>
          <w:rFonts w:ascii="Palatino Linotype" w:eastAsia="Palatino Linotype" w:hAnsi="Palatino Linotype" w:cs="Palatino Linotype"/>
          <w:b/>
        </w:rPr>
        <w:t>Registro Federal de Contribuyentes, RFC,</w:t>
      </w:r>
      <w:r w:rsidRPr="00681A91">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63A28DED" w14:textId="77777777" w:rsidR="00531191" w:rsidRPr="00681A91" w:rsidRDefault="00531191">
      <w:pPr>
        <w:spacing w:after="0" w:line="360" w:lineRule="auto"/>
        <w:jc w:val="both"/>
        <w:rPr>
          <w:rFonts w:ascii="Palatino Linotype" w:eastAsia="Palatino Linotype" w:hAnsi="Palatino Linotype" w:cs="Palatino Linotype"/>
        </w:rPr>
      </w:pPr>
    </w:p>
    <w:p w14:paraId="6E2B9D87"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A473B7B" w14:textId="77777777" w:rsidR="00531191" w:rsidRPr="00681A91" w:rsidRDefault="005948C5">
      <w:pPr>
        <w:spacing w:after="0" w:line="360" w:lineRule="auto"/>
        <w:jc w:val="both"/>
        <w:rPr>
          <w:rFonts w:ascii="Palatino Linotype" w:eastAsia="Palatino Linotype" w:hAnsi="Palatino Linotype" w:cs="Palatino Linotype"/>
        </w:rPr>
      </w:pPr>
      <w:bookmarkStart w:id="4" w:name="_heading=h.26in1rg" w:colFirst="0" w:colLast="0"/>
      <w:bookmarkEnd w:id="4"/>
      <w:r w:rsidRPr="00681A91">
        <w:rPr>
          <w:rFonts w:ascii="Palatino Linotype" w:eastAsia="Palatino Linotype" w:hAnsi="Palatino Linotype" w:cs="Palatino Linotype"/>
        </w:rPr>
        <w:t>Lo anterior se apoya del criterio orientador con clave de control SO/019/2017, emitido por el entonces Instituto Nacional de Transparencia, Acceso a la Información y Protección de Datos Personales, INAI, el cual es del tenor literal siguiente:</w:t>
      </w:r>
    </w:p>
    <w:p w14:paraId="39C1A5D7" w14:textId="77777777" w:rsidR="00531191" w:rsidRPr="00681A91" w:rsidRDefault="00531191">
      <w:pPr>
        <w:spacing w:after="0"/>
        <w:ind w:left="851" w:right="902"/>
        <w:jc w:val="both"/>
        <w:rPr>
          <w:rFonts w:ascii="Palatino Linotype" w:eastAsia="Palatino Linotype" w:hAnsi="Palatino Linotype" w:cs="Palatino Linotype"/>
          <w:b/>
          <w:i/>
        </w:rPr>
      </w:pPr>
    </w:p>
    <w:p w14:paraId="5503FFDF"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 xml:space="preserve"> “Registro Federal de Contribuyentes (RFC) de personas físicas</w:t>
      </w:r>
      <w:r w:rsidRPr="00681A91">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157BF4E4" w14:textId="77777777" w:rsidR="00531191" w:rsidRPr="00681A91" w:rsidRDefault="00531191">
      <w:pPr>
        <w:spacing w:after="0" w:line="360" w:lineRule="auto"/>
        <w:jc w:val="both"/>
        <w:rPr>
          <w:rFonts w:ascii="Palatino Linotype" w:eastAsia="Palatino Linotype" w:hAnsi="Palatino Linotype" w:cs="Palatino Linotype"/>
        </w:rPr>
      </w:pPr>
    </w:p>
    <w:p w14:paraId="4F6E915D"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5FCB8203" w14:textId="77777777" w:rsidR="00531191" w:rsidRPr="00681A91" w:rsidRDefault="00531191">
      <w:pPr>
        <w:spacing w:after="0" w:line="360" w:lineRule="auto"/>
        <w:jc w:val="both"/>
        <w:rPr>
          <w:rFonts w:ascii="Palatino Linotype" w:eastAsia="Palatino Linotype" w:hAnsi="Palatino Linotype" w:cs="Palatino Linotype"/>
        </w:rPr>
      </w:pPr>
    </w:p>
    <w:p w14:paraId="1D479624"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De igual manera la </w:t>
      </w:r>
      <w:r w:rsidRPr="00681A91">
        <w:rPr>
          <w:rFonts w:ascii="Palatino Linotype" w:eastAsia="Palatino Linotype" w:hAnsi="Palatino Linotype" w:cs="Palatino Linotype"/>
          <w:b/>
        </w:rPr>
        <w:t>Clave Única de Registro de Población</w:t>
      </w:r>
      <w:r w:rsidRPr="00681A91">
        <w:rPr>
          <w:rFonts w:ascii="Palatino Linotype" w:eastAsia="Palatino Linotype" w:hAnsi="Palatino Linotype" w:cs="Palatino Linotype"/>
        </w:rPr>
        <w:t xml:space="preserve">, </w:t>
      </w:r>
      <w:r w:rsidRPr="00681A91">
        <w:rPr>
          <w:rFonts w:ascii="Palatino Linotype" w:eastAsia="Palatino Linotype" w:hAnsi="Palatino Linotype" w:cs="Palatino Linotype"/>
          <w:b/>
        </w:rPr>
        <w:t>CURP,</w:t>
      </w:r>
      <w:r w:rsidRPr="00681A91">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E57AFE1" w14:textId="77777777" w:rsidR="00531191" w:rsidRPr="00681A91" w:rsidRDefault="00531191">
      <w:pPr>
        <w:spacing w:after="0" w:line="360" w:lineRule="auto"/>
        <w:jc w:val="both"/>
        <w:rPr>
          <w:rFonts w:ascii="Palatino Linotype" w:eastAsia="Palatino Linotype" w:hAnsi="Palatino Linotype" w:cs="Palatino Linotype"/>
        </w:rPr>
      </w:pPr>
    </w:p>
    <w:p w14:paraId="65032B8B"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Argumento que se apoya del criterio orientador con Clave de control SO/018/2017, emitido por el entonces Instituto Nacional de Transparencia, Acceso a la Información y Protección de Datos Personales, INAI, el cual refiere:</w:t>
      </w:r>
    </w:p>
    <w:p w14:paraId="45AA6769"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 xml:space="preserve"> “Clave Única de Registro de Población (CURP). </w:t>
      </w:r>
      <w:r w:rsidRPr="00681A91">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54E00E9" w14:textId="77777777" w:rsidR="00531191" w:rsidRPr="00681A91" w:rsidRDefault="00531191">
      <w:pPr>
        <w:spacing w:after="0" w:line="360" w:lineRule="auto"/>
        <w:jc w:val="both"/>
        <w:rPr>
          <w:rFonts w:ascii="Palatino Linotype" w:eastAsia="Palatino Linotype" w:hAnsi="Palatino Linotype" w:cs="Palatino Linotype"/>
        </w:rPr>
      </w:pPr>
    </w:p>
    <w:p w14:paraId="0C85B55A"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Por lo que respecta a la </w:t>
      </w:r>
      <w:r w:rsidRPr="00681A91">
        <w:rPr>
          <w:rFonts w:ascii="Palatino Linotype" w:eastAsia="Palatino Linotype" w:hAnsi="Palatino Linotype" w:cs="Palatino Linotype"/>
          <w:b/>
        </w:rPr>
        <w:t>clave de seguridad social</w:t>
      </w:r>
      <w:r w:rsidRPr="00681A91">
        <w:rPr>
          <w:rFonts w:ascii="Palatino Linotype" w:eastAsia="Palatino Linotype" w:hAnsi="Palatino Linotype" w:cs="Palatino Linotype"/>
        </w:rPr>
        <w:t>, en virtud de que su divulgación no aporta a la transparencia o a la rendición de cuentas y sí provoca una transgresión a la vida privada e intimidad de la persona, esta información también resulta ser de carácter confidencial.</w:t>
      </w:r>
    </w:p>
    <w:p w14:paraId="008AF4D9" w14:textId="77777777" w:rsidR="00531191" w:rsidRPr="00681A91" w:rsidRDefault="00531191">
      <w:pPr>
        <w:spacing w:after="0" w:line="360" w:lineRule="auto"/>
        <w:jc w:val="both"/>
        <w:rPr>
          <w:rFonts w:ascii="Palatino Linotype" w:eastAsia="Palatino Linotype" w:hAnsi="Palatino Linotype" w:cs="Palatino Linotype"/>
        </w:rPr>
      </w:pPr>
    </w:p>
    <w:p w14:paraId="6DDFD051"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Respecto de los </w:t>
      </w:r>
      <w:r w:rsidRPr="00681A91">
        <w:rPr>
          <w:rFonts w:ascii="Palatino Linotype" w:eastAsia="Palatino Linotype" w:hAnsi="Palatino Linotype" w:cs="Palatino Linotype"/>
          <w:b/>
        </w:rPr>
        <w:t>números de cuentas bancari</w:t>
      </w:r>
      <w:r w:rsidRPr="00681A91">
        <w:rPr>
          <w:rFonts w:ascii="Palatino Linotype" w:eastAsia="Palatino Linotype" w:hAnsi="Palatino Linotype" w:cs="Palatino Linotype"/>
        </w:rPr>
        <w:t xml:space="preserve">as, </w:t>
      </w:r>
      <w:r w:rsidRPr="00681A91">
        <w:rPr>
          <w:rFonts w:ascii="Palatino Linotype" w:eastAsia="Palatino Linotype" w:hAnsi="Palatino Linotype" w:cs="Palatino Linotype"/>
          <w:b/>
        </w:rPr>
        <w:t>claves estandarizadas –interbancarias- (CLABES) y de tarjetas</w:t>
      </w:r>
      <w:r w:rsidRPr="00681A91">
        <w:rPr>
          <w:rFonts w:ascii="Palatino Linotype" w:eastAsia="Palatino Linotype" w:hAnsi="Palatino Linotype" w:cs="Palatino Linotype"/>
        </w:rPr>
        <w:t>, el Pleno de este Instituto ha determinado que esa información debe clasificarse como confidencial, y elaborarse una versión pública en la que se teste la misma.</w:t>
      </w:r>
    </w:p>
    <w:p w14:paraId="3E47A911"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E2DB6EF" w14:textId="77777777" w:rsidR="00531191" w:rsidRPr="00681A91" w:rsidRDefault="00531191">
      <w:pPr>
        <w:spacing w:after="0" w:line="360" w:lineRule="auto"/>
        <w:jc w:val="both"/>
        <w:rPr>
          <w:rFonts w:ascii="Palatino Linotype" w:eastAsia="Palatino Linotype" w:hAnsi="Palatino Linotype" w:cs="Palatino Linotype"/>
        </w:rPr>
      </w:pPr>
    </w:p>
    <w:p w14:paraId="1ACFCCC9"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30F00C51" w14:textId="77777777" w:rsidR="00531191" w:rsidRPr="00681A91" w:rsidRDefault="00531191">
      <w:pPr>
        <w:spacing w:after="0" w:line="360" w:lineRule="auto"/>
        <w:jc w:val="both"/>
        <w:rPr>
          <w:rFonts w:ascii="Palatino Linotype" w:eastAsia="Palatino Linotype" w:hAnsi="Palatino Linotype" w:cs="Palatino Linotype"/>
        </w:rPr>
      </w:pPr>
    </w:p>
    <w:p w14:paraId="04155C57"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42843213"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6481CCC8" w14:textId="77777777" w:rsidR="00531191" w:rsidRPr="00681A91" w:rsidRDefault="00531191">
      <w:pPr>
        <w:spacing w:after="0" w:line="360" w:lineRule="auto"/>
        <w:jc w:val="both"/>
        <w:rPr>
          <w:rFonts w:ascii="Palatino Linotype" w:eastAsia="Palatino Linotype" w:hAnsi="Palatino Linotype" w:cs="Palatino Linotype"/>
        </w:rPr>
      </w:pPr>
    </w:p>
    <w:p w14:paraId="6299F23D"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Lo argumentado se apoya de los criterios orientadores con claves de control SO/010/2017 y SO/011/2017, emitidos por el entonces Instituto Nacional de Transparencia, Acceso a la Información y Protección de Datos Personales, INAI, que llevan por rubro y texto los siguientes:</w:t>
      </w:r>
    </w:p>
    <w:p w14:paraId="46EF0958"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r w:rsidRPr="00681A91">
        <w:rPr>
          <w:rFonts w:ascii="Palatino Linotype" w:eastAsia="Palatino Linotype" w:hAnsi="Palatino Linotype" w:cs="Palatino Linotype"/>
          <w:b/>
          <w:i/>
        </w:rPr>
        <w:t>Cuentas bancarias y/o CLABE interbancaria de personas físicas y morales privadas.</w:t>
      </w:r>
      <w:r w:rsidRPr="00681A91">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B46401F"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“Cuentas bancarias y/o CLABE interbancaria de sujetos obligados que reciben y/o transfieren recursos públicos, son información pública.</w:t>
      </w:r>
      <w:r w:rsidRPr="00681A91">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116C638" w14:textId="77777777" w:rsidR="00531191" w:rsidRPr="00681A91" w:rsidRDefault="00531191">
      <w:pPr>
        <w:spacing w:after="0" w:line="360" w:lineRule="auto"/>
        <w:jc w:val="both"/>
        <w:rPr>
          <w:rFonts w:ascii="Palatino Linotype" w:eastAsia="Palatino Linotype" w:hAnsi="Palatino Linotype" w:cs="Palatino Linotype"/>
        </w:rPr>
      </w:pPr>
      <w:bookmarkStart w:id="5" w:name="_heading=h.35nkun2" w:colFirst="0" w:colLast="0"/>
      <w:bookmarkEnd w:id="5"/>
    </w:p>
    <w:p w14:paraId="51BF2DD5"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Por cuanto hace a los </w:t>
      </w:r>
      <w:r w:rsidRPr="00681A91">
        <w:rPr>
          <w:rFonts w:ascii="Palatino Linotype" w:eastAsia="Palatino Linotype" w:hAnsi="Palatino Linotype" w:cs="Palatino Linotype"/>
          <w:b/>
        </w:rPr>
        <w:t>préstamos o descuentos de carácter personal</w:t>
      </w:r>
      <w:r w:rsidRPr="00681A91">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2E4E15E7" w14:textId="77777777" w:rsidR="00531191" w:rsidRPr="00681A91" w:rsidRDefault="00531191">
      <w:pPr>
        <w:spacing w:after="0" w:line="360" w:lineRule="auto"/>
        <w:jc w:val="both"/>
        <w:rPr>
          <w:rFonts w:ascii="Palatino Linotype" w:eastAsia="Palatino Linotype" w:hAnsi="Palatino Linotype" w:cs="Palatino Linotype"/>
        </w:rPr>
      </w:pPr>
    </w:p>
    <w:p w14:paraId="04AB0A60"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30B9B4FB" w14:textId="77777777" w:rsidR="00531191" w:rsidRPr="00681A91" w:rsidRDefault="005948C5">
      <w:pPr>
        <w:spacing w:after="0"/>
        <w:ind w:left="851" w:right="902"/>
        <w:jc w:val="both"/>
        <w:rPr>
          <w:rFonts w:ascii="Palatino Linotype" w:eastAsia="Palatino Linotype" w:hAnsi="Palatino Linotype" w:cs="Palatino Linotype"/>
          <w:b/>
          <w:i/>
        </w:rPr>
      </w:pPr>
      <w:bookmarkStart w:id="6" w:name="_heading=h.1ksv4uv" w:colFirst="0" w:colLast="0"/>
      <w:bookmarkEnd w:id="6"/>
      <w:r w:rsidRPr="00681A91">
        <w:rPr>
          <w:rFonts w:ascii="Palatino Linotype" w:eastAsia="Palatino Linotype" w:hAnsi="Palatino Linotype" w:cs="Palatino Linotype"/>
          <w:b/>
          <w:i/>
        </w:rPr>
        <w:t xml:space="preserve">“ARTÍCULO 84. </w:t>
      </w:r>
      <w:r w:rsidRPr="00681A91">
        <w:rPr>
          <w:rFonts w:ascii="Palatino Linotype" w:eastAsia="Palatino Linotype" w:hAnsi="Palatino Linotype" w:cs="Palatino Linotype"/>
          <w:i/>
        </w:rPr>
        <w:t>Sólo podrán hacerse retenciones, descuentos o deducciones al sueldo de los servidores públicos por concepto de:</w:t>
      </w:r>
    </w:p>
    <w:p w14:paraId="5F60CC2F" w14:textId="77777777" w:rsidR="00531191" w:rsidRPr="00681A91" w:rsidRDefault="005948C5">
      <w:pP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I.</w:t>
      </w:r>
      <w:r w:rsidRPr="00681A91">
        <w:rPr>
          <w:rFonts w:ascii="Palatino Linotype" w:eastAsia="Palatino Linotype" w:hAnsi="Palatino Linotype" w:cs="Palatino Linotype"/>
          <w:i/>
        </w:rPr>
        <w:t xml:space="preserve"> Gravámenes fiscales relacionados con el sueldo;</w:t>
      </w:r>
    </w:p>
    <w:p w14:paraId="1F862076" w14:textId="77777777" w:rsidR="00531191" w:rsidRPr="00681A91" w:rsidRDefault="005948C5">
      <w:pP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II.</w:t>
      </w:r>
      <w:r w:rsidRPr="00681A91">
        <w:rPr>
          <w:rFonts w:ascii="Palatino Linotype" w:eastAsia="Palatino Linotype" w:hAnsi="Palatino Linotype" w:cs="Palatino Linotype"/>
          <w:i/>
        </w:rPr>
        <w:t xml:space="preserve"> Deudas contraídas con las instituciones públicas o dependencias por concepto de anticipos de sueldo, pagos hechos con exceso, errores o pérdidas debidamente comprobados;</w:t>
      </w:r>
    </w:p>
    <w:p w14:paraId="77980C3B" w14:textId="77777777" w:rsidR="00531191" w:rsidRPr="00681A91" w:rsidRDefault="005948C5">
      <w:pP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III.</w:t>
      </w:r>
      <w:r w:rsidRPr="00681A91">
        <w:rPr>
          <w:rFonts w:ascii="Palatino Linotype" w:eastAsia="Palatino Linotype" w:hAnsi="Palatino Linotype" w:cs="Palatino Linotype"/>
          <w:i/>
        </w:rPr>
        <w:t xml:space="preserve"> </w:t>
      </w:r>
      <w:r w:rsidRPr="00681A91">
        <w:rPr>
          <w:rFonts w:ascii="Palatino Linotype" w:eastAsia="Palatino Linotype" w:hAnsi="Palatino Linotype" w:cs="Palatino Linotype"/>
          <w:b/>
          <w:i/>
        </w:rPr>
        <w:t>Cuotas sindicales</w:t>
      </w:r>
      <w:r w:rsidRPr="00681A91">
        <w:rPr>
          <w:rFonts w:ascii="Palatino Linotype" w:eastAsia="Palatino Linotype" w:hAnsi="Palatino Linotype" w:cs="Palatino Linotype"/>
          <w:i/>
        </w:rPr>
        <w:t>;</w:t>
      </w:r>
    </w:p>
    <w:p w14:paraId="1F1A2A92" w14:textId="77777777" w:rsidR="00531191" w:rsidRPr="00681A91" w:rsidRDefault="005948C5">
      <w:pP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IV.</w:t>
      </w:r>
      <w:r w:rsidRPr="00681A91">
        <w:rPr>
          <w:rFonts w:ascii="Palatino Linotype" w:eastAsia="Palatino Linotype" w:hAnsi="Palatino Linotype" w:cs="Palatino Linotype"/>
          <w:i/>
        </w:rPr>
        <w:t xml:space="preserve"> Cuotas de aportación a fondos para la constitución de cooperativas y de cajas de ahorro, siempre que el servidor público hubiese manifestado previamente, de manera expresa, su conformidad;</w:t>
      </w:r>
    </w:p>
    <w:p w14:paraId="49DFF5AF" w14:textId="77777777" w:rsidR="00531191" w:rsidRPr="00681A91" w:rsidRDefault="005948C5">
      <w:pP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V.</w:t>
      </w:r>
      <w:r w:rsidRPr="00681A91">
        <w:rPr>
          <w:rFonts w:ascii="Palatino Linotype" w:eastAsia="Palatino Linotype" w:hAnsi="Palatino Linotype" w:cs="Palatino Linotype"/>
          <w:i/>
        </w:rPr>
        <w:t xml:space="preserve"> Descuentos ordenados por el Instituto de Seguridad Social del Estado de México y Municipios, con motivo de cuotas y obligaciones contraídas con éste por los servidores públicos;</w:t>
      </w:r>
    </w:p>
    <w:p w14:paraId="2FE121D4" w14:textId="77777777" w:rsidR="00531191" w:rsidRPr="00681A91" w:rsidRDefault="005948C5">
      <w:pP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VI.</w:t>
      </w:r>
      <w:r w:rsidRPr="00681A91">
        <w:rPr>
          <w:rFonts w:ascii="Palatino Linotype" w:eastAsia="Palatino Linotype" w:hAnsi="Palatino Linotype" w:cs="Palatino Linotype"/>
          <w:i/>
        </w:rPr>
        <w:t xml:space="preserve"> Obligaciones a cargo del servidor público con las que haya consentido, derivadas de la adquisición o del uso de habitaciones consideradas como de interés social;</w:t>
      </w:r>
    </w:p>
    <w:p w14:paraId="6ADB8107" w14:textId="77777777" w:rsidR="00531191" w:rsidRPr="00681A91" w:rsidRDefault="005948C5">
      <w:pP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VII.</w:t>
      </w:r>
      <w:r w:rsidRPr="00681A91">
        <w:rPr>
          <w:rFonts w:ascii="Palatino Linotype" w:eastAsia="Palatino Linotype" w:hAnsi="Palatino Linotype" w:cs="Palatino Linotype"/>
          <w:i/>
        </w:rPr>
        <w:t xml:space="preserve"> Faltas de puntualidad o de asistencia injustificadas;</w:t>
      </w:r>
    </w:p>
    <w:p w14:paraId="01F1E089" w14:textId="77777777" w:rsidR="00531191" w:rsidRPr="00681A91" w:rsidRDefault="005948C5">
      <w:pP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VIII. Pensiones alimenticias ordenadas por la autoridad judicial;</w:t>
      </w:r>
      <w:r w:rsidRPr="00681A91">
        <w:rPr>
          <w:rFonts w:ascii="Palatino Linotype" w:eastAsia="Palatino Linotype" w:hAnsi="Palatino Linotype" w:cs="Palatino Linotype"/>
          <w:i/>
        </w:rPr>
        <w:t xml:space="preserve"> o</w:t>
      </w:r>
    </w:p>
    <w:p w14:paraId="373F85F7" w14:textId="77777777" w:rsidR="00531191" w:rsidRPr="00681A91" w:rsidRDefault="005948C5">
      <w:pPr>
        <w:spacing w:after="0"/>
        <w:ind w:left="1134" w:right="902"/>
        <w:jc w:val="both"/>
        <w:rPr>
          <w:rFonts w:ascii="Palatino Linotype" w:eastAsia="Palatino Linotype" w:hAnsi="Palatino Linotype" w:cs="Palatino Linotype"/>
          <w:b/>
          <w:i/>
        </w:rPr>
      </w:pPr>
      <w:r w:rsidRPr="00681A91">
        <w:rPr>
          <w:rFonts w:ascii="Palatino Linotype" w:eastAsia="Palatino Linotype" w:hAnsi="Palatino Linotype" w:cs="Palatino Linotype"/>
          <w:b/>
          <w:i/>
        </w:rPr>
        <w:t>IX. Cualquier otro convenido con instituciones de servicios y aceptado por el servidor público.</w:t>
      </w:r>
    </w:p>
    <w:p w14:paraId="1B03364B"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i/>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65469264" w14:textId="77777777" w:rsidR="00531191" w:rsidRPr="00681A91" w:rsidRDefault="00531191">
      <w:pPr>
        <w:spacing w:after="0" w:line="360" w:lineRule="auto"/>
        <w:jc w:val="both"/>
        <w:rPr>
          <w:rFonts w:ascii="Palatino Linotype" w:eastAsia="Palatino Linotype" w:hAnsi="Palatino Linotype" w:cs="Palatino Linotype"/>
        </w:rPr>
      </w:pPr>
    </w:p>
    <w:p w14:paraId="5F6AFA8A"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261A75C6" w14:textId="77777777" w:rsidR="00531191" w:rsidRPr="00681A91" w:rsidRDefault="00531191">
      <w:pPr>
        <w:spacing w:after="0" w:line="360" w:lineRule="auto"/>
        <w:jc w:val="both"/>
        <w:rPr>
          <w:rFonts w:ascii="Palatino Linotype" w:eastAsia="Palatino Linotype" w:hAnsi="Palatino Linotype" w:cs="Palatino Linotype"/>
        </w:rPr>
      </w:pPr>
    </w:p>
    <w:p w14:paraId="6024E726"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De este modo, los </w:t>
      </w:r>
      <w:r w:rsidRPr="00681A91">
        <w:rPr>
          <w:rFonts w:ascii="Palatino Linotype" w:eastAsia="Palatino Linotype" w:hAnsi="Palatino Linotype" w:cs="Palatino Linotype"/>
          <w:b/>
        </w:rPr>
        <w:t>descuentos o deducciones por cuotas sindicales</w:t>
      </w:r>
      <w:r w:rsidRPr="00681A91">
        <w:rPr>
          <w:rFonts w:ascii="Palatino Linotype" w:eastAsia="Palatino Linotype" w:hAnsi="Palatino Linotype" w:cs="Palatino Linotype"/>
        </w:rPr>
        <w:t xml:space="preserve">, </w:t>
      </w:r>
      <w:r w:rsidRPr="00681A91">
        <w:rPr>
          <w:rFonts w:ascii="Palatino Linotype" w:eastAsia="Palatino Linotype" w:hAnsi="Palatino Linotype" w:cs="Palatino Linotype"/>
          <w:b/>
        </w:rPr>
        <w:t>pensiones alimenticias</w:t>
      </w:r>
      <w:r w:rsidRPr="00681A91">
        <w:rPr>
          <w:rFonts w:ascii="Palatino Linotype" w:eastAsia="Palatino Linotype" w:hAnsi="Palatino Linotype" w:cs="Palatino Linotype"/>
        </w:rPr>
        <w:t xml:space="preserve"> o </w:t>
      </w:r>
      <w:r w:rsidRPr="00681A91">
        <w:rPr>
          <w:rFonts w:ascii="Palatino Linotype" w:eastAsia="Palatino Linotype" w:hAnsi="Palatino Linotype" w:cs="Palatino Linotype"/>
          <w:b/>
        </w:rPr>
        <w:t>créditos adquiridos con instituciones privadas</w:t>
      </w:r>
      <w:r w:rsidRPr="00681A91">
        <w:rPr>
          <w:rFonts w:ascii="Palatino Linotype" w:eastAsia="Palatino Linotype" w:hAnsi="Palatino Linotype" w:cs="Palatino Linotype"/>
        </w:rPr>
        <w:t xml:space="preserve">, entre otros que no se relacionen con el gasto público, al revelar parte de las decisiones que adopta una persona respecto del uso y destino de su remuneración salarial, lo cual incide en la manera en que se integra su patrimonio, </w:t>
      </w:r>
      <w:r w:rsidRPr="00681A91">
        <w:rPr>
          <w:rFonts w:ascii="Palatino Linotype" w:eastAsia="Palatino Linotype" w:hAnsi="Palatino Linotype" w:cs="Palatino Linotype"/>
          <w:b/>
        </w:rPr>
        <w:t>es información que no es de carácter público, sino que constituye información confidencial</w:t>
      </w:r>
      <w:r w:rsidRPr="00681A91">
        <w:rPr>
          <w:rFonts w:ascii="Palatino Linotype" w:eastAsia="Palatino Linotype" w:hAnsi="Palatino Linotype" w:cs="Palatino Linotype"/>
        </w:rPr>
        <w:t xml:space="preserve"> en virtud de que corresponde con decisiones personales, y por tanto, se debe clasificar.</w:t>
      </w:r>
    </w:p>
    <w:p w14:paraId="02C47BD1" w14:textId="77777777" w:rsidR="00531191" w:rsidRPr="00681A91" w:rsidRDefault="00531191">
      <w:pPr>
        <w:spacing w:after="0" w:line="360" w:lineRule="auto"/>
        <w:jc w:val="both"/>
        <w:rPr>
          <w:rFonts w:ascii="Palatino Linotype" w:eastAsia="Palatino Linotype" w:hAnsi="Palatino Linotype" w:cs="Palatino Linotype"/>
        </w:rPr>
      </w:pPr>
    </w:p>
    <w:p w14:paraId="46CEC0B1"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04C30FE3" w14:textId="77777777" w:rsidR="00531191" w:rsidRPr="00681A91" w:rsidRDefault="00531191">
      <w:pPr>
        <w:spacing w:after="0" w:line="360" w:lineRule="auto"/>
        <w:jc w:val="both"/>
        <w:rPr>
          <w:rFonts w:ascii="Palatino Linotype" w:eastAsia="Palatino Linotype" w:hAnsi="Palatino Linotype" w:cs="Palatino Linotype"/>
        </w:rPr>
      </w:pPr>
    </w:p>
    <w:p w14:paraId="4A4529D1"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En conclusión, la información relacionada con los préstamos o descuentos de carácter personal, en virtud de no tener relación con la prestación del servicio y al no involucrar instituciones públicas, se consideran datos confidenciales.</w:t>
      </w:r>
    </w:p>
    <w:p w14:paraId="5A621329" w14:textId="77777777" w:rsidR="00531191" w:rsidRPr="00681A91" w:rsidRDefault="00531191">
      <w:pPr>
        <w:spacing w:after="0" w:line="360" w:lineRule="auto"/>
        <w:jc w:val="both"/>
        <w:rPr>
          <w:rFonts w:ascii="Palatino Linotype" w:eastAsia="Palatino Linotype" w:hAnsi="Palatino Linotype" w:cs="Palatino Linotype"/>
        </w:rPr>
      </w:pPr>
    </w:p>
    <w:p w14:paraId="7F85FCBC"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Con relación al </w:t>
      </w:r>
      <w:r w:rsidRPr="00681A91">
        <w:rPr>
          <w:rFonts w:ascii="Palatino Linotype" w:eastAsia="Palatino Linotype" w:hAnsi="Palatino Linotype" w:cs="Palatino Linotype"/>
          <w:b/>
        </w:rPr>
        <w:t>número de empleado</w:t>
      </w:r>
      <w:r w:rsidRPr="00681A91">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681A91">
        <w:rPr>
          <w:rFonts w:ascii="Palatino Linotype" w:eastAsia="Palatino Linotype" w:hAnsi="Palatino Linotype" w:cs="Palatino Linotype"/>
          <w:vertAlign w:val="superscript"/>
        </w:rPr>
        <w:footnoteReference w:id="1"/>
      </w:r>
      <w:r w:rsidRPr="00681A91">
        <w:rPr>
          <w:rFonts w:ascii="Palatino Linotype" w:eastAsia="Palatino Linotype" w:hAnsi="Palatino Linotype" w:cs="Palatino Linotype"/>
        </w:rPr>
        <w:t>.</w:t>
      </w:r>
    </w:p>
    <w:p w14:paraId="523DA744"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entonces Pleno del el Instituto Nacional de Transparencia, Acceso a la Información, y Protección de Datos Personales, INAI  se ha pronunciado sobre su publicidad, a través del Criterio de interpretación con Clave de control SO/006/2019, que indica lo siguiente:</w:t>
      </w:r>
    </w:p>
    <w:p w14:paraId="2246B5FE" w14:textId="77777777" w:rsidR="00531191" w:rsidRPr="00681A91" w:rsidRDefault="00531191">
      <w:pPr>
        <w:tabs>
          <w:tab w:val="left" w:pos="7655"/>
        </w:tabs>
        <w:spacing w:after="0"/>
        <w:ind w:left="992" w:right="992"/>
        <w:jc w:val="both"/>
        <w:rPr>
          <w:rFonts w:ascii="Palatino Linotype" w:eastAsia="Palatino Linotype" w:hAnsi="Palatino Linotype" w:cs="Palatino Linotype"/>
          <w:b/>
          <w:i/>
        </w:rPr>
      </w:pPr>
    </w:p>
    <w:p w14:paraId="0DC0A665" w14:textId="77777777" w:rsidR="00531191" w:rsidRPr="00681A91" w:rsidRDefault="005948C5">
      <w:pPr>
        <w:tabs>
          <w:tab w:val="left" w:pos="7655"/>
        </w:tabs>
        <w:spacing w:after="0"/>
        <w:ind w:left="992" w:right="992"/>
        <w:jc w:val="both"/>
        <w:rPr>
          <w:rFonts w:ascii="Palatino Linotype" w:eastAsia="Palatino Linotype" w:hAnsi="Palatino Linotype" w:cs="Palatino Linotype"/>
          <w:i/>
        </w:rPr>
      </w:pPr>
      <w:r w:rsidRPr="00681A91">
        <w:rPr>
          <w:rFonts w:ascii="Palatino Linotype" w:eastAsia="Palatino Linotype" w:hAnsi="Palatino Linotype" w:cs="Palatino Linotype"/>
          <w:b/>
          <w:i/>
        </w:rPr>
        <w:t xml:space="preserve">“Número de empleado. </w:t>
      </w:r>
      <w:r w:rsidRPr="00681A91">
        <w:rPr>
          <w:rFonts w:ascii="Palatino Linotype" w:eastAsia="Palatino Linotype" w:hAnsi="Palatino Linotype" w:cs="Palatino Linotype"/>
          <w:i/>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32BC315B" w14:textId="77777777" w:rsidR="00531191" w:rsidRPr="00681A91" w:rsidRDefault="00531191">
      <w:pPr>
        <w:spacing w:after="0" w:line="360" w:lineRule="auto"/>
        <w:jc w:val="both"/>
        <w:rPr>
          <w:rFonts w:ascii="Palatino Linotype" w:eastAsia="Palatino Linotype" w:hAnsi="Palatino Linotype" w:cs="Palatino Linotype"/>
        </w:rPr>
      </w:pPr>
    </w:p>
    <w:p w14:paraId="78BE4087"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35BE7E65" w14:textId="77777777" w:rsidR="00531191" w:rsidRPr="00681A91" w:rsidRDefault="00531191">
      <w:pPr>
        <w:spacing w:after="0" w:line="360" w:lineRule="auto"/>
        <w:jc w:val="both"/>
        <w:rPr>
          <w:rFonts w:ascii="Palatino Linotype" w:eastAsia="Palatino Linotype" w:hAnsi="Palatino Linotype" w:cs="Palatino Linotype"/>
        </w:rPr>
      </w:pPr>
    </w:p>
    <w:p w14:paraId="6803AC33" w14:textId="77777777" w:rsidR="00531191" w:rsidRPr="00681A91" w:rsidRDefault="005948C5">
      <w:pPr>
        <w:spacing w:after="0" w:line="360" w:lineRule="auto"/>
        <w:ind w:right="50"/>
        <w:jc w:val="both"/>
        <w:rPr>
          <w:rFonts w:ascii="Palatino Linotype" w:eastAsia="Palatino Linotype" w:hAnsi="Palatino Linotype" w:cs="Palatino Linotype"/>
        </w:rPr>
      </w:pPr>
      <w:r w:rsidRPr="00681A91">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FF2139D"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“Artículo 49.</w:t>
      </w:r>
      <w:r w:rsidRPr="00681A91">
        <w:rPr>
          <w:rFonts w:ascii="Palatino Linotype" w:eastAsia="Palatino Linotype" w:hAnsi="Palatino Linotype" w:cs="Palatino Linotype"/>
          <w:i/>
        </w:rPr>
        <w:t xml:space="preserve"> </w:t>
      </w:r>
      <w:r w:rsidRPr="00681A91">
        <w:rPr>
          <w:rFonts w:ascii="Palatino Linotype" w:eastAsia="Palatino Linotype" w:hAnsi="Palatino Linotype" w:cs="Palatino Linotype"/>
          <w:b/>
          <w:i/>
        </w:rPr>
        <w:t>Los Comités de Transparencia</w:t>
      </w:r>
      <w:r w:rsidRPr="00681A91">
        <w:rPr>
          <w:rFonts w:ascii="Palatino Linotype" w:eastAsia="Palatino Linotype" w:hAnsi="Palatino Linotype" w:cs="Palatino Linotype"/>
          <w:i/>
        </w:rPr>
        <w:t xml:space="preserve"> tendrán las siguientes atribuciones:</w:t>
      </w:r>
    </w:p>
    <w:p w14:paraId="34E76E3D" w14:textId="77777777" w:rsidR="00531191" w:rsidRPr="00681A91" w:rsidRDefault="005948C5">
      <w:pP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VIII. Aprobar, modificar o revocar la clasificación de la información</w:t>
      </w:r>
      <w:r w:rsidRPr="00681A91">
        <w:rPr>
          <w:rFonts w:ascii="Palatino Linotype" w:eastAsia="Palatino Linotype" w:hAnsi="Palatino Linotype" w:cs="Palatino Linotype"/>
          <w:i/>
        </w:rPr>
        <w:t>…”</w:t>
      </w:r>
    </w:p>
    <w:p w14:paraId="2D7CEBE9"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r w:rsidRPr="00681A91">
        <w:rPr>
          <w:rFonts w:ascii="Palatino Linotype" w:eastAsia="Palatino Linotype" w:hAnsi="Palatino Linotype" w:cs="Palatino Linotype"/>
          <w:b/>
          <w:i/>
        </w:rPr>
        <w:t>Artículo 53.</w:t>
      </w:r>
      <w:r w:rsidRPr="00681A91">
        <w:rPr>
          <w:rFonts w:ascii="Palatino Linotype" w:eastAsia="Palatino Linotype" w:hAnsi="Palatino Linotype" w:cs="Palatino Linotype"/>
          <w:i/>
        </w:rPr>
        <w:t xml:space="preserve"> Las </w:t>
      </w:r>
      <w:r w:rsidRPr="00681A91">
        <w:rPr>
          <w:rFonts w:ascii="Palatino Linotype" w:eastAsia="Palatino Linotype" w:hAnsi="Palatino Linotype" w:cs="Palatino Linotype"/>
          <w:b/>
          <w:i/>
        </w:rPr>
        <w:t>Unidades de Transparencia</w:t>
      </w:r>
      <w:r w:rsidRPr="00681A91">
        <w:rPr>
          <w:rFonts w:ascii="Palatino Linotype" w:eastAsia="Palatino Linotype" w:hAnsi="Palatino Linotype" w:cs="Palatino Linotype"/>
          <w:i/>
        </w:rPr>
        <w:t xml:space="preserve"> tendrán las siguientes </w:t>
      </w:r>
      <w:r w:rsidRPr="00681A91">
        <w:rPr>
          <w:rFonts w:ascii="Palatino Linotype" w:eastAsia="Palatino Linotype" w:hAnsi="Palatino Linotype" w:cs="Palatino Linotype"/>
          <w:b/>
          <w:i/>
        </w:rPr>
        <w:t>funciones</w:t>
      </w:r>
      <w:r w:rsidRPr="00681A91">
        <w:rPr>
          <w:rFonts w:ascii="Palatino Linotype" w:eastAsia="Palatino Linotype" w:hAnsi="Palatino Linotype" w:cs="Palatino Linotype"/>
          <w:i/>
        </w:rPr>
        <w:t>:</w:t>
      </w:r>
    </w:p>
    <w:p w14:paraId="2C7303A4" w14:textId="77777777" w:rsidR="00531191" w:rsidRPr="00681A91" w:rsidRDefault="005948C5">
      <w:pP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X. Presentar ante el Comité, el proyecto de clasificación de información</w:t>
      </w:r>
      <w:r w:rsidRPr="00681A91">
        <w:rPr>
          <w:rFonts w:ascii="Palatino Linotype" w:eastAsia="Palatino Linotype" w:hAnsi="Palatino Linotype" w:cs="Palatino Linotype"/>
          <w:i/>
        </w:rPr>
        <w:t xml:space="preserve">…” </w:t>
      </w:r>
    </w:p>
    <w:p w14:paraId="535F74AE"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“Artículo 59.</w:t>
      </w:r>
      <w:r w:rsidRPr="00681A91">
        <w:rPr>
          <w:rFonts w:ascii="Palatino Linotype" w:eastAsia="Palatino Linotype" w:hAnsi="Palatino Linotype" w:cs="Palatino Linotype"/>
          <w:i/>
        </w:rPr>
        <w:t xml:space="preserve"> Los </w:t>
      </w:r>
      <w:r w:rsidRPr="00681A91">
        <w:rPr>
          <w:rFonts w:ascii="Palatino Linotype" w:eastAsia="Palatino Linotype" w:hAnsi="Palatino Linotype" w:cs="Palatino Linotype"/>
          <w:b/>
          <w:i/>
        </w:rPr>
        <w:t>servidores públicos habilitados</w:t>
      </w:r>
      <w:r w:rsidRPr="00681A91">
        <w:rPr>
          <w:rFonts w:ascii="Palatino Linotype" w:eastAsia="Palatino Linotype" w:hAnsi="Palatino Linotype" w:cs="Palatino Linotype"/>
          <w:i/>
        </w:rPr>
        <w:t xml:space="preserve"> tendrán las </w:t>
      </w:r>
      <w:r w:rsidRPr="00681A91">
        <w:rPr>
          <w:rFonts w:ascii="Palatino Linotype" w:eastAsia="Palatino Linotype" w:hAnsi="Palatino Linotype" w:cs="Palatino Linotype"/>
          <w:b/>
          <w:i/>
        </w:rPr>
        <w:t>funciones</w:t>
      </w:r>
      <w:r w:rsidRPr="00681A91">
        <w:rPr>
          <w:rFonts w:ascii="Palatino Linotype" w:eastAsia="Palatino Linotype" w:hAnsi="Palatino Linotype" w:cs="Palatino Linotype"/>
          <w:i/>
        </w:rPr>
        <w:t xml:space="preserve"> siguientes:</w:t>
      </w:r>
    </w:p>
    <w:p w14:paraId="100C29B4" w14:textId="77777777" w:rsidR="00531191" w:rsidRPr="00681A91" w:rsidRDefault="005948C5">
      <w:pP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V. Integrar y presentar al responsable de la Unidad de Transparencia la propuesta de clasificación de información</w:t>
      </w:r>
      <w:r w:rsidRPr="00681A91">
        <w:rPr>
          <w:rFonts w:ascii="Palatino Linotype" w:eastAsia="Palatino Linotype" w:hAnsi="Palatino Linotype" w:cs="Palatino Linotype"/>
          <w:i/>
        </w:rPr>
        <w:t>, la cual tendrá los fundamentos y argumentos en que se basa dicha propuesta…”</w:t>
      </w:r>
    </w:p>
    <w:p w14:paraId="3DA8A6D9" w14:textId="77777777" w:rsidR="00531191" w:rsidRPr="00681A91" w:rsidRDefault="00531191">
      <w:pPr>
        <w:spacing w:after="0" w:line="360" w:lineRule="auto"/>
        <w:jc w:val="both"/>
        <w:rPr>
          <w:rFonts w:ascii="Palatino Linotype" w:eastAsia="Palatino Linotype" w:hAnsi="Palatino Linotype" w:cs="Palatino Linotype"/>
        </w:rPr>
      </w:pPr>
    </w:p>
    <w:p w14:paraId="0A159F1D"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A85CB90" w14:textId="77777777" w:rsidR="00531191" w:rsidRPr="00681A91" w:rsidRDefault="00531191">
      <w:pPr>
        <w:spacing w:after="0" w:line="360" w:lineRule="auto"/>
        <w:jc w:val="both"/>
        <w:rPr>
          <w:rFonts w:ascii="Palatino Linotype" w:eastAsia="Palatino Linotype" w:hAnsi="Palatino Linotype" w:cs="Palatino Linotype"/>
        </w:rPr>
      </w:pPr>
    </w:p>
    <w:p w14:paraId="79DF3DB5"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044F4643" w14:textId="77777777" w:rsidR="00531191" w:rsidRPr="00681A91" w:rsidRDefault="00531191">
      <w:pPr>
        <w:spacing w:after="0"/>
        <w:ind w:left="851" w:right="902"/>
        <w:jc w:val="both"/>
        <w:rPr>
          <w:rFonts w:ascii="Palatino Linotype" w:eastAsia="Palatino Linotype" w:hAnsi="Palatino Linotype" w:cs="Palatino Linotype"/>
          <w:i/>
        </w:rPr>
      </w:pPr>
    </w:p>
    <w:p w14:paraId="70473567"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r w:rsidRPr="00681A91">
        <w:rPr>
          <w:rFonts w:ascii="Palatino Linotype" w:eastAsia="Palatino Linotype" w:hAnsi="Palatino Linotype" w:cs="Palatino Linotype"/>
          <w:b/>
          <w:i/>
        </w:rPr>
        <w:t>Artículo 149.</w:t>
      </w:r>
      <w:r w:rsidRPr="00681A91">
        <w:rPr>
          <w:rFonts w:ascii="Palatino Linotype" w:eastAsia="Palatino Linotype" w:hAnsi="Palatino Linotype" w:cs="Palatino Linotype"/>
          <w:i/>
        </w:rPr>
        <w:t xml:space="preserve"> El </w:t>
      </w:r>
      <w:r w:rsidRPr="00681A91">
        <w:rPr>
          <w:rFonts w:ascii="Palatino Linotype" w:eastAsia="Palatino Linotype" w:hAnsi="Palatino Linotype" w:cs="Palatino Linotype"/>
          <w:b/>
          <w:i/>
        </w:rPr>
        <w:t>acuerdo que clasifique la información como confidencial</w:t>
      </w:r>
      <w:r w:rsidRPr="00681A91">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 </w:t>
      </w:r>
    </w:p>
    <w:p w14:paraId="76D8B20A" w14:textId="77777777" w:rsidR="00531191" w:rsidRPr="00681A91" w:rsidRDefault="00531191">
      <w:pPr>
        <w:spacing w:after="0" w:line="360" w:lineRule="auto"/>
        <w:ind w:right="51"/>
        <w:jc w:val="both"/>
        <w:rPr>
          <w:rFonts w:ascii="Palatino Linotype" w:eastAsia="Palatino Linotype" w:hAnsi="Palatino Linotype" w:cs="Palatino Linotype"/>
        </w:rPr>
      </w:pPr>
    </w:p>
    <w:p w14:paraId="72333320" w14:textId="77777777" w:rsidR="00531191" w:rsidRPr="00681A91" w:rsidRDefault="005948C5">
      <w:pPr>
        <w:spacing w:after="0" w:line="360" w:lineRule="auto"/>
        <w:ind w:right="51"/>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Es decir,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313D3874" w14:textId="77777777" w:rsidR="00531191" w:rsidRPr="00681A91" w:rsidRDefault="00531191">
      <w:pPr>
        <w:spacing w:after="0" w:line="360" w:lineRule="auto"/>
        <w:ind w:right="51"/>
        <w:jc w:val="both"/>
        <w:rPr>
          <w:rFonts w:ascii="Palatino Linotype" w:eastAsia="Palatino Linotype" w:hAnsi="Palatino Linotype" w:cs="Palatino Linotype"/>
        </w:rPr>
      </w:pPr>
    </w:p>
    <w:p w14:paraId="14AB8E4A" w14:textId="77777777" w:rsidR="00531191" w:rsidRPr="00681A91" w:rsidRDefault="005948C5">
      <w:pPr>
        <w:pBdr>
          <w:top w:val="nil"/>
          <w:left w:val="nil"/>
          <w:bottom w:val="nil"/>
          <w:right w:val="nil"/>
          <w:between w:val="nil"/>
        </w:pBdr>
        <w:spacing w:after="0" w:line="360" w:lineRule="auto"/>
        <w:ind w:right="51"/>
        <w:jc w:val="both"/>
        <w:rPr>
          <w:rFonts w:ascii="Palatino Linotype" w:eastAsia="Palatino Linotype" w:hAnsi="Palatino Linotype" w:cs="Palatino Linotype"/>
        </w:rPr>
      </w:pPr>
      <w:r w:rsidRPr="00681A91">
        <w:rPr>
          <w:rFonts w:ascii="Palatino Linotype" w:eastAsia="Palatino Linotype" w:hAnsi="Palatino Linotype" w:cs="Palatino Linotype"/>
        </w:rPr>
        <w:t xml:space="preserve">Asimismo, respecto a las formalidades que deberá llevar el acuerdo de clasificación que deberá emitir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147E5FB0" w14:textId="77777777" w:rsidR="00531191" w:rsidRPr="00681A91" w:rsidRDefault="00531191">
      <w:pPr>
        <w:pBdr>
          <w:top w:val="nil"/>
          <w:left w:val="nil"/>
          <w:bottom w:val="nil"/>
          <w:right w:val="nil"/>
          <w:between w:val="nil"/>
        </w:pBdr>
        <w:spacing w:after="0" w:line="360" w:lineRule="auto"/>
        <w:ind w:right="51"/>
        <w:jc w:val="both"/>
        <w:rPr>
          <w:rFonts w:ascii="Palatino Linotype" w:eastAsia="Palatino Linotype" w:hAnsi="Palatino Linotype" w:cs="Palatino Linotype"/>
        </w:rPr>
      </w:pPr>
    </w:p>
    <w:p w14:paraId="4F299C42"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 xml:space="preserve"> “Quincuagésimo. </w:t>
      </w:r>
      <w:r w:rsidRPr="00681A91">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A5C6819" w14:textId="77777777" w:rsidR="00531191" w:rsidRPr="00681A91" w:rsidRDefault="005948C5">
      <w:pPr>
        <w:pBdr>
          <w:top w:val="nil"/>
          <w:left w:val="nil"/>
          <w:bottom w:val="nil"/>
          <w:right w:val="nil"/>
          <w:between w:val="nil"/>
        </w:pBd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 xml:space="preserve">Quincuagésimo primero. </w:t>
      </w:r>
      <w:r w:rsidRPr="00681A91">
        <w:rPr>
          <w:rFonts w:ascii="Palatino Linotype" w:eastAsia="Palatino Linotype" w:hAnsi="Palatino Linotype" w:cs="Palatino Linotype"/>
          <w:i/>
        </w:rPr>
        <w:t xml:space="preserve">Toda acta del Comité de Transparencia deberá contener: </w:t>
      </w:r>
    </w:p>
    <w:p w14:paraId="16122B93" w14:textId="77777777" w:rsidR="00531191" w:rsidRPr="00681A91" w:rsidRDefault="005948C5">
      <w:pPr>
        <w:pBdr>
          <w:top w:val="nil"/>
          <w:left w:val="nil"/>
          <w:bottom w:val="nil"/>
          <w:right w:val="nil"/>
          <w:between w:val="nil"/>
        </w:pBd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I.</w:t>
      </w:r>
      <w:r w:rsidRPr="00681A91">
        <w:rPr>
          <w:rFonts w:ascii="Palatino Linotype" w:eastAsia="Palatino Linotype" w:hAnsi="Palatino Linotype" w:cs="Palatino Linotype"/>
          <w:i/>
        </w:rPr>
        <w:t xml:space="preserve"> El número de sesión y fecha; </w:t>
      </w:r>
    </w:p>
    <w:p w14:paraId="521E6B7C" w14:textId="77777777" w:rsidR="00531191" w:rsidRPr="00681A91" w:rsidRDefault="005948C5">
      <w:pPr>
        <w:pBdr>
          <w:top w:val="nil"/>
          <w:left w:val="nil"/>
          <w:bottom w:val="nil"/>
          <w:right w:val="nil"/>
          <w:between w:val="nil"/>
        </w:pBd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II</w:t>
      </w:r>
      <w:r w:rsidRPr="00681A91">
        <w:rPr>
          <w:rFonts w:ascii="Palatino Linotype" w:eastAsia="Palatino Linotype" w:hAnsi="Palatino Linotype" w:cs="Palatino Linotype"/>
          <w:i/>
        </w:rPr>
        <w:t xml:space="preserve">. El nombre del área que solicitó la clasificación de información; </w:t>
      </w:r>
    </w:p>
    <w:p w14:paraId="740E6004" w14:textId="77777777" w:rsidR="00531191" w:rsidRPr="00681A91" w:rsidRDefault="005948C5">
      <w:pPr>
        <w:pBdr>
          <w:top w:val="nil"/>
          <w:left w:val="nil"/>
          <w:bottom w:val="nil"/>
          <w:right w:val="nil"/>
          <w:between w:val="nil"/>
        </w:pBd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III</w:t>
      </w:r>
      <w:r w:rsidRPr="00681A91">
        <w:rPr>
          <w:rFonts w:ascii="Palatino Linotype" w:eastAsia="Palatino Linotype" w:hAnsi="Palatino Linotype" w:cs="Palatino Linotype"/>
          <w:i/>
        </w:rPr>
        <w:t xml:space="preserve">. La fundamentación legal y motivación correspondiente; </w:t>
      </w:r>
    </w:p>
    <w:p w14:paraId="66866FD6" w14:textId="77777777" w:rsidR="00531191" w:rsidRPr="00681A91" w:rsidRDefault="005948C5">
      <w:pPr>
        <w:pBdr>
          <w:top w:val="nil"/>
          <w:left w:val="nil"/>
          <w:bottom w:val="nil"/>
          <w:right w:val="nil"/>
          <w:between w:val="nil"/>
        </w:pBd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IV</w:t>
      </w:r>
      <w:r w:rsidRPr="00681A91">
        <w:rPr>
          <w:rFonts w:ascii="Palatino Linotype" w:eastAsia="Palatino Linotype" w:hAnsi="Palatino Linotype" w:cs="Palatino Linotype"/>
          <w:i/>
        </w:rPr>
        <w:t xml:space="preserve">. La resolución o resoluciones aprobadas; y </w:t>
      </w:r>
    </w:p>
    <w:p w14:paraId="4E7D64A5" w14:textId="77777777" w:rsidR="00531191" w:rsidRPr="00681A91" w:rsidRDefault="005948C5">
      <w:pPr>
        <w:pBdr>
          <w:top w:val="nil"/>
          <w:left w:val="nil"/>
          <w:bottom w:val="nil"/>
          <w:right w:val="nil"/>
          <w:between w:val="nil"/>
        </w:pBd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V</w:t>
      </w:r>
      <w:r w:rsidRPr="00681A91">
        <w:rPr>
          <w:rFonts w:ascii="Palatino Linotype" w:eastAsia="Palatino Linotype" w:hAnsi="Palatino Linotype" w:cs="Palatino Linotype"/>
          <w:i/>
        </w:rPr>
        <w:t xml:space="preserve">. La rúbrica o firma digital de cada integrante del Comité de Transparencia. </w:t>
      </w:r>
    </w:p>
    <w:p w14:paraId="3B8AEA1B" w14:textId="77777777" w:rsidR="00531191" w:rsidRPr="00681A91" w:rsidRDefault="005948C5">
      <w:pPr>
        <w:pBdr>
          <w:top w:val="nil"/>
          <w:left w:val="nil"/>
          <w:bottom w:val="nil"/>
          <w:right w:val="nil"/>
          <w:between w:val="nil"/>
        </w:pBd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5B43D151" w14:textId="77777777" w:rsidR="00531191" w:rsidRPr="00681A91" w:rsidRDefault="005948C5">
      <w:pPr>
        <w:pBdr>
          <w:top w:val="nil"/>
          <w:left w:val="nil"/>
          <w:bottom w:val="nil"/>
          <w:right w:val="nil"/>
          <w:between w:val="nil"/>
        </w:pBd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I.</w:t>
      </w:r>
      <w:r w:rsidRPr="00681A91">
        <w:rPr>
          <w:rFonts w:ascii="Palatino Linotype" w:eastAsia="Palatino Linotype" w:hAnsi="Palatino Linotype" w:cs="Palatino Linotype"/>
          <w:i/>
        </w:rPr>
        <w:t xml:space="preserve"> Los motivos y razonamientos que sustenten la confirmación o modificación de la prueba de daño;</w:t>
      </w:r>
    </w:p>
    <w:p w14:paraId="53C20384" w14:textId="77777777" w:rsidR="00531191" w:rsidRPr="00681A91" w:rsidRDefault="005948C5">
      <w:pPr>
        <w:pBdr>
          <w:top w:val="nil"/>
          <w:left w:val="nil"/>
          <w:bottom w:val="nil"/>
          <w:right w:val="nil"/>
          <w:between w:val="nil"/>
        </w:pBdr>
        <w:spacing w:after="0"/>
        <w:ind w:left="1134" w:right="902"/>
        <w:jc w:val="both"/>
        <w:rPr>
          <w:rFonts w:ascii="Palatino Linotype" w:eastAsia="Palatino Linotype" w:hAnsi="Palatino Linotype" w:cs="Palatino Linotype"/>
          <w:b/>
          <w:i/>
        </w:rPr>
      </w:pPr>
      <w:r w:rsidRPr="00681A91">
        <w:rPr>
          <w:rFonts w:ascii="Palatino Linotype" w:eastAsia="Palatino Linotype" w:hAnsi="Palatino Linotype" w:cs="Palatino Linotype"/>
          <w:b/>
          <w:i/>
        </w:rPr>
        <w:t>II</w:t>
      </w:r>
      <w:r w:rsidRPr="00681A91">
        <w:rPr>
          <w:rFonts w:ascii="Palatino Linotype" w:eastAsia="Palatino Linotype" w:hAnsi="Palatino Linotype" w:cs="Palatino Linotype"/>
          <w:i/>
        </w:rPr>
        <w:t>. Descripción de las partes o secciones reservadas, en caso de clasificación parcial</w:t>
      </w:r>
      <w:r w:rsidRPr="00681A91">
        <w:rPr>
          <w:rFonts w:ascii="Palatino Linotype" w:eastAsia="Palatino Linotype" w:hAnsi="Palatino Linotype" w:cs="Palatino Linotype"/>
          <w:b/>
          <w:i/>
        </w:rPr>
        <w:t xml:space="preserve">; </w:t>
      </w:r>
    </w:p>
    <w:p w14:paraId="550DB8CB" w14:textId="77777777" w:rsidR="00531191" w:rsidRPr="00681A91" w:rsidRDefault="005948C5">
      <w:pPr>
        <w:pBdr>
          <w:top w:val="nil"/>
          <w:left w:val="nil"/>
          <w:bottom w:val="nil"/>
          <w:right w:val="nil"/>
          <w:between w:val="nil"/>
        </w:pBd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III.</w:t>
      </w:r>
      <w:r w:rsidRPr="00681A91">
        <w:rPr>
          <w:rFonts w:ascii="Palatino Linotype" w:eastAsia="Palatino Linotype" w:hAnsi="Palatino Linotype" w:cs="Palatino Linotype"/>
          <w:i/>
        </w:rPr>
        <w:t xml:space="preserve"> El periodo por el que mantendrá su clasificación y fecha de expiración; y </w:t>
      </w:r>
    </w:p>
    <w:p w14:paraId="0A77156C" w14:textId="77777777" w:rsidR="00531191" w:rsidRPr="00681A91" w:rsidRDefault="005948C5">
      <w:pPr>
        <w:pBdr>
          <w:top w:val="nil"/>
          <w:left w:val="nil"/>
          <w:bottom w:val="nil"/>
          <w:right w:val="nil"/>
          <w:between w:val="nil"/>
        </w:pBd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IV.</w:t>
      </w:r>
      <w:r w:rsidRPr="00681A91">
        <w:rPr>
          <w:rFonts w:ascii="Palatino Linotype" w:eastAsia="Palatino Linotype" w:hAnsi="Palatino Linotype" w:cs="Palatino Linotype"/>
          <w:i/>
        </w:rPr>
        <w:t xml:space="preserve"> El nombre del titular y área encargada de realizar la versión pública del documento, en su caso. </w:t>
      </w:r>
    </w:p>
    <w:p w14:paraId="157D8343" w14:textId="77777777" w:rsidR="00531191" w:rsidRPr="00681A91" w:rsidRDefault="005948C5">
      <w:pPr>
        <w:pBdr>
          <w:top w:val="nil"/>
          <w:left w:val="nil"/>
          <w:bottom w:val="nil"/>
          <w:right w:val="nil"/>
          <w:between w:val="nil"/>
        </w:pBd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0B216F92" w14:textId="77777777" w:rsidR="00531191" w:rsidRPr="00681A91" w:rsidRDefault="005948C5">
      <w:pPr>
        <w:pBdr>
          <w:top w:val="nil"/>
          <w:left w:val="nil"/>
          <w:bottom w:val="nil"/>
          <w:right w:val="nil"/>
          <w:between w:val="nil"/>
        </w:pBd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1CC1D96E" w14:textId="77777777" w:rsidR="00531191" w:rsidRPr="00681A91" w:rsidRDefault="00531191">
      <w:pPr>
        <w:spacing w:after="0" w:line="360" w:lineRule="auto"/>
        <w:jc w:val="both"/>
        <w:rPr>
          <w:rFonts w:ascii="Palatino Linotype" w:eastAsia="Palatino Linotype" w:hAnsi="Palatino Linotype" w:cs="Palatino Linotype"/>
        </w:rPr>
      </w:pPr>
    </w:p>
    <w:p w14:paraId="53BF1CF0"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65C60411" w14:textId="77777777" w:rsidR="00531191" w:rsidRPr="00681A91" w:rsidRDefault="005948C5">
      <w:pPr>
        <w:spacing w:after="0"/>
        <w:ind w:left="851" w:right="900"/>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r w:rsidRPr="00681A91">
        <w:rPr>
          <w:rFonts w:ascii="Palatino Linotype" w:eastAsia="Palatino Linotype" w:hAnsi="Palatino Linotype" w:cs="Palatino Linotype"/>
          <w:b/>
          <w:i/>
        </w:rPr>
        <w:t>Quincuagésimo segundo</w:t>
      </w:r>
      <w:r w:rsidRPr="00681A91">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896FB0E" w14:textId="77777777" w:rsidR="00531191" w:rsidRPr="00681A91" w:rsidRDefault="005948C5">
      <w:pPr>
        <w:spacing w:after="0"/>
        <w:ind w:left="851" w:right="900"/>
        <w:jc w:val="both"/>
        <w:rPr>
          <w:rFonts w:ascii="Palatino Linotype" w:eastAsia="Palatino Linotype" w:hAnsi="Palatino Linotype" w:cs="Palatino Linotype"/>
          <w:i/>
        </w:rPr>
      </w:pPr>
      <w:r w:rsidRPr="00681A91">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532A4417" w14:textId="77777777" w:rsidR="00531191" w:rsidRPr="00681A91" w:rsidRDefault="005948C5">
      <w:pPr>
        <w:spacing w:after="0"/>
        <w:ind w:left="1134" w:right="900"/>
        <w:jc w:val="both"/>
        <w:rPr>
          <w:rFonts w:ascii="Palatino Linotype" w:eastAsia="Palatino Linotype" w:hAnsi="Palatino Linotype" w:cs="Palatino Linotype"/>
          <w:i/>
        </w:rPr>
      </w:pPr>
      <w:r w:rsidRPr="00681A91">
        <w:rPr>
          <w:rFonts w:ascii="Palatino Linotype" w:eastAsia="Palatino Linotype" w:hAnsi="Palatino Linotype" w:cs="Palatino Linotype"/>
          <w:b/>
          <w:i/>
        </w:rPr>
        <w:t>I.</w:t>
      </w:r>
      <w:r w:rsidRPr="00681A91">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178317E0" w14:textId="77777777" w:rsidR="00531191" w:rsidRPr="00681A91" w:rsidRDefault="005948C5">
      <w:pPr>
        <w:spacing w:after="0"/>
        <w:ind w:left="1134" w:right="900"/>
        <w:jc w:val="both"/>
        <w:rPr>
          <w:rFonts w:ascii="Palatino Linotype" w:eastAsia="Palatino Linotype" w:hAnsi="Palatino Linotype" w:cs="Palatino Linotype"/>
          <w:i/>
        </w:rPr>
      </w:pPr>
      <w:r w:rsidRPr="00681A91">
        <w:rPr>
          <w:rFonts w:ascii="Palatino Linotype" w:eastAsia="Palatino Linotype" w:hAnsi="Palatino Linotype" w:cs="Palatino Linotype"/>
          <w:b/>
          <w:i/>
        </w:rPr>
        <w:t>II.</w:t>
      </w:r>
      <w:r w:rsidRPr="00681A91">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1B37A6F9" w14:textId="77777777" w:rsidR="00531191" w:rsidRPr="00681A91" w:rsidRDefault="005948C5">
      <w:pPr>
        <w:spacing w:after="0"/>
        <w:ind w:left="1134" w:right="900"/>
        <w:jc w:val="both"/>
        <w:rPr>
          <w:rFonts w:ascii="Palatino Linotype" w:eastAsia="Palatino Linotype" w:hAnsi="Palatino Linotype" w:cs="Palatino Linotype"/>
          <w:i/>
        </w:rPr>
      </w:pPr>
      <w:r w:rsidRPr="00681A91">
        <w:rPr>
          <w:rFonts w:ascii="Palatino Linotype" w:eastAsia="Palatino Linotype" w:hAnsi="Palatino Linotype" w:cs="Palatino Linotype"/>
          <w:b/>
          <w:i/>
        </w:rPr>
        <w:t>III.</w:t>
      </w:r>
      <w:r w:rsidRPr="00681A91">
        <w:rPr>
          <w:rFonts w:ascii="Palatino Linotype" w:eastAsia="Palatino Linotype" w:hAnsi="Palatino Linotype" w:cs="Palatino Linotype"/>
          <w:i/>
        </w:rPr>
        <w:t xml:space="preserve"> Señalar las personas o instancias autorizadas a acceder a la información clasificada.</w:t>
      </w:r>
    </w:p>
    <w:p w14:paraId="410D5395" w14:textId="77777777" w:rsidR="00531191" w:rsidRPr="00681A91" w:rsidRDefault="005948C5">
      <w:pPr>
        <w:spacing w:after="0"/>
        <w:ind w:left="851" w:right="900"/>
        <w:jc w:val="both"/>
        <w:rPr>
          <w:rFonts w:ascii="Palatino Linotype" w:eastAsia="Palatino Linotype" w:hAnsi="Palatino Linotype" w:cs="Palatino Linotype"/>
          <w:i/>
        </w:rPr>
      </w:pPr>
      <w:r w:rsidRPr="00681A91">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374C4CA7" w14:textId="77777777" w:rsidR="00531191" w:rsidRPr="00681A91" w:rsidRDefault="005948C5">
      <w:pPr>
        <w:pBdr>
          <w:top w:val="nil"/>
          <w:left w:val="nil"/>
          <w:bottom w:val="nil"/>
          <w:right w:val="nil"/>
          <w:between w:val="nil"/>
        </w:pBdr>
        <w:spacing w:after="0"/>
        <w:ind w:left="851" w:right="900"/>
        <w:jc w:val="both"/>
        <w:rPr>
          <w:rFonts w:ascii="Palatino Linotype" w:eastAsia="Palatino Linotype" w:hAnsi="Palatino Linotype" w:cs="Palatino Linotype"/>
          <w:i/>
        </w:rPr>
      </w:pPr>
      <w:r w:rsidRPr="00681A91">
        <w:rPr>
          <w:rFonts w:ascii="Palatino Linotype" w:eastAsia="Palatino Linotype" w:hAnsi="Palatino Linotype" w:cs="Palatino Linotype"/>
          <w:i/>
        </w:rPr>
        <w:t>…</w:t>
      </w:r>
    </w:p>
    <w:p w14:paraId="05256E20" w14:textId="77777777" w:rsidR="00531191" w:rsidRPr="00681A91" w:rsidRDefault="005948C5">
      <w:pPr>
        <w:pBdr>
          <w:top w:val="nil"/>
          <w:left w:val="nil"/>
          <w:bottom w:val="nil"/>
          <w:right w:val="nil"/>
          <w:between w:val="nil"/>
        </w:pBdr>
        <w:spacing w:after="0"/>
        <w:ind w:left="851" w:right="900"/>
        <w:jc w:val="both"/>
        <w:rPr>
          <w:rFonts w:ascii="Palatino Linotype" w:eastAsia="Palatino Linotype" w:hAnsi="Palatino Linotype" w:cs="Palatino Linotype"/>
          <w:b/>
          <w:i/>
        </w:rPr>
      </w:pPr>
      <w:r w:rsidRPr="00681A91">
        <w:rPr>
          <w:rFonts w:ascii="Palatino Linotype" w:eastAsia="Palatino Linotype" w:hAnsi="Palatino Linotype" w:cs="Palatino Linotype"/>
          <w:b/>
          <w:i/>
        </w:rPr>
        <w:t xml:space="preserve">Quincuagésimo cuarto. </w:t>
      </w:r>
      <w:r w:rsidRPr="00681A91">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681A91">
        <w:rPr>
          <w:rFonts w:ascii="Palatino Linotype" w:eastAsia="Palatino Linotype" w:hAnsi="Palatino Linotype" w:cs="Palatino Linotype"/>
          <w:b/>
          <w:i/>
        </w:rPr>
        <w:t xml:space="preserve"> </w:t>
      </w:r>
    </w:p>
    <w:p w14:paraId="07FE71BC"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 xml:space="preserve">Quincuagésimo quinto. </w:t>
      </w:r>
      <w:r w:rsidRPr="00681A91">
        <w:rPr>
          <w:rFonts w:ascii="Palatino Linotype" w:eastAsia="Palatino Linotype" w:hAnsi="Palatino Linotype" w:cs="Palatino Linotype"/>
          <w:i/>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75DDDF0" w14:textId="77777777" w:rsidR="00531191" w:rsidRPr="00681A91" w:rsidRDefault="005948C5">
      <w:pPr>
        <w:spacing w:after="0"/>
        <w:ind w:left="851" w:right="902"/>
        <w:jc w:val="both"/>
        <w:rPr>
          <w:rFonts w:ascii="Palatino Linotype" w:eastAsia="Palatino Linotype" w:hAnsi="Palatino Linotype" w:cs="Palatino Linotype"/>
          <w:b/>
          <w:i/>
        </w:rPr>
      </w:pPr>
      <w:r w:rsidRPr="00681A91">
        <w:rPr>
          <w:rFonts w:ascii="Palatino Linotype" w:eastAsia="Palatino Linotype" w:hAnsi="Palatino Linotype" w:cs="Palatino Linotype"/>
          <w:b/>
          <w:i/>
        </w:rPr>
        <w:t>...</w:t>
      </w:r>
    </w:p>
    <w:p w14:paraId="77181334"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Quincuagésimo séptimo</w:t>
      </w:r>
      <w:r w:rsidRPr="00681A91">
        <w:rPr>
          <w:rFonts w:ascii="Palatino Linotype" w:eastAsia="Palatino Linotype" w:hAnsi="Palatino Linotype" w:cs="Palatino Linotype"/>
          <w:i/>
        </w:rPr>
        <w:t xml:space="preserve">. Se considera, en principio, como información pública y no podrá omitirse de las versiones públicas la siguiente: </w:t>
      </w:r>
    </w:p>
    <w:p w14:paraId="71A5BBFB" w14:textId="77777777" w:rsidR="00531191" w:rsidRPr="00681A91" w:rsidRDefault="005948C5">
      <w:pP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I</w:t>
      </w:r>
      <w:r w:rsidRPr="00681A91">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7E298364" w14:textId="77777777" w:rsidR="00531191" w:rsidRPr="00681A91" w:rsidRDefault="005948C5">
      <w:pP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II.</w:t>
      </w:r>
      <w:r w:rsidRPr="00681A91">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19A2933C" w14:textId="77777777" w:rsidR="00531191" w:rsidRPr="00681A91" w:rsidRDefault="005948C5">
      <w:pPr>
        <w:spacing w:after="0"/>
        <w:ind w:left="1134"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III</w:t>
      </w:r>
      <w:r w:rsidRPr="00681A91">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CF71AAC"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7EC702F6" w14:textId="77777777" w:rsidR="00531191" w:rsidRPr="00681A91" w:rsidRDefault="005948C5">
      <w:pPr>
        <w:spacing w:after="0"/>
        <w:ind w:left="851" w:right="902"/>
        <w:jc w:val="both"/>
        <w:rPr>
          <w:rFonts w:ascii="Palatino Linotype" w:eastAsia="Palatino Linotype" w:hAnsi="Palatino Linotype" w:cs="Palatino Linotype"/>
          <w:i/>
        </w:rPr>
      </w:pPr>
      <w:r w:rsidRPr="00681A91">
        <w:rPr>
          <w:rFonts w:ascii="Palatino Linotype" w:eastAsia="Palatino Linotype" w:hAnsi="Palatino Linotype" w:cs="Palatino Linotype"/>
          <w:b/>
          <w:i/>
        </w:rPr>
        <w:t>Quincuagésimo octavo</w:t>
      </w:r>
      <w:r w:rsidRPr="00681A91">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33C98656" w14:textId="77777777" w:rsidR="00531191" w:rsidRPr="00681A91" w:rsidRDefault="00531191">
      <w:pPr>
        <w:spacing w:after="0" w:line="360" w:lineRule="auto"/>
        <w:jc w:val="both"/>
        <w:rPr>
          <w:rFonts w:ascii="Palatino Linotype" w:eastAsia="Palatino Linotype" w:hAnsi="Palatino Linotype" w:cs="Palatino Linotype"/>
        </w:rPr>
      </w:pPr>
    </w:p>
    <w:p w14:paraId="55336B88"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30B11587" w14:textId="77777777" w:rsidR="00531191" w:rsidRPr="00681A91" w:rsidRDefault="005948C5">
      <w:pPr>
        <w:spacing w:after="0" w:line="360" w:lineRule="auto"/>
        <w:ind w:right="49"/>
        <w:jc w:val="center"/>
        <w:rPr>
          <w:rFonts w:ascii="Palatino Linotype" w:eastAsia="Palatino Linotype" w:hAnsi="Palatino Linotype" w:cs="Palatino Linotype"/>
          <w:b/>
        </w:rPr>
      </w:pPr>
      <w:r w:rsidRPr="00681A91">
        <w:rPr>
          <w:rFonts w:ascii="Palatino Linotype" w:eastAsia="Palatino Linotype" w:hAnsi="Palatino Linotype" w:cs="Palatino Linotype"/>
          <w:b/>
        </w:rPr>
        <w:t>III.</w:t>
      </w:r>
      <w:r w:rsidRPr="00681A91">
        <w:rPr>
          <w:rFonts w:ascii="Palatino Linotype" w:eastAsia="Palatino Linotype" w:hAnsi="Palatino Linotype" w:cs="Palatino Linotype"/>
          <w:b/>
        </w:rPr>
        <w:tab/>
        <w:t>R E S U E L V E:</w:t>
      </w:r>
    </w:p>
    <w:p w14:paraId="14939CB6" w14:textId="77777777" w:rsidR="00531191" w:rsidRPr="00681A91" w:rsidRDefault="00531191">
      <w:pPr>
        <w:spacing w:after="0" w:line="360" w:lineRule="auto"/>
        <w:ind w:right="49"/>
        <w:jc w:val="both"/>
        <w:rPr>
          <w:rFonts w:ascii="Palatino Linotype" w:eastAsia="Palatino Linotype" w:hAnsi="Palatino Linotype" w:cs="Palatino Linotype"/>
          <w:b/>
        </w:rPr>
      </w:pPr>
    </w:p>
    <w:p w14:paraId="7DEF9C39"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b/>
        </w:rPr>
        <w:t>Primero.</w:t>
      </w:r>
      <w:r w:rsidRPr="00681A91">
        <w:rPr>
          <w:rFonts w:ascii="Palatino Linotype" w:eastAsia="Palatino Linotype" w:hAnsi="Palatino Linotype" w:cs="Palatino Linotype"/>
        </w:rPr>
        <w:t xml:space="preserve"> Resultan</w:t>
      </w:r>
      <w:r w:rsidRPr="00681A91">
        <w:rPr>
          <w:rFonts w:ascii="Palatino Linotype" w:eastAsia="Palatino Linotype" w:hAnsi="Palatino Linotype" w:cs="Palatino Linotype"/>
          <w:b/>
        </w:rPr>
        <w:t xml:space="preserve"> fundados</w:t>
      </w:r>
      <w:r w:rsidRPr="00681A91">
        <w:rPr>
          <w:rFonts w:ascii="Palatino Linotype" w:eastAsia="Palatino Linotype" w:hAnsi="Palatino Linotype" w:cs="Palatino Linotype"/>
        </w:rPr>
        <w:t xml:space="preserve"> los motivos de inconformidad hechos valer por la parte </w:t>
      </w:r>
      <w:r w:rsidRPr="00681A91">
        <w:rPr>
          <w:rFonts w:ascii="Palatino Linotype" w:eastAsia="Palatino Linotype" w:hAnsi="Palatino Linotype" w:cs="Palatino Linotype"/>
          <w:b/>
        </w:rPr>
        <w:t>Recurrente</w:t>
      </w:r>
      <w:r w:rsidRPr="00681A91">
        <w:rPr>
          <w:rFonts w:ascii="Palatino Linotype" w:eastAsia="Palatino Linotype" w:hAnsi="Palatino Linotype" w:cs="Palatino Linotype"/>
        </w:rPr>
        <w:t xml:space="preserve"> en el Recurso de Revisión </w:t>
      </w:r>
      <w:r w:rsidRPr="00681A91">
        <w:rPr>
          <w:rFonts w:ascii="Palatino Linotype" w:eastAsia="Palatino Linotype" w:hAnsi="Palatino Linotype" w:cs="Palatino Linotype"/>
          <w:b/>
        </w:rPr>
        <w:t>08774/INFOEM/IP/RR/2025</w:t>
      </w:r>
      <w:r w:rsidRPr="00681A91">
        <w:rPr>
          <w:rFonts w:ascii="Palatino Linotype" w:eastAsia="Palatino Linotype" w:hAnsi="Palatino Linotype" w:cs="Palatino Linotype"/>
        </w:rPr>
        <w:t xml:space="preserve">, por lo que, en términos del </w:t>
      </w:r>
      <w:r w:rsidRPr="00681A91">
        <w:rPr>
          <w:rFonts w:ascii="Palatino Linotype" w:eastAsia="Palatino Linotype" w:hAnsi="Palatino Linotype" w:cs="Palatino Linotype"/>
          <w:b/>
        </w:rPr>
        <w:t>Considerando Cuarto</w:t>
      </w:r>
      <w:r w:rsidRPr="00681A91">
        <w:rPr>
          <w:rFonts w:ascii="Palatino Linotype" w:eastAsia="Palatino Linotype" w:hAnsi="Palatino Linotype" w:cs="Palatino Linotype"/>
        </w:rPr>
        <w:t xml:space="preserve"> de esta resolución, se </w:t>
      </w:r>
      <w:r w:rsidRPr="00681A91">
        <w:rPr>
          <w:rFonts w:ascii="Palatino Linotype" w:eastAsia="Palatino Linotype" w:hAnsi="Palatino Linotype" w:cs="Palatino Linotype"/>
          <w:b/>
        </w:rPr>
        <w:t xml:space="preserve">Modifica </w:t>
      </w:r>
      <w:r w:rsidRPr="00681A91">
        <w:rPr>
          <w:rFonts w:ascii="Palatino Linotype" w:eastAsia="Palatino Linotype" w:hAnsi="Palatino Linotype" w:cs="Palatino Linotype"/>
        </w:rPr>
        <w:t xml:space="preserve">la respuesta emitida por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w:t>
      </w:r>
    </w:p>
    <w:p w14:paraId="6C493A0E" w14:textId="77777777" w:rsidR="00531191" w:rsidRPr="00681A91" w:rsidRDefault="00531191">
      <w:pPr>
        <w:spacing w:after="0" w:line="360" w:lineRule="auto"/>
        <w:ind w:right="49"/>
        <w:jc w:val="both"/>
        <w:rPr>
          <w:rFonts w:ascii="Palatino Linotype" w:eastAsia="Palatino Linotype" w:hAnsi="Palatino Linotype" w:cs="Palatino Linotype"/>
        </w:rPr>
      </w:pPr>
    </w:p>
    <w:p w14:paraId="504514F5" w14:textId="77777777" w:rsidR="00531191" w:rsidRPr="00681A91" w:rsidRDefault="005948C5">
      <w:pPr>
        <w:spacing w:after="0" w:line="360" w:lineRule="auto"/>
        <w:ind w:right="49"/>
        <w:jc w:val="both"/>
        <w:rPr>
          <w:rFonts w:ascii="Palatino Linotype" w:eastAsia="Palatino Linotype" w:hAnsi="Palatino Linotype" w:cs="Palatino Linotype"/>
        </w:rPr>
      </w:pPr>
      <w:bookmarkStart w:id="7" w:name="_heading=h.1fob9te" w:colFirst="0" w:colLast="0"/>
      <w:bookmarkEnd w:id="7"/>
      <w:r w:rsidRPr="00681A91">
        <w:rPr>
          <w:rFonts w:ascii="Palatino Linotype" w:eastAsia="Palatino Linotype" w:hAnsi="Palatino Linotype" w:cs="Palatino Linotype"/>
          <w:b/>
        </w:rPr>
        <w:t>Segundo</w:t>
      </w:r>
      <w:r w:rsidRPr="00681A91">
        <w:rPr>
          <w:rFonts w:ascii="Palatino Linotype" w:eastAsia="Palatino Linotype" w:hAnsi="Palatino Linotype" w:cs="Palatino Linotype"/>
        </w:rPr>
        <w:t xml:space="preserve">. Se </w:t>
      </w:r>
      <w:r w:rsidRPr="00681A91">
        <w:rPr>
          <w:rFonts w:ascii="Palatino Linotype" w:eastAsia="Palatino Linotype" w:hAnsi="Palatino Linotype" w:cs="Palatino Linotype"/>
          <w:b/>
        </w:rPr>
        <w:t>ordena</w:t>
      </w:r>
      <w:r w:rsidRPr="00681A91">
        <w:rPr>
          <w:rFonts w:ascii="Palatino Linotype" w:eastAsia="Palatino Linotype" w:hAnsi="Palatino Linotype" w:cs="Palatino Linotype"/>
        </w:rPr>
        <w:t xml:space="preserve"> al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xml:space="preserve"> a que, en términos del Considerando Cuarto y Quinto, haga entrega, de ser el caso, en versión pública, vía Sistema de Acceso a la Información Mexiquense, de lo siguiente: </w:t>
      </w:r>
    </w:p>
    <w:p w14:paraId="0541EE2C" w14:textId="77777777" w:rsidR="00531191" w:rsidRPr="00681A91" w:rsidRDefault="00531191">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4D5AC86E" w14:textId="77777777" w:rsidR="00531191" w:rsidRPr="00681A91" w:rsidRDefault="005948C5">
      <w:pPr>
        <w:numPr>
          <w:ilvl w:val="0"/>
          <w:numId w:val="4"/>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rPr>
      </w:pPr>
      <w:r w:rsidRPr="00681A91">
        <w:rPr>
          <w:rFonts w:ascii="Palatino Linotype" w:eastAsia="Palatino Linotype" w:hAnsi="Palatino Linotype" w:cs="Palatino Linotype"/>
        </w:rPr>
        <w:t>El documento o documentos en donde conste el sueldo bruto y neto de los servidores públicos de confianza y líderes de proyecto de la Secretaría de Movilidad, del primero de julio al treinta y uno de diciembre de dos mil veinticuatro.</w:t>
      </w:r>
    </w:p>
    <w:p w14:paraId="2EC7F183" w14:textId="77777777" w:rsidR="00531191" w:rsidRPr="00681A91" w:rsidRDefault="00531191">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b/>
        </w:rPr>
      </w:pPr>
    </w:p>
    <w:p w14:paraId="4789085B" w14:textId="77777777" w:rsidR="00531191" w:rsidRPr="00681A91" w:rsidRDefault="005948C5">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681A91">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681A91">
        <w:rPr>
          <w:rFonts w:ascii="Palatino Linotype" w:eastAsia="Palatino Linotype" w:hAnsi="Palatino Linotype" w:cs="Palatino Linotype"/>
          <w:b/>
          <w:i/>
        </w:rPr>
        <w:t>,</w:t>
      </w:r>
      <w:r w:rsidRPr="00681A91">
        <w:rPr>
          <w:rFonts w:ascii="Palatino Linotype" w:eastAsia="Palatino Linotype" w:hAnsi="Palatino Linotype" w:cs="Palatino Linotype"/>
          <w:i/>
        </w:rPr>
        <w:t xml:space="preserve"> y se ponga a disposición de la parte Recurrente, en términos de los artículos 49, fracción VIII, de la Ley de Transparencia y Acceso a la Información Pública del Estado de México y Municipios.</w:t>
      </w:r>
    </w:p>
    <w:p w14:paraId="6F1255C2" w14:textId="77777777" w:rsidR="00531191" w:rsidRPr="00681A91" w:rsidRDefault="00531191">
      <w:pPr>
        <w:pBdr>
          <w:top w:val="nil"/>
          <w:left w:val="nil"/>
          <w:bottom w:val="nil"/>
          <w:right w:val="nil"/>
          <w:between w:val="nil"/>
        </w:pBdr>
        <w:tabs>
          <w:tab w:val="left" w:pos="993"/>
        </w:tabs>
        <w:spacing w:after="0" w:line="360" w:lineRule="auto"/>
        <w:ind w:right="616"/>
        <w:jc w:val="both"/>
        <w:rPr>
          <w:rFonts w:ascii="Palatino Linotype" w:eastAsia="Palatino Linotype" w:hAnsi="Palatino Linotype" w:cs="Palatino Linotype"/>
          <w:i/>
        </w:rPr>
      </w:pPr>
    </w:p>
    <w:p w14:paraId="2D70F75A"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b/>
        </w:rPr>
        <w:t>Tercero.</w:t>
      </w:r>
      <w:r w:rsidRPr="00681A91">
        <w:rPr>
          <w:rFonts w:ascii="Palatino Linotype" w:eastAsia="Palatino Linotype" w:hAnsi="Palatino Linotype" w:cs="Palatino Linotype"/>
        </w:rPr>
        <w:t xml:space="preserve"> </w:t>
      </w:r>
      <w:r w:rsidRPr="00681A91">
        <w:rPr>
          <w:rFonts w:ascii="Palatino Linotype" w:eastAsia="Palatino Linotype" w:hAnsi="Palatino Linotype" w:cs="Palatino Linotype"/>
          <w:b/>
        </w:rPr>
        <w:t xml:space="preserve">Notifíquese vía SAIMEX </w:t>
      </w:r>
      <w:r w:rsidRPr="00681A91">
        <w:rPr>
          <w:rFonts w:ascii="Palatino Linotype" w:eastAsia="Palatino Linotype" w:hAnsi="Palatino Linotype" w:cs="Palatino Linotype"/>
        </w:rPr>
        <w:t>la presente resolución al T</w:t>
      </w:r>
      <w:r w:rsidRPr="00681A91">
        <w:rPr>
          <w:rFonts w:ascii="Palatino Linotype" w:eastAsia="Palatino Linotype" w:hAnsi="Palatino Linotype" w:cs="Palatino Linotype"/>
          <w:b/>
        </w:rPr>
        <w:t xml:space="preserve">itular de la Unidad de Transparencia </w:t>
      </w:r>
      <w:r w:rsidRPr="00681A91">
        <w:rPr>
          <w:rFonts w:ascii="Palatino Linotype" w:eastAsia="Palatino Linotype" w:hAnsi="Palatino Linotype" w:cs="Palatino Linotype"/>
        </w:rPr>
        <w:t xml:space="preserve">del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1CE058B" w14:textId="77777777" w:rsidR="00531191" w:rsidRPr="00681A91" w:rsidRDefault="00531191">
      <w:pPr>
        <w:spacing w:after="0" w:line="360" w:lineRule="auto"/>
        <w:ind w:right="49"/>
        <w:jc w:val="both"/>
        <w:rPr>
          <w:rFonts w:ascii="Palatino Linotype" w:eastAsia="Palatino Linotype" w:hAnsi="Palatino Linotype" w:cs="Palatino Linotype"/>
        </w:rPr>
      </w:pPr>
    </w:p>
    <w:p w14:paraId="37B79B22" w14:textId="77777777" w:rsidR="00531191" w:rsidRPr="00681A91" w:rsidRDefault="005948C5">
      <w:pPr>
        <w:spacing w:after="0" w:line="360" w:lineRule="auto"/>
        <w:jc w:val="both"/>
        <w:rPr>
          <w:rFonts w:ascii="Palatino Linotype" w:eastAsia="Palatino Linotype" w:hAnsi="Palatino Linotype" w:cs="Palatino Linotype"/>
        </w:rPr>
      </w:pPr>
      <w:r w:rsidRPr="00681A91">
        <w:rPr>
          <w:rFonts w:ascii="Palatino Linotype" w:eastAsia="Palatino Linotype" w:hAnsi="Palatino Linotype" w:cs="Palatino Linotype"/>
          <w:b/>
        </w:rPr>
        <w:t xml:space="preserve">Cuarto. Notifíquese vía SAIMEX </w:t>
      </w:r>
      <w:r w:rsidRPr="00681A91">
        <w:rPr>
          <w:rFonts w:ascii="Palatino Linotype" w:eastAsia="Palatino Linotype" w:hAnsi="Palatino Linotype" w:cs="Palatino Linotype"/>
        </w:rPr>
        <w:t xml:space="preserve">a la parte </w:t>
      </w:r>
      <w:r w:rsidRPr="00681A91">
        <w:rPr>
          <w:rFonts w:ascii="Palatino Linotype" w:eastAsia="Palatino Linotype" w:hAnsi="Palatino Linotype" w:cs="Palatino Linotype"/>
          <w:b/>
        </w:rPr>
        <w:t xml:space="preserve">Recurrente </w:t>
      </w:r>
      <w:r w:rsidRPr="00681A91">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9C747F0" w14:textId="77777777" w:rsidR="00531191" w:rsidRPr="00681A91" w:rsidRDefault="00531191">
      <w:pPr>
        <w:spacing w:after="0" w:line="360" w:lineRule="auto"/>
        <w:jc w:val="both"/>
        <w:rPr>
          <w:rFonts w:ascii="Palatino Linotype" w:eastAsia="Palatino Linotype" w:hAnsi="Palatino Linotype" w:cs="Palatino Linotype"/>
        </w:rPr>
      </w:pPr>
    </w:p>
    <w:p w14:paraId="0D1F7AD6" w14:textId="77777777" w:rsidR="00531191" w:rsidRPr="00681A91"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b/>
        </w:rPr>
        <w:t>Quinto.</w:t>
      </w:r>
      <w:r w:rsidRPr="00681A91">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681A91">
        <w:rPr>
          <w:rFonts w:ascii="Palatino Linotype" w:eastAsia="Palatino Linotype" w:hAnsi="Palatino Linotype" w:cs="Palatino Linotype"/>
          <w:b/>
        </w:rPr>
        <w:t>Sujeto Obligado</w:t>
      </w:r>
      <w:r w:rsidRPr="00681A91">
        <w:rPr>
          <w:rFonts w:ascii="Palatino Linotype" w:eastAsia="Palatino Linotype" w:hAnsi="Palatino Linotype" w:cs="Palatino Linotype"/>
        </w:rPr>
        <w:t xml:space="preserve"> de manera fundada y motivada, podrá solicitar una ampliación de plazo para el cumplimiento de la presente resolución.</w:t>
      </w:r>
    </w:p>
    <w:p w14:paraId="0BB82382" w14:textId="77777777" w:rsidR="00531191" w:rsidRPr="00681A91" w:rsidRDefault="00531191">
      <w:pPr>
        <w:spacing w:after="0" w:line="360" w:lineRule="auto"/>
        <w:ind w:right="49"/>
        <w:jc w:val="both"/>
        <w:rPr>
          <w:rFonts w:ascii="Palatino Linotype" w:eastAsia="Palatino Linotype" w:hAnsi="Palatino Linotype" w:cs="Palatino Linotype"/>
        </w:rPr>
      </w:pPr>
    </w:p>
    <w:p w14:paraId="3236FBCF" w14:textId="77777777" w:rsidR="00531191" w:rsidRPr="0093198A" w:rsidRDefault="005948C5">
      <w:pPr>
        <w:spacing w:after="0" w:line="360" w:lineRule="auto"/>
        <w:ind w:right="49"/>
        <w:jc w:val="both"/>
        <w:rPr>
          <w:rFonts w:ascii="Palatino Linotype" w:eastAsia="Palatino Linotype" w:hAnsi="Palatino Linotype" w:cs="Palatino Linotype"/>
        </w:rPr>
      </w:pPr>
      <w:r w:rsidRPr="00681A91">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VEINTIDÓS DE OCTUBRE DE DOS MIL VEINTICINCO, ANTE EL SECRETARIO TÉCNICO DEL PLENO ALEXIS TAPIA RAMÍREZ.</w:t>
      </w:r>
      <w:r w:rsidRPr="0093198A">
        <w:rPr>
          <w:rFonts w:ascii="Palatino Linotype" w:eastAsia="Palatino Linotype" w:hAnsi="Palatino Linotype" w:cs="Palatino Linotype"/>
        </w:rPr>
        <w:t xml:space="preserve"> </w:t>
      </w:r>
    </w:p>
    <w:p w14:paraId="0266F5EA" w14:textId="77777777" w:rsidR="00531191" w:rsidRPr="0093198A" w:rsidRDefault="00531191">
      <w:pPr>
        <w:spacing w:after="0" w:line="360" w:lineRule="auto"/>
        <w:ind w:right="49"/>
        <w:jc w:val="both"/>
        <w:rPr>
          <w:rFonts w:ascii="Palatino Linotype" w:eastAsia="Palatino Linotype" w:hAnsi="Palatino Linotype" w:cs="Palatino Linotype"/>
        </w:rPr>
      </w:pPr>
    </w:p>
    <w:p w14:paraId="42F4D0F3" w14:textId="77777777" w:rsidR="00531191" w:rsidRPr="0093198A" w:rsidRDefault="00531191">
      <w:pPr>
        <w:spacing w:after="0" w:line="360" w:lineRule="auto"/>
        <w:ind w:right="49"/>
        <w:jc w:val="both"/>
        <w:rPr>
          <w:rFonts w:ascii="Palatino Linotype" w:eastAsia="Palatino Linotype" w:hAnsi="Palatino Linotype" w:cs="Palatino Linotype"/>
        </w:rPr>
      </w:pPr>
    </w:p>
    <w:p w14:paraId="4500C3EF" w14:textId="77777777" w:rsidR="00531191" w:rsidRPr="0093198A" w:rsidRDefault="00531191">
      <w:pPr>
        <w:spacing w:after="0" w:line="360" w:lineRule="auto"/>
        <w:ind w:right="49"/>
        <w:jc w:val="both"/>
        <w:rPr>
          <w:rFonts w:ascii="Palatino Linotype" w:eastAsia="Palatino Linotype" w:hAnsi="Palatino Linotype" w:cs="Palatino Linotype"/>
        </w:rPr>
      </w:pPr>
    </w:p>
    <w:p w14:paraId="49698782" w14:textId="77777777" w:rsidR="00531191" w:rsidRPr="0093198A" w:rsidRDefault="00531191">
      <w:pPr>
        <w:spacing w:after="0" w:line="360" w:lineRule="auto"/>
        <w:ind w:right="49"/>
        <w:jc w:val="both"/>
        <w:rPr>
          <w:rFonts w:ascii="Palatino Linotype" w:eastAsia="Palatino Linotype" w:hAnsi="Palatino Linotype" w:cs="Palatino Linotype"/>
        </w:rPr>
      </w:pPr>
    </w:p>
    <w:p w14:paraId="70805E57" w14:textId="77777777" w:rsidR="00531191" w:rsidRPr="0093198A" w:rsidRDefault="00531191">
      <w:pPr>
        <w:spacing w:after="0" w:line="360" w:lineRule="auto"/>
        <w:ind w:right="49"/>
        <w:jc w:val="both"/>
        <w:rPr>
          <w:rFonts w:ascii="Palatino Linotype" w:eastAsia="Palatino Linotype" w:hAnsi="Palatino Linotype" w:cs="Palatino Linotype"/>
        </w:rPr>
      </w:pPr>
    </w:p>
    <w:p w14:paraId="07B020D3" w14:textId="77777777" w:rsidR="00531191" w:rsidRPr="0093198A" w:rsidRDefault="00531191">
      <w:pPr>
        <w:spacing w:after="0" w:line="360" w:lineRule="auto"/>
        <w:ind w:right="49"/>
        <w:jc w:val="both"/>
        <w:rPr>
          <w:rFonts w:ascii="Palatino Linotype" w:eastAsia="Palatino Linotype" w:hAnsi="Palatino Linotype" w:cs="Palatino Linotype"/>
        </w:rPr>
      </w:pPr>
    </w:p>
    <w:p w14:paraId="0AE803D1" w14:textId="77777777" w:rsidR="00531191" w:rsidRPr="0093198A" w:rsidRDefault="00531191">
      <w:pPr>
        <w:spacing w:after="0" w:line="360" w:lineRule="auto"/>
        <w:ind w:right="49"/>
        <w:jc w:val="both"/>
        <w:rPr>
          <w:rFonts w:ascii="Palatino Linotype" w:eastAsia="Palatino Linotype" w:hAnsi="Palatino Linotype" w:cs="Palatino Linotype"/>
        </w:rPr>
      </w:pPr>
    </w:p>
    <w:p w14:paraId="01E70F25" w14:textId="77777777" w:rsidR="00531191" w:rsidRPr="0093198A" w:rsidRDefault="00531191">
      <w:pPr>
        <w:spacing w:after="0" w:line="360" w:lineRule="auto"/>
        <w:ind w:right="49"/>
        <w:jc w:val="both"/>
        <w:rPr>
          <w:rFonts w:ascii="Palatino Linotype" w:eastAsia="Palatino Linotype" w:hAnsi="Palatino Linotype" w:cs="Palatino Linotype"/>
        </w:rPr>
      </w:pPr>
    </w:p>
    <w:p w14:paraId="183CA3FC" w14:textId="77777777" w:rsidR="00531191" w:rsidRPr="0093198A" w:rsidRDefault="00531191">
      <w:pPr>
        <w:spacing w:after="0" w:line="360" w:lineRule="auto"/>
        <w:ind w:right="49"/>
        <w:jc w:val="both"/>
        <w:rPr>
          <w:rFonts w:ascii="Palatino Linotype" w:eastAsia="Palatino Linotype" w:hAnsi="Palatino Linotype" w:cs="Palatino Linotype"/>
        </w:rPr>
      </w:pPr>
    </w:p>
    <w:p w14:paraId="696BAE19" w14:textId="77777777" w:rsidR="00531191" w:rsidRPr="0093198A" w:rsidRDefault="00531191">
      <w:pPr>
        <w:spacing w:after="0" w:line="360" w:lineRule="auto"/>
        <w:ind w:right="49"/>
        <w:jc w:val="both"/>
        <w:rPr>
          <w:rFonts w:ascii="Palatino Linotype" w:eastAsia="Palatino Linotype" w:hAnsi="Palatino Linotype" w:cs="Palatino Linotype"/>
        </w:rPr>
      </w:pPr>
    </w:p>
    <w:p w14:paraId="6302E4B9" w14:textId="77777777" w:rsidR="00531191" w:rsidRPr="0093198A" w:rsidRDefault="00531191">
      <w:pPr>
        <w:spacing w:after="0" w:line="360" w:lineRule="auto"/>
        <w:ind w:right="49"/>
        <w:jc w:val="both"/>
        <w:rPr>
          <w:rFonts w:ascii="Palatino Linotype" w:eastAsia="Palatino Linotype" w:hAnsi="Palatino Linotype" w:cs="Palatino Linotype"/>
        </w:rPr>
      </w:pPr>
    </w:p>
    <w:p w14:paraId="010D7FC7" w14:textId="77777777" w:rsidR="00531191" w:rsidRPr="0093198A" w:rsidRDefault="00531191">
      <w:pPr>
        <w:spacing w:after="0" w:line="360" w:lineRule="auto"/>
        <w:ind w:right="49"/>
        <w:jc w:val="both"/>
        <w:rPr>
          <w:rFonts w:ascii="Palatino Linotype" w:eastAsia="Palatino Linotype" w:hAnsi="Palatino Linotype" w:cs="Palatino Linotype"/>
        </w:rPr>
      </w:pPr>
    </w:p>
    <w:p w14:paraId="7DEB9E5A" w14:textId="77777777" w:rsidR="00531191" w:rsidRPr="0093198A" w:rsidRDefault="00531191">
      <w:pPr>
        <w:spacing w:after="0" w:line="360" w:lineRule="auto"/>
        <w:ind w:right="49"/>
        <w:jc w:val="both"/>
        <w:rPr>
          <w:rFonts w:ascii="Palatino Linotype" w:eastAsia="Palatino Linotype" w:hAnsi="Palatino Linotype" w:cs="Palatino Linotype"/>
        </w:rPr>
      </w:pPr>
    </w:p>
    <w:p w14:paraId="5326D137" w14:textId="77777777" w:rsidR="00531191" w:rsidRPr="0093198A" w:rsidRDefault="00531191">
      <w:pPr>
        <w:spacing w:after="0" w:line="360" w:lineRule="auto"/>
        <w:ind w:right="49"/>
        <w:jc w:val="both"/>
        <w:rPr>
          <w:rFonts w:ascii="Palatino Linotype" w:eastAsia="Palatino Linotype" w:hAnsi="Palatino Linotype" w:cs="Palatino Linotype"/>
        </w:rPr>
      </w:pPr>
    </w:p>
    <w:p w14:paraId="13350D5D" w14:textId="77777777" w:rsidR="00531191" w:rsidRPr="0093198A" w:rsidRDefault="00531191">
      <w:pPr>
        <w:spacing w:after="0" w:line="360" w:lineRule="auto"/>
        <w:ind w:right="49"/>
        <w:jc w:val="both"/>
        <w:rPr>
          <w:rFonts w:ascii="Palatino Linotype" w:eastAsia="Palatino Linotype" w:hAnsi="Palatino Linotype" w:cs="Palatino Linotype"/>
        </w:rPr>
      </w:pPr>
    </w:p>
    <w:p w14:paraId="754E6F37" w14:textId="77777777" w:rsidR="00531191" w:rsidRPr="0093198A" w:rsidRDefault="00531191">
      <w:pPr>
        <w:spacing w:after="0" w:line="360" w:lineRule="auto"/>
        <w:ind w:right="49"/>
        <w:jc w:val="both"/>
        <w:rPr>
          <w:rFonts w:ascii="Palatino Linotype" w:eastAsia="Palatino Linotype" w:hAnsi="Palatino Linotype" w:cs="Palatino Linotype"/>
        </w:rPr>
      </w:pPr>
    </w:p>
    <w:p w14:paraId="5D0D874A" w14:textId="77777777" w:rsidR="00531191" w:rsidRPr="0093198A" w:rsidRDefault="00531191">
      <w:pPr>
        <w:spacing w:after="0" w:line="360" w:lineRule="auto"/>
        <w:ind w:right="49"/>
        <w:jc w:val="both"/>
        <w:rPr>
          <w:rFonts w:ascii="Palatino Linotype" w:eastAsia="Palatino Linotype" w:hAnsi="Palatino Linotype" w:cs="Palatino Linotype"/>
        </w:rPr>
      </w:pPr>
    </w:p>
    <w:p w14:paraId="6B0C1AE4" w14:textId="77777777" w:rsidR="00531191" w:rsidRPr="0093198A" w:rsidRDefault="00531191">
      <w:pPr>
        <w:spacing w:after="0" w:line="360" w:lineRule="auto"/>
        <w:ind w:right="49"/>
        <w:jc w:val="both"/>
        <w:rPr>
          <w:rFonts w:ascii="Palatino Linotype" w:eastAsia="Palatino Linotype" w:hAnsi="Palatino Linotype" w:cs="Palatino Linotype"/>
        </w:rPr>
      </w:pPr>
    </w:p>
    <w:p w14:paraId="4A708414" w14:textId="77777777" w:rsidR="00531191" w:rsidRPr="0093198A" w:rsidRDefault="00531191">
      <w:pPr>
        <w:spacing w:after="0" w:line="360" w:lineRule="auto"/>
        <w:ind w:right="49"/>
        <w:jc w:val="both"/>
        <w:rPr>
          <w:rFonts w:ascii="Palatino Linotype" w:eastAsia="Palatino Linotype" w:hAnsi="Palatino Linotype" w:cs="Palatino Linotype"/>
        </w:rPr>
      </w:pPr>
    </w:p>
    <w:p w14:paraId="5987D8CB" w14:textId="77777777" w:rsidR="00531191" w:rsidRPr="0093198A" w:rsidRDefault="00531191">
      <w:pPr>
        <w:spacing w:after="0" w:line="360" w:lineRule="auto"/>
        <w:ind w:right="49"/>
        <w:jc w:val="both"/>
        <w:rPr>
          <w:rFonts w:ascii="Palatino Linotype" w:eastAsia="Palatino Linotype" w:hAnsi="Palatino Linotype" w:cs="Palatino Linotype"/>
        </w:rPr>
      </w:pPr>
    </w:p>
    <w:sectPr w:rsidR="00531191" w:rsidRPr="0093198A">
      <w:headerReference w:type="default" r:id="rId20"/>
      <w:footerReference w:type="default" r:id="rId21"/>
      <w:headerReference w:type="first" r:id="rId22"/>
      <w:footerReference w:type="first" r:id="rId2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8263C9" w14:textId="77777777" w:rsidR="007A4A45" w:rsidRDefault="007A4A45">
      <w:pPr>
        <w:spacing w:after="0" w:line="240" w:lineRule="auto"/>
      </w:pPr>
      <w:r>
        <w:separator/>
      </w:r>
    </w:p>
  </w:endnote>
  <w:endnote w:type="continuationSeparator" w:id="0">
    <w:p w14:paraId="32DAAD18" w14:textId="77777777" w:rsidR="007A4A45" w:rsidRDefault="007A4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C8DBD" w14:textId="4F488BC1" w:rsidR="00531191" w:rsidRDefault="005948C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B5F3F">
      <w:rPr>
        <w:b/>
        <w:noProof/>
        <w:color w:val="000000"/>
        <w:sz w:val="24"/>
        <w:szCs w:val="24"/>
      </w:rPr>
      <w:t>46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B5F3F">
      <w:rPr>
        <w:b/>
        <w:noProof/>
        <w:color w:val="000000"/>
        <w:sz w:val="24"/>
        <w:szCs w:val="24"/>
      </w:rPr>
      <w:t>46</w:t>
    </w:r>
    <w:r>
      <w:rPr>
        <w:b/>
        <w:color w:val="000000"/>
        <w:sz w:val="24"/>
        <w:szCs w:val="24"/>
      </w:rPr>
      <w:fldChar w:fldCharType="end"/>
    </w:r>
  </w:p>
  <w:p w14:paraId="00E67025" w14:textId="77777777" w:rsidR="00531191" w:rsidRDefault="0053119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B5E8B" w14:textId="207B8EFC" w:rsidR="00531191" w:rsidRDefault="005948C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B5F3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B5F3F">
      <w:rPr>
        <w:b/>
        <w:noProof/>
        <w:color w:val="000000"/>
        <w:sz w:val="24"/>
        <w:szCs w:val="24"/>
      </w:rPr>
      <w:t>46</w:t>
    </w:r>
    <w:r>
      <w:rPr>
        <w:b/>
        <w:color w:val="000000"/>
        <w:sz w:val="24"/>
        <w:szCs w:val="24"/>
      </w:rPr>
      <w:fldChar w:fldCharType="end"/>
    </w:r>
  </w:p>
  <w:p w14:paraId="5586BB62" w14:textId="77777777" w:rsidR="00531191" w:rsidRDefault="0053119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5D325" w14:textId="77777777" w:rsidR="007A4A45" w:rsidRDefault="007A4A45">
      <w:pPr>
        <w:spacing w:after="0" w:line="240" w:lineRule="auto"/>
      </w:pPr>
      <w:r>
        <w:separator/>
      </w:r>
    </w:p>
  </w:footnote>
  <w:footnote w:type="continuationSeparator" w:id="0">
    <w:p w14:paraId="6165CE84" w14:textId="77777777" w:rsidR="007A4A45" w:rsidRDefault="007A4A45">
      <w:pPr>
        <w:spacing w:after="0" w:line="240" w:lineRule="auto"/>
      </w:pPr>
      <w:r>
        <w:continuationSeparator/>
      </w:r>
    </w:p>
  </w:footnote>
  <w:footnote w:id="1">
    <w:p w14:paraId="47223311" w14:textId="77777777" w:rsidR="00531191" w:rsidRDefault="005948C5">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38A77" w14:textId="77777777" w:rsidR="00531191" w:rsidRDefault="005948C5">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18503DC3" wp14:editId="595E1D08">
          <wp:simplePos x="0" y="0"/>
          <wp:positionH relativeFrom="column">
            <wp:posOffset>-708023</wp:posOffset>
          </wp:positionH>
          <wp:positionV relativeFrom="paragraph">
            <wp:posOffset>-402588</wp:posOffset>
          </wp:positionV>
          <wp:extent cx="7809876" cy="10165823"/>
          <wp:effectExtent l="0" t="0" r="0" b="0"/>
          <wp:wrapNone/>
          <wp:docPr id="18163921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2"/>
      <w:tblW w:w="5603" w:type="dxa"/>
      <w:tblInd w:w="3611" w:type="dxa"/>
      <w:tblLayout w:type="fixed"/>
      <w:tblLook w:val="0400" w:firstRow="0" w:lastRow="0" w:firstColumn="0" w:lastColumn="0" w:noHBand="0" w:noVBand="1"/>
    </w:tblPr>
    <w:tblGrid>
      <w:gridCol w:w="2551"/>
      <w:gridCol w:w="3052"/>
    </w:tblGrid>
    <w:tr w:rsidR="00531191" w14:paraId="69560E49" w14:textId="77777777">
      <w:tc>
        <w:tcPr>
          <w:tcW w:w="2551" w:type="dxa"/>
          <w:vAlign w:val="center"/>
        </w:tcPr>
        <w:p w14:paraId="5863D39E" w14:textId="77777777" w:rsidR="00531191" w:rsidRDefault="005948C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08BA2CD1" w14:textId="77777777" w:rsidR="00531191" w:rsidRDefault="005948C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08774/INFOEM/IP/RR/2025</w:t>
          </w:r>
        </w:p>
      </w:tc>
    </w:tr>
    <w:tr w:rsidR="00531191" w14:paraId="491E9D7D" w14:textId="77777777">
      <w:trPr>
        <w:trHeight w:val="217"/>
      </w:trPr>
      <w:tc>
        <w:tcPr>
          <w:tcW w:w="2551" w:type="dxa"/>
          <w:vAlign w:val="center"/>
        </w:tcPr>
        <w:p w14:paraId="256F07D9" w14:textId="77777777" w:rsidR="00531191" w:rsidRDefault="005948C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2F8CD6F1" w14:textId="77777777" w:rsidR="00531191" w:rsidRDefault="005948C5">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Secretaría de Movilidad</w:t>
          </w:r>
        </w:p>
      </w:tc>
    </w:tr>
    <w:tr w:rsidR="00531191" w14:paraId="56D0F5DF" w14:textId="77777777">
      <w:tc>
        <w:tcPr>
          <w:tcW w:w="2551" w:type="dxa"/>
          <w:vAlign w:val="center"/>
        </w:tcPr>
        <w:p w14:paraId="368C9841" w14:textId="77777777" w:rsidR="00531191" w:rsidRDefault="005948C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AB9D945" w14:textId="77777777" w:rsidR="00531191" w:rsidRDefault="005948C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97542A1" w14:textId="77777777" w:rsidR="00531191" w:rsidRDefault="0053119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87ADA" w14:textId="77777777" w:rsidR="00531191" w:rsidRDefault="005948C5">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0A8CA8C8" wp14:editId="5133B136">
          <wp:simplePos x="0" y="0"/>
          <wp:positionH relativeFrom="column">
            <wp:posOffset>-626743</wp:posOffset>
          </wp:positionH>
          <wp:positionV relativeFrom="paragraph">
            <wp:posOffset>-48892</wp:posOffset>
          </wp:positionV>
          <wp:extent cx="7809865" cy="10165715"/>
          <wp:effectExtent l="0" t="0" r="0" b="0"/>
          <wp:wrapNone/>
          <wp:docPr id="18163921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603" w:type="dxa"/>
      <w:tblInd w:w="3611" w:type="dxa"/>
      <w:tblLayout w:type="fixed"/>
      <w:tblLook w:val="0400" w:firstRow="0" w:lastRow="0" w:firstColumn="0" w:lastColumn="0" w:noHBand="0" w:noVBand="1"/>
    </w:tblPr>
    <w:tblGrid>
      <w:gridCol w:w="2551"/>
      <w:gridCol w:w="3052"/>
    </w:tblGrid>
    <w:tr w:rsidR="00531191" w14:paraId="2A23877A" w14:textId="77777777">
      <w:tc>
        <w:tcPr>
          <w:tcW w:w="2551" w:type="dxa"/>
          <w:vAlign w:val="center"/>
        </w:tcPr>
        <w:p w14:paraId="56CDBF65" w14:textId="77777777" w:rsidR="00531191" w:rsidRDefault="005948C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E345EBF" w14:textId="77777777" w:rsidR="00531191" w:rsidRDefault="005948C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08774/INFOEM/IP/RR/2025</w:t>
          </w:r>
        </w:p>
      </w:tc>
    </w:tr>
    <w:tr w:rsidR="00531191" w14:paraId="5C935774" w14:textId="77777777">
      <w:trPr>
        <w:trHeight w:val="369"/>
      </w:trPr>
      <w:tc>
        <w:tcPr>
          <w:tcW w:w="2551" w:type="dxa"/>
          <w:vAlign w:val="center"/>
        </w:tcPr>
        <w:p w14:paraId="30110EBD" w14:textId="77777777" w:rsidR="00531191" w:rsidRDefault="005948C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52" w:type="dxa"/>
          <w:vAlign w:val="center"/>
        </w:tcPr>
        <w:p w14:paraId="196F4413" w14:textId="575A79D6" w:rsidR="00531191" w:rsidRDefault="003B5F3F">
          <w:pPr>
            <w:pBdr>
              <w:top w:val="nil"/>
              <w:left w:val="nil"/>
              <w:bottom w:val="nil"/>
              <w:right w:val="nil"/>
              <w:between w:val="nil"/>
            </w:pBdr>
            <w:tabs>
              <w:tab w:val="center" w:pos="4419"/>
              <w:tab w:val="right" w:pos="8838"/>
            </w:tabs>
            <w:spacing w:after="0" w:line="240" w:lineRule="auto"/>
            <w:ind w:right="31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w:t>
          </w:r>
        </w:p>
      </w:tc>
    </w:tr>
    <w:tr w:rsidR="00531191" w14:paraId="431CC3F2" w14:textId="77777777">
      <w:trPr>
        <w:trHeight w:val="152"/>
      </w:trPr>
      <w:tc>
        <w:tcPr>
          <w:tcW w:w="2551" w:type="dxa"/>
          <w:vAlign w:val="center"/>
        </w:tcPr>
        <w:p w14:paraId="1B8EF315" w14:textId="77777777" w:rsidR="00531191" w:rsidRDefault="005948C5">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56101C5B" w14:textId="77777777" w:rsidR="00531191" w:rsidRDefault="005948C5">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Secretaría de Movilidad</w:t>
          </w:r>
        </w:p>
      </w:tc>
    </w:tr>
    <w:tr w:rsidR="00531191" w14:paraId="2DDF514B" w14:textId="77777777">
      <w:tc>
        <w:tcPr>
          <w:tcW w:w="2551" w:type="dxa"/>
          <w:vAlign w:val="center"/>
        </w:tcPr>
        <w:p w14:paraId="4196028A" w14:textId="77777777" w:rsidR="00531191" w:rsidRDefault="005948C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32EC49FE" w14:textId="77777777" w:rsidR="00531191" w:rsidRDefault="005948C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B3E70AD" w14:textId="77777777" w:rsidR="00531191" w:rsidRDefault="005948C5">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507CE5"/>
    <w:multiLevelType w:val="multilevel"/>
    <w:tmpl w:val="6D8C2D4A"/>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211B5A"/>
    <w:multiLevelType w:val="multilevel"/>
    <w:tmpl w:val="E3CA4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AF335D"/>
    <w:multiLevelType w:val="multilevel"/>
    <w:tmpl w:val="7936A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CA3BA4"/>
    <w:multiLevelType w:val="multilevel"/>
    <w:tmpl w:val="9EC44A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74E13195"/>
    <w:multiLevelType w:val="multilevel"/>
    <w:tmpl w:val="D180B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AC23CBE"/>
    <w:multiLevelType w:val="multilevel"/>
    <w:tmpl w:val="0C3E090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191"/>
    <w:rsid w:val="003B5F3F"/>
    <w:rsid w:val="00531191"/>
    <w:rsid w:val="005948C5"/>
    <w:rsid w:val="00681A91"/>
    <w:rsid w:val="007A4A45"/>
    <w:rsid w:val="009319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FAE05"/>
  <w15:docId w15:val="{E94897A5-BA56-40BB-BD76-5B4F7177E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character" w:customStyle="1" w:styleId="Mencinsinresolver3">
    <w:name w:val="Mención sin resolver3"/>
    <w:basedOn w:val="Fuentedeprrafopredeter"/>
    <w:uiPriority w:val="99"/>
    <w:semiHidden/>
    <w:unhideWhenUsed/>
    <w:rsid w:val="0036720C"/>
    <w:rPr>
      <w:color w:val="605E5C"/>
      <w:shd w:val="clear" w:color="auto" w:fill="E1DFDD"/>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5" w:type="dxa"/>
        <w:left w:w="115" w:type="dxa"/>
        <w:bottom w:w="15" w:type="dxa"/>
        <w:right w:w="115" w:type="dxa"/>
      </w:tblCellMar>
    </w:tblPr>
  </w:style>
  <w:style w:type="table" w:customStyle="1" w:styleId="a1">
    <w:basedOn w:val="TableNormal1"/>
    <w:tblPr>
      <w:tblStyleRowBandSize w:val="1"/>
      <w:tblStyleColBandSize w:val="1"/>
      <w:tblCellMar>
        <w:top w:w="15" w:type="dxa"/>
        <w:left w:w="115" w:type="dxa"/>
        <w:bottom w:w="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top w:w="15" w:type="dxa"/>
        <w:left w:w="115" w:type="dxa"/>
        <w:bottom w:w="15" w:type="dxa"/>
        <w:right w:w="115" w:type="dxa"/>
      </w:tblCellMar>
    </w:tblPr>
  </w:style>
  <w:style w:type="table" w:customStyle="1" w:styleId="a3">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partados.hacienda.gob.mx/contabilidad/documentos/informe_cuenta/1998/cuenta_publica/Glosario/n.htm"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hyperlink" Target="https://www.transparenciapresupuestaria.gob.mx/es/PTP/Glosari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infoem2.ipomex.org.mx/ipomex/" TargetMode="Externa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Um3txJIplke2j4AuvHlqSvS9sQ==">CgMxLjAyCWguMzBqMHpsbDIOaC5tb2RhbmdnbnU5dnoyDmguMjEwM2FmZ2ZubmU5MgloLjI2aW4xcmcyCWguMzVua3VuMjIJaC4xa3N2NHV2MgloLjFmb2I5dGU4AHIhMXZFNURmQUVzcVJBSmlBT1k1OTVwRG04WWw5MDhyeEh6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11573</Words>
  <Characters>63655</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2025-10-24T00:42:00Z</cp:lastPrinted>
  <dcterms:created xsi:type="dcterms:W3CDTF">2025-11-19T22:53:00Z</dcterms:created>
  <dcterms:modified xsi:type="dcterms:W3CDTF">2025-11-19T22:53:00Z</dcterms:modified>
</cp:coreProperties>
</file>