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0FE1" w:rsidRPr="00922B93" w:rsidRDefault="0010134C" w:rsidP="00922B93">
      <w:pPr>
        <w:tabs>
          <w:tab w:val="left" w:pos="0"/>
        </w:tabs>
        <w:spacing w:line="360" w:lineRule="auto"/>
        <w:jc w:val="both"/>
        <w:rPr>
          <w:rFonts w:ascii="Palatino Linotype" w:eastAsia="Palatino Linotype" w:hAnsi="Palatino Linotype" w:cs="Palatino Linotype"/>
          <w:b/>
          <w:color w:val="000000" w:themeColor="text1"/>
        </w:rPr>
      </w:pPr>
      <w:bookmarkStart w:id="0" w:name="_heading=h.sre9h05q4v0b" w:colFirst="0" w:colLast="0"/>
      <w:bookmarkStart w:id="1" w:name="_GoBack"/>
      <w:bookmarkEnd w:id="0"/>
      <w:bookmarkEnd w:id="1"/>
      <w:r w:rsidRPr="00922B93">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008552E0">
        <w:rPr>
          <w:rFonts w:ascii="Palatino Linotype" w:eastAsia="Palatino Linotype" w:hAnsi="Palatino Linotype" w:cs="Palatino Linotype"/>
          <w:b/>
          <w:color w:val="000000" w:themeColor="text1"/>
        </w:rPr>
        <w:t>de fecha quince</w:t>
      </w:r>
      <w:r w:rsidR="003D029A">
        <w:rPr>
          <w:rFonts w:ascii="Palatino Linotype" w:eastAsia="Palatino Linotype" w:hAnsi="Palatino Linotype" w:cs="Palatino Linotype"/>
          <w:b/>
          <w:color w:val="000000" w:themeColor="text1"/>
        </w:rPr>
        <w:t xml:space="preserve"> (15)</w:t>
      </w:r>
      <w:r w:rsidR="008552E0">
        <w:rPr>
          <w:rFonts w:ascii="Palatino Linotype" w:eastAsia="Palatino Linotype" w:hAnsi="Palatino Linotype" w:cs="Palatino Linotype"/>
          <w:b/>
          <w:color w:val="000000" w:themeColor="text1"/>
        </w:rPr>
        <w:t xml:space="preserve"> de octubre de dos mil veinticinco.</w:t>
      </w:r>
    </w:p>
    <w:p w:rsidR="00E40FE1" w:rsidRPr="00922B93" w:rsidRDefault="00E40FE1" w:rsidP="00922B93">
      <w:pPr>
        <w:tabs>
          <w:tab w:val="left" w:pos="0"/>
          <w:tab w:val="left" w:pos="567"/>
        </w:tabs>
        <w:spacing w:line="360" w:lineRule="auto"/>
        <w:jc w:val="both"/>
        <w:rPr>
          <w:rFonts w:ascii="Palatino Linotype" w:eastAsia="Palatino Linotype" w:hAnsi="Palatino Linotype" w:cs="Palatino Linotype"/>
          <w:color w:val="000000" w:themeColor="text1"/>
        </w:rPr>
      </w:pPr>
    </w:p>
    <w:p w:rsidR="00E40FE1" w:rsidRPr="00922B93" w:rsidRDefault="0010134C" w:rsidP="00922B93">
      <w:pPr>
        <w:tabs>
          <w:tab w:val="left" w:pos="0"/>
        </w:tabs>
        <w:spacing w:line="360" w:lineRule="auto"/>
        <w:jc w:val="both"/>
        <w:rPr>
          <w:rFonts w:ascii="Palatino Linotype" w:eastAsia="Palatino Linotype" w:hAnsi="Palatino Linotype" w:cs="Palatino Linotype"/>
          <w:color w:val="000000" w:themeColor="text1"/>
        </w:rPr>
      </w:pPr>
      <w:bookmarkStart w:id="2" w:name="_heading=h.gjdgxs" w:colFirst="0" w:colLast="0"/>
      <w:bookmarkEnd w:id="2"/>
      <w:r w:rsidRPr="00922B93">
        <w:rPr>
          <w:rFonts w:ascii="Palatino Linotype" w:eastAsia="Palatino Linotype" w:hAnsi="Palatino Linotype" w:cs="Palatino Linotype"/>
          <w:b/>
          <w:color w:val="000000" w:themeColor="text1"/>
        </w:rPr>
        <w:t>VISTO</w:t>
      </w:r>
      <w:r w:rsidRPr="00922B93">
        <w:rPr>
          <w:rFonts w:ascii="Palatino Linotype" w:eastAsia="Palatino Linotype" w:hAnsi="Palatino Linotype" w:cs="Palatino Linotype"/>
          <w:color w:val="000000" w:themeColor="text1"/>
        </w:rPr>
        <w:t xml:space="preserve"> el expediente electrónico formado con motivo del recurso de revisión </w:t>
      </w:r>
      <w:r w:rsidR="007470D9" w:rsidRPr="00922B93">
        <w:rPr>
          <w:rFonts w:ascii="Palatino Linotype" w:eastAsia="Palatino Linotype" w:hAnsi="Palatino Linotype" w:cs="Palatino Linotype"/>
          <w:b/>
          <w:color w:val="000000" w:themeColor="text1"/>
        </w:rPr>
        <w:t>05523</w:t>
      </w:r>
      <w:r w:rsidRPr="00922B93">
        <w:rPr>
          <w:rFonts w:ascii="Palatino Linotype" w:eastAsia="Palatino Linotype" w:hAnsi="Palatino Linotype" w:cs="Palatino Linotype"/>
          <w:b/>
          <w:color w:val="000000" w:themeColor="text1"/>
        </w:rPr>
        <w:t>/INFOEM/IP/RR/2025</w:t>
      </w:r>
      <w:r w:rsidRPr="00922B93">
        <w:rPr>
          <w:rFonts w:ascii="Palatino Linotype" w:eastAsia="Palatino Linotype" w:hAnsi="Palatino Linotype" w:cs="Palatino Linotype"/>
          <w:color w:val="000000" w:themeColor="text1"/>
        </w:rPr>
        <w:t>,</w:t>
      </w:r>
      <w:r w:rsidRPr="00922B93">
        <w:rPr>
          <w:rFonts w:ascii="Palatino Linotype" w:eastAsia="Palatino Linotype" w:hAnsi="Palatino Linotype" w:cs="Palatino Linotype"/>
          <w:b/>
          <w:color w:val="000000" w:themeColor="text1"/>
        </w:rPr>
        <w:t xml:space="preserve"> </w:t>
      </w:r>
      <w:r w:rsidRPr="00922B93">
        <w:rPr>
          <w:rFonts w:ascii="Palatino Linotype" w:eastAsia="Palatino Linotype" w:hAnsi="Palatino Linotype" w:cs="Palatino Linotype"/>
          <w:color w:val="000000" w:themeColor="text1"/>
        </w:rPr>
        <w:t xml:space="preserve">promovido por </w:t>
      </w:r>
      <w:r w:rsidR="00D229DA">
        <w:rPr>
          <w:rFonts w:ascii="Palatino Linotype" w:eastAsia="Palatino Linotype" w:hAnsi="Palatino Linotype" w:cs="Palatino Linotype"/>
          <w:b/>
          <w:color w:val="000000" w:themeColor="text1"/>
        </w:rPr>
        <w:t>XXXX</w:t>
      </w:r>
      <w:r w:rsidRPr="00922B93">
        <w:rPr>
          <w:rFonts w:ascii="Palatino Linotype" w:eastAsia="Palatino Linotype" w:hAnsi="Palatino Linotype" w:cs="Palatino Linotype"/>
          <w:color w:val="000000" w:themeColor="text1"/>
        </w:rPr>
        <w:t>, a quien en lo sucesivo se le identificará como la parte</w:t>
      </w:r>
      <w:r w:rsidRPr="00922B93">
        <w:rPr>
          <w:rFonts w:ascii="Palatino Linotype" w:eastAsia="Palatino Linotype" w:hAnsi="Palatino Linotype" w:cs="Palatino Linotype"/>
          <w:b/>
          <w:color w:val="000000" w:themeColor="text1"/>
        </w:rPr>
        <w:t xml:space="preserve"> RECURRENTE</w:t>
      </w:r>
      <w:r w:rsidRPr="00922B93">
        <w:rPr>
          <w:rFonts w:ascii="Palatino Linotype" w:eastAsia="Palatino Linotype" w:hAnsi="Palatino Linotype" w:cs="Palatino Linotype"/>
          <w:color w:val="000000" w:themeColor="text1"/>
        </w:rPr>
        <w:t xml:space="preserve">, en contra de la respuesta del </w:t>
      </w:r>
      <w:r w:rsidR="007470D9" w:rsidRPr="00922B93">
        <w:rPr>
          <w:rFonts w:ascii="Palatino Linotype" w:eastAsia="Palatino Linotype" w:hAnsi="Palatino Linotype" w:cs="Palatino Linotype"/>
          <w:b/>
          <w:color w:val="000000" w:themeColor="text1"/>
        </w:rPr>
        <w:t>Ayuntamiento de Cuautitlán Izcalli</w:t>
      </w:r>
      <w:r w:rsidRPr="00922B93">
        <w:rPr>
          <w:rFonts w:ascii="Palatino Linotype" w:eastAsia="Palatino Linotype" w:hAnsi="Palatino Linotype" w:cs="Palatino Linotype"/>
          <w:b/>
          <w:color w:val="000000" w:themeColor="text1"/>
        </w:rPr>
        <w:t xml:space="preserve">, </w:t>
      </w:r>
      <w:r w:rsidRPr="00922B93">
        <w:rPr>
          <w:rFonts w:ascii="Palatino Linotype" w:eastAsia="Palatino Linotype" w:hAnsi="Palatino Linotype" w:cs="Palatino Linotype"/>
          <w:color w:val="000000" w:themeColor="text1"/>
        </w:rPr>
        <w:t>en adelante el</w:t>
      </w:r>
      <w:r w:rsidRPr="00922B93">
        <w:rPr>
          <w:rFonts w:ascii="Palatino Linotype" w:eastAsia="Palatino Linotype" w:hAnsi="Palatino Linotype" w:cs="Palatino Linotype"/>
          <w:b/>
          <w:color w:val="000000" w:themeColor="text1"/>
        </w:rPr>
        <w:t xml:space="preserve"> SUJETO OBLIGADO</w:t>
      </w:r>
      <w:r w:rsidRPr="00922B93">
        <w:rPr>
          <w:rFonts w:ascii="Palatino Linotype" w:eastAsia="Palatino Linotype" w:hAnsi="Palatino Linotype" w:cs="Palatino Linotype"/>
          <w:color w:val="000000" w:themeColor="text1"/>
        </w:rPr>
        <w:t>, se procede a dictar la presente resolución, con base en los siguientes:</w:t>
      </w:r>
    </w:p>
    <w:p w:rsidR="00E40FE1" w:rsidRPr="00922B93" w:rsidRDefault="00E40FE1" w:rsidP="00922B93">
      <w:pPr>
        <w:tabs>
          <w:tab w:val="left" w:pos="0"/>
        </w:tabs>
        <w:spacing w:line="360" w:lineRule="auto"/>
        <w:jc w:val="both"/>
        <w:rPr>
          <w:rFonts w:ascii="Palatino Linotype" w:eastAsia="Palatino Linotype" w:hAnsi="Palatino Linotype" w:cs="Palatino Linotype"/>
          <w:color w:val="000000" w:themeColor="text1"/>
        </w:rPr>
      </w:pPr>
    </w:p>
    <w:p w:rsidR="00E40FE1" w:rsidRPr="00922B93" w:rsidRDefault="0010134C" w:rsidP="00922B93">
      <w:pPr>
        <w:pStyle w:val="Ttulo1"/>
        <w:tabs>
          <w:tab w:val="left" w:pos="0"/>
          <w:tab w:val="left" w:pos="567"/>
        </w:tabs>
        <w:spacing w:before="0" w:line="360" w:lineRule="auto"/>
        <w:jc w:val="center"/>
        <w:rPr>
          <w:b w:val="0"/>
          <w:color w:val="000000" w:themeColor="text1"/>
        </w:rPr>
      </w:pPr>
      <w:bookmarkStart w:id="3" w:name="_heading=h.30j0zll" w:colFirst="0" w:colLast="0"/>
      <w:bookmarkEnd w:id="3"/>
      <w:r w:rsidRPr="00922B93">
        <w:rPr>
          <w:color w:val="000000" w:themeColor="text1"/>
        </w:rPr>
        <w:t>A N T E C E D E N T E S</w:t>
      </w:r>
    </w:p>
    <w:p w:rsidR="00E40FE1" w:rsidRPr="00922B93" w:rsidRDefault="00E40FE1" w:rsidP="00922B93">
      <w:pPr>
        <w:pStyle w:val="Ttulo1"/>
        <w:tabs>
          <w:tab w:val="left" w:pos="0"/>
          <w:tab w:val="left" w:pos="567"/>
        </w:tabs>
        <w:spacing w:before="0" w:line="360" w:lineRule="auto"/>
        <w:jc w:val="center"/>
        <w:rPr>
          <w:color w:val="000000" w:themeColor="text1"/>
        </w:rPr>
      </w:pPr>
    </w:p>
    <w:p w:rsidR="00E40FE1" w:rsidRPr="00922B93" w:rsidRDefault="0010134C" w:rsidP="00922B93">
      <w:pPr>
        <w:numPr>
          <w:ilvl w:val="0"/>
          <w:numId w:val="2"/>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922B93">
        <w:rPr>
          <w:rFonts w:ascii="Palatino Linotype" w:eastAsia="Palatino Linotype" w:hAnsi="Palatino Linotype" w:cs="Palatino Linotype"/>
          <w:color w:val="000000" w:themeColor="text1"/>
        </w:rPr>
        <w:t xml:space="preserve">El </w:t>
      </w:r>
      <w:r w:rsidR="007470D9" w:rsidRPr="00922B93">
        <w:rPr>
          <w:rFonts w:ascii="Palatino Linotype" w:eastAsia="Palatino Linotype" w:hAnsi="Palatino Linotype" w:cs="Palatino Linotype"/>
          <w:b/>
          <w:color w:val="000000" w:themeColor="text1"/>
        </w:rPr>
        <w:t>ocho de mayo</w:t>
      </w:r>
      <w:r w:rsidRPr="00922B93">
        <w:rPr>
          <w:rFonts w:ascii="Palatino Linotype" w:eastAsia="Palatino Linotype" w:hAnsi="Palatino Linotype" w:cs="Palatino Linotype"/>
          <w:b/>
          <w:color w:val="000000" w:themeColor="text1"/>
        </w:rPr>
        <w:t xml:space="preserve"> de dos mil veinticinco, </w:t>
      </w:r>
      <w:r w:rsidRPr="00922B93">
        <w:rPr>
          <w:rFonts w:ascii="Palatino Linotype" w:eastAsia="Palatino Linotype" w:hAnsi="Palatino Linotype" w:cs="Palatino Linotype"/>
          <w:color w:val="000000" w:themeColor="text1"/>
        </w:rPr>
        <w:t xml:space="preserve">se presentó ante el </w:t>
      </w:r>
      <w:r w:rsidRPr="00922B93">
        <w:rPr>
          <w:rFonts w:ascii="Palatino Linotype" w:eastAsia="Palatino Linotype" w:hAnsi="Palatino Linotype" w:cs="Palatino Linotype"/>
          <w:b/>
          <w:color w:val="000000" w:themeColor="text1"/>
        </w:rPr>
        <w:t>SUJETO OBLIGADO</w:t>
      </w:r>
      <w:r w:rsidRPr="00922B93">
        <w:rPr>
          <w:rFonts w:ascii="Palatino Linotype" w:eastAsia="Palatino Linotype" w:hAnsi="Palatino Linotype" w:cs="Palatino Linotype"/>
          <w:color w:val="000000" w:themeColor="text1"/>
        </w:rPr>
        <w:t xml:space="preserve"> vía SAIMEX, la solicitud de información pública registrada con el número</w:t>
      </w:r>
      <w:r w:rsidR="007470D9" w:rsidRPr="00922B93">
        <w:rPr>
          <w:rFonts w:ascii="Palatino Linotype" w:eastAsia="Palatino Linotype" w:hAnsi="Palatino Linotype" w:cs="Palatino Linotype"/>
          <w:b/>
          <w:color w:val="000000" w:themeColor="text1"/>
        </w:rPr>
        <w:t xml:space="preserve"> 00862/CUAUTIZC</w:t>
      </w:r>
      <w:r w:rsidRPr="00922B93">
        <w:rPr>
          <w:rFonts w:ascii="Palatino Linotype" w:eastAsia="Palatino Linotype" w:hAnsi="Palatino Linotype" w:cs="Palatino Linotype"/>
          <w:b/>
          <w:color w:val="000000" w:themeColor="text1"/>
        </w:rPr>
        <w:t xml:space="preserve">/IP/2025; </w:t>
      </w:r>
      <w:r w:rsidR="00D229DA">
        <w:rPr>
          <w:rFonts w:ascii="Palatino Linotype" w:eastAsia="Palatino Linotype" w:hAnsi="Palatino Linotype" w:cs="Palatino Linotype"/>
          <w:color w:val="000000" w:themeColor="text1"/>
        </w:rPr>
        <w:t>en la que</w:t>
      </w:r>
      <w:r w:rsidRPr="00922B93">
        <w:rPr>
          <w:rFonts w:ascii="Palatino Linotype" w:eastAsia="Palatino Linotype" w:hAnsi="Palatino Linotype" w:cs="Palatino Linotype"/>
          <w:color w:val="000000" w:themeColor="text1"/>
        </w:rPr>
        <w:t xml:space="preserve"> se solicitó la siguiente información:</w:t>
      </w:r>
    </w:p>
    <w:p w:rsidR="00E40FE1" w:rsidRPr="00922B93" w:rsidRDefault="00E40FE1" w:rsidP="00922B93">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p>
    <w:p w:rsidR="00E40FE1" w:rsidRPr="00922B93" w:rsidRDefault="007470D9" w:rsidP="00922B93">
      <w:pPr>
        <w:pBdr>
          <w:top w:val="nil"/>
          <w:left w:val="nil"/>
          <w:bottom w:val="nil"/>
          <w:right w:val="nil"/>
          <w:between w:val="nil"/>
        </w:pBdr>
        <w:tabs>
          <w:tab w:val="left" w:pos="0"/>
        </w:tabs>
        <w:ind w:left="426"/>
        <w:jc w:val="both"/>
        <w:rPr>
          <w:rFonts w:ascii="Palatino Linotype" w:eastAsia="Palatino Linotype" w:hAnsi="Palatino Linotype" w:cs="Palatino Linotype"/>
          <w:i/>
          <w:color w:val="000000" w:themeColor="text1"/>
        </w:rPr>
      </w:pPr>
      <w:r w:rsidRPr="00922B93">
        <w:rPr>
          <w:rFonts w:ascii="Palatino Linotype" w:eastAsia="Palatino Linotype" w:hAnsi="Palatino Linotype" w:cs="Palatino Linotype"/>
          <w:i/>
          <w:color w:val="000000" w:themeColor="text1"/>
        </w:rPr>
        <w:t>“s</w:t>
      </w:r>
      <w:r w:rsidRPr="00922B93">
        <w:rPr>
          <w:rFonts w:ascii="Palatino Linotype" w:hAnsi="Palatino Linotype"/>
          <w:i/>
          <w:color w:val="000000" w:themeColor="text1"/>
        </w:rPr>
        <w:t>olicito copia simple digitalizada a través del sistema electrónico saimex de las pólizas y/o comprobantes digitales de pagos realizados a particulares vía cheque o transferencia electrónica durante el mes de abril de 2025.</w:t>
      </w:r>
      <w:r w:rsidR="0010134C" w:rsidRPr="00922B93">
        <w:rPr>
          <w:rFonts w:ascii="Palatino Linotype" w:eastAsia="Palatino Linotype" w:hAnsi="Palatino Linotype" w:cs="Palatino Linotype"/>
          <w:i/>
          <w:color w:val="000000" w:themeColor="text1"/>
        </w:rPr>
        <w:t>” (Sic)</w:t>
      </w:r>
    </w:p>
    <w:p w:rsidR="00E40FE1" w:rsidRDefault="00E40FE1" w:rsidP="00922B93">
      <w:pPr>
        <w:pBdr>
          <w:top w:val="nil"/>
          <w:left w:val="nil"/>
          <w:bottom w:val="nil"/>
          <w:right w:val="nil"/>
          <w:between w:val="nil"/>
        </w:pBdr>
        <w:tabs>
          <w:tab w:val="left" w:pos="0"/>
        </w:tabs>
        <w:jc w:val="both"/>
        <w:rPr>
          <w:rFonts w:ascii="Palatino Linotype" w:eastAsia="Palatino Linotype" w:hAnsi="Palatino Linotype" w:cs="Palatino Linotype"/>
          <w:i/>
          <w:color w:val="000000" w:themeColor="text1"/>
        </w:rPr>
      </w:pPr>
    </w:p>
    <w:p w:rsidR="003D029A" w:rsidRPr="00922B93" w:rsidRDefault="003D029A" w:rsidP="00922B93">
      <w:pPr>
        <w:pBdr>
          <w:top w:val="nil"/>
          <w:left w:val="nil"/>
          <w:bottom w:val="nil"/>
          <w:right w:val="nil"/>
          <w:between w:val="nil"/>
        </w:pBdr>
        <w:tabs>
          <w:tab w:val="left" w:pos="0"/>
        </w:tabs>
        <w:jc w:val="both"/>
        <w:rPr>
          <w:rFonts w:ascii="Palatino Linotype" w:eastAsia="Palatino Linotype" w:hAnsi="Palatino Linotype" w:cs="Palatino Linotype"/>
          <w:i/>
          <w:color w:val="000000" w:themeColor="text1"/>
        </w:rPr>
      </w:pPr>
    </w:p>
    <w:p w:rsidR="0010134C" w:rsidRPr="00922B93" w:rsidRDefault="0010134C" w:rsidP="00922B93">
      <w:pPr>
        <w:numPr>
          <w:ilvl w:val="0"/>
          <w:numId w:val="2"/>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922B93">
        <w:rPr>
          <w:rFonts w:ascii="Palatino Linotype" w:eastAsia="Palatino Linotype" w:hAnsi="Palatino Linotype" w:cs="Palatino Linotype"/>
          <w:color w:val="000000" w:themeColor="text1"/>
        </w:rPr>
        <w:t xml:space="preserve">Se eligió como modalidad de entrega de la información: A través del </w:t>
      </w:r>
      <w:r w:rsidRPr="00922B93">
        <w:rPr>
          <w:rFonts w:ascii="Palatino Linotype" w:eastAsia="Palatino Linotype" w:hAnsi="Palatino Linotype" w:cs="Palatino Linotype"/>
          <w:b/>
          <w:color w:val="000000" w:themeColor="text1"/>
        </w:rPr>
        <w:t>SAIMEX.</w:t>
      </w:r>
    </w:p>
    <w:p w:rsidR="007470D9" w:rsidRPr="00922B93" w:rsidRDefault="007470D9" w:rsidP="00922B93">
      <w:pPr>
        <w:pBdr>
          <w:top w:val="nil"/>
          <w:left w:val="nil"/>
          <w:bottom w:val="nil"/>
          <w:right w:val="nil"/>
          <w:between w:val="nil"/>
        </w:pBdr>
        <w:tabs>
          <w:tab w:val="left" w:pos="0"/>
          <w:tab w:val="left" w:pos="2410"/>
        </w:tabs>
        <w:spacing w:line="360" w:lineRule="auto"/>
        <w:jc w:val="both"/>
        <w:rPr>
          <w:rFonts w:ascii="Palatino Linotype" w:eastAsia="Palatino Linotype" w:hAnsi="Palatino Linotype" w:cs="Palatino Linotype"/>
          <w:i/>
          <w:color w:val="000000" w:themeColor="text1"/>
        </w:rPr>
      </w:pPr>
    </w:p>
    <w:p w:rsidR="00E40FE1" w:rsidRPr="00922B93" w:rsidRDefault="0010134C" w:rsidP="00922B93">
      <w:pPr>
        <w:numPr>
          <w:ilvl w:val="0"/>
          <w:numId w:val="2"/>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922B93">
        <w:rPr>
          <w:rFonts w:ascii="Palatino Linotype" w:eastAsia="Palatino Linotype" w:hAnsi="Palatino Linotype" w:cs="Palatino Linotype"/>
          <w:color w:val="000000" w:themeColor="text1"/>
        </w:rPr>
        <w:t xml:space="preserve">El </w:t>
      </w:r>
      <w:r w:rsidRPr="00922B93">
        <w:rPr>
          <w:rFonts w:ascii="Palatino Linotype" w:eastAsia="Palatino Linotype" w:hAnsi="Palatino Linotype" w:cs="Palatino Linotype"/>
          <w:b/>
          <w:color w:val="000000" w:themeColor="text1"/>
        </w:rPr>
        <w:t>veintiuno de agosto de dos mil veinticinco</w:t>
      </w:r>
      <w:r w:rsidRPr="00922B93">
        <w:rPr>
          <w:rFonts w:ascii="Palatino Linotype" w:eastAsia="Palatino Linotype" w:hAnsi="Palatino Linotype" w:cs="Palatino Linotype"/>
          <w:color w:val="000000" w:themeColor="text1"/>
        </w:rPr>
        <w:t xml:space="preserve">, el </w:t>
      </w:r>
      <w:r w:rsidRPr="00922B93">
        <w:rPr>
          <w:rFonts w:ascii="Palatino Linotype" w:eastAsia="Palatino Linotype" w:hAnsi="Palatino Linotype" w:cs="Palatino Linotype"/>
          <w:b/>
          <w:color w:val="000000" w:themeColor="text1"/>
        </w:rPr>
        <w:t>SUJETO OBLIGADO,</w:t>
      </w:r>
      <w:r w:rsidRPr="00922B93">
        <w:rPr>
          <w:rFonts w:ascii="Palatino Linotype" w:eastAsia="Palatino Linotype" w:hAnsi="Palatino Linotype" w:cs="Palatino Linotype"/>
          <w:color w:val="000000" w:themeColor="text1"/>
        </w:rPr>
        <w:t xml:space="preserve"> dio respuesta a la solicitud de información en el tenor siguiente:</w:t>
      </w:r>
    </w:p>
    <w:p w:rsidR="007470D9" w:rsidRPr="00922B93" w:rsidRDefault="007470D9" w:rsidP="00922B93">
      <w:pPr>
        <w:pBdr>
          <w:top w:val="nil"/>
          <w:left w:val="nil"/>
          <w:bottom w:val="nil"/>
          <w:right w:val="nil"/>
          <w:between w:val="nil"/>
        </w:pBdr>
        <w:tabs>
          <w:tab w:val="left" w:pos="0"/>
          <w:tab w:val="left" w:pos="2410"/>
        </w:tabs>
        <w:ind w:left="567"/>
        <w:jc w:val="both"/>
        <w:rPr>
          <w:rFonts w:ascii="Palatino Linotype" w:eastAsia="Palatino Linotype" w:hAnsi="Palatino Linotype" w:cs="Palatino Linotype"/>
          <w:i/>
          <w:color w:val="000000" w:themeColor="text1"/>
        </w:rPr>
      </w:pPr>
      <w:r w:rsidRPr="00922B93">
        <w:rPr>
          <w:rFonts w:ascii="Palatino Linotype" w:eastAsia="Palatino Linotype" w:hAnsi="Palatino Linotype" w:cs="Palatino Linotype"/>
          <w:i/>
          <w:color w:val="000000" w:themeColor="text1"/>
        </w:rPr>
        <w:lastRenderedPageBreak/>
        <w:t>“</w:t>
      </w:r>
      <w:r w:rsidRPr="00922B93">
        <w:rPr>
          <w:rFonts w:ascii="Palatino Linotype" w:hAnsi="Palatino Linotype"/>
          <w:i/>
          <w:color w:val="000000" w:themeColor="text1"/>
        </w:rPr>
        <w:t>Se procede a notificar la respuesta a la solicitud de información pública. Así mismo se hace de su conocimiento que usted puede interponer su recurso de revisión dentro del plazo de 15 días hábiles contados a partir de la fecha en que se realice la notificación vía electrónica, a través del SAIMEX</w:t>
      </w:r>
      <w:r w:rsidRPr="00922B93">
        <w:rPr>
          <w:rFonts w:ascii="Palatino Linotype" w:eastAsia="Palatino Linotype" w:hAnsi="Palatino Linotype" w:cs="Palatino Linotype"/>
          <w:i/>
          <w:color w:val="000000" w:themeColor="text1"/>
        </w:rPr>
        <w:t>” (Sic)</w:t>
      </w:r>
    </w:p>
    <w:p w:rsidR="00E40FE1" w:rsidRPr="00922B93" w:rsidRDefault="00E40FE1" w:rsidP="00922B93">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p>
    <w:p w:rsidR="00E40FE1" w:rsidRPr="00922B93" w:rsidRDefault="0010134C" w:rsidP="00922B93">
      <w:pPr>
        <w:pBdr>
          <w:top w:val="nil"/>
          <w:left w:val="nil"/>
          <w:bottom w:val="nil"/>
          <w:right w:val="nil"/>
          <w:between w:val="nil"/>
        </w:pBdr>
        <w:tabs>
          <w:tab w:val="left" w:pos="0"/>
        </w:tabs>
        <w:jc w:val="both"/>
        <w:rPr>
          <w:rFonts w:ascii="Palatino Linotype" w:eastAsia="Palatino Linotype" w:hAnsi="Palatino Linotype" w:cs="Palatino Linotype"/>
          <w:b/>
          <w:color w:val="000000" w:themeColor="text1"/>
        </w:rPr>
      </w:pPr>
      <w:r w:rsidRPr="00922B93">
        <w:rPr>
          <w:rFonts w:ascii="Palatino Linotype" w:eastAsia="Palatino Linotype" w:hAnsi="Palatino Linotype" w:cs="Palatino Linotype"/>
          <w:b/>
          <w:color w:val="000000" w:themeColor="text1"/>
        </w:rPr>
        <w:t>Archivos electrónicos adjuntos:</w:t>
      </w:r>
    </w:p>
    <w:p w:rsidR="00E40FE1" w:rsidRPr="00922B93" w:rsidRDefault="00E40FE1" w:rsidP="00922B93">
      <w:pPr>
        <w:tabs>
          <w:tab w:val="left" w:pos="0"/>
        </w:tabs>
        <w:rPr>
          <w:rFonts w:ascii="Palatino Linotype" w:eastAsia="Palatino Linotype" w:hAnsi="Palatino Linotype" w:cs="Palatino Linotype"/>
          <w:b/>
          <w:color w:val="000000" w:themeColor="text1"/>
        </w:rPr>
      </w:pPr>
    </w:p>
    <w:p w:rsidR="007470D9" w:rsidRPr="00922B93" w:rsidRDefault="00B73CDB" w:rsidP="00922B93">
      <w:pPr>
        <w:tabs>
          <w:tab w:val="left" w:pos="0"/>
        </w:tabs>
        <w:ind w:left="567"/>
        <w:jc w:val="both"/>
        <w:rPr>
          <w:rFonts w:ascii="Palatino Linotype" w:hAnsi="Palatino Linotype"/>
          <w:b/>
          <w:color w:val="000000" w:themeColor="text1"/>
        </w:rPr>
      </w:pPr>
      <w:hyperlink r:id="rId8" w:tgtFrame="_blank" w:history="1">
        <w:r w:rsidR="007470D9" w:rsidRPr="00922B93">
          <w:rPr>
            <w:rStyle w:val="Hipervnculo"/>
            <w:rFonts w:ascii="Palatino Linotype" w:hAnsi="Palatino Linotype" w:cs="Arial"/>
            <w:b/>
            <w:bCs/>
            <w:color w:val="000000" w:themeColor="text1"/>
            <w:u w:val="none"/>
          </w:rPr>
          <w:t>TM-DJT-1166-2025.pdf</w:t>
        </w:r>
      </w:hyperlink>
      <w:r w:rsidR="007470D9" w:rsidRPr="00922B93">
        <w:rPr>
          <w:rFonts w:ascii="Palatino Linotype" w:hAnsi="Palatino Linotype"/>
          <w:b/>
          <w:color w:val="000000" w:themeColor="text1"/>
        </w:rPr>
        <w:t xml:space="preserve">: </w:t>
      </w:r>
      <w:r w:rsidR="007470D9" w:rsidRPr="00922B93">
        <w:rPr>
          <w:rFonts w:ascii="Palatino Linotype" w:hAnsi="Palatino Linotype"/>
          <w:color w:val="000000" w:themeColor="text1"/>
        </w:rPr>
        <w:t>Consistente en un oficio suscrito por el Tesorero Municipal, por medio del cual, refirió que cualquier pago realizado a proveedores</w:t>
      </w:r>
      <w:r w:rsidR="007470D9" w:rsidRPr="00922B93">
        <w:rPr>
          <w:rFonts w:ascii="Palatino Linotype" w:hAnsi="Palatino Linotype"/>
          <w:b/>
          <w:color w:val="000000" w:themeColor="text1"/>
        </w:rPr>
        <w:t xml:space="preserve"> </w:t>
      </w:r>
      <w:r w:rsidR="007470D9" w:rsidRPr="00922B93">
        <w:rPr>
          <w:rFonts w:ascii="Palatino Linotype" w:hAnsi="Palatino Linotype"/>
          <w:color w:val="000000" w:themeColor="text1"/>
        </w:rPr>
        <w:t xml:space="preserve">así como los documentos que amparan las facturas o transferencias son parte integral de las pólizas contables, las cuales forman parte del segundo Informe Trimestral 2025, información que se encuentra en proceso para ser entregado al Órgano Superior de Fiscalización del Estado de México (OSFEM), por lo cual </w:t>
      </w:r>
      <w:r w:rsidR="006F1C9E" w:rsidRPr="00922B93">
        <w:rPr>
          <w:rFonts w:ascii="Palatino Linotype" w:hAnsi="Palatino Linotype"/>
          <w:color w:val="000000" w:themeColor="text1"/>
        </w:rPr>
        <w:t xml:space="preserve">la </w:t>
      </w:r>
      <w:r w:rsidR="007470D9" w:rsidRPr="00922B93">
        <w:rPr>
          <w:rFonts w:ascii="Palatino Linotype" w:hAnsi="Palatino Linotype"/>
          <w:color w:val="000000" w:themeColor="text1"/>
        </w:rPr>
        <w:t>Tesorería Municipal está imposibilitada para entregar dicha información.</w:t>
      </w:r>
    </w:p>
    <w:p w:rsidR="007470D9" w:rsidRPr="00922B93" w:rsidRDefault="007470D9" w:rsidP="00922B93">
      <w:pPr>
        <w:tabs>
          <w:tab w:val="left" w:pos="0"/>
        </w:tabs>
        <w:rPr>
          <w:rFonts w:ascii="Palatino Linotype" w:eastAsia="Palatino Linotype" w:hAnsi="Palatino Linotype" w:cs="Palatino Linotype"/>
          <w:color w:val="000000" w:themeColor="text1"/>
        </w:rPr>
      </w:pPr>
    </w:p>
    <w:p w:rsidR="00E40FE1" w:rsidRPr="00922B93" w:rsidRDefault="0010134C" w:rsidP="00922B93">
      <w:pPr>
        <w:numPr>
          <w:ilvl w:val="0"/>
          <w:numId w:val="2"/>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922B93">
        <w:rPr>
          <w:rFonts w:ascii="Palatino Linotype" w:eastAsia="Palatino Linotype" w:hAnsi="Palatino Linotype" w:cs="Palatino Linotype"/>
          <w:color w:val="000000" w:themeColor="text1"/>
        </w:rPr>
        <w:t xml:space="preserve">El </w:t>
      </w:r>
      <w:r w:rsidR="007470D9" w:rsidRPr="00922B93">
        <w:rPr>
          <w:rFonts w:ascii="Palatino Linotype" w:eastAsia="Palatino Linotype" w:hAnsi="Palatino Linotype" w:cs="Palatino Linotype"/>
          <w:b/>
          <w:color w:val="000000" w:themeColor="text1"/>
        </w:rPr>
        <w:t>quince de mayo</w:t>
      </w:r>
      <w:r w:rsidRPr="00922B93">
        <w:rPr>
          <w:rFonts w:ascii="Palatino Linotype" w:eastAsia="Palatino Linotype" w:hAnsi="Palatino Linotype" w:cs="Palatino Linotype"/>
          <w:b/>
          <w:color w:val="000000" w:themeColor="text1"/>
        </w:rPr>
        <w:t xml:space="preserve"> de dos mil veinticinco</w:t>
      </w:r>
      <w:r w:rsidRPr="00922B93">
        <w:rPr>
          <w:rFonts w:ascii="Palatino Linotype" w:eastAsia="Palatino Linotype" w:hAnsi="Palatino Linotype" w:cs="Palatino Linotype"/>
          <w:color w:val="000000" w:themeColor="text1"/>
        </w:rPr>
        <w:t xml:space="preserve">, el </w:t>
      </w:r>
      <w:r w:rsidRPr="00922B93">
        <w:rPr>
          <w:rFonts w:ascii="Palatino Linotype" w:eastAsia="Palatino Linotype" w:hAnsi="Palatino Linotype" w:cs="Palatino Linotype"/>
          <w:b/>
          <w:color w:val="000000" w:themeColor="text1"/>
        </w:rPr>
        <w:t>RECURRENTE</w:t>
      </w:r>
      <w:r w:rsidRPr="00922B93">
        <w:rPr>
          <w:rFonts w:ascii="Palatino Linotype" w:eastAsia="Palatino Linotype" w:hAnsi="Palatino Linotype" w:cs="Palatino Linotype"/>
          <w:color w:val="000000" w:themeColor="text1"/>
        </w:rPr>
        <w:t xml:space="preserve"> interpuso el recurso de revisión en contra de la respuesta, manifestando las siguientes razones o motivos de inconformidad:</w:t>
      </w:r>
    </w:p>
    <w:p w:rsidR="00E40FE1" w:rsidRPr="003D029A" w:rsidRDefault="0010134C" w:rsidP="003D029A">
      <w:pPr>
        <w:pStyle w:val="Prrafodelista"/>
        <w:numPr>
          <w:ilvl w:val="0"/>
          <w:numId w:val="12"/>
        </w:numPr>
        <w:pBdr>
          <w:top w:val="nil"/>
          <w:left w:val="nil"/>
          <w:bottom w:val="nil"/>
          <w:right w:val="nil"/>
          <w:between w:val="nil"/>
        </w:pBdr>
        <w:tabs>
          <w:tab w:val="left" w:pos="0"/>
        </w:tabs>
        <w:jc w:val="both"/>
        <w:rPr>
          <w:rFonts w:ascii="Palatino Linotype" w:eastAsia="Palatino Linotype" w:hAnsi="Palatino Linotype" w:cs="Palatino Linotype"/>
          <w:i/>
          <w:color w:val="000000" w:themeColor="text1"/>
        </w:rPr>
      </w:pPr>
      <w:bookmarkStart w:id="4" w:name="_heading=h.1fob9te" w:colFirst="0" w:colLast="0"/>
      <w:bookmarkEnd w:id="4"/>
      <w:r w:rsidRPr="003D029A">
        <w:rPr>
          <w:rFonts w:ascii="Palatino Linotype" w:eastAsia="Palatino Linotype" w:hAnsi="Palatino Linotype" w:cs="Palatino Linotype"/>
          <w:b/>
          <w:color w:val="000000" w:themeColor="text1"/>
        </w:rPr>
        <w:t>Acto impugnado</w:t>
      </w:r>
      <w:r w:rsidRPr="003D029A">
        <w:rPr>
          <w:rFonts w:ascii="Palatino Linotype" w:eastAsia="Palatino Linotype" w:hAnsi="Palatino Linotype" w:cs="Palatino Linotype"/>
          <w:color w:val="000000" w:themeColor="text1"/>
        </w:rPr>
        <w:t xml:space="preserve">: </w:t>
      </w:r>
      <w:r w:rsidRPr="003D029A">
        <w:rPr>
          <w:rFonts w:ascii="Palatino Linotype" w:eastAsia="Palatino Linotype" w:hAnsi="Palatino Linotype" w:cs="Palatino Linotype"/>
          <w:i/>
          <w:color w:val="000000" w:themeColor="text1"/>
        </w:rPr>
        <w:t>“</w:t>
      </w:r>
      <w:r w:rsidR="007470D9" w:rsidRPr="003D029A">
        <w:rPr>
          <w:rFonts w:ascii="Palatino Linotype" w:eastAsia="Palatino Linotype" w:hAnsi="Palatino Linotype" w:cs="Palatino Linotype"/>
          <w:i/>
          <w:color w:val="000000" w:themeColor="text1"/>
        </w:rPr>
        <w:t>0</w:t>
      </w:r>
      <w:r w:rsidR="007470D9" w:rsidRPr="003D029A">
        <w:rPr>
          <w:rFonts w:ascii="Palatino Linotype" w:hAnsi="Palatino Linotype"/>
          <w:i/>
          <w:color w:val="000000" w:themeColor="text1"/>
        </w:rPr>
        <w:t>0862/CUAUTIZC/IP/2025</w:t>
      </w:r>
      <w:r w:rsidRPr="003D029A">
        <w:rPr>
          <w:rFonts w:ascii="Palatino Linotype" w:eastAsia="Palatino Linotype" w:hAnsi="Palatino Linotype" w:cs="Palatino Linotype"/>
          <w:i/>
          <w:color w:val="000000" w:themeColor="text1"/>
        </w:rPr>
        <w:t>” (Sic.)</w:t>
      </w:r>
    </w:p>
    <w:p w:rsidR="00E40FE1" w:rsidRPr="00922B93" w:rsidRDefault="00E40FE1" w:rsidP="00922B93">
      <w:pPr>
        <w:pBdr>
          <w:top w:val="nil"/>
          <w:left w:val="nil"/>
          <w:bottom w:val="nil"/>
          <w:right w:val="nil"/>
          <w:between w:val="nil"/>
        </w:pBdr>
        <w:tabs>
          <w:tab w:val="left" w:pos="0"/>
        </w:tabs>
        <w:ind w:left="567"/>
        <w:jc w:val="both"/>
        <w:rPr>
          <w:rFonts w:ascii="Palatino Linotype" w:eastAsia="Palatino Linotype" w:hAnsi="Palatino Linotype" w:cs="Palatino Linotype"/>
          <w:b/>
          <w:i/>
          <w:color w:val="000000" w:themeColor="text1"/>
        </w:rPr>
      </w:pPr>
    </w:p>
    <w:p w:rsidR="00E40FE1" w:rsidRPr="003D029A" w:rsidRDefault="0010134C" w:rsidP="003D029A">
      <w:pPr>
        <w:pStyle w:val="Prrafodelista"/>
        <w:numPr>
          <w:ilvl w:val="0"/>
          <w:numId w:val="12"/>
        </w:numPr>
        <w:tabs>
          <w:tab w:val="left" w:pos="0"/>
        </w:tabs>
        <w:jc w:val="both"/>
        <w:rPr>
          <w:rFonts w:ascii="Palatino Linotype" w:eastAsia="Palatino Linotype" w:hAnsi="Palatino Linotype" w:cs="Palatino Linotype"/>
          <w:color w:val="000000" w:themeColor="text1"/>
        </w:rPr>
      </w:pPr>
      <w:bookmarkStart w:id="5" w:name="_heading=h.3znysh7" w:colFirst="0" w:colLast="0"/>
      <w:bookmarkEnd w:id="5"/>
      <w:r w:rsidRPr="003D029A">
        <w:rPr>
          <w:rFonts w:ascii="Palatino Linotype" w:eastAsia="Palatino Linotype" w:hAnsi="Palatino Linotype" w:cs="Palatino Linotype"/>
          <w:b/>
          <w:color w:val="000000" w:themeColor="text1"/>
        </w:rPr>
        <w:t>Razones o Motivos de inconformidad:</w:t>
      </w:r>
      <w:r w:rsidRPr="003D029A">
        <w:rPr>
          <w:rFonts w:ascii="Palatino Linotype" w:eastAsia="Palatino Linotype" w:hAnsi="Palatino Linotype" w:cs="Palatino Linotype"/>
          <w:b/>
          <w:i/>
          <w:color w:val="000000" w:themeColor="text1"/>
        </w:rPr>
        <w:t xml:space="preserve"> </w:t>
      </w:r>
      <w:r w:rsidRPr="003D029A">
        <w:rPr>
          <w:rFonts w:ascii="Palatino Linotype" w:eastAsia="Palatino Linotype" w:hAnsi="Palatino Linotype" w:cs="Palatino Linotype"/>
          <w:i/>
          <w:color w:val="000000" w:themeColor="text1"/>
        </w:rPr>
        <w:t>“L</w:t>
      </w:r>
      <w:r w:rsidR="007470D9" w:rsidRPr="003D029A">
        <w:rPr>
          <w:rFonts w:ascii="Palatino Linotype" w:hAnsi="Palatino Linotype"/>
          <w:i/>
          <w:color w:val="000000" w:themeColor="text1"/>
        </w:rPr>
        <w:t>a integraci´{on de los informes al órgano fiscalizador no es causa justificada para la negativa a entregar la información solicitada, ya que los comprobantes y pólizas se generan desde el mismo momento en que se realizan los pagos correspondientes y desde entonces obran en poder del sujeto obligado. Por lo tanto, solicito se revoque la respuesta del sujeto obligado y se ordene la entrega de la información en los mismos términos en que fue solicitada.</w:t>
      </w:r>
      <w:r w:rsidRPr="003D029A">
        <w:rPr>
          <w:rFonts w:ascii="Palatino Linotype" w:eastAsia="Palatino Linotype" w:hAnsi="Palatino Linotype" w:cs="Palatino Linotype"/>
          <w:i/>
          <w:color w:val="000000" w:themeColor="text1"/>
        </w:rPr>
        <w:t>” (Sic.)</w:t>
      </w:r>
    </w:p>
    <w:p w:rsidR="00E40FE1" w:rsidRPr="00922B93" w:rsidRDefault="00E40FE1" w:rsidP="00922B93">
      <w:pPr>
        <w:tabs>
          <w:tab w:val="left" w:pos="0"/>
        </w:tabs>
        <w:spacing w:line="360" w:lineRule="auto"/>
        <w:rPr>
          <w:rFonts w:ascii="Palatino Linotype" w:eastAsia="Palatino Linotype" w:hAnsi="Palatino Linotype" w:cs="Palatino Linotype"/>
          <w:i/>
          <w:color w:val="000000" w:themeColor="text1"/>
        </w:rPr>
      </w:pPr>
    </w:p>
    <w:p w:rsidR="00E40FE1" w:rsidRPr="00922B93" w:rsidRDefault="0010134C" w:rsidP="00922B93">
      <w:pPr>
        <w:numPr>
          <w:ilvl w:val="0"/>
          <w:numId w:val="2"/>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922B93">
        <w:rPr>
          <w:rFonts w:ascii="Palatino Linotype" w:eastAsia="Palatino Linotype" w:hAnsi="Palatino Linotype" w:cs="Palatino Linotype"/>
          <w:color w:val="000000" w:themeColor="text1"/>
        </w:rPr>
        <w:t xml:space="preserve">La Comisionada Ponente con fundamento en lo dispuesto por el artículo 185 fracción II de la ley de la materia, a través del acuerdo de admisión del </w:t>
      </w:r>
      <w:r w:rsidR="007470D9" w:rsidRPr="00922B93">
        <w:rPr>
          <w:rFonts w:ascii="Palatino Linotype" w:eastAsia="Palatino Linotype" w:hAnsi="Palatino Linotype" w:cs="Palatino Linotype"/>
          <w:b/>
          <w:color w:val="000000" w:themeColor="text1"/>
        </w:rPr>
        <w:t>veinte de mayo</w:t>
      </w:r>
      <w:r w:rsidRPr="00922B93">
        <w:rPr>
          <w:rFonts w:ascii="Palatino Linotype" w:eastAsia="Palatino Linotype" w:hAnsi="Palatino Linotype" w:cs="Palatino Linotype"/>
          <w:b/>
          <w:color w:val="000000" w:themeColor="text1"/>
        </w:rPr>
        <w:t xml:space="preserve"> de dos mil veinticinco</w:t>
      </w:r>
      <w:r w:rsidRPr="00922B93">
        <w:rPr>
          <w:rFonts w:ascii="Palatino Linotype" w:eastAsia="Palatino Linotype" w:hAnsi="Palatino Linotype" w:cs="Palatino Linotype"/>
          <w:color w:val="000000" w:themeColor="text1"/>
        </w:rPr>
        <w:t xml:space="preserve">, puso a disposición de las partes el expediente electrónico vía </w:t>
      </w:r>
      <w:r w:rsidRPr="00922B93">
        <w:rPr>
          <w:rFonts w:ascii="Palatino Linotype" w:eastAsia="Palatino Linotype" w:hAnsi="Palatino Linotype" w:cs="Palatino Linotype"/>
          <w:b/>
          <w:color w:val="000000" w:themeColor="text1"/>
        </w:rPr>
        <w:t xml:space="preserve">SAIMEX </w:t>
      </w:r>
      <w:r w:rsidRPr="00922B93">
        <w:rPr>
          <w:rFonts w:ascii="Palatino Linotype" w:eastAsia="Palatino Linotype" w:hAnsi="Palatino Linotype" w:cs="Palatino Linotype"/>
          <w:color w:val="000000" w:themeColor="text1"/>
        </w:rPr>
        <w:t xml:space="preserve">a efecto de que en un plazo máximo de siete días manifestara lo que a su derecho </w:t>
      </w:r>
      <w:r w:rsidRPr="00922B93">
        <w:rPr>
          <w:rFonts w:ascii="Palatino Linotype" w:eastAsia="Palatino Linotype" w:hAnsi="Palatino Linotype" w:cs="Palatino Linotype"/>
          <w:color w:val="000000" w:themeColor="text1"/>
        </w:rPr>
        <w:lastRenderedPageBreak/>
        <w:t xml:space="preserve">conviniera, ofreciera pruebas y alegatos según corresponda a los casos concretos, y el </w:t>
      </w:r>
      <w:r w:rsidRPr="00922B93">
        <w:rPr>
          <w:rFonts w:ascii="Palatino Linotype" w:eastAsia="Palatino Linotype" w:hAnsi="Palatino Linotype" w:cs="Palatino Linotype"/>
          <w:b/>
          <w:color w:val="000000" w:themeColor="text1"/>
        </w:rPr>
        <w:t>SUJETO OBLIGADO</w:t>
      </w:r>
      <w:r w:rsidRPr="00922B93">
        <w:rPr>
          <w:rFonts w:ascii="Palatino Linotype" w:eastAsia="Palatino Linotype" w:hAnsi="Palatino Linotype" w:cs="Palatino Linotype"/>
          <w:color w:val="000000" w:themeColor="text1"/>
        </w:rPr>
        <w:t xml:space="preserve"> presentará el Informe Justificado procedente.</w:t>
      </w:r>
    </w:p>
    <w:p w:rsidR="00E40FE1" w:rsidRPr="00922B93" w:rsidRDefault="00E40FE1" w:rsidP="00922B93">
      <w:pPr>
        <w:tabs>
          <w:tab w:val="left" w:pos="0"/>
        </w:tabs>
        <w:rPr>
          <w:rFonts w:ascii="Palatino Linotype" w:eastAsia="Palatino Linotype" w:hAnsi="Palatino Linotype" w:cs="Palatino Linotype"/>
          <w:color w:val="000000" w:themeColor="text1"/>
        </w:rPr>
      </w:pPr>
    </w:p>
    <w:p w:rsidR="0010134C" w:rsidRPr="00922B93" w:rsidRDefault="0010134C" w:rsidP="00922B93">
      <w:pPr>
        <w:numPr>
          <w:ilvl w:val="0"/>
          <w:numId w:val="2"/>
        </w:numPr>
        <w:tabs>
          <w:tab w:val="left" w:pos="0"/>
        </w:tabs>
        <w:spacing w:line="360" w:lineRule="auto"/>
        <w:jc w:val="both"/>
        <w:rPr>
          <w:rFonts w:ascii="Palatino Linotype" w:eastAsia="Palatino Linotype" w:hAnsi="Palatino Linotype" w:cs="Palatino Linotype"/>
          <w:color w:val="000000" w:themeColor="text1"/>
        </w:rPr>
      </w:pPr>
      <w:bookmarkStart w:id="6" w:name="_heading=h.2et92p0" w:colFirst="0" w:colLast="0"/>
      <w:bookmarkEnd w:id="6"/>
      <w:r w:rsidRPr="00922B93">
        <w:rPr>
          <w:rFonts w:ascii="Palatino Linotype" w:eastAsia="Palatino Linotype" w:hAnsi="Palatino Linotype" w:cs="Palatino Linotype"/>
          <w:color w:val="000000" w:themeColor="text1"/>
        </w:rPr>
        <w:t xml:space="preserve">El </w:t>
      </w:r>
      <w:r w:rsidR="007470D9" w:rsidRPr="00922B93">
        <w:rPr>
          <w:rFonts w:ascii="Palatino Linotype" w:eastAsia="Palatino Linotype" w:hAnsi="Palatino Linotype" w:cs="Palatino Linotype"/>
          <w:color w:val="000000" w:themeColor="text1"/>
        </w:rPr>
        <w:t>veintidós de mayo</w:t>
      </w:r>
      <w:r w:rsidRPr="00922B93">
        <w:rPr>
          <w:rFonts w:ascii="Palatino Linotype" w:eastAsia="Palatino Linotype" w:hAnsi="Palatino Linotype" w:cs="Palatino Linotype"/>
          <w:color w:val="000000" w:themeColor="text1"/>
        </w:rPr>
        <w:t xml:space="preserve"> de dos mil veinticinco, el </w:t>
      </w:r>
      <w:r w:rsidRPr="00922B93">
        <w:rPr>
          <w:rFonts w:ascii="Palatino Linotype" w:eastAsia="Palatino Linotype" w:hAnsi="Palatino Linotype" w:cs="Palatino Linotype"/>
          <w:b/>
          <w:color w:val="000000" w:themeColor="text1"/>
        </w:rPr>
        <w:t xml:space="preserve">SUJETO OBLIGADO </w:t>
      </w:r>
      <w:r w:rsidRPr="00922B93">
        <w:rPr>
          <w:rFonts w:ascii="Palatino Linotype" w:eastAsia="Palatino Linotype" w:hAnsi="Palatino Linotype" w:cs="Palatino Linotype"/>
          <w:color w:val="000000" w:themeColor="text1"/>
        </w:rPr>
        <w:t xml:space="preserve">rindió el informe justificado correspondiente por medio del archivo electrónico denominado </w:t>
      </w:r>
      <w:r w:rsidR="007470D9" w:rsidRPr="00922B93">
        <w:rPr>
          <w:rFonts w:ascii="Palatino Linotype" w:eastAsia="Palatino Linotype" w:hAnsi="Palatino Linotype" w:cs="Palatino Linotype"/>
          <w:b/>
          <w:color w:val="000000" w:themeColor="text1"/>
        </w:rPr>
        <w:t>Informe Justificado RR05523.pdf</w:t>
      </w:r>
      <w:r w:rsidRPr="00922B93">
        <w:rPr>
          <w:rFonts w:ascii="Palatino Linotype" w:eastAsia="Palatino Linotype" w:hAnsi="Palatino Linotype" w:cs="Palatino Linotype"/>
          <w:color w:val="000000" w:themeColor="text1"/>
        </w:rPr>
        <w:t xml:space="preserve">, consistente en un oficio suscrito por el </w:t>
      </w:r>
      <w:r w:rsidR="007470D9" w:rsidRPr="00922B93">
        <w:rPr>
          <w:rFonts w:ascii="Palatino Linotype" w:eastAsia="Palatino Linotype" w:hAnsi="Palatino Linotype" w:cs="Palatino Linotype"/>
          <w:color w:val="000000" w:themeColor="text1"/>
        </w:rPr>
        <w:t xml:space="preserve">Tesorero Municipal, mediante el cual, </w:t>
      </w:r>
      <w:r w:rsidR="007470D9" w:rsidRPr="00922B93">
        <w:rPr>
          <w:rFonts w:ascii="Palatino Linotype" w:eastAsia="Palatino Linotype" w:hAnsi="Palatino Linotype" w:cs="Palatino Linotype"/>
          <w:b/>
          <w:color w:val="000000" w:themeColor="text1"/>
        </w:rPr>
        <w:t>ratificó la respuesta.</w:t>
      </w:r>
    </w:p>
    <w:p w:rsidR="0010134C" w:rsidRPr="00922B93" w:rsidRDefault="0010134C" w:rsidP="00922B93">
      <w:pPr>
        <w:tabs>
          <w:tab w:val="left" w:pos="0"/>
        </w:tabs>
        <w:rPr>
          <w:rFonts w:ascii="Palatino Linotype" w:eastAsia="Palatino Linotype" w:hAnsi="Palatino Linotype" w:cs="Palatino Linotype"/>
          <w:color w:val="000000" w:themeColor="text1"/>
        </w:rPr>
      </w:pPr>
    </w:p>
    <w:p w:rsidR="00E40FE1" w:rsidRPr="00922B93" w:rsidRDefault="0010134C" w:rsidP="00922B93">
      <w:pPr>
        <w:numPr>
          <w:ilvl w:val="0"/>
          <w:numId w:val="2"/>
        </w:numPr>
        <w:tabs>
          <w:tab w:val="left" w:pos="0"/>
        </w:tabs>
        <w:spacing w:line="360" w:lineRule="auto"/>
        <w:jc w:val="both"/>
        <w:rPr>
          <w:rFonts w:ascii="Palatino Linotype" w:eastAsia="Palatino Linotype" w:hAnsi="Palatino Linotype" w:cs="Palatino Linotype"/>
          <w:color w:val="000000" w:themeColor="text1"/>
        </w:rPr>
      </w:pPr>
      <w:r w:rsidRPr="00922B93">
        <w:rPr>
          <w:rFonts w:ascii="Palatino Linotype" w:eastAsia="Palatino Linotype" w:hAnsi="Palatino Linotype" w:cs="Palatino Linotype"/>
          <w:color w:val="000000" w:themeColor="text1"/>
        </w:rPr>
        <w:t>Por su parte, el</w:t>
      </w:r>
      <w:r w:rsidRPr="00922B93">
        <w:rPr>
          <w:rFonts w:ascii="Palatino Linotype" w:eastAsia="Palatino Linotype" w:hAnsi="Palatino Linotype" w:cs="Palatino Linotype"/>
          <w:b/>
          <w:color w:val="000000" w:themeColor="text1"/>
        </w:rPr>
        <w:t xml:space="preserve"> RECURRENTE </w:t>
      </w:r>
      <w:r w:rsidRPr="00922B93">
        <w:rPr>
          <w:rFonts w:ascii="Palatino Linotype" w:eastAsia="Palatino Linotype" w:hAnsi="Palatino Linotype" w:cs="Palatino Linotype"/>
          <w:color w:val="000000" w:themeColor="text1"/>
        </w:rPr>
        <w:t xml:space="preserve">dejó de realizar manifestaciones que a su derecho conviniera y asistiera. </w:t>
      </w:r>
    </w:p>
    <w:p w:rsidR="00E40FE1" w:rsidRPr="00922B93" w:rsidRDefault="00E40FE1" w:rsidP="00922B93">
      <w:pPr>
        <w:tabs>
          <w:tab w:val="left" w:pos="0"/>
        </w:tabs>
        <w:spacing w:line="360" w:lineRule="auto"/>
        <w:jc w:val="both"/>
        <w:rPr>
          <w:rFonts w:ascii="Palatino Linotype" w:eastAsia="Palatino Linotype" w:hAnsi="Palatino Linotype" w:cs="Palatino Linotype"/>
          <w:color w:val="000000" w:themeColor="text1"/>
        </w:rPr>
      </w:pPr>
    </w:p>
    <w:p w:rsidR="00E40FE1" w:rsidRPr="00922B93" w:rsidRDefault="0010134C" w:rsidP="00922B93">
      <w:pPr>
        <w:numPr>
          <w:ilvl w:val="0"/>
          <w:numId w:val="2"/>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r w:rsidRPr="00922B93">
        <w:rPr>
          <w:rFonts w:ascii="Palatino Linotype" w:eastAsia="Palatino Linotype" w:hAnsi="Palatino Linotype" w:cs="Palatino Linotype"/>
          <w:color w:val="000000" w:themeColor="text1"/>
        </w:rPr>
        <w:t xml:space="preserve">Finalmente, mediante acuerdo del </w:t>
      </w:r>
      <w:r w:rsidR="00913AAE" w:rsidRPr="00922B93">
        <w:rPr>
          <w:rFonts w:ascii="Palatino Linotype" w:eastAsia="Palatino Linotype" w:hAnsi="Palatino Linotype" w:cs="Palatino Linotype"/>
          <w:b/>
          <w:color w:val="000000" w:themeColor="text1"/>
        </w:rPr>
        <w:t>ocho de octubre</w:t>
      </w:r>
      <w:r w:rsidRPr="00922B93">
        <w:rPr>
          <w:rFonts w:ascii="Palatino Linotype" w:eastAsia="Palatino Linotype" w:hAnsi="Palatino Linotype" w:cs="Palatino Linotype"/>
          <w:color w:val="000000" w:themeColor="text1"/>
        </w:rPr>
        <w:t xml:space="preserve"> </w:t>
      </w:r>
      <w:r w:rsidRPr="00922B93">
        <w:rPr>
          <w:rFonts w:ascii="Palatino Linotype" w:eastAsia="Palatino Linotype" w:hAnsi="Palatino Linotype" w:cs="Palatino Linotype"/>
          <w:b/>
          <w:color w:val="000000" w:themeColor="text1"/>
        </w:rPr>
        <w:t>de dos mil veinticinco</w:t>
      </w:r>
      <w:r w:rsidRPr="00922B93">
        <w:rPr>
          <w:rFonts w:ascii="Palatino Linotype" w:eastAsia="Palatino Linotype" w:hAnsi="Palatino Linotype" w:cs="Palatino Linotype"/>
          <w:color w:val="000000" w:themeColor="text1"/>
        </w:rPr>
        <w:t>, se decretó el cierre de instrucción, por lo que no ha</w:t>
      </w:r>
      <w:r w:rsidR="00922B93">
        <w:rPr>
          <w:rFonts w:ascii="Palatino Linotype" w:eastAsia="Palatino Linotype" w:hAnsi="Palatino Linotype" w:cs="Palatino Linotype"/>
          <w:color w:val="000000" w:themeColor="text1"/>
        </w:rPr>
        <w:t>biendo más que hacer constar, y</w:t>
      </w:r>
    </w:p>
    <w:p w:rsidR="00E40FE1" w:rsidRPr="00922B93" w:rsidRDefault="00E40FE1" w:rsidP="00922B93">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p>
    <w:p w:rsidR="00E40FE1" w:rsidRPr="00922B93" w:rsidRDefault="0010134C" w:rsidP="00922B93">
      <w:pPr>
        <w:pStyle w:val="Ttulo1"/>
        <w:tabs>
          <w:tab w:val="left" w:pos="0"/>
          <w:tab w:val="left" w:pos="567"/>
        </w:tabs>
        <w:spacing w:before="0" w:line="360" w:lineRule="auto"/>
        <w:jc w:val="center"/>
        <w:rPr>
          <w:color w:val="000000" w:themeColor="text1"/>
        </w:rPr>
      </w:pPr>
      <w:bookmarkStart w:id="7" w:name="_heading=h.tyjcwt" w:colFirst="0" w:colLast="0"/>
      <w:bookmarkEnd w:id="7"/>
      <w:r w:rsidRPr="00922B93">
        <w:rPr>
          <w:color w:val="000000" w:themeColor="text1"/>
        </w:rPr>
        <w:t>C O N S I D E R A N D O</w:t>
      </w:r>
    </w:p>
    <w:p w:rsidR="00E40FE1" w:rsidRPr="00922B93" w:rsidRDefault="00E40FE1" w:rsidP="00922B93">
      <w:pPr>
        <w:tabs>
          <w:tab w:val="left" w:pos="0"/>
        </w:tabs>
        <w:spacing w:line="360" w:lineRule="auto"/>
        <w:rPr>
          <w:rFonts w:ascii="Palatino Linotype" w:eastAsia="Palatino Linotype" w:hAnsi="Palatino Linotype" w:cs="Palatino Linotype"/>
          <w:color w:val="000000" w:themeColor="text1"/>
        </w:rPr>
      </w:pPr>
    </w:p>
    <w:p w:rsidR="00E40FE1" w:rsidRPr="00922B93" w:rsidRDefault="0010134C" w:rsidP="00922B93">
      <w:pPr>
        <w:pStyle w:val="Ttulo1"/>
        <w:tabs>
          <w:tab w:val="left" w:pos="0"/>
          <w:tab w:val="left" w:pos="567"/>
        </w:tabs>
        <w:spacing w:before="0" w:line="360" w:lineRule="auto"/>
        <w:rPr>
          <w:color w:val="000000" w:themeColor="text1"/>
        </w:rPr>
      </w:pPr>
      <w:bookmarkStart w:id="8" w:name="_heading=h.3dy6vkm" w:colFirst="0" w:colLast="0"/>
      <w:bookmarkEnd w:id="8"/>
      <w:r w:rsidRPr="00922B93">
        <w:rPr>
          <w:color w:val="000000" w:themeColor="text1"/>
        </w:rPr>
        <w:t>PRIMERO. De la competencia</w:t>
      </w:r>
    </w:p>
    <w:p w:rsidR="00E40FE1" w:rsidRPr="00922B93" w:rsidRDefault="0010134C" w:rsidP="00922B93">
      <w:pPr>
        <w:numPr>
          <w:ilvl w:val="0"/>
          <w:numId w:val="2"/>
        </w:numPr>
        <w:pBdr>
          <w:top w:val="nil"/>
          <w:left w:val="nil"/>
          <w:bottom w:val="nil"/>
          <w:right w:val="nil"/>
          <w:between w:val="nil"/>
        </w:pBdr>
        <w:tabs>
          <w:tab w:val="left" w:pos="0"/>
          <w:tab w:val="left" w:pos="426"/>
          <w:tab w:val="left" w:pos="567"/>
        </w:tabs>
        <w:spacing w:line="360" w:lineRule="auto"/>
        <w:jc w:val="both"/>
        <w:rPr>
          <w:rFonts w:ascii="Palatino Linotype" w:eastAsia="Palatino Linotype" w:hAnsi="Palatino Linotype" w:cs="Palatino Linotype"/>
          <w:color w:val="000000" w:themeColor="text1"/>
        </w:rPr>
      </w:pPr>
      <w:r w:rsidRPr="00922B93">
        <w:rPr>
          <w:rFonts w:ascii="Palatino Linotype" w:eastAsia="Palatino Linotype" w:hAnsi="Palatino Linotype" w:cs="Palatino Linotype"/>
          <w:color w:val="000000" w:themeColor="text1"/>
        </w:rPr>
        <w:t xml:space="preserve"> 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XXIII, y 11 del Reglamento Interior </w:t>
      </w:r>
      <w:r w:rsidRPr="00922B93">
        <w:rPr>
          <w:rFonts w:ascii="Palatino Linotype" w:eastAsia="Palatino Linotype" w:hAnsi="Palatino Linotype" w:cs="Palatino Linotype"/>
          <w:color w:val="000000" w:themeColor="text1"/>
        </w:rPr>
        <w:lastRenderedPageBreak/>
        <w:t>del Instituto de Transparencia, Acceso a la Información Pública y Protección de Datos Personales del Estado de México y Municipios.</w:t>
      </w:r>
    </w:p>
    <w:p w:rsidR="00E40FE1" w:rsidRPr="00922B93" w:rsidRDefault="00E40FE1" w:rsidP="00922B93">
      <w:pPr>
        <w:pBdr>
          <w:top w:val="nil"/>
          <w:left w:val="nil"/>
          <w:bottom w:val="nil"/>
          <w:right w:val="nil"/>
          <w:between w:val="nil"/>
        </w:pBdr>
        <w:tabs>
          <w:tab w:val="left" w:pos="0"/>
          <w:tab w:val="left" w:pos="426"/>
          <w:tab w:val="left" w:pos="567"/>
        </w:tabs>
        <w:spacing w:line="360" w:lineRule="auto"/>
        <w:jc w:val="both"/>
        <w:rPr>
          <w:rFonts w:ascii="Palatino Linotype" w:eastAsia="Palatino Linotype" w:hAnsi="Palatino Linotype" w:cs="Palatino Linotype"/>
          <w:color w:val="000000" w:themeColor="text1"/>
        </w:rPr>
      </w:pPr>
    </w:p>
    <w:p w:rsidR="00E40FE1" w:rsidRPr="00922B93" w:rsidRDefault="0010134C" w:rsidP="00922B93">
      <w:pPr>
        <w:pStyle w:val="Ttulo2"/>
        <w:tabs>
          <w:tab w:val="left" w:pos="0"/>
        </w:tabs>
        <w:spacing w:before="0" w:line="360" w:lineRule="auto"/>
        <w:rPr>
          <w:color w:val="000000" w:themeColor="text1"/>
        </w:rPr>
      </w:pPr>
      <w:bookmarkStart w:id="9" w:name="_heading=h.1t3h5sf" w:colFirst="0" w:colLast="0"/>
      <w:bookmarkEnd w:id="9"/>
      <w:r w:rsidRPr="00922B93">
        <w:rPr>
          <w:color w:val="000000" w:themeColor="text1"/>
        </w:rPr>
        <w:t>SEGUNDO. De la oportunidad y procedencia.</w:t>
      </w:r>
    </w:p>
    <w:p w:rsidR="00E40FE1" w:rsidRPr="00922B93" w:rsidRDefault="0010134C" w:rsidP="00922B93">
      <w:pPr>
        <w:numPr>
          <w:ilvl w:val="0"/>
          <w:numId w:val="2"/>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922B93">
        <w:rPr>
          <w:rFonts w:ascii="Palatino Linotype" w:eastAsia="Palatino Linotype" w:hAnsi="Palatino Linotype" w:cs="Palatino Linotype"/>
          <w:color w:val="000000" w:themeColor="text1"/>
        </w:rPr>
        <w:t xml:space="preserve"> El medio de impugnación fue presentado a través del </w:t>
      </w:r>
      <w:r w:rsidRPr="00922B93">
        <w:rPr>
          <w:rFonts w:ascii="Palatino Linotype" w:eastAsia="Palatino Linotype" w:hAnsi="Palatino Linotype" w:cs="Palatino Linotype"/>
          <w:b/>
          <w:color w:val="000000" w:themeColor="text1"/>
        </w:rPr>
        <w:t>SAIMEX,</w:t>
      </w:r>
      <w:r w:rsidRPr="00922B93">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922B93">
        <w:rPr>
          <w:rFonts w:ascii="Palatino Linotype" w:eastAsia="Palatino Linotype" w:hAnsi="Palatino Linotype" w:cs="Palatino Linotype"/>
          <w:b/>
          <w:color w:val="000000" w:themeColor="text1"/>
        </w:rPr>
        <w:t>SUJETO OBLIGADO</w:t>
      </w:r>
      <w:r w:rsidRPr="00922B93">
        <w:rPr>
          <w:rFonts w:ascii="Palatino Linotype" w:eastAsia="Palatino Linotype" w:hAnsi="Palatino Linotype" w:cs="Palatino Linotype"/>
          <w:color w:val="000000" w:themeColor="text1"/>
        </w:rPr>
        <w:t xml:space="preserve"> entregó su respuesta el </w:t>
      </w:r>
      <w:r w:rsidR="008F63C1" w:rsidRPr="00922B93">
        <w:rPr>
          <w:rFonts w:ascii="Palatino Linotype" w:eastAsia="Palatino Linotype" w:hAnsi="Palatino Linotype" w:cs="Palatino Linotype"/>
          <w:b/>
          <w:color w:val="000000" w:themeColor="text1"/>
        </w:rPr>
        <w:t>catorce de mayo</w:t>
      </w:r>
      <w:r w:rsidRPr="00922B93">
        <w:rPr>
          <w:rFonts w:ascii="Palatino Linotype" w:eastAsia="Palatino Linotype" w:hAnsi="Palatino Linotype" w:cs="Palatino Linotype"/>
          <w:b/>
          <w:color w:val="000000" w:themeColor="text1"/>
        </w:rPr>
        <w:t xml:space="preserve"> de dos mil veinticinco</w:t>
      </w:r>
      <w:r w:rsidRPr="00922B93">
        <w:rPr>
          <w:rFonts w:ascii="Palatino Linotype" w:eastAsia="Palatino Linotype" w:hAnsi="Palatino Linotype" w:cs="Palatino Linotype"/>
          <w:color w:val="000000" w:themeColor="text1"/>
        </w:rPr>
        <w:t xml:space="preserve">, de tal forma que el plazo para interponer el recurso de revisión transcurrió del </w:t>
      </w:r>
      <w:r w:rsidR="008F63C1" w:rsidRPr="00922B93">
        <w:rPr>
          <w:rFonts w:ascii="Palatino Linotype" w:eastAsia="Palatino Linotype" w:hAnsi="Palatino Linotype" w:cs="Palatino Linotype"/>
          <w:b/>
          <w:color w:val="000000" w:themeColor="text1"/>
        </w:rPr>
        <w:t>quince de mayo</w:t>
      </w:r>
      <w:r w:rsidRPr="00922B93">
        <w:rPr>
          <w:rFonts w:ascii="Palatino Linotype" w:eastAsia="Palatino Linotype" w:hAnsi="Palatino Linotype" w:cs="Palatino Linotype"/>
          <w:b/>
          <w:color w:val="000000" w:themeColor="text1"/>
        </w:rPr>
        <w:t xml:space="preserve"> al </w:t>
      </w:r>
      <w:r w:rsidR="008F63C1" w:rsidRPr="00922B93">
        <w:rPr>
          <w:rFonts w:ascii="Palatino Linotype" w:eastAsia="Palatino Linotype" w:hAnsi="Palatino Linotype" w:cs="Palatino Linotype"/>
          <w:b/>
          <w:color w:val="000000" w:themeColor="text1"/>
        </w:rPr>
        <w:t>cuatro de junio</w:t>
      </w:r>
      <w:r w:rsidRPr="00922B93">
        <w:rPr>
          <w:rFonts w:ascii="Palatino Linotype" w:eastAsia="Palatino Linotype" w:hAnsi="Palatino Linotype" w:cs="Palatino Linotype"/>
          <w:b/>
          <w:color w:val="000000" w:themeColor="text1"/>
        </w:rPr>
        <w:t xml:space="preserve"> de dos mil veinticinco</w:t>
      </w:r>
      <w:r w:rsidRPr="00922B93">
        <w:rPr>
          <w:rFonts w:ascii="Palatino Linotype" w:eastAsia="Palatino Linotype" w:hAnsi="Palatino Linotype" w:cs="Palatino Linotype"/>
          <w:color w:val="000000" w:themeColor="text1"/>
        </w:rPr>
        <w:t xml:space="preserve">; en consecuencia, el ahora </w:t>
      </w:r>
      <w:r w:rsidRPr="00922B93">
        <w:rPr>
          <w:rFonts w:ascii="Palatino Linotype" w:eastAsia="Palatino Linotype" w:hAnsi="Palatino Linotype" w:cs="Palatino Linotype"/>
          <w:b/>
          <w:color w:val="000000" w:themeColor="text1"/>
        </w:rPr>
        <w:t>RECURRENTE</w:t>
      </w:r>
      <w:r w:rsidRPr="00922B93">
        <w:rPr>
          <w:rFonts w:ascii="Palatino Linotype" w:eastAsia="Palatino Linotype" w:hAnsi="Palatino Linotype" w:cs="Palatino Linotype"/>
          <w:color w:val="000000" w:themeColor="text1"/>
        </w:rPr>
        <w:t xml:space="preserve"> presentó su inconformidad el </w:t>
      </w:r>
      <w:r w:rsidR="008F63C1" w:rsidRPr="00922B93">
        <w:rPr>
          <w:rFonts w:ascii="Palatino Linotype" w:eastAsia="Palatino Linotype" w:hAnsi="Palatino Linotype" w:cs="Palatino Linotype"/>
          <w:b/>
          <w:color w:val="000000" w:themeColor="text1"/>
        </w:rPr>
        <w:t>quince de mayo</w:t>
      </w:r>
      <w:r w:rsidRPr="00922B93">
        <w:rPr>
          <w:rFonts w:ascii="Palatino Linotype" w:eastAsia="Palatino Linotype" w:hAnsi="Palatino Linotype" w:cs="Palatino Linotype"/>
          <w:b/>
          <w:color w:val="000000" w:themeColor="text1"/>
        </w:rPr>
        <w:t xml:space="preserve"> de dos mil veinticinco</w:t>
      </w:r>
      <w:r w:rsidRPr="00922B93">
        <w:rPr>
          <w:rFonts w:ascii="Palatino Linotype" w:eastAsia="Palatino Linotype" w:hAnsi="Palatino Linotype" w:cs="Palatino Linotype"/>
          <w:color w:val="000000" w:themeColor="text1"/>
        </w:rPr>
        <w:t>; por lo que se estima que la inconformidad se presentó dentro del lapso legalmente establecido para tal efecto.</w:t>
      </w:r>
    </w:p>
    <w:p w:rsidR="00E40FE1" w:rsidRPr="00922B93" w:rsidRDefault="00E40FE1" w:rsidP="00922B93">
      <w:pPr>
        <w:pBdr>
          <w:top w:val="nil"/>
          <w:left w:val="nil"/>
          <w:bottom w:val="nil"/>
          <w:right w:val="nil"/>
          <w:between w:val="nil"/>
        </w:pBdr>
        <w:tabs>
          <w:tab w:val="left" w:pos="0"/>
        </w:tabs>
        <w:rPr>
          <w:rFonts w:ascii="Palatino Linotype" w:eastAsia="Palatino Linotype" w:hAnsi="Palatino Linotype" w:cs="Palatino Linotype"/>
          <w:color w:val="000000" w:themeColor="text1"/>
        </w:rPr>
      </w:pPr>
    </w:p>
    <w:p w:rsidR="00E40FE1" w:rsidRPr="00922B93" w:rsidRDefault="0010134C" w:rsidP="00922B93">
      <w:pPr>
        <w:numPr>
          <w:ilvl w:val="0"/>
          <w:numId w:val="2"/>
        </w:numPr>
        <w:tabs>
          <w:tab w:val="left" w:pos="0"/>
        </w:tabs>
        <w:spacing w:line="360" w:lineRule="auto"/>
        <w:jc w:val="both"/>
        <w:rPr>
          <w:rFonts w:ascii="Palatino Linotype" w:eastAsia="Palatino Linotype" w:hAnsi="Palatino Linotype" w:cs="Palatino Linotype"/>
          <w:b/>
          <w:color w:val="000000" w:themeColor="text1"/>
        </w:rPr>
      </w:pPr>
      <w:r w:rsidRPr="00922B93">
        <w:rPr>
          <w:rFonts w:ascii="Palatino Linotype" w:eastAsia="Palatino Linotype" w:hAnsi="Palatino Linotype" w:cs="Palatino Linotype"/>
          <w:color w:val="000000" w:themeColor="text1"/>
        </w:rPr>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E40FE1" w:rsidRPr="00922B93" w:rsidRDefault="00E40FE1" w:rsidP="00922B93">
      <w:pPr>
        <w:tabs>
          <w:tab w:val="left" w:pos="0"/>
        </w:tabs>
        <w:spacing w:line="360" w:lineRule="auto"/>
        <w:rPr>
          <w:rFonts w:ascii="Palatino Linotype" w:eastAsia="Palatino Linotype" w:hAnsi="Palatino Linotype" w:cs="Palatino Linotype"/>
          <w:color w:val="000000" w:themeColor="text1"/>
        </w:rPr>
      </w:pPr>
    </w:p>
    <w:p w:rsidR="00E40FE1" w:rsidRPr="00922B93" w:rsidRDefault="0010134C" w:rsidP="00922B93">
      <w:pPr>
        <w:pStyle w:val="Ttulo1"/>
        <w:tabs>
          <w:tab w:val="left" w:pos="0"/>
        </w:tabs>
        <w:spacing w:before="0" w:line="360" w:lineRule="auto"/>
        <w:rPr>
          <w:color w:val="000000" w:themeColor="text1"/>
        </w:rPr>
      </w:pPr>
      <w:r w:rsidRPr="00922B93">
        <w:rPr>
          <w:color w:val="000000" w:themeColor="text1"/>
        </w:rPr>
        <w:t xml:space="preserve">TERCERO. Del planteamiento de la </w:t>
      </w:r>
      <w:r w:rsidRPr="00922B93">
        <w:rPr>
          <w:i/>
          <w:color w:val="000000" w:themeColor="text1"/>
        </w:rPr>
        <w:t>Litis</w:t>
      </w:r>
      <w:r w:rsidRPr="00922B93">
        <w:rPr>
          <w:color w:val="000000" w:themeColor="text1"/>
        </w:rPr>
        <w:t>.</w:t>
      </w:r>
    </w:p>
    <w:p w:rsidR="00E40FE1" w:rsidRPr="00922B93" w:rsidRDefault="0010134C" w:rsidP="00922B93">
      <w:pPr>
        <w:numPr>
          <w:ilvl w:val="0"/>
          <w:numId w:val="2"/>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i/>
          <w:color w:val="000000" w:themeColor="text1"/>
        </w:rPr>
      </w:pPr>
      <w:r w:rsidRPr="00922B93">
        <w:rPr>
          <w:rFonts w:ascii="Palatino Linotype" w:eastAsia="Palatino Linotype" w:hAnsi="Palatino Linotype" w:cs="Palatino Linotype"/>
          <w:color w:val="000000" w:themeColor="text1"/>
        </w:rPr>
        <w:t xml:space="preserve">La parte </w:t>
      </w:r>
      <w:r w:rsidRPr="00922B93">
        <w:rPr>
          <w:rFonts w:ascii="Palatino Linotype" w:eastAsia="Palatino Linotype" w:hAnsi="Palatino Linotype" w:cs="Palatino Linotype"/>
          <w:b/>
          <w:color w:val="000000" w:themeColor="text1"/>
        </w:rPr>
        <w:t>RECURRENTE</w:t>
      </w:r>
      <w:r w:rsidRPr="00922B93">
        <w:rPr>
          <w:rFonts w:ascii="Palatino Linotype" w:eastAsia="Palatino Linotype" w:hAnsi="Palatino Linotype" w:cs="Palatino Linotype"/>
          <w:color w:val="000000" w:themeColor="text1"/>
        </w:rPr>
        <w:t xml:space="preserve"> solicitó l</w:t>
      </w:r>
      <w:r w:rsidR="006F1C9E" w:rsidRPr="00922B93">
        <w:rPr>
          <w:rFonts w:ascii="Palatino Linotype" w:eastAsia="Palatino Linotype" w:hAnsi="Palatino Linotype" w:cs="Palatino Linotype"/>
          <w:color w:val="000000" w:themeColor="text1"/>
        </w:rPr>
        <w:t xml:space="preserve">a copia de las </w:t>
      </w:r>
      <w:r w:rsidR="006F1C9E" w:rsidRPr="00922B93">
        <w:rPr>
          <w:rFonts w:ascii="Palatino Linotype" w:eastAsia="Palatino Linotype" w:hAnsi="Palatino Linotype" w:cs="Palatino Linotype"/>
          <w:b/>
          <w:color w:val="000000" w:themeColor="text1"/>
        </w:rPr>
        <w:t>pólizas y/o comprobantes digitales de pagos realizados a particulares vía cheque o transferencia electrónica durante el mes de abril de 2025.</w:t>
      </w:r>
    </w:p>
    <w:p w:rsidR="00E40FE1" w:rsidRPr="00922B93" w:rsidRDefault="00E40FE1" w:rsidP="00922B93">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p>
    <w:p w:rsidR="00E40FE1" w:rsidRPr="00922B93" w:rsidRDefault="007A03A6" w:rsidP="00922B93">
      <w:pPr>
        <w:numPr>
          <w:ilvl w:val="0"/>
          <w:numId w:val="2"/>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922B93">
        <w:rPr>
          <w:rFonts w:ascii="Palatino Linotype" w:eastAsia="Palatino Linotype" w:hAnsi="Palatino Linotype" w:cs="Palatino Linotype"/>
          <w:color w:val="000000" w:themeColor="text1"/>
        </w:rPr>
        <w:t xml:space="preserve">El </w:t>
      </w:r>
      <w:r w:rsidR="0010134C" w:rsidRPr="00922B93">
        <w:rPr>
          <w:rFonts w:ascii="Palatino Linotype" w:eastAsia="Palatino Linotype" w:hAnsi="Palatino Linotype" w:cs="Palatino Linotype"/>
          <w:b/>
          <w:color w:val="000000" w:themeColor="text1"/>
        </w:rPr>
        <w:t xml:space="preserve">SUJETO OBLIGADO </w:t>
      </w:r>
      <w:r w:rsidRPr="00922B93">
        <w:rPr>
          <w:rFonts w:ascii="Palatino Linotype" w:eastAsia="Palatino Linotype" w:hAnsi="Palatino Linotype" w:cs="Palatino Linotype"/>
          <w:color w:val="000000" w:themeColor="text1"/>
        </w:rPr>
        <w:t xml:space="preserve">emitió respuesta en términos del </w:t>
      </w:r>
      <w:r w:rsidRPr="00922B93">
        <w:rPr>
          <w:rFonts w:ascii="Palatino Linotype" w:eastAsia="Palatino Linotype" w:hAnsi="Palatino Linotype" w:cs="Palatino Linotype"/>
          <w:b/>
          <w:color w:val="000000" w:themeColor="text1"/>
        </w:rPr>
        <w:t>párrafo 3</w:t>
      </w:r>
      <w:r w:rsidRPr="00922B93">
        <w:rPr>
          <w:rFonts w:ascii="Palatino Linotype" w:eastAsia="Palatino Linotype" w:hAnsi="Palatino Linotype" w:cs="Palatino Linotype"/>
          <w:color w:val="000000" w:themeColor="text1"/>
        </w:rPr>
        <w:t xml:space="preserve"> de la presente resolución.</w:t>
      </w:r>
    </w:p>
    <w:p w:rsidR="00E40FE1" w:rsidRPr="00922B93" w:rsidRDefault="0010134C" w:rsidP="00922B93">
      <w:pPr>
        <w:numPr>
          <w:ilvl w:val="0"/>
          <w:numId w:val="2"/>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r w:rsidRPr="00922B93">
        <w:rPr>
          <w:rFonts w:ascii="Palatino Linotype" w:eastAsia="Palatino Linotype" w:hAnsi="Palatino Linotype" w:cs="Palatino Linotype"/>
          <w:color w:val="000000" w:themeColor="text1"/>
        </w:rPr>
        <w:lastRenderedPageBreak/>
        <w:t xml:space="preserve">Posteriormente, el </w:t>
      </w:r>
      <w:r w:rsidRPr="00922B93">
        <w:rPr>
          <w:rFonts w:ascii="Palatino Linotype" w:eastAsia="Palatino Linotype" w:hAnsi="Palatino Linotype" w:cs="Palatino Linotype"/>
          <w:b/>
          <w:color w:val="000000" w:themeColor="text1"/>
        </w:rPr>
        <w:t xml:space="preserve">RECURRENTE </w:t>
      </w:r>
      <w:r w:rsidRPr="00922B93">
        <w:rPr>
          <w:rFonts w:ascii="Palatino Linotype" w:eastAsia="Palatino Linotype" w:hAnsi="Palatino Linotype" w:cs="Palatino Linotype"/>
          <w:color w:val="000000" w:themeColor="text1"/>
        </w:rPr>
        <w:t xml:space="preserve">interpuso recurso de revisión en el que se inconformó por la </w:t>
      </w:r>
      <w:r w:rsidRPr="00922B93">
        <w:rPr>
          <w:rFonts w:ascii="Palatino Linotype" w:eastAsia="Palatino Linotype" w:hAnsi="Palatino Linotype" w:cs="Palatino Linotype"/>
          <w:b/>
          <w:color w:val="000000" w:themeColor="text1"/>
        </w:rPr>
        <w:t>negativa de la información solicitada.</w:t>
      </w:r>
    </w:p>
    <w:p w:rsidR="00E40FE1" w:rsidRPr="00922B93" w:rsidRDefault="00E40FE1" w:rsidP="00922B93">
      <w:pPr>
        <w:tabs>
          <w:tab w:val="left" w:pos="0"/>
        </w:tabs>
        <w:rPr>
          <w:rFonts w:ascii="Palatino Linotype" w:eastAsia="Palatino Linotype" w:hAnsi="Palatino Linotype" w:cs="Palatino Linotype"/>
          <w:color w:val="000000" w:themeColor="text1"/>
        </w:rPr>
      </w:pPr>
    </w:p>
    <w:p w:rsidR="00E40FE1" w:rsidRPr="00922B93" w:rsidRDefault="0010134C" w:rsidP="00922B93">
      <w:pPr>
        <w:numPr>
          <w:ilvl w:val="0"/>
          <w:numId w:val="2"/>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r w:rsidRPr="00922B93">
        <w:rPr>
          <w:rFonts w:ascii="Palatino Linotype" w:eastAsia="Palatino Linotype" w:hAnsi="Palatino Linotype" w:cs="Palatino Linotype"/>
          <w:color w:val="000000" w:themeColor="text1"/>
        </w:rPr>
        <w:t xml:space="preserve">En dichas condiciones, la </w:t>
      </w:r>
      <w:r w:rsidRPr="00922B93">
        <w:rPr>
          <w:rFonts w:ascii="Palatino Linotype" w:eastAsia="Palatino Linotype" w:hAnsi="Palatino Linotype" w:cs="Palatino Linotype"/>
          <w:i/>
          <w:color w:val="000000" w:themeColor="text1"/>
        </w:rPr>
        <w:t>Litis</w:t>
      </w:r>
      <w:r w:rsidRPr="00922B93">
        <w:rPr>
          <w:rFonts w:ascii="Palatino Linotype" w:eastAsia="Palatino Linotype" w:hAnsi="Palatino Linotype" w:cs="Palatino Linotype"/>
          <w:color w:val="000000" w:themeColor="text1"/>
        </w:rPr>
        <w:t xml:space="preserve"> a resolver en este recurso se circunscribe a determinar si se actualizan las causales de procedencia previstas en el artículo 179, </w:t>
      </w:r>
      <w:r w:rsidRPr="00922B93">
        <w:rPr>
          <w:rFonts w:ascii="Palatino Linotype" w:eastAsia="Palatino Linotype" w:hAnsi="Palatino Linotype" w:cs="Palatino Linotype"/>
          <w:b/>
          <w:color w:val="000000" w:themeColor="text1"/>
        </w:rPr>
        <w:t xml:space="preserve">fracción I </w:t>
      </w:r>
      <w:r w:rsidRPr="00922B93">
        <w:rPr>
          <w:rFonts w:ascii="Palatino Linotype" w:eastAsia="Palatino Linotype" w:hAnsi="Palatino Linotype" w:cs="Palatino Linotype"/>
          <w:color w:val="000000" w:themeColor="text1"/>
        </w:rPr>
        <w:t>de la Ley</w:t>
      </w:r>
      <w:r w:rsidRPr="00922B93">
        <w:rPr>
          <w:rFonts w:ascii="Palatino Linotype" w:eastAsia="Palatino Linotype" w:hAnsi="Palatino Linotype" w:cs="Palatino Linotype"/>
          <w:b/>
          <w:color w:val="000000" w:themeColor="text1"/>
        </w:rPr>
        <w:t xml:space="preserve"> de Transparencia y Acceso a la Información Pública del Estado de </w:t>
      </w:r>
      <w:r w:rsidRPr="00922B93">
        <w:rPr>
          <w:rFonts w:ascii="Palatino Linotype" w:eastAsia="Palatino Linotype" w:hAnsi="Palatino Linotype" w:cs="Palatino Linotype"/>
          <w:color w:val="000000" w:themeColor="text1"/>
        </w:rPr>
        <w:t>México</w:t>
      </w:r>
      <w:r w:rsidRPr="00922B93">
        <w:rPr>
          <w:rFonts w:ascii="Palatino Linotype" w:eastAsia="Palatino Linotype" w:hAnsi="Palatino Linotype" w:cs="Palatino Linotype"/>
          <w:b/>
          <w:color w:val="000000" w:themeColor="text1"/>
        </w:rPr>
        <w:t xml:space="preserve"> y Municipios</w:t>
      </w:r>
      <w:r w:rsidRPr="00922B93">
        <w:rPr>
          <w:rFonts w:ascii="Palatino Linotype" w:eastAsia="Palatino Linotype" w:hAnsi="Palatino Linotype" w:cs="Palatino Linotype"/>
          <w:color w:val="000000" w:themeColor="text1"/>
        </w:rPr>
        <w:t xml:space="preserve">; fracción que determina la hipótesis jurídica relativa a </w:t>
      </w:r>
      <w:r w:rsidRPr="00922B93">
        <w:rPr>
          <w:rFonts w:ascii="Palatino Linotype" w:eastAsia="Palatino Linotype" w:hAnsi="Palatino Linotype" w:cs="Palatino Linotype"/>
          <w:b/>
          <w:color w:val="000000" w:themeColor="text1"/>
        </w:rPr>
        <w:t>la negativa de la información solicitada.</w:t>
      </w:r>
    </w:p>
    <w:p w:rsidR="00E40FE1" w:rsidRPr="00922B93" w:rsidRDefault="00E40FE1" w:rsidP="00922B93">
      <w:pPr>
        <w:pBdr>
          <w:top w:val="nil"/>
          <w:left w:val="nil"/>
          <w:bottom w:val="nil"/>
          <w:right w:val="nil"/>
          <w:between w:val="nil"/>
        </w:pBdr>
        <w:tabs>
          <w:tab w:val="left" w:pos="0"/>
          <w:tab w:val="left" w:pos="426"/>
          <w:tab w:val="left" w:pos="567"/>
        </w:tabs>
        <w:spacing w:line="360" w:lineRule="auto"/>
        <w:jc w:val="both"/>
        <w:rPr>
          <w:rFonts w:ascii="Palatino Linotype" w:eastAsia="Palatino Linotype" w:hAnsi="Palatino Linotype" w:cs="Palatino Linotype"/>
          <w:b/>
          <w:color w:val="000000" w:themeColor="text1"/>
        </w:rPr>
      </w:pPr>
    </w:p>
    <w:p w:rsidR="00E40FE1" w:rsidRPr="00922B93" w:rsidRDefault="0010134C" w:rsidP="00922B93">
      <w:pPr>
        <w:pStyle w:val="Ttulo1"/>
        <w:tabs>
          <w:tab w:val="left" w:pos="0"/>
        </w:tabs>
        <w:spacing w:before="0" w:line="360" w:lineRule="auto"/>
        <w:rPr>
          <w:color w:val="000000" w:themeColor="text1"/>
        </w:rPr>
      </w:pPr>
      <w:r w:rsidRPr="00922B93">
        <w:rPr>
          <w:color w:val="000000" w:themeColor="text1"/>
        </w:rPr>
        <w:t>CUARTO. Del estudio y resolución del asunto.</w:t>
      </w:r>
    </w:p>
    <w:p w:rsidR="00E40FE1" w:rsidRPr="00922B93" w:rsidRDefault="0010134C" w:rsidP="00922B93">
      <w:pPr>
        <w:numPr>
          <w:ilvl w:val="0"/>
          <w:numId w:val="2"/>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922B93">
        <w:rPr>
          <w:rFonts w:ascii="Palatino Linotype" w:eastAsia="Palatino Linotype" w:hAnsi="Palatino Linotype" w:cs="Palatino Linotype"/>
          <w:color w:val="000000" w:themeColor="text1"/>
        </w:rPr>
        <w:t xml:space="preserve">Acotada la </w:t>
      </w:r>
      <w:r w:rsidRPr="00922B93">
        <w:rPr>
          <w:rFonts w:ascii="Palatino Linotype" w:eastAsia="Palatino Linotype" w:hAnsi="Palatino Linotype" w:cs="Palatino Linotype"/>
          <w:i/>
          <w:color w:val="000000" w:themeColor="text1"/>
        </w:rPr>
        <w:t>Litis</w:t>
      </w:r>
      <w:r w:rsidRPr="00922B93">
        <w:rPr>
          <w:rFonts w:ascii="Palatino Linotype" w:eastAsia="Palatino Linotype" w:hAnsi="Palatino Linotype" w:cs="Palatino Linotype"/>
          <w:color w:val="000000" w:themeColor="text1"/>
        </w:rPr>
        <w:t xml:space="preserve"> del asunto de mérito, es dable puntualizar inicialmente en términos generales, que el Derecho de Acceso a la Información Pública es un Derecho Humano reconocido en el Pacto de Derechos Civiles y Políticos en su artículo 19.2; en la Convención Americana sobre Derechos Humanos en su artículo 13.1, así como en el artículo 6°, apartado A), fracción I de la Constitución Política de los Estados Unidos Mexicanos, el cual establece que toda la información en posesión de cualquier autoridad es pública y sólo podrá ser reservada temporalmente por razones de interés público.</w:t>
      </w:r>
    </w:p>
    <w:p w:rsidR="00E40FE1" w:rsidRPr="00922B93" w:rsidRDefault="00E40FE1" w:rsidP="00922B93">
      <w:pPr>
        <w:pBdr>
          <w:top w:val="nil"/>
          <w:left w:val="nil"/>
          <w:bottom w:val="nil"/>
          <w:right w:val="nil"/>
          <w:between w:val="nil"/>
        </w:pBdr>
        <w:tabs>
          <w:tab w:val="left" w:pos="0"/>
          <w:tab w:val="left" w:pos="426"/>
          <w:tab w:val="left" w:pos="567"/>
        </w:tabs>
        <w:spacing w:line="360" w:lineRule="auto"/>
        <w:jc w:val="both"/>
        <w:rPr>
          <w:rFonts w:ascii="Palatino Linotype" w:eastAsia="Palatino Linotype" w:hAnsi="Palatino Linotype" w:cs="Palatino Linotype"/>
          <w:color w:val="000000" w:themeColor="text1"/>
        </w:rPr>
      </w:pPr>
    </w:p>
    <w:p w:rsidR="00E40FE1" w:rsidRPr="00922B93" w:rsidRDefault="0010134C" w:rsidP="00922B93">
      <w:pPr>
        <w:numPr>
          <w:ilvl w:val="0"/>
          <w:numId w:val="2"/>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922B93">
        <w:rPr>
          <w:rFonts w:ascii="Palatino Linotype" w:eastAsia="Palatino Linotype" w:hAnsi="Palatino Linotype" w:cs="Palatino Linotype"/>
          <w:color w:val="000000" w:themeColor="text1"/>
        </w:rPr>
        <w:t xml:space="preserve">Por su parte, la Ley General de Transparencia y Acceso a la Información Pública, dispone en su artículo 70 que la información que corresponde a las Obligaciones de Transparencia debe estar disponible para cualquier persona de manera permanente y actualizada. En materia local, el artículo 5°, fracción I de la Constitución Política del Estado Libre y Soberano de México, es coincidente con la Constitución Federal, en el sentido de la publicidad de toda la información, con la única restricción de proteger el interés público, </w:t>
      </w:r>
      <w:r w:rsidRPr="00922B93">
        <w:rPr>
          <w:rFonts w:ascii="Palatino Linotype" w:eastAsia="Palatino Linotype" w:hAnsi="Palatino Linotype" w:cs="Palatino Linotype"/>
          <w:color w:val="000000" w:themeColor="text1"/>
        </w:rPr>
        <w:lastRenderedPageBreak/>
        <w:t>así como la información referente a la intimidad de la vida privada y la imagen de las personas, con las excepciones que establezca la ley reglamentaria.</w:t>
      </w:r>
    </w:p>
    <w:p w:rsidR="00E40FE1" w:rsidRPr="00922B93" w:rsidRDefault="00E40FE1" w:rsidP="00922B93">
      <w:pPr>
        <w:tabs>
          <w:tab w:val="left" w:pos="0"/>
        </w:tabs>
        <w:spacing w:line="360" w:lineRule="auto"/>
        <w:jc w:val="both"/>
        <w:rPr>
          <w:rFonts w:ascii="Palatino Linotype" w:eastAsia="Palatino Linotype" w:hAnsi="Palatino Linotype" w:cs="Palatino Linotype"/>
          <w:color w:val="000000" w:themeColor="text1"/>
        </w:rPr>
      </w:pPr>
    </w:p>
    <w:p w:rsidR="00E40FE1" w:rsidRPr="00922B93" w:rsidRDefault="0010134C" w:rsidP="00922B93">
      <w:pPr>
        <w:numPr>
          <w:ilvl w:val="0"/>
          <w:numId w:val="2"/>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922B93">
        <w:rPr>
          <w:rFonts w:ascii="Palatino Linotype" w:eastAsia="Palatino Linotype" w:hAnsi="Palatino Linotype" w:cs="Palatino Linotype"/>
          <w:color w:val="000000" w:themeColor="text1"/>
        </w:rPr>
        <w:t>En el mismo sentido, la Ley de Transparencia y Acceso a la Información Pública del Estado de México y Municipios (Reglamentaria del artículo 5° de la Constitución Local), establece en su artículo 12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6F1C9E" w:rsidRPr="00922B93" w:rsidRDefault="006F1C9E" w:rsidP="00922B93">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E40FE1" w:rsidRPr="00922B93" w:rsidRDefault="0010134C" w:rsidP="00922B93">
      <w:pPr>
        <w:numPr>
          <w:ilvl w:val="0"/>
          <w:numId w:val="2"/>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922B93">
        <w:rPr>
          <w:rFonts w:ascii="Palatino Linotype" w:eastAsia="Palatino Linotype" w:hAnsi="Palatino Linotype" w:cs="Palatino Linotype"/>
          <w:color w:val="000000" w:themeColor="text1"/>
        </w:rPr>
        <w:t>Finalmente,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E40FE1" w:rsidRPr="00922B93" w:rsidRDefault="00E40FE1" w:rsidP="00922B93">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E40FE1" w:rsidRPr="00922B93" w:rsidRDefault="0010134C" w:rsidP="00922B93">
      <w:pPr>
        <w:numPr>
          <w:ilvl w:val="0"/>
          <w:numId w:val="2"/>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922B93">
        <w:rPr>
          <w:rFonts w:ascii="Palatino Linotype" w:eastAsia="Palatino Linotype" w:hAnsi="Palatino Linotype" w:cs="Palatino Linotype"/>
          <w:color w:val="000000" w:themeColor="text1"/>
        </w:rPr>
        <w:t xml:space="preserve">Acotada la Litis del presente asunto, se reiterar la información solicitada por la parte </w:t>
      </w:r>
      <w:r w:rsidRPr="00922B93">
        <w:rPr>
          <w:rFonts w:ascii="Palatino Linotype" w:eastAsia="Palatino Linotype" w:hAnsi="Palatino Linotype" w:cs="Palatino Linotype"/>
          <w:b/>
          <w:color w:val="000000" w:themeColor="text1"/>
        </w:rPr>
        <w:t xml:space="preserve">RECURRENTE </w:t>
      </w:r>
      <w:r w:rsidRPr="00922B93">
        <w:rPr>
          <w:rFonts w:ascii="Palatino Linotype" w:eastAsia="Palatino Linotype" w:hAnsi="Palatino Linotype" w:cs="Palatino Linotype"/>
          <w:color w:val="000000" w:themeColor="text1"/>
        </w:rPr>
        <w:t xml:space="preserve">y la respuesta emitida por el </w:t>
      </w:r>
      <w:r w:rsidRPr="00922B93">
        <w:rPr>
          <w:rFonts w:ascii="Palatino Linotype" w:eastAsia="Palatino Linotype" w:hAnsi="Palatino Linotype" w:cs="Palatino Linotype"/>
          <w:b/>
          <w:color w:val="000000" w:themeColor="text1"/>
        </w:rPr>
        <w:t>SUJETO OBLIGADO</w:t>
      </w:r>
      <w:r w:rsidRPr="00922B93">
        <w:rPr>
          <w:rFonts w:ascii="Palatino Linotype" w:eastAsia="Palatino Linotype" w:hAnsi="Palatino Linotype" w:cs="Palatino Linotype"/>
          <w:color w:val="000000" w:themeColor="text1"/>
        </w:rPr>
        <w:t>, mediante el siguiente cuadro descriptivo</w:t>
      </w:r>
    </w:p>
    <w:p w:rsidR="00E40FE1" w:rsidRPr="00922B93" w:rsidRDefault="00E40FE1" w:rsidP="00922B93">
      <w:pPr>
        <w:pBdr>
          <w:top w:val="nil"/>
          <w:left w:val="nil"/>
          <w:bottom w:val="nil"/>
          <w:right w:val="nil"/>
          <w:between w:val="nil"/>
        </w:pBdr>
        <w:tabs>
          <w:tab w:val="left" w:pos="0"/>
        </w:tabs>
        <w:ind w:left="720"/>
        <w:rPr>
          <w:rFonts w:ascii="Palatino Linotype" w:eastAsia="Palatino Linotype" w:hAnsi="Palatino Linotype" w:cs="Palatino Linotype"/>
          <w:color w:val="000000" w:themeColor="text1"/>
        </w:rPr>
      </w:pPr>
    </w:p>
    <w:tbl>
      <w:tblPr>
        <w:tblStyle w:val="a8"/>
        <w:tblW w:w="94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3685"/>
        <w:gridCol w:w="2978"/>
      </w:tblGrid>
      <w:tr w:rsidR="00922B93" w:rsidRPr="00922B93" w:rsidTr="003D029A">
        <w:tc>
          <w:tcPr>
            <w:tcW w:w="2830" w:type="dxa"/>
            <w:shd w:val="clear" w:color="auto" w:fill="D9D9D9"/>
          </w:tcPr>
          <w:p w:rsidR="00E40FE1" w:rsidRPr="00922B93" w:rsidRDefault="0010134C" w:rsidP="00922B93">
            <w:pPr>
              <w:tabs>
                <w:tab w:val="left" w:pos="0"/>
              </w:tabs>
              <w:spacing w:line="360" w:lineRule="auto"/>
              <w:jc w:val="center"/>
              <w:rPr>
                <w:rFonts w:ascii="Palatino Linotype" w:eastAsia="Palatino Linotype" w:hAnsi="Palatino Linotype" w:cs="Palatino Linotype"/>
                <w:b/>
                <w:color w:val="000000" w:themeColor="text1"/>
              </w:rPr>
            </w:pPr>
            <w:r w:rsidRPr="00922B93">
              <w:rPr>
                <w:rFonts w:ascii="Palatino Linotype" w:eastAsia="Palatino Linotype" w:hAnsi="Palatino Linotype" w:cs="Palatino Linotype"/>
                <w:b/>
                <w:color w:val="000000" w:themeColor="text1"/>
              </w:rPr>
              <w:t>Información solicitada</w:t>
            </w:r>
          </w:p>
        </w:tc>
        <w:tc>
          <w:tcPr>
            <w:tcW w:w="3685" w:type="dxa"/>
            <w:shd w:val="clear" w:color="auto" w:fill="D9D9D9"/>
          </w:tcPr>
          <w:p w:rsidR="00E40FE1" w:rsidRPr="00922B93" w:rsidRDefault="0010134C" w:rsidP="00922B93">
            <w:pPr>
              <w:tabs>
                <w:tab w:val="left" w:pos="0"/>
              </w:tabs>
              <w:spacing w:line="360" w:lineRule="auto"/>
              <w:jc w:val="center"/>
              <w:rPr>
                <w:rFonts w:ascii="Palatino Linotype" w:eastAsia="Palatino Linotype" w:hAnsi="Palatino Linotype" w:cs="Palatino Linotype"/>
                <w:b/>
                <w:color w:val="000000" w:themeColor="text1"/>
              </w:rPr>
            </w:pPr>
            <w:r w:rsidRPr="00922B93">
              <w:rPr>
                <w:rFonts w:ascii="Palatino Linotype" w:eastAsia="Palatino Linotype" w:hAnsi="Palatino Linotype" w:cs="Palatino Linotype"/>
                <w:b/>
                <w:color w:val="000000" w:themeColor="text1"/>
              </w:rPr>
              <w:t>Respuesta</w:t>
            </w:r>
          </w:p>
        </w:tc>
        <w:tc>
          <w:tcPr>
            <w:tcW w:w="2978" w:type="dxa"/>
            <w:shd w:val="clear" w:color="auto" w:fill="D9D9D9"/>
          </w:tcPr>
          <w:p w:rsidR="00E40FE1" w:rsidRPr="00922B93" w:rsidRDefault="0010134C" w:rsidP="00922B93">
            <w:pPr>
              <w:tabs>
                <w:tab w:val="left" w:pos="0"/>
              </w:tabs>
              <w:spacing w:line="360" w:lineRule="auto"/>
              <w:jc w:val="center"/>
              <w:rPr>
                <w:rFonts w:ascii="Palatino Linotype" w:eastAsia="Palatino Linotype" w:hAnsi="Palatino Linotype" w:cs="Palatino Linotype"/>
                <w:b/>
                <w:color w:val="000000" w:themeColor="text1"/>
              </w:rPr>
            </w:pPr>
            <w:r w:rsidRPr="00922B93">
              <w:rPr>
                <w:rFonts w:ascii="Palatino Linotype" w:eastAsia="Palatino Linotype" w:hAnsi="Palatino Linotype" w:cs="Palatino Linotype"/>
                <w:b/>
                <w:color w:val="000000" w:themeColor="text1"/>
              </w:rPr>
              <w:t>Comentario</w:t>
            </w:r>
          </w:p>
        </w:tc>
      </w:tr>
      <w:tr w:rsidR="00E40FE1" w:rsidRPr="00922B93" w:rsidTr="003D029A">
        <w:tc>
          <w:tcPr>
            <w:tcW w:w="2830" w:type="dxa"/>
          </w:tcPr>
          <w:p w:rsidR="006F1C9E" w:rsidRPr="00922B93" w:rsidRDefault="006F1C9E" w:rsidP="00922B93">
            <w:pPr>
              <w:pBdr>
                <w:top w:val="nil"/>
                <w:left w:val="nil"/>
                <w:bottom w:val="nil"/>
                <w:right w:val="nil"/>
                <w:between w:val="nil"/>
              </w:pBdr>
              <w:tabs>
                <w:tab w:val="left" w:pos="0"/>
              </w:tabs>
              <w:jc w:val="both"/>
              <w:rPr>
                <w:rFonts w:ascii="Palatino Linotype" w:eastAsia="Palatino Linotype" w:hAnsi="Palatino Linotype" w:cs="Palatino Linotype"/>
                <w:b/>
                <w:i/>
                <w:color w:val="000000" w:themeColor="text1"/>
              </w:rPr>
            </w:pPr>
            <w:r w:rsidRPr="00922B93">
              <w:rPr>
                <w:rFonts w:ascii="Palatino Linotype" w:eastAsia="Palatino Linotype" w:hAnsi="Palatino Linotype" w:cs="Palatino Linotype"/>
                <w:b/>
                <w:color w:val="000000" w:themeColor="text1"/>
              </w:rPr>
              <w:t xml:space="preserve">Pólizas y/o comprobantes digitales de pagos realizados a particulares vía cheque </w:t>
            </w:r>
            <w:r w:rsidRPr="00922B93">
              <w:rPr>
                <w:rFonts w:ascii="Palatino Linotype" w:eastAsia="Palatino Linotype" w:hAnsi="Palatino Linotype" w:cs="Palatino Linotype"/>
                <w:b/>
                <w:color w:val="000000" w:themeColor="text1"/>
              </w:rPr>
              <w:lastRenderedPageBreak/>
              <w:t>o transferencia electrónica durante el mes de abril de 2025.</w:t>
            </w:r>
          </w:p>
          <w:p w:rsidR="00E40FE1" w:rsidRPr="00922B93" w:rsidRDefault="00E40FE1" w:rsidP="00922B93">
            <w:pPr>
              <w:pBdr>
                <w:top w:val="nil"/>
                <w:left w:val="nil"/>
                <w:bottom w:val="nil"/>
                <w:right w:val="nil"/>
                <w:between w:val="nil"/>
              </w:pBdr>
              <w:tabs>
                <w:tab w:val="left" w:pos="0"/>
              </w:tabs>
              <w:jc w:val="both"/>
              <w:rPr>
                <w:rFonts w:ascii="Palatino Linotype" w:eastAsia="Palatino Linotype" w:hAnsi="Palatino Linotype" w:cs="Palatino Linotype"/>
                <w:i/>
                <w:color w:val="000000" w:themeColor="text1"/>
              </w:rPr>
            </w:pPr>
          </w:p>
        </w:tc>
        <w:tc>
          <w:tcPr>
            <w:tcW w:w="3685" w:type="dxa"/>
          </w:tcPr>
          <w:p w:rsidR="00E40FE1" w:rsidRPr="00922B93" w:rsidRDefault="006F1C9E" w:rsidP="00922B93">
            <w:pPr>
              <w:tabs>
                <w:tab w:val="left" w:pos="0"/>
              </w:tabs>
              <w:jc w:val="both"/>
              <w:rPr>
                <w:rFonts w:ascii="Palatino Linotype" w:hAnsi="Palatino Linotype"/>
                <w:b/>
                <w:color w:val="000000" w:themeColor="text1"/>
              </w:rPr>
            </w:pPr>
            <w:r w:rsidRPr="00922B93">
              <w:rPr>
                <w:rFonts w:ascii="Palatino Linotype" w:hAnsi="Palatino Linotype"/>
                <w:color w:val="000000" w:themeColor="text1"/>
              </w:rPr>
              <w:lastRenderedPageBreak/>
              <w:t>El Tesorero Municipal, refirió que cualquier pago realizado a proveedores</w:t>
            </w:r>
            <w:r w:rsidRPr="00922B93">
              <w:rPr>
                <w:rFonts w:ascii="Palatino Linotype" w:hAnsi="Palatino Linotype"/>
                <w:b/>
                <w:color w:val="000000" w:themeColor="text1"/>
              </w:rPr>
              <w:t xml:space="preserve"> </w:t>
            </w:r>
            <w:r w:rsidRPr="00922B93">
              <w:rPr>
                <w:rFonts w:ascii="Palatino Linotype" w:hAnsi="Palatino Linotype"/>
                <w:color w:val="000000" w:themeColor="text1"/>
              </w:rPr>
              <w:t xml:space="preserve">así como los documentos que amparan las </w:t>
            </w:r>
            <w:r w:rsidRPr="00922B93">
              <w:rPr>
                <w:rFonts w:ascii="Palatino Linotype" w:hAnsi="Palatino Linotype"/>
                <w:color w:val="000000" w:themeColor="text1"/>
              </w:rPr>
              <w:lastRenderedPageBreak/>
              <w:t>facturas o transferencias son parte integral de las pólizas contables, las cuales forman parte del segundo Informe Trimestral 2025, información que se encuentra en proceso para ser entregado al Órgano Superior de Fiscalización del Estado de México (OSFEM), por lo cual la Tesorería Municipal está imposibilitada para entregar dicha información.</w:t>
            </w:r>
          </w:p>
        </w:tc>
        <w:tc>
          <w:tcPr>
            <w:tcW w:w="2978" w:type="dxa"/>
          </w:tcPr>
          <w:p w:rsidR="00E40FE1" w:rsidRPr="00922B93" w:rsidRDefault="00491D24" w:rsidP="00922B93">
            <w:pPr>
              <w:tabs>
                <w:tab w:val="left" w:pos="0"/>
              </w:tabs>
              <w:jc w:val="both"/>
              <w:rPr>
                <w:rFonts w:ascii="Palatino Linotype" w:eastAsia="Palatino Linotype" w:hAnsi="Palatino Linotype" w:cs="Palatino Linotype"/>
                <w:color w:val="000000" w:themeColor="text1"/>
              </w:rPr>
            </w:pPr>
            <w:r w:rsidRPr="00922B93">
              <w:rPr>
                <w:rFonts w:ascii="Palatino Linotype" w:eastAsia="Palatino Linotype" w:hAnsi="Palatino Linotype" w:cs="Palatino Linotype"/>
                <w:color w:val="000000" w:themeColor="text1"/>
              </w:rPr>
              <w:lastRenderedPageBreak/>
              <w:t xml:space="preserve">La respuesta emitida </w:t>
            </w:r>
            <w:r w:rsidRPr="00922B93">
              <w:rPr>
                <w:rFonts w:ascii="Palatino Linotype" w:eastAsia="Palatino Linotype" w:hAnsi="Palatino Linotype" w:cs="Palatino Linotype"/>
                <w:b/>
                <w:color w:val="000000" w:themeColor="text1"/>
              </w:rPr>
              <w:t xml:space="preserve">no colma </w:t>
            </w:r>
            <w:r w:rsidRPr="00922B93">
              <w:rPr>
                <w:rFonts w:ascii="Palatino Linotype" w:eastAsia="Palatino Linotype" w:hAnsi="Palatino Linotype" w:cs="Palatino Linotype"/>
                <w:color w:val="000000" w:themeColor="text1"/>
              </w:rPr>
              <w:t xml:space="preserve">el requerimiento de información, ya que no se </w:t>
            </w:r>
            <w:r w:rsidRPr="00922B93">
              <w:rPr>
                <w:rFonts w:ascii="Palatino Linotype" w:eastAsia="Palatino Linotype" w:hAnsi="Palatino Linotype" w:cs="Palatino Linotype"/>
                <w:color w:val="000000" w:themeColor="text1"/>
              </w:rPr>
              <w:lastRenderedPageBreak/>
              <w:t>proporcionó la información requerida.</w:t>
            </w:r>
          </w:p>
        </w:tc>
      </w:tr>
    </w:tbl>
    <w:p w:rsidR="00E40FE1" w:rsidRPr="00922B93" w:rsidRDefault="00E40FE1" w:rsidP="00922B93">
      <w:pPr>
        <w:pBdr>
          <w:top w:val="nil"/>
          <w:left w:val="nil"/>
          <w:bottom w:val="nil"/>
          <w:right w:val="nil"/>
          <w:between w:val="nil"/>
        </w:pBdr>
        <w:tabs>
          <w:tab w:val="left" w:pos="0"/>
        </w:tabs>
        <w:rPr>
          <w:rFonts w:ascii="Palatino Linotype" w:eastAsia="Palatino Linotype" w:hAnsi="Palatino Linotype" w:cs="Palatino Linotype"/>
          <w:color w:val="000000" w:themeColor="text1"/>
        </w:rPr>
      </w:pPr>
    </w:p>
    <w:p w:rsidR="00E40FE1" w:rsidRPr="00922B93" w:rsidRDefault="0010134C" w:rsidP="00922B93">
      <w:pPr>
        <w:numPr>
          <w:ilvl w:val="0"/>
          <w:numId w:val="2"/>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r w:rsidRPr="00922B93">
        <w:rPr>
          <w:rFonts w:ascii="Palatino Linotype" w:eastAsia="Palatino Linotype" w:hAnsi="Palatino Linotype" w:cs="Palatino Linotype"/>
          <w:color w:val="000000" w:themeColor="text1"/>
        </w:rPr>
        <w:t xml:space="preserve">En consecuencia, el </w:t>
      </w:r>
      <w:r w:rsidRPr="00922B93">
        <w:rPr>
          <w:rFonts w:ascii="Palatino Linotype" w:eastAsia="Palatino Linotype" w:hAnsi="Palatino Linotype" w:cs="Palatino Linotype"/>
          <w:b/>
          <w:color w:val="000000" w:themeColor="text1"/>
        </w:rPr>
        <w:t xml:space="preserve">RECURRENTE </w:t>
      </w:r>
      <w:r w:rsidRPr="00922B93">
        <w:rPr>
          <w:rFonts w:ascii="Palatino Linotype" w:eastAsia="Palatino Linotype" w:hAnsi="Palatino Linotype" w:cs="Palatino Linotype"/>
          <w:color w:val="000000" w:themeColor="text1"/>
        </w:rPr>
        <w:t xml:space="preserve">interpuso recurso de revisión en el que se inconformó por </w:t>
      </w:r>
      <w:r w:rsidRPr="00922B93">
        <w:rPr>
          <w:rFonts w:ascii="Palatino Linotype" w:eastAsia="Palatino Linotype" w:hAnsi="Palatino Linotype" w:cs="Palatino Linotype"/>
          <w:b/>
          <w:color w:val="000000" w:themeColor="text1"/>
        </w:rPr>
        <w:t>la negativa de la información solicitada.</w:t>
      </w:r>
    </w:p>
    <w:p w:rsidR="00E40FE1" w:rsidRPr="00922B93" w:rsidRDefault="00E40FE1" w:rsidP="00922B93">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491D24" w:rsidRPr="00922B93" w:rsidRDefault="0010134C" w:rsidP="00922B93">
      <w:pPr>
        <w:numPr>
          <w:ilvl w:val="0"/>
          <w:numId w:val="2"/>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922B93">
        <w:rPr>
          <w:rFonts w:ascii="Palatino Linotype" w:eastAsia="Palatino Linotype" w:hAnsi="Palatino Linotype" w:cs="Palatino Linotype"/>
          <w:color w:val="000000" w:themeColor="text1"/>
        </w:rPr>
        <w:t xml:space="preserve">En atención a lo expuesto, es necesario señalar que se obvia el análisis de la competencia por parte del </w:t>
      </w:r>
      <w:r w:rsidRPr="00922B93">
        <w:rPr>
          <w:rFonts w:ascii="Palatino Linotype" w:eastAsia="Palatino Linotype" w:hAnsi="Palatino Linotype" w:cs="Palatino Linotype"/>
          <w:b/>
          <w:color w:val="000000" w:themeColor="text1"/>
        </w:rPr>
        <w:t>SUJETO OBLIGADO</w:t>
      </w:r>
      <w:r w:rsidRPr="00922B93">
        <w:rPr>
          <w:rFonts w:ascii="Palatino Linotype" w:eastAsia="Palatino Linotype" w:hAnsi="Palatino Linotype" w:cs="Palatino Linotype"/>
          <w:color w:val="000000" w:themeColor="text1"/>
        </w:rPr>
        <w:t xml:space="preserve">, para generar, administrar o poseer la información solicitada, dado que éste ha asumido la misma, tan es así que </w:t>
      </w:r>
      <w:r w:rsidR="00491D24" w:rsidRPr="00922B93">
        <w:rPr>
          <w:rFonts w:ascii="Palatino Linotype" w:eastAsia="Palatino Linotype" w:hAnsi="Palatino Linotype" w:cs="Palatino Linotype"/>
          <w:color w:val="000000" w:themeColor="text1"/>
        </w:rPr>
        <w:t xml:space="preserve">manifestó </w:t>
      </w:r>
      <w:r w:rsidR="006F1C9E" w:rsidRPr="00922B93">
        <w:rPr>
          <w:rFonts w:ascii="Palatino Linotype" w:eastAsia="Palatino Linotype" w:hAnsi="Palatino Linotype" w:cs="Palatino Linotype"/>
          <w:color w:val="000000" w:themeColor="text1"/>
        </w:rPr>
        <w:t xml:space="preserve">que esta </w:t>
      </w:r>
      <w:r w:rsidR="006F1C9E" w:rsidRPr="00922B93">
        <w:rPr>
          <w:rFonts w:ascii="Palatino Linotype" w:hAnsi="Palatino Linotype"/>
          <w:color w:val="000000" w:themeColor="text1"/>
        </w:rPr>
        <w:t>se encuentra en proceso para ser entregado al Órgano Superior de Fiscalización del Estado de México (OSFEM)</w:t>
      </w:r>
      <w:r w:rsidR="006F1C9E" w:rsidRPr="00922B93">
        <w:rPr>
          <w:rFonts w:ascii="Palatino Linotype" w:eastAsia="Palatino Linotype" w:hAnsi="Palatino Linotype" w:cs="Palatino Linotype"/>
          <w:i/>
          <w:color w:val="000000" w:themeColor="text1"/>
        </w:rPr>
        <w:t>.</w:t>
      </w:r>
    </w:p>
    <w:p w:rsidR="006F1C9E" w:rsidRPr="00922B93" w:rsidRDefault="006F1C9E" w:rsidP="00922B93">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E40FE1" w:rsidRPr="00922B93" w:rsidRDefault="0010134C" w:rsidP="00922B93">
      <w:pPr>
        <w:numPr>
          <w:ilvl w:val="0"/>
          <w:numId w:val="2"/>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922B93">
        <w:rPr>
          <w:rFonts w:ascii="Palatino Linotype" w:eastAsia="Palatino Linotype" w:hAnsi="Palatino Linotype" w:cs="Palatino Linotype"/>
          <w:color w:val="000000" w:themeColor="text1"/>
        </w:rPr>
        <w:t>Ahora bien, el hecho de que el</w:t>
      </w:r>
      <w:r w:rsidRPr="00922B93">
        <w:rPr>
          <w:rFonts w:ascii="Palatino Linotype" w:eastAsia="Palatino Linotype" w:hAnsi="Palatino Linotype" w:cs="Palatino Linotype"/>
          <w:b/>
          <w:color w:val="000000" w:themeColor="text1"/>
        </w:rPr>
        <w:t xml:space="preserve"> SUJETO OBLIGADO</w:t>
      </w:r>
      <w:r w:rsidRPr="00922B93">
        <w:rPr>
          <w:rFonts w:ascii="Palatino Linotype" w:eastAsia="Palatino Linotype" w:hAnsi="Palatino Linotype" w:cs="Palatino Linotype"/>
          <w:color w:val="000000" w:themeColor="text1"/>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rsidR="00E40FE1" w:rsidRPr="00922B93" w:rsidRDefault="00E40FE1" w:rsidP="00922B93">
      <w:pPr>
        <w:tabs>
          <w:tab w:val="left" w:pos="0"/>
        </w:tabs>
        <w:jc w:val="both"/>
        <w:rPr>
          <w:rFonts w:ascii="Palatino Linotype" w:eastAsia="Palatino Linotype" w:hAnsi="Palatino Linotype" w:cs="Palatino Linotype"/>
          <w:color w:val="000000" w:themeColor="text1"/>
        </w:rPr>
      </w:pPr>
    </w:p>
    <w:p w:rsidR="00E40FE1" w:rsidRPr="00922B93" w:rsidRDefault="0010134C" w:rsidP="00922B93">
      <w:pPr>
        <w:shd w:val="clear" w:color="auto" w:fill="FFFFFF"/>
        <w:tabs>
          <w:tab w:val="left" w:pos="0"/>
        </w:tabs>
        <w:ind w:left="567"/>
        <w:jc w:val="both"/>
        <w:rPr>
          <w:rFonts w:ascii="Palatino Linotype" w:eastAsia="Palatino Linotype" w:hAnsi="Palatino Linotype" w:cs="Palatino Linotype"/>
          <w:i/>
          <w:color w:val="000000" w:themeColor="text1"/>
        </w:rPr>
      </w:pPr>
      <w:r w:rsidRPr="00922B93">
        <w:rPr>
          <w:rFonts w:ascii="Palatino Linotype" w:eastAsia="Palatino Linotype" w:hAnsi="Palatino Linotype" w:cs="Palatino Linotype"/>
          <w:i/>
          <w:color w:val="000000" w:themeColor="text1"/>
        </w:rPr>
        <w:lastRenderedPageBreak/>
        <w:t>“</w:t>
      </w:r>
      <w:r w:rsidRPr="00922B93">
        <w:rPr>
          <w:rFonts w:ascii="Palatino Linotype" w:eastAsia="Palatino Linotype" w:hAnsi="Palatino Linotype" w:cs="Palatino Linotype"/>
          <w:b/>
          <w:i/>
          <w:color w:val="000000" w:themeColor="text1"/>
        </w:rPr>
        <w:t>Artículo 12.</w:t>
      </w:r>
      <w:r w:rsidRPr="00922B93">
        <w:rPr>
          <w:rFonts w:ascii="Palatino Linotype" w:eastAsia="Palatino Linotype" w:hAnsi="Palatino Linotype" w:cs="Palatino Linotype"/>
          <w:i/>
          <w:color w:val="000000" w:themeColor="text1"/>
        </w:rPr>
        <w:t> Quienes generen, recopilen, administren, manejen, procesen, archiven o conserven información pública serán responsables de la misma en los términos de las disposiciones jurídicas aplicables.</w:t>
      </w:r>
    </w:p>
    <w:p w:rsidR="00E40FE1" w:rsidRPr="00922B93" w:rsidRDefault="00E40FE1" w:rsidP="00922B93">
      <w:pPr>
        <w:shd w:val="clear" w:color="auto" w:fill="FFFFFF"/>
        <w:tabs>
          <w:tab w:val="left" w:pos="0"/>
        </w:tabs>
        <w:ind w:left="567"/>
        <w:jc w:val="both"/>
        <w:rPr>
          <w:rFonts w:ascii="Palatino Linotype" w:eastAsia="Palatino Linotype" w:hAnsi="Palatino Linotype" w:cs="Palatino Linotype"/>
          <w:color w:val="000000" w:themeColor="text1"/>
        </w:rPr>
      </w:pPr>
    </w:p>
    <w:p w:rsidR="00E40FE1" w:rsidRPr="00922B93" w:rsidRDefault="0010134C" w:rsidP="00922B93">
      <w:pPr>
        <w:shd w:val="clear" w:color="auto" w:fill="FFFFFF"/>
        <w:tabs>
          <w:tab w:val="left" w:pos="0"/>
        </w:tabs>
        <w:ind w:left="567"/>
        <w:jc w:val="both"/>
        <w:rPr>
          <w:rFonts w:ascii="Palatino Linotype" w:eastAsia="Palatino Linotype" w:hAnsi="Palatino Linotype" w:cs="Palatino Linotype"/>
          <w:i/>
          <w:color w:val="000000" w:themeColor="text1"/>
        </w:rPr>
      </w:pPr>
      <w:r w:rsidRPr="00922B93">
        <w:rPr>
          <w:rFonts w:ascii="Palatino Linotype" w:eastAsia="Palatino Linotype" w:hAnsi="Palatino Linotype" w:cs="Palatino Linotype"/>
          <w:i/>
          <w:color w:val="000000" w:themeColor="text1"/>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E40FE1" w:rsidRPr="00922B93" w:rsidRDefault="00E40FE1" w:rsidP="00922B93">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6F1C9E" w:rsidRPr="00922B93" w:rsidRDefault="006F1C9E" w:rsidP="00922B93">
      <w:pPr>
        <w:numPr>
          <w:ilvl w:val="0"/>
          <w:numId w:val="2"/>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922B93">
        <w:rPr>
          <w:rFonts w:ascii="Palatino Linotype" w:eastAsia="Palatino Linotype" w:hAnsi="Palatino Linotype" w:cs="Palatino Linotype"/>
          <w:color w:val="000000" w:themeColor="text1"/>
        </w:rPr>
        <w:t>No obstante, resulta conveniente reiterar que el</w:t>
      </w:r>
      <w:r w:rsidRPr="00922B93">
        <w:rPr>
          <w:rFonts w:ascii="Palatino Linotype" w:eastAsia="Palatino Linotype" w:hAnsi="Palatino Linotype" w:cs="Palatino Linotype"/>
          <w:b/>
          <w:color w:val="000000" w:themeColor="text1"/>
        </w:rPr>
        <w:t xml:space="preserve"> SUJETO OBLIGADO </w:t>
      </w:r>
      <w:r w:rsidRPr="00922B93">
        <w:rPr>
          <w:rFonts w:ascii="Palatino Linotype" w:eastAsia="Palatino Linotype" w:hAnsi="Palatino Linotype" w:cs="Palatino Linotype"/>
          <w:color w:val="000000" w:themeColor="text1"/>
        </w:rPr>
        <w:t xml:space="preserve">refirió la imposibilidad para hacer entrega de la información solicitada, argumentando </w:t>
      </w:r>
      <w:r w:rsidRPr="00922B93">
        <w:rPr>
          <w:rFonts w:ascii="Palatino Linotype" w:hAnsi="Palatino Linotype"/>
          <w:color w:val="000000" w:themeColor="text1"/>
        </w:rPr>
        <w:t xml:space="preserve">que se encuentra en proceso de integración y digitalización para ser entregada al Órgano Superior de Fiscalización del Estado de México (OSFEM), por lo que contrario a lo manifestado, </w:t>
      </w:r>
      <w:r w:rsidRPr="00922B93">
        <w:rPr>
          <w:rFonts w:ascii="Palatino Linotype" w:eastAsia="Palatino Linotype" w:hAnsi="Palatino Linotype" w:cs="Palatino Linotype"/>
          <w:color w:val="000000" w:themeColor="text1"/>
        </w:rPr>
        <w:t>se colige que la información solicitada consta en documentos definitivos.</w:t>
      </w:r>
    </w:p>
    <w:p w:rsidR="006F1C9E" w:rsidRPr="00922B93" w:rsidRDefault="006F1C9E" w:rsidP="00922B93">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6F1C9E" w:rsidRPr="00922B93" w:rsidRDefault="006F1C9E" w:rsidP="00922B93">
      <w:pPr>
        <w:numPr>
          <w:ilvl w:val="0"/>
          <w:numId w:val="2"/>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922B93">
        <w:rPr>
          <w:rFonts w:ascii="Palatino Linotype" w:eastAsia="Palatino Linotype" w:hAnsi="Palatino Linotype" w:cs="Palatino Linotype"/>
          <w:color w:val="000000" w:themeColor="text1"/>
        </w:rPr>
        <w:t>Por ello, resulta prudente tomar en consideración lo plasmado en el criterio 09/2004 emitido por la Suprema Corte de Justicia de la Nación, que por analogía se aplica al caso concreto, y que a la letra establece que:</w:t>
      </w:r>
    </w:p>
    <w:p w:rsidR="006F1C9E" w:rsidRPr="00922B93" w:rsidRDefault="006F1C9E" w:rsidP="00922B93">
      <w:pPr>
        <w:tabs>
          <w:tab w:val="left" w:pos="0"/>
        </w:tabs>
        <w:spacing w:line="276" w:lineRule="auto"/>
        <w:ind w:left="567"/>
        <w:jc w:val="both"/>
        <w:rPr>
          <w:rFonts w:ascii="Palatino Linotype" w:eastAsia="Palatino Linotype" w:hAnsi="Palatino Linotype" w:cs="Palatino Linotype"/>
          <w:i/>
          <w:color w:val="000000" w:themeColor="text1"/>
        </w:rPr>
      </w:pPr>
      <w:r w:rsidRPr="00922B93">
        <w:rPr>
          <w:rFonts w:ascii="Palatino Linotype" w:eastAsia="Palatino Linotype" w:hAnsi="Palatino Linotype" w:cs="Palatino Linotype"/>
          <w:i/>
          <w:color w:val="000000" w:themeColor="text1"/>
        </w:rPr>
        <w:t>"</w:t>
      </w:r>
      <w:r w:rsidRPr="00922B93">
        <w:rPr>
          <w:rFonts w:ascii="Palatino Linotype" w:eastAsia="Palatino Linotype" w:hAnsi="Palatino Linotype" w:cs="Palatino Linotype"/>
          <w:b/>
          <w:i/>
          <w:color w:val="000000" w:themeColor="text1"/>
        </w:rPr>
        <w:t>INFORMACIÓN SUJETA A REVISIÓN. SI YA CONSTA EN UN DOCUMENTO DEFINITIVO, DEBE PERMITIRSE EL ACCESO A ÉSTE.</w:t>
      </w:r>
      <w:r w:rsidRPr="00922B93">
        <w:rPr>
          <w:rFonts w:ascii="Palatino Linotype" w:eastAsia="Palatino Linotype" w:hAnsi="Palatino Linotype" w:cs="Palatino Linotype"/>
          <w:i/>
          <w:color w:val="000000" w:themeColor="text1"/>
        </w:rPr>
        <w:t xml:space="preserve"> Para el otorgamiento del acceso a la información que consta en un documento definitivo, no obsta que el mismo se encuentre sujeto a un proceso de revisión, pues la información existe y se encuentra plasmada en un documento que está bajo el resguardo de la Suprema Corte de Justicia de la Nación, en una de sus unidades administrativas y aun cuando se esté procesando para ser publicada en diversa presentación. Ello no implica su falta de disponibilidad en la modalidad que se requirió, por lo que debe darse acceso a la misma en los términos solicitados, en aras de una total y absoluta transparencia de la información bajo el resguardo de este Alto Tribunal, independientemente de que en un futuro se cuente con una presentación distinta Clasificación de la información 10/2004-J, 19 de mayo de 2004. Unanimidad de votos"</w:t>
      </w:r>
    </w:p>
    <w:p w:rsidR="006F1C9E" w:rsidRPr="00922B93" w:rsidRDefault="006F1C9E" w:rsidP="00922B93">
      <w:pPr>
        <w:pStyle w:val="Prrafodelista"/>
        <w:numPr>
          <w:ilvl w:val="0"/>
          <w:numId w:val="2"/>
        </w:numPr>
        <w:tabs>
          <w:tab w:val="left" w:pos="0"/>
        </w:tabs>
        <w:spacing w:line="360" w:lineRule="auto"/>
        <w:jc w:val="both"/>
        <w:rPr>
          <w:rFonts w:ascii="Palatino Linotype" w:eastAsia="Palatino Linotype" w:hAnsi="Palatino Linotype" w:cs="Palatino Linotype"/>
          <w:color w:val="000000" w:themeColor="text1"/>
        </w:rPr>
      </w:pPr>
      <w:r w:rsidRPr="00922B93">
        <w:rPr>
          <w:rFonts w:ascii="Palatino Linotype" w:eastAsia="Palatino Linotype" w:hAnsi="Palatino Linotype" w:cs="Palatino Linotype"/>
          <w:color w:val="000000" w:themeColor="text1"/>
        </w:rPr>
        <w:lastRenderedPageBreak/>
        <w:t>Del anterior criterio se puede deducir que para el caso de acceso sobre documentos que se encuentren en un proceso de revisión no debe implicar la falta de estos, siempre que sean definitivos, por lo que deberá permitirse el acceso a los mismos.</w:t>
      </w:r>
    </w:p>
    <w:p w:rsidR="006F1C9E" w:rsidRPr="00922B93" w:rsidRDefault="006F1C9E" w:rsidP="00922B93">
      <w:pPr>
        <w:pStyle w:val="Prrafodelista"/>
        <w:tabs>
          <w:tab w:val="left" w:pos="0"/>
        </w:tabs>
        <w:spacing w:line="360" w:lineRule="auto"/>
        <w:ind w:left="0"/>
        <w:jc w:val="both"/>
        <w:rPr>
          <w:rFonts w:ascii="Palatino Linotype" w:eastAsia="Palatino Linotype" w:hAnsi="Palatino Linotype" w:cs="Palatino Linotype"/>
          <w:color w:val="000000" w:themeColor="text1"/>
        </w:rPr>
      </w:pPr>
    </w:p>
    <w:p w:rsidR="006F1C9E" w:rsidRPr="00922B93" w:rsidRDefault="0010134C" w:rsidP="00922B93">
      <w:pPr>
        <w:numPr>
          <w:ilvl w:val="0"/>
          <w:numId w:val="2"/>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922B93">
        <w:rPr>
          <w:rFonts w:ascii="Palatino Linotype" w:eastAsia="Palatino Linotype" w:hAnsi="Palatino Linotype" w:cs="Palatino Linotype"/>
          <w:color w:val="000000" w:themeColor="text1"/>
        </w:rPr>
        <w:t xml:space="preserve">Precisado lo anterior, resulta conveniente mencionar que </w:t>
      </w:r>
      <w:r w:rsidR="006F1C9E" w:rsidRPr="00922B93">
        <w:rPr>
          <w:rFonts w:ascii="Palatino Linotype" w:hAnsi="Palatino Linotype"/>
          <w:color w:val="000000" w:themeColor="text1"/>
        </w:rPr>
        <w:t>los artículos 342, 343, 344 y 345, del Código Financiero del Estado de México y Municipios, disponen el sistema y las políticas que deben seguirse para llevar el registro contable y presupuestal de las operaciones financieras que llevan a cabo los Municipios del Estado de México, en los siguientes términos:</w:t>
      </w:r>
    </w:p>
    <w:p w:rsidR="006F1C9E" w:rsidRPr="00922B93" w:rsidRDefault="006F1C9E" w:rsidP="00922B93">
      <w:pPr>
        <w:tabs>
          <w:tab w:val="left" w:pos="0"/>
        </w:tabs>
        <w:ind w:left="567"/>
        <w:contextualSpacing/>
        <w:jc w:val="both"/>
        <w:rPr>
          <w:rFonts w:ascii="Palatino Linotype" w:eastAsia="Arial Unicode MS" w:hAnsi="Palatino Linotype"/>
          <w:i/>
          <w:color w:val="000000" w:themeColor="text1"/>
          <w:kern w:val="28"/>
        </w:rPr>
      </w:pPr>
      <w:r w:rsidRPr="00922B93">
        <w:rPr>
          <w:rFonts w:ascii="Palatino Linotype" w:eastAsia="Arial Unicode MS" w:hAnsi="Palatino Linotype"/>
          <w:i/>
          <w:color w:val="000000" w:themeColor="text1"/>
          <w:kern w:val="28"/>
        </w:rPr>
        <w:t>“</w:t>
      </w:r>
      <w:r w:rsidRPr="00922B93">
        <w:rPr>
          <w:rFonts w:ascii="Palatino Linotype" w:eastAsia="Arial Unicode MS" w:hAnsi="Palatino Linotype"/>
          <w:b/>
          <w:i/>
          <w:color w:val="000000" w:themeColor="text1"/>
          <w:kern w:val="28"/>
        </w:rPr>
        <w:t>Artículo 342.-</w:t>
      </w:r>
      <w:r w:rsidRPr="00922B93">
        <w:rPr>
          <w:rFonts w:ascii="Palatino Linotype" w:eastAsia="Arial Unicode MS" w:hAnsi="Palatino Linotype"/>
          <w:i/>
          <w:color w:val="000000" w:themeColor="text1"/>
          <w:kern w:val="28"/>
        </w:rPr>
        <w:t xml:space="preserve"> El registro contable del efecto patrimonial y presupuestal de las operaciones financieras, se realizará conforme al sistema y a las disposiciones que se aprueben en materia de planeación, programación, presupuestación, evaluación y contabilidad gubernamental. </w:t>
      </w:r>
    </w:p>
    <w:p w:rsidR="006F1C9E" w:rsidRPr="00922B93" w:rsidRDefault="006F1C9E" w:rsidP="00922B93">
      <w:pPr>
        <w:tabs>
          <w:tab w:val="left" w:pos="0"/>
        </w:tabs>
        <w:ind w:left="567"/>
        <w:jc w:val="both"/>
        <w:rPr>
          <w:rFonts w:ascii="Palatino Linotype" w:eastAsia="Arial Unicode MS" w:hAnsi="Palatino Linotype"/>
          <w:color w:val="000000" w:themeColor="text1"/>
        </w:rPr>
      </w:pPr>
    </w:p>
    <w:p w:rsidR="006F1C9E" w:rsidRPr="00922B93" w:rsidRDefault="006F1C9E" w:rsidP="00922B93">
      <w:pPr>
        <w:tabs>
          <w:tab w:val="left" w:pos="0"/>
        </w:tabs>
        <w:ind w:left="567"/>
        <w:contextualSpacing/>
        <w:jc w:val="both"/>
        <w:rPr>
          <w:rFonts w:ascii="Palatino Linotype" w:eastAsia="Arial Unicode MS" w:hAnsi="Palatino Linotype"/>
          <w:b/>
          <w:i/>
          <w:color w:val="000000" w:themeColor="text1"/>
          <w:kern w:val="28"/>
        </w:rPr>
      </w:pPr>
      <w:r w:rsidRPr="00922B93">
        <w:rPr>
          <w:rFonts w:ascii="Palatino Linotype" w:eastAsia="Arial Unicode MS" w:hAnsi="Palatino Linotype"/>
          <w:b/>
          <w:i/>
          <w:color w:val="000000" w:themeColor="text1"/>
          <w:kern w:val="28"/>
        </w:rPr>
        <w:t xml:space="preserve">En el caso de los municipios, el registro a que se refiere el párrafo anterior, se realizará conforme al sistema y a las disposiciones en materia de planeación, programación, presupuestación, evaluación y contabilidad gubernamental, que se aprueben en el marco del Sistema de Coordinación Hacendaria del Estado de México. </w:t>
      </w:r>
    </w:p>
    <w:p w:rsidR="006F1C9E" w:rsidRPr="00922B93" w:rsidRDefault="006F1C9E" w:rsidP="00922B93">
      <w:pPr>
        <w:tabs>
          <w:tab w:val="left" w:pos="0"/>
        </w:tabs>
        <w:ind w:left="567"/>
        <w:jc w:val="both"/>
        <w:rPr>
          <w:rFonts w:ascii="Palatino Linotype" w:eastAsia="Arial Unicode MS" w:hAnsi="Palatino Linotype" w:cs="Arial"/>
          <w:b/>
          <w:i/>
          <w:color w:val="000000" w:themeColor="text1"/>
        </w:rPr>
      </w:pPr>
    </w:p>
    <w:p w:rsidR="006F1C9E" w:rsidRPr="00922B93" w:rsidRDefault="006F1C9E" w:rsidP="00922B93">
      <w:pPr>
        <w:tabs>
          <w:tab w:val="left" w:pos="0"/>
        </w:tabs>
        <w:ind w:left="567"/>
        <w:contextualSpacing/>
        <w:jc w:val="both"/>
        <w:rPr>
          <w:rFonts w:ascii="Palatino Linotype" w:hAnsi="Palatino Linotype"/>
          <w:i/>
          <w:color w:val="000000" w:themeColor="text1"/>
          <w:kern w:val="28"/>
        </w:rPr>
      </w:pPr>
      <w:r w:rsidRPr="00922B93">
        <w:rPr>
          <w:rFonts w:ascii="Palatino Linotype" w:hAnsi="Palatino Linotype"/>
          <w:b/>
          <w:i/>
          <w:color w:val="000000" w:themeColor="text1"/>
          <w:kern w:val="28"/>
        </w:rPr>
        <w:t>Artículo 343.-</w:t>
      </w:r>
      <w:r w:rsidRPr="00922B93">
        <w:rPr>
          <w:rFonts w:ascii="Palatino Linotype" w:hAnsi="Palatino Linotype"/>
          <w:i/>
          <w:color w:val="000000" w:themeColor="text1"/>
          <w:kern w:val="28"/>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rsidR="006F1C9E" w:rsidRPr="00922B93" w:rsidRDefault="006F1C9E" w:rsidP="00922B93">
      <w:pPr>
        <w:tabs>
          <w:tab w:val="left" w:pos="0"/>
        </w:tabs>
        <w:ind w:left="567"/>
        <w:contextualSpacing/>
        <w:jc w:val="both"/>
        <w:rPr>
          <w:rFonts w:ascii="Palatino Linotype" w:eastAsia="Arial Unicode MS" w:hAnsi="Palatino Linotype" w:cs="Arial"/>
          <w:b/>
          <w:i/>
          <w:color w:val="000000" w:themeColor="text1"/>
          <w:kern w:val="28"/>
        </w:rPr>
      </w:pPr>
      <w:r w:rsidRPr="00922B93">
        <w:rPr>
          <w:rFonts w:ascii="Palatino Linotype" w:hAnsi="Palatino Linotype"/>
          <w:i/>
          <w:color w:val="000000" w:themeColor="text1"/>
          <w:kern w:val="28"/>
        </w:rPr>
        <w:t>El sistema de contabilidad sobre base acumulativa total, se sustentará en las normas emitidas por el Consejo Nacional de Armonización Contable.</w:t>
      </w:r>
    </w:p>
    <w:p w:rsidR="006F1C9E" w:rsidRPr="00922B93" w:rsidRDefault="006F1C9E" w:rsidP="00922B93">
      <w:pPr>
        <w:tabs>
          <w:tab w:val="left" w:pos="0"/>
        </w:tabs>
        <w:ind w:left="567"/>
        <w:contextualSpacing/>
        <w:jc w:val="both"/>
        <w:rPr>
          <w:rFonts w:ascii="Palatino Linotype" w:hAnsi="Palatino Linotype"/>
          <w:b/>
          <w:i/>
          <w:color w:val="000000" w:themeColor="text1"/>
          <w:kern w:val="28"/>
        </w:rPr>
      </w:pPr>
    </w:p>
    <w:p w:rsidR="006F1C9E" w:rsidRPr="00922B93" w:rsidRDefault="006F1C9E" w:rsidP="00922B93">
      <w:pPr>
        <w:tabs>
          <w:tab w:val="left" w:pos="0"/>
        </w:tabs>
        <w:ind w:left="567"/>
        <w:contextualSpacing/>
        <w:jc w:val="both"/>
        <w:rPr>
          <w:rFonts w:ascii="Palatino Linotype" w:hAnsi="Palatino Linotype"/>
          <w:i/>
          <w:color w:val="000000" w:themeColor="text1"/>
          <w:kern w:val="28"/>
        </w:rPr>
      </w:pPr>
      <w:r w:rsidRPr="00922B93">
        <w:rPr>
          <w:rFonts w:ascii="Palatino Linotype" w:hAnsi="Palatino Linotype"/>
          <w:b/>
          <w:i/>
          <w:color w:val="000000" w:themeColor="text1"/>
          <w:kern w:val="28"/>
        </w:rPr>
        <w:t>Artículo 344.-</w:t>
      </w:r>
      <w:r w:rsidRPr="00922B93">
        <w:rPr>
          <w:rFonts w:ascii="Palatino Linotype" w:hAnsi="Palatino Linotype"/>
          <w:i/>
          <w:color w:val="000000" w:themeColor="text1"/>
          <w:kern w:val="28"/>
        </w:rPr>
        <w:t xml:space="preserve"> Los Entes Públicos, a través de cualquiera de sus unidades administrativas, de acuerdo con su naturaleza jurídica y según corresponda, registrarán contablemente el efecto patrimonial y presupuestal de las operaciones financieras que realicen, en el momento en que ocurran, con base en el sistema y políticas de registro establecidas, en el caso de los Municipios, se hará por la Tesorería. Todo registro contable y presupuestal deberá estar soportado con los documentos de registro, justificativos y comprobatorios originales, en copias certificadas o en medios electrónicos, según corresponda, los que deberán permanecer en custodia y </w:t>
      </w:r>
      <w:r w:rsidRPr="00922B93">
        <w:rPr>
          <w:rFonts w:ascii="Palatino Linotype" w:hAnsi="Palatino Linotype"/>
          <w:i/>
          <w:color w:val="000000" w:themeColor="text1"/>
          <w:kern w:val="28"/>
        </w:rPr>
        <w:lastRenderedPageBreak/>
        <w:t xml:space="preserve">conservación de los Entes Públicos ejecutores del gasto, a través de las unidades administrativas correspondientes de conformidad con las disposiciones aplicables y a disposición de los Órganos de Fiscalización locales y federales, de acuerdo a su naturaleza, así como de los órganos internos de control; por un término de 6 años, contados a partir del ejercicio presupuestal siguiente al que corresponda. </w:t>
      </w:r>
    </w:p>
    <w:p w:rsidR="006F1C9E" w:rsidRPr="00922B93" w:rsidRDefault="006F1C9E" w:rsidP="00922B93">
      <w:pPr>
        <w:tabs>
          <w:tab w:val="left" w:pos="0"/>
        </w:tabs>
        <w:ind w:left="567"/>
        <w:contextualSpacing/>
        <w:jc w:val="both"/>
        <w:rPr>
          <w:rFonts w:ascii="Palatino Linotype" w:eastAsia="Arial Unicode MS" w:hAnsi="Palatino Linotype" w:cs="Arial"/>
          <w:i/>
          <w:color w:val="000000" w:themeColor="text1"/>
          <w:kern w:val="28"/>
        </w:rPr>
      </w:pPr>
      <w:r w:rsidRPr="00922B93">
        <w:rPr>
          <w:rFonts w:ascii="Palatino Linotype" w:hAnsi="Palatino Linotype"/>
          <w:i/>
          <w:color w:val="000000" w:themeColor="text1"/>
          <w:kern w:val="28"/>
        </w:rPr>
        <w:t>En el caso de los Municipios, dicha obligación corresponderá a la Tesorería.</w:t>
      </w:r>
      <w:r w:rsidRPr="00922B93">
        <w:rPr>
          <w:rFonts w:ascii="Palatino Linotype" w:eastAsia="Arial Unicode MS" w:hAnsi="Palatino Linotype" w:cs="Arial"/>
          <w:i/>
          <w:color w:val="000000" w:themeColor="text1"/>
          <w:kern w:val="28"/>
        </w:rPr>
        <w:t xml:space="preserve">Tratándose de documentos de carácter histórico, se estará a lo dispuesto por la legislación de la materia. </w:t>
      </w:r>
    </w:p>
    <w:p w:rsidR="006F1C9E" w:rsidRPr="00922B93" w:rsidRDefault="006F1C9E" w:rsidP="00922B93">
      <w:pPr>
        <w:tabs>
          <w:tab w:val="left" w:pos="0"/>
        </w:tabs>
        <w:ind w:left="567"/>
        <w:jc w:val="both"/>
        <w:rPr>
          <w:rFonts w:ascii="Palatino Linotype" w:eastAsia="Arial Unicode MS" w:hAnsi="Palatino Linotype" w:cs="Arial"/>
          <w:b/>
          <w:i/>
          <w:color w:val="000000" w:themeColor="text1"/>
        </w:rPr>
      </w:pPr>
    </w:p>
    <w:p w:rsidR="006F1C9E" w:rsidRPr="00922B93" w:rsidRDefault="006F1C9E" w:rsidP="00922B93">
      <w:pPr>
        <w:tabs>
          <w:tab w:val="left" w:pos="0"/>
        </w:tabs>
        <w:ind w:left="567"/>
        <w:contextualSpacing/>
        <w:jc w:val="both"/>
        <w:rPr>
          <w:rFonts w:ascii="Palatino Linotype" w:hAnsi="Palatino Linotype"/>
          <w:i/>
          <w:color w:val="000000" w:themeColor="text1"/>
          <w:kern w:val="28"/>
        </w:rPr>
      </w:pPr>
      <w:r w:rsidRPr="00922B93">
        <w:rPr>
          <w:rFonts w:ascii="Palatino Linotype" w:hAnsi="Palatino Linotype"/>
          <w:b/>
          <w:i/>
          <w:color w:val="000000" w:themeColor="text1"/>
          <w:kern w:val="28"/>
        </w:rPr>
        <w:t>Artículo 345.-</w:t>
      </w:r>
      <w:r w:rsidRPr="00922B93">
        <w:rPr>
          <w:rFonts w:ascii="Palatino Linotype" w:hAnsi="Palatino Linotype"/>
          <w:i/>
          <w:color w:val="000000" w:themeColor="text1"/>
          <w:kern w:val="28"/>
        </w:rPr>
        <w:t xml:space="preserve"> Las Dependencias y sus unidades administrativas; deberán conservar la documentación contable del año en curso y la de ejercicios anteriores, cuyas cuentas públicas hayan sido revisadas y fiscalizadas y la remitirán al Archivo Contable Gubernamental en un plazo que no excederá de seis meses. Tratándose de los comprobantes fiscales digitales, estos deberán estar agregados en forma electrónica a cada póliza de registro contable. </w:t>
      </w:r>
    </w:p>
    <w:p w:rsidR="006F1C9E" w:rsidRPr="00922B93" w:rsidRDefault="006F1C9E" w:rsidP="00922B93">
      <w:pPr>
        <w:tabs>
          <w:tab w:val="left" w:pos="0"/>
        </w:tabs>
        <w:ind w:left="567"/>
        <w:jc w:val="both"/>
        <w:rPr>
          <w:rFonts w:ascii="Palatino Linotype" w:hAnsi="Palatino Linotype"/>
          <w:color w:val="000000" w:themeColor="text1"/>
        </w:rPr>
      </w:pPr>
    </w:p>
    <w:p w:rsidR="006F1C9E" w:rsidRPr="00922B93" w:rsidRDefault="006F1C9E" w:rsidP="00922B93">
      <w:pPr>
        <w:tabs>
          <w:tab w:val="left" w:pos="0"/>
        </w:tabs>
        <w:ind w:left="567"/>
        <w:contextualSpacing/>
        <w:jc w:val="both"/>
        <w:rPr>
          <w:rFonts w:ascii="Palatino Linotype" w:eastAsia="Arial Unicode MS" w:hAnsi="Palatino Linotype"/>
          <w:i/>
          <w:color w:val="000000" w:themeColor="text1"/>
          <w:kern w:val="28"/>
        </w:rPr>
      </w:pPr>
      <w:r w:rsidRPr="00922B93">
        <w:rPr>
          <w:rFonts w:ascii="Palatino Linotype" w:hAnsi="Palatino Linotype"/>
          <w:i/>
          <w:color w:val="000000" w:themeColor="text1"/>
          <w:kern w:val="28"/>
        </w:rPr>
        <w:t>Los poderes Legislativo y Judicial, los Organismos Autónomos y las Entidades Públicas, de acuerdo con su naturaleza jurídica y según corresponda, deberán conservar la documentación contable del año en curso y la de ejercicios anteriores, cuyas cuentas públicas hayan sido revisadas y fiscalizadas, en sus propios Archivos Contables. Tratándose de los comprobantes fiscales digitales, estos deberán estar agregados en forma electrónica a cada póliza de registro contable. El plazo señalado en este artículo empezará a contar a partir de la publicación en el Periódico Oficial, del decreto correspondiente.</w:t>
      </w:r>
      <w:r w:rsidRPr="00922B93">
        <w:rPr>
          <w:rFonts w:ascii="Palatino Linotype" w:eastAsia="Arial Unicode MS" w:hAnsi="Palatino Linotype"/>
          <w:i/>
          <w:color w:val="000000" w:themeColor="text1"/>
          <w:kern w:val="28"/>
        </w:rPr>
        <w:t xml:space="preserve"> (Énfasis añadido)</w:t>
      </w:r>
    </w:p>
    <w:p w:rsidR="006F1C9E" w:rsidRPr="00922B93" w:rsidRDefault="006F1C9E" w:rsidP="00922B93">
      <w:pPr>
        <w:tabs>
          <w:tab w:val="left" w:pos="0"/>
        </w:tabs>
        <w:rPr>
          <w:rFonts w:ascii="Palatino Linotype" w:eastAsia="Arial Unicode MS" w:hAnsi="Palatino Linotype" w:cs="Arial"/>
          <w:i/>
          <w:color w:val="000000" w:themeColor="text1"/>
        </w:rPr>
      </w:pPr>
    </w:p>
    <w:p w:rsidR="006F1C9E" w:rsidRPr="00922B93" w:rsidRDefault="006F1C9E" w:rsidP="00922B93">
      <w:pPr>
        <w:pStyle w:val="Prrafodelista"/>
        <w:numPr>
          <w:ilvl w:val="0"/>
          <w:numId w:val="2"/>
        </w:numPr>
        <w:tabs>
          <w:tab w:val="left" w:pos="0"/>
        </w:tabs>
        <w:spacing w:line="360" w:lineRule="auto"/>
        <w:jc w:val="both"/>
        <w:rPr>
          <w:rFonts w:ascii="Palatino Linotype" w:hAnsi="Palatino Linotype" w:cs="Arial"/>
          <w:color w:val="000000" w:themeColor="text1"/>
        </w:rPr>
      </w:pPr>
      <w:r w:rsidRPr="00922B93">
        <w:rPr>
          <w:rFonts w:ascii="Palatino Linotype" w:hAnsi="Palatino Linotype" w:cs="Arial"/>
          <w:color w:val="000000" w:themeColor="text1"/>
        </w:rPr>
        <w:t>De una interpretación sistemática de los artículos transcritos se desprende, que el registro contable del efecto patrimonial y presupuestal de las operaciones financieras que realice el Municipio se hace conforme al sistema y a las disposiciones que se aprueben en materia de planeación, programación, presupuestación, evaluación y contabilidad gubernamental.</w:t>
      </w:r>
    </w:p>
    <w:p w:rsidR="006F1C9E" w:rsidRPr="00922B93" w:rsidRDefault="006F1C9E" w:rsidP="00922B93">
      <w:pPr>
        <w:tabs>
          <w:tab w:val="left" w:pos="0"/>
        </w:tabs>
        <w:spacing w:line="360" w:lineRule="auto"/>
        <w:jc w:val="both"/>
        <w:rPr>
          <w:rFonts w:ascii="Palatino Linotype" w:hAnsi="Palatino Linotype" w:cs="Arial"/>
          <w:color w:val="000000" w:themeColor="text1"/>
        </w:rPr>
      </w:pPr>
    </w:p>
    <w:p w:rsidR="006F1C9E" w:rsidRPr="00922B93" w:rsidRDefault="006F1C9E" w:rsidP="00922B93">
      <w:pPr>
        <w:pStyle w:val="Prrafodelista"/>
        <w:numPr>
          <w:ilvl w:val="0"/>
          <w:numId w:val="2"/>
        </w:numPr>
        <w:tabs>
          <w:tab w:val="left" w:pos="0"/>
        </w:tabs>
        <w:spacing w:line="360" w:lineRule="auto"/>
        <w:jc w:val="both"/>
        <w:rPr>
          <w:rFonts w:ascii="Palatino Linotype" w:hAnsi="Palatino Linotype" w:cs="Arial"/>
          <w:color w:val="000000" w:themeColor="text1"/>
        </w:rPr>
      </w:pPr>
      <w:r w:rsidRPr="00922B93">
        <w:rPr>
          <w:rFonts w:ascii="Palatino Linotype" w:hAnsi="Palatino Linotype" w:cs="Arial"/>
          <w:color w:val="000000" w:themeColor="text1"/>
        </w:rPr>
        <w:t>Asimismo, se establece que el sistema de contabilidad sobre base acumulativa total se sustentará en las normas emitidas por el Consejo Nacional de Armonización Contable.</w:t>
      </w:r>
    </w:p>
    <w:p w:rsidR="006F1C9E" w:rsidRPr="00922B93" w:rsidRDefault="006F1C9E" w:rsidP="00922B93">
      <w:pPr>
        <w:tabs>
          <w:tab w:val="left" w:pos="0"/>
        </w:tabs>
        <w:spacing w:line="360" w:lineRule="auto"/>
        <w:jc w:val="both"/>
        <w:rPr>
          <w:rFonts w:ascii="Palatino Linotype" w:hAnsi="Palatino Linotype" w:cs="Arial"/>
          <w:color w:val="000000" w:themeColor="text1"/>
        </w:rPr>
      </w:pPr>
    </w:p>
    <w:p w:rsidR="006F1C9E" w:rsidRPr="00922B93" w:rsidRDefault="006F1C9E" w:rsidP="00922B93">
      <w:pPr>
        <w:pStyle w:val="Prrafodelista"/>
        <w:numPr>
          <w:ilvl w:val="0"/>
          <w:numId w:val="2"/>
        </w:numPr>
        <w:tabs>
          <w:tab w:val="left" w:pos="0"/>
        </w:tabs>
        <w:spacing w:line="360" w:lineRule="auto"/>
        <w:jc w:val="both"/>
        <w:rPr>
          <w:rFonts w:ascii="Palatino Linotype" w:hAnsi="Palatino Linotype" w:cs="Arial"/>
          <w:b/>
          <w:color w:val="000000" w:themeColor="text1"/>
        </w:rPr>
      </w:pPr>
      <w:r w:rsidRPr="00922B93">
        <w:rPr>
          <w:rFonts w:ascii="Palatino Linotype" w:hAnsi="Palatino Linotype" w:cs="Arial"/>
          <w:color w:val="000000" w:themeColor="text1"/>
        </w:rPr>
        <w:lastRenderedPageBreak/>
        <w:t xml:space="preserve">Igualmente, los preceptos legales citados señalan que en el caso de los Municipios es la </w:t>
      </w:r>
      <w:r w:rsidRPr="00922B93">
        <w:rPr>
          <w:rFonts w:ascii="Palatino Linotype" w:hAnsi="Palatino Linotype" w:cs="Arial"/>
          <w:b/>
          <w:color w:val="000000" w:themeColor="text1"/>
        </w:rPr>
        <w:t>Tesorería Municipal</w:t>
      </w:r>
      <w:r w:rsidRPr="00922B93">
        <w:rPr>
          <w:rFonts w:ascii="Palatino Linotype" w:hAnsi="Palatino Linotype" w:cs="Arial"/>
          <w:color w:val="000000" w:themeColor="text1"/>
        </w:rPr>
        <w:t xml:space="preserve"> la unidad administrativa que registra contablemente el efecto patrimonial y presupuestal de las operaciones financieras que realizan, en </w:t>
      </w:r>
      <w:r w:rsidRPr="00922B93">
        <w:rPr>
          <w:rFonts w:ascii="Palatino Linotype" w:hAnsi="Palatino Linotype" w:cs="Arial"/>
          <w:b/>
          <w:color w:val="000000" w:themeColor="text1"/>
        </w:rPr>
        <w:t>el momento en que ocurran, con base en el sistema y políticas de registro establecidas</w:t>
      </w:r>
      <w:r w:rsidRPr="00922B93">
        <w:rPr>
          <w:rFonts w:ascii="Palatino Linotype" w:hAnsi="Palatino Linotype" w:cs="Arial"/>
          <w:color w:val="000000" w:themeColor="text1"/>
        </w:rPr>
        <w:t>.</w:t>
      </w:r>
    </w:p>
    <w:p w:rsidR="006F1C9E" w:rsidRPr="00922B93" w:rsidRDefault="006F1C9E" w:rsidP="00922B93">
      <w:pPr>
        <w:tabs>
          <w:tab w:val="left" w:pos="0"/>
        </w:tabs>
        <w:spacing w:line="360" w:lineRule="auto"/>
        <w:jc w:val="both"/>
        <w:rPr>
          <w:rFonts w:ascii="Palatino Linotype" w:hAnsi="Palatino Linotype" w:cs="Arial"/>
          <w:color w:val="000000" w:themeColor="text1"/>
        </w:rPr>
      </w:pPr>
    </w:p>
    <w:p w:rsidR="006F1C9E" w:rsidRPr="00922B93" w:rsidRDefault="006F1C9E" w:rsidP="00922B93">
      <w:pPr>
        <w:pStyle w:val="Prrafodelista"/>
        <w:numPr>
          <w:ilvl w:val="0"/>
          <w:numId w:val="2"/>
        </w:numPr>
        <w:tabs>
          <w:tab w:val="left" w:pos="0"/>
        </w:tabs>
        <w:spacing w:line="360" w:lineRule="auto"/>
        <w:jc w:val="both"/>
        <w:rPr>
          <w:rFonts w:ascii="Palatino Linotype" w:hAnsi="Palatino Linotype" w:cs="Arial"/>
          <w:color w:val="000000" w:themeColor="text1"/>
        </w:rPr>
      </w:pPr>
      <w:r w:rsidRPr="00922B93">
        <w:rPr>
          <w:rFonts w:ascii="Palatino Linotype" w:hAnsi="Palatino Linotype" w:cs="Arial"/>
          <w:color w:val="000000" w:themeColor="text1"/>
        </w:rPr>
        <w:t xml:space="preserve">Cabe destacar, que el ordenamiento legal en cita establece que todo registro contable y presupuestal deberá estar soportado con los </w:t>
      </w:r>
      <w:r w:rsidRPr="00922B93">
        <w:rPr>
          <w:rFonts w:ascii="Palatino Linotype" w:hAnsi="Palatino Linotype" w:cs="Arial"/>
          <w:b/>
          <w:color w:val="000000" w:themeColor="text1"/>
        </w:rPr>
        <w:t>documentos comprobatorios originales, copias certificadas o en medios electrónicos, según corresponda, como lo son las facturas o comprobantes fiscales digitales por internet, los que deberán permanecer en custodia y conservación de la Tesorería Municipal</w:t>
      </w:r>
      <w:r w:rsidRPr="00922B93">
        <w:rPr>
          <w:rFonts w:ascii="Palatino Linotype" w:hAnsi="Palatino Linotype" w:cs="Arial"/>
          <w:color w:val="000000" w:themeColor="text1"/>
        </w:rPr>
        <w:t xml:space="preserve">, en el caso de los municipios, y a disposición del Órgano Superior de Fiscalización del Estado de México y de los Órganos de Control Interno, por un término de </w:t>
      </w:r>
      <w:r w:rsidRPr="00922B93">
        <w:rPr>
          <w:rFonts w:ascii="Palatino Linotype" w:hAnsi="Palatino Linotype" w:cs="Arial"/>
          <w:b/>
          <w:color w:val="000000" w:themeColor="text1"/>
        </w:rPr>
        <w:t>seis años</w:t>
      </w:r>
      <w:r w:rsidRPr="00922B93">
        <w:rPr>
          <w:rFonts w:ascii="Palatino Linotype" w:hAnsi="Palatino Linotype" w:cs="Arial"/>
          <w:color w:val="000000" w:themeColor="text1"/>
        </w:rPr>
        <w:t xml:space="preserve"> contados a partir del ejercicio presupuestal siguiente al que corresponda.</w:t>
      </w:r>
    </w:p>
    <w:p w:rsidR="006F1C9E" w:rsidRPr="00922B93" w:rsidRDefault="006F1C9E" w:rsidP="00922B93">
      <w:pPr>
        <w:tabs>
          <w:tab w:val="left" w:pos="0"/>
        </w:tabs>
        <w:spacing w:line="360" w:lineRule="auto"/>
        <w:jc w:val="both"/>
        <w:rPr>
          <w:rFonts w:ascii="Palatino Linotype" w:hAnsi="Palatino Linotype"/>
          <w:color w:val="000000" w:themeColor="text1"/>
        </w:rPr>
      </w:pPr>
    </w:p>
    <w:p w:rsidR="006F1C9E" w:rsidRPr="00922B93" w:rsidRDefault="006F1C9E" w:rsidP="00922B93">
      <w:pPr>
        <w:pStyle w:val="Prrafodelista"/>
        <w:numPr>
          <w:ilvl w:val="0"/>
          <w:numId w:val="2"/>
        </w:numPr>
        <w:tabs>
          <w:tab w:val="left" w:pos="0"/>
        </w:tabs>
        <w:spacing w:line="360" w:lineRule="auto"/>
        <w:jc w:val="both"/>
        <w:rPr>
          <w:rFonts w:ascii="Palatino Linotype" w:hAnsi="Palatino Linotype" w:cs="Arial"/>
          <w:color w:val="000000" w:themeColor="text1"/>
        </w:rPr>
      </w:pPr>
      <w:r w:rsidRPr="00922B93">
        <w:rPr>
          <w:rFonts w:ascii="Palatino Linotype" w:hAnsi="Palatino Linotype" w:cs="Arial"/>
          <w:color w:val="000000" w:themeColor="text1"/>
        </w:rPr>
        <w:t xml:space="preserve">Respecto al tema materia de la solicitud, es de señalar que el Código Financiero del Estado de México y Municipios establece la obligación de los Municipios para llevar los registros contables y presupuestales, también lo es que dicho ordenamiento jurídico no establece que debemos entender por registro contable y presupuestal; sin embargo,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w:t>
      </w:r>
      <w:r w:rsidRPr="00922B93">
        <w:rPr>
          <w:rFonts w:ascii="Palatino Linotype" w:hAnsi="Palatino Linotype" w:cs="Arial"/>
          <w:color w:val="000000" w:themeColor="text1"/>
        </w:rPr>
        <w:lastRenderedPageBreak/>
        <w:t xml:space="preserve">Técnico de las Haciendas Públicas (INDETEC) señalan las siguientes definiciones de las palabras registro contable y registro presupuestario: </w:t>
      </w:r>
    </w:p>
    <w:p w:rsidR="006F1C9E" w:rsidRPr="00922B93" w:rsidRDefault="006F1C9E" w:rsidP="00922B93">
      <w:pPr>
        <w:tabs>
          <w:tab w:val="left" w:pos="0"/>
        </w:tabs>
        <w:ind w:left="567"/>
        <w:contextualSpacing/>
        <w:rPr>
          <w:rFonts w:ascii="Palatino Linotype" w:eastAsia="Arial Unicode MS" w:hAnsi="Palatino Linotype"/>
          <w:i/>
          <w:color w:val="000000" w:themeColor="text1"/>
          <w:kern w:val="28"/>
        </w:rPr>
      </w:pPr>
      <w:r w:rsidRPr="00922B93">
        <w:rPr>
          <w:rFonts w:ascii="Palatino Linotype" w:eastAsia="Arial Unicode MS" w:hAnsi="Palatino Linotype"/>
          <w:i/>
          <w:color w:val="000000" w:themeColor="text1"/>
          <w:kern w:val="28"/>
        </w:rPr>
        <w:t>“</w:t>
      </w:r>
      <w:r w:rsidRPr="00922B93">
        <w:rPr>
          <w:rFonts w:ascii="Palatino Linotype" w:eastAsia="Arial Unicode MS" w:hAnsi="Palatino Linotype"/>
          <w:b/>
          <w:i/>
          <w:color w:val="000000" w:themeColor="text1"/>
          <w:kern w:val="28"/>
        </w:rPr>
        <w:t>REGISTRO CONTABLE</w:t>
      </w:r>
      <w:r w:rsidRPr="00922B93">
        <w:rPr>
          <w:rFonts w:ascii="Palatino Linotype" w:eastAsia="Arial Unicode MS" w:hAnsi="Palatino Linotype"/>
          <w:i/>
          <w:color w:val="000000" w:themeColor="text1"/>
          <w:kern w:val="28"/>
        </w:rPr>
        <w:t xml:space="preserve"> </w:t>
      </w:r>
    </w:p>
    <w:p w:rsidR="006F1C9E" w:rsidRPr="00922B93" w:rsidRDefault="006F1C9E" w:rsidP="00922B93">
      <w:pPr>
        <w:tabs>
          <w:tab w:val="left" w:pos="0"/>
        </w:tabs>
        <w:ind w:left="567"/>
        <w:contextualSpacing/>
        <w:rPr>
          <w:rFonts w:ascii="Palatino Linotype" w:eastAsia="Arial Unicode MS" w:hAnsi="Palatino Linotype"/>
          <w:i/>
          <w:color w:val="000000" w:themeColor="text1"/>
          <w:kern w:val="28"/>
        </w:rPr>
      </w:pPr>
      <w:r w:rsidRPr="00922B93">
        <w:rPr>
          <w:rFonts w:ascii="Palatino Linotype" w:eastAsia="Arial Unicode MS" w:hAnsi="Palatino Linotype"/>
          <w:i/>
          <w:color w:val="000000" w:themeColor="text1"/>
          <w:kern w:val="28"/>
        </w:rPr>
        <w:t>Asiento que se realiza en los libros de contabilidad de las actividades relacionadas con el ingreso y egresos de un ente económico.”</w:t>
      </w:r>
    </w:p>
    <w:p w:rsidR="006F1C9E" w:rsidRPr="00922B93" w:rsidRDefault="006F1C9E" w:rsidP="00922B93">
      <w:pPr>
        <w:tabs>
          <w:tab w:val="left" w:pos="0"/>
        </w:tabs>
        <w:ind w:left="567"/>
        <w:contextualSpacing/>
        <w:rPr>
          <w:rFonts w:ascii="Palatino Linotype" w:eastAsia="Arial Unicode MS" w:hAnsi="Palatino Linotype"/>
          <w:i/>
          <w:color w:val="000000" w:themeColor="text1"/>
          <w:kern w:val="28"/>
        </w:rPr>
      </w:pPr>
      <w:r w:rsidRPr="00922B93">
        <w:rPr>
          <w:rFonts w:ascii="Palatino Linotype" w:eastAsia="Arial Unicode MS" w:hAnsi="Palatino Linotype"/>
          <w:i/>
          <w:color w:val="000000" w:themeColor="text1"/>
          <w:kern w:val="28"/>
        </w:rPr>
        <w:t>“</w:t>
      </w:r>
      <w:r w:rsidRPr="00922B93">
        <w:rPr>
          <w:rFonts w:ascii="Palatino Linotype" w:eastAsia="Arial Unicode MS" w:hAnsi="Palatino Linotype"/>
          <w:b/>
          <w:i/>
          <w:color w:val="000000" w:themeColor="text1"/>
          <w:kern w:val="28"/>
        </w:rPr>
        <w:t>REGISTRO PRESUPUESTARIO</w:t>
      </w:r>
    </w:p>
    <w:p w:rsidR="006F1C9E" w:rsidRPr="00922B93" w:rsidRDefault="006F1C9E" w:rsidP="00922B93">
      <w:pPr>
        <w:tabs>
          <w:tab w:val="left" w:pos="0"/>
        </w:tabs>
        <w:ind w:left="567"/>
        <w:contextualSpacing/>
        <w:rPr>
          <w:rFonts w:ascii="Palatino Linotype" w:eastAsia="Arial Unicode MS" w:hAnsi="Palatino Linotype"/>
          <w:i/>
          <w:color w:val="000000" w:themeColor="text1"/>
          <w:kern w:val="28"/>
        </w:rPr>
      </w:pPr>
      <w:r w:rsidRPr="00922B93">
        <w:rPr>
          <w:rFonts w:ascii="Palatino Linotype" w:eastAsia="Arial Unicode MS" w:hAnsi="Palatino Linotype"/>
          <w:i/>
          <w:color w:val="000000" w:themeColor="text1"/>
          <w:kern w:val="28"/>
        </w:rPr>
        <w:t>Asiento contable de las erogaciones realizadas por las dependencias y entidades con relación a la asignación, modificación y ejercicio de los recursos presupuestarios que se les hayan autorizado.”</w:t>
      </w:r>
    </w:p>
    <w:p w:rsidR="006F1C9E" w:rsidRDefault="006F1C9E" w:rsidP="00922B93">
      <w:pPr>
        <w:tabs>
          <w:tab w:val="left" w:pos="0"/>
        </w:tabs>
        <w:ind w:left="851"/>
        <w:rPr>
          <w:rFonts w:ascii="Palatino Linotype" w:eastAsia="Arial Unicode MS" w:hAnsi="Palatino Linotype" w:cs="Arial"/>
          <w:i/>
          <w:color w:val="000000" w:themeColor="text1"/>
        </w:rPr>
      </w:pPr>
    </w:p>
    <w:p w:rsidR="003D029A" w:rsidRPr="00922B93" w:rsidRDefault="003D029A" w:rsidP="00922B93">
      <w:pPr>
        <w:tabs>
          <w:tab w:val="left" w:pos="0"/>
        </w:tabs>
        <w:ind w:left="851"/>
        <w:rPr>
          <w:rFonts w:ascii="Palatino Linotype" w:eastAsia="Arial Unicode MS" w:hAnsi="Palatino Linotype" w:cs="Arial"/>
          <w:i/>
          <w:color w:val="000000" w:themeColor="text1"/>
        </w:rPr>
      </w:pPr>
    </w:p>
    <w:p w:rsidR="006F1C9E" w:rsidRPr="00922B93" w:rsidRDefault="006F1C9E" w:rsidP="00922B93">
      <w:pPr>
        <w:pStyle w:val="Prrafodelista"/>
        <w:numPr>
          <w:ilvl w:val="0"/>
          <w:numId w:val="2"/>
        </w:numPr>
        <w:tabs>
          <w:tab w:val="left" w:pos="0"/>
        </w:tabs>
        <w:spacing w:line="360" w:lineRule="auto"/>
        <w:jc w:val="both"/>
        <w:rPr>
          <w:rFonts w:ascii="Palatino Linotype" w:hAnsi="Palatino Linotype" w:cs="Arial"/>
          <w:color w:val="000000" w:themeColor="text1"/>
        </w:rPr>
      </w:pPr>
      <w:r w:rsidRPr="00922B93">
        <w:rPr>
          <w:rFonts w:ascii="Palatino Linotype" w:hAnsi="Palatino Linotype" w:cs="Arial"/>
          <w:color w:val="000000" w:themeColor="text1"/>
        </w:rPr>
        <w:t>Por lo que respecta al término “póliza contable”, éste tampoco está definido en el Código Financiero del Estado de México y Municipios; sin embargo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 la siguiente definición del término “póliza contable”:</w:t>
      </w:r>
    </w:p>
    <w:p w:rsidR="006F1C9E" w:rsidRPr="00922B93" w:rsidRDefault="006F1C9E" w:rsidP="00922B93">
      <w:pPr>
        <w:tabs>
          <w:tab w:val="left" w:pos="0"/>
        </w:tabs>
        <w:ind w:left="567"/>
        <w:contextualSpacing/>
        <w:rPr>
          <w:rFonts w:ascii="Palatino Linotype" w:eastAsia="Arial Unicode MS" w:hAnsi="Palatino Linotype"/>
          <w:b/>
          <w:i/>
          <w:color w:val="000000" w:themeColor="text1"/>
          <w:kern w:val="28"/>
        </w:rPr>
      </w:pPr>
      <w:r w:rsidRPr="00922B93">
        <w:rPr>
          <w:rFonts w:ascii="Palatino Linotype" w:eastAsia="Arial Unicode MS" w:hAnsi="Palatino Linotype"/>
          <w:i/>
          <w:color w:val="000000" w:themeColor="text1"/>
          <w:kern w:val="28"/>
        </w:rPr>
        <w:t>“</w:t>
      </w:r>
      <w:r w:rsidRPr="00922B93">
        <w:rPr>
          <w:rFonts w:ascii="Palatino Linotype" w:eastAsia="Arial Unicode MS" w:hAnsi="Palatino Linotype"/>
          <w:b/>
          <w:i/>
          <w:color w:val="000000" w:themeColor="text1"/>
          <w:kern w:val="28"/>
        </w:rPr>
        <w:t>PÓLIZA CONTABLE</w:t>
      </w:r>
    </w:p>
    <w:p w:rsidR="006F1C9E" w:rsidRPr="00922B93" w:rsidRDefault="006F1C9E" w:rsidP="00922B93">
      <w:pPr>
        <w:tabs>
          <w:tab w:val="left" w:pos="0"/>
        </w:tabs>
        <w:ind w:left="567"/>
        <w:contextualSpacing/>
        <w:rPr>
          <w:rFonts w:ascii="Palatino Linotype" w:eastAsia="Arial Unicode MS" w:hAnsi="Palatino Linotype"/>
          <w:i/>
          <w:color w:val="000000" w:themeColor="text1"/>
          <w:kern w:val="28"/>
        </w:rPr>
      </w:pPr>
      <w:r w:rsidRPr="00922B93">
        <w:rPr>
          <w:rFonts w:ascii="Palatino Linotype" w:eastAsia="Arial Unicode MS" w:hAnsi="Palatino Linotype"/>
          <w:i/>
          <w:color w:val="000000" w:themeColor="text1"/>
          <w:kern w:val="28"/>
        </w:rPr>
        <w:t>Documento en el cual se asientan en forma individual todas y cada una de las operaciones desarrolladas por una institución, así como la información necesaria para la identificación necesaria para la identificación de dichas operaciones.”</w:t>
      </w:r>
    </w:p>
    <w:p w:rsidR="006F1C9E" w:rsidRDefault="006F1C9E" w:rsidP="00922B93">
      <w:pPr>
        <w:tabs>
          <w:tab w:val="left" w:pos="0"/>
        </w:tabs>
        <w:ind w:left="851"/>
        <w:rPr>
          <w:rFonts w:ascii="Palatino Linotype" w:eastAsia="Arial Unicode MS" w:hAnsi="Palatino Linotype" w:cs="Arial"/>
          <w:i/>
          <w:color w:val="000000" w:themeColor="text1"/>
        </w:rPr>
      </w:pPr>
    </w:p>
    <w:p w:rsidR="003D029A" w:rsidRPr="00922B93" w:rsidRDefault="003D029A" w:rsidP="00922B93">
      <w:pPr>
        <w:tabs>
          <w:tab w:val="left" w:pos="0"/>
        </w:tabs>
        <w:ind w:left="851"/>
        <w:rPr>
          <w:rFonts w:ascii="Palatino Linotype" w:eastAsia="Arial Unicode MS" w:hAnsi="Palatino Linotype" w:cs="Arial"/>
          <w:i/>
          <w:color w:val="000000" w:themeColor="text1"/>
        </w:rPr>
      </w:pPr>
    </w:p>
    <w:p w:rsidR="006F1C9E" w:rsidRPr="00922B93" w:rsidRDefault="006F1C9E" w:rsidP="00922B93">
      <w:pPr>
        <w:pStyle w:val="Prrafodelista"/>
        <w:numPr>
          <w:ilvl w:val="0"/>
          <w:numId w:val="2"/>
        </w:numPr>
        <w:tabs>
          <w:tab w:val="left" w:pos="0"/>
        </w:tabs>
        <w:spacing w:line="360" w:lineRule="auto"/>
        <w:jc w:val="both"/>
        <w:rPr>
          <w:rFonts w:ascii="Palatino Linotype" w:hAnsi="Palatino Linotype" w:cs="Arial"/>
          <w:color w:val="000000" w:themeColor="text1"/>
        </w:rPr>
      </w:pPr>
      <w:r w:rsidRPr="00922B93">
        <w:rPr>
          <w:rFonts w:ascii="Palatino Linotype" w:hAnsi="Palatino Linotype" w:cs="Arial"/>
          <w:color w:val="000000" w:themeColor="text1"/>
        </w:rPr>
        <w:t xml:space="preserve">De lo anterior, se advierte que la póliza contable constituye un registro contable y presupuestal con el que cuentan los Municipios para el registro de sus operaciones relacionadas con sus ingresos y egresos, y se anexan los documentos o comprobantes que </w:t>
      </w:r>
      <w:r w:rsidRPr="00922B93">
        <w:rPr>
          <w:rFonts w:ascii="Palatino Linotype" w:hAnsi="Palatino Linotype" w:cs="Arial"/>
          <w:color w:val="000000" w:themeColor="text1"/>
        </w:rPr>
        <w:lastRenderedPageBreak/>
        <w:t>justifiquen las anotaciones y cantidades en ellas registradas, lo que permite la identificación plena de dichas operaciones.</w:t>
      </w:r>
    </w:p>
    <w:p w:rsidR="006F1C9E" w:rsidRPr="00922B93" w:rsidRDefault="006F1C9E" w:rsidP="00922B93">
      <w:pPr>
        <w:tabs>
          <w:tab w:val="left" w:pos="0"/>
        </w:tabs>
        <w:spacing w:line="360" w:lineRule="auto"/>
        <w:jc w:val="both"/>
        <w:rPr>
          <w:rFonts w:ascii="Palatino Linotype" w:eastAsia="MS Mincho" w:hAnsi="Palatino Linotype"/>
          <w:color w:val="000000" w:themeColor="text1"/>
        </w:rPr>
      </w:pPr>
    </w:p>
    <w:p w:rsidR="006F1C9E" w:rsidRPr="00922B93" w:rsidRDefault="006F1C9E" w:rsidP="00922B93">
      <w:pPr>
        <w:pStyle w:val="Prrafodelista"/>
        <w:numPr>
          <w:ilvl w:val="0"/>
          <w:numId w:val="2"/>
        </w:numPr>
        <w:tabs>
          <w:tab w:val="left" w:pos="0"/>
        </w:tabs>
        <w:spacing w:line="360" w:lineRule="auto"/>
        <w:jc w:val="both"/>
        <w:rPr>
          <w:rFonts w:ascii="Palatino Linotype" w:eastAsiaTheme="majorEastAsia" w:hAnsi="Palatino Linotype" w:cs="Arial"/>
          <w:b/>
          <w:bCs/>
          <w:color w:val="000000" w:themeColor="text1"/>
        </w:rPr>
      </w:pPr>
      <w:r w:rsidRPr="00922B93">
        <w:rPr>
          <w:rFonts w:ascii="Palatino Linotype" w:hAnsi="Palatino Linotype" w:cs="Arial"/>
          <w:color w:val="000000" w:themeColor="text1"/>
        </w:rPr>
        <w:t xml:space="preserve">Ahora bien, existen diversos tipos de pólizas de acuerdo a las operaciones realizadas, así encontramos que los pagos efectuados con cheque son controlados en “pólizas de cheque”, las cuales permiten registrar una </w:t>
      </w:r>
      <w:r w:rsidRPr="00922B93">
        <w:rPr>
          <w:rFonts w:ascii="Palatino Linotype" w:eastAsiaTheme="majorEastAsia" w:hAnsi="Palatino Linotype" w:cs="Arial"/>
          <w:b/>
          <w:bCs/>
          <w:color w:val="000000" w:themeColor="text1"/>
        </w:rPr>
        <w:t xml:space="preserve">salida de dinero de la </w:t>
      </w:r>
      <w:hyperlink r:id="rId9" w:history="1">
        <w:r w:rsidRPr="00922B93">
          <w:rPr>
            <w:rFonts w:ascii="Palatino Linotype" w:eastAsiaTheme="majorEastAsia" w:hAnsi="Palatino Linotype"/>
            <w:b/>
            <w:bCs/>
            <w:color w:val="000000" w:themeColor="text1"/>
            <w:u w:val="single"/>
          </w:rPr>
          <w:t>cuenta bancaria</w:t>
        </w:r>
      </w:hyperlink>
      <w:r w:rsidRPr="00922B93">
        <w:rPr>
          <w:rFonts w:ascii="Palatino Linotype" w:eastAsiaTheme="majorEastAsia" w:hAnsi="Palatino Linotype" w:cs="Arial"/>
          <w:b/>
          <w:bCs/>
          <w:color w:val="000000" w:themeColor="text1"/>
          <w:u w:val="single"/>
        </w:rPr>
        <w:t xml:space="preserve"> </w:t>
      </w:r>
      <w:r w:rsidRPr="00922B93">
        <w:rPr>
          <w:rFonts w:ascii="Palatino Linotype" w:eastAsiaTheme="majorEastAsia" w:hAnsi="Palatino Linotype" w:cs="Arial"/>
          <w:b/>
          <w:bCs/>
          <w:color w:val="000000" w:themeColor="text1"/>
        </w:rPr>
        <w:t xml:space="preserve">propia, a través de la </w:t>
      </w:r>
      <w:hyperlink r:id="rId10" w:history="1">
        <w:r w:rsidRPr="00922B93">
          <w:rPr>
            <w:rFonts w:ascii="Palatino Linotype" w:eastAsiaTheme="majorEastAsia" w:hAnsi="Palatino Linotype"/>
            <w:b/>
            <w:bCs/>
            <w:color w:val="000000" w:themeColor="text1"/>
            <w:u w:val="single"/>
          </w:rPr>
          <w:t>emisión de un cheque</w:t>
        </w:r>
      </w:hyperlink>
      <w:r w:rsidRPr="00922B93">
        <w:rPr>
          <w:rFonts w:ascii="Palatino Linotype" w:eastAsiaTheme="majorEastAsia" w:hAnsi="Palatino Linotype"/>
          <w:b/>
          <w:bCs/>
          <w:color w:val="000000" w:themeColor="text1"/>
          <w:u w:val="single"/>
        </w:rPr>
        <w:t>,</w:t>
      </w:r>
      <w:r w:rsidRPr="00922B93">
        <w:rPr>
          <w:rFonts w:ascii="Palatino Linotype" w:hAnsi="Palatino Linotype" w:cs="Arial"/>
          <w:color w:val="000000" w:themeColor="text1"/>
        </w:rPr>
        <w:t xml:space="preserve"> por lo que las dependencias públicas al librar un cheque, </w:t>
      </w:r>
      <w:r w:rsidRPr="00922B93">
        <w:rPr>
          <w:rFonts w:ascii="Palatino Linotype" w:eastAsiaTheme="majorEastAsia" w:hAnsi="Palatino Linotype" w:cs="Arial"/>
          <w:b/>
          <w:bCs/>
          <w:color w:val="000000" w:themeColor="text1"/>
        </w:rPr>
        <w:t>adhieren una fotocopia del mismo con una póliza que sirve para fines contables</w:t>
      </w:r>
      <w:r w:rsidRPr="00922B93">
        <w:rPr>
          <w:rFonts w:ascii="Palatino Linotype" w:hAnsi="Palatino Linotype" w:cs="Arial"/>
          <w:color w:val="000000" w:themeColor="text1"/>
        </w:rPr>
        <w:t xml:space="preserve">, porque describe cuánto y para qué se expidió el título de crédito, la cual sirve a su vez, </w:t>
      </w:r>
      <w:r w:rsidRPr="00922B93">
        <w:rPr>
          <w:rFonts w:ascii="Palatino Linotype" w:eastAsiaTheme="majorEastAsia" w:hAnsi="Palatino Linotype" w:cs="Arial"/>
          <w:b/>
          <w:bCs/>
          <w:color w:val="000000" w:themeColor="text1"/>
        </w:rPr>
        <w:t>como un recibo del cheque entregado al beneficiario.</w:t>
      </w:r>
    </w:p>
    <w:p w:rsidR="006F1C9E" w:rsidRPr="00922B93" w:rsidRDefault="006F1C9E" w:rsidP="00922B93">
      <w:pPr>
        <w:tabs>
          <w:tab w:val="left" w:pos="0"/>
        </w:tabs>
        <w:spacing w:line="360" w:lineRule="auto"/>
        <w:jc w:val="both"/>
        <w:rPr>
          <w:rFonts w:ascii="Palatino Linotype" w:hAnsi="Palatino Linotype" w:cs="Arial"/>
          <w:color w:val="000000" w:themeColor="text1"/>
        </w:rPr>
      </w:pPr>
    </w:p>
    <w:p w:rsidR="006F1C9E" w:rsidRPr="00922B93" w:rsidRDefault="006F1C9E" w:rsidP="00922B93">
      <w:pPr>
        <w:pStyle w:val="Prrafodelista"/>
        <w:numPr>
          <w:ilvl w:val="0"/>
          <w:numId w:val="2"/>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922B93">
        <w:rPr>
          <w:rFonts w:ascii="Palatino Linotype" w:hAnsi="Palatino Linotype" w:cs="Arial"/>
          <w:color w:val="000000" w:themeColor="text1"/>
        </w:rPr>
        <w:t>Luego, las pólizas de cheque disponen de un espacio en la parte superior que permite obtener la copia de todos los datos del cheque expedido, y en la parte inferior, los demás datos de identificación contable, tales como, nombre de la entidad, referencia a la póliza, tipo de póliza, número de póliza, fecha, número de cuenta, número de subcuenta, concepto, cargos y abonos y firmas de quienes elaboraron, revisaron y autorizaron.</w:t>
      </w:r>
    </w:p>
    <w:p w:rsidR="006F1C9E" w:rsidRPr="00922B93" w:rsidRDefault="006F1C9E" w:rsidP="00922B93">
      <w:pPr>
        <w:pStyle w:val="Prrafodelista"/>
        <w:tabs>
          <w:tab w:val="left" w:pos="0"/>
        </w:tabs>
        <w:rPr>
          <w:rFonts w:ascii="Palatino Linotype" w:eastAsia="Palatino Linotype" w:hAnsi="Palatino Linotype" w:cs="Palatino Linotype"/>
          <w:color w:val="000000" w:themeColor="text1"/>
        </w:rPr>
      </w:pPr>
    </w:p>
    <w:p w:rsidR="00913AAE" w:rsidRPr="00922B93" w:rsidRDefault="006F1C9E" w:rsidP="00922B93">
      <w:pPr>
        <w:numPr>
          <w:ilvl w:val="0"/>
          <w:numId w:val="2"/>
        </w:numPr>
        <w:tabs>
          <w:tab w:val="left" w:pos="0"/>
        </w:tabs>
        <w:spacing w:line="360" w:lineRule="auto"/>
        <w:jc w:val="both"/>
        <w:rPr>
          <w:rFonts w:ascii="Palatino Linotype" w:eastAsia="Palatino Linotype" w:hAnsi="Palatino Linotype" w:cs="Palatino Linotype"/>
          <w:b/>
          <w:color w:val="000000" w:themeColor="text1"/>
        </w:rPr>
      </w:pPr>
      <w:r w:rsidRPr="00922B93">
        <w:rPr>
          <w:rFonts w:ascii="Palatino Linotype" w:eastAsia="Palatino Linotype" w:hAnsi="Palatino Linotype" w:cs="Palatino Linotype"/>
          <w:color w:val="000000" w:themeColor="text1"/>
        </w:rPr>
        <w:t xml:space="preserve">En consecuencia, </w:t>
      </w:r>
      <w:r w:rsidRPr="00922B93">
        <w:rPr>
          <w:rFonts w:ascii="Palatino Linotype" w:hAnsi="Palatino Linotype" w:cs="Tahoma"/>
          <w:bCs/>
          <w:iCs/>
          <w:color w:val="000000" w:themeColor="text1"/>
          <w:lang w:eastAsia="es-ES"/>
        </w:rPr>
        <w:t xml:space="preserve">es dable ordenar al </w:t>
      </w:r>
      <w:r w:rsidRPr="00922B93">
        <w:rPr>
          <w:rFonts w:ascii="Palatino Linotype" w:hAnsi="Palatino Linotype" w:cs="Tahoma"/>
          <w:b/>
          <w:bCs/>
          <w:iCs/>
          <w:color w:val="000000" w:themeColor="text1"/>
          <w:lang w:eastAsia="es-ES"/>
        </w:rPr>
        <w:t>SUJETO OBLIGADO</w:t>
      </w:r>
      <w:r w:rsidR="00913AAE" w:rsidRPr="00922B93">
        <w:rPr>
          <w:rFonts w:ascii="Palatino Linotype" w:hAnsi="Palatino Linotype" w:cs="Tahoma"/>
          <w:bCs/>
          <w:iCs/>
          <w:color w:val="000000" w:themeColor="text1"/>
          <w:lang w:eastAsia="es-ES"/>
        </w:rPr>
        <w:t xml:space="preserve">, en versión pública, </w:t>
      </w:r>
      <w:r w:rsidR="00913AAE" w:rsidRPr="00922B93">
        <w:rPr>
          <w:rFonts w:ascii="Palatino Linotype" w:hAnsi="Palatino Linotype" w:cs="Tahoma"/>
          <w:b/>
          <w:bCs/>
          <w:iCs/>
          <w:color w:val="000000" w:themeColor="text1"/>
          <w:lang w:eastAsia="es-ES"/>
        </w:rPr>
        <w:t>l</w:t>
      </w:r>
      <w:r w:rsidR="00913AAE" w:rsidRPr="00922B93">
        <w:rPr>
          <w:rFonts w:ascii="Palatino Linotype" w:hAnsi="Palatino Linotype"/>
          <w:b/>
          <w:color w:val="000000" w:themeColor="text1"/>
        </w:rPr>
        <w:t xml:space="preserve">as </w:t>
      </w:r>
      <w:r w:rsidR="00913AAE" w:rsidRPr="00922B93">
        <w:rPr>
          <w:rFonts w:ascii="Palatino Linotype" w:eastAsia="Calibri" w:hAnsi="Palatino Linotype"/>
          <w:b/>
          <w:color w:val="000000" w:themeColor="text1"/>
          <w:lang w:eastAsia="es-ES_tradnl"/>
        </w:rPr>
        <w:t>pólizas y/o comprobantes digitales de pagos realizados a particulares vía cheque o transferencia electrónica durante el mes de abril de 2025.</w:t>
      </w:r>
    </w:p>
    <w:p w:rsidR="00913AAE" w:rsidRPr="00922B93" w:rsidRDefault="00913AAE" w:rsidP="00922B93">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6F1C9E" w:rsidRPr="00922B93" w:rsidRDefault="006F1C9E" w:rsidP="00922B93">
      <w:pPr>
        <w:numPr>
          <w:ilvl w:val="0"/>
          <w:numId w:val="2"/>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922B93">
        <w:rPr>
          <w:rFonts w:ascii="Palatino Linotype" w:eastAsia="Palatino Linotype" w:hAnsi="Palatino Linotype" w:cs="Palatino Linotype"/>
          <w:color w:val="000000" w:themeColor="text1"/>
        </w:rPr>
        <w:t xml:space="preserve">Ahora bien, es importante señalar que el artículo 4, párrafo segundo de la Ley de Transparencia y Acceso a la Información Pública del Estado de México y Municipios, dispone lo siguiente: </w:t>
      </w:r>
    </w:p>
    <w:p w:rsidR="006F1C9E" w:rsidRPr="00922B93" w:rsidRDefault="006F1C9E" w:rsidP="00922B93">
      <w:pPr>
        <w:tabs>
          <w:tab w:val="left" w:pos="0"/>
        </w:tabs>
        <w:spacing w:line="360" w:lineRule="auto"/>
        <w:ind w:left="644"/>
        <w:jc w:val="both"/>
        <w:rPr>
          <w:rFonts w:ascii="Palatino Linotype" w:eastAsia="Palatino Linotype" w:hAnsi="Palatino Linotype" w:cs="Palatino Linotype"/>
          <w:color w:val="000000" w:themeColor="text1"/>
        </w:rPr>
      </w:pPr>
    </w:p>
    <w:p w:rsidR="006F1C9E" w:rsidRPr="00922B93" w:rsidRDefault="006F1C9E" w:rsidP="00922B93">
      <w:pPr>
        <w:tabs>
          <w:tab w:val="left" w:pos="0"/>
          <w:tab w:val="left" w:pos="426"/>
          <w:tab w:val="left" w:pos="567"/>
        </w:tabs>
        <w:ind w:left="567"/>
        <w:jc w:val="both"/>
        <w:rPr>
          <w:rFonts w:ascii="Palatino Linotype" w:eastAsia="Palatino Linotype" w:hAnsi="Palatino Linotype" w:cs="Palatino Linotype"/>
          <w:i/>
          <w:color w:val="000000" w:themeColor="text1"/>
        </w:rPr>
      </w:pPr>
      <w:r w:rsidRPr="00922B93">
        <w:rPr>
          <w:rFonts w:ascii="Palatino Linotype" w:eastAsia="Palatino Linotype" w:hAnsi="Palatino Linotype" w:cs="Palatino Linotype"/>
          <w:i/>
          <w:color w:val="000000" w:themeColor="text1"/>
        </w:rPr>
        <w:lastRenderedPageBreak/>
        <w:t>“</w:t>
      </w:r>
      <w:r w:rsidRPr="00922B93">
        <w:rPr>
          <w:rFonts w:ascii="Palatino Linotype" w:eastAsia="Palatino Linotype" w:hAnsi="Palatino Linotype" w:cs="Palatino Linotype"/>
          <w:b/>
          <w:i/>
          <w:color w:val="000000" w:themeColor="text1"/>
        </w:rPr>
        <w:t>Artículo 4. …</w:t>
      </w:r>
    </w:p>
    <w:p w:rsidR="006F1C9E" w:rsidRPr="00922B93" w:rsidRDefault="006F1C9E" w:rsidP="00922B93">
      <w:pPr>
        <w:tabs>
          <w:tab w:val="left" w:pos="0"/>
          <w:tab w:val="left" w:pos="426"/>
          <w:tab w:val="left" w:pos="567"/>
        </w:tabs>
        <w:ind w:left="567"/>
        <w:jc w:val="both"/>
        <w:rPr>
          <w:rFonts w:ascii="Palatino Linotype" w:eastAsia="Palatino Linotype" w:hAnsi="Palatino Linotype" w:cs="Palatino Linotype"/>
          <w:color w:val="000000" w:themeColor="text1"/>
        </w:rPr>
      </w:pPr>
      <w:r w:rsidRPr="00922B93">
        <w:rPr>
          <w:rFonts w:ascii="Palatino Linotype" w:eastAsia="Palatino Linotype" w:hAnsi="Palatino Linotype" w:cs="Palatino Linotype"/>
          <w:i/>
          <w:color w:val="000000" w:themeColor="text1"/>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6F1C9E" w:rsidRPr="00922B93" w:rsidRDefault="006F1C9E" w:rsidP="00922B93">
      <w:pPr>
        <w:tabs>
          <w:tab w:val="left" w:pos="0"/>
        </w:tabs>
        <w:spacing w:line="360" w:lineRule="auto"/>
        <w:ind w:left="644"/>
        <w:jc w:val="both"/>
        <w:rPr>
          <w:rFonts w:ascii="Palatino Linotype" w:eastAsia="Palatino Linotype" w:hAnsi="Palatino Linotype" w:cs="Palatino Linotype"/>
          <w:color w:val="000000" w:themeColor="text1"/>
        </w:rPr>
      </w:pPr>
    </w:p>
    <w:p w:rsidR="006F1C9E" w:rsidRPr="00922B93" w:rsidRDefault="006F1C9E" w:rsidP="00922B93">
      <w:pPr>
        <w:pStyle w:val="Prrafodelista"/>
        <w:numPr>
          <w:ilvl w:val="0"/>
          <w:numId w:val="2"/>
        </w:numPr>
        <w:tabs>
          <w:tab w:val="left" w:pos="0"/>
        </w:tabs>
        <w:spacing w:line="360" w:lineRule="auto"/>
        <w:jc w:val="both"/>
        <w:rPr>
          <w:rFonts w:ascii="Palatino Linotype" w:eastAsia="Palatino Linotype" w:hAnsi="Palatino Linotype" w:cs="Palatino Linotype"/>
          <w:b/>
          <w:color w:val="000000" w:themeColor="text1"/>
        </w:rPr>
      </w:pPr>
      <w:r w:rsidRPr="00922B93">
        <w:rPr>
          <w:rFonts w:ascii="Palatino Linotype" w:eastAsia="Palatino Linotype" w:hAnsi="Palatino Linotype" w:cs="Palatino Linotype"/>
          <w:color w:val="000000" w:themeColor="text1"/>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rsidR="006F1C9E" w:rsidRPr="00922B93" w:rsidRDefault="006F1C9E" w:rsidP="00922B93">
      <w:pPr>
        <w:tabs>
          <w:tab w:val="left" w:pos="0"/>
        </w:tabs>
        <w:spacing w:line="360" w:lineRule="auto"/>
        <w:ind w:left="644"/>
        <w:jc w:val="both"/>
        <w:rPr>
          <w:rFonts w:ascii="Palatino Linotype" w:eastAsia="Palatino Linotype" w:hAnsi="Palatino Linotype" w:cs="Palatino Linotype"/>
          <w:color w:val="000000" w:themeColor="text1"/>
        </w:rPr>
      </w:pPr>
    </w:p>
    <w:p w:rsidR="006F1C9E" w:rsidRPr="00922B93" w:rsidRDefault="006F1C9E" w:rsidP="00922B93">
      <w:pPr>
        <w:numPr>
          <w:ilvl w:val="0"/>
          <w:numId w:val="2"/>
        </w:numPr>
        <w:tabs>
          <w:tab w:val="left" w:pos="0"/>
        </w:tabs>
        <w:spacing w:line="360" w:lineRule="auto"/>
        <w:jc w:val="both"/>
        <w:rPr>
          <w:rFonts w:ascii="Palatino Linotype" w:eastAsia="Palatino Linotype" w:hAnsi="Palatino Linotype" w:cs="Palatino Linotype"/>
          <w:b/>
          <w:color w:val="000000" w:themeColor="text1"/>
        </w:rPr>
      </w:pPr>
      <w:r w:rsidRPr="00922B93">
        <w:rPr>
          <w:rFonts w:ascii="Palatino Linotype" w:eastAsia="Palatino Linotype" w:hAnsi="Palatino Linotype" w:cs="Palatino Linotype"/>
          <w:color w:val="000000" w:themeColor="text1"/>
        </w:rPr>
        <w:t xml:space="preserve">Así, 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solicitado; esto es, que no tienen el deber de generar un documento ad hoc, para satisfacer el derecho de acceso a la información pública. </w:t>
      </w:r>
    </w:p>
    <w:p w:rsidR="006F1C9E" w:rsidRPr="00922B93" w:rsidRDefault="006F1C9E" w:rsidP="00922B93">
      <w:pPr>
        <w:tabs>
          <w:tab w:val="left" w:pos="0"/>
        </w:tabs>
        <w:spacing w:line="360" w:lineRule="auto"/>
        <w:ind w:left="644"/>
        <w:jc w:val="both"/>
        <w:rPr>
          <w:rFonts w:ascii="Palatino Linotype" w:eastAsia="Palatino Linotype" w:hAnsi="Palatino Linotype" w:cs="Palatino Linotype"/>
          <w:color w:val="000000" w:themeColor="text1"/>
        </w:rPr>
      </w:pPr>
    </w:p>
    <w:p w:rsidR="006F1C9E" w:rsidRPr="00922B93" w:rsidRDefault="006F1C9E" w:rsidP="00922B93">
      <w:pPr>
        <w:numPr>
          <w:ilvl w:val="0"/>
          <w:numId w:val="2"/>
        </w:numPr>
        <w:tabs>
          <w:tab w:val="left" w:pos="0"/>
        </w:tabs>
        <w:spacing w:line="360" w:lineRule="auto"/>
        <w:jc w:val="both"/>
        <w:rPr>
          <w:rFonts w:ascii="Palatino Linotype" w:eastAsia="Palatino Linotype" w:hAnsi="Palatino Linotype" w:cs="Palatino Linotype"/>
          <w:b/>
          <w:color w:val="000000" w:themeColor="text1"/>
        </w:rPr>
      </w:pPr>
      <w:r w:rsidRPr="00922B93">
        <w:rPr>
          <w:rFonts w:ascii="Palatino Linotype" w:eastAsia="Palatino Linotype" w:hAnsi="Palatino Linotype" w:cs="Palatino Linotype"/>
          <w:color w:val="000000" w:themeColor="text1"/>
        </w:rPr>
        <w:t xml:space="preserve">Como apoyo a lo anterior, es aplicable el Criterio 03-17, emitido por el Instituto Nacional de Transparencia, Acceso a la Información y Protección de Datos Personales, que dice: </w:t>
      </w:r>
    </w:p>
    <w:p w:rsidR="006F1C9E" w:rsidRPr="00922B93" w:rsidRDefault="006F1C9E" w:rsidP="00922B93">
      <w:pPr>
        <w:tabs>
          <w:tab w:val="left" w:pos="0"/>
          <w:tab w:val="left" w:pos="426"/>
          <w:tab w:val="left" w:pos="567"/>
        </w:tabs>
        <w:ind w:left="567"/>
        <w:jc w:val="both"/>
        <w:rPr>
          <w:rFonts w:ascii="Palatino Linotype" w:eastAsia="Palatino Linotype" w:hAnsi="Palatino Linotype" w:cs="Palatino Linotype"/>
          <w:i/>
          <w:color w:val="000000" w:themeColor="text1"/>
        </w:rPr>
      </w:pPr>
      <w:r w:rsidRPr="00922B93">
        <w:rPr>
          <w:rFonts w:ascii="Palatino Linotype" w:eastAsia="Palatino Linotype" w:hAnsi="Palatino Linotype" w:cs="Palatino Linotype"/>
          <w:b/>
          <w:i/>
          <w:color w:val="000000" w:themeColor="text1"/>
        </w:rPr>
        <w:t>“No existe obligación de elaborar documentos ad hoc para atender las solicitudes de acceso a la información.</w:t>
      </w:r>
      <w:r w:rsidRPr="00922B93">
        <w:rPr>
          <w:rFonts w:ascii="Palatino Linotype" w:eastAsia="Palatino Linotype" w:hAnsi="Palatino Linotype" w:cs="Palatino Linotype"/>
          <w:i/>
          <w:color w:val="000000" w:themeColor="text1"/>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w:t>
      </w:r>
      <w:r w:rsidRPr="00922B93">
        <w:rPr>
          <w:rFonts w:ascii="Palatino Linotype" w:eastAsia="Palatino Linotype" w:hAnsi="Palatino Linotype" w:cs="Palatino Linotype"/>
          <w:i/>
          <w:color w:val="000000" w:themeColor="text1"/>
        </w:rPr>
        <w:lastRenderedPageBreak/>
        <w:t xml:space="preserve">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rsidR="006F1C9E" w:rsidRPr="00922B93" w:rsidRDefault="006F1C9E" w:rsidP="00922B93">
      <w:pPr>
        <w:tabs>
          <w:tab w:val="left" w:pos="0"/>
          <w:tab w:val="left" w:pos="426"/>
          <w:tab w:val="left" w:pos="567"/>
        </w:tabs>
        <w:ind w:left="567"/>
        <w:jc w:val="both"/>
        <w:rPr>
          <w:rFonts w:ascii="Palatino Linotype" w:eastAsia="Palatino Linotype" w:hAnsi="Palatino Linotype" w:cs="Palatino Linotype"/>
          <w:i/>
          <w:color w:val="000000" w:themeColor="text1"/>
        </w:rPr>
      </w:pPr>
    </w:p>
    <w:p w:rsidR="006F1C9E" w:rsidRPr="00922B93" w:rsidRDefault="006F1C9E" w:rsidP="00922B93">
      <w:pPr>
        <w:tabs>
          <w:tab w:val="left" w:pos="0"/>
          <w:tab w:val="left" w:pos="426"/>
          <w:tab w:val="left" w:pos="567"/>
        </w:tabs>
        <w:ind w:left="567"/>
        <w:jc w:val="both"/>
        <w:rPr>
          <w:rFonts w:ascii="Palatino Linotype" w:eastAsia="Palatino Linotype" w:hAnsi="Palatino Linotype" w:cs="Palatino Linotype"/>
          <w:i/>
          <w:color w:val="000000" w:themeColor="text1"/>
        </w:rPr>
      </w:pPr>
      <w:r w:rsidRPr="00922B93">
        <w:rPr>
          <w:rFonts w:ascii="Palatino Linotype" w:eastAsia="Palatino Linotype" w:hAnsi="Palatino Linotype" w:cs="Palatino Linotype"/>
          <w:i/>
          <w:color w:val="000000" w:themeColor="text1"/>
        </w:rPr>
        <w:t xml:space="preserve">Resoluciones: </w:t>
      </w:r>
    </w:p>
    <w:p w:rsidR="006F1C9E" w:rsidRPr="00922B93" w:rsidRDefault="006F1C9E" w:rsidP="00922B93">
      <w:pPr>
        <w:tabs>
          <w:tab w:val="left" w:pos="0"/>
          <w:tab w:val="left" w:pos="426"/>
          <w:tab w:val="left" w:pos="567"/>
        </w:tabs>
        <w:ind w:left="567"/>
        <w:jc w:val="both"/>
        <w:rPr>
          <w:rFonts w:ascii="Palatino Linotype" w:eastAsia="Palatino Linotype" w:hAnsi="Palatino Linotype" w:cs="Palatino Linotype"/>
          <w:i/>
          <w:color w:val="000000" w:themeColor="text1"/>
        </w:rPr>
      </w:pPr>
      <w:r w:rsidRPr="00922B93">
        <w:rPr>
          <w:rFonts w:ascii="Palatino Linotype" w:eastAsia="Symbol" w:hAnsi="Palatino Linotype" w:cs="Symbol"/>
          <w:i/>
          <w:color w:val="000000" w:themeColor="text1"/>
        </w:rPr>
        <w:t>∙</w:t>
      </w:r>
      <w:r w:rsidRPr="00922B93">
        <w:rPr>
          <w:rFonts w:ascii="Palatino Linotype" w:eastAsia="Palatino Linotype" w:hAnsi="Palatino Linotype" w:cs="Palatino Linotype"/>
          <w:i/>
          <w:color w:val="000000" w:themeColor="text1"/>
        </w:rPr>
        <w:t xml:space="preserve"> RRA 0050/16. Instituto Nacional para la Evaluación de la Educación. 13 julio de 2016. Por unanimidad. Comisionado Ponente: Francisco Javier Acuña Llamas. </w:t>
      </w:r>
    </w:p>
    <w:p w:rsidR="006F1C9E" w:rsidRPr="00922B93" w:rsidRDefault="006F1C9E" w:rsidP="00922B93">
      <w:pPr>
        <w:tabs>
          <w:tab w:val="left" w:pos="0"/>
          <w:tab w:val="left" w:pos="426"/>
          <w:tab w:val="left" w:pos="567"/>
        </w:tabs>
        <w:ind w:left="567"/>
        <w:jc w:val="both"/>
        <w:rPr>
          <w:rFonts w:ascii="Palatino Linotype" w:eastAsia="Palatino Linotype" w:hAnsi="Palatino Linotype" w:cs="Palatino Linotype"/>
          <w:i/>
          <w:color w:val="000000" w:themeColor="text1"/>
        </w:rPr>
      </w:pPr>
      <w:r w:rsidRPr="00922B93">
        <w:rPr>
          <w:rFonts w:ascii="Palatino Linotype" w:eastAsia="Symbol" w:hAnsi="Palatino Linotype" w:cs="Symbol"/>
          <w:i/>
          <w:color w:val="000000" w:themeColor="text1"/>
        </w:rPr>
        <w:t>∙</w:t>
      </w:r>
      <w:r w:rsidRPr="00922B93">
        <w:rPr>
          <w:rFonts w:ascii="Palatino Linotype" w:eastAsia="Palatino Linotype" w:hAnsi="Palatino Linotype" w:cs="Palatino Linotype"/>
          <w:i/>
          <w:color w:val="000000" w:themeColor="text1"/>
        </w:rPr>
        <w:t xml:space="preserve"> RRA 0310/16. Instituto Nacional de Transparencia, Acceso a la Información y Protección de Datos Personales. 10 de agosto de 2016. Por unanimidad. Comisionada Ponente. Areli Cano Guadiana. </w:t>
      </w:r>
    </w:p>
    <w:p w:rsidR="006F1C9E" w:rsidRPr="00922B93" w:rsidRDefault="006F1C9E" w:rsidP="00922B93">
      <w:pPr>
        <w:tabs>
          <w:tab w:val="left" w:pos="0"/>
          <w:tab w:val="left" w:pos="426"/>
          <w:tab w:val="left" w:pos="567"/>
        </w:tabs>
        <w:ind w:left="567"/>
        <w:jc w:val="both"/>
        <w:rPr>
          <w:rFonts w:ascii="Palatino Linotype" w:eastAsia="Palatino Linotype" w:hAnsi="Palatino Linotype" w:cs="Palatino Linotype"/>
          <w:color w:val="000000" w:themeColor="text1"/>
        </w:rPr>
      </w:pPr>
      <w:r w:rsidRPr="00922B93">
        <w:rPr>
          <w:rFonts w:ascii="Palatino Linotype" w:eastAsia="Symbol" w:hAnsi="Palatino Linotype" w:cs="Symbol"/>
          <w:i/>
          <w:color w:val="000000" w:themeColor="text1"/>
        </w:rPr>
        <w:t>∙</w:t>
      </w:r>
      <w:r w:rsidRPr="00922B93">
        <w:rPr>
          <w:rFonts w:ascii="Palatino Linotype" w:eastAsia="Palatino Linotype" w:hAnsi="Palatino Linotype" w:cs="Palatino Linotype"/>
          <w:i/>
          <w:color w:val="000000" w:themeColor="text1"/>
        </w:rPr>
        <w:t xml:space="preserve"> RRA 1889/16. Secretaría de Hacienda y Crédito Público. 05 de octubre de 2016. Por unanimidad. Comisionada Ponente. Ximena Puente de la Mora.”</w:t>
      </w:r>
    </w:p>
    <w:p w:rsidR="006F1C9E" w:rsidRPr="00922B93" w:rsidRDefault="006F1C9E" w:rsidP="00922B93">
      <w:pPr>
        <w:tabs>
          <w:tab w:val="left" w:pos="0"/>
        </w:tabs>
        <w:spacing w:line="360" w:lineRule="auto"/>
        <w:jc w:val="both"/>
        <w:rPr>
          <w:rFonts w:ascii="Palatino Linotype" w:eastAsia="Palatino Linotype" w:hAnsi="Palatino Linotype" w:cs="Palatino Linotype"/>
          <w:color w:val="000000" w:themeColor="text1"/>
        </w:rPr>
      </w:pPr>
    </w:p>
    <w:p w:rsidR="006F1C9E" w:rsidRPr="00922B93" w:rsidRDefault="006F1C9E" w:rsidP="00922B93">
      <w:pPr>
        <w:numPr>
          <w:ilvl w:val="0"/>
          <w:numId w:val="2"/>
        </w:numPr>
        <w:tabs>
          <w:tab w:val="left" w:pos="0"/>
        </w:tabs>
        <w:spacing w:line="360" w:lineRule="auto"/>
        <w:jc w:val="both"/>
        <w:rPr>
          <w:rFonts w:ascii="Palatino Linotype" w:eastAsia="Palatino Linotype" w:hAnsi="Palatino Linotype" w:cs="Palatino Linotype"/>
          <w:b/>
          <w:color w:val="000000" w:themeColor="text1"/>
        </w:rPr>
      </w:pPr>
      <w:r w:rsidRPr="00922B93">
        <w:rPr>
          <w:rFonts w:ascii="Palatino Linotype" w:eastAsia="Palatino Linotype" w:hAnsi="Palatino Linotype" w:cs="Palatino Linotype"/>
          <w:color w:val="000000" w:themeColor="text1"/>
        </w:rPr>
        <w:t xml:space="preserve">Asimos,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w:t>
      </w:r>
    </w:p>
    <w:p w:rsidR="006F1C9E" w:rsidRPr="00922B93" w:rsidRDefault="006F1C9E" w:rsidP="00922B93">
      <w:pPr>
        <w:tabs>
          <w:tab w:val="left" w:pos="0"/>
        </w:tabs>
        <w:spacing w:line="360" w:lineRule="auto"/>
        <w:ind w:left="644"/>
        <w:jc w:val="both"/>
        <w:rPr>
          <w:rFonts w:ascii="Palatino Linotype" w:eastAsia="Palatino Linotype" w:hAnsi="Palatino Linotype" w:cs="Palatino Linotype"/>
          <w:color w:val="000000" w:themeColor="text1"/>
        </w:rPr>
      </w:pPr>
    </w:p>
    <w:p w:rsidR="006F1C9E" w:rsidRPr="00922B93" w:rsidRDefault="006F1C9E" w:rsidP="00922B93">
      <w:pPr>
        <w:numPr>
          <w:ilvl w:val="0"/>
          <w:numId w:val="2"/>
        </w:numPr>
        <w:tabs>
          <w:tab w:val="left" w:pos="0"/>
        </w:tabs>
        <w:spacing w:line="360" w:lineRule="auto"/>
        <w:jc w:val="both"/>
        <w:rPr>
          <w:rFonts w:ascii="Palatino Linotype" w:eastAsia="Palatino Linotype" w:hAnsi="Palatino Linotype" w:cs="Palatino Linotype"/>
          <w:b/>
          <w:color w:val="000000" w:themeColor="text1"/>
        </w:rPr>
      </w:pPr>
      <w:r w:rsidRPr="00922B93">
        <w:rPr>
          <w:rFonts w:ascii="Palatino Linotype" w:eastAsia="Palatino Linotype" w:hAnsi="Palatino Linotype" w:cs="Palatino Linotype"/>
          <w:color w:val="000000" w:themeColor="text1"/>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6F1C9E" w:rsidRPr="00922B93" w:rsidRDefault="006F1C9E" w:rsidP="00922B93">
      <w:pPr>
        <w:tabs>
          <w:tab w:val="left" w:pos="0"/>
          <w:tab w:val="left" w:pos="426"/>
          <w:tab w:val="left" w:pos="567"/>
        </w:tabs>
        <w:ind w:left="567"/>
        <w:jc w:val="both"/>
        <w:rPr>
          <w:rFonts w:ascii="Palatino Linotype" w:eastAsia="Palatino Linotype" w:hAnsi="Palatino Linotype" w:cs="Palatino Linotype"/>
          <w:i/>
          <w:color w:val="000000" w:themeColor="text1"/>
        </w:rPr>
      </w:pPr>
      <w:r w:rsidRPr="00922B93">
        <w:rPr>
          <w:rFonts w:ascii="Palatino Linotype" w:eastAsia="Palatino Linotype" w:hAnsi="Palatino Linotype" w:cs="Palatino Linotype"/>
          <w:b/>
          <w:i/>
          <w:color w:val="000000" w:themeColor="text1"/>
        </w:rPr>
        <w:lastRenderedPageBreak/>
        <w:t>“Artículo 3.</w:t>
      </w:r>
      <w:r w:rsidRPr="00922B93">
        <w:rPr>
          <w:rFonts w:ascii="Palatino Linotype" w:eastAsia="Palatino Linotype" w:hAnsi="Palatino Linotype" w:cs="Palatino Linotype"/>
          <w:i/>
          <w:color w:val="000000" w:themeColor="text1"/>
        </w:rPr>
        <w:t xml:space="preserve"> Para los efectos de la presente Ley se entenderá por: </w:t>
      </w:r>
    </w:p>
    <w:p w:rsidR="006F1C9E" w:rsidRPr="00922B93" w:rsidRDefault="006F1C9E" w:rsidP="00922B93">
      <w:pPr>
        <w:tabs>
          <w:tab w:val="left" w:pos="0"/>
          <w:tab w:val="left" w:pos="426"/>
          <w:tab w:val="left" w:pos="567"/>
        </w:tabs>
        <w:ind w:left="567"/>
        <w:jc w:val="both"/>
        <w:rPr>
          <w:rFonts w:ascii="Palatino Linotype" w:eastAsia="Palatino Linotype" w:hAnsi="Palatino Linotype" w:cs="Palatino Linotype"/>
          <w:i/>
          <w:color w:val="000000" w:themeColor="text1"/>
        </w:rPr>
      </w:pPr>
      <w:r w:rsidRPr="00922B93">
        <w:rPr>
          <w:rFonts w:ascii="Palatino Linotype" w:eastAsia="Palatino Linotype" w:hAnsi="Palatino Linotype" w:cs="Palatino Linotype"/>
          <w:i/>
          <w:color w:val="000000" w:themeColor="text1"/>
        </w:rPr>
        <w:t xml:space="preserve">(…) </w:t>
      </w:r>
    </w:p>
    <w:p w:rsidR="006F1C9E" w:rsidRPr="00922B93" w:rsidRDefault="006F1C9E" w:rsidP="00922B93">
      <w:pPr>
        <w:tabs>
          <w:tab w:val="left" w:pos="0"/>
          <w:tab w:val="left" w:pos="426"/>
          <w:tab w:val="left" w:pos="567"/>
        </w:tabs>
        <w:ind w:left="567"/>
        <w:jc w:val="both"/>
        <w:rPr>
          <w:rFonts w:ascii="Palatino Linotype" w:eastAsia="Palatino Linotype" w:hAnsi="Palatino Linotype" w:cs="Palatino Linotype"/>
          <w:b/>
          <w:i/>
          <w:color w:val="000000" w:themeColor="text1"/>
        </w:rPr>
      </w:pPr>
      <w:r w:rsidRPr="00922B93">
        <w:rPr>
          <w:rFonts w:ascii="Palatino Linotype" w:eastAsia="Palatino Linotype" w:hAnsi="Palatino Linotype" w:cs="Palatino Linotype"/>
          <w:b/>
          <w:i/>
          <w:color w:val="000000" w:themeColor="text1"/>
        </w:rPr>
        <w:t>XI. Documento:</w:t>
      </w:r>
      <w:r w:rsidRPr="00922B93">
        <w:rPr>
          <w:rFonts w:ascii="Palatino Linotype" w:eastAsia="Palatino Linotype" w:hAnsi="Palatino Linotype" w:cs="Palatino Linotype"/>
          <w:i/>
          <w:color w:val="000000" w:themeColor="text1"/>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922B93">
        <w:rPr>
          <w:rFonts w:ascii="Palatino Linotype" w:eastAsia="Palatino Linotype" w:hAnsi="Palatino Linotype" w:cs="Palatino Linotype"/>
          <w:b/>
          <w:i/>
          <w:color w:val="000000" w:themeColor="text1"/>
        </w:rPr>
        <w:t xml:space="preserve">Los documentos podrán estar en cualquier medio, sea escrito, impreso, sonoro, visual, electrónico, informático u holográfico; </w:t>
      </w:r>
    </w:p>
    <w:p w:rsidR="006F1C9E" w:rsidRPr="00922B93" w:rsidRDefault="006F1C9E" w:rsidP="00922B93">
      <w:pPr>
        <w:tabs>
          <w:tab w:val="left" w:pos="0"/>
          <w:tab w:val="left" w:pos="426"/>
          <w:tab w:val="left" w:pos="567"/>
        </w:tabs>
        <w:ind w:left="567"/>
        <w:jc w:val="both"/>
        <w:rPr>
          <w:rFonts w:ascii="Palatino Linotype" w:eastAsia="Palatino Linotype" w:hAnsi="Palatino Linotype" w:cs="Palatino Linotype"/>
          <w:color w:val="000000" w:themeColor="text1"/>
        </w:rPr>
      </w:pPr>
      <w:r w:rsidRPr="00922B93">
        <w:rPr>
          <w:rFonts w:ascii="Palatino Linotype" w:eastAsia="Palatino Linotype" w:hAnsi="Palatino Linotype" w:cs="Palatino Linotype"/>
          <w:i/>
          <w:color w:val="000000" w:themeColor="text1"/>
        </w:rPr>
        <w:t>(…)”</w:t>
      </w:r>
    </w:p>
    <w:p w:rsidR="006F1C9E" w:rsidRPr="00922B93" w:rsidRDefault="006F1C9E" w:rsidP="00922B93">
      <w:pPr>
        <w:tabs>
          <w:tab w:val="left" w:pos="0"/>
        </w:tabs>
        <w:spacing w:line="360" w:lineRule="auto"/>
        <w:jc w:val="both"/>
        <w:rPr>
          <w:rFonts w:ascii="Palatino Linotype" w:eastAsia="Palatino Linotype" w:hAnsi="Palatino Linotype" w:cs="Palatino Linotype"/>
          <w:color w:val="000000" w:themeColor="text1"/>
        </w:rPr>
      </w:pPr>
    </w:p>
    <w:p w:rsidR="006F1C9E" w:rsidRPr="00922B93" w:rsidRDefault="006F1C9E" w:rsidP="00922B93">
      <w:pPr>
        <w:numPr>
          <w:ilvl w:val="0"/>
          <w:numId w:val="2"/>
        </w:numPr>
        <w:tabs>
          <w:tab w:val="left" w:pos="0"/>
        </w:tabs>
        <w:spacing w:line="360" w:lineRule="auto"/>
        <w:jc w:val="both"/>
        <w:rPr>
          <w:rFonts w:ascii="Palatino Linotype" w:eastAsia="Palatino Linotype" w:hAnsi="Palatino Linotype" w:cs="Palatino Linotype"/>
          <w:b/>
          <w:color w:val="000000" w:themeColor="text1"/>
        </w:rPr>
      </w:pPr>
      <w:r w:rsidRPr="00922B93">
        <w:rPr>
          <w:rFonts w:ascii="Palatino Linotype" w:eastAsia="Palatino Linotype" w:hAnsi="Palatino Linotype" w:cs="Palatino Linotype"/>
          <w:color w:val="000000" w:themeColor="text1"/>
        </w:rPr>
        <w:t>Siendo aplicable el Criterio de interpretación en el orden administrativo número 0002- 11,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E40FE1" w:rsidRPr="00922B93" w:rsidRDefault="006F1C9E" w:rsidP="00922B93">
      <w:pPr>
        <w:tabs>
          <w:tab w:val="left" w:pos="0"/>
        </w:tabs>
        <w:ind w:left="567"/>
        <w:jc w:val="both"/>
        <w:rPr>
          <w:rFonts w:ascii="Palatino Linotype" w:eastAsia="Palatino Linotype" w:hAnsi="Palatino Linotype" w:cs="Palatino Linotype"/>
          <w:color w:val="000000" w:themeColor="text1"/>
        </w:rPr>
      </w:pPr>
      <w:r w:rsidRPr="00922B93">
        <w:rPr>
          <w:rFonts w:ascii="Palatino Linotype" w:eastAsia="Palatino Linotype" w:hAnsi="Palatino Linotype" w:cs="Palatino Linotype"/>
          <w:i/>
          <w:color w:val="000000" w:themeColor="text1"/>
        </w:rPr>
        <w:t>“CRITERIO 0002-11 INFORMACIÓN PÚBLICA, CONCEPTO DE, EN MATERIA DE TRANSPARENCIA. INTERPRETACIÓN SISTEMÁTICA DE LOS ARTÍCULOS 2°, FRACCIÓN V, XV, Y XVI, 3°, 4°, 11 Y 41.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 En consecuencia el acceso a la información se refiere a que se cumplan cualquiera de los siguientes tres supuestos: 1) Que se trate de información registrada en cualquier soporte documental, que en ejercicio de las atribuciones conferidas, sea generada por los Sujetos Obligados; 2) Que se trate de información registrada en cualquier soporte documental, que en ejercicio de las atribuciones conferidas, sea administrada por los Sujetos Obligados, y 3) Que se trate de información registrada en cualquier soporte documental, que en ejercicio de las atribuciones conferidas, se encuentre en posesión de los Sujetos Obligados.”</w:t>
      </w:r>
    </w:p>
    <w:p w:rsidR="006F1C9E" w:rsidRDefault="006F1C9E" w:rsidP="00922B93">
      <w:pPr>
        <w:tabs>
          <w:tab w:val="left" w:pos="0"/>
        </w:tabs>
        <w:jc w:val="both"/>
        <w:rPr>
          <w:rFonts w:ascii="Palatino Linotype" w:eastAsia="Palatino Linotype" w:hAnsi="Palatino Linotype" w:cs="Palatino Linotype"/>
          <w:color w:val="000000" w:themeColor="text1"/>
        </w:rPr>
      </w:pPr>
    </w:p>
    <w:p w:rsidR="006B752E" w:rsidRDefault="006B752E" w:rsidP="00922B93">
      <w:pPr>
        <w:tabs>
          <w:tab w:val="left" w:pos="0"/>
        </w:tabs>
        <w:jc w:val="both"/>
        <w:rPr>
          <w:rFonts w:ascii="Palatino Linotype" w:eastAsia="Palatino Linotype" w:hAnsi="Palatino Linotype" w:cs="Palatino Linotype"/>
          <w:color w:val="000000" w:themeColor="text1"/>
        </w:rPr>
      </w:pPr>
    </w:p>
    <w:p w:rsidR="006B752E" w:rsidRPr="00922B93" w:rsidRDefault="006B752E" w:rsidP="00922B93">
      <w:pPr>
        <w:tabs>
          <w:tab w:val="left" w:pos="0"/>
        </w:tabs>
        <w:jc w:val="both"/>
        <w:rPr>
          <w:rFonts w:ascii="Palatino Linotype" w:eastAsia="Palatino Linotype" w:hAnsi="Palatino Linotype" w:cs="Palatino Linotype"/>
          <w:color w:val="000000" w:themeColor="text1"/>
        </w:rPr>
      </w:pPr>
    </w:p>
    <w:p w:rsidR="00E40FE1" w:rsidRPr="00922B93" w:rsidRDefault="0010134C" w:rsidP="00922B93">
      <w:pPr>
        <w:pBdr>
          <w:top w:val="nil"/>
          <w:left w:val="nil"/>
          <w:bottom w:val="nil"/>
          <w:right w:val="nil"/>
          <w:between w:val="nil"/>
        </w:pBdr>
        <w:tabs>
          <w:tab w:val="left" w:pos="0"/>
        </w:tabs>
        <w:spacing w:before="240" w:after="240" w:line="360" w:lineRule="auto"/>
        <w:jc w:val="both"/>
        <w:rPr>
          <w:rFonts w:ascii="Palatino Linotype" w:eastAsia="Palatino Linotype" w:hAnsi="Palatino Linotype" w:cs="Palatino Linotype"/>
          <w:b/>
          <w:color w:val="000000" w:themeColor="text1"/>
        </w:rPr>
      </w:pPr>
      <w:r w:rsidRPr="00922B93">
        <w:rPr>
          <w:rFonts w:ascii="Palatino Linotype" w:eastAsia="Palatino Linotype" w:hAnsi="Palatino Linotype" w:cs="Palatino Linotype"/>
          <w:b/>
          <w:color w:val="000000" w:themeColor="text1"/>
        </w:rPr>
        <w:lastRenderedPageBreak/>
        <w:t>QUINTO. VERSIÓN PÚBLICA.</w:t>
      </w:r>
    </w:p>
    <w:p w:rsidR="00E40FE1" w:rsidRPr="00922B93" w:rsidRDefault="0010134C" w:rsidP="00922B93">
      <w:pPr>
        <w:keepNext/>
        <w:keepLines/>
        <w:numPr>
          <w:ilvl w:val="0"/>
          <w:numId w:val="5"/>
        </w:numPr>
        <w:tabs>
          <w:tab w:val="left" w:pos="0"/>
        </w:tabs>
        <w:spacing w:line="360" w:lineRule="auto"/>
        <w:ind w:left="284" w:firstLine="0"/>
        <w:rPr>
          <w:rFonts w:ascii="Palatino Linotype" w:eastAsia="Palatino Linotype" w:hAnsi="Palatino Linotype" w:cs="Palatino Linotype"/>
          <w:b/>
          <w:color w:val="000000" w:themeColor="text1"/>
        </w:rPr>
      </w:pPr>
      <w:bookmarkStart w:id="10" w:name="_heading=h.3zdbcjghuwan" w:colFirst="0" w:colLast="0"/>
      <w:bookmarkEnd w:id="10"/>
      <w:r w:rsidRPr="00922B93">
        <w:rPr>
          <w:rFonts w:ascii="Palatino Linotype" w:eastAsia="Palatino Linotype" w:hAnsi="Palatino Linotype" w:cs="Palatino Linotype"/>
          <w:b/>
          <w:color w:val="000000" w:themeColor="text1"/>
        </w:rPr>
        <w:t xml:space="preserve">Nociones generales. </w:t>
      </w:r>
    </w:p>
    <w:p w:rsidR="00E40FE1" w:rsidRPr="00922B93" w:rsidRDefault="0010134C" w:rsidP="00922B93">
      <w:pPr>
        <w:numPr>
          <w:ilvl w:val="0"/>
          <w:numId w:val="2"/>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922B93">
        <w:rPr>
          <w:rFonts w:ascii="Palatino Linotype" w:eastAsia="Palatino Linotype" w:hAnsi="Palatino Linotype" w:cs="Palatino Linotype"/>
          <w:color w:val="000000" w:themeColor="text1"/>
        </w:rPr>
        <w:t>Debe destacarse que, debido a la naturaleza de la información solicitada</w:t>
      </w:r>
      <w:r w:rsidRPr="00922B93">
        <w:rPr>
          <w:rFonts w:ascii="Palatino Linotype" w:eastAsia="Palatino Linotype" w:hAnsi="Palatino Linotype" w:cs="Palatino Linotype"/>
          <w:b/>
          <w:color w:val="000000" w:themeColor="text1"/>
        </w:rPr>
        <w:t xml:space="preserve">, </w:t>
      </w:r>
      <w:r w:rsidRPr="00922B93">
        <w:rPr>
          <w:rFonts w:ascii="Palatino Linotype" w:eastAsia="Palatino Linotype" w:hAnsi="Palatino Linotype" w:cs="Palatino Linotype"/>
          <w:color w:val="000000" w:themeColor="text1"/>
        </w:rPr>
        <w:t xml:space="preserve">eventualmente pudiera obrar datos personales susceptibles de protegerse, el </w:t>
      </w:r>
      <w:r w:rsidRPr="00922B93">
        <w:rPr>
          <w:rFonts w:ascii="Palatino Linotype" w:eastAsia="Palatino Linotype" w:hAnsi="Palatino Linotype" w:cs="Palatino Linotype"/>
          <w:b/>
          <w:color w:val="000000" w:themeColor="text1"/>
        </w:rPr>
        <w:t xml:space="preserve">Sujeto Obligado </w:t>
      </w:r>
      <w:r w:rsidRPr="00922B93">
        <w:rPr>
          <w:rFonts w:ascii="Palatino Linotype" w:eastAsia="Palatino Linotype" w:hAnsi="Palatino Linotype" w:cs="Palatino Linotype"/>
          <w:color w:val="000000" w:themeColor="text1"/>
        </w:rPr>
        <w:t xml:space="preserve">deberá de hacer la adecuada versión pública, protegiendo los datos que no son susceptibles de ser proporcionados. </w:t>
      </w:r>
    </w:p>
    <w:p w:rsidR="00E40FE1" w:rsidRPr="00922B93" w:rsidRDefault="00E40FE1" w:rsidP="00922B93">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E40FE1" w:rsidRPr="00922B93" w:rsidRDefault="0010134C" w:rsidP="00922B93">
      <w:pPr>
        <w:numPr>
          <w:ilvl w:val="0"/>
          <w:numId w:val="2"/>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922B93">
        <w:rPr>
          <w:rFonts w:ascii="Palatino Linotype" w:eastAsia="Palatino Linotype" w:hAnsi="Palatino Linotype" w:cs="Palatino Linotype"/>
          <w:color w:val="000000" w:themeColor="text1"/>
        </w:rPr>
        <w:t>No pasa desapercibido para este Órgano Garante que los Sujetos Obligados</w:t>
      </w:r>
      <w:r w:rsidRPr="00922B93">
        <w:rPr>
          <w:rFonts w:ascii="Palatino Linotype" w:eastAsia="Palatino Linotype" w:hAnsi="Palatino Linotype" w:cs="Palatino Linotype"/>
          <w:b/>
          <w:color w:val="000000" w:themeColor="text1"/>
        </w:rPr>
        <w:t xml:space="preserve"> </w:t>
      </w:r>
      <w:r w:rsidRPr="00922B93">
        <w:rPr>
          <w:rFonts w:ascii="Palatino Linotype" w:eastAsia="Palatino Linotype" w:hAnsi="Palatino Linotype" w:cs="Palatino Linotype"/>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E40FE1" w:rsidRPr="00922B93" w:rsidRDefault="00E40FE1" w:rsidP="00922B93">
      <w:pPr>
        <w:tabs>
          <w:tab w:val="left" w:pos="0"/>
        </w:tabs>
        <w:spacing w:line="360" w:lineRule="auto"/>
        <w:jc w:val="both"/>
        <w:rPr>
          <w:rFonts w:ascii="Palatino Linotype" w:eastAsia="Palatino Linotype" w:hAnsi="Palatino Linotype" w:cs="Palatino Linotype"/>
          <w:color w:val="000000" w:themeColor="text1"/>
        </w:rPr>
      </w:pPr>
    </w:p>
    <w:tbl>
      <w:tblPr>
        <w:tblStyle w:val="a9"/>
        <w:tblW w:w="9633"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689"/>
        <w:gridCol w:w="6944"/>
      </w:tblGrid>
      <w:tr w:rsidR="00922B93" w:rsidRPr="00922B93" w:rsidTr="003D02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rsidR="00E40FE1" w:rsidRPr="00922B93" w:rsidRDefault="0010134C" w:rsidP="00922B93">
            <w:pPr>
              <w:tabs>
                <w:tab w:val="left" w:pos="0"/>
              </w:tabs>
              <w:rPr>
                <w:rFonts w:ascii="Palatino Linotype" w:eastAsia="Palatino Linotype" w:hAnsi="Palatino Linotype" w:cs="Palatino Linotype"/>
                <w:color w:val="000000" w:themeColor="text1"/>
                <w:sz w:val="24"/>
                <w:szCs w:val="24"/>
              </w:rPr>
            </w:pPr>
            <w:r w:rsidRPr="00922B93">
              <w:rPr>
                <w:rFonts w:ascii="Palatino Linotype" w:eastAsia="Palatino Linotype" w:hAnsi="Palatino Linotype" w:cs="Palatino Linotype"/>
                <w:color w:val="000000" w:themeColor="text1"/>
                <w:sz w:val="24"/>
                <w:szCs w:val="24"/>
              </w:rPr>
              <w:t>a) Requisitos previos.</w:t>
            </w:r>
          </w:p>
        </w:tc>
        <w:tc>
          <w:tcPr>
            <w:tcW w:w="6944" w:type="dxa"/>
          </w:tcPr>
          <w:p w:rsidR="00E40FE1" w:rsidRPr="00922B93" w:rsidRDefault="0010134C" w:rsidP="00922B93">
            <w:pPr>
              <w:tabs>
                <w:tab w:val="left" w:pos="0"/>
              </w:tabs>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sz w:val="24"/>
                <w:szCs w:val="24"/>
              </w:rPr>
            </w:pPr>
            <w:r w:rsidRPr="00922B93">
              <w:rPr>
                <w:rFonts w:ascii="Palatino Linotype" w:eastAsia="Palatino Linotype" w:hAnsi="Palatino Linotype" w:cs="Palatino Linotype"/>
                <w:b w:val="0"/>
                <w:color w:val="000000" w:themeColor="text1"/>
                <w:sz w:val="24"/>
                <w:szCs w:val="24"/>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E40FE1" w:rsidRPr="00922B93" w:rsidRDefault="0010134C" w:rsidP="00922B93">
            <w:pPr>
              <w:tabs>
                <w:tab w:val="left" w:pos="0"/>
              </w:tabs>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sz w:val="24"/>
                <w:szCs w:val="24"/>
              </w:rPr>
            </w:pPr>
            <w:r w:rsidRPr="00922B93">
              <w:rPr>
                <w:rFonts w:ascii="Palatino Linotype" w:eastAsia="Palatino Linotype" w:hAnsi="Palatino Linotype" w:cs="Palatino Linotype"/>
                <w:b w:val="0"/>
                <w:color w:val="000000" w:themeColor="text1"/>
                <w:sz w:val="24"/>
                <w:szCs w:val="24"/>
              </w:rPr>
              <w:t>Al hacerlo tienen que precisar de qué información se trata, señalando el supuesto de clasificación (confidencialidad o reserva).</w:t>
            </w:r>
          </w:p>
          <w:p w:rsidR="00E40FE1" w:rsidRPr="00922B93" w:rsidRDefault="0010134C" w:rsidP="00922B93">
            <w:pPr>
              <w:tabs>
                <w:tab w:val="left" w:pos="0"/>
              </w:tabs>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sz w:val="24"/>
                <w:szCs w:val="24"/>
              </w:rPr>
            </w:pPr>
            <w:r w:rsidRPr="00922B93">
              <w:rPr>
                <w:rFonts w:ascii="Palatino Linotype" w:eastAsia="Palatino Linotype" w:hAnsi="Palatino Linotype" w:cs="Palatino Linotype"/>
                <w:b w:val="0"/>
                <w:color w:val="000000" w:themeColor="text1"/>
                <w:sz w:val="24"/>
                <w:szCs w:val="24"/>
              </w:rPr>
              <w:t>Además, se debe señalar el procedimiento, de los tres que establecen los artículos 132 y 106 de la Ley Estatal y General, respectivamente.</w:t>
            </w:r>
          </w:p>
          <w:p w:rsidR="00E40FE1" w:rsidRPr="00922B93" w:rsidRDefault="0010134C" w:rsidP="00922B93">
            <w:pPr>
              <w:tabs>
                <w:tab w:val="left" w:pos="0"/>
              </w:tabs>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sz w:val="24"/>
                <w:szCs w:val="24"/>
              </w:rPr>
            </w:pPr>
            <w:r w:rsidRPr="00922B93">
              <w:rPr>
                <w:rFonts w:ascii="Palatino Linotype" w:eastAsia="Palatino Linotype" w:hAnsi="Palatino Linotype" w:cs="Palatino Linotype"/>
                <w:b w:val="0"/>
                <w:color w:val="000000" w:themeColor="text1"/>
                <w:sz w:val="24"/>
                <w:szCs w:val="24"/>
              </w:rPr>
              <w:t xml:space="preserve">El último de estos requisitos previos consiste en que no se pueden emitir acuerdos de carácter general ni particular, esto es, </w:t>
            </w:r>
            <w:r w:rsidRPr="00922B93">
              <w:rPr>
                <w:rFonts w:ascii="Palatino Linotype" w:eastAsia="Palatino Linotype" w:hAnsi="Palatino Linotype" w:cs="Palatino Linotype"/>
                <w:b w:val="0"/>
                <w:color w:val="000000" w:themeColor="text1"/>
                <w:sz w:val="24"/>
                <w:szCs w:val="24"/>
                <w:u w:val="single"/>
              </w:rPr>
              <w:t xml:space="preserve">no se puede hacer un acuerdo para clasificar de manera general </w:t>
            </w:r>
            <w:r w:rsidRPr="00922B93">
              <w:rPr>
                <w:rFonts w:ascii="Palatino Linotype" w:eastAsia="Palatino Linotype" w:hAnsi="Palatino Linotype" w:cs="Palatino Linotype"/>
                <w:b w:val="0"/>
                <w:color w:val="000000" w:themeColor="text1"/>
                <w:sz w:val="24"/>
                <w:szCs w:val="24"/>
                <w:u w:val="single"/>
              </w:rPr>
              <w:lastRenderedPageBreak/>
              <w:t>todos los documentos de un expediente o área, sin</w:t>
            </w:r>
            <w:r w:rsidRPr="00922B93">
              <w:rPr>
                <w:rFonts w:ascii="Palatino Linotype" w:eastAsia="Palatino Linotype" w:hAnsi="Palatino Linotype" w:cs="Palatino Linotype"/>
                <w:b w:val="0"/>
                <w:color w:val="000000" w:themeColor="text1"/>
                <w:sz w:val="24"/>
                <w:szCs w:val="24"/>
              </w:rPr>
              <w:t xml:space="preserve"> individualizar su análisis y tampoco se puede hacer un acuerdo por cada dato que se vaya a clasificar dentro de un documento con diez datos, por ejemplo, susceptibles de ser clasificados.</w:t>
            </w:r>
          </w:p>
        </w:tc>
      </w:tr>
      <w:tr w:rsidR="00922B93" w:rsidRPr="00922B93" w:rsidTr="003D02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rsidR="00E40FE1" w:rsidRPr="00922B93" w:rsidRDefault="0010134C" w:rsidP="00922B93">
            <w:pPr>
              <w:tabs>
                <w:tab w:val="left" w:pos="0"/>
              </w:tabs>
              <w:rPr>
                <w:rFonts w:ascii="Palatino Linotype" w:eastAsia="Palatino Linotype" w:hAnsi="Palatino Linotype" w:cs="Palatino Linotype"/>
                <w:color w:val="000000" w:themeColor="text1"/>
                <w:sz w:val="24"/>
                <w:szCs w:val="24"/>
              </w:rPr>
            </w:pPr>
            <w:r w:rsidRPr="00922B93">
              <w:rPr>
                <w:rFonts w:ascii="Palatino Linotype" w:eastAsia="Palatino Linotype" w:hAnsi="Palatino Linotype" w:cs="Palatino Linotype"/>
                <w:color w:val="000000" w:themeColor="text1"/>
                <w:sz w:val="24"/>
                <w:szCs w:val="24"/>
              </w:rPr>
              <w:lastRenderedPageBreak/>
              <w:t>b) Supuestos de clasificación.</w:t>
            </w:r>
          </w:p>
        </w:tc>
        <w:tc>
          <w:tcPr>
            <w:tcW w:w="6944" w:type="dxa"/>
          </w:tcPr>
          <w:p w:rsidR="00E40FE1" w:rsidRPr="00922B93" w:rsidRDefault="0010134C" w:rsidP="00922B93">
            <w:pPr>
              <w:tabs>
                <w:tab w:val="left" w:pos="0"/>
              </w:tabs>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sz w:val="24"/>
                <w:szCs w:val="24"/>
              </w:rPr>
            </w:pPr>
            <w:r w:rsidRPr="00922B93">
              <w:rPr>
                <w:rFonts w:ascii="Palatino Linotype" w:eastAsia="Palatino Linotype" w:hAnsi="Palatino Linotype" w:cs="Palatino Linotype"/>
                <w:color w:val="000000" w:themeColor="text1"/>
                <w:sz w:val="24"/>
                <w:szCs w:val="24"/>
              </w:rPr>
              <w:t>Las disposiciones constitucionales y legales en la materia establecen los dos supuestos generales para clasificar la información: por reserva y por confidencialidad.</w:t>
            </w:r>
          </w:p>
          <w:p w:rsidR="00E40FE1" w:rsidRPr="00922B93" w:rsidRDefault="0010134C" w:rsidP="00922B93">
            <w:pPr>
              <w:tabs>
                <w:tab w:val="left" w:pos="0"/>
              </w:tabs>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sz w:val="24"/>
                <w:szCs w:val="24"/>
              </w:rPr>
            </w:pPr>
            <w:r w:rsidRPr="00922B93">
              <w:rPr>
                <w:rFonts w:ascii="Palatino Linotype" w:eastAsia="Palatino Linotype" w:hAnsi="Palatino Linotype" w:cs="Palatino Linotype"/>
                <w:color w:val="000000" w:themeColor="text1"/>
                <w:sz w:val="24"/>
                <w:szCs w:val="24"/>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E40FE1" w:rsidRPr="00922B93" w:rsidRDefault="0010134C" w:rsidP="00922B93">
            <w:pPr>
              <w:tabs>
                <w:tab w:val="left" w:pos="0"/>
              </w:tabs>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sz w:val="24"/>
                <w:szCs w:val="24"/>
              </w:rPr>
            </w:pPr>
            <w:r w:rsidRPr="00922B93">
              <w:rPr>
                <w:rFonts w:ascii="Palatino Linotype" w:eastAsia="Palatino Linotype" w:hAnsi="Palatino Linotype" w:cs="Palatino Linotype"/>
                <w:color w:val="000000" w:themeColor="text1"/>
                <w:sz w:val="24"/>
                <w:szCs w:val="24"/>
              </w:rPr>
              <w:t xml:space="preserve">El </w:t>
            </w:r>
            <w:r w:rsidRPr="00922B93">
              <w:rPr>
                <w:rFonts w:ascii="Palatino Linotype" w:eastAsia="Palatino Linotype" w:hAnsi="Palatino Linotype" w:cs="Palatino Linotype"/>
                <w:b/>
                <w:color w:val="000000" w:themeColor="text1"/>
                <w:sz w:val="24"/>
                <w:szCs w:val="24"/>
              </w:rPr>
              <w:t>Sujeto Obligado</w:t>
            </w:r>
            <w:r w:rsidRPr="00922B93">
              <w:rPr>
                <w:rFonts w:ascii="Palatino Linotype" w:eastAsia="Palatino Linotype" w:hAnsi="Palatino Linotype" w:cs="Palatino Linotype"/>
                <w:color w:val="000000" w:themeColor="text1"/>
                <w:sz w:val="24"/>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922B93" w:rsidRPr="00922B93" w:rsidTr="003D029A">
        <w:tc>
          <w:tcPr>
            <w:cnfStyle w:val="001000000000" w:firstRow="0" w:lastRow="0" w:firstColumn="1" w:lastColumn="0" w:oddVBand="0" w:evenVBand="0" w:oddHBand="0" w:evenHBand="0" w:firstRowFirstColumn="0" w:firstRowLastColumn="0" w:lastRowFirstColumn="0" w:lastRowLastColumn="0"/>
            <w:tcW w:w="2689" w:type="dxa"/>
          </w:tcPr>
          <w:p w:rsidR="00E40FE1" w:rsidRPr="00922B93" w:rsidRDefault="0010134C" w:rsidP="00922B93">
            <w:pPr>
              <w:tabs>
                <w:tab w:val="left" w:pos="0"/>
              </w:tabs>
              <w:rPr>
                <w:rFonts w:ascii="Palatino Linotype" w:eastAsia="Palatino Linotype" w:hAnsi="Palatino Linotype" w:cs="Palatino Linotype"/>
                <w:color w:val="000000" w:themeColor="text1"/>
                <w:sz w:val="24"/>
                <w:szCs w:val="24"/>
              </w:rPr>
            </w:pPr>
            <w:r w:rsidRPr="00922B93">
              <w:rPr>
                <w:rFonts w:ascii="Palatino Linotype" w:eastAsia="Palatino Linotype" w:hAnsi="Palatino Linotype" w:cs="Palatino Linotype"/>
                <w:color w:val="000000" w:themeColor="text1"/>
                <w:sz w:val="24"/>
                <w:szCs w:val="24"/>
              </w:rPr>
              <w:t>c) Formalidades para emitir el acuerdo de clasificación.</w:t>
            </w:r>
          </w:p>
        </w:tc>
        <w:tc>
          <w:tcPr>
            <w:tcW w:w="6944" w:type="dxa"/>
          </w:tcPr>
          <w:p w:rsidR="00E40FE1" w:rsidRPr="00922B93" w:rsidRDefault="0010134C" w:rsidP="00922B93">
            <w:pPr>
              <w:tabs>
                <w:tab w:val="left" w:pos="0"/>
              </w:tabs>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sz w:val="24"/>
                <w:szCs w:val="24"/>
              </w:rPr>
            </w:pPr>
            <w:r w:rsidRPr="00922B93">
              <w:rPr>
                <w:rFonts w:ascii="Palatino Linotype" w:eastAsia="Palatino Linotype" w:hAnsi="Palatino Linotype" w:cs="Palatino Linotype"/>
                <w:color w:val="000000" w:themeColor="text1"/>
                <w:sz w:val="24"/>
                <w:szCs w:val="24"/>
              </w:rPr>
              <w:t xml:space="preserve">El Comité de Transparencia, según lo dispuesto en los artículos cuenta con las facultades para aprobar, modificar o revocar la clasificación de la información que haya propuesto. </w:t>
            </w:r>
          </w:p>
          <w:p w:rsidR="00E40FE1" w:rsidRPr="00922B93" w:rsidRDefault="0010134C" w:rsidP="00922B93">
            <w:pPr>
              <w:tabs>
                <w:tab w:val="left" w:pos="0"/>
              </w:tabs>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sz w:val="24"/>
                <w:szCs w:val="24"/>
              </w:rPr>
            </w:pPr>
            <w:r w:rsidRPr="00922B93">
              <w:rPr>
                <w:rFonts w:ascii="Palatino Linotype" w:eastAsia="Palatino Linotype" w:hAnsi="Palatino Linotype" w:cs="Palatino Linotype"/>
                <w:color w:val="000000" w:themeColor="text1"/>
                <w:sz w:val="24"/>
                <w:szCs w:val="24"/>
              </w:rPr>
              <w:t xml:space="preserve">Es necesario que </w:t>
            </w:r>
            <w:r w:rsidRPr="00922B93">
              <w:rPr>
                <w:rFonts w:ascii="Palatino Linotype" w:eastAsia="Palatino Linotype" w:hAnsi="Palatino Linotype" w:cs="Palatino Linotype"/>
                <w:b/>
                <w:color w:val="000000" w:themeColor="text1"/>
                <w:sz w:val="24"/>
                <w:szCs w:val="24"/>
                <w:u w:val="single"/>
              </w:rPr>
              <w:t>el acto reúna con los requisitos elementales</w:t>
            </w:r>
            <w:r w:rsidRPr="00922B93">
              <w:rPr>
                <w:rFonts w:ascii="Palatino Linotype" w:eastAsia="Palatino Linotype" w:hAnsi="Palatino Linotype" w:cs="Palatino Linotype"/>
                <w:color w:val="000000" w:themeColor="text1"/>
                <w:sz w:val="24"/>
                <w:szCs w:val="24"/>
              </w:rPr>
              <w:t>, entre ellos, que la autoridad que va a emitir el acto de autoridad sea la legalmente facultada para ello.</w:t>
            </w:r>
          </w:p>
          <w:p w:rsidR="00E40FE1" w:rsidRPr="00922B93" w:rsidRDefault="0010134C" w:rsidP="00922B93">
            <w:pPr>
              <w:tabs>
                <w:tab w:val="left" w:pos="0"/>
              </w:tabs>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sz w:val="24"/>
                <w:szCs w:val="24"/>
              </w:rPr>
            </w:pPr>
            <w:r w:rsidRPr="00922B93">
              <w:rPr>
                <w:rFonts w:ascii="Palatino Linotype" w:eastAsia="Palatino Linotype" w:hAnsi="Palatino Linotype" w:cs="Palatino Linotype"/>
                <w:color w:val="000000" w:themeColor="text1"/>
                <w:sz w:val="24"/>
                <w:szCs w:val="24"/>
              </w:rPr>
              <w:t xml:space="preserve">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w:t>
            </w:r>
            <w:r w:rsidRPr="00922B93">
              <w:rPr>
                <w:rFonts w:ascii="Palatino Linotype" w:eastAsia="Palatino Linotype" w:hAnsi="Palatino Linotype" w:cs="Palatino Linotype"/>
                <w:color w:val="000000" w:themeColor="text1"/>
                <w:sz w:val="24"/>
                <w:szCs w:val="24"/>
              </w:rPr>
              <w:lastRenderedPageBreak/>
              <w:t>áreas y que son sujetas a control, en primera instancia, por el Comité de Transparencia.</w:t>
            </w:r>
          </w:p>
        </w:tc>
      </w:tr>
      <w:tr w:rsidR="00922B93" w:rsidRPr="00922B93" w:rsidTr="003D02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rsidR="00E40FE1" w:rsidRPr="00922B93" w:rsidRDefault="00E40FE1" w:rsidP="00922B93">
            <w:pPr>
              <w:tabs>
                <w:tab w:val="left" w:pos="0"/>
              </w:tabs>
              <w:rPr>
                <w:rFonts w:ascii="Palatino Linotype" w:eastAsia="Palatino Linotype" w:hAnsi="Palatino Linotype" w:cs="Palatino Linotype"/>
                <w:color w:val="000000" w:themeColor="text1"/>
                <w:sz w:val="24"/>
                <w:szCs w:val="24"/>
              </w:rPr>
            </w:pPr>
          </w:p>
          <w:p w:rsidR="00E40FE1" w:rsidRPr="00922B93" w:rsidRDefault="0010134C" w:rsidP="00922B93">
            <w:pPr>
              <w:tabs>
                <w:tab w:val="left" w:pos="0"/>
              </w:tabs>
              <w:jc w:val="both"/>
              <w:rPr>
                <w:rFonts w:ascii="Palatino Linotype" w:eastAsia="Palatino Linotype" w:hAnsi="Palatino Linotype" w:cs="Palatino Linotype"/>
                <w:color w:val="000000" w:themeColor="text1"/>
                <w:sz w:val="24"/>
                <w:szCs w:val="24"/>
              </w:rPr>
            </w:pPr>
            <w:r w:rsidRPr="00922B93">
              <w:rPr>
                <w:rFonts w:ascii="Palatino Linotype" w:eastAsia="Palatino Linotype" w:hAnsi="Palatino Linotype" w:cs="Palatino Linotype"/>
                <w:color w:val="000000" w:themeColor="text1"/>
                <w:sz w:val="24"/>
                <w:szCs w:val="24"/>
              </w:rPr>
              <w:t xml:space="preserve">d) Requisitos de fondo del acuerdo de clasificación. </w:t>
            </w:r>
          </w:p>
        </w:tc>
        <w:tc>
          <w:tcPr>
            <w:tcW w:w="6944" w:type="dxa"/>
          </w:tcPr>
          <w:p w:rsidR="00E40FE1" w:rsidRPr="00922B93" w:rsidRDefault="0010134C" w:rsidP="00922B93">
            <w:pPr>
              <w:tabs>
                <w:tab w:val="left" w:pos="0"/>
              </w:tabs>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sz w:val="24"/>
                <w:szCs w:val="24"/>
              </w:rPr>
            </w:pPr>
            <w:r w:rsidRPr="00922B93">
              <w:rPr>
                <w:rFonts w:ascii="Palatino Linotype" w:eastAsia="Palatino Linotype" w:hAnsi="Palatino Linotype" w:cs="Palatino Linotype"/>
                <w:color w:val="000000" w:themeColor="text1"/>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922B93">
              <w:rPr>
                <w:rFonts w:ascii="Palatino Linotype" w:eastAsia="Palatino Linotype" w:hAnsi="Palatino Linotype" w:cs="Palatino Linotype"/>
                <w:b/>
                <w:color w:val="000000" w:themeColor="text1"/>
                <w:sz w:val="24"/>
                <w:szCs w:val="24"/>
              </w:rPr>
              <w:t>Sujetos Obligados</w:t>
            </w:r>
            <w:r w:rsidRPr="00922B93">
              <w:rPr>
                <w:rFonts w:ascii="Palatino Linotype" w:eastAsia="Palatino Linotype" w:hAnsi="Palatino Linotype" w:cs="Palatino Linotype"/>
                <w:color w:val="000000" w:themeColor="text1"/>
                <w:sz w:val="24"/>
                <w:szCs w:val="24"/>
              </w:rPr>
              <w:t xml:space="preserve">, por lo que deberán fundar y motivar debidamente la clasificación. </w:t>
            </w:r>
          </w:p>
          <w:p w:rsidR="00E40FE1" w:rsidRPr="00922B93" w:rsidRDefault="0010134C" w:rsidP="00922B93">
            <w:pPr>
              <w:tabs>
                <w:tab w:val="left" w:pos="0"/>
              </w:tabs>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sz w:val="24"/>
                <w:szCs w:val="24"/>
              </w:rPr>
            </w:pPr>
            <w:r w:rsidRPr="00922B93">
              <w:rPr>
                <w:rFonts w:ascii="Palatino Linotype" w:eastAsia="Palatino Linotype" w:hAnsi="Palatino Linotype" w:cs="Palatino Linotype"/>
                <w:color w:val="000000" w:themeColor="text1"/>
                <w:sz w:val="24"/>
                <w:szCs w:val="24"/>
              </w:rPr>
              <w:t xml:space="preserve">De lo anterior, se desprende que para una correcta </w:t>
            </w:r>
            <w:r w:rsidRPr="00922B93">
              <w:rPr>
                <w:rFonts w:ascii="Palatino Linotype" w:eastAsia="Palatino Linotype" w:hAnsi="Palatino Linotype" w:cs="Palatino Linotype"/>
                <w:b/>
                <w:color w:val="000000" w:themeColor="text1"/>
                <w:sz w:val="24"/>
                <w:szCs w:val="24"/>
              </w:rPr>
              <w:t>clasificación total o parcial</w:t>
            </w:r>
            <w:r w:rsidRPr="00922B93">
              <w:rPr>
                <w:rFonts w:ascii="Palatino Linotype" w:eastAsia="Palatino Linotype" w:hAnsi="Palatino Linotype" w:cs="Palatino Linotype"/>
                <w:color w:val="000000" w:themeColor="text1"/>
                <w:sz w:val="24"/>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E40FE1" w:rsidRPr="00922B93" w:rsidRDefault="0010134C" w:rsidP="00922B93">
            <w:pPr>
              <w:tabs>
                <w:tab w:val="left" w:pos="0"/>
              </w:tabs>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sz w:val="24"/>
                <w:szCs w:val="24"/>
              </w:rPr>
            </w:pPr>
            <w:r w:rsidRPr="00922B93">
              <w:rPr>
                <w:rFonts w:ascii="Palatino Linotype" w:eastAsia="Palatino Linotype" w:hAnsi="Palatino Linotype" w:cs="Palatino Linotype"/>
                <w:color w:val="000000" w:themeColor="text1"/>
                <w:sz w:val="24"/>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E40FE1" w:rsidRPr="00922B93" w:rsidRDefault="0010134C" w:rsidP="00922B93">
            <w:pPr>
              <w:tabs>
                <w:tab w:val="left" w:pos="0"/>
              </w:tabs>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sz w:val="24"/>
                <w:szCs w:val="24"/>
              </w:rPr>
            </w:pPr>
            <w:r w:rsidRPr="00922B93">
              <w:rPr>
                <w:rFonts w:ascii="Palatino Linotype" w:eastAsia="Palatino Linotype" w:hAnsi="Palatino Linotype" w:cs="Palatino Linotype"/>
                <w:color w:val="000000" w:themeColor="text1"/>
                <w:sz w:val="24"/>
                <w:szCs w:val="24"/>
              </w:rPr>
              <w:t>En ese mismo sentido, el numeral trigésimo tercero fracción V de los Lineamientos Generales, precisa que para motivar la clasificación se deben acreditar las circunstancias de tiempo, modo y lugar.</w:t>
            </w:r>
          </w:p>
          <w:p w:rsidR="00E40FE1" w:rsidRPr="00922B93" w:rsidRDefault="0010134C" w:rsidP="00922B93">
            <w:pPr>
              <w:tabs>
                <w:tab w:val="left" w:pos="0"/>
              </w:tabs>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sz w:val="24"/>
                <w:szCs w:val="24"/>
              </w:rPr>
            </w:pPr>
            <w:r w:rsidRPr="00922B93">
              <w:rPr>
                <w:rFonts w:ascii="Palatino Linotype" w:eastAsia="Palatino Linotype" w:hAnsi="Palatino Linotype" w:cs="Palatino Linotype"/>
                <w:color w:val="000000" w:themeColor="text1"/>
                <w:sz w:val="24"/>
                <w:szCs w:val="24"/>
              </w:rPr>
              <w:t xml:space="preserve">Ahora bien, </w:t>
            </w:r>
            <w:r w:rsidRPr="00922B93">
              <w:rPr>
                <w:rFonts w:ascii="Palatino Linotype" w:eastAsia="Palatino Linotype" w:hAnsi="Palatino Linotype" w:cs="Palatino Linotype"/>
                <w:b/>
                <w:color w:val="000000" w:themeColor="text1"/>
                <w:sz w:val="24"/>
                <w:szCs w:val="24"/>
                <w:u w:val="single"/>
              </w:rPr>
              <w:t>para cada caso además de fundar y motivar</w:t>
            </w:r>
            <w:r w:rsidRPr="00922B93">
              <w:rPr>
                <w:rFonts w:ascii="Palatino Linotype" w:eastAsia="Palatino Linotype" w:hAnsi="Palatino Linotype" w:cs="Palatino Linotype"/>
                <w:color w:val="000000" w:themeColor="text1"/>
                <w:sz w:val="24"/>
                <w:szCs w:val="24"/>
              </w:rPr>
              <w:t xml:space="preserve">,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w:t>
            </w:r>
            <w:r w:rsidRPr="00922B93">
              <w:rPr>
                <w:rFonts w:ascii="Palatino Linotype" w:eastAsia="Palatino Linotype" w:hAnsi="Palatino Linotype" w:cs="Palatino Linotype"/>
                <w:color w:val="000000" w:themeColor="text1"/>
                <w:sz w:val="24"/>
                <w:szCs w:val="24"/>
              </w:rPr>
              <w:lastRenderedPageBreak/>
              <w:t>comercial, fiscal, bursátil y postal, cuya titularidad corresponda a particulares, entre otros.</w:t>
            </w:r>
          </w:p>
        </w:tc>
      </w:tr>
      <w:tr w:rsidR="00922B93" w:rsidRPr="00922B93" w:rsidTr="003D029A">
        <w:tc>
          <w:tcPr>
            <w:cnfStyle w:val="001000000000" w:firstRow="0" w:lastRow="0" w:firstColumn="1" w:lastColumn="0" w:oddVBand="0" w:evenVBand="0" w:oddHBand="0" w:evenHBand="0" w:firstRowFirstColumn="0" w:firstRowLastColumn="0" w:lastRowFirstColumn="0" w:lastRowLastColumn="0"/>
            <w:tcW w:w="2689" w:type="dxa"/>
          </w:tcPr>
          <w:p w:rsidR="00E40FE1" w:rsidRPr="00922B93" w:rsidRDefault="0010134C" w:rsidP="00922B93">
            <w:pPr>
              <w:tabs>
                <w:tab w:val="left" w:pos="0"/>
              </w:tabs>
              <w:jc w:val="both"/>
              <w:rPr>
                <w:rFonts w:ascii="Palatino Linotype" w:eastAsia="Palatino Linotype" w:hAnsi="Palatino Linotype" w:cs="Palatino Linotype"/>
                <w:color w:val="000000" w:themeColor="text1"/>
                <w:sz w:val="24"/>
                <w:szCs w:val="24"/>
              </w:rPr>
            </w:pPr>
            <w:r w:rsidRPr="00922B93">
              <w:rPr>
                <w:rFonts w:ascii="Palatino Linotype" w:eastAsia="Palatino Linotype" w:hAnsi="Palatino Linotype" w:cs="Palatino Linotype"/>
                <w:b w:val="0"/>
                <w:color w:val="000000" w:themeColor="text1"/>
                <w:sz w:val="24"/>
                <w:szCs w:val="24"/>
              </w:rPr>
              <w:lastRenderedPageBreak/>
              <w:t>e</w:t>
            </w:r>
            <w:r w:rsidRPr="00922B93">
              <w:rPr>
                <w:rFonts w:ascii="Palatino Linotype" w:eastAsia="Palatino Linotype" w:hAnsi="Palatino Linotype" w:cs="Palatino Linotype"/>
                <w:color w:val="000000" w:themeColor="text1"/>
                <w:sz w:val="24"/>
                <w:szCs w:val="24"/>
              </w:rPr>
              <w:t xml:space="preserve">) Condiciones especiales de la clasificación de la información como confidencial. </w:t>
            </w:r>
          </w:p>
        </w:tc>
        <w:tc>
          <w:tcPr>
            <w:tcW w:w="6944" w:type="dxa"/>
          </w:tcPr>
          <w:p w:rsidR="00E40FE1" w:rsidRPr="00922B93" w:rsidRDefault="0010134C" w:rsidP="00922B93">
            <w:pPr>
              <w:tabs>
                <w:tab w:val="left" w:pos="0"/>
              </w:tabs>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sz w:val="24"/>
                <w:szCs w:val="24"/>
              </w:rPr>
            </w:pPr>
            <w:r w:rsidRPr="00922B93">
              <w:rPr>
                <w:rFonts w:ascii="Palatino Linotype" w:eastAsia="Palatino Linotype" w:hAnsi="Palatino Linotype" w:cs="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w:t>
            </w:r>
          </w:p>
          <w:p w:rsidR="00E40FE1" w:rsidRPr="00922B93" w:rsidRDefault="0010134C" w:rsidP="00922B93">
            <w:pPr>
              <w:tabs>
                <w:tab w:val="left" w:pos="0"/>
              </w:tabs>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sz w:val="24"/>
                <w:szCs w:val="24"/>
              </w:rPr>
            </w:pPr>
            <w:r w:rsidRPr="00922B93">
              <w:rPr>
                <w:rFonts w:ascii="Palatino Linotype" w:eastAsia="Palatino Linotype" w:hAnsi="Palatino Linotype" w:cs="Palatino Linotype"/>
                <w:color w:val="000000" w:themeColor="text1"/>
                <w:sz w:val="24"/>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E40FE1" w:rsidRPr="00922B93" w:rsidRDefault="0010134C" w:rsidP="00922B93">
            <w:pPr>
              <w:tabs>
                <w:tab w:val="left" w:pos="0"/>
              </w:tabs>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sz w:val="24"/>
                <w:szCs w:val="24"/>
              </w:rPr>
            </w:pPr>
            <w:r w:rsidRPr="00922B93">
              <w:rPr>
                <w:rFonts w:ascii="Palatino Linotype" w:eastAsia="Palatino Linotype" w:hAnsi="Palatino Linotype" w:cs="Palatino Linotype"/>
                <w:color w:val="000000" w:themeColor="text1"/>
                <w:sz w:val="24"/>
                <w:szCs w:val="24"/>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E40FE1" w:rsidRPr="00922B93" w:rsidRDefault="00E40FE1" w:rsidP="00922B93">
      <w:pPr>
        <w:tabs>
          <w:tab w:val="left" w:pos="0"/>
          <w:tab w:val="left" w:pos="426"/>
        </w:tabs>
        <w:spacing w:line="360" w:lineRule="auto"/>
        <w:jc w:val="both"/>
        <w:rPr>
          <w:rFonts w:ascii="Palatino Linotype" w:eastAsia="Palatino Linotype" w:hAnsi="Palatino Linotype" w:cs="Palatino Linotype"/>
          <w:b/>
          <w:color w:val="000000" w:themeColor="text1"/>
        </w:rPr>
      </w:pPr>
    </w:p>
    <w:p w:rsidR="006F1C9E" w:rsidRPr="00922B93" w:rsidRDefault="0010134C" w:rsidP="00922B93">
      <w:pPr>
        <w:pBdr>
          <w:top w:val="nil"/>
          <w:left w:val="nil"/>
          <w:bottom w:val="nil"/>
          <w:right w:val="nil"/>
          <w:between w:val="nil"/>
        </w:pBdr>
        <w:tabs>
          <w:tab w:val="left" w:pos="0"/>
          <w:tab w:val="left" w:pos="426"/>
        </w:tabs>
        <w:spacing w:line="360" w:lineRule="auto"/>
        <w:jc w:val="both"/>
        <w:rPr>
          <w:rFonts w:ascii="Palatino Linotype" w:eastAsia="Palatino Linotype" w:hAnsi="Palatino Linotype" w:cs="Palatino Linotype"/>
          <w:b/>
          <w:color w:val="000000" w:themeColor="text1"/>
        </w:rPr>
      </w:pPr>
      <w:r w:rsidRPr="00922B93">
        <w:rPr>
          <w:rFonts w:ascii="Palatino Linotype" w:eastAsia="Palatino Linotype" w:hAnsi="Palatino Linotype" w:cs="Palatino Linotype"/>
          <w:b/>
          <w:color w:val="000000" w:themeColor="text1"/>
        </w:rPr>
        <w:t>Del análisis de los datos</w:t>
      </w:r>
      <w:r w:rsidR="006F1C9E" w:rsidRPr="00922B93">
        <w:rPr>
          <w:rFonts w:ascii="Palatino Linotype" w:eastAsia="Palatino Linotype" w:hAnsi="Palatino Linotype" w:cs="Palatino Linotype"/>
          <w:b/>
          <w:color w:val="000000" w:themeColor="text1"/>
        </w:rPr>
        <w:t xml:space="preserve"> susceptibles de ser protegidos.</w:t>
      </w:r>
    </w:p>
    <w:p w:rsidR="00913AAE" w:rsidRPr="00922B93" w:rsidRDefault="006F1C9E" w:rsidP="00922B93">
      <w:pPr>
        <w:pStyle w:val="Prrafodelista"/>
        <w:numPr>
          <w:ilvl w:val="0"/>
          <w:numId w:val="10"/>
        </w:numPr>
        <w:tabs>
          <w:tab w:val="left" w:pos="0"/>
        </w:tabs>
        <w:spacing w:line="360" w:lineRule="auto"/>
        <w:ind w:left="567" w:firstLine="0"/>
        <w:jc w:val="both"/>
        <w:rPr>
          <w:rFonts w:ascii="Palatino Linotype" w:eastAsia="Palatino Linotype" w:hAnsi="Palatino Linotype" w:cs="Palatino Linotype"/>
          <w:b/>
          <w:bCs/>
          <w:color w:val="000000" w:themeColor="text1"/>
        </w:rPr>
      </w:pPr>
      <w:r w:rsidRPr="00922B93">
        <w:rPr>
          <w:rFonts w:ascii="Palatino Linotype" w:eastAsia="Palatino Linotype" w:hAnsi="Palatino Linotype" w:cs="Palatino Linotype"/>
          <w:b/>
          <w:bCs/>
          <w:color w:val="000000" w:themeColor="text1"/>
        </w:rPr>
        <w:t>Nombre de proveedores y contratistas</w:t>
      </w:r>
      <w:r w:rsidR="00913AAE" w:rsidRPr="00922B93">
        <w:rPr>
          <w:rFonts w:ascii="Palatino Linotype" w:eastAsia="Palatino Linotype" w:hAnsi="Palatino Linotype" w:cs="Palatino Linotype"/>
          <w:b/>
          <w:bCs/>
          <w:color w:val="000000" w:themeColor="text1"/>
        </w:rPr>
        <w:t>.</w:t>
      </w:r>
    </w:p>
    <w:p w:rsidR="006F1C9E" w:rsidRPr="00922B93" w:rsidRDefault="006F1C9E" w:rsidP="00922B93">
      <w:pPr>
        <w:pStyle w:val="Prrafodelista"/>
        <w:numPr>
          <w:ilvl w:val="0"/>
          <w:numId w:val="2"/>
        </w:numPr>
        <w:tabs>
          <w:tab w:val="left" w:pos="0"/>
        </w:tabs>
        <w:spacing w:line="360" w:lineRule="auto"/>
        <w:jc w:val="both"/>
        <w:rPr>
          <w:rFonts w:ascii="Palatino Linotype" w:eastAsia="Palatino Linotype" w:hAnsi="Palatino Linotype" w:cs="Palatino Linotype"/>
          <w:color w:val="000000" w:themeColor="text1"/>
        </w:rPr>
      </w:pPr>
      <w:r w:rsidRPr="00922B93">
        <w:rPr>
          <w:rFonts w:ascii="Palatino Linotype" w:hAnsi="Palatino Linotype" w:cs="Arial"/>
          <w:color w:val="000000" w:themeColor="text1"/>
        </w:rPr>
        <w:t xml:space="preserve">El  nombre de los proveedores y contratistas es de naturaleza pública, al existir la </w:t>
      </w:r>
      <w:r w:rsidRPr="00922B93">
        <w:rPr>
          <w:rFonts w:ascii="Palatino Linotype" w:eastAsia="Palatino Linotype" w:hAnsi="Palatino Linotype" w:cs="Palatino Linotype"/>
          <w:color w:val="000000" w:themeColor="text1"/>
        </w:rPr>
        <w:t>obligación de difundir toda aquella información relativa a los montos y las personas a quienes entreguen, por cualquier motivo, recursos públicos, así como los informes que dichas personas entreguen sobre el uso y destino de dichos recursos, ello conforme al contenido del penúltimo párrafo del artículo 23 de la Ley de Transparencia y Acceso a la Información Pública del Estado de México y Municipios, como se muestra a continuación:</w:t>
      </w:r>
    </w:p>
    <w:p w:rsidR="006F1C9E" w:rsidRPr="00922B93" w:rsidRDefault="006F1C9E" w:rsidP="00922B93">
      <w:pPr>
        <w:tabs>
          <w:tab w:val="left" w:pos="0"/>
        </w:tabs>
        <w:ind w:left="567"/>
        <w:contextualSpacing/>
        <w:jc w:val="both"/>
        <w:rPr>
          <w:rFonts w:ascii="Palatino Linotype" w:hAnsi="Palatino Linotype"/>
          <w:b/>
          <w:bCs/>
          <w:i/>
          <w:color w:val="000000" w:themeColor="text1"/>
          <w:kern w:val="28"/>
        </w:rPr>
      </w:pPr>
      <w:r w:rsidRPr="00922B93">
        <w:rPr>
          <w:rFonts w:ascii="Palatino Linotype" w:hAnsi="Palatino Linotype"/>
          <w:i/>
          <w:color w:val="000000" w:themeColor="text1"/>
          <w:kern w:val="28"/>
        </w:rPr>
        <w:t>“</w:t>
      </w:r>
      <w:r w:rsidRPr="00922B93">
        <w:rPr>
          <w:rFonts w:ascii="Palatino Linotype" w:hAnsi="Palatino Linotype"/>
          <w:b/>
          <w:bCs/>
          <w:i/>
          <w:color w:val="000000" w:themeColor="text1"/>
          <w:kern w:val="28"/>
        </w:rPr>
        <w:t>Artículo 23. (…)</w:t>
      </w:r>
    </w:p>
    <w:p w:rsidR="006F1C9E" w:rsidRPr="00922B93" w:rsidRDefault="006F1C9E" w:rsidP="00922B93">
      <w:pPr>
        <w:tabs>
          <w:tab w:val="left" w:pos="0"/>
        </w:tabs>
        <w:ind w:left="567"/>
        <w:contextualSpacing/>
        <w:jc w:val="both"/>
        <w:rPr>
          <w:rFonts w:ascii="Palatino Linotype" w:hAnsi="Palatino Linotype"/>
          <w:i/>
          <w:color w:val="000000" w:themeColor="text1"/>
          <w:kern w:val="28"/>
        </w:rPr>
      </w:pPr>
      <w:r w:rsidRPr="00922B93">
        <w:rPr>
          <w:rFonts w:ascii="Palatino Linotype" w:hAnsi="Palatino Linotype"/>
          <w:b/>
          <w:bCs/>
          <w:i/>
          <w:color w:val="000000" w:themeColor="text1"/>
          <w:kern w:val="28"/>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r w:rsidRPr="00922B93">
        <w:rPr>
          <w:rFonts w:ascii="Palatino Linotype" w:hAnsi="Palatino Linotype"/>
          <w:i/>
          <w:color w:val="000000" w:themeColor="text1"/>
          <w:kern w:val="28"/>
        </w:rPr>
        <w:t>.”</w:t>
      </w:r>
    </w:p>
    <w:p w:rsidR="006F1C9E" w:rsidRPr="00922B93" w:rsidRDefault="006F1C9E" w:rsidP="00922B93">
      <w:pPr>
        <w:tabs>
          <w:tab w:val="left" w:pos="0"/>
        </w:tabs>
        <w:spacing w:line="360" w:lineRule="auto"/>
        <w:contextualSpacing/>
        <w:jc w:val="both"/>
        <w:rPr>
          <w:rFonts w:ascii="Palatino Linotype" w:eastAsia="Palatino Linotype" w:hAnsi="Palatino Linotype" w:cs="Arial"/>
          <w:color w:val="000000" w:themeColor="text1"/>
          <w:lang w:val="es-ES"/>
        </w:rPr>
      </w:pPr>
    </w:p>
    <w:p w:rsidR="006F1C9E" w:rsidRPr="00922B93" w:rsidRDefault="006F1C9E" w:rsidP="00922B93">
      <w:pPr>
        <w:pStyle w:val="Prrafodelista"/>
        <w:numPr>
          <w:ilvl w:val="0"/>
          <w:numId w:val="2"/>
        </w:numPr>
        <w:tabs>
          <w:tab w:val="left" w:pos="0"/>
        </w:tabs>
        <w:spacing w:line="360" w:lineRule="auto"/>
        <w:jc w:val="both"/>
        <w:rPr>
          <w:rFonts w:ascii="Palatino Linotype" w:eastAsia="Palatino Linotype" w:hAnsi="Palatino Linotype" w:cs="Arial"/>
          <w:color w:val="000000" w:themeColor="text1"/>
        </w:rPr>
      </w:pPr>
      <w:r w:rsidRPr="00922B93">
        <w:rPr>
          <w:rFonts w:ascii="Palatino Linotype" w:eastAsia="Palatino Linotype" w:hAnsi="Palatino Linotype" w:cs="Arial"/>
          <w:color w:val="000000" w:themeColor="text1"/>
        </w:rPr>
        <w:lastRenderedPageBreak/>
        <w:t xml:space="preserve">Asimismo, resulta necesario referir que el nombre de proveedores y contratistas, corresponde a información que se encuentra considerada como una de las obligaciones de transparencia comunes que los Sujetos Obligados tienen el deber de poner a disposición del público de manera permanente y actualizada de forma sencilla, precisa y entendible, en los respectivos medios electrónicos, de acuerdo con sus facultades, atribuciones, funciones u objeto social, según corresponda; esto conforme a lo establecido en el artículo 92 de la de la Ley de Transparencia y Acceso a la Información Pública del Estado de México y Municipios, en su fracción XXXII, dispone lo siguiente: </w:t>
      </w:r>
    </w:p>
    <w:p w:rsidR="006F1C9E" w:rsidRPr="00922B93" w:rsidRDefault="006F1C9E" w:rsidP="00922B93">
      <w:pPr>
        <w:tabs>
          <w:tab w:val="left" w:pos="0"/>
        </w:tabs>
        <w:ind w:left="567"/>
        <w:contextualSpacing/>
        <w:jc w:val="both"/>
        <w:rPr>
          <w:rFonts w:ascii="Palatino Linotype" w:hAnsi="Palatino Linotype"/>
          <w:i/>
          <w:color w:val="000000" w:themeColor="text1"/>
          <w:kern w:val="28"/>
        </w:rPr>
      </w:pPr>
      <w:r w:rsidRPr="00922B93">
        <w:rPr>
          <w:rFonts w:ascii="Palatino Linotype" w:hAnsi="Palatino Linotype"/>
          <w:b/>
          <w:i/>
          <w:color w:val="000000" w:themeColor="text1"/>
          <w:kern w:val="28"/>
        </w:rPr>
        <w:t>“Artículo 92.</w:t>
      </w:r>
      <w:r w:rsidRPr="00922B93">
        <w:rPr>
          <w:rFonts w:ascii="Palatino Linotype" w:hAnsi="Palatino Linotype"/>
          <w:i/>
          <w:color w:val="000000" w:themeColor="text1"/>
          <w:kern w:val="28"/>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6F1C9E" w:rsidRPr="00922B93" w:rsidRDefault="006F1C9E" w:rsidP="00922B93">
      <w:pPr>
        <w:tabs>
          <w:tab w:val="left" w:pos="0"/>
        </w:tabs>
        <w:ind w:left="567"/>
        <w:contextualSpacing/>
        <w:jc w:val="both"/>
        <w:rPr>
          <w:rFonts w:ascii="Palatino Linotype" w:hAnsi="Palatino Linotype"/>
          <w:i/>
          <w:color w:val="000000" w:themeColor="text1"/>
          <w:kern w:val="28"/>
        </w:rPr>
      </w:pPr>
      <w:r w:rsidRPr="00922B93">
        <w:rPr>
          <w:rFonts w:ascii="Palatino Linotype" w:hAnsi="Palatino Linotype"/>
          <w:b/>
          <w:i/>
          <w:color w:val="000000" w:themeColor="text1"/>
          <w:kern w:val="28"/>
        </w:rPr>
        <w:t>(…</w:t>
      </w:r>
      <w:r w:rsidRPr="00922B93">
        <w:rPr>
          <w:rFonts w:ascii="Palatino Linotype" w:hAnsi="Palatino Linotype"/>
          <w:i/>
          <w:color w:val="000000" w:themeColor="text1"/>
          <w:kern w:val="28"/>
        </w:rPr>
        <w:t>)</w:t>
      </w:r>
    </w:p>
    <w:p w:rsidR="006F1C9E" w:rsidRPr="00922B93" w:rsidRDefault="006F1C9E" w:rsidP="00922B93">
      <w:pPr>
        <w:tabs>
          <w:tab w:val="left" w:pos="0"/>
        </w:tabs>
        <w:ind w:left="567"/>
        <w:contextualSpacing/>
        <w:jc w:val="both"/>
        <w:rPr>
          <w:rFonts w:ascii="Palatino Linotype" w:hAnsi="Palatino Linotype"/>
          <w:i/>
          <w:color w:val="000000" w:themeColor="text1"/>
          <w:kern w:val="28"/>
        </w:rPr>
      </w:pPr>
      <w:r w:rsidRPr="00922B93">
        <w:rPr>
          <w:rFonts w:ascii="Palatino Linotype" w:hAnsi="Palatino Linotype"/>
          <w:b/>
          <w:bCs/>
          <w:i/>
          <w:color w:val="000000" w:themeColor="text1"/>
          <w:kern w:val="28"/>
        </w:rPr>
        <w:t>XXXII.</w:t>
      </w:r>
      <w:r w:rsidRPr="00922B93">
        <w:rPr>
          <w:rFonts w:ascii="Palatino Linotype" w:hAnsi="Palatino Linotype"/>
          <w:i/>
          <w:color w:val="000000" w:themeColor="text1"/>
          <w:kern w:val="28"/>
        </w:rPr>
        <w:t xml:space="preserve"> Las concesiones, </w:t>
      </w:r>
      <w:r w:rsidRPr="00922B93">
        <w:rPr>
          <w:rFonts w:ascii="Palatino Linotype" w:hAnsi="Palatino Linotype"/>
          <w:i/>
          <w:color w:val="000000" w:themeColor="text1"/>
          <w:kern w:val="28"/>
          <w:u w:val="single"/>
        </w:rPr>
        <w:t>contratos</w:t>
      </w:r>
      <w:r w:rsidRPr="00922B93">
        <w:rPr>
          <w:rFonts w:ascii="Palatino Linotype" w:hAnsi="Palatino Linotype"/>
          <w:i/>
          <w:color w:val="000000" w:themeColor="text1"/>
          <w:kern w:val="28"/>
        </w:rPr>
        <w:t>, convenios,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w:t>
      </w:r>
    </w:p>
    <w:p w:rsidR="006F1C9E" w:rsidRPr="00922B93" w:rsidRDefault="006F1C9E" w:rsidP="00922B93">
      <w:pPr>
        <w:tabs>
          <w:tab w:val="left" w:pos="0"/>
        </w:tabs>
        <w:spacing w:line="360" w:lineRule="auto"/>
        <w:contextualSpacing/>
        <w:jc w:val="both"/>
        <w:rPr>
          <w:rFonts w:ascii="Palatino Linotype" w:eastAsia="Palatino Linotype" w:hAnsi="Palatino Linotype" w:cs="Palatino Linotype"/>
          <w:i/>
          <w:color w:val="000000" w:themeColor="text1"/>
          <w:kern w:val="28"/>
        </w:rPr>
      </w:pPr>
    </w:p>
    <w:p w:rsidR="006F1C9E" w:rsidRPr="00922B93" w:rsidRDefault="006F1C9E" w:rsidP="00922B93">
      <w:pPr>
        <w:pStyle w:val="Prrafodelista"/>
        <w:numPr>
          <w:ilvl w:val="0"/>
          <w:numId w:val="2"/>
        </w:numPr>
        <w:tabs>
          <w:tab w:val="left" w:pos="0"/>
        </w:tabs>
        <w:spacing w:line="360" w:lineRule="auto"/>
        <w:jc w:val="both"/>
        <w:rPr>
          <w:rFonts w:ascii="Palatino Linotype" w:eastAsia="Palatino Linotype" w:hAnsi="Palatino Linotype" w:cs="Palatino Linotype"/>
          <w:color w:val="000000" w:themeColor="text1"/>
          <w:kern w:val="28"/>
        </w:rPr>
      </w:pPr>
      <w:r w:rsidRPr="00922B93">
        <w:rPr>
          <w:rFonts w:ascii="Palatino Linotype" w:eastAsia="Palatino Linotype" w:hAnsi="Palatino Linotype" w:cs="Palatino Linotype"/>
          <w:color w:val="000000" w:themeColor="text1"/>
          <w:kern w:val="28"/>
        </w:rPr>
        <w:t xml:space="preserve">Del análisis realizado a las documentales remitidas por el </w:t>
      </w:r>
      <w:r w:rsidRPr="00922B93">
        <w:rPr>
          <w:rFonts w:ascii="Palatino Linotype" w:eastAsia="Palatino Linotype" w:hAnsi="Palatino Linotype" w:cs="Palatino Linotype"/>
          <w:b/>
          <w:color w:val="000000" w:themeColor="text1"/>
          <w:kern w:val="28"/>
        </w:rPr>
        <w:t xml:space="preserve">SUJETO OBLIGADO </w:t>
      </w:r>
      <w:r w:rsidRPr="00922B93">
        <w:rPr>
          <w:rFonts w:ascii="Palatino Linotype" w:eastAsia="Palatino Linotype" w:hAnsi="Palatino Linotype" w:cs="Palatino Linotype"/>
          <w:color w:val="000000" w:themeColor="text1"/>
          <w:kern w:val="28"/>
        </w:rPr>
        <w:t xml:space="preserve">se advierte que dejó visible el nombre </w:t>
      </w:r>
      <w:r w:rsidRPr="00922B93">
        <w:rPr>
          <w:rFonts w:ascii="Palatino Linotype" w:hAnsi="Palatino Linotype" w:cs="Arial"/>
          <w:color w:val="000000" w:themeColor="text1"/>
        </w:rPr>
        <w:t>proveedores</w:t>
      </w:r>
      <w:r w:rsidRPr="00922B93">
        <w:rPr>
          <w:rFonts w:ascii="Palatino Linotype" w:eastAsia="Palatino Linotype" w:hAnsi="Palatino Linotype" w:cs="Palatino Linotype"/>
          <w:color w:val="000000" w:themeColor="text1"/>
          <w:kern w:val="28"/>
        </w:rPr>
        <w:t xml:space="preserve"> y contratistas.  </w:t>
      </w:r>
    </w:p>
    <w:p w:rsidR="006F1C9E" w:rsidRPr="00922B93" w:rsidRDefault="006F1C9E" w:rsidP="00922B93">
      <w:pPr>
        <w:tabs>
          <w:tab w:val="left" w:pos="0"/>
        </w:tabs>
        <w:spacing w:line="360" w:lineRule="auto"/>
        <w:contextualSpacing/>
        <w:jc w:val="both"/>
        <w:rPr>
          <w:rFonts w:ascii="Palatino Linotype" w:eastAsia="Palatino Linotype" w:hAnsi="Palatino Linotype" w:cs="Palatino Linotype"/>
          <w:color w:val="000000" w:themeColor="text1"/>
          <w:kern w:val="28"/>
        </w:rPr>
      </w:pPr>
    </w:p>
    <w:p w:rsidR="006F1C9E" w:rsidRPr="00922B93" w:rsidRDefault="006F1C9E" w:rsidP="00922B93">
      <w:pPr>
        <w:numPr>
          <w:ilvl w:val="0"/>
          <w:numId w:val="9"/>
        </w:numPr>
        <w:tabs>
          <w:tab w:val="left" w:pos="0"/>
        </w:tabs>
        <w:spacing w:line="360" w:lineRule="auto"/>
        <w:ind w:left="567" w:firstLine="0"/>
        <w:contextualSpacing/>
        <w:jc w:val="both"/>
        <w:rPr>
          <w:rFonts w:ascii="Palatino Linotype" w:hAnsi="Palatino Linotype"/>
          <w:color w:val="000000" w:themeColor="text1"/>
        </w:rPr>
      </w:pPr>
      <w:r w:rsidRPr="00922B93">
        <w:rPr>
          <w:rFonts w:ascii="Palatino Linotype" w:hAnsi="Palatino Linotype" w:cs="Arial"/>
          <w:b/>
          <w:color w:val="000000" w:themeColor="text1"/>
        </w:rPr>
        <w:t>Registro Federal de Contribuyentes</w:t>
      </w:r>
      <w:r w:rsidRPr="00922B93">
        <w:rPr>
          <w:rFonts w:ascii="Palatino Linotype" w:hAnsi="Palatino Linotype" w:cs="Arial"/>
          <w:color w:val="000000" w:themeColor="text1"/>
        </w:rPr>
        <w:t xml:space="preserve"> </w:t>
      </w:r>
      <w:r w:rsidRPr="00922B93">
        <w:rPr>
          <w:rFonts w:ascii="Palatino Linotype" w:hAnsi="Palatino Linotype" w:cs="Arial"/>
          <w:b/>
          <w:color w:val="000000" w:themeColor="text1"/>
        </w:rPr>
        <w:t>de las personas físicas</w:t>
      </w:r>
      <w:r w:rsidR="00913AAE" w:rsidRPr="00922B93">
        <w:rPr>
          <w:rFonts w:ascii="Palatino Linotype" w:hAnsi="Palatino Linotype" w:cs="Arial"/>
          <w:b/>
          <w:color w:val="000000" w:themeColor="text1"/>
        </w:rPr>
        <w:t>.</w:t>
      </w:r>
    </w:p>
    <w:p w:rsidR="006F1C9E" w:rsidRPr="00922B93" w:rsidRDefault="006F1C9E" w:rsidP="00922B93">
      <w:pPr>
        <w:pStyle w:val="Prrafodelista"/>
        <w:numPr>
          <w:ilvl w:val="0"/>
          <w:numId w:val="2"/>
        </w:numPr>
        <w:tabs>
          <w:tab w:val="left" w:pos="0"/>
        </w:tabs>
        <w:spacing w:line="360" w:lineRule="auto"/>
        <w:jc w:val="both"/>
        <w:rPr>
          <w:rFonts w:ascii="Palatino Linotype" w:hAnsi="Palatino Linotype"/>
          <w:color w:val="000000" w:themeColor="text1"/>
        </w:rPr>
      </w:pPr>
      <w:r w:rsidRPr="00922B93">
        <w:rPr>
          <w:rFonts w:ascii="Palatino Linotype" w:hAnsi="Palatino Linotype" w:cs="Arial"/>
          <w:color w:val="000000" w:themeColor="text1"/>
        </w:rPr>
        <w:t xml:space="preserve">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w:t>
      </w:r>
      <w:r w:rsidRPr="00922B93">
        <w:rPr>
          <w:rFonts w:ascii="Palatino Linotype" w:eastAsia="Arial Unicode MS" w:hAnsi="Palatino Linotype" w:cs="Arial"/>
          <w:color w:val="000000" w:themeColor="text1"/>
        </w:rPr>
        <w:t>seguida</w:t>
      </w:r>
      <w:r w:rsidRPr="00922B93">
        <w:rPr>
          <w:rFonts w:ascii="Palatino Linotype" w:hAnsi="Palatino Linotype" w:cs="Arial"/>
          <w:color w:val="000000" w:themeColor="text1"/>
        </w:rPr>
        <w:t xml:space="preserve"> de la primera letra del segundo apellido y por último la primera letra del nombre, posterior la fecha de nacimiento año/mes/día</w:t>
      </w:r>
      <w:r w:rsidRPr="00922B93">
        <w:rPr>
          <w:rFonts w:ascii="Palatino Linotype" w:hAnsi="Palatino Linotype"/>
          <w:color w:val="000000" w:themeColor="text1"/>
        </w:rPr>
        <w:t xml:space="preserve"> y </w:t>
      </w:r>
      <w:r w:rsidRPr="00922B93">
        <w:rPr>
          <w:rFonts w:ascii="Palatino Linotype" w:hAnsi="Palatino Linotype"/>
          <w:color w:val="000000" w:themeColor="text1"/>
        </w:rPr>
        <w:lastRenderedPageBreak/>
        <w:t>finalmente la homoclave; la cual, para su obtención es necesario acreditar personalidad, fecha de nacimiento entre otros con documentos oficiales.</w:t>
      </w:r>
    </w:p>
    <w:p w:rsidR="006F1C9E" w:rsidRPr="00922B93" w:rsidRDefault="006F1C9E" w:rsidP="00922B93">
      <w:pPr>
        <w:tabs>
          <w:tab w:val="left" w:pos="0"/>
        </w:tabs>
        <w:spacing w:line="360" w:lineRule="auto"/>
        <w:jc w:val="both"/>
        <w:rPr>
          <w:rFonts w:ascii="Palatino Linotype" w:hAnsi="Palatino Linotype"/>
          <w:color w:val="000000" w:themeColor="text1"/>
        </w:rPr>
      </w:pPr>
    </w:p>
    <w:p w:rsidR="006F1C9E" w:rsidRPr="00922B93" w:rsidRDefault="006F1C9E" w:rsidP="00922B93">
      <w:pPr>
        <w:pStyle w:val="Prrafodelista"/>
        <w:numPr>
          <w:ilvl w:val="0"/>
          <w:numId w:val="2"/>
        </w:numPr>
        <w:tabs>
          <w:tab w:val="left" w:pos="0"/>
        </w:tabs>
        <w:spacing w:line="360" w:lineRule="auto"/>
        <w:jc w:val="both"/>
        <w:rPr>
          <w:rFonts w:ascii="Palatino Linotype" w:hAnsi="Palatino Linotype"/>
          <w:b/>
          <w:bCs/>
          <w:color w:val="000000" w:themeColor="text1"/>
        </w:rPr>
      </w:pPr>
      <w:r w:rsidRPr="00922B93">
        <w:rPr>
          <w:rFonts w:ascii="Palatino Linotype" w:hAnsi="Palatino Linotype" w:cs="Arial"/>
          <w:color w:val="000000" w:themeColor="text1"/>
        </w:rPr>
        <w:t xml:space="preserve">Al respecto, es aplicable el Criterio 19/17 de la Segunda Época, emitido por </w:t>
      </w:r>
      <w:r w:rsidRPr="00922B93">
        <w:rPr>
          <w:rFonts w:ascii="Palatino Linotype" w:eastAsia="Arial Unicode MS" w:hAnsi="Palatino Linotype" w:cs="Arial"/>
          <w:color w:val="000000" w:themeColor="text1"/>
        </w:rPr>
        <w:t xml:space="preserve">el Instituto Nacional de </w:t>
      </w:r>
      <w:r w:rsidRPr="00922B93">
        <w:rPr>
          <w:rFonts w:ascii="Palatino Linotype" w:hAnsi="Palatino Linotype"/>
          <w:bCs/>
          <w:color w:val="000000" w:themeColor="text1"/>
        </w:rPr>
        <w:t>Transparencia</w:t>
      </w:r>
      <w:r w:rsidRPr="00922B93">
        <w:rPr>
          <w:rFonts w:ascii="Palatino Linotype" w:eastAsia="Arial Unicode MS" w:hAnsi="Palatino Linotype" w:cs="Arial"/>
          <w:color w:val="000000" w:themeColor="text1"/>
        </w:rPr>
        <w:t xml:space="preserve">, Acceso a la </w:t>
      </w:r>
      <w:r w:rsidRPr="00922B93">
        <w:rPr>
          <w:rFonts w:ascii="Palatino Linotype" w:hAnsi="Palatino Linotype" w:cs="Arial"/>
          <w:color w:val="000000" w:themeColor="text1"/>
        </w:rPr>
        <w:t>Información</w:t>
      </w:r>
      <w:r w:rsidRPr="00922B93">
        <w:rPr>
          <w:rFonts w:ascii="Palatino Linotype" w:eastAsia="Arial Unicode MS" w:hAnsi="Palatino Linotype" w:cs="Arial"/>
          <w:color w:val="000000" w:themeColor="text1"/>
        </w:rPr>
        <w:t xml:space="preserve"> y Protección de Datos Personales,</w:t>
      </w:r>
      <w:r w:rsidRPr="00922B93">
        <w:rPr>
          <w:rFonts w:ascii="Palatino Linotype" w:hAnsi="Palatino Linotype"/>
          <w:bCs/>
          <w:color w:val="000000" w:themeColor="text1"/>
        </w:rPr>
        <w:t xml:space="preserve"> que dice:</w:t>
      </w:r>
      <w:r w:rsidRPr="00922B93">
        <w:rPr>
          <w:rFonts w:ascii="Palatino Linotype" w:hAnsi="Palatino Linotype"/>
          <w:b/>
          <w:bCs/>
          <w:color w:val="000000" w:themeColor="text1"/>
        </w:rPr>
        <w:t xml:space="preserve"> </w:t>
      </w:r>
    </w:p>
    <w:p w:rsidR="006F1C9E" w:rsidRPr="00922B93" w:rsidRDefault="006F1C9E" w:rsidP="00922B93">
      <w:pPr>
        <w:tabs>
          <w:tab w:val="left" w:pos="0"/>
        </w:tabs>
        <w:ind w:left="567"/>
        <w:contextualSpacing/>
        <w:jc w:val="both"/>
        <w:rPr>
          <w:rFonts w:ascii="Palatino Linotype" w:hAnsi="Palatino Linotype"/>
          <w:i/>
          <w:color w:val="000000" w:themeColor="text1"/>
          <w:kern w:val="28"/>
        </w:rPr>
      </w:pPr>
      <w:r w:rsidRPr="00922B93">
        <w:rPr>
          <w:rFonts w:ascii="Palatino Linotype" w:hAnsi="Palatino Linotype"/>
          <w:i/>
          <w:color w:val="000000" w:themeColor="text1"/>
          <w:kern w:val="28"/>
        </w:rPr>
        <w:t>“</w:t>
      </w:r>
      <w:r w:rsidRPr="00922B93">
        <w:rPr>
          <w:rFonts w:ascii="Palatino Linotype" w:hAnsi="Palatino Linotype"/>
          <w:b/>
          <w:i/>
          <w:color w:val="000000" w:themeColor="text1"/>
          <w:kern w:val="28"/>
        </w:rPr>
        <w:t>Registro Federal de Contribuyentes (RFC) de personas físicas.</w:t>
      </w:r>
      <w:r w:rsidRPr="00922B93">
        <w:rPr>
          <w:rFonts w:ascii="Palatino Linotype" w:hAnsi="Palatino Linotype"/>
          <w:i/>
          <w:color w:val="000000" w:themeColor="text1"/>
          <w:kern w:val="28"/>
        </w:rPr>
        <w:t xml:space="preserve"> El RFC es una clave de carácter fiscal, única e irrepetible, que permite identificar al titular, su edad y fecha de nacimiento, por lo que es un dato personal de carácter confidencial.</w:t>
      </w:r>
    </w:p>
    <w:p w:rsidR="006F1C9E" w:rsidRPr="00922B93" w:rsidRDefault="006F1C9E" w:rsidP="00922B93">
      <w:pPr>
        <w:tabs>
          <w:tab w:val="left" w:pos="0"/>
        </w:tabs>
        <w:ind w:left="567"/>
        <w:contextualSpacing/>
        <w:jc w:val="both"/>
        <w:rPr>
          <w:rFonts w:ascii="Palatino Linotype" w:hAnsi="Palatino Linotype"/>
          <w:i/>
          <w:color w:val="000000" w:themeColor="text1"/>
          <w:kern w:val="28"/>
        </w:rPr>
      </w:pPr>
      <w:r w:rsidRPr="00922B93">
        <w:rPr>
          <w:rFonts w:ascii="Palatino Linotype" w:hAnsi="Palatino Linotype"/>
          <w:i/>
          <w:color w:val="000000" w:themeColor="text1"/>
          <w:kern w:val="28"/>
        </w:rPr>
        <w:t xml:space="preserve"> (Énfasis añadido)</w:t>
      </w:r>
    </w:p>
    <w:p w:rsidR="006F1C9E" w:rsidRPr="00922B93" w:rsidRDefault="006F1C9E" w:rsidP="00922B93">
      <w:pPr>
        <w:tabs>
          <w:tab w:val="left" w:pos="0"/>
        </w:tabs>
        <w:autoSpaceDE w:val="0"/>
        <w:autoSpaceDN w:val="0"/>
        <w:adjustRightInd w:val="0"/>
        <w:spacing w:line="360" w:lineRule="auto"/>
        <w:ind w:left="851"/>
        <w:jc w:val="both"/>
        <w:rPr>
          <w:rFonts w:ascii="Palatino Linotype" w:hAnsi="Palatino Linotype" w:cs="Arial"/>
          <w:color w:val="000000" w:themeColor="text1"/>
        </w:rPr>
      </w:pPr>
    </w:p>
    <w:p w:rsidR="006F1C9E" w:rsidRPr="00922B93" w:rsidRDefault="006F1C9E" w:rsidP="00922B93">
      <w:pPr>
        <w:pStyle w:val="Prrafodelista"/>
        <w:numPr>
          <w:ilvl w:val="0"/>
          <w:numId w:val="2"/>
        </w:numPr>
        <w:tabs>
          <w:tab w:val="left" w:pos="0"/>
        </w:tabs>
        <w:spacing w:line="360" w:lineRule="auto"/>
        <w:jc w:val="both"/>
        <w:rPr>
          <w:rFonts w:ascii="Palatino Linotype" w:hAnsi="Palatino Linotype" w:cs="Arial"/>
          <w:color w:val="000000" w:themeColor="text1"/>
        </w:rPr>
      </w:pPr>
      <w:r w:rsidRPr="00922B93">
        <w:rPr>
          <w:rFonts w:ascii="Palatino Linotype" w:hAnsi="Palatino Linotype" w:cs="Arial"/>
          <w:color w:val="000000" w:themeColor="text1"/>
        </w:rPr>
        <w:t xml:space="preserve">De lo anterior, se desprende que el Registro Federal de Contribuyentes se vincula al nombre de su </w:t>
      </w:r>
      <w:r w:rsidRPr="00922B93">
        <w:rPr>
          <w:rFonts w:ascii="Palatino Linotype" w:hAnsi="Palatino Linotype"/>
          <w:bCs/>
          <w:color w:val="000000" w:themeColor="text1"/>
        </w:rPr>
        <w:t>titular</w:t>
      </w:r>
      <w:r w:rsidRPr="00922B93">
        <w:rPr>
          <w:rFonts w:ascii="Palatino Linotype" w:hAnsi="Palatino Linotype" w:cs="Arial"/>
          <w:color w:val="000000" w:themeColor="text1"/>
        </w:rPr>
        <w:t xml:space="preserve">, permitiendo identificar la edad de la persona y fecha de nacimiento,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w:t>
      </w:r>
      <w:r w:rsidRPr="00922B93">
        <w:rPr>
          <w:rFonts w:ascii="Palatino Linotype" w:hAnsi="Palatino Linotype"/>
          <w:color w:val="000000" w:themeColor="text1"/>
        </w:rPr>
        <w:t>Municipios</w:t>
      </w:r>
      <w:r w:rsidRPr="00922B93">
        <w:rPr>
          <w:rFonts w:ascii="Palatino Linotype" w:hAnsi="Palatino Linotype" w:cs="Arial"/>
          <w:color w:val="000000" w:themeColor="text1"/>
        </w:rPr>
        <w:t xml:space="preserve"> y 4 fracción XI de la Ley de Protección de Datos Personales en Posesión de Sujetos Obligados del Estado de México y Municipios.</w:t>
      </w:r>
    </w:p>
    <w:p w:rsidR="003D029A" w:rsidRPr="00922B93" w:rsidRDefault="003D029A" w:rsidP="00922B93">
      <w:pPr>
        <w:tabs>
          <w:tab w:val="left" w:pos="0"/>
        </w:tabs>
        <w:spacing w:line="360" w:lineRule="auto"/>
        <w:jc w:val="both"/>
        <w:rPr>
          <w:rFonts w:ascii="Palatino Linotype" w:hAnsi="Palatino Linotype" w:cs="Tahoma"/>
          <w:color w:val="000000" w:themeColor="text1"/>
        </w:rPr>
      </w:pPr>
    </w:p>
    <w:p w:rsidR="006F1C9E" w:rsidRPr="00922B93" w:rsidRDefault="006F1C9E" w:rsidP="00922B93">
      <w:pPr>
        <w:pStyle w:val="Prrafodelista"/>
        <w:numPr>
          <w:ilvl w:val="0"/>
          <w:numId w:val="10"/>
        </w:numPr>
        <w:tabs>
          <w:tab w:val="left" w:pos="0"/>
        </w:tabs>
        <w:spacing w:line="360" w:lineRule="auto"/>
        <w:ind w:left="567" w:firstLine="0"/>
        <w:jc w:val="both"/>
        <w:rPr>
          <w:rFonts w:ascii="Palatino Linotype" w:eastAsia="Palatino Linotype" w:hAnsi="Palatino Linotype" w:cs="Palatino Linotype"/>
          <w:b/>
          <w:bCs/>
          <w:color w:val="000000" w:themeColor="text1"/>
        </w:rPr>
      </w:pPr>
      <w:r w:rsidRPr="00922B93">
        <w:rPr>
          <w:rFonts w:ascii="Palatino Linotype" w:eastAsia="Palatino Linotype" w:hAnsi="Palatino Linotype" w:cs="Palatino Linotype"/>
          <w:b/>
          <w:bCs/>
          <w:color w:val="000000" w:themeColor="text1"/>
        </w:rPr>
        <w:t xml:space="preserve">Nombre y RFC de personas a las que se les depositó montos por concepto de pensión alimenticia. </w:t>
      </w:r>
    </w:p>
    <w:p w:rsidR="006F1C9E" w:rsidRPr="00922B93" w:rsidRDefault="006F1C9E" w:rsidP="00922B93">
      <w:pPr>
        <w:pStyle w:val="Prrafodelista"/>
        <w:numPr>
          <w:ilvl w:val="0"/>
          <w:numId w:val="2"/>
        </w:numPr>
        <w:tabs>
          <w:tab w:val="left" w:pos="0"/>
        </w:tabs>
        <w:spacing w:line="360" w:lineRule="auto"/>
        <w:jc w:val="both"/>
        <w:rPr>
          <w:rFonts w:ascii="Palatino Linotype" w:eastAsia="Palatino Linotype" w:hAnsi="Palatino Linotype" w:cs="Palatino Linotype"/>
          <w:b/>
          <w:color w:val="000000" w:themeColor="text1"/>
        </w:rPr>
      </w:pPr>
      <w:r w:rsidRPr="00922B93">
        <w:rPr>
          <w:rFonts w:ascii="Palatino Linotype" w:eastAsia="Palatino Linotype" w:hAnsi="Palatino Linotype" w:cs="Palatino Linotype"/>
          <w:color w:val="000000" w:themeColor="text1"/>
        </w:rPr>
        <w:t>Al corresponder el monto depositado a descuentos realizados a los trabajadores, corresponde a información confidencial; por lo que se actualiza el supuesto previsto en el artículo 143 de la Ley en la materia</w:t>
      </w:r>
      <w:r w:rsidRPr="00922B93">
        <w:rPr>
          <w:rFonts w:ascii="Palatino Linotype" w:eastAsia="Palatino Linotype" w:hAnsi="Palatino Linotype" w:cs="Palatino Linotype"/>
          <w:b/>
          <w:color w:val="000000" w:themeColor="text1"/>
        </w:rPr>
        <w:t xml:space="preserve">. </w:t>
      </w:r>
    </w:p>
    <w:p w:rsidR="006F1C9E" w:rsidRPr="00922B93" w:rsidRDefault="006F1C9E" w:rsidP="00922B93">
      <w:pPr>
        <w:tabs>
          <w:tab w:val="left" w:pos="0"/>
        </w:tabs>
        <w:spacing w:line="360" w:lineRule="auto"/>
        <w:jc w:val="both"/>
        <w:rPr>
          <w:rFonts w:ascii="Palatino Linotype" w:hAnsi="Palatino Linotype" w:cs="Arial"/>
          <w:color w:val="000000" w:themeColor="text1"/>
        </w:rPr>
      </w:pPr>
    </w:p>
    <w:p w:rsidR="006F1C9E" w:rsidRPr="00922B93" w:rsidRDefault="006F1C9E" w:rsidP="00922B93">
      <w:pPr>
        <w:numPr>
          <w:ilvl w:val="0"/>
          <w:numId w:val="11"/>
        </w:numPr>
        <w:tabs>
          <w:tab w:val="left" w:pos="0"/>
        </w:tabs>
        <w:autoSpaceDE w:val="0"/>
        <w:autoSpaceDN w:val="0"/>
        <w:adjustRightInd w:val="0"/>
        <w:spacing w:after="160" w:line="360" w:lineRule="auto"/>
        <w:ind w:left="567" w:firstLine="0"/>
        <w:contextualSpacing/>
        <w:jc w:val="both"/>
        <w:rPr>
          <w:rFonts w:ascii="Palatino Linotype" w:hAnsi="Palatino Linotype"/>
          <w:b/>
          <w:color w:val="000000" w:themeColor="text1"/>
        </w:rPr>
      </w:pPr>
      <w:r w:rsidRPr="00922B93">
        <w:rPr>
          <w:rFonts w:ascii="Palatino Linotype" w:hAnsi="Palatino Linotype"/>
          <w:b/>
          <w:color w:val="000000" w:themeColor="text1"/>
        </w:rPr>
        <w:lastRenderedPageBreak/>
        <w:t xml:space="preserve">Cuentas bancarias de particulares </w:t>
      </w:r>
    </w:p>
    <w:p w:rsidR="006F1C9E" w:rsidRPr="00922B93" w:rsidRDefault="006F1C9E" w:rsidP="00922B93">
      <w:pPr>
        <w:pStyle w:val="Prrafodelista"/>
        <w:numPr>
          <w:ilvl w:val="0"/>
          <w:numId w:val="2"/>
        </w:numPr>
        <w:tabs>
          <w:tab w:val="left" w:pos="0"/>
        </w:tabs>
        <w:spacing w:line="360" w:lineRule="auto"/>
        <w:jc w:val="both"/>
        <w:rPr>
          <w:rFonts w:ascii="Palatino Linotype" w:hAnsi="Palatino Linotype"/>
          <w:color w:val="000000" w:themeColor="text1"/>
        </w:rPr>
      </w:pPr>
      <w:r w:rsidRPr="00922B93">
        <w:rPr>
          <w:rFonts w:ascii="Palatino Linotype" w:hAnsi="Palatino Linotype" w:cs="Arial"/>
          <w:color w:val="000000" w:themeColor="text1"/>
        </w:rPr>
        <w:t xml:space="preserve">Es importante señalar que </w:t>
      </w:r>
      <w:r w:rsidRPr="00922B93">
        <w:rPr>
          <w:rFonts w:ascii="Palatino Linotype" w:hAnsi="Palatino Linotype"/>
          <w:color w:val="000000" w:themeColor="text1"/>
        </w:rPr>
        <w:t xml:space="preserve">por cuanto hace al </w:t>
      </w:r>
      <w:r w:rsidRPr="00922B93">
        <w:rPr>
          <w:rFonts w:ascii="Palatino Linotype" w:hAnsi="Palatino Linotype"/>
          <w:b/>
          <w:bCs/>
          <w:color w:val="000000" w:themeColor="text1"/>
        </w:rPr>
        <w:t>número de cuenta bancaria</w:t>
      </w:r>
      <w:r w:rsidRPr="00922B93">
        <w:rPr>
          <w:rFonts w:ascii="Palatino Linotype" w:hAnsi="Palatino Linotype"/>
          <w:color w:val="000000" w:themeColor="text1"/>
        </w:rPr>
        <w:t xml:space="preserve"> </w:t>
      </w:r>
      <w:r w:rsidRPr="00922B93">
        <w:rPr>
          <w:rFonts w:ascii="Palatino Linotype" w:hAnsi="Palatino Linotype"/>
          <w:b/>
          <w:bCs/>
          <w:color w:val="000000" w:themeColor="text1"/>
        </w:rPr>
        <w:t>de los particulares</w:t>
      </w:r>
      <w:r w:rsidRPr="00922B93">
        <w:rPr>
          <w:rFonts w:ascii="Palatino Linotype" w:hAnsi="Palatino Linotype"/>
          <w:color w:val="000000" w:themeColor="text1"/>
        </w:rPr>
        <w:t xml:space="preserve"> debe ser clasificado como confidencial con fundamento en las fracciones I y II del artículo 143 de la Ley de la Materia de la Entidad; en razón de que, con su difusión se estaría poniendo en riesgo la seguridad de su titular.</w:t>
      </w:r>
    </w:p>
    <w:p w:rsidR="006F1C9E" w:rsidRPr="00922B93" w:rsidRDefault="006F1C9E" w:rsidP="00922B93">
      <w:pPr>
        <w:tabs>
          <w:tab w:val="left" w:pos="0"/>
        </w:tabs>
        <w:autoSpaceDE w:val="0"/>
        <w:autoSpaceDN w:val="0"/>
        <w:adjustRightInd w:val="0"/>
        <w:spacing w:line="360" w:lineRule="auto"/>
        <w:jc w:val="both"/>
        <w:rPr>
          <w:rFonts w:ascii="Palatino Linotype" w:hAnsi="Palatino Linotype"/>
          <w:color w:val="000000" w:themeColor="text1"/>
        </w:rPr>
      </w:pPr>
    </w:p>
    <w:p w:rsidR="00913AAE" w:rsidRPr="00922B93" w:rsidRDefault="006F1C9E" w:rsidP="00922B93">
      <w:pPr>
        <w:pStyle w:val="Prrafodelista"/>
        <w:numPr>
          <w:ilvl w:val="0"/>
          <w:numId w:val="2"/>
        </w:numPr>
        <w:tabs>
          <w:tab w:val="left" w:pos="0"/>
        </w:tabs>
        <w:autoSpaceDE w:val="0"/>
        <w:autoSpaceDN w:val="0"/>
        <w:adjustRightInd w:val="0"/>
        <w:spacing w:line="360" w:lineRule="auto"/>
        <w:jc w:val="both"/>
        <w:rPr>
          <w:rFonts w:ascii="Palatino Linotype" w:hAnsi="Palatino Linotype"/>
          <w:color w:val="000000" w:themeColor="text1"/>
        </w:rPr>
      </w:pPr>
      <w:r w:rsidRPr="00922B93">
        <w:rPr>
          <w:rFonts w:ascii="Palatino Linotype" w:hAnsi="Palatino Linotype"/>
          <w:color w:val="000000" w:themeColor="text1"/>
        </w:rPr>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rsidR="00913AAE" w:rsidRPr="00922B93" w:rsidRDefault="00913AAE" w:rsidP="00922B93">
      <w:pPr>
        <w:pStyle w:val="Prrafodelista"/>
        <w:tabs>
          <w:tab w:val="left" w:pos="0"/>
        </w:tabs>
        <w:autoSpaceDE w:val="0"/>
        <w:autoSpaceDN w:val="0"/>
        <w:adjustRightInd w:val="0"/>
        <w:spacing w:line="360" w:lineRule="auto"/>
        <w:ind w:left="0"/>
        <w:jc w:val="both"/>
        <w:rPr>
          <w:rFonts w:ascii="Palatino Linotype" w:hAnsi="Palatino Linotype"/>
          <w:color w:val="000000" w:themeColor="text1"/>
        </w:rPr>
      </w:pPr>
    </w:p>
    <w:p w:rsidR="006F1C9E" w:rsidRPr="00922B93" w:rsidRDefault="006F1C9E" w:rsidP="00922B93">
      <w:pPr>
        <w:pStyle w:val="Prrafodelista"/>
        <w:numPr>
          <w:ilvl w:val="0"/>
          <w:numId w:val="2"/>
        </w:numPr>
        <w:tabs>
          <w:tab w:val="left" w:pos="0"/>
        </w:tabs>
        <w:autoSpaceDE w:val="0"/>
        <w:autoSpaceDN w:val="0"/>
        <w:adjustRightInd w:val="0"/>
        <w:spacing w:line="360" w:lineRule="auto"/>
        <w:jc w:val="both"/>
        <w:rPr>
          <w:rFonts w:ascii="Palatino Linotype" w:hAnsi="Palatino Linotype"/>
          <w:color w:val="000000" w:themeColor="text1"/>
        </w:rPr>
      </w:pPr>
      <w:r w:rsidRPr="00922B93">
        <w:rPr>
          <w:rFonts w:ascii="Palatino Linotype" w:hAnsi="Palatino Linotype"/>
          <w:color w:val="000000" w:themeColor="text1"/>
        </w:rPr>
        <w:t>Lo anterior encuentra sustento en el criterio 10/17 emitido por el Instituto Nacional de Transparencia y Acceso a la Información Pública del Estado de México y Municipios, que a la letra dicen:</w:t>
      </w:r>
    </w:p>
    <w:p w:rsidR="006F1C9E" w:rsidRPr="00922B93" w:rsidRDefault="006F1C9E" w:rsidP="00922B93">
      <w:pPr>
        <w:tabs>
          <w:tab w:val="left" w:pos="0"/>
        </w:tabs>
        <w:ind w:left="567"/>
        <w:contextualSpacing/>
        <w:jc w:val="both"/>
        <w:rPr>
          <w:rFonts w:ascii="Palatino Linotype" w:hAnsi="Palatino Linotype"/>
          <w:i/>
          <w:color w:val="000000" w:themeColor="text1"/>
          <w:kern w:val="28"/>
        </w:rPr>
      </w:pPr>
      <w:r w:rsidRPr="00922B93">
        <w:rPr>
          <w:rFonts w:ascii="Palatino Linotype" w:hAnsi="Palatino Linotype"/>
          <w:b/>
          <w:i/>
          <w:color w:val="000000" w:themeColor="text1"/>
          <w:kern w:val="28"/>
        </w:rPr>
        <w:t>“Cuentas bancarias y/o CLABE interbancaria de personas físicas y morales privadas.</w:t>
      </w:r>
      <w:r w:rsidRPr="00922B93">
        <w:rPr>
          <w:rFonts w:ascii="Palatino Linotype" w:hAnsi="Palatino Linotype"/>
          <w:i/>
          <w:color w:val="000000" w:themeColor="text1"/>
          <w:kern w:val="28"/>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rsidR="006F1C9E" w:rsidRPr="00922B93" w:rsidRDefault="006F1C9E" w:rsidP="00922B93">
      <w:pPr>
        <w:tabs>
          <w:tab w:val="left" w:pos="0"/>
        </w:tabs>
        <w:ind w:left="567"/>
        <w:contextualSpacing/>
        <w:jc w:val="both"/>
        <w:rPr>
          <w:rFonts w:ascii="Palatino Linotype" w:hAnsi="Palatino Linotype"/>
          <w:i/>
          <w:color w:val="000000" w:themeColor="text1"/>
          <w:kern w:val="28"/>
        </w:rPr>
      </w:pPr>
    </w:p>
    <w:p w:rsidR="006F1C9E" w:rsidRPr="00922B93" w:rsidRDefault="006F1C9E" w:rsidP="00922B93">
      <w:pPr>
        <w:tabs>
          <w:tab w:val="left" w:pos="0"/>
        </w:tabs>
        <w:ind w:left="567"/>
        <w:contextualSpacing/>
        <w:jc w:val="both"/>
        <w:rPr>
          <w:rFonts w:ascii="Palatino Linotype" w:hAnsi="Palatino Linotype"/>
          <w:b/>
          <w:bCs/>
          <w:i/>
          <w:color w:val="000000" w:themeColor="text1"/>
          <w:kern w:val="28"/>
        </w:rPr>
      </w:pPr>
      <w:r w:rsidRPr="00922B93">
        <w:rPr>
          <w:rFonts w:ascii="Palatino Linotype" w:hAnsi="Palatino Linotype"/>
          <w:b/>
          <w:bCs/>
          <w:i/>
          <w:color w:val="000000" w:themeColor="text1"/>
          <w:kern w:val="28"/>
        </w:rPr>
        <w:lastRenderedPageBreak/>
        <w:t xml:space="preserve"> Resoluciones: </w:t>
      </w:r>
    </w:p>
    <w:p w:rsidR="006F1C9E" w:rsidRPr="00922B93" w:rsidRDefault="006F1C9E" w:rsidP="00922B93">
      <w:pPr>
        <w:tabs>
          <w:tab w:val="left" w:pos="0"/>
        </w:tabs>
        <w:ind w:left="567"/>
        <w:contextualSpacing/>
        <w:jc w:val="both"/>
        <w:rPr>
          <w:rFonts w:ascii="Palatino Linotype" w:hAnsi="Palatino Linotype"/>
          <w:i/>
          <w:color w:val="000000" w:themeColor="text1"/>
          <w:kern w:val="28"/>
        </w:rPr>
      </w:pPr>
      <w:r w:rsidRPr="00922B93">
        <w:rPr>
          <w:rFonts w:ascii="Palatino Linotype" w:hAnsi="Palatino Linotype"/>
          <w:b/>
          <w:bCs/>
          <w:i/>
          <w:color w:val="000000" w:themeColor="text1"/>
          <w:kern w:val="28"/>
        </w:rPr>
        <w:t xml:space="preserve">RRA 1276/16 </w:t>
      </w:r>
      <w:r w:rsidRPr="00922B93">
        <w:rPr>
          <w:rFonts w:ascii="Palatino Linotype" w:hAnsi="Palatino Linotype"/>
          <w:i/>
          <w:color w:val="000000" w:themeColor="text1"/>
          <w:kern w:val="28"/>
        </w:rPr>
        <w:t xml:space="preserve">Grupo Aeroportuario de la Ciudad de México. S.A. de C.V. 01 de noviembre de 2016. Por unanimidad. Comisionada Ponente Areli Cano Guadiana. </w:t>
      </w:r>
    </w:p>
    <w:p w:rsidR="006F1C9E" w:rsidRPr="00922B93" w:rsidRDefault="006F1C9E" w:rsidP="00922B93">
      <w:pPr>
        <w:tabs>
          <w:tab w:val="left" w:pos="0"/>
        </w:tabs>
        <w:ind w:left="567"/>
        <w:contextualSpacing/>
        <w:jc w:val="both"/>
        <w:rPr>
          <w:rFonts w:ascii="Palatino Linotype" w:hAnsi="Palatino Linotype"/>
          <w:i/>
          <w:color w:val="000000" w:themeColor="text1"/>
          <w:kern w:val="28"/>
        </w:rPr>
      </w:pPr>
      <w:r w:rsidRPr="00922B93">
        <w:rPr>
          <w:rFonts w:ascii="Palatino Linotype" w:hAnsi="Palatino Linotype"/>
          <w:b/>
          <w:bCs/>
          <w:i/>
          <w:color w:val="000000" w:themeColor="text1"/>
          <w:kern w:val="28"/>
        </w:rPr>
        <w:t>RRA 3527/16</w:t>
      </w:r>
      <w:r w:rsidRPr="00922B93">
        <w:rPr>
          <w:rFonts w:ascii="Palatino Linotype" w:hAnsi="Palatino Linotype"/>
          <w:i/>
          <w:color w:val="000000" w:themeColor="text1"/>
          <w:kern w:val="28"/>
        </w:rPr>
        <w:t xml:space="preserve"> Servicio de Administración Tributaria. 07 de diciembre de 2016. Por unanimidad. Comisionada Ponente Ximena Puente de la Mora. </w:t>
      </w:r>
    </w:p>
    <w:p w:rsidR="006F1C9E" w:rsidRPr="00922B93" w:rsidRDefault="006F1C9E" w:rsidP="00922B93">
      <w:pPr>
        <w:tabs>
          <w:tab w:val="left" w:pos="0"/>
        </w:tabs>
        <w:ind w:left="567"/>
        <w:contextualSpacing/>
        <w:jc w:val="both"/>
        <w:rPr>
          <w:rFonts w:ascii="Palatino Linotype" w:hAnsi="Palatino Linotype"/>
          <w:i/>
          <w:color w:val="000000" w:themeColor="text1"/>
          <w:kern w:val="28"/>
        </w:rPr>
      </w:pPr>
      <w:r w:rsidRPr="00922B93">
        <w:rPr>
          <w:rFonts w:ascii="Palatino Linotype" w:hAnsi="Palatino Linotype"/>
          <w:b/>
          <w:bCs/>
          <w:i/>
          <w:color w:val="000000" w:themeColor="text1"/>
          <w:kern w:val="28"/>
        </w:rPr>
        <w:t>RRA 4404/16</w:t>
      </w:r>
      <w:r w:rsidRPr="00922B93">
        <w:rPr>
          <w:rFonts w:ascii="Palatino Linotype" w:hAnsi="Palatino Linotype"/>
          <w:i/>
          <w:color w:val="000000" w:themeColor="text1"/>
          <w:kern w:val="28"/>
        </w:rPr>
        <w:t xml:space="preserve"> Partido del Trabajo. 01 de febrero de 2017. Por unanimidad. Comisionado Ponente Francisco Acuña Llamas.”</w:t>
      </w:r>
    </w:p>
    <w:p w:rsidR="006F1C9E" w:rsidRPr="00922B93" w:rsidRDefault="006F1C9E" w:rsidP="00922B93">
      <w:pPr>
        <w:tabs>
          <w:tab w:val="left" w:pos="0"/>
        </w:tabs>
        <w:autoSpaceDE w:val="0"/>
        <w:autoSpaceDN w:val="0"/>
        <w:adjustRightInd w:val="0"/>
        <w:spacing w:line="360" w:lineRule="auto"/>
        <w:ind w:left="851"/>
        <w:jc w:val="both"/>
        <w:rPr>
          <w:rFonts w:ascii="Palatino Linotype" w:hAnsi="Palatino Linotype"/>
          <w:b/>
          <w:i/>
          <w:color w:val="000000" w:themeColor="text1"/>
        </w:rPr>
      </w:pPr>
    </w:p>
    <w:p w:rsidR="006F1C9E" w:rsidRPr="00922B93" w:rsidRDefault="006F1C9E" w:rsidP="00922B93">
      <w:pPr>
        <w:numPr>
          <w:ilvl w:val="0"/>
          <w:numId w:val="11"/>
        </w:numPr>
        <w:tabs>
          <w:tab w:val="left" w:pos="0"/>
        </w:tabs>
        <w:autoSpaceDE w:val="0"/>
        <w:autoSpaceDN w:val="0"/>
        <w:adjustRightInd w:val="0"/>
        <w:spacing w:after="160" w:line="360" w:lineRule="auto"/>
        <w:ind w:left="567" w:firstLine="0"/>
        <w:contextualSpacing/>
        <w:jc w:val="both"/>
        <w:rPr>
          <w:rFonts w:ascii="Palatino Linotype" w:hAnsi="Palatino Linotype"/>
          <w:b/>
          <w:color w:val="000000" w:themeColor="text1"/>
        </w:rPr>
      </w:pPr>
      <w:r w:rsidRPr="00922B93">
        <w:rPr>
          <w:rFonts w:ascii="Palatino Linotype" w:hAnsi="Palatino Linotype"/>
          <w:b/>
          <w:color w:val="000000" w:themeColor="text1"/>
        </w:rPr>
        <w:t>Cuentas bancarias de los Sujetos Obligados</w:t>
      </w:r>
    </w:p>
    <w:p w:rsidR="006F1C9E" w:rsidRPr="00922B93" w:rsidRDefault="006F1C9E" w:rsidP="00922B93">
      <w:pPr>
        <w:pStyle w:val="Prrafodelista"/>
        <w:numPr>
          <w:ilvl w:val="0"/>
          <w:numId w:val="2"/>
        </w:numPr>
        <w:tabs>
          <w:tab w:val="left" w:pos="0"/>
        </w:tabs>
        <w:autoSpaceDE w:val="0"/>
        <w:autoSpaceDN w:val="0"/>
        <w:adjustRightInd w:val="0"/>
        <w:spacing w:line="360" w:lineRule="auto"/>
        <w:jc w:val="both"/>
        <w:rPr>
          <w:rFonts w:ascii="Palatino Linotype" w:hAnsi="Palatino Linotype"/>
          <w:color w:val="000000" w:themeColor="text1"/>
        </w:rPr>
      </w:pPr>
      <w:r w:rsidRPr="00922B93">
        <w:rPr>
          <w:rFonts w:ascii="Palatino Linotype" w:hAnsi="Palatino Linotype"/>
          <w:color w:val="000000" w:themeColor="text1"/>
        </w:rPr>
        <w:t xml:space="preserve">Por cuanto hace a las </w:t>
      </w:r>
      <w:r w:rsidRPr="00922B93">
        <w:rPr>
          <w:rFonts w:ascii="Palatino Linotype" w:hAnsi="Palatino Linotype"/>
          <w:b/>
          <w:bCs/>
          <w:color w:val="000000" w:themeColor="text1"/>
        </w:rPr>
        <w:t>cuentas bancarias de los Sujetos obligados</w:t>
      </w:r>
      <w:r w:rsidRPr="00922B93">
        <w:rPr>
          <w:rFonts w:ascii="Palatino Linotype" w:hAnsi="Palatino Linotype"/>
          <w:color w:val="000000" w:themeColor="text1"/>
        </w:rPr>
        <w:t>, dicha información no puede considerarse como confidencial, pues la difusión de dichas cuentas o claves interbancarias, favorecen a la rendición de cuentas; ello tiene sustento en el criterio 11/17, emitido por el Instituto Nacional de Transparencia y Acceso a la Información Pública del Estado de México y Municipios, el cual para mayor referencia se inserta a continuación:</w:t>
      </w:r>
    </w:p>
    <w:p w:rsidR="006F1C9E" w:rsidRPr="00922B93" w:rsidRDefault="006F1C9E" w:rsidP="00922B93">
      <w:pPr>
        <w:tabs>
          <w:tab w:val="left" w:pos="0"/>
        </w:tabs>
        <w:ind w:left="567"/>
        <w:contextualSpacing/>
        <w:jc w:val="both"/>
        <w:rPr>
          <w:rFonts w:ascii="Palatino Linotype" w:hAnsi="Palatino Linotype"/>
          <w:i/>
          <w:color w:val="000000" w:themeColor="text1"/>
          <w:kern w:val="28"/>
        </w:rPr>
      </w:pPr>
      <w:r w:rsidRPr="00922B93">
        <w:rPr>
          <w:rFonts w:ascii="Palatino Linotype" w:hAnsi="Palatino Linotype"/>
          <w:i/>
          <w:color w:val="000000" w:themeColor="text1"/>
          <w:kern w:val="28"/>
        </w:rPr>
        <w:t>“</w:t>
      </w:r>
      <w:r w:rsidRPr="00922B93">
        <w:rPr>
          <w:rFonts w:ascii="Palatino Linotype" w:hAnsi="Palatino Linotype"/>
          <w:b/>
          <w:bCs/>
          <w:i/>
          <w:color w:val="000000" w:themeColor="text1"/>
          <w:kern w:val="28"/>
        </w:rPr>
        <w:t>Cuentas bancarias y/o CLABE interbancaria de sujetos obligados que reciben y/o transfieren recursos públicos, son información pública</w:t>
      </w:r>
      <w:r w:rsidRPr="00922B93">
        <w:rPr>
          <w:rFonts w:ascii="Palatino Linotype" w:hAnsi="Palatino Linotype"/>
          <w:i/>
          <w:color w:val="000000" w:themeColor="text1"/>
          <w:kern w:val="28"/>
        </w:rPr>
        <w:t>.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rsidR="006F1C9E" w:rsidRPr="00922B93" w:rsidRDefault="006F1C9E" w:rsidP="00922B93">
      <w:pPr>
        <w:tabs>
          <w:tab w:val="left" w:pos="0"/>
        </w:tabs>
        <w:ind w:left="567"/>
        <w:contextualSpacing/>
        <w:jc w:val="both"/>
        <w:rPr>
          <w:rFonts w:ascii="Palatino Linotype" w:hAnsi="Palatino Linotype"/>
          <w:i/>
          <w:color w:val="000000" w:themeColor="text1"/>
          <w:kern w:val="28"/>
        </w:rPr>
      </w:pPr>
    </w:p>
    <w:p w:rsidR="006F1C9E" w:rsidRPr="00922B93" w:rsidRDefault="006F1C9E" w:rsidP="00922B93">
      <w:pPr>
        <w:tabs>
          <w:tab w:val="left" w:pos="0"/>
        </w:tabs>
        <w:ind w:left="567"/>
        <w:contextualSpacing/>
        <w:jc w:val="both"/>
        <w:rPr>
          <w:rFonts w:ascii="Palatino Linotype" w:hAnsi="Palatino Linotype"/>
          <w:b/>
          <w:i/>
          <w:color w:val="000000" w:themeColor="text1"/>
          <w:kern w:val="28"/>
        </w:rPr>
      </w:pPr>
      <w:r w:rsidRPr="00922B93">
        <w:rPr>
          <w:rFonts w:ascii="Palatino Linotype" w:hAnsi="Palatino Linotype"/>
          <w:b/>
          <w:i/>
          <w:color w:val="000000" w:themeColor="text1"/>
          <w:kern w:val="28"/>
        </w:rPr>
        <w:t xml:space="preserve"> Resoluciones: </w:t>
      </w:r>
    </w:p>
    <w:p w:rsidR="006F1C9E" w:rsidRPr="00922B93" w:rsidRDefault="006F1C9E" w:rsidP="00922B93">
      <w:pPr>
        <w:tabs>
          <w:tab w:val="left" w:pos="0"/>
        </w:tabs>
        <w:ind w:left="567"/>
        <w:contextualSpacing/>
        <w:jc w:val="both"/>
        <w:rPr>
          <w:rFonts w:ascii="Palatino Linotype" w:hAnsi="Palatino Linotype"/>
          <w:i/>
          <w:color w:val="000000" w:themeColor="text1"/>
          <w:kern w:val="28"/>
        </w:rPr>
      </w:pPr>
      <w:r w:rsidRPr="00922B93">
        <w:rPr>
          <w:rFonts w:ascii="Palatino Linotype" w:hAnsi="Palatino Linotype"/>
          <w:b/>
          <w:i/>
          <w:color w:val="000000" w:themeColor="text1"/>
          <w:kern w:val="28"/>
        </w:rPr>
        <w:t>RRA 0448/16.</w:t>
      </w:r>
      <w:r w:rsidRPr="00922B93">
        <w:rPr>
          <w:rFonts w:ascii="Palatino Linotype" w:hAnsi="Palatino Linotype"/>
          <w:i/>
          <w:color w:val="000000" w:themeColor="text1"/>
          <w:kern w:val="28"/>
        </w:rPr>
        <w:t xml:space="preserve"> NOTIMEX, Agencia de Noticias del Estado Mexicano. 24 de agosto de 2016. Por unanimidad. Comisionado Ponente Joel Salas Suárez. </w:t>
      </w:r>
    </w:p>
    <w:p w:rsidR="006F1C9E" w:rsidRPr="00922B93" w:rsidRDefault="006F1C9E" w:rsidP="00922B93">
      <w:pPr>
        <w:tabs>
          <w:tab w:val="left" w:pos="0"/>
        </w:tabs>
        <w:ind w:left="567"/>
        <w:contextualSpacing/>
        <w:jc w:val="both"/>
        <w:rPr>
          <w:rFonts w:ascii="Palatino Linotype" w:hAnsi="Palatino Linotype"/>
          <w:i/>
          <w:color w:val="000000" w:themeColor="text1"/>
          <w:kern w:val="28"/>
        </w:rPr>
      </w:pPr>
      <w:r w:rsidRPr="00922B93">
        <w:rPr>
          <w:rFonts w:ascii="Palatino Linotype" w:hAnsi="Palatino Linotype"/>
          <w:b/>
          <w:i/>
          <w:color w:val="000000" w:themeColor="text1"/>
          <w:kern w:val="28"/>
        </w:rPr>
        <w:t>RRA 2787/16.</w:t>
      </w:r>
      <w:r w:rsidRPr="00922B93">
        <w:rPr>
          <w:rFonts w:ascii="Palatino Linotype" w:hAnsi="Palatino Linotype"/>
          <w:i/>
          <w:color w:val="000000" w:themeColor="text1"/>
          <w:kern w:val="28"/>
        </w:rPr>
        <w:t xml:space="preserve"> Colegio de Postgraduados. 01 de noviembre de 2016. Por unanimidad. Comisionado Ponente Francisco Javier Acuña Llamas. </w:t>
      </w:r>
    </w:p>
    <w:p w:rsidR="006F1C9E" w:rsidRPr="00922B93" w:rsidRDefault="006F1C9E" w:rsidP="00922B93">
      <w:pPr>
        <w:tabs>
          <w:tab w:val="left" w:pos="0"/>
        </w:tabs>
        <w:ind w:left="567"/>
        <w:contextualSpacing/>
        <w:jc w:val="both"/>
        <w:rPr>
          <w:rFonts w:ascii="Palatino Linotype" w:hAnsi="Palatino Linotype"/>
          <w:i/>
          <w:color w:val="000000" w:themeColor="text1"/>
          <w:kern w:val="28"/>
        </w:rPr>
      </w:pPr>
      <w:r w:rsidRPr="00922B93">
        <w:rPr>
          <w:rFonts w:ascii="Palatino Linotype" w:hAnsi="Palatino Linotype"/>
          <w:b/>
          <w:i/>
          <w:color w:val="000000" w:themeColor="text1"/>
          <w:kern w:val="28"/>
        </w:rPr>
        <w:t>RRA 4756/16.</w:t>
      </w:r>
      <w:r w:rsidRPr="00922B93">
        <w:rPr>
          <w:rFonts w:ascii="Palatino Linotype" w:hAnsi="Palatino Linotype"/>
          <w:i/>
          <w:color w:val="000000" w:themeColor="text1"/>
          <w:kern w:val="28"/>
        </w:rPr>
        <w:t xml:space="preserve"> Instituto Mexicano del Seguro Social. 08 de febrero de 2017. Por unanimidad. Comisionado Ponente Oscar Mauricio Guerra Ford. “</w:t>
      </w:r>
    </w:p>
    <w:p w:rsidR="00E40FE1" w:rsidRPr="00922B93" w:rsidRDefault="00E40FE1" w:rsidP="00922B93">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E40FE1" w:rsidRPr="00922B93" w:rsidRDefault="0010134C" w:rsidP="00922B93">
      <w:pPr>
        <w:numPr>
          <w:ilvl w:val="0"/>
          <w:numId w:val="2"/>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922B93">
        <w:rPr>
          <w:rFonts w:ascii="Palatino Linotype" w:eastAsia="Palatino Linotype" w:hAnsi="Palatino Linotype" w:cs="Palatino Linotype"/>
          <w:color w:val="000000" w:themeColor="text1"/>
        </w:rPr>
        <w:t xml:space="preserve">Si el servidor público incumple con estas formalidades y entrega la información sin proteger los datos personales incumple con lo que estipula las disposiciones legales </w:t>
      </w:r>
      <w:r w:rsidRPr="00922B93">
        <w:rPr>
          <w:rFonts w:ascii="Palatino Linotype" w:eastAsia="Palatino Linotype" w:hAnsi="Palatino Linotype" w:cs="Palatino Linotype"/>
          <w:color w:val="000000" w:themeColor="text1"/>
        </w:rPr>
        <w:lastRenderedPageBreak/>
        <w:t>establecidas; asimismo que si entrega un documento testado sin el debido acuerdo de clasificación.</w:t>
      </w:r>
    </w:p>
    <w:p w:rsidR="00491D24" w:rsidRPr="00922B93" w:rsidRDefault="00491D24" w:rsidP="00922B93">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E40FE1" w:rsidRPr="00922B93" w:rsidRDefault="0010134C" w:rsidP="00922B93">
      <w:pPr>
        <w:numPr>
          <w:ilvl w:val="0"/>
          <w:numId w:val="2"/>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922B93">
        <w:rPr>
          <w:rFonts w:ascii="Palatino Linotype" w:eastAsia="Palatino Linotype" w:hAnsi="Palatino Linotype" w:cs="Palatino Linotype"/>
          <w:color w:val="000000" w:themeColor="text1"/>
        </w:rPr>
        <w:t>Por lo anteriormente expuesto, este Órgano Garante considera fundadas las razones o motivos de inconformidad que plantea el</w:t>
      </w:r>
      <w:r w:rsidRPr="00922B93">
        <w:rPr>
          <w:rFonts w:ascii="Palatino Linotype" w:eastAsia="Palatino Linotype" w:hAnsi="Palatino Linotype" w:cs="Palatino Linotype"/>
          <w:b/>
          <w:color w:val="000000" w:themeColor="text1"/>
        </w:rPr>
        <w:t xml:space="preserve"> RECURRENTE</w:t>
      </w:r>
      <w:r w:rsidRPr="00922B93">
        <w:rPr>
          <w:rFonts w:ascii="Palatino Linotype" w:eastAsia="Palatino Linotype" w:hAnsi="Palatino Linotype" w:cs="Palatino Linotype"/>
          <w:color w:val="000000" w:themeColor="text1"/>
        </w:rPr>
        <w:t xml:space="preserve">, determinando </w:t>
      </w:r>
      <w:r w:rsidR="00491D24" w:rsidRPr="00922B93">
        <w:rPr>
          <w:rFonts w:ascii="Palatino Linotype" w:eastAsia="Palatino Linotype" w:hAnsi="Palatino Linotype" w:cs="Palatino Linotype"/>
          <w:b/>
          <w:color w:val="000000" w:themeColor="text1"/>
        </w:rPr>
        <w:t>REVOCAR</w:t>
      </w:r>
      <w:r w:rsidRPr="00922B93">
        <w:rPr>
          <w:rFonts w:ascii="Palatino Linotype" w:eastAsia="Palatino Linotype" w:hAnsi="Palatino Linotype" w:cs="Palatino Linotype"/>
          <w:b/>
          <w:color w:val="000000" w:themeColor="text1"/>
        </w:rPr>
        <w:t xml:space="preserve"> </w:t>
      </w:r>
      <w:r w:rsidRPr="00922B93">
        <w:rPr>
          <w:rFonts w:ascii="Palatino Linotype" w:eastAsia="Palatino Linotype" w:hAnsi="Palatino Linotype" w:cs="Palatino Linotype"/>
          <w:color w:val="000000" w:themeColor="text1"/>
        </w:rPr>
        <w:t xml:space="preserve">la respuesta del </w:t>
      </w:r>
      <w:r w:rsidRPr="00922B93">
        <w:rPr>
          <w:rFonts w:ascii="Palatino Linotype" w:eastAsia="Palatino Linotype" w:hAnsi="Palatino Linotype" w:cs="Palatino Linotype"/>
          <w:b/>
          <w:color w:val="000000" w:themeColor="text1"/>
        </w:rPr>
        <w:t>SUJETO OBLIGADO</w:t>
      </w:r>
      <w:r w:rsidRPr="00922B93">
        <w:rPr>
          <w:rFonts w:ascii="Palatino Linotype" w:eastAsia="Palatino Linotype" w:hAnsi="Palatino Linotype" w:cs="Palatino Linotype"/>
          <w:color w:val="000000" w:themeColor="text1"/>
        </w:rPr>
        <w:t xml:space="preserve">, por lo que 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este </w:t>
      </w:r>
      <w:r w:rsidRPr="00922B93">
        <w:rPr>
          <w:rFonts w:ascii="Palatino Linotype" w:eastAsia="Palatino Linotype" w:hAnsi="Palatino Linotype" w:cs="Palatino Linotype"/>
          <w:b/>
          <w:color w:val="000000" w:themeColor="text1"/>
        </w:rPr>
        <w:t>ÓRGANO GARANTE</w:t>
      </w:r>
      <w:r w:rsidRPr="00922B93">
        <w:rPr>
          <w:rFonts w:ascii="Palatino Linotype" w:eastAsia="Palatino Linotype" w:hAnsi="Palatino Linotype" w:cs="Palatino Linotype"/>
          <w:color w:val="000000" w:themeColor="text1"/>
        </w:rPr>
        <w:t xml:space="preserve"> emite los siguientes.</w:t>
      </w:r>
    </w:p>
    <w:p w:rsidR="00913AAE" w:rsidRPr="00922B93" w:rsidRDefault="00913AAE" w:rsidP="00922B93">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E40FE1" w:rsidRPr="00922B93" w:rsidRDefault="0010134C" w:rsidP="00922B93">
      <w:pPr>
        <w:pStyle w:val="Ttulo1"/>
        <w:tabs>
          <w:tab w:val="left" w:pos="0"/>
        </w:tabs>
        <w:spacing w:before="0" w:line="360" w:lineRule="auto"/>
        <w:jc w:val="center"/>
        <w:rPr>
          <w:b w:val="0"/>
          <w:color w:val="000000" w:themeColor="text1"/>
        </w:rPr>
      </w:pPr>
      <w:r w:rsidRPr="00922B93">
        <w:rPr>
          <w:color w:val="000000" w:themeColor="text1"/>
        </w:rPr>
        <w:t>R E S O L U T I V O S</w:t>
      </w:r>
    </w:p>
    <w:p w:rsidR="00E40FE1" w:rsidRPr="00922B93" w:rsidRDefault="00E40FE1" w:rsidP="00922B93">
      <w:pPr>
        <w:tabs>
          <w:tab w:val="left" w:pos="0"/>
        </w:tabs>
        <w:spacing w:line="360" w:lineRule="auto"/>
        <w:rPr>
          <w:rFonts w:ascii="Palatino Linotype" w:eastAsia="Palatino Linotype" w:hAnsi="Palatino Linotype" w:cs="Palatino Linotype"/>
          <w:color w:val="000000" w:themeColor="text1"/>
        </w:rPr>
      </w:pPr>
    </w:p>
    <w:p w:rsidR="00E40FE1" w:rsidRPr="00922B93" w:rsidRDefault="0010134C" w:rsidP="00922B93">
      <w:pPr>
        <w:tabs>
          <w:tab w:val="left" w:pos="0"/>
        </w:tabs>
        <w:spacing w:line="360" w:lineRule="auto"/>
        <w:jc w:val="both"/>
        <w:rPr>
          <w:rFonts w:ascii="Palatino Linotype" w:eastAsia="Palatino Linotype" w:hAnsi="Palatino Linotype" w:cs="Palatino Linotype"/>
          <w:color w:val="000000" w:themeColor="text1"/>
        </w:rPr>
      </w:pPr>
      <w:r w:rsidRPr="00922B93">
        <w:rPr>
          <w:rFonts w:ascii="Palatino Linotype" w:eastAsia="Palatino Linotype" w:hAnsi="Palatino Linotype" w:cs="Palatino Linotype"/>
          <w:b/>
          <w:color w:val="000000" w:themeColor="text1"/>
        </w:rPr>
        <w:t>PRIMERO</w:t>
      </w:r>
      <w:r w:rsidRPr="00922B93">
        <w:rPr>
          <w:rFonts w:ascii="Palatino Linotype" w:eastAsia="Palatino Linotype" w:hAnsi="Palatino Linotype" w:cs="Palatino Linotype"/>
          <w:color w:val="000000" w:themeColor="text1"/>
        </w:rPr>
        <w:t xml:space="preserve">. Resultan fundadas las razones o motivos de inconformidad hechos valer en el Recursos de Revisión </w:t>
      </w:r>
      <w:r w:rsidR="00913AAE" w:rsidRPr="00922B93">
        <w:rPr>
          <w:rFonts w:ascii="Palatino Linotype" w:eastAsia="Palatino Linotype" w:hAnsi="Palatino Linotype" w:cs="Palatino Linotype"/>
          <w:b/>
          <w:color w:val="000000" w:themeColor="text1"/>
        </w:rPr>
        <w:t>05523</w:t>
      </w:r>
      <w:r w:rsidRPr="00922B93">
        <w:rPr>
          <w:rFonts w:ascii="Palatino Linotype" w:eastAsia="Palatino Linotype" w:hAnsi="Palatino Linotype" w:cs="Palatino Linotype"/>
          <w:b/>
          <w:color w:val="000000" w:themeColor="text1"/>
        </w:rPr>
        <w:t xml:space="preserve">/INFOEM/IP/RR/2025 </w:t>
      </w:r>
      <w:r w:rsidRPr="00922B93">
        <w:rPr>
          <w:rFonts w:ascii="Palatino Linotype" w:eastAsia="Palatino Linotype" w:hAnsi="Palatino Linotype" w:cs="Palatino Linotype"/>
          <w:color w:val="000000" w:themeColor="text1"/>
        </w:rPr>
        <w:t xml:space="preserve">en términos del Considerando </w:t>
      </w:r>
      <w:r w:rsidRPr="00922B93">
        <w:rPr>
          <w:rFonts w:ascii="Palatino Linotype" w:eastAsia="Palatino Linotype" w:hAnsi="Palatino Linotype" w:cs="Palatino Linotype"/>
          <w:b/>
          <w:color w:val="000000" w:themeColor="text1"/>
        </w:rPr>
        <w:t xml:space="preserve">CUARTO y QUINTO </w:t>
      </w:r>
      <w:r w:rsidRPr="00922B93">
        <w:rPr>
          <w:rFonts w:ascii="Palatino Linotype" w:eastAsia="Palatino Linotype" w:hAnsi="Palatino Linotype" w:cs="Palatino Linotype"/>
          <w:color w:val="000000" w:themeColor="text1"/>
        </w:rPr>
        <w:t xml:space="preserve">de la presente resolución. </w:t>
      </w:r>
    </w:p>
    <w:p w:rsidR="00913AAE" w:rsidRPr="00922B93" w:rsidRDefault="0010134C" w:rsidP="00922B93">
      <w:pPr>
        <w:tabs>
          <w:tab w:val="left" w:pos="0"/>
        </w:tabs>
        <w:spacing w:line="360" w:lineRule="auto"/>
        <w:jc w:val="both"/>
        <w:rPr>
          <w:rFonts w:ascii="Palatino Linotype" w:eastAsia="Palatino Linotype" w:hAnsi="Palatino Linotype" w:cs="Palatino Linotype"/>
          <w:b/>
          <w:color w:val="000000" w:themeColor="text1"/>
        </w:rPr>
      </w:pPr>
      <w:bookmarkStart w:id="11" w:name="_heading=h.26in1rg" w:colFirst="0" w:colLast="0"/>
      <w:bookmarkEnd w:id="11"/>
      <w:r w:rsidRPr="00922B93">
        <w:rPr>
          <w:rFonts w:ascii="Palatino Linotype" w:eastAsia="Palatino Linotype" w:hAnsi="Palatino Linotype" w:cs="Palatino Linotype"/>
          <w:b/>
          <w:color w:val="000000" w:themeColor="text1"/>
        </w:rPr>
        <w:t xml:space="preserve">SEGUNDO. </w:t>
      </w:r>
      <w:r w:rsidRPr="00922B93">
        <w:rPr>
          <w:rFonts w:ascii="Palatino Linotype" w:eastAsia="Palatino Linotype" w:hAnsi="Palatino Linotype" w:cs="Palatino Linotype"/>
          <w:color w:val="000000" w:themeColor="text1"/>
        </w:rPr>
        <w:t xml:space="preserve">Se </w:t>
      </w:r>
      <w:r w:rsidR="00491D24" w:rsidRPr="00922B93">
        <w:rPr>
          <w:rFonts w:ascii="Palatino Linotype" w:eastAsia="Palatino Linotype" w:hAnsi="Palatino Linotype" w:cs="Palatino Linotype"/>
          <w:b/>
          <w:color w:val="000000" w:themeColor="text1"/>
        </w:rPr>
        <w:t>REVOCA</w:t>
      </w:r>
      <w:r w:rsidRPr="00922B93">
        <w:rPr>
          <w:rFonts w:ascii="Palatino Linotype" w:eastAsia="Palatino Linotype" w:hAnsi="Palatino Linotype" w:cs="Palatino Linotype"/>
          <w:b/>
          <w:color w:val="000000" w:themeColor="text1"/>
        </w:rPr>
        <w:t xml:space="preserve"> </w:t>
      </w:r>
      <w:r w:rsidRPr="00922B93">
        <w:rPr>
          <w:rFonts w:ascii="Palatino Linotype" w:eastAsia="Palatino Linotype" w:hAnsi="Palatino Linotype" w:cs="Palatino Linotype"/>
          <w:color w:val="000000" w:themeColor="text1"/>
        </w:rPr>
        <w:t xml:space="preserve">la respuesta emitida por el </w:t>
      </w:r>
      <w:r w:rsidR="00491D24" w:rsidRPr="00922B93">
        <w:rPr>
          <w:rFonts w:ascii="Palatino Linotype" w:eastAsia="Palatino Linotype" w:hAnsi="Palatino Linotype" w:cs="Palatino Linotype"/>
          <w:b/>
          <w:color w:val="000000" w:themeColor="text1"/>
        </w:rPr>
        <w:t xml:space="preserve">Ayuntamiento de </w:t>
      </w:r>
      <w:r w:rsidR="00913AAE" w:rsidRPr="00922B93">
        <w:rPr>
          <w:rFonts w:ascii="Palatino Linotype" w:eastAsia="Palatino Linotype" w:hAnsi="Palatino Linotype" w:cs="Palatino Linotype"/>
          <w:b/>
          <w:color w:val="000000" w:themeColor="text1"/>
        </w:rPr>
        <w:t>Cuautitlán Izcalli</w:t>
      </w:r>
      <w:r w:rsidRPr="00922B93">
        <w:rPr>
          <w:rFonts w:ascii="Palatino Linotype" w:eastAsia="Palatino Linotype" w:hAnsi="Palatino Linotype" w:cs="Palatino Linotype"/>
          <w:b/>
          <w:color w:val="000000" w:themeColor="text1"/>
        </w:rPr>
        <w:t xml:space="preserve">, </w:t>
      </w:r>
      <w:r w:rsidRPr="00922B93">
        <w:rPr>
          <w:rFonts w:ascii="Palatino Linotype" w:eastAsia="Palatino Linotype" w:hAnsi="Palatino Linotype" w:cs="Palatino Linotype"/>
          <w:color w:val="000000" w:themeColor="text1"/>
        </w:rPr>
        <w:t>a la solicitud de información pública registrada con el número</w:t>
      </w:r>
      <w:r w:rsidRPr="00922B93">
        <w:rPr>
          <w:rFonts w:ascii="Palatino Linotype" w:eastAsia="Palatino Linotype" w:hAnsi="Palatino Linotype" w:cs="Palatino Linotype"/>
          <w:b/>
          <w:color w:val="000000" w:themeColor="text1"/>
        </w:rPr>
        <w:t xml:space="preserve"> </w:t>
      </w:r>
      <w:r w:rsidR="00913AAE" w:rsidRPr="00922B93">
        <w:rPr>
          <w:rFonts w:ascii="Palatino Linotype" w:eastAsia="Palatino Linotype" w:hAnsi="Palatino Linotype" w:cs="Palatino Linotype"/>
          <w:b/>
          <w:color w:val="000000" w:themeColor="text1"/>
        </w:rPr>
        <w:t>00862</w:t>
      </w:r>
      <w:r w:rsidRPr="00922B93">
        <w:rPr>
          <w:rFonts w:ascii="Palatino Linotype" w:eastAsia="Palatino Linotype" w:hAnsi="Palatino Linotype" w:cs="Palatino Linotype"/>
          <w:b/>
          <w:color w:val="000000" w:themeColor="text1"/>
        </w:rPr>
        <w:t>/</w:t>
      </w:r>
      <w:r w:rsidR="00913AAE" w:rsidRPr="00922B93">
        <w:rPr>
          <w:rFonts w:ascii="Palatino Linotype" w:eastAsia="Palatino Linotype" w:hAnsi="Palatino Linotype" w:cs="Palatino Linotype"/>
          <w:b/>
          <w:color w:val="000000" w:themeColor="text1"/>
        </w:rPr>
        <w:t>CUAUTIZC</w:t>
      </w:r>
      <w:r w:rsidRPr="00922B93">
        <w:rPr>
          <w:rFonts w:ascii="Palatino Linotype" w:eastAsia="Palatino Linotype" w:hAnsi="Palatino Linotype" w:cs="Palatino Linotype"/>
          <w:b/>
          <w:color w:val="000000" w:themeColor="text1"/>
        </w:rPr>
        <w:t>/IP/2025</w:t>
      </w:r>
      <w:r w:rsidR="00922B93">
        <w:rPr>
          <w:rFonts w:ascii="Palatino Linotype" w:eastAsia="Palatino Linotype" w:hAnsi="Palatino Linotype" w:cs="Palatino Linotype"/>
          <w:b/>
          <w:color w:val="000000" w:themeColor="text1"/>
        </w:rPr>
        <w:t xml:space="preserve"> </w:t>
      </w:r>
      <w:r w:rsidRPr="00922B93">
        <w:rPr>
          <w:rFonts w:ascii="Palatino Linotype" w:eastAsia="Palatino Linotype" w:hAnsi="Palatino Linotype" w:cs="Palatino Linotype"/>
          <w:color w:val="000000" w:themeColor="text1"/>
        </w:rPr>
        <w:t xml:space="preserve">y se </w:t>
      </w:r>
      <w:r w:rsidRPr="00922B93">
        <w:rPr>
          <w:rFonts w:ascii="Palatino Linotype" w:eastAsia="Palatino Linotype" w:hAnsi="Palatino Linotype" w:cs="Palatino Linotype"/>
          <w:b/>
          <w:color w:val="000000" w:themeColor="text1"/>
        </w:rPr>
        <w:t>ORDENA</w:t>
      </w:r>
      <w:r w:rsidRPr="00922B93">
        <w:rPr>
          <w:rFonts w:ascii="Palatino Linotype" w:eastAsia="Palatino Linotype" w:hAnsi="Palatino Linotype" w:cs="Palatino Linotype"/>
          <w:color w:val="000000" w:themeColor="text1"/>
        </w:rPr>
        <w:t xml:space="preserve"> entregar vía Sistema de Acceso a la Información Mexiquense (SAIMEX), en versión pública,</w:t>
      </w:r>
      <w:r w:rsidRPr="00922B93">
        <w:rPr>
          <w:rFonts w:ascii="Palatino Linotype" w:eastAsia="Palatino Linotype" w:hAnsi="Palatino Linotype" w:cs="Palatino Linotype"/>
          <w:b/>
          <w:color w:val="000000" w:themeColor="text1"/>
        </w:rPr>
        <w:t xml:space="preserve"> </w:t>
      </w:r>
      <w:r w:rsidR="00913AAE" w:rsidRPr="00922B93">
        <w:rPr>
          <w:rFonts w:ascii="Palatino Linotype" w:hAnsi="Palatino Linotype" w:cs="Tahoma"/>
          <w:b/>
          <w:bCs/>
          <w:iCs/>
          <w:color w:val="000000" w:themeColor="text1"/>
          <w:lang w:eastAsia="es-ES"/>
        </w:rPr>
        <w:t>l</w:t>
      </w:r>
      <w:r w:rsidR="00913AAE" w:rsidRPr="00922B93">
        <w:rPr>
          <w:rFonts w:ascii="Palatino Linotype" w:hAnsi="Palatino Linotype"/>
          <w:b/>
          <w:color w:val="000000" w:themeColor="text1"/>
        </w:rPr>
        <w:t xml:space="preserve">as </w:t>
      </w:r>
      <w:r w:rsidR="00913AAE" w:rsidRPr="00922B93">
        <w:rPr>
          <w:rFonts w:ascii="Palatino Linotype" w:eastAsia="Calibri" w:hAnsi="Palatino Linotype"/>
          <w:b/>
          <w:color w:val="000000" w:themeColor="text1"/>
          <w:lang w:eastAsia="es-ES_tradnl"/>
        </w:rPr>
        <w:t>pólizas y/o comprobantes digitales de pagos realizados a particulares vía cheque o transferencia electrónica durante el mes de abril de 2025.</w:t>
      </w:r>
    </w:p>
    <w:p w:rsidR="00E40FE1" w:rsidRPr="00922B93" w:rsidRDefault="00E40FE1" w:rsidP="00922B93">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p>
    <w:p w:rsidR="00E40FE1" w:rsidRPr="00922B93" w:rsidRDefault="0010134C" w:rsidP="00922B93">
      <w:pPr>
        <w:tabs>
          <w:tab w:val="left" w:pos="0"/>
        </w:tabs>
        <w:spacing w:line="360" w:lineRule="auto"/>
        <w:jc w:val="both"/>
        <w:rPr>
          <w:rFonts w:ascii="Palatino Linotype" w:eastAsia="Palatino Linotype" w:hAnsi="Palatino Linotype" w:cs="Palatino Linotype"/>
          <w:b/>
          <w:color w:val="000000" w:themeColor="text1"/>
        </w:rPr>
      </w:pPr>
      <w:r w:rsidRPr="00922B93">
        <w:rPr>
          <w:rFonts w:ascii="Palatino Linotype" w:eastAsia="Palatino Linotype" w:hAnsi="Palatino Linotype" w:cs="Palatino Linotype"/>
          <w:color w:val="000000" w:themeColor="text1"/>
        </w:rPr>
        <w:lastRenderedPageBreak/>
        <w:t xml:space="preserve">Para efecto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922B93">
        <w:rPr>
          <w:rFonts w:ascii="Palatino Linotype" w:eastAsia="Palatino Linotype" w:hAnsi="Palatino Linotype" w:cs="Palatino Linotype"/>
          <w:b/>
          <w:color w:val="000000" w:themeColor="text1"/>
        </w:rPr>
        <w:t>RECURRENTE.</w:t>
      </w:r>
    </w:p>
    <w:p w:rsidR="00E40FE1" w:rsidRPr="00922B93" w:rsidRDefault="00E40FE1" w:rsidP="00922B93">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bookmarkStart w:id="12" w:name="_heading=h.4d34og8" w:colFirst="0" w:colLast="0"/>
      <w:bookmarkEnd w:id="12"/>
    </w:p>
    <w:p w:rsidR="00E40FE1" w:rsidRPr="00922B93" w:rsidRDefault="0010134C" w:rsidP="00922B93">
      <w:pPr>
        <w:tabs>
          <w:tab w:val="left" w:pos="0"/>
          <w:tab w:val="left" w:pos="8080"/>
        </w:tabs>
        <w:spacing w:line="360" w:lineRule="auto"/>
        <w:jc w:val="both"/>
        <w:rPr>
          <w:rFonts w:ascii="Palatino Linotype" w:eastAsia="Palatino Linotype" w:hAnsi="Palatino Linotype" w:cs="Palatino Linotype"/>
          <w:b/>
          <w:color w:val="000000" w:themeColor="text1"/>
        </w:rPr>
      </w:pPr>
      <w:bookmarkStart w:id="13" w:name="_heading=h.lnxbz9" w:colFirst="0" w:colLast="0"/>
      <w:bookmarkEnd w:id="13"/>
      <w:r w:rsidRPr="00922B93">
        <w:rPr>
          <w:rFonts w:ascii="Palatino Linotype" w:eastAsia="Palatino Linotype" w:hAnsi="Palatino Linotype" w:cs="Palatino Linotype"/>
          <w:b/>
          <w:color w:val="000000" w:themeColor="text1"/>
        </w:rPr>
        <w:t xml:space="preserve">TERCERO. NOTIFÍQUESE </w:t>
      </w:r>
      <w:r w:rsidRPr="00922B93">
        <w:rPr>
          <w:rFonts w:ascii="Palatino Linotype" w:eastAsia="Palatino Linotype" w:hAnsi="Palatino Linotype" w:cs="Palatino Linotype"/>
          <w:color w:val="000000" w:themeColor="text1"/>
        </w:rPr>
        <w:t xml:space="preserve">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922B93">
        <w:rPr>
          <w:rFonts w:ascii="Palatino Linotype" w:eastAsia="Palatino Linotype" w:hAnsi="Palatino Linotype" w:cs="Palatino Linotype"/>
          <w:b/>
          <w:color w:val="000000" w:themeColor="text1"/>
        </w:rPr>
        <w:t>dé cumplimiento a lo ordenado dentro del plazo de diez días hábiles,</w:t>
      </w:r>
      <w:r w:rsidRPr="00922B93">
        <w:rPr>
          <w:rFonts w:ascii="Palatino Linotype" w:eastAsia="Palatino Linotype" w:hAnsi="Palatino Linotype" w:cs="Palatino Linotype"/>
          <w:color w:val="000000" w:themeColor="text1"/>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E40FE1" w:rsidRPr="00922B93" w:rsidRDefault="00E40FE1" w:rsidP="00922B93">
      <w:pPr>
        <w:tabs>
          <w:tab w:val="left" w:pos="0"/>
          <w:tab w:val="left" w:pos="8080"/>
        </w:tabs>
        <w:spacing w:line="360" w:lineRule="auto"/>
        <w:jc w:val="both"/>
        <w:rPr>
          <w:rFonts w:ascii="Palatino Linotype" w:eastAsia="Palatino Linotype" w:hAnsi="Palatino Linotype" w:cs="Palatino Linotype"/>
          <w:color w:val="000000" w:themeColor="text1"/>
        </w:rPr>
      </w:pPr>
    </w:p>
    <w:p w:rsidR="00E40FE1" w:rsidRPr="00922B93" w:rsidRDefault="0010134C" w:rsidP="00922B93">
      <w:pPr>
        <w:tabs>
          <w:tab w:val="left" w:pos="0"/>
        </w:tabs>
        <w:spacing w:line="360" w:lineRule="auto"/>
        <w:jc w:val="both"/>
        <w:rPr>
          <w:rFonts w:ascii="Palatino Linotype" w:eastAsia="Palatino Linotype" w:hAnsi="Palatino Linotype" w:cs="Palatino Linotype"/>
          <w:color w:val="000000" w:themeColor="text1"/>
        </w:rPr>
      </w:pPr>
      <w:r w:rsidRPr="00922B93">
        <w:rPr>
          <w:rFonts w:ascii="Palatino Linotype" w:eastAsia="Palatino Linotype" w:hAnsi="Palatino Linotype" w:cs="Palatino Linotype"/>
          <w:b/>
          <w:color w:val="000000" w:themeColor="text1"/>
        </w:rPr>
        <w:t xml:space="preserve">CUARTO. </w:t>
      </w:r>
      <w:r w:rsidRPr="00922B93">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Pr="00922B93">
        <w:rPr>
          <w:rFonts w:ascii="Palatino Linotype" w:eastAsia="Palatino Linotype" w:hAnsi="Palatino Linotype" w:cs="Palatino Linotype"/>
          <w:b/>
          <w:color w:val="000000" w:themeColor="text1"/>
        </w:rPr>
        <w:t>SUJETO OBLIGADO</w:t>
      </w:r>
      <w:r w:rsidRPr="00922B93">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rsidR="00E40FE1" w:rsidRPr="00922B93" w:rsidRDefault="00E40FE1" w:rsidP="00922B93">
      <w:pPr>
        <w:tabs>
          <w:tab w:val="left" w:pos="0"/>
        </w:tabs>
        <w:spacing w:line="360" w:lineRule="auto"/>
        <w:jc w:val="both"/>
        <w:rPr>
          <w:rFonts w:ascii="Palatino Linotype" w:eastAsia="Palatino Linotype" w:hAnsi="Palatino Linotype" w:cs="Palatino Linotype"/>
          <w:color w:val="000000" w:themeColor="text1"/>
        </w:rPr>
      </w:pPr>
    </w:p>
    <w:p w:rsidR="00913AAE" w:rsidRPr="00922B93" w:rsidRDefault="0010134C" w:rsidP="00922B93">
      <w:pPr>
        <w:tabs>
          <w:tab w:val="left" w:pos="0"/>
          <w:tab w:val="left" w:pos="8080"/>
        </w:tabs>
        <w:spacing w:line="360" w:lineRule="auto"/>
        <w:jc w:val="both"/>
        <w:rPr>
          <w:rFonts w:ascii="Palatino Linotype" w:eastAsia="Palatino Linotype" w:hAnsi="Palatino Linotype" w:cs="Palatino Linotype"/>
          <w:b/>
          <w:color w:val="000000" w:themeColor="text1"/>
        </w:rPr>
      </w:pPr>
      <w:bookmarkStart w:id="14" w:name="_heading=h.35nkun2" w:colFirst="0" w:colLast="0"/>
      <w:bookmarkEnd w:id="14"/>
      <w:r w:rsidRPr="00922B93">
        <w:rPr>
          <w:rFonts w:ascii="Palatino Linotype" w:eastAsia="Palatino Linotype" w:hAnsi="Palatino Linotype" w:cs="Palatino Linotype"/>
          <w:b/>
          <w:color w:val="000000" w:themeColor="text1"/>
        </w:rPr>
        <w:t xml:space="preserve">QUINTO. </w:t>
      </w:r>
      <w:r w:rsidRPr="00922B93">
        <w:rPr>
          <w:rFonts w:ascii="Palatino Linotype" w:eastAsia="Palatino Linotype" w:hAnsi="Palatino Linotype" w:cs="Palatino Linotype"/>
          <w:color w:val="000000" w:themeColor="text1"/>
        </w:rPr>
        <w:t>Notifíquese al</w:t>
      </w:r>
      <w:r w:rsidRPr="00922B93">
        <w:rPr>
          <w:rFonts w:ascii="Palatino Linotype" w:eastAsia="Palatino Linotype" w:hAnsi="Palatino Linotype" w:cs="Palatino Linotype"/>
          <w:b/>
          <w:color w:val="000000" w:themeColor="text1"/>
        </w:rPr>
        <w:t xml:space="preserve"> RECURRENTE</w:t>
      </w:r>
      <w:r w:rsidRPr="00922B93">
        <w:rPr>
          <w:rFonts w:ascii="Palatino Linotype" w:eastAsia="Palatino Linotype" w:hAnsi="Palatino Linotype" w:cs="Palatino Linotype"/>
          <w:color w:val="000000" w:themeColor="text1"/>
        </w:rPr>
        <w:t xml:space="preserve"> la presente resolución, vía </w:t>
      </w:r>
      <w:r w:rsidRPr="00922B93">
        <w:rPr>
          <w:rFonts w:ascii="Palatino Linotype" w:eastAsia="Palatino Linotype" w:hAnsi="Palatino Linotype" w:cs="Palatino Linotype"/>
          <w:b/>
          <w:color w:val="000000" w:themeColor="text1"/>
        </w:rPr>
        <w:t>SAIMEX.</w:t>
      </w:r>
    </w:p>
    <w:p w:rsidR="00E40FE1" w:rsidRPr="00922B93" w:rsidRDefault="0010134C" w:rsidP="00922B93">
      <w:pPr>
        <w:shd w:val="clear" w:color="auto" w:fill="FFFFFF"/>
        <w:tabs>
          <w:tab w:val="left" w:pos="0"/>
        </w:tabs>
        <w:spacing w:line="360" w:lineRule="auto"/>
        <w:jc w:val="both"/>
        <w:rPr>
          <w:rFonts w:ascii="Palatino Linotype" w:eastAsia="Palatino Linotype" w:hAnsi="Palatino Linotype" w:cs="Palatino Linotype"/>
          <w:color w:val="000000" w:themeColor="text1"/>
        </w:rPr>
      </w:pPr>
      <w:r w:rsidRPr="00922B93">
        <w:rPr>
          <w:rFonts w:ascii="Palatino Linotype" w:eastAsia="Palatino Linotype" w:hAnsi="Palatino Linotype" w:cs="Palatino Linotype"/>
          <w:b/>
          <w:color w:val="000000" w:themeColor="text1"/>
        </w:rPr>
        <w:lastRenderedPageBreak/>
        <w:t>SEXTO.</w:t>
      </w:r>
      <w:r w:rsidRPr="00922B93">
        <w:rPr>
          <w:rFonts w:ascii="Palatino Linotype" w:eastAsia="Palatino Linotype" w:hAnsi="Palatino Linotype" w:cs="Palatino Linotype"/>
          <w:color w:val="000000" w:themeColor="text1"/>
        </w:rPr>
        <w:t xml:space="preserve"> Se hace del conocimiento del </w:t>
      </w:r>
      <w:r w:rsidRPr="00922B93">
        <w:rPr>
          <w:rFonts w:ascii="Palatino Linotype" w:eastAsia="Palatino Linotype" w:hAnsi="Palatino Linotype" w:cs="Palatino Linotype"/>
          <w:b/>
          <w:color w:val="000000" w:themeColor="text1"/>
        </w:rPr>
        <w:t>RECURRENTE</w:t>
      </w:r>
      <w:r w:rsidRPr="00922B93">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922B93" w:rsidRPr="00922B93" w:rsidRDefault="00922B93" w:rsidP="00922B93">
      <w:pPr>
        <w:shd w:val="clear" w:color="auto" w:fill="FFFFFF"/>
        <w:tabs>
          <w:tab w:val="left" w:pos="0"/>
        </w:tabs>
        <w:spacing w:line="360" w:lineRule="auto"/>
        <w:jc w:val="both"/>
        <w:rPr>
          <w:rFonts w:ascii="Palatino Linotype" w:eastAsia="Palatino Linotype" w:hAnsi="Palatino Linotype" w:cs="Palatino Linotype"/>
          <w:color w:val="000000" w:themeColor="text1"/>
        </w:rPr>
      </w:pPr>
    </w:p>
    <w:p w:rsidR="006B77BD" w:rsidRPr="00444783" w:rsidRDefault="006B77BD" w:rsidP="006B77BD">
      <w:pPr>
        <w:tabs>
          <w:tab w:val="left" w:pos="5387"/>
        </w:tabs>
        <w:spacing w:line="360" w:lineRule="auto"/>
        <w:ind w:right="49"/>
        <w:jc w:val="both"/>
        <w:rPr>
          <w:rFonts w:ascii="Palatino Linotype" w:eastAsia="Palatino Linotype" w:hAnsi="Palatino Linotype" w:cs="Palatino Linotype"/>
        </w:rPr>
      </w:pPr>
      <w:bookmarkStart w:id="15" w:name="_heading=h.udolic8t2yzx" w:colFirst="0" w:colLast="0"/>
      <w:bookmarkEnd w:id="15"/>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Pr>
          <w:rFonts w:ascii="Palatino Linotype" w:eastAsia="Palatino Linotype" w:hAnsi="Palatino Linotype" w:cs="Palatino Linotype"/>
        </w:rPr>
        <w:t xml:space="preserve">SÉPTIMA </w:t>
      </w:r>
      <w:r w:rsidRPr="00575AE2">
        <w:rPr>
          <w:rFonts w:ascii="Palatino Linotype" w:eastAsia="Palatino Linotype" w:hAnsi="Palatino Linotype" w:cs="Palatino Linotype"/>
        </w:rPr>
        <w:t xml:space="preserve">SESIÓN ORDINARIA, CELEBRADA EL </w:t>
      </w:r>
      <w:r>
        <w:rPr>
          <w:rFonts w:ascii="Palatino Linotype" w:eastAsia="Palatino Linotype" w:hAnsi="Palatino Linotype" w:cs="Palatino Linotype"/>
        </w:rPr>
        <w:t>QUINCE (15</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OCTUBRE </w:t>
      </w:r>
      <w:r w:rsidRPr="00575AE2">
        <w:rPr>
          <w:rFonts w:ascii="Palatino Linotype" w:eastAsia="Palatino Linotype" w:hAnsi="Palatino Linotype" w:cs="Palatino Linotype"/>
        </w:rPr>
        <w:t>DE DOS MIL VEINTICINCO, ANTE EL SECRETARIO TÉCNICO DEL PLENO ALEXIS TAPIA RAMÍREZ.</w:t>
      </w:r>
    </w:p>
    <w:p w:rsidR="004143F9" w:rsidRPr="00444783" w:rsidRDefault="004143F9" w:rsidP="004143F9">
      <w:pPr>
        <w:tabs>
          <w:tab w:val="left" w:pos="5387"/>
        </w:tabs>
        <w:spacing w:line="360" w:lineRule="auto"/>
        <w:ind w:right="49"/>
        <w:jc w:val="both"/>
        <w:rPr>
          <w:rFonts w:ascii="Palatino Linotype" w:eastAsia="Palatino Linotype" w:hAnsi="Palatino Linotype" w:cs="Palatino Linotype"/>
        </w:rPr>
      </w:pPr>
    </w:p>
    <w:p w:rsidR="00E40FE1" w:rsidRPr="00922B93" w:rsidRDefault="00E40FE1" w:rsidP="00922B93">
      <w:pPr>
        <w:tabs>
          <w:tab w:val="left" w:pos="0"/>
        </w:tabs>
        <w:spacing w:before="240" w:after="240" w:line="360" w:lineRule="auto"/>
        <w:jc w:val="both"/>
        <w:rPr>
          <w:rFonts w:ascii="Palatino Linotype" w:eastAsia="Palatino Linotype" w:hAnsi="Palatino Linotype" w:cs="Palatino Linotype"/>
          <w:color w:val="000000" w:themeColor="text1"/>
        </w:rPr>
      </w:pPr>
    </w:p>
    <w:p w:rsidR="00E40FE1" w:rsidRPr="00922B93" w:rsidRDefault="00E40FE1" w:rsidP="00922B93">
      <w:pPr>
        <w:tabs>
          <w:tab w:val="left" w:pos="0"/>
        </w:tabs>
        <w:spacing w:before="240" w:after="240" w:line="360" w:lineRule="auto"/>
        <w:jc w:val="both"/>
        <w:rPr>
          <w:rFonts w:ascii="Palatino Linotype" w:eastAsia="Palatino Linotype" w:hAnsi="Palatino Linotype" w:cs="Palatino Linotype"/>
          <w:color w:val="000000" w:themeColor="text1"/>
        </w:rPr>
      </w:pPr>
    </w:p>
    <w:p w:rsidR="00E40FE1" w:rsidRPr="00922B93" w:rsidRDefault="00E40FE1" w:rsidP="00922B93">
      <w:pPr>
        <w:tabs>
          <w:tab w:val="left" w:pos="0"/>
        </w:tabs>
        <w:spacing w:before="240" w:after="240" w:line="360" w:lineRule="auto"/>
        <w:jc w:val="both"/>
        <w:rPr>
          <w:rFonts w:ascii="Palatino Linotype" w:eastAsia="Palatino Linotype" w:hAnsi="Palatino Linotype" w:cs="Palatino Linotype"/>
          <w:color w:val="000000" w:themeColor="text1"/>
        </w:rPr>
      </w:pPr>
    </w:p>
    <w:p w:rsidR="00E40FE1" w:rsidRPr="00922B93" w:rsidRDefault="00E40FE1" w:rsidP="00922B93">
      <w:pPr>
        <w:tabs>
          <w:tab w:val="left" w:pos="0"/>
        </w:tabs>
        <w:spacing w:before="240" w:after="240" w:line="360" w:lineRule="auto"/>
        <w:jc w:val="both"/>
        <w:rPr>
          <w:rFonts w:ascii="Palatino Linotype" w:eastAsia="Palatino Linotype" w:hAnsi="Palatino Linotype" w:cs="Palatino Linotype"/>
          <w:color w:val="000000" w:themeColor="text1"/>
        </w:rPr>
      </w:pPr>
    </w:p>
    <w:p w:rsidR="00E40FE1" w:rsidRPr="00922B93" w:rsidRDefault="00E40FE1" w:rsidP="00922B93">
      <w:pPr>
        <w:tabs>
          <w:tab w:val="left" w:pos="0"/>
        </w:tabs>
        <w:spacing w:before="240" w:after="240" w:line="360" w:lineRule="auto"/>
        <w:jc w:val="both"/>
        <w:rPr>
          <w:rFonts w:ascii="Palatino Linotype" w:eastAsia="Palatino Linotype" w:hAnsi="Palatino Linotype" w:cs="Palatino Linotype"/>
          <w:color w:val="000000" w:themeColor="text1"/>
        </w:rPr>
      </w:pPr>
    </w:p>
    <w:p w:rsidR="00E40FE1" w:rsidRPr="00922B93" w:rsidRDefault="00E40FE1" w:rsidP="00922B93">
      <w:pPr>
        <w:pStyle w:val="Ttulo2"/>
        <w:tabs>
          <w:tab w:val="left" w:pos="0"/>
        </w:tabs>
        <w:spacing w:before="0" w:line="360" w:lineRule="auto"/>
        <w:rPr>
          <w:b w:val="0"/>
          <w:color w:val="000000" w:themeColor="text1"/>
        </w:rPr>
      </w:pPr>
    </w:p>
    <w:p w:rsidR="00433A7B" w:rsidRPr="00922B93" w:rsidRDefault="00433A7B" w:rsidP="00922B93">
      <w:pPr>
        <w:tabs>
          <w:tab w:val="left" w:pos="0"/>
        </w:tabs>
        <w:rPr>
          <w:rFonts w:ascii="Palatino Linotype" w:hAnsi="Palatino Linotype"/>
          <w:color w:val="000000" w:themeColor="text1"/>
        </w:rPr>
      </w:pPr>
    </w:p>
    <w:sectPr w:rsidR="00433A7B" w:rsidRPr="00922B93" w:rsidSect="003D029A">
      <w:headerReference w:type="default" r:id="rId11"/>
      <w:footerReference w:type="default" r:id="rId12"/>
      <w:headerReference w:type="first" r:id="rId13"/>
      <w:footerReference w:type="first" r:id="rId14"/>
      <w:pgSz w:w="12240" w:h="15840"/>
      <w:pgMar w:top="1691" w:right="1041" w:bottom="1701"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3CDB" w:rsidRDefault="00B73CDB">
      <w:r>
        <w:separator/>
      </w:r>
    </w:p>
  </w:endnote>
  <w:endnote w:type="continuationSeparator" w:id="0">
    <w:p w:rsidR="00B73CDB" w:rsidRDefault="00B73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swiss"/>
    <w:pitch w:val="variable"/>
    <w:sig w:usb0="00000003" w:usb1="0200E0A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ucida Grande">
    <w:altName w:val="Courier New"/>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63C1" w:rsidRDefault="008F63C1">
    <w:pPr>
      <w:pBdr>
        <w:top w:val="nil"/>
        <w:left w:val="nil"/>
        <w:bottom w:val="nil"/>
        <w:right w:val="nil"/>
        <w:between w:val="nil"/>
      </w:pBdr>
      <w:tabs>
        <w:tab w:val="center" w:pos="4252"/>
        <w:tab w:val="right" w:pos="8504"/>
      </w:tabs>
      <w:jc w:val="right"/>
      <w:rPr>
        <w:rFonts w:ascii="Palatino Linotype" w:eastAsia="Palatino Linotype" w:hAnsi="Palatino Linotype" w:cs="Palatino Linotype"/>
        <w:b/>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separate"/>
    </w:r>
    <w:r w:rsidR="006B752E">
      <w:rPr>
        <w:rFonts w:ascii="Palatino Linotype" w:eastAsia="Palatino Linotype" w:hAnsi="Palatino Linotype" w:cs="Palatino Linotype"/>
        <w:b/>
        <w:noProof/>
        <w:color w:val="000000"/>
        <w:sz w:val="22"/>
        <w:szCs w:val="22"/>
      </w:rPr>
      <w:t>2</w: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6B752E">
      <w:rPr>
        <w:rFonts w:ascii="Palatino Linotype" w:eastAsia="Palatino Linotype" w:hAnsi="Palatino Linotype" w:cs="Palatino Linotype"/>
        <w:b/>
        <w:noProof/>
        <w:color w:val="000000"/>
        <w:sz w:val="22"/>
        <w:szCs w:val="22"/>
      </w:rPr>
      <w:t>28</w:t>
    </w:r>
    <w:r>
      <w:rPr>
        <w:rFonts w:ascii="Palatino Linotype" w:eastAsia="Palatino Linotype" w:hAnsi="Palatino Linotype" w:cs="Palatino Linotype"/>
        <w:b/>
        <w:color w:val="000000"/>
        <w:sz w:val="22"/>
        <w:szCs w:val="22"/>
      </w:rPr>
      <w:fldChar w:fldCharType="end"/>
    </w:r>
  </w:p>
  <w:p w:rsidR="008F63C1" w:rsidRDefault="008F63C1">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8"/>
        <w:szCs w:val="28"/>
      </w:rPr>
    </w:pPr>
  </w:p>
  <w:p w:rsidR="008F63C1" w:rsidRDefault="008F63C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63C1" w:rsidRDefault="008F63C1">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6B752E">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6B752E">
      <w:rPr>
        <w:rFonts w:ascii="Palatino Linotype" w:eastAsia="Palatino Linotype" w:hAnsi="Palatino Linotype" w:cs="Palatino Linotype"/>
        <w:noProof/>
        <w:color w:val="000000"/>
        <w:sz w:val="22"/>
        <w:szCs w:val="22"/>
      </w:rPr>
      <w:t>28</w:t>
    </w:r>
    <w:r>
      <w:rPr>
        <w:rFonts w:ascii="Palatino Linotype" w:eastAsia="Palatino Linotype" w:hAnsi="Palatino Linotype" w:cs="Palatino Linotype"/>
        <w:color w:val="000000"/>
        <w:sz w:val="22"/>
        <w:szCs w:val="22"/>
      </w:rPr>
      <w:fldChar w:fldCharType="end"/>
    </w:r>
  </w:p>
  <w:p w:rsidR="008F63C1" w:rsidRDefault="008F63C1">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2"/>
        <w:szCs w:val="22"/>
      </w:rPr>
    </w:pPr>
  </w:p>
  <w:p w:rsidR="008F63C1" w:rsidRDefault="008F63C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3CDB" w:rsidRDefault="00B73CDB">
      <w:r>
        <w:separator/>
      </w:r>
    </w:p>
  </w:footnote>
  <w:footnote w:type="continuationSeparator" w:id="0">
    <w:p w:rsidR="00B73CDB" w:rsidRDefault="00B73C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a"/>
      <w:tblW w:w="7270" w:type="dxa"/>
      <w:tblInd w:w="3119" w:type="dxa"/>
      <w:tblBorders>
        <w:top w:val="nil"/>
        <w:left w:val="nil"/>
        <w:bottom w:val="nil"/>
        <w:right w:val="nil"/>
        <w:insideH w:val="nil"/>
        <w:insideV w:val="nil"/>
      </w:tblBorders>
      <w:tblLayout w:type="fixed"/>
      <w:tblLook w:val="0400" w:firstRow="0" w:lastRow="0" w:firstColumn="0" w:lastColumn="0" w:noHBand="0" w:noVBand="1"/>
    </w:tblPr>
    <w:tblGrid>
      <w:gridCol w:w="2734"/>
      <w:gridCol w:w="4536"/>
    </w:tblGrid>
    <w:tr w:rsidR="008F63C1" w:rsidTr="003D029A">
      <w:trPr>
        <w:trHeight w:val="138"/>
      </w:trPr>
      <w:tc>
        <w:tcPr>
          <w:tcW w:w="2734" w:type="dxa"/>
          <w:vAlign w:val="center"/>
        </w:tcPr>
        <w:p w:rsidR="008F63C1" w:rsidRPr="00922B93" w:rsidRDefault="008F63C1" w:rsidP="00922B93">
          <w:pPr>
            <w:ind w:right="-150"/>
            <w:rPr>
              <w:rFonts w:ascii="Palatino Linotype" w:eastAsia="Palatino Linotype" w:hAnsi="Palatino Linotype" w:cs="Palatino Linotype"/>
              <w:b/>
              <w:color w:val="000000" w:themeColor="text1"/>
              <w:sz w:val="24"/>
              <w:szCs w:val="24"/>
            </w:rPr>
          </w:pPr>
          <w:r w:rsidRPr="00922B93">
            <w:rPr>
              <w:rFonts w:ascii="Palatino Linotype" w:eastAsia="Palatino Linotype" w:hAnsi="Palatino Linotype" w:cs="Palatino Linotype"/>
              <w:b/>
              <w:color w:val="000000" w:themeColor="text1"/>
              <w:sz w:val="24"/>
              <w:szCs w:val="24"/>
            </w:rPr>
            <w:t>Recurso de Revisión:</w:t>
          </w:r>
        </w:p>
      </w:tc>
      <w:tc>
        <w:tcPr>
          <w:tcW w:w="4536" w:type="dxa"/>
          <w:vAlign w:val="center"/>
        </w:tcPr>
        <w:p w:rsidR="008F63C1" w:rsidRPr="00922B93" w:rsidRDefault="008F63C1" w:rsidP="00922B93">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themeColor="text1"/>
              <w:sz w:val="24"/>
              <w:szCs w:val="24"/>
              <w:highlight w:val="yellow"/>
            </w:rPr>
          </w:pPr>
          <w:r w:rsidRPr="00922B93">
            <w:rPr>
              <w:rFonts w:ascii="Palatino Linotype" w:eastAsia="Palatino Linotype" w:hAnsi="Palatino Linotype" w:cs="Palatino Linotype"/>
              <w:color w:val="000000" w:themeColor="text1"/>
              <w:sz w:val="24"/>
              <w:szCs w:val="24"/>
            </w:rPr>
            <w:t>05523/INFOEM/IP/RR/2025</w:t>
          </w:r>
        </w:p>
      </w:tc>
    </w:tr>
    <w:tr w:rsidR="008F63C1" w:rsidTr="003D029A">
      <w:trPr>
        <w:trHeight w:val="321"/>
      </w:trPr>
      <w:tc>
        <w:tcPr>
          <w:tcW w:w="2734" w:type="dxa"/>
          <w:vAlign w:val="center"/>
        </w:tcPr>
        <w:p w:rsidR="008F63C1" w:rsidRPr="00922B93" w:rsidRDefault="008F63C1" w:rsidP="00922B93">
          <w:pPr>
            <w:ind w:right="-150"/>
            <w:rPr>
              <w:rFonts w:ascii="Palatino Linotype" w:eastAsia="Palatino Linotype" w:hAnsi="Palatino Linotype" w:cs="Palatino Linotype"/>
              <w:b/>
              <w:color w:val="000000" w:themeColor="text1"/>
              <w:sz w:val="24"/>
              <w:szCs w:val="24"/>
            </w:rPr>
          </w:pPr>
          <w:r w:rsidRPr="00922B93">
            <w:rPr>
              <w:rFonts w:ascii="Palatino Linotype" w:eastAsia="Palatino Linotype" w:hAnsi="Palatino Linotype" w:cs="Palatino Linotype"/>
              <w:b/>
              <w:color w:val="000000" w:themeColor="text1"/>
              <w:sz w:val="24"/>
              <w:szCs w:val="24"/>
            </w:rPr>
            <w:t>Sujeto Obligado:</w:t>
          </w:r>
        </w:p>
      </w:tc>
      <w:tc>
        <w:tcPr>
          <w:tcW w:w="4536" w:type="dxa"/>
          <w:vAlign w:val="center"/>
        </w:tcPr>
        <w:p w:rsidR="008F63C1" w:rsidRPr="00922B93" w:rsidRDefault="008F63C1" w:rsidP="00922B93">
          <w:pPr>
            <w:rPr>
              <w:rFonts w:ascii="Palatino Linotype" w:eastAsia="Palatino Linotype" w:hAnsi="Palatino Linotype" w:cs="Palatino Linotype"/>
              <w:color w:val="000000" w:themeColor="text1"/>
              <w:sz w:val="24"/>
              <w:szCs w:val="24"/>
            </w:rPr>
          </w:pPr>
          <w:r w:rsidRPr="00922B93">
            <w:rPr>
              <w:rFonts w:ascii="Palatino Linotype" w:eastAsia="Palatino Linotype" w:hAnsi="Palatino Linotype" w:cs="Palatino Linotype"/>
              <w:color w:val="000000" w:themeColor="text1"/>
              <w:sz w:val="24"/>
              <w:szCs w:val="24"/>
            </w:rPr>
            <w:t>Ayuntamiento de Cuautitlán Izcalli</w:t>
          </w:r>
        </w:p>
      </w:tc>
    </w:tr>
    <w:tr w:rsidR="008F63C1" w:rsidTr="003D029A">
      <w:trPr>
        <w:trHeight w:val="321"/>
      </w:trPr>
      <w:tc>
        <w:tcPr>
          <w:tcW w:w="2734" w:type="dxa"/>
          <w:vAlign w:val="center"/>
        </w:tcPr>
        <w:p w:rsidR="008F63C1" w:rsidRPr="00922B93" w:rsidRDefault="008F63C1" w:rsidP="00922B93">
          <w:pPr>
            <w:ind w:right="-150"/>
            <w:rPr>
              <w:rFonts w:ascii="Palatino Linotype" w:eastAsia="Palatino Linotype" w:hAnsi="Palatino Linotype" w:cs="Palatino Linotype"/>
              <w:b/>
              <w:color w:val="000000" w:themeColor="text1"/>
              <w:sz w:val="24"/>
              <w:szCs w:val="24"/>
            </w:rPr>
          </w:pPr>
          <w:r w:rsidRPr="00922B93">
            <w:rPr>
              <w:rFonts w:ascii="Palatino Linotype" w:eastAsia="Palatino Linotype" w:hAnsi="Palatino Linotype" w:cs="Palatino Linotype"/>
              <w:b/>
              <w:color w:val="000000" w:themeColor="text1"/>
              <w:sz w:val="24"/>
              <w:szCs w:val="24"/>
            </w:rPr>
            <w:t>Comisionada Ponente:</w:t>
          </w:r>
        </w:p>
      </w:tc>
      <w:tc>
        <w:tcPr>
          <w:tcW w:w="4536" w:type="dxa"/>
          <w:vAlign w:val="center"/>
        </w:tcPr>
        <w:p w:rsidR="008F63C1" w:rsidRPr="00922B93" w:rsidRDefault="008F63C1" w:rsidP="00922B93">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themeColor="text1"/>
              <w:sz w:val="24"/>
              <w:szCs w:val="24"/>
            </w:rPr>
          </w:pPr>
          <w:r w:rsidRPr="00922B93">
            <w:rPr>
              <w:rFonts w:ascii="Palatino Linotype" w:eastAsia="Palatino Linotype" w:hAnsi="Palatino Linotype" w:cs="Palatino Linotype"/>
              <w:color w:val="000000" w:themeColor="text1"/>
              <w:sz w:val="24"/>
              <w:szCs w:val="24"/>
            </w:rPr>
            <w:t>María del Rosario Mejía Ayala</w:t>
          </w:r>
        </w:p>
      </w:tc>
    </w:tr>
  </w:tbl>
  <w:p w:rsidR="008F63C1" w:rsidRDefault="003D029A">
    <w:pPr>
      <w:pBdr>
        <w:top w:val="nil"/>
        <w:left w:val="nil"/>
        <w:bottom w:val="nil"/>
        <w:right w:val="nil"/>
        <w:between w:val="nil"/>
      </w:pBdr>
      <w:tabs>
        <w:tab w:val="center" w:pos="4252"/>
        <w:tab w:val="right" w:pos="8504"/>
      </w:tabs>
      <w:rPr>
        <w:color w:val="000000"/>
      </w:rPr>
    </w:pPr>
    <w:r>
      <w:rPr>
        <w:noProof/>
        <w:lang w:val="es-MX"/>
      </w:rPr>
      <w:drawing>
        <wp:anchor distT="0" distB="0" distL="0" distR="0" simplePos="0" relativeHeight="251658240" behindDoc="1" locked="0" layoutInCell="1" hidden="0" allowOverlap="1">
          <wp:simplePos x="0" y="0"/>
          <wp:positionH relativeFrom="page">
            <wp:align>right</wp:align>
          </wp:positionH>
          <wp:positionV relativeFrom="paragraph">
            <wp:posOffset>-1062834</wp:posOffset>
          </wp:positionV>
          <wp:extent cx="7809876" cy="10165823"/>
          <wp:effectExtent l="0" t="0" r="635" b="6985"/>
          <wp:wrapNone/>
          <wp:docPr id="1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7809876" cy="10165823"/>
                  </a:xfrm>
                  <a:prstGeom prst="rect">
                    <a:avLst/>
                  </a:prstGeom>
                  <a:ln/>
                </pic:spPr>
              </pic:pic>
            </a:graphicData>
          </a:graphic>
          <wp14:sizeRelH relativeFrom="margin">
            <wp14:pctWidth>0</wp14:pctWidth>
          </wp14:sizeRelH>
          <wp14:sizeRelV relativeFrom="margin">
            <wp14:pctHeight>0</wp14:pctHeight>
          </wp14:sizeRelV>
        </wp:anchor>
      </w:drawing>
    </w:r>
  </w:p>
  <w:p w:rsidR="008F63C1" w:rsidRDefault="008F63C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b"/>
      <w:tblW w:w="7544" w:type="dxa"/>
      <w:tblInd w:w="311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2583"/>
      <w:gridCol w:w="4961"/>
    </w:tblGrid>
    <w:tr w:rsidR="00922B93" w:rsidTr="003D029A">
      <w:trPr>
        <w:trHeight w:val="138"/>
      </w:trPr>
      <w:tc>
        <w:tcPr>
          <w:tcW w:w="2583" w:type="dxa"/>
          <w:vAlign w:val="center"/>
        </w:tcPr>
        <w:p w:rsidR="00922B93" w:rsidRPr="00922B93" w:rsidRDefault="00922B93" w:rsidP="00922B93">
          <w:pPr>
            <w:ind w:right="-156"/>
            <w:rPr>
              <w:rFonts w:ascii="Palatino Linotype" w:eastAsia="Palatino Linotype" w:hAnsi="Palatino Linotype" w:cs="Palatino Linotype"/>
              <w:b/>
              <w:color w:val="000000" w:themeColor="text1"/>
              <w:sz w:val="24"/>
              <w:szCs w:val="24"/>
            </w:rPr>
          </w:pPr>
          <w:r w:rsidRPr="00922B93">
            <w:rPr>
              <w:rFonts w:ascii="Palatino Linotype" w:eastAsia="Palatino Linotype" w:hAnsi="Palatino Linotype" w:cs="Palatino Linotype"/>
              <w:b/>
              <w:color w:val="000000" w:themeColor="text1"/>
              <w:sz w:val="24"/>
              <w:szCs w:val="24"/>
            </w:rPr>
            <w:t>Recurso de Revisión:</w:t>
          </w:r>
        </w:p>
      </w:tc>
      <w:tc>
        <w:tcPr>
          <w:tcW w:w="4961" w:type="dxa"/>
          <w:vAlign w:val="center"/>
        </w:tcPr>
        <w:p w:rsidR="00922B93" w:rsidRPr="00922B93" w:rsidRDefault="00922B93" w:rsidP="00922B93">
          <w:pPr>
            <w:pBdr>
              <w:top w:val="nil"/>
              <w:left w:val="nil"/>
              <w:bottom w:val="nil"/>
              <w:right w:val="nil"/>
              <w:between w:val="nil"/>
            </w:pBdr>
            <w:tabs>
              <w:tab w:val="center" w:pos="4252"/>
              <w:tab w:val="right" w:pos="8504"/>
            </w:tabs>
            <w:ind w:right="-73"/>
            <w:rPr>
              <w:rFonts w:ascii="Palatino Linotype" w:eastAsia="Palatino Linotype" w:hAnsi="Palatino Linotype" w:cs="Palatino Linotype"/>
              <w:color w:val="000000" w:themeColor="text1"/>
              <w:sz w:val="24"/>
              <w:szCs w:val="24"/>
            </w:rPr>
          </w:pPr>
          <w:r w:rsidRPr="00922B93">
            <w:rPr>
              <w:rFonts w:ascii="Palatino Linotype" w:eastAsia="Palatino Linotype" w:hAnsi="Palatino Linotype" w:cs="Palatino Linotype"/>
              <w:color w:val="000000" w:themeColor="text1"/>
              <w:sz w:val="24"/>
              <w:szCs w:val="24"/>
            </w:rPr>
            <w:t>05523/INFOEM/IP/RR/2025</w:t>
          </w:r>
        </w:p>
      </w:tc>
    </w:tr>
    <w:tr w:rsidR="00922B93" w:rsidTr="003D029A">
      <w:trPr>
        <w:trHeight w:val="227"/>
      </w:trPr>
      <w:tc>
        <w:tcPr>
          <w:tcW w:w="2583" w:type="dxa"/>
          <w:vAlign w:val="center"/>
        </w:tcPr>
        <w:p w:rsidR="00922B93" w:rsidRPr="00922B93" w:rsidRDefault="00922B93" w:rsidP="00922B93">
          <w:pPr>
            <w:ind w:right="-156"/>
            <w:rPr>
              <w:rFonts w:ascii="Palatino Linotype" w:eastAsia="Palatino Linotype" w:hAnsi="Palatino Linotype" w:cs="Palatino Linotype"/>
              <w:b/>
              <w:color w:val="000000" w:themeColor="text1"/>
              <w:sz w:val="24"/>
              <w:szCs w:val="24"/>
            </w:rPr>
          </w:pPr>
          <w:r w:rsidRPr="00922B93">
            <w:rPr>
              <w:rFonts w:ascii="Palatino Linotype" w:eastAsia="Palatino Linotype" w:hAnsi="Palatino Linotype" w:cs="Palatino Linotype"/>
              <w:b/>
              <w:color w:val="000000" w:themeColor="text1"/>
              <w:sz w:val="24"/>
              <w:szCs w:val="24"/>
            </w:rPr>
            <w:t>Recurrente:</w:t>
          </w:r>
        </w:p>
      </w:tc>
      <w:tc>
        <w:tcPr>
          <w:tcW w:w="4961" w:type="dxa"/>
          <w:vAlign w:val="center"/>
        </w:tcPr>
        <w:p w:rsidR="00922B93" w:rsidRPr="00922B93" w:rsidRDefault="00D229DA" w:rsidP="00922B93">
          <w:pPr>
            <w:pBdr>
              <w:top w:val="nil"/>
              <w:left w:val="nil"/>
              <w:bottom w:val="nil"/>
              <w:right w:val="nil"/>
              <w:between w:val="nil"/>
            </w:pBdr>
            <w:tabs>
              <w:tab w:val="center" w:pos="4252"/>
              <w:tab w:val="right" w:pos="8504"/>
            </w:tabs>
            <w:ind w:right="-73"/>
            <w:rPr>
              <w:rFonts w:ascii="Palatino Linotype" w:eastAsia="Palatino Linotype" w:hAnsi="Palatino Linotype" w:cs="Palatino Linotype"/>
              <w:color w:val="000000" w:themeColor="text1"/>
              <w:sz w:val="24"/>
              <w:szCs w:val="24"/>
            </w:rPr>
          </w:pPr>
          <w:r>
            <w:rPr>
              <w:rFonts w:ascii="Palatino Linotype" w:eastAsia="Palatino Linotype" w:hAnsi="Palatino Linotype" w:cs="Palatino Linotype"/>
              <w:color w:val="000000" w:themeColor="text1"/>
              <w:sz w:val="24"/>
              <w:szCs w:val="24"/>
            </w:rPr>
            <w:t>XXXX</w:t>
          </w:r>
        </w:p>
      </w:tc>
    </w:tr>
    <w:tr w:rsidR="00922B93" w:rsidTr="003D029A">
      <w:trPr>
        <w:trHeight w:val="232"/>
      </w:trPr>
      <w:tc>
        <w:tcPr>
          <w:tcW w:w="2583" w:type="dxa"/>
          <w:vAlign w:val="center"/>
        </w:tcPr>
        <w:p w:rsidR="00922B93" w:rsidRPr="00922B93" w:rsidRDefault="00922B93" w:rsidP="00922B93">
          <w:pPr>
            <w:ind w:right="-156"/>
            <w:rPr>
              <w:rFonts w:ascii="Palatino Linotype" w:eastAsia="Palatino Linotype" w:hAnsi="Palatino Linotype" w:cs="Palatino Linotype"/>
              <w:b/>
              <w:color w:val="000000" w:themeColor="text1"/>
              <w:sz w:val="24"/>
              <w:szCs w:val="24"/>
            </w:rPr>
          </w:pPr>
          <w:r w:rsidRPr="00922B93">
            <w:rPr>
              <w:rFonts w:ascii="Palatino Linotype" w:eastAsia="Palatino Linotype" w:hAnsi="Palatino Linotype" w:cs="Palatino Linotype"/>
              <w:b/>
              <w:color w:val="000000" w:themeColor="text1"/>
              <w:sz w:val="24"/>
              <w:szCs w:val="24"/>
            </w:rPr>
            <w:t>Sujeto Obligado:</w:t>
          </w:r>
        </w:p>
      </w:tc>
      <w:tc>
        <w:tcPr>
          <w:tcW w:w="4961" w:type="dxa"/>
          <w:vAlign w:val="center"/>
        </w:tcPr>
        <w:p w:rsidR="00922B93" w:rsidRPr="00922B93" w:rsidRDefault="00922B93" w:rsidP="00922B93">
          <w:pPr>
            <w:ind w:right="-73"/>
            <w:jc w:val="both"/>
            <w:rPr>
              <w:rFonts w:ascii="Palatino Linotype" w:eastAsia="Palatino Linotype" w:hAnsi="Palatino Linotype" w:cs="Palatino Linotype"/>
              <w:color w:val="000000" w:themeColor="text1"/>
              <w:sz w:val="24"/>
              <w:szCs w:val="24"/>
            </w:rPr>
          </w:pPr>
          <w:r w:rsidRPr="00922B93">
            <w:rPr>
              <w:rFonts w:ascii="Palatino Linotype" w:eastAsia="Palatino Linotype" w:hAnsi="Palatino Linotype" w:cs="Palatino Linotype"/>
              <w:color w:val="000000" w:themeColor="text1"/>
              <w:sz w:val="24"/>
              <w:szCs w:val="24"/>
            </w:rPr>
            <w:t>Ayuntamiento de Cuautitlán Izcalli</w:t>
          </w:r>
        </w:p>
      </w:tc>
    </w:tr>
    <w:tr w:rsidR="00922B93" w:rsidTr="003D029A">
      <w:trPr>
        <w:trHeight w:val="320"/>
      </w:trPr>
      <w:tc>
        <w:tcPr>
          <w:tcW w:w="2583" w:type="dxa"/>
          <w:vAlign w:val="center"/>
        </w:tcPr>
        <w:p w:rsidR="00922B93" w:rsidRPr="00922B93" w:rsidRDefault="00922B93" w:rsidP="00922B93">
          <w:pPr>
            <w:ind w:right="-156"/>
            <w:rPr>
              <w:rFonts w:ascii="Palatino Linotype" w:eastAsia="Palatino Linotype" w:hAnsi="Palatino Linotype" w:cs="Palatino Linotype"/>
              <w:b/>
              <w:color w:val="000000" w:themeColor="text1"/>
              <w:sz w:val="24"/>
              <w:szCs w:val="24"/>
            </w:rPr>
          </w:pPr>
          <w:r w:rsidRPr="00922B93">
            <w:rPr>
              <w:rFonts w:ascii="Palatino Linotype" w:eastAsia="Palatino Linotype" w:hAnsi="Palatino Linotype" w:cs="Palatino Linotype"/>
              <w:b/>
              <w:color w:val="000000" w:themeColor="text1"/>
              <w:sz w:val="24"/>
              <w:szCs w:val="24"/>
            </w:rPr>
            <w:t>Comisionada Ponente:</w:t>
          </w:r>
        </w:p>
      </w:tc>
      <w:tc>
        <w:tcPr>
          <w:tcW w:w="4961" w:type="dxa"/>
          <w:vAlign w:val="center"/>
        </w:tcPr>
        <w:p w:rsidR="00922B93" w:rsidRPr="00922B93" w:rsidRDefault="00922B93" w:rsidP="00922B93">
          <w:pPr>
            <w:pBdr>
              <w:top w:val="nil"/>
              <w:left w:val="nil"/>
              <w:bottom w:val="nil"/>
              <w:right w:val="nil"/>
              <w:between w:val="nil"/>
            </w:pBdr>
            <w:tabs>
              <w:tab w:val="center" w:pos="4252"/>
              <w:tab w:val="right" w:pos="8504"/>
            </w:tabs>
            <w:ind w:right="-73"/>
            <w:rPr>
              <w:rFonts w:ascii="Palatino Linotype" w:eastAsia="Palatino Linotype" w:hAnsi="Palatino Linotype" w:cs="Palatino Linotype"/>
              <w:color w:val="000000" w:themeColor="text1"/>
              <w:sz w:val="24"/>
              <w:szCs w:val="24"/>
            </w:rPr>
          </w:pPr>
          <w:r w:rsidRPr="00922B93">
            <w:rPr>
              <w:rFonts w:ascii="Palatino Linotype" w:eastAsia="Palatino Linotype" w:hAnsi="Palatino Linotype" w:cs="Palatino Linotype"/>
              <w:color w:val="000000" w:themeColor="text1"/>
              <w:sz w:val="24"/>
              <w:szCs w:val="24"/>
            </w:rPr>
            <w:t>María del Rosario Mejía Ayala</w:t>
          </w:r>
        </w:p>
      </w:tc>
    </w:tr>
  </w:tbl>
  <w:p w:rsidR="008F63C1" w:rsidRDefault="003D029A">
    <w:pPr>
      <w:pBdr>
        <w:top w:val="nil"/>
        <w:left w:val="nil"/>
        <w:bottom w:val="nil"/>
        <w:right w:val="nil"/>
        <w:between w:val="nil"/>
      </w:pBdr>
      <w:tabs>
        <w:tab w:val="center" w:pos="4252"/>
        <w:tab w:val="right" w:pos="8504"/>
      </w:tabs>
      <w:rPr>
        <w:color w:val="000000"/>
      </w:rPr>
    </w:pPr>
    <w:r>
      <w:rPr>
        <w:noProof/>
        <w:lang w:val="es-MX"/>
      </w:rPr>
      <w:drawing>
        <wp:anchor distT="0" distB="0" distL="0" distR="0" simplePos="0" relativeHeight="251659264" behindDoc="1" locked="0" layoutInCell="1" hidden="0" allowOverlap="1">
          <wp:simplePos x="0" y="0"/>
          <wp:positionH relativeFrom="page">
            <wp:align>left</wp:align>
          </wp:positionH>
          <wp:positionV relativeFrom="paragraph">
            <wp:posOffset>-1266143</wp:posOffset>
          </wp:positionV>
          <wp:extent cx="7809876" cy="10165823"/>
          <wp:effectExtent l="0" t="0" r="635" b="6985"/>
          <wp:wrapNone/>
          <wp:docPr id="1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p w:rsidR="008F63C1" w:rsidRDefault="008F63C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D033B"/>
    <w:multiLevelType w:val="multilevel"/>
    <w:tmpl w:val="3E86FB7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61E354D"/>
    <w:multiLevelType w:val="hybridMultilevel"/>
    <w:tmpl w:val="1DD27C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00504E"/>
    <w:multiLevelType w:val="multilevel"/>
    <w:tmpl w:val="1C4A9880"/>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rPr>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6F52283"/>
    <w:multiLevelType w:val="hybridMultilevel"/>
    <w:tmpl w:val="711A775A"/>
    <w:lvl w:ilvl="0" w:tplc="080A0001">
      <w:start w:val="3"/>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8480D5A"/>
    <w:multiLevelType w:val="multilevel"/>
    <w:tmpl w:val="B74C73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88F272F"/>
    <w:multiLevelType w:val="multilevel"/>
    <w:tmpl w:val="E48A1976"/>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000374B"/>
    <w:multiLevelType w:val="hybridMultilevel"/>
    <w:tmpl w:val="5C4E7F4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6529200B"/>
    <w:multiLevelType w:val="hybridMultilevel"/>
    <w:tmpl w:val="E26264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6290456"/>
    <w:multiLevelType w:val="hybridMultilevel"/>
    <w:tmpl w:val="B882FE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5884059"/>
    <w:multiLevelType w:val="multilevel"/>
    <w:tmpl w:val="954AE39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775E24C7"/>
    <w:multiLevelType w:val="multilevel"/>
    <w:tmpl w:val="5D1A02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AEB4B5B"/>
    <w:multiLevelType w:val="multilevel"/>
    <w:tmpl w:val="69822232"/>
    <w:lvl w:ilvl="0">
      <w:start w:val="1"/>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5"/>
  </w:num>
  <w:num w:numId="3">
    <w:abstractNumId w:val="2"/>
  </w:num>
  <w:num w:numId="4">
    <w:abstractNumId w:val="10"/>
  </w:num>
  <w:num w:numId="5">
    <w:abstractNumId w:val="0"/>
  </w:num>
  <w:num w:numId="6">
    <w:abstractNumId w:val="4"/>
  </w:num>
  <w:num w:numId="7">
    <w:abstractNumId w:val="7"/>
  </w:num>
  <w:num w:numId="8">
    <w:abstractNumId w:val="11"/>
  </w:num>
  <w:num w:numId="9">
    <w:abstractNumId w:val="6"/>
  </w:num>
  <w:num w:numId="10">
    <w:abstractNumId w:val="1"/>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FE1"/>
    <w:rsid w:val="0010134C"/>
    <w:rsid w:val="001E7A3A"/>
    <w:rsid w:val="0024453A"/>
    <w:rsid w:val="002A68BA"/>
    <w:rsid w:val="003D029A"/>
    <w:rsid w:val="004143F9"/>
    <w:rsid w:val="00433A7B"/>
    <w:rsid w:val="00491D24"/>
    <w:rsid w:val="005E47EC"/>
    <w:rsid w:val="006879C0"/>
    <w:rsid w:val="006B752E"/>
    <w:rsid w:val="006B77BD"/>
    <w:rsid w:val="006F1C9E"/>
    <w:rsid w:val="007470D9"/>
    <w:rsid w:val="007A03A6"/>
    <w:rsid w:val="007E100F"/>
    <w:rsid w:val="008552E0"/>
    <w:rsid w:val="008F63C1"/>
    <w:rsid w:val="00913AAE"/>
    <w:rsid w:val="00922B93"/>
    <w:rsid w:val="00A71123"/>
    <w:rsid w:val="00B73CDB"/>
    <w:rsid w:val="00C71C9A"/>
    <w:rsid w:val="00D229DA"/>
    <w:rsid w:val="00E40FE1"/>
    <w:rsid w:val="00ED7F4C"/>
    <w:rsid w:val="00F259D8"/>
    <w:rsid w:val="00FC1D0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2C71BE9-5073-43D0-AE47-3193366BE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line="259" w:lineRule="auto"/>
      <w:outlineLvl w:val="0"/>
    </w:pPr>
    <w:rPr>
      <w:rFonts w:ascii="Palatino Linotype" w:eastAsia="Palatino Linotype" w:hAnsi="Palatino Linotype" w:cs="Palatino Linotype"/>
      <w:b/>
      <w:color w:val="000000"/>
    </w:rPr>
  </w:style>
  <w:style w:type="paragraph" w:styleId="Ttulo2">
    <w:name w:val="heading 2"/>
    <w:basedOn w:val="Normal"/>
    <w:next w:val="Normal"/>
    <w:pPr>
      <w:keepNext/>
      <w:keepLines/>
      <w:spacing w:before="40" w:line="259" w:lineRule="auto"/>
      <w:outlineLvl w:val="1"/>
    </w:pPr>
    <w:rPr>
      <w:rFonts w:ascii="Palatino Linotype" w:eastAsia="Palatino Linotype" w:hAnsi="Palatino Linotype" w:cs="Palatino Linotype"/>
      <w:b/>
      <w:color w:val="000000"/>
    </w:rPr>
  </w:style>
  <w:style w:type="paragraph" w:styleId="Ttulo3">
    <w:name w:val="heading 3"/>
    <w:basedOn w:val="Normal"/>
    <w:next w:val="Normal"/>
    <w:pPr>
      <w:keepNext/>
      <w:keepLines/>
      <w:spacing w:before="40"/>
      <w:outlineLvl w:val="2"/>
    </w:pPr>
    <w:rPr>
      <w:rFonts w:ascii="Calibri" w:eastAsia="Calibri" w:hAnsi="Calibri" w:cs="Calibri"/>
      <w:color w:val="243F61"/>
    </w:rPr>
  </w:style>
  <w:style w:type="paragraph" w:styleId="Ttulo4">
    <w:name w:val="heading 4"/>
    <w:basedOn w:val="Normal"/>
    <w:next w:val="Normal"/>
    <w:pPr>
      <w:keepNext/>
      <w:keepLines/>
      <w:spacing w:before="40"/>
      <w:outlineLvl w:val="3"/>
    </w:pPr>
    <w:rPr>
      <w:rFonts w:ascii="Calibri" w:eastAsia="Calibri" w:hAnsi="Calibri" w:cs="Calibri"/>
      <w:i/>
      <w:color w:val="366091"/>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aliases w:val="Cita textual"/>
    <w:basedOn w:val="Normal"/>
    <w:next w:val="Normal"/>
    <w:link w:val="PuestoCar"/>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826F4"/>
    <w:pPr>
      <w:tabs>
        <w:tab w:val="right" w:leader="dot" w:pos="8779"/>
      </w:tabs>
      <w:spacing w:after="100" w:line="360" w:lineRule="auto"/>
      <w:ind w:left="284"/>
    </w:pPr>
  </w:style>
  <w:style w:type="paragraph" w:styleId="TDC2">
    <w:name w:val="toc 2"/>
    <w:basedOn w:val="Normal"/>
    <w:next w:val="Normal"/>
    <w:autoRedefine/>
    <w:uiPriority w:val="39"/>
    <w:unhideWhenUsed/>
    <w:rsid w:val="00B37AEC"/>
    <w:pPr>
      <w:tabs>
        <w:tab w:val="left" w:pos="709"/>
        <w:tab w:val="right" w:leader="dot" w:pos="8779"/>
      </w:tabs>
      <w:spacing w:after="100" w:line="480" w:lineRule="auto"/>
      <w:ind w:left="284"/>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next w:val="Normal"/>
    <w:uiPriority w:val="39"/>
    <w:unhideWhenUsed/>
    <w:qFormat/>
    <w:rsid w:val="00CD7893"/>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qForma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semiHidden/>
    <w:rsid w:val="00967CE6"/>
  </w:style>
  <w:style w:type="character" w:styleId="Textoennegrita">
    <w:name w:val="Strong"/>
    <w:uiPriority w:val="22"/>
    <w:qFormat/>
    <w:rsid w:val="009C113B"/>
    <w:rPr>
      <w:b/>
      <w:bCs/>
    </w:rPr>
  </w:style>
  <w:style w:type="character" w:customStyle="1" w:styleId="SinespaciadoCar">
    <w:name w:val="Sin espaciado Car"/>
    <w:aliases w:val="Francesa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iPriority w:val="99"/>
    <w:unhideWhenUsed/>
    <w:rsid w:val="00EC6B99"/>
    <w:rPr>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D4338A"/>
    <w:rPr>
      <w:rFonts w:ascii="Courier New" w:eastAsia="Times New Roman" w:hAnsi="Courier New" w:cs="Times New Roman"/>
      <w:sz w:val="20"/>
      <w:szCs w:val="20"/>
      <w:lang w:val="es-ES"/>
    </w:rPr>
  </w:style>
  <w:style w:type="table" w:customStyle="1" w:styleId="Tablanormal11">
    <w:name w:val="Tabla normal 11"/>
    <w:basedOn w:val="Tablanormal"/>
    <w:uiPriority w:val="41"/>
    <w:rsid w:val="00962626"/>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rPr>
  </w:style>
  <w:style w:type="character" w:customStyle="1" w:styleId="stytxtare">
    <w:name w:val="stytxtare"/>
    <w:rsid w:val="005B0EC2"/>
  </w:style>
  <w:style w:type="character" w:customStyle="1" w:styleId="Ttulo4Car">
    <w:name w:val="Título 4 Car"/>
    <w:basedOn w:val="Fuentedeprrafopredeter"/>
    <w:uiPriority w:val="9"/>
    <w:rsid w:val="00D55B7A"/>
    <w:rPr>
      <w:rFonts w:asciiTheme="majorHAnsi" w:eastAsiaTheme="majorEastAsia" w:hAnsiTheme="majorHAnsi" w:cstheme="majorBidi"/>
      <w:i/>
      <w:iCs/>
      <w:color w:val="365F91" w:themeColor="accent1" w:themeShade="BF"/>
    </w:rPr>
  </w:style>
  <w:style w:type="paragraph" w:customStyle="1" w:styleId="paragraph">
    <w:name w:val="paragraph"/>
    <w:basedOn w:val="Normal"/>
    <w:uiPriority w:val="99"/>
    <w:rsid w:val="00BC13F7"/>
    <w:pPr>
      <w:spacing w:before="100" w:beforeAutospacing="1" w:after="100" w:afterAutospacing="1"/>
    </w:pPr>
    <w:rPr>
      <w:rFonts w:ascii="Times New Roman" w:eastAsia="Times New Roman" w:hAnsi="Times New Roman" w:cs="Times New Roman"/>
      <w:lang w:val="es-MX"/>
    </w:rPr>
  </w:style>
  <w:style w:type="paragraph" w:customStyle="1" w:styleId="yiv6449924580ydp7ca81294msonormal">
    <w:name w:val="yiv6449924580ydp7ca81294msonormal"/>
    <w:basedOn w:val="Normal"/>
    <w:rsid w:val="003B7B09"/>
    <w:pPr>
      <w:spacing w:before="100" w:beforeAutospacing="1" w:after="100" w:afterAutospacing="1"/>
    </w:pPr>
    <w:rPr>
      <w:rFonts w:ascii="Times New Roman" w:eastAsia="Times New Roman" w:hAnsi="Times New Roman" w:cs="Times New Roman"/>
      <w:lang w:val="es-MX"/>
    </w:rPr>
  </w:style>
  <w:style w:type="paragraph" w:customStyle="1" w:styleId="gmail-msolistparagraph">
    <w:name w:val="gmail-msolistparagraph"/>
    <w:basedOn w:val="Normal"/>
    <w:rsid w:val="00CA1CD0"/>
    <w:pPr>
      <w:spacing w:before="100" w:beforeAutospacing="1" w:after="100" w:afterAutospacing="1"/>
    </w:pPr>
    <w:rPr>
      <w:rFonts w:ascii="Times New Roman" w:eastAsia="Times New Roman" w:hAnsi="Times New Roman" w:cs="Times New Roman"/>
      <w:lang w:val="es-MX"/>
    </w:rPr>
  </w:style>
  <w:style w:type="character" w:customStyle="1" w:styleId="vidspn">
    <w:name w:val="vid_spn"/>
    <w:basedOn w:val="Fuentedeprrafopredeter"/>
    <w:rsid w:val="006B78BA"/>
  </w:style>
  <w:style w:type="table" w:styleId="Tablanormal1">
    <w:name w:val="Plain Table 1"/>
    <w:basedOn w:val="Tablanormal"/>
    <w:uiPriority w:val="41"/>
    <w:rsid w:val="00BE721C"/>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itas">
    <w:name w:val="Citas"/>
    <w:basedOn w:val="Normal"/>
    <w:qFormat/>
    <w:rsid w:val="000E0EF6"/>
    <w:pPr>
      <w:spacing w:before="240" w:after="160" w:line="360" w:lineRule="auto"/>
      <w:ind w:left="851" w:right="851"/>
      <w:jc w:val="both"/>
    </w:pPr>
    <w:rPr>
      <w:rFonts w:ascii="Palatino Linotype" w:eastAsia="Times New Roman" w:hAnsi="Palatino Linotype" w:cs="Arial"/>
      <w:i/>
      <w:sz w:val="22"/>
      <w:szCs w:val="22"/>
      <w:lang w:val="es-MX" w:eastAsia="en-US"/>
    </w:rPr>
  </w:style>
  <w:style w:type="table" w:customStyle="1" w:styleId="Tablanormal12">
    <w:name w:val="Tabla normal 12"/>
    <w:basedOn w:val="Tablanormal"/>
    <w:next w:val="Tablanormal1"/>
    <w:uiPriority w:val="41"/>
    <w:rsid w:val="00F82B3B"/>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object">
    <w:name w:val="object"/>
    <w:basedOn w:val="Fuentedeprrafopredeter"/>
    <w:rsid w:val="00977AFF"/>
  </w:style>
  <w:style w:type="table" w:customStyle="1" w:styleId="3">
    <w:name w:val="3"/>
    <w:basedOn w:val="TableNormal2"/>
    <w:tblPr>
      <w:tblStyleRowBandSize w:val="1"/>
      <w:tblStyleColBandSize w:val="1"/>
      <w:tblCellMar>
        <w:left w:w="115" w:type="dxa"/>
        <w:right w:w="115" w:type="dxa"/>
      </w:tblCellMar>
    </w:tblPr>
  </w:style>
  <w:style w:type="table" w:customStyle="1" w:styleId="2">
    <w:name w:val="2"/>
    <w:basedOn w:val="TableNormal2"/>
    <w:rPr>
      <w:sz w:val="22"/>
      <w:szCs w:val="22"/>
    </w:rPr>
    <w:tblPr>
      <w:tblStyleRowBandSize w:val="1"/>
      <w:tblStyleColBandSize w:val="1"/>
      <w:tblCellMar>
        <w:left w:w="108" w:type="dxa"/>
        <w:right w:w="108" w:type="dxa"/>
      </w:tblCellMar>
    </w:tblPr>
  </w:style>
  <w:style w:type="table" w:customStyle="1" w:styleId="1">
    <w:name w:val="1"/>
    <w:basedOn w:val="TableNormal2"/>
    <w:rPr>
      <w:sz w:val="22"/>
      <w:szCs w:val="22"/>
    </w:rPr>
    <w:tblPr>
      <w:tblStyleRowBandSize w:val="1"/>
      <w:tblStyleColBandSize w:val="1"/>
      <w:tblCellMar>
        <w:left w:w="108" w:type="dxa"/>
        <w:right w:w="108" w:type="dxa"/>
      </w:tblCellMar>
    </w:tblPr>
  </w:style>
  <w:style w:type="table" w:customStyle="1" w:styleId="a0">
    <w:basedOn w:val="TableNormal2"/>
    <w:tblPr>
      <w:tblStyleRowBandSize w:val="1"/>
      <w:tblStyleColBandSize w:val="1"/>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rPr>
      <w:sz w:val="22"/>
      <w:szCs w:val="22"/>
    </w:rPr>
    <w:tblPr>
      <w:tblStyleRowBandSize w:val="1"/>
      <w:tblStyleColBandSize w:val="1"/>
      <w:tblCellMar>
        <w:left w:w="108" w:type="dxa"/>
        <w:right w:w="108" w:type="dxa"/>
      </w:tblCellMar>
    </w:tblPr>
  </w:style>
  <w:style w:type="table" w:customStyle="1" w:styleId="a3">
    <w:basedOn w:val="TableNormal2"/>
    <w:rPr>
      <w:sz w:val="22"/>
      <w:szCs w:val="22"/>
    </w:rPr>
    <w:tblPr>
      <w:tblStyleRowBandSize w:val="1"/>
      <w:tblStyleColBandSize w:val="1"/>
      <w:tblCellMar>
        <w:left w:w="108" w:type="dxa"/>
        <w:right w:w="108" w:type="dxa"/>
      </w:tblCellMar>
    </w:tblPr>
  </w:style>
  <w:style w:type="table" w:customStyle="1" w:styleId="a4">
    <w:basedOn w:val="TableNormal1"/>
    <w:tblPr>
      <w:tblStyleRowBandSize w:val="1"/>
      <w:tblStyleColBandSize w:val="1"/>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rPr>
      <w:sz w:val="22"/>
      <w:szCs w:val="22"/>
    </w:rPr>
    <w:tblPr>
      <w:tblStyleRowBandSize w:val="1"/>
      <w:tblStyleColBandSize w:val="1"/>
      <w:tblCellMar>
        <w:left w:w="108" w:type="dxa"/>
        <w:right w:w="108" w:type="dxa"/>
      </w:tblCellMar>
    </w:tblPr>
  </w:style>
  <w:style w:type="table" w:customStyle="1" w:styleId="a7">
    <w:basedOn w:val="TableNormal1"/>
    <w:rPr>
      <w:sz w:val="22"/>
      <w:szCs w:val="22"/>
    </w:rPr>
    <w:tblPr>
      <w:tblStyleRowBandSize w:val="1"/>
      <w:tblStyleColBandSize w:val="1"/>
      <w:tblCellMar>
        <w:left w:w="108" w:type="dxa"/>
        <w:right w:w="108" w:type="dxa"/>
      </w:tblCellMar>
    </w:tblPr>
  </w:style>
  <w:style w:type="table" w:customStyle="1" w:styleId="Tablanormal13">
    <w:name w:val="Tabla normal 13"/>
    <w:basedOn w:val="Tablanormal"/>
    <w:next w:val="Tablanormal1"/>
    <w:uiPriority w:val="41"/>
    <w:rsid w:val="00AB673E"/>
    <w:rPr>
      <w:rFonts w:asciiTheme="minorHAnsi" w:eastAsiaTheme="minorHAnsi" w:hAnsiTheme="minorHAnsi" w:cstheme="minorBidi"/>
      <w:sz w:val="22"/>
      <w:szCs w:val="22"/>
      <w:lang w:val="es-MX"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8">
    <w:basedOn w:val="TableNormal0"/>
    <w:tblPr>
      <w:tblStyleRowBandSize w:val="1"/>
      <w:tblStyleColBandSize w:val="1"/>
      <w:tblCellMar>
        <w:left w:w="108" w:type="dxa"/>
        <w:right w:w="108" w:type="dxa"/>
      </w:tblCellMar>
    </w:tblPr>
  </w:style>
  <w:style w:type="table" w:customStyle="1" w:styleId="a9">
    <w:basedOn w:val="TableNormal0"/>
    <w:rPr>
      <w:sz w:val="22"/>
      <w:szCs w:val="22"/>
    </w:rPr>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a">
    <w:basedOn w:val="TableNormal0"/>
    <w:rPr>
      <w:sz w:val="22"/>
      <w:szCs w:val="22"/>
    </w:rPr>
    <w:tblPr>
      <w:tblStyleRowBandSize w:val="1"/>
      <w:tblStyleColBandSize w:val="1"/>
      <w:tblCellMar>
        <w:left w:w="108" w:type="dxa"/>
        <w:right w:w="108" w:type="dxa"/>
      </w:tblCellMar>
    </w:tblPr>
  </w:style>
  <w:style w:type="table" w:customStyle="1" w:styleId="ab">
    <w:basedOn w:val="TableNormal0"/>
    <w:rPr>
      <w:sz w:val="22"/>
      <w:szCs w:val="22"/>
    </w:rPr>
    <w:tblPr>
      <w:tblStyleRowBandSize w:val="1"/>
      <w:tblStyleColBandSize w:val="1"/>
      <w:tblCellMar>
        <w:left w:w="108" w:type="dxa"/>
        <w:right w:w="108" w:type="dxa"/>
      </w:tblCellMar>
    </w:tblPr>
  </w:style>
  <w:style w:type="character" w:customStyle="1" w:styleId="PuestoCar">
    <w:name w:val="Puesto Car"/>
    <w:aliases w:val="Cita textual Car"/>
    <w:basedOn w:val="Fuentedeprrafopredeter"/>
    <w:link w:val="Puesto"/>
    <w:rsid w:val="00913AAE"/>
    <w:rPr>
      <w:b/>
      <w:sz w:val="72"/>
      <w:szCs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68352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442236.pag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economia.com.mx/cheque-sin-fondo-que-hacer/" TargetMode="External"/><Relationship Id="rId4" Type="http://schemas.openxmlformats.org/officeDocument/2006/relationships/settings" Target="settings.xml"/><Relationship Id="rId9" Type="http://schemas.openxmlformats.org/officeDocument/2006/relationships/hyperlink" Target="http://cuentasahorro.com.mx/"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AIj4nHz72JwnTJAeTbmKo7cAtA==">CgMxLjAyDmguc3JlOWgwNXE0djBiMghoLmdqZGd4czIJaC4zMGowemxsMgloLjFmb2I5dGUyCWguM3pueXNoNzIJaC4yZXQ5MnAwMghoLnR5amN3dDIJaC4zZHk2dmttMgloLjF0M2g1c2YyDmguM3pkYmNqZ2h1d2FuMgloLjI2aW4xcmcyCWguNGQzNG9nODIIaC5sbnhiejkyCWguMzVua3VuMjIOaC51ZG9saWM4dDJ5eng4AHIhMWhQeVFQeGV5VDRrajFrTVVOUWtsM1h1MG40UndOaGZ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28</Pages>
  <Words>7368</Words>
  <Characters>40530</Characters>
  <Application>Microsoft Office Word</Application>
  <DocSecurity>0</DocSecurity>
  <Lines>337</Lines>
  <Paragraphs>95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47803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Cuenta Microsoft</cp:lastModifiedBy>
  <cp:revision>11</cp:revision>
  <cp:lastPrinted>2025-10-17T17:29:00Z</cp:lastPrinted>
  <dcterms:created xsi:type="dcterms:W3CDTF">2025-10-02T19:14:00Z</dcterms:created>
  <dcterms:modified xsi:type="dcterms:W3CDTF">2025-11-10T17:51:00Z</dcterms:modified>
</cp:coreProperties>
</file>