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DF811" w14:textId="77777777" w:rsidR="0075097B" w:rsidRPr="00743B09" w:rsidRDefault="00EB3223" w:rsidP="00743B09">
      <w:pPr>
        <w:keepNext/>
        <w:keepLines/>
        <w:pBdr>
          <w:top w:val="nil"/>
          <w:left w:val="nil"/>
          <w:bottom w:val="nil"/>
          <w:right w:val="nil"/>
          <w:between w:val="nil"/>
        </w:pBdr>
        <w:spacing w:before="240" w:line="259" w:lineRule="auto"/>
        <w:jc w:val="left"/>
        <w:rPr>
          <w:rFonts w:ascii="Play" w:eastAsia="Play" w:hAnsi="Play" w:cs="Play"/>
          <w:sz w:val="32"/>
          <w:szCs w:val="32"/>
        </w:rPr>
      </w:pPr>
      <w:r w:rsidRPr="00743B09">
        <w:rPr>
          <w:rFonts w:ascii="Play" w:eastAsia="Play" w:hAnsi="Play" w:cs="Play"/>
          <w:sz w:val="32"/>
          <w:szCs w:val="32"/>
        </w:rPr>
        <w:t>Contenido</w:t>
      </w:r>
    </w:p>
    <w:sdt>
      <w:sdtPr>
        <w:id w:val="-382786484"/>
        <w:docPartObj>
          <w:docPartGallery w:val="Table of Contents"/>
          <w:docPartUnique/>
        </w:docPartObj>
      </w:sdtPr>
      <w:sdtEndPr/>
      <w:sdtContent>
        <w:p w14:paraId="23D2A43B" w14:textId="77777777" w:rsidR="0075097B" w:rsidRPr="00743B09" w:rsidRDefault="00EB3223" w:rsidP="00743B09">
          <w:pPr>
            <w:widowControl w:val="0"/>
            <w:tabs>
              <w:tab w:val="right" w:pos="12000"/>
            </w:tabs>
            <w:spacing w:before="60" w:line="240" w:lineRule="auto"/>
            <w:jc w:val="left"/>
            <w:rPr>
              <w:rFonts w:ascii="Arial" w:eastAsia="Arial" w:hAnsi="Arial" w:cs="Arial"/>
              <w:b/>
              <w:szCs w:val="22"/>
            </w:rPr>
          </w:pPr>
          <w:r w:rsidRPr="00743B09">
            <w:fldChar w:fldCharType="begin"/>
          </w:r>
          <w:r w:rsidRPr="00743B09">
            <w:instrText xml:space="preserve"> TOC \h \u \z \t "Heading 1,1,Heading 2,2,Heading 3,3,"</w:instrText>
          </w:r>
          <w:r w:rsidRPr="00743B09">
            <w:fldChar w:fldCharType="separate"/>
          </w:r>
          <w:hyperlink w:anchor="_heading=h.4aqk5taky6nz">
            <w:r w:rsidRPr="00743B09">
              <w:rPr>
                <w:rFonts w:eastAsia="Palatino Linotype" w:cs="Palatino Linotype"/>
                <w:szCs w:val="22"/>
              </w:rPr>
              <w:t>ANTECEDENTES</w:t>
            </w:r>
            <w:r w:rsidRPr="00743B09">
              <w:rPr>
                <w:rFonts w:eastAsia="Palatino Linotype" w:cs="Palatino Linotype"/>
                <w:szCs w:val="22"/>
              </w:rPr>
              <w:tab/>
              <w:t>1</w:t>
            </w:r>
          </w:hyperlink>
        </w:p>
        <w:p w14:paraId="62F32F2B" w14:textId="77777777" w:rsidR="0075097B" w:rsidRPr="00743B09" w:rsidRDefault="003A6691" w:rsidP="00743B09">
          <w:pPr>
            <w:widowControl w:val="0"/>
            <w:tabs>
              <w:tab w:val="right" w:pos="12000"/>
            </w:tabs>
            <w:spacing w:before="60" w:line="240" w:lineRule="auto"/>
            <w:ind w:left="360"/>
            <w:jc w:val="left"/>
            <w:rPr>
              <w:rFonts w:ascii="Arial" w:eastAsia="Arial" w:hAnsi="Arial" w:cs="Arial"/>
              <w:szCs w:val="22"/>
            </w:rPr>
          </w:pPr>
          <w:hyperlink w:anchor="_heading=h.6xya0f44mo0j">
            <w:r w:rsidR="00EB3223" w:rsidRPr="00743B09">
              <w:rPr>
                <w:rFonts w:eastAsia="Palatino Linotype" w:cs="Palatino Linotype"/>
                <w:szCs w:val="22"/>
              </w:rPr>
              <w:t>DE LA SOLICITUD DE INFORMACIÓN</w:t>
            </w:r>
            <w:r w:rsidR="00EB3223" w:rsidRPr="00743B09">
              <w:rPr>
                <w:rFonts w:eastAsia="Palatino Linotype" w:cs="Palatino Linotype"/>
                <w:szCs w:val="22"/>
              </w:rPr>
              <w:tab/>
              <w:t>1</w:t>
            </w:r>
          </w:hyperlink>
        </w:p>
        <w:p w14:paraId="26656641" w14:textId="77777777" w:rsidR="0075097B" w:rsidRPr="00743B09" w:rsidRDefault="003A6691" w:rsidP="00743B09">
          <w:pPr>
            <w:widowControl w:val="0"/>
            <w:tabs>
              <w:tab w:val="right" w:pos="12000"/>
            </w:tabs>
            <w:spacing w:before="60" w:line="240" w:lineRule="auto"/>
            <w:ind w:left="720"/>
            <w:jc w:val="left"/>
            <w:rPr>
              <w:rFonts w:ascii="Arial" w:eastAsia="Arial" w:hAnsi="Arial" w:cs="Arial"/>
              <w:szCs w:val="22"/>
            </w:rPr>
          </w:pPr>
          <w:hyperlink w:anchor="_heading=h.dchufofq0une">
            <w:r w:rsidR="00EB3223" w:rsidRPr="00743B09">
              <w:rPr>
                <w:rFonts w:eastAsia="Palatino Linotype" w:cs="Palatino Linotype"/>
                <w:szCs w:val="22"/>
              </w:rPr>
              <w:t>a) Solicitud de información</w:t>
            </w:r>
            <w:r w:rsidR="00EB3223" w:rsidRPr="00743B09">
              <w:rPr>
                <w:rFonts w:eastAsia="Palatino Linotype" w:cs="Palatino Linotype"/>
                <w:szCs w:val="22"/>
              </w:rPr>
              <w:tab/>
              <w:t>1</w:t>
            </w:r>
          </w:hyperlink>
        </w:p>
        <w:p w14:paraId="1B109917" w14:textId="77777777" w:rsidR="0075097B" w:rsidRPr="00743B09" w:rsidRDefault="003A6691" w:rsidP="00743B09">
          <w:pPr>
            <w:widowControl w:val="0"/>
            <w:tabs>
              <w:tab w:val="right" w:pos="12000"/>
            </w:tabs>
            <w:spacing w:before="60" w:line="240" w:lineRule="auto"/>
            <w:ind w:left="720"/>
            <w:jc w:val="left"/>
            <w:rPr>
              <w:rFonts w:ascii="Arial" w:eastAsia="Arial" w:hAnsi="Arial" w:cs="Arial"/>
              <w:szCs w:val="22"/>
            </w:rPr>
          </w:pPr>
          <w:hyperlink w:anchor="_heading=h.4oyzemw8v0od">
            <w:r w:rsidR="00EB3223" w:rsidRPr="00743B09">
              <w:rPr>
                <w:rFonts w:eastAsia="Palatino Linotype" w:cs="Palatino Linotype"/>
                <w:szCs w:val="22"/>
              </w:rPr>
              <w:t>b) Turno de la solicitud de información</w:t>
            </w:r>
            <w:r w:rsidR="00EB3223" w:rsidRPr="00743B09">
              <w:rPr>
                <w:rFonts w:eastAsia="Palatino Linotype" w:cs="Palatino Linotype"/>
                <w:szCs w:val="22"/>
              </w:rPr>
              <w:tab/>
              <w:t>2</w:t>
            </w:r>
          </w:hyperlink>
        </w:p>
        <w:p w14:paraId="66CDDA26" w14:textId="77777777" w:rsidR="0075097B" w:rsidRPr="00743B09" w:rsidRDefault="003A6691" w:rsidP="00743B09">
          <w:pPr>
            <w:widowControl w:val="0"/>
            <w:tabs>
              <w:tab w:val="right" w:pos="12000"/>
            </w:tabs>
            <w:spacing w:before="60" w:line="240" w:lineRule="auto"/>
            <w:ind w:left="720"/>
            <w:jc w:val="left"/>
            <w:rPr>
              <w:rFonts w:ascii="Arial" w:eastAsia="Arial" w:hAnsi="Arial" w:cs="Arial"/>
              <w:szCs w:val="22"/>
            </w:rPr>
          </w:pPr>
          <w:hyperlink w:anchor="_heading=h.lsfsg6cm00qd">
            <w:r w:rsidR="00EB3223" w:rsidRPr="00743B09">
              <w:rPr>
                <w:rFonts w:eastAsia="Palatino Linotype" w:cs="Palatino Linotype"/>
                <w:szCs w:val="22"/>
              </w:rPr>
              <w:t>c) Respuesta del Sujeto Obligado</w:t>
            </w:r>
            <w:r w:rsidR="00EB3223" w:rsidRPr="00743B09">
              <w:rPr>
                <w:rFonts w:eastAsia="Palatino Linotype" w:cs="Palatino Linotype"/>
                <w:szCs w:val="22"/>
              </w:rPr>
              <w:tab/>
              <w:t>2</w:t>
            </w:r>
          </w:hyperlink>
        </w:p>
        <w:p w14:paraId="0236D8FF" w14:textId="77777777" w:rsidR="0075097B" w:rsidRPr="00743B09" w:rsidRDefault="003A6691" w:rsidP="00743B09">
          <w:pPr>
            <w:widowControl w:val="0"/>
            <w:tabs>
              <w:tab w:val="right" w:pos="12000"/>
            </w:tabs>
            <w:spacing w:before="60" w:line="240" w:lineRule="auto"/>
            <w:ind w:left="360"/>
            <w:jc w:val="left"/>
            <w:rPr>
              <w:rFonts w:ascii="Arial" w:eastAsia="Arial" w:hAnsi="Arial" w:cs="Arial"/>
              <w:szCs w:val="22"/>
            </w:rPr>
          </w:pPr>
          <w:hyperlink w:anchor="_heading=h.cfaqmjfvdavr">
            <w:r w:rsidR="00EB3223" w:rsidRPr="00743B09">
              <w:rPr>
                <w:rFonts w:eastAsia="Palatino Linotype" w:cs="Palatino Linotype"/>
                <w:szCs w:val="22"/>
              </w:rPr>
              <w:t>DEL RECURSO DE REVISIÓN</w:t>
            </w:r>
            <w:r w:rsidR="00EB3223" w:rsidRPr="00743B09">
              <w:rPr>
                <w:rFonts w:eastAsia="Palatino Linotype" w:cs="Palatino Linotype"/>
                <w:szCs w:val="22"/>
              </w:rPr>
              <w:tab/>
              <w:t>3</w:t>
            </w:r>
          </w:hyperlink>
        </w:p>
        <w:p w14:paraId="0D2F656A" w14:textId="77777777" w:rsidR="0075097B" w:rsidRPr="00743B09" w:rsidRDefault="003A6691" w:rsidP="00743B09">
          <w:pPr>
            <w:widowControl w:val="0"/>
            <w:tabs>
              <w:tab w:val="right" w:pos="12000"/>
            </w:tabs>
            <w:spacing w:before="60" w:line="240" w:lineRule="auto"/>
            <w:ind w:left="720"/>
            <w:jc w:val="left"/>
            <w:rPr>
              <w:rFonts w:ascii="Arial" w:eastAsia="Arial" w:hAnsi="Arial" w:cs="Arial"/>
              <w:szCs w:val="22"/>
            </w:rPr>
          </w:pPr>
          <w:hyperlink w:anchor="_heading=h.aun3gwtqwizy">
            <w:r w:rsidR="00EB3223" w:rsidRPr="00743B09">
              <w:rPr>
                <w:rFonts w:eastAsia="Palatino Linotype" w:cs="Palatino Linotype"/>
                <w:szCs w:val="22"/>
              </w:rPr>
              <w:t>a) Interposición del Recurso de Revisión</w:t>
            </w:r>
            <w:r w:rsidR="00EB3223" w:rsidRPr="00743B09">
              <w:rPr>
                <w:rFonts w:eastAsia="Palatino Linotype" w:cs="Palatino Linotype"/>
                <w:szCs w:val="22"/>
              </w:rPr>
              <w:tab/>
              <w:t>3</w:t>
            </w:r>
          </w:hyperlink>
        </w:p>
        <w:p w14:paraId="6E523E84" w14:textId="77777777" w:rsidR="0075097B" w:rsidRPr="00743B09" w:rsidRDefault="003A6691" w:rsidP="00743B09">
          <w:pPr>
            <w:widowControl w:val="0"/>
            <w:tabs>
              <w:tab w:val="right" w:pos="12000"/>
            </w:tabs>
            <w:spacing w:before="60" w:line="240" w:lineRule="auto"/>
            <w:ind w:left="720"/>
            <w:jc w:val="left"/>
            <w:rPr>
              <w:rFonts w:ascii="Arial" w:eastAsia="Arial" w:hAnsi="Arial" w:cs="Arial"/>
              <w:szCs w:val="22"/>
            </w:rPr>
          </w:pPr>
          <w:hyperlink w:anchor="_heading=h.2vc4oypfsht4">
            <w:r w:rsidR="00EB3223" w:rsidRPr="00743B09">
              <w:rPr>
                <w:rFonts w:eastAsia="Palatino Linotype" w:cs="Palatino Linotype"/>
                <w:szCs w:val="22"/>
              </w:rPr>
              <w:t>b) Turno del Recurso de Revisión</w:t>
            </w:r>
            <w:r w:rsidR="00EB3223" w:rsidRPr="00743B09">
              <w:rPr>
                <w:rFonts w:eastAsia="Palatino Linotype" w:cs="Palatino Linotype"/>
                <w:szCs w:val="22"/>
              </w:rPr>
              <w:tab/>
              <w:t>4</w:t>
            </w:r>
          </w:hyperlink>
        </w:p>
        <w:p w14:paraId="643548D3" w14:textId="77777777" w:rsidR="0075097B" w:rsidRPr="00743B09" w:rsidRDefault="003A6691" w:rsidP="00743B09">
          <w:pPr>
            <w:widowControl w:val="0"/>
            <w:tabs>
              <w:tab w:val="right" w:pos="12000"/>
            </w:tabs>
            <w:spacing w:before="60" w:line="240" w:lineRule="auto"/>
            <w:ind w:left="720"/>
            <w:jc w:val="left"/>
            <w:rPr>
              <w:rFonts w:ascii="Arial" w:eastAsia="Arial" w:hAnsi="Arial" w:cs="Arial"/>
              <w:szCs w:val="22"/>
            </w:rPr>
          </w:pPr>
          <w:hyperlink w:anchor="_heading=h.vaxji5ajyym4">
            <w:r w:rsidR="00EB3223" w:rsidRPr="00743B09">
              <w:rPr>
                <w:rFonts w:eastAsia="Palatino Linotype" w:cs="Palatino Linotype"/>
                <w:szCs w:val="22"/>
              </w:rPr>
              <w:t>c) Admisión del Recurso de Revisión</w:t>
            </w:r>
            <w:r w:rsidR="00EB3223" w:rsidRPr="00743B09">
              <w:rPr>
                <w:rFonts w:eastAsia="Palatino Linotype" w:cs="Palatino Linotype"/>
                <w:szCs w:val="22"/>
              </w:rPr>
              <w:tab/>
              <w:t>4</w:t>
            </w:r>
          </w:hyperlink>
        </w:p>
        <w:p w14:paraId="6B37B385" w14:textId="77777777" w:rsidR="0075097B" w:rsidRPr="00743B09" w:rsidRDefault="003A6691" w:rsidP="00743B09">
          <w:pPr>
            <w:widowControl w:val="0"/>
            <w:tabs>
              <w:tab w:val="right" w:pos="12000"/>
            </w:tabs>
            <w:spacing w:before="60" w:line="240" w:lineRule="auto"/>
            <w:ind w:left="720"/>
            <w:jc w:val="left"/>
            <w:rPr>
              <w:rFonts w:ascii="Arial" w:eastAsia="Arial" w:hAnsi="Arial" w:cs="Arial"/>
              <w:szCs w:val="22"/>
            </w:rPr>
          </w:pPr>
          <w:hyperlink w:anchor="_heading=h.hjf4jni2vn5j">
            <w:r w:rsidR="00EB3223" w:rsidRPr="00743B09">
              <w:rPr>
                <w:rFonts w:eastAsia="Palatino Linotype" w:cs="Palatino Linotype"/>
                <w:szCs w:val="22"/>
              </w:rPr>
              <w:t>d) Informe Justificado del Sujeto Obligado</w:t>
            </w:r>
            <w:r w:rsidR="00EB3223" w:rsidRPr="00743B09">
              <w:rPr>
                <w:rFonts w:eastAsia="Palatino Linotype" w:cs="Palatino Linotype"/>
                <w:szCs w:val="22"/>
              </w:rPr>
              <w:tab/>
              <w:t>4</w:t>
            </w:r>
          </w:hyperlink>
        </w:p>
        <w:p w14:paraId="52EEF298" w14:textId="77777777" w:rsidR="0075097B" w:rsidRPr="00743B09" w:rsidRDefault="003A6691" w:rsidP="00743B09">
          <w:pPr>
            <w:widowControl w:val="0"/>
            <w:tabs>
              <w:tab w:val="right" w:pos="12000"/>
            </w:tabs>
            <w:spacing w:before="60" w:line="240" w:lineRule="auto"/>
            <w:ind w:left="720"/>
            <w:jc w:val="left"/>
            <w:rPr>
              <w:rFonts w:ascii="Arial" w:eastAsia="Arial" w:hAnsi="Arial" w:cs="Arial"/>
              <w:szCs w:val="22"/>
            </w:rPr>
          </w:pPr>
          <w:hyperlink w:anchor="_heading=h.dfhcr1qlytlo">
            <w:r w:rsidR="00EB3223" w:rsidRPr="00743B09">
              <w:rPr>
                <w:rFonts w:eastAsia="Palatino Linotype" w:cs="Palatino Linotype"/>
                <w:szCs w:val="22"/>
              </w:rPr>
              <w:t>e) Manifestaciones de la Parte Recurrente</w:t>
            </w:r>
            <w:r w:rsidR="00EB3223" w:rsidRPr="00743B09">
              <w:rPr>
                <w:rFonts w:eastAsia="Palatino Linotype" w:cs="Palatino Linotype"/>
                <w:szCs w:val="22"/>
              </w:rPr>
              <w:tab/>
              <w:t>4</w:t>
            </w:r>
          </w:hyperlink>
        </w:p>
        <w:p w14:paraId="33DDA608" w14:textId="77777777" w:rsidR="0075097B" w:rsidRPr="00743B09" w:rsidRDefault="003A6691" w:rsidP="00743B09">
          <w:pPr>
            <w:widowControl w:val="0"/>
            <w:tabs>
              <w:tab w:val="right" w:pos="12000"/>
            </w:tabs>
            <w:spacing w:before="60" w:line="240" w:lineRule="auto"/>
            <w:ind w:left="720"/>
            <w:jc w:val="left"/>
            <w:rPr>
              <w:rFonts w:ascii="Arial" w:eastAsia="Arial" w:hAnsi="Arial" w:cs="Arial"/>
              <w:szCs w:val="22"/>
            </w:rPr>
          </w:pPr>
          <w:hyperlink w:anchor="_heading=h.s1iafhq5dpdr">
            <w:r w:rsidR="00EB3223" w:rsidRPr="00743B09">
              <w:rPr>
                <w:rFonts w:eastAsia="Palatino Linotype" w:cs="Palatino Linotype"/>
                <w:szCs w:val="22"/>
              </w:rPr>
              <w:t>f) Cierre de instrucción</w:t>
            </w:r>
            <w:r w:rsidR="00EB3223" w:rsidRPr="00743B09">
              <w:rPr>
                <w:rFonts w:eastAsia="Palatino Linotype" w:cs="Palatino Linotype"/>
                <w:szCs w:val="22"/>
              </w:rPr>
              <w:tab/>
              <w:t>5</w:t>
            </w:r>
          </w:hyperlink>
        </w:p>
        <w:p w14:paraId="59376190" w14:textId="77777777" w:rsidR="0075097B" w:rsidRPr="00743B09" w:rsidRDefault="003A6691" w:rsidP="00743B09">
          <w:pPr>
            <w:widowControl w:val="0"/>
            <w:tabs>
              <w:tab w:val="right" w:pos="12000"/>
            </w:tabs>
            <w:spacing w:before="60" w:line="240" w:lineRule="auto"/>
            <w:jc w:val="left"/>
            <w:rPr>
              <w:rFonts w:ascii="Arial" w:eastAsia="Arial" w:hAnsi="Arial" w:cs="Arial"/>
              <w:b/>
              <w:szCs w:val="22"/>
            </w:rPr>
          </w:pPr>
          <w:hyperlink w:anchor="_heading=h.ojxi6tbh8m8">
            <w:r w:rsidR="00EB3223" w:rsidRPr="00743B09">
              <w:rPr>
                <w:rFonts w:eastAsia="Palatino Linotype" w:cs="Palatino Linotype"/>
                <w:szCs w:val="22"/>
              </w:rPr>
              <w:t>CONSIDERANDOS</w:t>
            </w:r>
            <w:r w:rsidR="00EB3223" w:rsidRPr="00743B09">
              <w:rPr>
                <w:rFonts w:eastAsia="Palatino Linotype" w:cs="Palatino Linotype"/>
                <w:szCs w:val="22"/>
              </w:rPr>
              <w:tab/>
              <w:t>5</w:t>
            </w:r>
          </w:hyperlink>
        </w:p>
        <w:p w14:paraId="3CA6B74A" w14:textId="77777777" w:rsidR="0075097B" w:rsidRPr="00743B09" w:rsidRDefault="003A6691" w:rsidP="00743B09">
          <w:pPr>
            <w:widowControl w:val="0"/>
            <w:tabs>
              <w:tab w:val="right" w:pos="12000"/>
            </w:tabs>
            <w:spacing w:before="60" w:line="240" w:lineRule="auto"/>
            <w:ind w:left="360"/>
            <w:jc w:val="left"/>
            <w:rPr>
              <w:rFonts w:ascii="Arial" w:eastAsia="Arial" w:hAnsi="Arial" w:cs="Arial"/>
              <w:szCs w:val="22"/>
            </w:rPr>
          </w:pPr>
          <w:hyperlink w:anchor="_heading=h.xhgaofe4ku0a">
            <w:r w:rsidR="00EB3223" w:rsidRPr="00743B09">
              <w:rPr>
                <w:rFonts w:eastAsia="Palatino Linotype" w:cs="Palatino Linotype"/>
                <w:szCs w:val="22"/>
              </w:rPr>
              <w:t>PRIMERO. Procedibilidad</w:t>
            </w:r>
            <w:r w:rsidR="00EB3223" w:rsidRPr="00743B09">
              <w:rPr>
                <w:rFonts w:eastAsia="Palatino Linotype" w:cs="Palatino Linotype"/>
                <w:szCs w:val="22"/>
              </w:rPr>
              <w:tab/>
              <w:t>5</w:t>
            </w:r>
          </w:hyperlink>
        </w:p>
        <w:p w14:paraId="62D273E3" w14:textId="77777777" w:rsidR="0075097B" w:rsidRPr="00743B09" w:rsidRDefault="003A6691" w:rsidP="00743B09">
          <w:pPr>
            <w:widowControl w:val="0"/>
            <w:tabs>
              <w:tab w:val="right" w:pos="12000"/>
            </w:tabs>
            <w:spacing w:before="60" w:line="240" w:lineRule="auto"/>
            <w:ind w:left="720"/>
            <w:jc w:val="left"/>
            <w:rPr>
              <w:rFonts w:ascii="Arial" w:eastAsia="Arial" w:hAnsi="Arial" w:cs="Arial"/>
              <w:szCs w:val="22"/>
            </w:rPr>
          </w:pPr>
          <w:hyperlink w:anchor="_heading=h.m4o3l9he5aii">
            <w:r w:rsidR="00EB3223" w:rsidRPr="00743B09">
              <w:rPr>
                <w:rFonts w:eastAsia="Palatino Linotype" w:cs="Palatino Linotype"/>
                <w:szCs w:val="22"/>
              </w:rPr>
              <w:t>a) Competencia del Instituto</w:t>
            </w:r>
            <w:r w:rsidR="00EB3223" w:rsidRPr="00743B09">
              <w:rPr>
                <w:rFonts w:eastAsia="Palatino Linotype" w:cs="Palatino Linotype"/>
                <w:szCs w:val="22"/>
              </w:rPr>
              <w:tab/>
              <w:t>5</w:t>
            </w:r>
          </w:hyperlink>
        </w:p>
        <w:p w14:paraId="3EB4BBC8" w14:textId="77777777" w:rsidR="0075097B" w:rsidRPr="00743B09" w:rsidRDefault="003A6691" w:rsidP="00743B09">
          <w:pPr>
            <w:widowControl w:val="0"/>
            <w:tabs>
              <w:tab w:val="right" w:pos="12000"/>
            </w:tabs>
            <w:spacing w:before="60" w:line="240" w:lineRule="auto"/>
            <w:ind w:left="720"/>
            <w:jc w:val="left"/>
            <w:rPr>
              <w:rFonts w:ascii="Arial" w:eastAsia="Arial" w:hAnsi="Arial" w:cs="Arial"/>
              <w:szCs w:val="22"/>
            </w:rPr>
          </w:pPr>
          <w:hyperlink w:anchor="_heading=h.cre43rlcagy7">
            <w:r w:rsidR="00EB3223" w:rsidRPr="00743B09">
              <w:rPr>
                <w:rFonts w:eastAsia="Palatino Linotype" w:cs="Palatino Linotype"/>
                <w:szCs w:val="22"/>
              </w:rPr>
              <w:t>b) Legitimidad de la parte recurrente</w:t>
            </w:r>
            <w:r w:rsidR="00EB3223" w:rsidRPr="00743B09">
              <w:rPr>
                <w:rFonts w:eastAsia="Palatino Linotype" w:cs="Palatino Linotype"/>
                <w:szCs w:val="22"/>
              </w:rPr>
              <w:tab/>
              <w:t>6</w:t>
            </w:r>
          </w:hyperlink>
        </w:p>
        <w:p w14:paraId="3694CC36" w14:textId="77777777" w:rsidR="0075097B" w:rsidRPr="00743B09" w:rsidRDefault="003A6691" w:rsidP="00743B09">
          <w:pPr>
            <w:widowControl w:val="0"/>
            <w:tabs>
              <w:tab w:val="right" w:pos="12000"/>
            </w:tabs>
            <w:spacing w:before="60" w:line="240" w:lineRule="auto"/>
            <w:ind w:left="720"/>
            <w:jc w:val="left"/>
            <w:rPr>
              <w:rFonts w:ascii="Arial" w:eastAsia="Arial" w:hAnsi="Arial" w:cs="Arial"/>
              <w:szCs w:val="22"/>
            </w:rPr>
          </w:pPr>
          <w:hyperlink w:anchor="_heading=h.li4wk0ylhca0">
            <w:r w:rsidR="00EB3223" w:rsidRPr="00743B09">
              <w:rPr>
                <w:rFonts w:eastAsia="Palatino Linotype" w:cs="Palatino Linotype"/>
                <w:szCs w:val="22"/>
              </w:rPr>
              <w:t>c) Plazo para interponer el recurso</w:t>
            </w:r>
            <w:r w:rsidR="00EB3223" w:rsidRPr="00743B09">
              <w:rPr>
                <w:rFonts w:eastAsia="Palatino Linotype" w:cs="Palatino Linotype"/>
                <w:szCs w:val="22"/>
              </w:rPr>
              <w:tab/>
              <w:t>6</w:t>
            </w:r>
          </w:hyperlink>
        </w:p>
        <w:p w14:paraId="056B0452" w14:textId="77777777" w:rsidR="0075097B" w:rsidRPr="00743B09" w:rsidRDefault="003A6691" w:rsidP="00743B09">
          <w:pPr>
            <w:widowControl w:val="0"/>
            <w:tabs>
              <w:tab w:val="right" w:pos="12000"/>
            </w:tabs>
            <w:spacing w:before="60" w:line="240" w:lineRule="auto"/>
            <w:ind w:left="720"/>
            <w:jc w:val="left"/>
            <w:rPr>
              <w:rFonts w:ascii="Arial" w:eastAsia="Arial" w:hAnsi="Arial" w:cs="Arial"/>
              <w:szCs w:val="22"/>
            </w:rPr>
          </w:pPr>
          <w:hyperlink w:anchor="_heading=h.3lji9m9ipj6u">
            <w:r w:rsidR="00EB3223" w:rsidRPr="00743B09">
              <w:rPr>
                <w:rFonts w:eastAsia="Palatino Linotype" w:cs="Palatino Linotype"/>
                <w:szCs w:val="22"/>
              </w:rPr>
              <w:t>d) Causal de procedencia</w:t>
            </w:r>
            <w:r w:rsidR="00EB3223" w:rsidRPr="00743B09">
              <w:rPr>
                <w:rFonts w:eastAsia="Palatino Linotype" w:cs="Palatino Linotype"/>
                <w:szCs w:val="22"/>
              </w:rPr>
              <w:tab/>
              <w:t>6</w:t>
            </w:r>
          </w:hyperlink>
        </w:p>
        <w:p w14:paraId="759162F3" w14:textId="77777777" w:rsidR="0075097B" w:rsidRPr="00743B09" w:rsidRDefault="003A6691" w:rsidP="00743B09">
          <w:pPr>
            <w:widowControl w:val="0"/>
            <w:tabs>
              <w:tab w:val="right" w:pos="12000"/>
            </w:tabs>
            <w:spacing w:before="60" w:line="240" w:lineRule="auto"/>
            <w:ind w:left="720"/>
            <w:jc w:val="left"/>
            <w:rPr>
              <w:rFonts w:ascii="Arial" w:eastAsia="Arial" w:hAnsi="Arial" w:cs="Arial"/>
              <w:szCs w:val="22"/>
            </w:rPr>
          </w:pPr>
          <w:hyperlink w:anchor="_heading=h.bco34gqz7aol">
            <w:r w:rsidR="00EB3223" w:rsidRPr="00743B09">
              <w:rPr>
                <w:rFonts w:eastAsia="Palatino Linotype" w:cs="Palatino Linotype"/>
                <w:szCs w:val="22"/>
              </w:rPr>
              <w:t>e) Requisitos formales para la interposición del recurso</w:t>
            </w:r>
            <w:r w:rsidR="00EB3223" w:rsidRPr="00743B09">
              <w:rPr>
                <w:rFonts w:eastAsia="Palatino Linotype" w:cs="Palatino Linotype"/>
                <w:szCs w:val="22"/>
              </w:rPr>
              <w:tab/>
              <w:t>6</w:t>
            </w:r>
          </w:hyperlink>
        </w:p>
        <w:p w14:paraId="658E0813" w14:textId="77777777" w:rsidR="0075097B" w:rsidRPr="00743B09" w:rsidRDefault="003A6691" w:rsidP="00743B09">
          <w:pPr>
            <w:widowControl w:val="0"/>
            <w:tabs>
              <w:tab w:val="right" w:pos="12000"/>
            </w:tabs>
            <w:spacing w:before="60" w:line="240" w:lineRule="auto"/>
            <w:ind w:left="360"/>
            <w:jc w:val="left"/>
            <w:rPr>
              <w:rFonts w:ascii="Arial" w:eastAsia="Arial" w:hAnsi="Arial" w:cs="Arial"/>
              <w:szCs w:val="22"/>
            </w:rPr>
          </w:pPr>
          <w:hyperlink w:anchor="_heading=h.vb7v78eefgln">
            <w:r w:rsidR="00EB3223" w:rsidRPr="00743B09">
              <w:rPr>
                <w:rFonts w:eastAsia="Palatino Linotype" w:cs="Palatino Linotype"/>
                <w:szCs w:val="22"/>
              </w:rPr>
              <w:t>SEGUNDO. Estudio de Fondo</w:t>
            </w:r>
            <w:r w:rsidR="00EB3223" w:rsidRPr="00743B09">
              <w:rPr>
                <w:rFonts w:eastAsia="Palatino Linotype" w:cs="Palatino Linotype"/>
                <w:szCs w:val="22"/>
              </w:rPr>
              <w:tab/>
              <w:t>7</w:t>
            </w:r>
          </w:hyperlink>
        </w:p>
        <w:p w14:paraId="14D8AE3A" w14:textId="77777777" w:rsidR="0075097B" w:rsidRPr="00743B09" w:rsidRDefault="003A6691" w:rsidP="00743B09">
          <w:pPr>
            <w:widowControl w:val="0"/>
            <w:tabs>
              <w:tab w:val="right" w:pos="12000"/>
            </w:tabs>
            <w:spacing w:before="60" w:line="240" w:lineRule="auto"/>
            <w:ind w:left="720"/>
            <w:jc w:val="left"/>
            <w:rPr>
              <w:rFonts w:ascii="Arial" w:eastAsia="Arial" w:hAnsi="Arial" w:cs="Arial"/>
              <w:szCs w:val="22"/>
            </w:rPr>
          </w:pPr>
          <w:hyperlink w:anchor="_heading=h.f6f83ux8ch00">
            <w:r w:rsidR="00EB3223" w:rsidRPr="00743B09">
              <w:rPr>
                <w:rFonts w:eastAsia="Palatino Linotype" w:cs="Palatino Linotype"/>
                <w:szCs w:val="22"/>
              </w:rPr>
              <w:t>a) Mandato de transparencia y responsabilidad del Sujeto Obligado</w:t>
            </w:r>
            <w:r w:rsidR="00EB3223" w:rsidRPr="00743B09">
              <w:rPr>
                <w:rFonts w:eastAsia="Palatino Linotype" w:cs="Palatino Linotype"/>
                <w:szCs w:val="22"/>
              </w:rPr>
              <w:tab/>
              <w:t>7</w:t>
            </w:r>
          </w:hyperlink>
        </w:p>
        <w:p w14:paraId="57A09B12" w14:textId="77777777" w:rsidR="0075097B" w:rsidRPr="00743B09" w:rsidRDefault="003A6691" w:rsidP="00743B09">
          <w:pPr>
            <w:widowControl w:val="0"/>
            <w:tabs>
              <w:tab w:val="right" w:pos="12000"/>
            </w:tabs>
            <w:spacing w:before="60" w:line="240" w:lineRule="auto"/>
            <w:ind w:left="720"/>
            <w:jc w:val="left"/>
            <w:rPr>
              <w:rFonts w:ascii="Arial" w:eastAsia="Arial" w:hAnsi="Arial" w:cs="Arial"/>
              <w:szCs w:val="22"/>
            </w:rPr>
          </w:pPr>
          <w:hyperlink w:anchor="_heading=h.pqa8bmrtk1ts">
            <w:r w:rsidR="00EB3223" w:rsidRPr="00743B09">
              <w:rPr>
                <w:rFonts w:eastAsia="Palatino Linotype" w:cs="Palatino Linotype"/>
                <w:szCs w:val="22"/>
              </w:rPr>
              <w:t>b)  Controversia a resolver</w:t>
            </w:r>
            <w:r w:rsidR="00EB3223" w:rsidRPr="00743B09">
              <w:rPr>
                <w:rFonts w:eastAsia="Palatino Linotype" w:cs="Palatino Linotype"/>
                <w:szCs w:val="22"/>
              </w:rPr>
              <w:tab/>
              <w:t>10</w:t>
            </w:r>
          </w:hyperlink>
        </w:p>
        <w:p w14:paraId="4769DDA0" w14:textId="77777777" w:rsidR="0075097B" w:rsidRPr="00743B09" w:rsidRDefault="003A6691" w:rsidP="00743B09">
          <w:pPr>
            <w:widowControl w:val="0"/>
            <w:tabs>
              <w:tab w:val="right" w:pos="12000"/>
            </w:tabs>
            <w:spacing w:before="60" w:line="240" w:lineRule="auto"/>
            <w:ind w:left="720"/>
            <w:jc w:val="left"/>
            <w:rPr>
              <w:rFonts w:ascii="Arial" w:eastAsia="Arial" w:hAnsi="Arial" w:cs="Arial"/>
              <w:szCs w:val="22"/>
            </w:rPr>
          </w:pPr>
          <w:hyperlink w:anchor="_heading=h.a515ae4q2h6q">
            <w:r w:rsidR="00EB3223" w:rsidRPr="00743B09">
              <w:rPr>
                <w:rFonts w:eastAsia="Palatino Linotype" w:cs="Palatino Linotype"/>
                <w:szCs w:val="22"/>
              </w:rPr>
              <w:t>c) Estudio de la controversia</w:t>
            </w:r>
            <w:r w:rsidR="00EB3223" w:rsidRPr="00743B09">
              <w:rPr>
                <w:rFonts w:eastAsia="Palatino Linotype" w:cs="Palatino Linotype"/>
                <w:szCs w:val="22"/>
              </w:rPr>
              <w:tab/>
              <w:t>10</w:t>
            </w:r>
          </w:hyperlink>
        </w:p>
        <w:p w14:paraId="43682608" w14:textId="77777777" w:rsidR="0075097B" w:rsidRPr="00743B09" w:rsidRDefault="003A6691" w:rsidP="00743B09">
          <w:pPr>
            <w:widowControl w:val="0"/>
            <w:tabs>
              <w:tab w:val="right" w:pos="12000"/>
            </w:tabs>
            <w:spacing w:before="60" w:line="240" w:lineRule="auto"/>
            <w:ind w:left="720"/>
            <w:jc w:val="left"/>
            <w:rPr>
              <w:rFonts w:ascii="Arial" w:eastAsia="Arial" w:hAnsi="Arial" w:cs="Arial"/>
              <w:szCs w:val="22"/>
            </w:rPr>
          </w:pPr>
          <w:hyperlink w:anchor="_heading=h.1qvytxxi85v3">
            <w:r w:rsidR="00EB3223" w:rsidRPr="00743B09">
              <w:rPr>
                <w:rFonts w:eastAsia="Palatino Linotype" w:cs="Palatino Linotype"/>
                <w:szCs w:val="22"/>
              </w:rPr>
              <w:t>d) Versión pública</w:t>
            </w:r>
            <w:r w:rsidR="00EB3223" w:rsidRPr="00743B09">
              <w:rPr>
                <w:rFonts w:eastAsia="Palatino Linotype" w:cs="Palatino Linotype"/>
                <w:szCs w:val="22"/>
              </w:rPr>
              <w:tab/>
              <w:t>24</w:t>
            </w:r>
          </w:hyperlink>
        </w:p>
        <w:p w14:paraId="0D87D1C2" w14:textId="77777777" w:rsidR="0075097B" w:rsidRPr="00743B09" w:rsidRDefault="003A6691" w:rsidP="00743B09">
          <w:pPr>
            <w:widowControl w:val="0"/>
            <w:tabs>
              <w:tab w:val="right" w:pos="12000"/>
            </w:tabs>
            <w:spacing w:before="60" w:line="240" w:lineRule="auto"/>
            <w:ind w:left="720"/>
            <w:jc w:val="left"/>
            <w:rPr>
              <w:rFonts w:ascii="Arial" w:eastAsia="Arial" w:hAnsi="Arial" w:cs="Arial"/>
              <w:szCs w:val="22"/>
            </w:rPr>
          </w:pPr>
          <w:hyperlink w:anchor="_heading=h.t7yir5qyggmw">
            <w:r w:rsidR="00EB3223" w:rsidRPr="00743B09">
              <w:rPr>
                <w:rFonts w:eastAsia="Palatino Linotype" w:cs="Palatino Linotype"/>
                <w:szCs w:val="22"/>
              </w:rPr>
              <w:t>e) Conclusión</w:t>
            </w:r>
            <w:r w:rsidR="00EB3223" w:rsidRPr="00743B09">
              <w:rPr>
                <w:rFonts w:eastAsia="Palatino Linotype" w:cs="Palatino Linotype"/>
                <w:szCs w:val="22"/>
              </w:rPr>
              <w:tab/>
              <w:t>33</w:t>
            </w:r>
          </w:hyperlink>
        </w:p>
        <w:p w14:paraId="2E86B294" w14:textId="39BE934D" w:rsidR="0075097B" w:rsidRPr="00743B09" w:rsidRDefault="003A6691" w:rsidP="00743B09">
          <w:pPr>
            <w:widowControl w:val="0"/>
            <w:tabs>
              <w:tab w:val="right" w:pos="12000"/>
            </w:tabs>
            <w:spacing w:before="60" w:line="240" w:lineRule="auto"/>
            <w:jc w:val="left"/>
            <w:rPr>
              <w:rFonts w:ascii="Arial" w:eastAsia="Arial" w:hAnsi="Arial" w:cs="Arial"/>
              <w:b/>
              <w:szCs w:val="22"/>
            </w:rPr>
          </w:pPr>
          <w:hyperlink w:anchor="_heading=h.xjxblpgv2etc">
            <w:r w:rsidR="00EB3223" w:rsidRPr="00743B09">
              <w:rPr>
                <w:rFonts w:eastAsia="Palatino Linotype" w:cs="Palatino Linotype"/>
                <w:szCs w:val="22"/>
              </w:rPr>
              <w:t>RESUELVE</w:t>
            </w:r>
            <w:r w:rsidR="00EB3223" w:rsidRPr="00743B09">
              <w:rPr>
                <w:rFonts w:eastAsia="Palatino Linotype" w:cs="Palatino Linotype"/>
                <w:szCs w:val="22"/>
              </w:rPr>
              <w:tab/>
              <w:t>34</w:t>
            </w:r>
          </w:hyperlink>
          <w:r w:rsidR="00EB3223" w:rsidRPr="00743B09">
            <w:fldChar w:fldCharType="end"/>
          </w:r>
        </w:p>
      </w:sdtContent>
    </w:sdt>
    <w:p w14:paraId="007DACF7" w14:textId="77777777" w:rsidR="0075097B" w:rsidRPr="00743B09" w:rsidRDefault="0075097B" w:rsidP="00743B09">
      <w:pPr>
        <w:sectPr w:rsidR="0075097B" w:rsidRPr="00743B09">
          <w:headerReference w:type="default" r:id="rId8"/>
          <w:footerReference w:type="default" r:id="rId9"/>
          <w:headerReference w:type="first" r:id="rId10"/>
          <w:pgSz w:w="12240" w:h="15840"/>
          <w:pgMar w:top="2552" w:right="1608" w:bottom="1135" w:left="1588" w:header="709" w:footer="737" w:gutter="0"/>
          <w:pgNumType w:start="1"/>
          <w:cols w:space="720"/>
          <w:titlePg/>
        </w:sectPr>
      </w:pPr>
    </w:p>
    <w:p w14:paraId="706120FF" w14:textId="7235EB41" w:rsidR="0075097B" w:rsidRPr="00743B09" w:rsidRDefault="00EB3223" w:rsidP="00743B09">
      <w:pPr>
        <w:rPr>
          <w:b/>
        </w:rPr>
      </w:pPr>
      <w:r w:rsidRPr="00743B09">
        <w:lastRenderedPageBreak/>
        <w:t>Resolución del Pleno del Instituto de Transparencia, Acceso a la Información Pública y Protección de Datos Personales del Estado de México y Municipios, con domicilio en Metepec, Estado de México, de</w:t>
      </w:r>
      <w:r w:rsidR="00C4611E" w:rsidRPr="00743B09">
        <w:t>l</w:t>
      </w:r>
      <w:r w:rsidRPr="00743B09">
        <w:t xml:space="preserve"> </w:t>
      </w:r>
      <w:r w:rsidRPr="00743B09">
        <w:rPr>
          <w:b/>
        </w:rPr>
        <w:t>nueve de abril de dos mil veinticinco.</w:t>
      </w:r>
    </w:p>
    <w:p w14:paraId="593BC95A" w14:textId="77777777" w:rsidR="0075097B" w:rsidRPr="00743B09" w:rsidRDefault="0075097B" w:rsidP="00743B09"/>
    <w:p w14:paraId="65A86AAB" w14:textId="7556DD43" w:rsidR="0075097B" w:rsidRPr="00743B09" w:rsidRDefault="00EB3223" w:rsidP="00743B09">
      <w:r w:rsidRPr="00743B09">
        <w:rPr>
          <w:b/>
        </w:rPr>
        <w:t xml:space="preserve">VISTO </w:t>
      </w:r>
      <w:r w:rsidRPr="00743B09">
        <w:t xml:space="preserve">el expediente formado con motivo del Recurso de Revisión </w:t>
      </w:r>
      <w:r w:rsidR="0053128B">
        <w:rPr>
          <w:b/>
        </w:rPr>
        <w:t>026</w:t>
      </w:r>
      <w:r w:rsidRPr="00743B09">
        <w:rPr>
          <w:b/>
        </w:rPr>
        <w:t>42/INFOEM/IP/RR/2025</w:t>
      </w:r>
      <w:r w:rsidRPr="00743B09">
        <w:t xml:space="preserve"> interpuesto por </w:t>
      </w:r>
      <w:r w:rsidRPr="00743B09">
        <w:rPr>
          <w:b/>
        </w:rPr>
        <w:t xml:space="preserve">un particular de forma anónima, </w:t>
      </w:r>
      <w:r w:rsidRPr="00743B09">
        <w:t xml:space="preserve">a quien en lo subsecuente se le denominará </w:t>
      </w:r>
      <w:r w:rsidRPr="00743B09">
        <w:rPr>
          <w:b/>
        </w:rPr>
        <w:t>LA PARTE RECURRENTE</w:t>
      </w:r>
      <w:r w:rsidRPr="00743B09">
        <w:t xml:space="preserve">, en contra de la respuesta emitida por el </w:t>
      </w:r>
      <w:r w:rsidRPr="00743B09">
        <w:rPr>
          <w:b/>
        </w:rPr>
        <w:t>Ayuntamiento de Cocotitlán</w:t>
      </w:r>
      <w:r w:rsidRPr="00743B09">
        <w:t xml:space="preserve">, en adelante </w:t>
      </w:r>
      <w:r w:rsidRPr="00743B09">
        <w:rPr>
          <w:b/>
        </w:rPr>
        <w:t>EL SUJETO OBLIGADO</w:t>
      </w:r>
      <w:r w:rsidRPr="00743B09">
        <w:t>, se emite la presente Resolución con base en los Antecedentes y Considerandos que se exponen a continuación:</w:t>
      </w:r>
    </w:p>
    <w:p w14:paraId="09110E52" w14:textId="77777777" w:rsidR="0075097B" w:rsidRPr="00743B09" w:rsidRDefault="0075097B" w:rsidP="00743B09"/>
    <w:p w14:paraId="6E5F1E5A" w14:textId="77777777" w:rsidR="0075097B" w:rsidRPr="00743B09" w:rsidRDefault="00EB3223" w:rsidP="00743B09">
      <w:pPr>
        <w:pStyle w:val="Ttulo1"/>
      </w:pPr>
      <w:bookmarkStart w:id="1" w:name="_heading=h.4aqk5taky6nz" w:colFirst="0" w:colLast="0"/>
      <w:bookmarkEnd w:id="1"/>
      <w:r w:rsidRPr="00743B09">
        <w:t>ANTECEDENTES</w:t>
      </w:r>
    </w:p>
    <w:p w14:paraId="521C563C" w14:textId="77777777" w:rsidR="0075097B" w:rsidRPr="00743B09" w:rsidRDefault="00EB3223" w:rsidP="00743B09">
      <w:pPr>
        <w:pStyle w:val="Ttulo2"/>
        <w:jc w:val="left"/>
      </w:pPr>
      <w:bookmarkStart w:id="2" w:name="_heading=h.6xya0f44mo0j" w:colFirst="0" w:colLast="0"/>
      <w:bookmarkEnd w:id="2"/>
      <w:r w:rsidRPr="00743B09">
        <w:t>DE LA SOLICITUD DE INFORMACIÓN</w:t>
      </w:r>
    </w:p>
    <w:p w14:paraId="2425193C" w14:textId="77777777" w:rsidR="0075097B" w:rsidRPr="00743B09" w:rsidRDefault="00EB3223" w:rsidP="00743B09">
      <w:pPr>
        <w:pStyle w:val="Ttulo3"/>
      </w:pPr>
      <w:bookmarkStart w:id="3" w:name="_heading=h.dchufofq0une" w:colFirst="0" w:colLast="0"/>
      <w:bookmarkEnd w:id="3"/>
      <w:r w:rsidRPr="00743B09">
        <w:t>a) Solicitud de información</w:t>
      </w:r>
    </w:p>
    <w:p w14:paraId="3E45D9AE" w14:textId="77777777" w:rsidR="0075097B" w:rsidRPr="00743B09" w:rsidRDefault="00EB3223" w:rsidP="00743B09">
      <w:pPr>
        <w:pBdr>
          <w:top w:val="nil"/>
          <w:left w:val="nil"/>
          <w:bottom w:val="nil"/>
          <w:right w:val="nil"/>
          <w:between w:val="nil"/>
        </w:pBdr>
        <w:tabs>
          <w:tab w:val="left" w:pos="0"/>
        </w:tabs>
        <w:rPr>
          <w:i/>
        </w:rPr>
      </w:pPr>
      <w:r w:rsidRPr="00743B09">
        <w:t xml:space="preserve">El </w:t>
      </w:r>
      <w:r w:rsidRPr="00743B09">
        <w:rPr>
          <w:b/>
        </w:rPr>
        <w:t>doce de febrero de dos mil veinticinco</w:t>
      </w:r>
      <w:r w:rsidRPr="00743B09">
        <w:t xml:space="preserve">, </w:t>
      </w:r>
      <w:r w:rsidRPr="00743B09">
        <w:rPr>
          <w:b/>
        </w:rPr>
        <w:t>LA PARTE RECURRENTE</w:t>
      </w:r>
      <w:r w:rsidRPr="00743B09">
        <w:t xml:space="preserve"> presentó una solicitud de acceso a la información pública ante el </w:t>
      </w:r>
      <w:r w:rsidRPr="00743B09">
        <w:rPr>
          <w:b/>
        </w:rPr>
        <w:t>SUJETO OBLIGADO</w:t>
      </w:r>
      <w:r w:rsidRPr="00743B09">
        <w:t>, a través del Sistema de Acceso a la Información Mexiquense (</w:t>
      </w:r>
      <w:r w:rsidRPr="00743B09">
        <w:rPr>
          <w:b/>
        </w:rPr>
        <w:t>SAIMEX</w:t>
      </w:r>
      <w:r w:rsidRPr="00743B09">
        <w:t>). Dicha solicitud quedó registrada con el número de folio</w:t>
      </w:r>
      <w:r w:rsidRPr="00743B09">
        <w:rPr>
          <w:b/>
        </w:rPr>
        <w:t xml:space="preserve"> 00103/COCOTIT/IP/2025</w:t>
      </w:r>
      <w:r w:rsidRPr="00743B09">
        <w:rPr>
          <w:rFonts w:ascii="Arial" w:eastAsia="Arial" w:hAnsi="Arial" w:cs="Arial"/>
          <w:b/>
          <w:sz w:val="15"/>
          <w:szCs w:val="15"/>
        </w:rPr>
        <w:t xml:space="preserve"> </w:t>
      </w:r>
      <w:r w:rsidRPr="00743B09">
        <w:t>y en ella se requirió la siguiente información:</w:t>
      </w:r>
    </w:p>
    <w:p w14:paraId="18BCBB9C" w14:textId="77777777" w:rsidR="0075097B" w:rsidRPr="00743B09" w:rsidRDefault="0075097B" w:rsidP="00743B09">
      <w:pPr>
        <w:pBdr>
          <w:top w:val="nil"/>
          <w:left w:val="nil"/>
          <w:bottom w:val="nil"/>
          <w:right w:val="nil"/>
          <w:between w:val="nil"/>
        </w:pBdr>
        <w:spacing w:line="240" w:lineRule="auto"/>
        <w:ind w:right="567"/>
        <w:rPr>
          <w:i/>
        </w:rPr>
      </w:pPr>
    </w:p>
    <w:p w14:paraId="1B760985" w14:textId="77777777" w:rsidR="0075097B" w:rsidRPr="00743B09" w:rsidRDefault="00EB3223" w:rsidP="00743B09">
      <w:pPr>
        <w:pBdr>
          <w:top w:val="nil"/>
          <w:left w:val="nil"/>
          <w:bottom w:val="nil"/>
          <w:right w:val="nil"/>
          <w:between w:val="nil"/>
        </w:pBdr>
        <w:spacing w:line="240" w:lineRule="auto"/>
        <w:ind w:left="567" w:right="567"/>
        <w:rPr>
          <w:i/>
        </w:rPr>
      </w:pPr>
      <w:r w:rsidRPr="00743B09">
        <w:rPr>
          <w:i/>
        </w:rPr>
        <w:t>“favor de remitir nómina de y rangos de todos y cada uno de los policías municipales del ayuntamiento de Cocotitlán 2025-2027.”</w:t>
      </w:r>
    </w:p>
    <w:p w14:paraId="1A57EF7D" w14:textId="77777777" w:rsidR="0075097B" w:rsidRPr="00743B09" w:rsidRDefault="0075097B" w:rsidP="00743B09">
      <w:pPr>
        <w:tabs>
          <w:tab w:val="left" w:pos="4667"/>
        </w:tabs>
        <w:ind w:left="567" w:right="567"/>
        <w:rPr>
          <w:i/>
        </w:rPr>
      </w:pPr>
    </w:p>
    <w:p w14:paraId="3A8B3C6B" w14:textId="77777777" w:rsidR="0075097B" w:rsidRPr="00743B09" w:rsidRDefault="00EB3223" w:rsidP="00743B09">
      <w:pPr>
        <w:tabs>
          <w:tab w:val="left" w:pos="4667"/>
        </w:tabs>
        <w:ind w:left="567" w:right="567"/>
      </w:pPr>
      <w:r w:rsidRPr="00743B09">
        <w:rPr>
          <w:b/>
        </w:rPr>
        <w:t>Modalidad de entrega</w:t>
      </w:r>
      <w:r w:rsidRPr="00743B09">
        <w:t>: a</w:t>
      </w:r>
      <w:r w:rsidRPr="00743B09">
        <w:rPr>
          <w:i/>
        </w:rPr>
        <w:t xml:space="preserve"> través del </w:t>
      </w:r>
      <w:r w:rsidRPr="00743B09">
        <w:rPr>
          <w:b/>
          <w:i/>
        </w:rPr>
        <w:t>SAIMEX</w:t>
      </w:r>
      <w:r w:rsidRPr="00743B09">
        <w:rPr>
          <w:i/>
        </w:rPr>
        <w:t>.</w:t>
      </w:r>
    </w:p>
    <w:p w14:paraId="0A999C95" w14:textId="77777777" w:rsidR="0075097B" w:rsidRPr="00743B09" w:rsidRDefault="0075097B" w:rsidP="00743B09">
      <w:pPr>
        <w:ind w:right="-28"/>
        <w:rPr>
          <w:i/>
        </w:rPr>
      </w:pPr>
    </w:p>
    <w:p w14:paraId="4218AD16" w14:textId="77777777" w:rsidR="0075097B" w:rsidRPr="00743B09" w:rsidRDefault="00EB3223" w:rsidP="00743B09">
      <w:pPr>
        <w:pStyle w:val="Ttulo3"/>
      </w:pPr>
      <w:bookmarkStart w:id="4" w:name="_heading=h.4oyzemw8v0od" w:colFirst="0" w:colLast="0"/>
      <w:bookmarkEnd w:id="4"/>
      <w:r w:rsidRPr="00743B09">
        <w:lastRenderedPageBreak/>
        <w:t>b) Turno de la solicitud de información</w:t>
      </w:r>
    </w:p>
    <w:p w14:paraId="47B4FE3B" w14:textId="77777777" w:rsidR="0075097B" w:rsidRPr="00743B09" w:rsidRDefault="00EB3223" w:rsidP="00743B09">
      <w:pPr>
        <w:keepNext/>
        <w:keepLines/>
        <w:pBdr>
          <w:top w:val="nil"/>
          <w:left w:val="nil"/>
          <w:bottom w:val="nil"/>
          <w:right w:val="nil"/>
          <w:between w:val="nil"/>
        </w:pBdr>
      </w:pPr>
      <w:bookmarkStart w:id="5" w:name="_heading=h.60bp4bl58eo6" w:colFirst="0" w:colLast="0"/>
      <w:bookmarkEnd w:id="5"/>
      <w:r w:rsidRPr="00743B09">
        <w:t xml:space="preserve">En cumplimiento al artículo 162 de la Ley de Transparencia y Acceso a la Información Pública del Estado de México y Municipios, el </w:t>
      </w:r>
      <w:r w:rsidRPr="00743B09">
        <w:rPr>
          <w:b/>
        </w:rPr>
        <w:t>doce de febrero de dos mil veinticinco</w:t>
      </w:r>
      <w:r w:rsidRPr="00743B09">
        <w:t xml:space="preserve">, el Titular de la Unidad de Transparencia del </w:t>
      </w:r>
      <w:r w:rsidRPr="00743B09">
        <w:rPr>
          <w:b/>
        </w:rPr>
        <w:t>SUJETO OBLIGADO</w:t>
      </w:r>
      <w:r w:rsidRPr="00743B09">
        <w:t xml:space="preserve"> turnó la solicitud de información a los servidores públicos habilitados que estimó pertinente.</w:t>
      </w:r>
    </w:p>
    <w:p w14:paraId="058A0417" w14:textId="77777777" w:rsidR="0075097B" w:rsidRPr="00743B09" w:rsidRDefault="0075097B" w:rsidP="00743B09">
      <w:pPr>
        <w:keepNext/>
        <w:keepLines/>
        <w:pBdr>
          <w:top w:val="nil"/>
          <w:left w:val="nil"/>
          <w:bottom w:val="nil"/>
          <w:right w:val="nil"/>
          <w:between w:val="nil"/>
        </w:pBdr>
        <w:spacing w:line="480" w:lineRule="auto"/>
        <w:jc w:val="left"/>
      </w:pPr>
      <w:bookmarkStart w:id="6" w:name="_heading=h.ns1jvkdmc7xb" w:colFirst="0" w:colLast="0"/>
      <w:bookmarkEnd w:id="6"/>
    </w:p>
    <w:p w14:paraId="1ACB93FD" w14:textId="6239B849" w:rsidR="0075097B" w:rsidRPr="00743B09" w:rsidRDefault="00EB3223" w:rsidP="00743B09">
      <w:pPr>
        <w:pStyle w:val="Ttulo3"/>
      </w:pPr>
      <w:bookmarkStart w:id="7" w:name="_heading=h.lsfsg6cm00qd" w:colFirst="0" w:colLast="0"/>
      <w:bookmarkEnd w:id="7"/>
      <w:r w:rsidRPr="00743B09">
        <w:t>c)</w:t>
      </w:r>
      <w:r w:rsidR="00BB54CF" w:rsidRPr="00743B09">
        <w:t xml:space="preserve"> </w:t>
      </w:r>
      <w:r w:rsidRPr="00743B09">
        <w:t>Respuesta del Sujeto Obligado</w:t>
      </w:r>
    </w:p>
    <w:p w14:paraId="0EF91C24" w14:textId="77777777" w:rsidR="0075097B" w:rsidRPr="00743B09" w:rsidRDefault="00EB3223" w:rsidP="00743B09">
      <w:pPr>
        <w:pBdr>
          <w:top w:val="nil"/>
          <w:left w:val="nil"/>
          <w:bottom w:val="nil"/>
          <w:right w:val="nil"/>
          <w:between w:val="nil"/>
        </w:pBdr>
        <w:rPr>
          <w:i/>
        </w:rPr>
      </w:pPr>
      <w:r w:rsidRPr="00743B09">
        <w:t xml:space="preserve">El </w:t>
      </w:r>
      <w:r w:rsidRPr="00743B09">
        <w:rPr>
          <w:b/>
        </w:rPr>
        <w:t>seis de marzo de dos mil veinticinco</w:t>
      </w:r>
      <w:r w:rsidRPr="00743B09">
        <w:t xml:space="preserve">, el Titular de la Unidad de Transparencia del </w:t>
      </w:r>
      <w:r w:rsidRPr="00743B09">
        <w:rPr>
          <w:b/>
        </w:rPr>
        <w:t>SUJETO OBLIGADO,</w:t>
      </w:r>
      <w:r w:rsidRPr="00743B09">
        <w:t xml:space="preserve"> notificó la siguiente respuesta a través del </w:t>
      </w:r>
      <w:r w:rsidRPr="00743B09">
        <w:rPr>
          <w:b/>
        </w:rPr>
        <w:t>SAIMEX</w:t>
      </w:r>
      <w:r w:rsidRPr="00743B09">
        <w:t>:</w:t>
      </w:r>
    </w:p>
    <w:p w14:paraId="05B952A5" w14:textId="77777777" w:rsidR="0075097B" w:rsidRPr="00743B09" w:rsidRDefault="0075097B" w:rsidP="00743B09">
      <w:pPr>
        <w:pBdr>
          <w:top w:val="nil"/>
          <w:left w:val="nil"/>
          <w:bottom w:val="nil"/>
          <w:right w:val="nil"/>
          <w:between w:val="nil"/>
        </w:pBdr>
        <w:spacing w:line="240" w:lineRule="auto"/>
        <w:ind w:left="567" w:right="567"/>
        <w:rPr>
          <w:i/>
        </w:rPr>
      </w:pPr>
    </w:p>
    <w:p w14:paraId="31A434F2" w14:textId="77777777" w:rsidR="0075097B" w:rsidRPr="00743B09" w:rsidRDefault="00EB3223" w:rsidP="00743B09">
      <w:pPr>
        <w:pBdr>
          <w:top w:val="nil"/>
          <w:left w:val="nil"/>
          <w:bottom w:val="nil"/>
          <w:right w:val="nil"/>
          <w:between w:val="nil"/>
        </w:pBdr>
        <w:spacing w:line="240" w:lineRule="auto"/>
        <w:ind w:left="567" w:right="567"/>
        <w:rPr>
          <w:i/>
        </w:rPr>
      </w:pPr>
      <w:r w:rsidRPr="00743B09">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38FF9D1" w14:textId="77777777" w:rsidR="0075097B" w:rsidRPr="00743B09" w:rsidRDefault="0075097B" w:rsidP="00743B09">
      <w:pPr>
        <w:pBdr>
          <w:top w:val="nil"/>
          <w:left w:val="nil"/>
          <w:bottom w:val="nil"/>
          <w:right w:val="nil"/>
          <w:between w:val="nil"/>
        </w:pBdr>
        <w:spacing w:line="240" w:lineRule="auto"/>
        <w:ind w:left="567" w:right="567"/>
        <w:rPr>
          <w:i/>
        </w:rPr>
      </w:pPr>
    </w:p>
    <w:p w14:paraId="456F687E" w14:textId="77777777" w:rsidR="0075097B" w:rsidRPr="00743B09" w:rsidRDefault="00EB3223" w:rsidP="00743B09">
      <w:pPr>
        <w:pBdr>
          <w:top w:val="nil"/>
          <w:left w:val="nil"/>
          <w:bottom w:val="nil"/>
          <w:right w:val="nil"/>
          <w:between w:val="nil"/>
        </w:pBdr>
        <w:spacing w:line="240" w:lineRule="auto"/>
        <w:ind w:left="567" w:right="567"/>
        <w:rPr>
          <w:b/>
          <w:i/>
        </w:rPr>
      </w:pPr>
      <w:r w:rsidRPr="00743B09">
        <w:rPr>
          <w:i/>
        </w:rPr>
        <w:t xml:space="preserve">De acuerdo a su solicitud número 00103/COCO/IP/2025, en la que solicita “favor de remitir nómina de y rangos de todos y cada uno de los policías municipales del ayuntamiento de Cocotitlán 2025-2027”. Respecto a esta información se remite a usted la nómina de seguridad publica administrativa; Lo que corresponde a la nómina operativa del cuerpo de seguridad pública de este municipio se considera confidencial debido a que en ella se plasma con que fuerza de reacción cuenta este municipio en contra de la delincuencia. Con fundamento en la Ley de Transparencia y Acceso a la Información del Estado de México en su Artículo 143. Para los efectos de esta Ley se considera información confidencial, la clasificada como tal, de manera permanente, por su naturaleza, cuando: I. Se refiera a la información privada y los datos personales concernientes a una persona física o jurídico colectiva identificada o identificable; II. Los secretos bancario, fiduciario, industrial, comercial, fiscal, bursátil y postal, cuya titularidad corresponda a particulares, sujetos de derecho internacional o a sujetos obligados cuando no involucren el ejercicio de recursos públicos; y III. La que presenten los particulares a los sujetos obligados, de conformidad con lo dispuesto por las leyes o los tratados internacionales. La información confidencial no estará sujeta a temporalidad alguna y sólo podrán tener acceso a ella los titulares de la misma, sus representantes y los servidores públicos facultados para ello. No se considerará confidencial la información que se encuentre en los registros públicos o en </w:t>
      </w:r>
      <w:r w:rsidRPr="00743B09">
        <w:rPr>
          <w:i/>
        </w:rPr>
        <w:lastRenderedPageBreak/>
        <w:t>fuentes de acceso público, ni tampoco la que sea considerada por la presente ley como información pública.</w:t>
      </w:r>
      <w:r w:rsidRPr="00743B09">
        <w:t xml:space="preserve"> </w:t>
      </w:r>
    </w:p>
    <w:p w14:paraId="5E0891FF" w14:textId="77777777" w:rsidR="0075097B" w:rsidRPr="00743B09" w:rsidRDefault="0075097B" w:rsidP="00743B09">
      <w:pPr>
        <w:ind w:right="-28"/>
      </w:pPr>
    </w:p>
    <w:p w14:paraId="09D5D6E1" w14:textId="77777777" w:rsidR="0075097B" w:rsidRPr="00743B09" w:rsidRDefault="00EB3223" w:rsidP="00743B09">
      <w:pPr>
        <w:ind w:right="-28"/>
      </w:pPr>
      <w:r w:rsidRPr="00743B09">
        <w:t xml:space="preserve">A su respuesta adjuntó el archivo denominado </w:t>
      </w:r>
      <w:r w:rsidRPr="00743B09">
        <w:rPr>
          <w:b/>
          <w:i/>
        </w:rPr>
        <w:t xml:space="preserve">Respuesta 00103.pdf </w:t>
      </w:r>
      <w:r w:rsidRPr="00743B09">
        <w:t xml:space="preserve">del que se observa lo siguiente: </w:t>
      </w:r>
    </w:p>
    <w:p w14:paraId="6BA13726" w14:textId="15E8EA22" w:rsidR="0075097B" w:rsidRPr="00743B09" w:rsidRDefault="00EB3223" w:rsidP="00743B09">
      <w:pPr>
        <w:numPr>
          <w:ilvl w:val="0"/>
          <w:numId w:val="3"/>
        </w:numPr>
        <w:ind w:right="-28"/>
      </w:pPr>
      <w:r w:rsidRPr="00743B09">
        <w:t xml:space="preserve">Oficio sin número firmado por la Titular de la Tesorería Municipal, donde indica remitir la nómina del área administrativa de seguridad pública, ya que la nómina operativa del cuerpo de seguridad es confidencial. </w:t>
      </w:r>
    </w:p>
    <w:p w14:paraId="22CD9C9A" w14:textId="77777777" w:rsidR="0075097B" w:rsidRPr="00743B09" w:rsidRDefault="00EB3223" w:rsidP="00743B09">
      <w:pPr>
        <w:numPr>
          <w:ilvl w:val="0"/>
          <w:numId w:val="3"/>
        </w:numPr>
        <w:ind w:right="-28"/>
      </w:pPr>
      <w:r w:rsidRPr="00743B09">
        <w:t xml:space="preserve">Tabla correspondiente a la nómina administrativa del primero al quince de febrero de dos mil veinticinco con los registros de dos servidores públicos. </w:t>
      </w:r>
    </w:p>
    <w:p w14:paraId="44FD73B9" w14:textId="77777777" w:rsidR="0075097B" w:rsidRPr="00743B09" w:rsidRDefault="0075097B" w:rsidP="00743B09">
      <w:pPr>
        <w:ind w:right="-28"/>
      </w:pPr>
    </w:p>
    <w:p w14:paraId="4A4D4763" w14:textId="77777777" w:rsidR="0075097B" w:rsidRPr="00743B09" w:rsidRDefault="00EB3223" w:rsidP="00743B09">
      <w:pPr>
        <w:pStyle w:val="Ttulo2"/>
      </w:pPr>
      <w:bookmarkStart w:id="8" w:name="_heading=h.cfaqmjfvdavr" w:colFirst="0" w:colLast="0"/>
      <w:bookmarkEnd w:id="8"/>
      <w:r w:rsidRPr="00743B09">
        <w:t>DEL RECURSO DE REVISIÓN</w:t>
      </w:r>
    </w:p>
    <w:p w14:paraId="11B8903D" w14:textId="77777777" w:rsidR="0075097B" w:rsidRPr="00743B09" w:rsidRDefault="00EB3223" w:rsidP="00743B09">
      <w:pPr>
        <w:pStyle w:val="Ttulo3"/>
      </w:pPr>
      <w:bookmarkStart w:id="9" w:name="_heading=h.aun3gwtqwizy" w:colFirst="0" w:colLast="0"/>
      <w:bookmarkEnd w:id="9"/>
      <w:r w:rsidRPr="00743B09">
        <w:t>a) Interposición del Recurso de Revisión</w:t>
      </w:r>
    </w:p>
    <w:p w14:paraId="70821D85" w14:textId="77777777" w:rsidR="0075097B" w:rsidRPr="00743B09" w:rsidRDefault="00EB3223" w:rsidP="00743B09">
      <w:pPr>
        <w:ind w:right="-28"/>
      </w:pPr>
      <w:r w:rsidRPr="00743B09">
        <w:t xml:space="preserve">El </w:t>
      </w:r>
      <w:r w:rsidRPr="00743B09">
        <w:rPr>
          <w:b/>
        </w:rPr>
        <w:t>ocho de marzo de dos mil veinticinco</w:t>
      </w:r>
      <w:r w:rsidRPr="00743B09">
        <w:t xml:space="preserve"> </w:t>
      </w:r>
      <w:r w:rsidRPr="00743B09">
        <w:rPr>
          <w:b/>
        </w:rPr>
        <w:t>LA PARTE RECURRENTE</w:t>
      </w:r>
      <w:r w:rsidRPr="00743B09">
        <w:t xml:space="preserve"> interpuso el recurso de revisión en contra de la respuesta emitida por el </w:t>
      </w:r>
      <w:r w:rsidRPr="00743B09">
        <w:rPr>
          <w:b/>
        </w:rPr>
        <w:t>SUJETO OBLIGADO</w:t>
      </w:r>
      <w:r w:rsidRPr="00743B09">
        <w:t xml:space="preserve">, mismo que fue registrado en el SAIMEX con el número de expediente </w:t>
      </w:r>
      <w:r w:rsidRPr="00743B09">
        <w:rPr>
          <w:b/>
        </w:rPr>
        <w:t>02642/INFOEM/IP/RR/2025</w:t>
      </w:r>
      <w:r w:rsidRPr="00743B09">
        <w:t>, y en el cual manifestó lo siguiente:</w:t>
      </w:r>
    </w:p>
    <w:p w14:paraId="4AB35B58" w14:textId="77777777" w:rsidR="0075097B" w:rsidRPr="00743B09" w:rsidRDefault="0075097B" w:rsidP="00743B09">
      <w:pPr>
        <w:tabs>
          <w:tab w:val="left" w:pos="4667"/>
        </w:tabs>
        <w:ind w:right="539"/>
      </w:pPr>
      <w:bookmarkStart w:id="10" w:name="_heading=h.tyjcwt" w:colFirst="0" w:colLast="0"/>
      <w:bookmarkEnd w:id="10"/>
    </w:p>
    <w:p w14:paraId="5DC42BB0" w14:textId="77777777" w:rsidR="0075097B" w:rsidRPr="00743B09" w:rsidRDefault="00EB3223" w:rsidP="00743B09">
      <w:pPr>
        <w:tabs>
          <w:tab w:val="left" w:pos="4667"/>
        </w:tabs>
        <w:ind w:left="567" w:right="539"/>
        <w:rPr>
          <w:b/>
        </w:rPr>
      </w:pPr>
      <w:r w:rsidRPr="00743B09">
        <w:rPr>
          <w:b/>
        </w:rPr>
        <w:t>ACTO IMPUGNADO</w:t>
      </w:r>
    </w:p>
    <w:p w14:paraId="49CCEE48" w14:textId="77777777" w:rsidR="0075097B" w:rsidRPr="00743B09" w:rsidRDefault="00EB3223" w:rsidP="00743B09">
      <w:pPr>
        <w:pBdr>
          <w:top w:val="nil"/>
          <w:left w:val="nil"/>
          <w:bottom w:val="nil"/>
          <w:right w:val="nil"/>
          <w:between w:val="nil"/>
        </w:pBdr>
        <w:spacing w:line="240" w:lineRule="auto"/>
        <w:ind w:left="567" w:right="567"/>
        <w:rPr>
          <w:i/>
        </w:rPr>
      </w:pPr>
      <w:r w:rsidRPr="00743B09">
        <w:rPr>
          <w:i/>
        </w:rPr>
        <w:t>"FALTA INFORMACIÓN DE ACUERDO A LO SOLICITADO."</w:t>
      </w:r>
    </w:p>
    <w:p w14:paraId="55DE16D9" w14:textId="77777777" w:rsidR="0075097B" w:rsidRPr="00743B09" w:rsidRDefault="0075097B" w:rsidP="00743B09">
      <w:pPr>
        <w:tabs>
          <w:tab w:val="left" w:pos="4667"/>
        </w:tabs>
        <w:ind w:left="567" w:right="539"/>
        <w:rPr>
          <w:i/>
        </w:rPr>
      </w:pPr>
    </w:p>
    <w:p w14:paraId="441F62BE" w14:textId="77777777" w:rsidR="0075097B" w:rsidRPr="00743B09" w:rsidRDefault="00EB3223" w:rsidP="00743B09">
      <w:pPr>
        <w:tabs>
          <w:tab w:val="left" w:pos="4667"/>
        </w:tabs>
        <w:ind w:left="567" w:right="539"/>
        <w:rPr>
          <w:b/>
        </w:rPr>
      </w:pPr>
      <w:r w:rsidRPr="00743B09">
        <w:rPr>
          <w:b/>
        </w:rPr>
        <w:t>RAZONES O MOTIVOS DE LA INCONFORMIDAD</w:t>
      </w:r>
      <w:r w:rsidRPr="00743B09">
        <w:rPr>
          <w:b/>
        </w:rPr>
        <w:tab/>
      </w:r>
    </w:p>
    <w:p w14:paraId="5E7ACD10" w14:textId="4EFE18EA" w:rsidR="0075097B" w:rsidRPr="00743B09" w:rsidRDefault="00EB3223" w:rsidP="00743B09">
      <w:pPr>
        <w:pBdr>
          <w:top w:val="nil"/>
          <w:left w:val="nil"/>
          <w:bottom w:val="nil"/>
          <w:right w:val="nil"/>
          <w:between w:val="nil"/>
        </w:pBdr>
        <w:spacing w:line="240" w:lineRule="auto"/>
        <w:ind w:left="567" w:right="567"/>
        <w:rPr>
          <w:i/>
        </w:rPr>
      </w:pPr>
      <w:r w:rsidRPr="00743B09">
        <w:rPr>
          <w:i/>
        </w:rPr>
        <w:t>“NO SE ENCUENTRA EN LOS ARCHIVOS QUE SE REMITIERON LOS RANGOS DE LOS POLICIAS Y NO SE ENTREGA LA NOMINA DE TODOS ELLOS SOLO FUNDAMENTA, PERO NO EXISTE DOCUMENTOS O SOPORTE ALGUNO QUE ACREDITEN EL HECHO QUE HAY INFORMACIÓN CONFIDENCIAL.”</w:t>
      </w:r>
      <w:bookmarkStart w:id="11" w:name="_heading=h.tq4qa2167jqz" w:colFirst="0" w:colLast="0"/>
      <w:bookmarkEnd w:id="11"/>
    </w:p>
    <w:p w14:paraId="419EEB16" w14:textId="77777777" w:rsidR="00BB54CF" w:rsidRPr="00743B09" w:rsidRDefault="00BB54CF" w:rsidP="00743B09">
      <w:pPr>
        <w:pBdr>
          <w:top w:val="nil"/>
          <w:left w:val="nil"/>
          <w:bottom w:val="nil"/>
          <w:right w:val="nil"/>
          <w:between w:val="nil"/>
        </w:pBdr>
        <w:spacing w:line="240" w:lineRule="auto"/>
        <w:ind w:left="567" w:right="567"/>
        <w:rPr>
          <w:i/>
        </w:rPr>
      </w:pPr>
    </w:p>
    <w:p w14:paraId="02ADF3C9" w14:textId="77777777" w:rsidR="00BB54CF" w:rsidRPr="00743B09" w:rsidRDefault="00BB54CF" w:rsidP="00743B09">
      <w:pPr>
        <w:pBdr>
          <w:top w:val="nil"/>
          <w:left w:val="nil"/>
          <w:bottom w:val="nil"/>
          <w:right w:val="nil"/>
          <w:between w:val="nil"/>
        </w:pBdr>
        <w:spacing w:line="240" w:lineRule="auto"/>
        <w:ind w:left="567" w:right="567"/>
        <w:rPr>
          <w:i/>
        </w:rPr>
      </w:pPr>
    </w:p>
    <w:p w14:paraId="2819CB63" w14:textId="77777777" w:rsidR="0075097B" w:rsidRPr="00743B09" w:rsidRDefault="00EB3223" w:rsidP="00743B09">
      <w:pPr>
        <w:pStyle w:val="Ttulo3"/>
      </w:pPr>
      <w:bookmarkStart w:id="12" w:name="_heading=h.2vc4oypfsht4" w:colFirst="0" w:colLast="0"/>
      <w:bookmarkEnd w:id="12"/>
      <w:r w:rsidRPr="00743B09">
        <w:lastRenderedPageBreak/>
        <w:t>b) Turno del Recurso de Revisión</w:t>
      </w:r>
    </w:p>
    <w:p w14:paraId="009C6704" w14:textId="77777777" w:rsidR="0075097B" w:rsidRPr="00743B09" w:rsidRDefault="00EB3223" w:rsidP="00743B09">
      <w:r w:rsidRPr="00743B09">
        <w:t>Con fundamento en el artículo 185, fracción I de la Ley de Transparencia y Acceso a la Información Pública del Estado de México y Municipios, el</w:t>
      </w:r>
      <w:r w:rsidRPr="00743B09">
        <w:rPr>
          <w:b/>
        </w:rPr>
        <w:t xml:space="preserve"> ocho de marzo de dos mil veinticinco</w:t>
      </w:r>
      <w:r w:rsidRPr="00743B09">
        <w:t xml:space="preserve"> se turnó el recurso de revisión a través del SAIMEX a la </w:t>
      </w:r>
      <w:r w:rsidRPr="00743B09">
        <w:rPr>
          <w:b/>
        </w:rPr>
        <w:t>Comisionada Sharon Cristina Morales Martínez</w:t>
      </w:r>
      <w:r w:rsidRPr="00743B09">
        <w:t xml:space="preserve">, a efecto de decretar su admisión o desechamiento. </w:t>
      </w:r>
    </w:p>
    <w:p w14:paraId="0B28B3F6" w14:textId="77777777" w:rsidR="0075097B" w:rsidRPr="00743B09" w:rsidRDefault="0075097B" w:rsidP="00743B09"/>
    <w:p w14:paraId="338C9DFD" w14:textId="77777777" w:rsidR="0075097B" w:rsidRPr="00743B09" w:rsidRDefault="00EB3223" w:rsidP="00743B09">
      <w:pPr>
        <w:pStyle w:val="Ttulo3"/>
      </w:pPr>
      <w:bookmarkStart w:id="13" w:name="_heading=h.vaxji5ajyym4" w:colFirst="0" w:colLast="0"/>
      <w:bookmarkEnd w:id="13"/>
      <w:r w:rsidRPr="00743B09">
        <w:t>c) Admisión del Recurso de Revisión</w:t>
      </w:r>
    </w:p>
    <w:p w14:paraId="3495CC0A" w14:textId="77777777" w:rsidR="0075097B" w:rsidRPr="00743B09" w:rsidRDefault="00EB3223" w:rsidP="00743B09">
      <w:r w:rsidRPr="00743B09">
        <w:t xml:space="preserve">El </w:t>
      </w:r>
      <w:r w:rsidRPr="00743B09">
        <w:rPr>
          <w:b/>
        </w:rPr>
        <w:t>once de marzo de dos mil veinticinco</w:t>
      </w:r>
      <w:r w:rsidRPr="00743B09">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71C164A6" w14:textId="77777777" w:rsidR="0075097B" w:rsidRPr="00743B09" w:rsidRDefault="0075097B" w:rsidP="00743B09">
      <w:pPr>
        <w:keepNext/>
        <w:keepLines/>
        <w:pBdr>
          <w:top w:val="nil"/>
          <w:left w:val="nil"/>
          <w:bottom w:val="nil"/>
          <w:right w:val="nil"/>
          <w:between w:val="nil"/>
        </w:pBdr>
        <w:spacing w:line="480" w:lineRule="auto"/>
        <w:jc w:val="left"/>
        <w:rPr>
          <w:b/>
        </w:rPr>
      </w:pPr>
      <w:bookmarkStart w:id="14" w:name="_heading=h.vrngw2pbgmcp" w:colFirst="0" w:colLast="0"/>
      <w:bookmarkEnd w:id="14"/>
    </w:p>
    <w:p w14:paraId="233F21AA" w14:textId="77777777" w:rsidR="0075097B" w:rsidRPr="00743B09" w:rsidRDefault="00EB3223" w:rsidP="00743B09">
      <w:pPr>
        <w:pStyle w:val="Ttulo3"/>
      </w:pPr>
      <w:bookmarkStart w:id="15" w:name="_heading=h.hjf4jni2vn5j" w:colFirst="0" w:colLast="0"/>
      <w:bookmarkEnd w:id="15"/>
      <w:r w:rsidRPr="00743B09">
        <w:t>d) Informe Justificado del Sujeto Obligado</w:t>
      </w:r>
    </w:p>
    <w:p w14:paraId="47FB4176" w14:textId="77777777" w:rsidR="0075097B" w:rsidRPr="00743B09" w:rsidRDefault="00EB3223" w:rsidP="00743B09">
      <w:r w:rsidRPr="00743B09">
        <w:t xml:space="preserve">Una vez transcurrido el plazo para tal efecto, se advierte que </w:t>
      </w:r>
      <w:r w:rsidRPr="00743B09">
        <w:rPr>
          <w:b/>
        </w:rPr>
        <w:t xml:space="preserve">EL SUJETO OBLIGADO </w:t>
      </w:r>
      <w:r w:rsidRPr="00743B09">
        <w:t xml:space="preserve">fue omiso en remitir el Informe Justificado correspondiente. </w:t>
      </w:r>
    </w:p>
    <w:p w14:paraId="0D0B2962" w14:textId="77777777" w:rsidR="0075097B" w:rsidRPr="00743B09" w:rsidRDefault="0075097B" w:rsidP="00743B09"/>
    <w:p w14:paraId="003F3C18" w14:textId="77777777" w:rsidR="0075097B" w:rsidRPr="00743B09" w:rsidRDefault="00EB3223" w:rsidP="00743B09">
      <w:pPr>
        <w:pStyle w:val="Ttulo3"/>
      </w:pPr>
      <w:bookmarkStart w:id="16" w:name="_heading=h.dfhcr1qlytlo" w:colFirst="0" w:colLast="0"/>
      <w:bookmarkEnd w:id="16"/>
      <w:r w:rsidRPr="00743B09">
        <w:t>e) Manifestaciones de la Parte Recurrente</w:t>
      </w:r>
    </w:p>
    <w:p w14:paraId="14F10DA2" w14:textId="77777777" w:rsidR="0075097B" w:rsidRPr="00743B09" w:rsidRDefault="00EB3223" w:rsidP="00743B09">
      <w:r w:rsidRPr="00743B09">
        <w:rPr>
          <w:b/>
        </w:rPr>
        <w:t xml:space="preserve">LA PARTE RECURRENTE </w:t>
      </w:r>
      <w:r w:rsidRPr="00743B09">
        <w:t>no realizó manifestación alguna dentro del término legalmente concedido para tal efecto, ni presentó pruebas o alegatos.</w:t>
      </w:r>
    </w:p>
    <w:p w14:paraId="7EA4BA12" w14:textId="77777777" w:rsidR="0075097B" w:rsidRPr="00743B09" w:rsidRDefault="0075097B" w:rsidP="00743B09"/>
    <w:p w14:paraId="108331EB" w14:textId="77777777" w:rsidR="0075097B" w:rsidRPr="00743B09" w:rsidRDefault="00EB3223" w:rsidP="00743B09">
      <w:pPr>
        <w:pStyle w:val="Ttulo3"/>
      </w:pPr>
      <w:bookmarkStart w:id="17" w:name="_heading=h.s1iafhq5dpdr" w:colFirst="0" w:colLast="0"/>
      <w:bookmarkEnd w:id="17"/>
      <w:r w:rsidRPr="00743B09">
        <w:t>f) Cierre de instrucción</w:t>
      </w:r>
    </w:p>
    <w:p w14:paraId="141EC749" w14:textId="355730C7" w:rsidR="0075097B" w:rsidRPr="00743B09" w:rsidRDefault="00EB3223" w:rsidP="00743B09">
      <w:bookmarkStart w:id="18" w:name="_heading=h.3j2qqm3" w:colFirst="0" w:colLast="0"/>
      <w:bookmarkEnd w:id="18"/>
      <w:r w:rsidRPr="00743B09">
        <w:t xml:space="preserve">Al no existir diligencias pendientes por desahogar, el </w:t>
      </w:r>
      <w:r w:rsidRPr="00743B09">
        <w:rPr>
          <w:b/>
        </w:rPr>
        <w:t>ocho de abril</w:t>
      </w:r>
      <w:r w:rsidRPr="00743B09">
        <w:t xml:space="preserve"> </w:t>
      </w:r>
      <w:bookmarkStart w:id="19" w:name="_GoBack"/>
      <w:bookmarkEnd w:id="19"/>
      <w:r w:rsidRPr="00743B09">
        <w:rPr>
          <w:b/>
        </w:rPr>
        <w:t>de dos mil veinticinco</w:t>
      </w:r>
      <w:r w:rsidRPr="00743B09">
        <w:t xml:space="preserve"> la </w:t>
      </w:r>
      <w:r w:rsidRPr="00743B09">
        <w:rPr>
          <w:b/>
        </w:rPr>
        <w:t xml:space="preserve">Comisionada Sharon Cristina Morales Martínez </w:t>
      </w:r>
      <w:r w:rsidRPr="00743B09">
        <w:t xml:space="preserve">acordó el cierre de instrucción y la remisión </w:t>
      </w:r>
      <w:r w:rsidRPr="00743B09">
        <w:lastRenderedPageBreak/>
        <w:t>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7BCFF6DC" w14:textId="77777777" w:rsidR="0075097B" w:rsidRPr="00743B09" w:rsidRDefault="0075097B" w:rsidP="00743B09"/>
    <w:p w14:paraId="743E50BA" w14:textId="77777777" w:rsidR="0075097B" w:rsidRPr="00743B09" w:rsidRDefault="00EB3223" w:rsidP="00743B09">
      <w:pPr>
        <w:pStyle w:val="Ttulo1"/>
      </w:pPr>
      <w:bookmarkStart w:id="20" w:name="_heading=h.ojxi6tbh8m8" w:colFirst="0" w:colLast="0"/>
      <w:bookmarkEnd w:id="20"/>
      <w:r w:rsidRPr="00743B09">
        <w:t>CONSIDERANDOS</w:t>
      </w:r>
    </w:p>
    <w:p w14:paraId="15ABE4B0" w14:textId="77777777" w:rsidR="0075097B" w:rsidRPr="00743B09" w:rsidRDefault="0075097B" w:rsidP="00743B09">
      <w:pPr>
        <w:ind w:right="-93"/>
        <w:rPr>
          <w:b/>
        </w:rPr>
      </w:pPr>
    </w:p>
    <w:p w14:paraId="7E70E3D0" w14:textId="77777777" w:rsidR="0075097B" w:rsidRPr="00743B09" w:rsidRDefault="00EB3223" w:rsidP="00743B09">
      <w:pPr>
        <w:pStyle w:val="Ttulo2"/>
        <w:jc w:val="left"/>
      </w:pPr>
      <w:bookmarkStart w:id="21" w:name="_heading=h.xhgaofe4ku0a" w:colFirst="0" w:colLast="0"/>
      <w:bookmarkEnd w:id="21"/>
      <w:r w:rsidRPr="00743B09">
        <w:t>PRIMERO. Procedibilidad</w:t>
      </w:r>
    </w:p>
    <w:p w14:paraId="4BE0A563" w14:textId="77777777" w:rsidR="0075097B" w:rsidRPr="00743B09" w:rsidRDefault="00EB3223" w:rsidP="00743B09">
      <w:pPr>
        <w:pStyle w:val="Ttulo3"/>
      </w:pPr>
      <w:bookmarkStart w:id="22" w:name="_heading=h.m4o3l9he5aii" w:colFirst="0" w:colLast="0"/>
      <w:bookmarkEnd w:id="22"/>
      <w:r w:rsidRPr="00743B09">
        <w:t>a) Competencia del Instituto</w:t>
      </w:r>
    </w:p>
    <w:p w14:paraId="0435A681" w14:textId="77777777" w:rsidR="0075097B" w:rsidRPr="00743B09" w:rsidRDefault="00EB3223" w:rsidP="00743B09">
      <w:r w:rsidRPr="00743B09">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artículos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194146AF" w14:textId="77777777" w:rsidR="0075097B" w:rsidRPr="00743B09" w:rsidRDefault="0075097B" w:rsidP="00743B09"/>
    <w:p w14:paraId="7841544E" w14:textId="77777777" w:rsidR="0075097B" w:rsidRPr="00743B09" w:rsidRDefault="00EB3223" w:rsidP="00743B09">
      <w:pPr>
        <w:pStyle w:val="Ttulo3"/>
      </w:pPr>
      <w:bookmarkStart w:id="23" w:name="_heading=h.cre43rlcagy7" w:colFirst="0" w:colLast="0"/>
      <w:bookmarkEnd w:id="23"/>
      <w:r w:rsidRPr="00743B09">
        <w:t>b) Legitimidad de la parte recurrente</w:t>
      </w:r>
    </w:p>
    <w:p w14:paraId="7D4C1F08" w14:textId="77777777" w:rsidR="0075097B" w:rsidRPr="00743B09" w:rsidRDefault="00EB3223" w:rsidP="00743B09">
      <w:r w:rsidRPr="00743B09">
        <w:t>El recurso de revisión fue interpuesto por parte legítima, ya que se presentó por la misma persona que formuló la solicitud de acceso a la Información Pública,</w:t>
      </w:r>
      <w:r w:rsidRPr="00743B09">
        <w:rPr>
          <w:b/>
        </w:rPr>
        <w:t xml:space="preserve"> </w:t>
      </w:r>
      <w:r w:rsidRPr="00743B09">
        <w:t>debido a que los datos de acceso</w:t>
      </w:r>
      <w:r w:rsidRPr="00743B09">
        <w:rPr>
          <w:b/>
        </w:rPr>
        <w:t xml:space="preserve"> SAIMEX</w:t>
      </w:r>
      <w:r w:rsidRPr="00743B09">
        <w:t xml:space="preserve"> son personales e irrepetibles.</w:t>
      </w:r>
    </w:p>
    <w:p w14:paraId="6C4F68EB" w14:textId="77777777" w:rsidR="0075097B" w:rsidRPr="00743B09" w:rsidRDefault="0075097B" w:rsidP="00743B09"/>
    <w:p w14:paraId="3D78F8AE" w14:textId="77777777" w:rsidR="0075097B" w:rsidRPr="00743B09" w:rsidRDefault="00EB3223" w:rsidP="00743B09">
      <w:pPr>
        <w:pStyle w:val="Ttulo3"/>
      </w:pPr>
      <w:bookmarkStart w:id="24" w:name="_heading=h.li4wk0ylhca0" w:colFirst="0" w:colLast="0"/>
      <w:bookmarkEnd w:id="24"/>
      <w:r w:rsidRPr="00743B09">
        <w:lastRenderedPageBreak/>
        <w:t>c) Plazo para interponer el recurso</w:t>
      </w:r>
    </w:p>
    <w:p w14:paraId="64E9080C" w14:textId="77777777" w:rsidR="0075097B" w:rsidRPr="00743B09" w:rsidRDefault="00EB3223" w:rsidP="00743B09">
      <w:bookmarkStart w:id="25" w:name="_heading=h.2bn6wsx" w:colFirst="0" w:colLast="0"/>
      <w:bookmarkEnd w:id="25"/>
      <w:r w:rsidRPr="00743B09">
        <w:rPr>
          <w:b/>
        </w:rPr>
        <w:t>EL SUJETO OBLIGADO</w:t>
      </w:r>
      <w:r w:rsidRPr="00743B09">
        <w:t xml:space="preserve"> notificó la respuesta a la solicitud de acceso a la Información Pública el </w:t>
      </w:r>
      <w:r w:rsidRPr="00743B09">
        <w:rPr>
          <w:b/>
        </w:rPr>
        <w:t xml:space="preserve">seis de marzo de dos mil veinticinco </w:t>
      </w:r>
      <w:r w:rsidRPr="00743B09">
        <w:t xml:space="preserve">y el recurso que nos ocupa se interpuso el </w:t>
      </w:r>
      <w:r w:rsidRPr="00743B09">
        <w:rPr>
          <w:b/>
        </w:rPr>
        <w:t>ocho de marzo de dos mil veinticinco</w:t>
      </w:r>
      <w:r w:rsidRPr="00743B09">
        <w:t>; por lo tanto, éste se encuentra dentro del margen temporal previsto en el artículo 178 de la Ley de Transparencia y Acceso a la Información Pública del Estado de México y Municipios.</w:t>
      </w:r>
    </w:p>
    <w:p w14:paraId="5AE69038" w14:textId="77777777" w:rsidR="0075097B" w:rsidRPr="00743B09" w:rsidRDefault="0075097B" w:rsidP="00743B09">
      <w:bookmarkStart w:id="26" w:name="_heading=h.uko06592z2jp" w:colFirst="0" w:colLast="0"/>
      <w:bookmarkEnd w:id="26"/>
    </w:p>
    <w:p w14:paraId="5A37A8B5" w14:textId="77777777" w:rsidR="0075097B" w:rsidRPr="00743B09" w:rsidRDefault="00EB3223" w:rsidP="00743B09">
      <w:pPr>
        <w:pStyle w:val="Ttulo3"/>
      </w:pPr>
      <w:bookmarkStart w:id="27" w:name="_heading=h.3lji9m9ipj6u" w:colFirst="0" w:colLast="0"/>
      <w:bookmarkEnd w:id="27"/>
      <w:r w:rsidRPr="00743B09">
        <w:t xml:space="preserve">d) Causal de procedencia </w:t>
      </w:r>
    </w:p>
    <w:p w14:paraId="245004F7" w14:textId="77777777" w:rsidR="0075097B" w:rsidRPr="00743B09" w:rsidRDefault="00EB3223" w:rsidP="00743B09">
      <w:r w:rsidRPr="00743B09">
        <w:t>Resulta procedente la interposición del recurso de revisión, ya que se actualizan las causales de procedencia señaladas en el artículo 179, fracciones II y V de la Ley de Transparencia y Acceso a la Información Pública del Estado de México y Municipios.</w:t>
      </w:r>
    </w:p>
    <w:p w14:paraId="2CDB5013" w14:textId="77777777" w:rsidR="0075097B" w:rsidRPr="00743B09" w:rsidRDefault="0075097B" w:rsidP="00743B09">
      <w:pPr>
        <w:rPr>
          <w:b/>
        </w:rPr>
      </w:pPr>
    </w:p>
    <w:p w14:paraId="749BA24B" w14:textId="77777777" w:rsidR="0075097B" w:rsidRPr="00743B09" w:rsidRDefault="00EB3223" w:rsidP="00743B09">
      <w:pPr>
        <w:pStyle w:val="Ttulo3"/>
      </w:pPr>
      <w:bookmarkStart w:id="28" w:name="_heading=h.bco34gqz7aol" w:colFirst="0" w:colLast="0"/>
      <w:bookmarkEnd w:id="28"/>
      <w:r w:rsidRPr="00743B09">
        <w:t>e) Requisitos formales para la interposición del recurso</w:t>
      </w:r>
    </w:p>
    <w:p w14:paraId="11AE1CB2" w14:textId="77777777" w:rsidR="0075097B" w:rsidRPr="00743B09" w:rsidRDefault="00EB3223" w:rsidP="00743B09">
      <w:r w:rsidRPr="00743B09">
        <w:t xml:space="preserve">Es importante mencionar que, de la revisión del expediente electrónico del </w:t>
      </w:r>
      <w:r w:rsidRPr="00743B09">
        <w:rPr>
          <w:b/>
        </w:rPr>
        <w:t>SAIMEX</w:t>
      </w:r>
      <w:r w:rsidRPr="00743B09">
        <w:t xml:space="preserve">, se observa que </w:t>
      </w:r>
      <w:r w:rsidRPr="00743B09">
        <w:rPr>
          <w:b/>
        </w:rPr>
        <w:t>LA PARTE RECURRENTE</w:t>
      </w:r>
      <w:r w:rsidRPr="00743B09">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743B09">
        <w:rPr>
          <w:b/>
          <w:u w:val="single"/>
        </w:rPr>
        <w:t>el nombre no es un requisito indispensable</w:t>
      </w:r>
      <w:r w:rsidRPr="00743B09">
        <w:t xml:space="preserve"> para que las y los ciudadanos ejerzan el derecho de acceso a la información pública. </w:t>
      </w:r>
    </w:p>
    <w:p w14:paraId="5F8F9F78" w14:textId="77777777" w:rsidR="0075097B" w:rsidRPr="00743B09" w:rsidRDefault="0075097B" w:rsidP="00743B09"/>
    <w:p w14:paraId="23E5B163" w14:textId="77777777" w:rsidR="0075097B" w:rsidRPr="00743B09" w:rsidRDefault="00EB3223" w:rsidP="00743B09">
      <w:r w:rsidRPr="00743B09">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w:t>
      </w:r>
      <w:r w:rsidRPr="00743B09">
        <w:lastRenderedPageBreak/>
        <w:t xml:space="preserve">establece que cuando el recurso de revisión se interponga de manera electrónica no será indispensable que contenga algunos requisitos, entre ellos, el nombre de </w:t>
      </w:r>
      <w:r w:rsidRPr="00743B09">
        <w:rPr>
          <w:b/>
        </w:rPr>
        <w:t>LA PARTE RECURRENTE</w:t>
      </w:r>
      <w:r w:rsidRPr="00743B09">
        <w:t xml:space="preserve">; por lo que, en el presente caso, al haber sido presentado el recurso de revisión vía </w:t>
      </w:r>
      <w:r w:rsidRPr="00743B09">
        <w:rPr>
          <w:b/>
        </w:rPr>
        <w:t>SAIMEX</w:t>
      </w:r>
      <w:r w:rsidRPr="00743B09">
        <w:t>, dicho requisito resulta innecesario.</w:t>
      </w:r>
    </w:p>
    <w:p w14:paraId="3DD2E0EE" w14:textId="77777777" w:rsidR="0075097B" w:rsidRPr="00743B09" w:rsidRDefault="0075097B" w:rsidP="00743B09"/>
    <w:p w14:paraId="5E0BEC9E" w14:textId="77777777" w:rsidR="0075097B" w:rsidRPr="00743B09" w:rsidRDefault="00EB3223" w:rsidP="00743B09">
      <w:pPr>
        <w:pStyle w:val="Ttulo2"/>
      </w:pPr>
      <w:bookmarkStart w:id="29" w:name="_heading=h.vb7v78eefgln" w:colFirst="0" w:colLast="0"/>
      <w:bookmarkEnd w:id="29"/>
      <w:r w:rsidRPr="00743B09">
        <w:t>SEGUNDO. Estudio de Fondo</w:t>
      </w:r>
    </w:p>
    <w:p w14:paraId="0A81414B" w14:textId="77777777" w:rsidR="0075097B" w:rsidRPr="00743B09" w:rsidRDefault="00EB3223" w:rsidP="00743B09">
      <w:pPr>
        <w:pStyle w:val="Ttulo3"/>
      </w:pPr>
      <w:bookmarkStart w:id="30" w:name="_heading=h.f6f83ux8ch00" w:colFirst="0" w:colLast="0"/>
      <w:bookmarkEnd w:id="30"/>
      <w:r w:rsidRPr="00743B09">
        <w:t>a) Mandato de transparencia y responsabilidad del Sujeto Obligado</w:t>
      </w:r>
    </w:p>
    <w:p w14:paraId="1BB29032" w14:textId="77777777" w:rsidR="0075097B" w:rsidRPr="00743B09" w:rsidRDefault="00EB3223" w:rsidP="00743B09">
      <w:r w:rsidRPr="00743B09">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2C529F9D" w14:textId="77777777" w:rsidR="0075097B" w:rsidRPr="00743B09" w:rsidRDefault="0075097B" w:rsidP="00743B09"/>
    <w:p w14:paraId="78C20E84" w14:textId="77777777" w:rsidR="0075097B" w:rsidRPr="00743B09" w:rsidRDefault="00EB3223" w:rsidP="00743B09">
      <w:pPr>
        <w:pBdr>
          <w:top w:val="nil"/>
          <w:left w:val="nil"/>
          <w:bottom w:val="nil"/>
          <w:right w:val="nil"/>
          <w:between w:val="nil"/>
        </w:pBdr>
        <w:spacing w:line="240" w:lineRule="auto"/>
        <w:ind w:left="567" w:right="567" w:firstLine="567"/>
        <w:rPr>
          <w:b/>
          <w:i/>
        </w:rPr>
      </w:pPr>
      <w:r w:rsidRPr="00743B09">
        <w:rPr>
          <w:b/>
          <w:i/>
        </w:rPr>
        <w:t>Constitución Política de los Estados Unidos Mexicanos</w:t>
      </w:r>
    </w:p>
    <w:p w14:paraId="47B3DEE8" w14:textId="77777777" w:rsidR="0075097B" w:rsidRPr="00743B09" w:rsidRDefault="00EB3223" w:rsidP="00743B09">
      <w:pPr>
        <w:pBdr>
          <w:top w:val="nil"/>
          <w:left w:val="nil"/>
          <w:bottom w:val="nil"/>
          <w:right w:val="nil"/>
          <w:between w:val="nil"/>
        </w:pBdr>
        <w:spacing w:line="240" w:lineRule="auto"/>
        <w:ind w:left="567" w:right="567" w:firstLine="567"/>
        <w:rPr>
          <w:b/>
          <w:i/>
        </w:rPr>
      </w:pPr>
      <w:r w:rsidRPr="00743B09">
        <w:rPr>
          <w:i/>
        </w:rPr>
        <w:t>“</w:t>
      </w:r>
      <w:r w:rsidRPr="00743B09">
        <w:rPr>
          <w:b/>
          <w:i/>
        </w:rPr>
        <w:t>Artículo 6.</w:t>
      </w:r>
    </w:p>
    <w:p w14:paraId="5A7B34FC" w14:textId="77777777" w:rsidR="0075097B" w:rsidRPr="00743B09" w:rsidRDefault="00EB3223" w:rsidP="00743B09">
      <w:pPr>
        <w:pBdr>
          <w:top w:val="nil"/>
          <w:left w:val="nil"/>
          <w:bottom w:val="nil"/>
          <w:right w:val="nil"/>
          <w:between w:val="nil"/>
        </w:pBdr>
        <w:spacing w:line="240" w:lineRule="auto"/>
        <w:ind w:left="567" w:right="567" w:firstLine="567"/>
        <w:rPr>
          <w:i/>
        </w:rPr>
      </w:pPr>
      <w:r w:rsidRPr="00743B09">
        <w:rPr>
          <w:i/>
        </w:rPr>
        <w:t>(…)</w:t>
      </w:r>
    </w:p>
    <w:p w14:paraId="43AC850F" w14:textId="77777777" w:rsidR="0075097B" w:rsidRPr="00743B09" w:rsidRDefault="00EB3223" w:rsidP="00743B09">
      <w:pPr>
        <w:pBdr>
          <w:top w:val="nil"/>
          <w:left w:val="nil"/>
          <w:bottom w:val="nil"/>
          <w:right w:val="nil"/>
          <w:between w:val="nil"/>
        </w:pBdr>
        <w:spacing w:line="240" w:lineRule="auto"/>
        <w:ind w:left="567" w:right="567" w:firstLine="567"/>
        <w:rPr>
          <w:i/>
        </w:rPr>
      </w:pPr>
      <w:r w:rsidRPr="00743B09">
        <w:rPr>
          <w:i/>
        </w:rPr>
        <w:t>Para efectos de lo dispuesto en el presente artículo se observará lo siguiente:</w:t>
      </w:r>
    </w:p>
    <w:p w14:paraId="4C795E4D" w14:textId="77777777" w:rsidR="0075097B" w:rsidRPr="00743B09" w:rsidRDefault="00EB3223" w:rsidP="00743B09">
      <w:pPr>
        <w:pBdr>
          <w:top w:val="nil"/>
          <w:left w:val="nil"/>
          <w:bottom w:val="nil"/>
          <w:right w:val="nil"/>
          <w:between w:val="nil"/>
        </w:pBdr>
        <w:spacing w:line="240" w:lineRule="auto"/>
        <w:ind w:left="567" w:right="567" w:firstLine="567"/>
        <w:rPr>
          <w:i/>
        </w:rPr>
      </w:pPr>
      <w:r w:rsidRPr="00743B09">
        <w:rPr>
          <w:i/>
        </w:rPr>
        <w:t>A. Para el ejercicio del derecho de acceso a la información, la Federación y las entidades federativas, en el ámbito de sus respectivas competencias, se regirán por los siguientes principios y bases:</w:t>
      </w:r>
    </w:p>
    <w:p w14:paraId="67237F3F" w14:textId="77777777" w:rsidR="0075097B" w:rsidRPr="00743B09" w:rsidRDefault="00EB3223" w:rsidP="00743B09">
      <w:pPr>
        <w:pBdr>
          <w:top w:val="nil"/>
          <w:left w:val="nil"/>
          <w:bottom w:val="nil"/>
          <w:right w:val="nil"/>
          <w:between w:val="nil"/>
        </w:pBdr>
        <w:spacing w:line="240" w:lineRule="auto"/>
        <w:ind w:left="567" w:right="567" w:firstLine="567"/>
        <w:rPr>
          <w:i/>
        </w:rPr>
      </w:pPr>
      <w:r w:rsidRPr="00743B09">
        <w:rPr>
          <w:i/>
        </w:rPr>
        <w:t xml:space="preserve">I. </w:t>
      </w:r>
      <w:r w:rsidRPr="00743B09">
        <w:rPr>
          <w:i/>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7D57478" w14:textId="77777777" w:rsidR="0075097B" w:rsidRPr="00743B09" w:rsidRDefault="0075097B" w:rsidP="00743B09">
      <w:pPr>
        <w:pBdr>
          <w:top w:val="nil"/>
          <w:left w:val="nil"/>
          <w:bottom w:val="nil"/>
          <w:right w:val="nil"/>
          <w:between w:val="nil"/>
        </w:pBdr>
        <w:spacing w:line="240" w:lineRule="auto"/>
        <w:ind w:left="567" w:right="567" w:firstLine="567"/>
        <w:rPr>
          <w:i/>
        </w:rPr>
      </w:pPr>
    </w:p>
    <w:p w14:paraId="32E1FE9B" w14:textId="77777777" w:rsidR="0075097B" w:rsidRPr="00743B09" w:rsidRDefault="00EB3223" w:rsidP="00743B09">
      <w:pPr>
        <w:pBdr>
          <w:top w:val="nil"/>
          <w:left w:val="nil"/>
          <w:bottom w:val="nil"/>
          <w:right w:val="nil"/>
          <w:between w:val="nil"/>
        </w:pBdr>
        <w:spacing w:line="240" w:lineRule="auto"/>
        <w:ind w:left="567" w:right="567" w:firstLine="567"/>
        <w:rPr>
          <w:b/>
          <w:i/>
        </w:rPr>
      </w:pPr>
      <w:r w:rsidRPr="00743B09">
        <w:rPr>
          <w:b/>
          <w:i/>
        </w:rPr>
        <w:t>Constitución Política del Estado Libre y Soberano de México</w:t>
      </w:r>
    </w:p>
    <w:p w14:paraId="22F14013" w14:textId="77777777" w:rsidR="0075097B" w:rsidRPr="00743B09" w:rsidRDefault="00EB3223" w:rsidP="00743B09">
      <w:pPr>
        <w:pBdr>
          <w:top w:val="nil"/>
          <w:left w:val="nil"/>
          <w:bottom w:val="nil"/>
          <w:right w:val="nil"/>
          <w:between w:val="nil"/>
        </w:pBdr>
        <w:spacing w:line="240" w:lineRule="auto"/>
        <w:ind w:left="567" w:right="567" w:firstLine="567"/>
        <w:rPr>
          <w:b/>
          <w:i/>
        </w:rPr>
      </w:pPr>
      <w:r w:rsidRPr="00743B09">
        <w:rPr>
          <w:i/>
        </w:rPr>
        <w:t>“</w:t>
      </w:r>
      <w:r w:rsidRPr="00743B09">
        <w:rPr>
          <w:b/>
          <w:i/>
        </w:rPr>
        <w:t xml:space="preserve">Artículo 5.- </w:t>
      </w:r>
    </w:p>
    <w:p w14:paraId="1C33E27C" w14:textId="77777777" w:rsidR="0075097B" w:rsidRPr="00743B09" w:rsidRDefault="00EB3223" w:rsidP="00743B09">
      <w:pPr>
        <w:pBdr>
          <w:top w:val="nil"/>
          <w:left w:val="nil"/>
          <w:bottom w:val="nil"/>
          <w:right w:val="nil"/>
          <w:between w:val="nil"/>
        </w:pBdr>
        <w:spacing w:line="240" w:lineRule="auto"/>
        <w:ind w:left="567" w:right="567" w:firstLine="567"/>
        <w:rPr>
          <w:i/>
        </w:rPr>
      </w:pPr>
      <w:r w:rsidRPr="00743B09">
        <w:rPr>
          <w:i/>
        </w:rPr>
        <w:t>(…)</w:t>
      </w:r>
    </w:p>
    <w:p w14:paraId="0D8470C3" w14:textId="77777777" w:rsidR="0075097B" w:rsidRPr="00743B09" w:rsidRDefault="00EB3223" w:rsidP="00743B09">
      <w:pPr>
        <w:pBdr>
          <w:top w:val="nil"/>
          <w:left w:val="nil"/>
          <w:bottom w:val="nil"/>
          <w:right w:val="nil"/>
          <w:between w:val="nil"/>
        </w:pBdr>
        <w:spacing w:line="240" w:lineRule="auto"/>
        <w:ind w:left="567" w:right="567" w:firstLine="567"/>
        <w:rPr>
          <w:i/>
        </w:rPr>
      </w:pPr>
      <w:r w:rsidRPr="00743B09">
        <w:rPr>
          <w:i/>
        </w:rPr>
        <w:lastRenderedPageBreak/>
        <w:t>El derecho a la información será garantizado por el Estado. La ley establecerá las previsiones que permitan asegurar la protección, el respeto y la difusión de este derecho.</w:t>
      </w:r>
    </w:p>
    <w:p w14:paraId="2CE6A7C8" w14:textId="77777777" w:rsidR="0075097B" w:rsidRPr="00743B09" w:rsidRDefault="00EB3223" w:rsidP="00743B09">
      <w:pPr>
        <w:pBdr>
          <w:top w:val="nil"/>
          <w:left w:val="nil"/>
          <w:bottom w:val="nil"/>
          <w:right w:val="nil"/>
          <w:between w:val="nil"/>
        </w:pBdr>
        <w:spacing w:line="240" w:lineRule="auto"/>
        <w:ind w:left="567" w:right="567" w:firstLine="567"/>
        <w:rPr>
          <w:i/>
        </w:rPr>
      </w:pPr>
      <w:r w:rsidRPr="00743B09">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7BF6D50" w14:textId="77777777" w:rsidR="0075097B" w:rsidRPr="00743B09" w:rsidRDefault="00EB3223" w:rsidP="00743B09">
      <w:pPr>
        <w:pBdr>
          <w:top w:val="nil"/>
          <w:left w:val="nil"/>
          <w:bottom w:val="nil"/>
          <w:right w:val="nil"/>
          <w:between w:val="nil"/>
        </w:pBdr>
        <w:spacing w:line="240" w:lineRule="auto"/>
        <w:ind w:left="567" w:right="567" w:firstLine="567"/>
        <w:rPr>
          <w:i/>
        </w:rPr>
      </w:pPr>
      <w:r w:rsidRPr="00743B09">
        <w:rPr>
          <w:i/>
        </w:rPr>
        <w:t>Este derecho se regirá por los principios y bases siguientes:</w:t>
      </w:r>
    </w:p>
    <w:p w14:paraId="75D15EBD" w14:textId="77777777" w:rsidR="0075097B" w:rsidRPr="00743B09" w:rsidRDefault="00EB3223" w:rsidP="00743B09">
      <w:pPr>
        <w:pBdr>
          <w:top w:val="nil"/>
          <w:left w:val="nil"/>
          <w:bottom w:val="nil"/>
          <w:right w:val="nil"/>
          <w:between w:val="nil"/>
        </w:pBdr>
        <w:spacing w:line="240" w:lineRule="auto"/>
        <w:ind w:left="567" w:right="567" w:firstLine="567"/>
        <w:rPr>
          <w:i/>
        </w:rPr>
      </w:pPr>
      <w:r w:rsidRPr="00743B09">
        <w:rPr>
          <w:i/>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C2C8034" w14:textId="77777777" w:rsidR="0075097B" w:rsidRPr="00743B09" w:rsidRDefault="0075097B" w:rsidP="00743B09">
      <w:pPr>
        <w:rPr>
          <w:b/>
          <w:i/>
        </w:rPr>
      </w:pPr>
    </w:p>
    <w:p w14:paraId="523F3B5B" w14:textId="77777777" w:rsidR="0075097B" w:rsidRPr="00743B09" w:rsidRDefault="00EB3223" w:rsidP="00743B09">
      <w:pPr>
        <w:rPr>
          <w:i/>
        </w:rPr>
      </w:pPr>
      <w:r w:rsidRPr="00743B09">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743B09">
        <w:rPr>
          <w:i/>
        </w:rPr>
        <w:t>por los principios de simplicidad, rapidez, gratuidad del procedimiento, auxilio y orientación a los particulares.</w:t>
      </w:r>
    </w:p>
    <w:p w14:paraId="5ED5049F" w14:textId="77777777" w:rsidR="0075097B" w:rsidRPr="00743B09" w:rsidRDefault="0075097B" w:rsidP="00743B09">
      <w:pPr>
        <w:rPr>
          <w:i/>
        </w:rPr>
      </w:pPr>
    </w:p>
    <w:p w14:paraId="2D1F3D8D" w14:textId="77777777" w:rsidR="0075097B" w:rsidRPr="00743B09" w:rsidRDefault="00EB3223" w:rsidP="00743B09">
      <w:pPr>
        <w:rPr>
          <w:i/>
        </w:rPr>
      </w:pPr>
      <w:r w:rsidRPr="00743B09">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22891261" w14:textId="77777777" w:rsidR="0075097B" w:rsidRPr="00743B09" w:rsidRDefault="0075097B" w:rsidP="00743B09"/>
    <w:p w14:paraId="7F92EA00" w14:textId="77777777" w:rsidR="0075097B" w:rsidRPr="00743B09" w:rsidRDefault="00EB3223" w:rsidP="00743B09">
      <w:r w:rsidRPr="00743B09">
        <w:t xml:space="preserve">Esto es, que los Sujetos Obligados deben atender las solicitudes de acceso a la información pública que se les sean realizadas, y proporcionar la información pública que obre en su poder, </w:t>
      </w:r>
      <w:r w:rsidRPr="00743B09">
        <w:lastRenderedPageBreak/>
        <w:t>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42280F3D" w14:textId="77777777" w:rsidR="0075097B" w:rsidRPr="00743B09" w:rsidRDefault="0075097B" w:rsidP="00743B09"/>
    <w:p w14:paraId="15DD8023" w14:textId="77777777" w:rsidR="0075097B" w:rsidRPr="00743B09" w:rsidRDefault="00EB3223" w:rsidP="00743B09">
      <w:r w:rsidRPr="00743B09">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6D89848C" w14:textId="77777777" w:rsidR="0075097B" w:rsidRPr="00743B09" w:rsidRDefault="0075097B" w:rsidP="00743B09"/>
    <w:p w14:paraId="4FAED3CA" w14:textId="77777777" w:rsidR="0075097B" w:rsidRPr="00743B09" w:rsidRDefault="00EB3223" w:rsidP="00743B09">
      <w:r w:rsidRPr="00743B09">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00FFB9A3" w14:textId="77777777" w:rsidR="0075097B" w:rsidRPr="00743B09" w:rsidRDefault="0075097B" w:rsidP="00743B09"/>
    <w:p w14:paraId="6D81601A" w14:textId="77777777" w:rsidR="0075097B" w:rsidRPr="00743B09" w:rsidRDefault="00EB3223" w:rsidP="00743B09">
      <w:bookmarkStart w:id="31" w:name="_heading=h.qsh70q" w:colFirst="0" w:colLast="0"/>
      <w:bookmarkEnd w:id="31"/>
      <w:r w:rsidRPr="00743B09">
        <w:t xml:space="preserve">Con base en lo anterior, se considera que </w:t>
      </w:r>
      <w:r w:rsidRPr="00743B09">
        <w:rPr>
          <w:b/>
        </w:rPr>
        <w:t>EL</w:t>
      </w:r>
      <w:r w:rsidRPr="00743B09">
        <w:t xml:space="preserve"> </w:t>
      </w:r>
      <w:r w:rsidRPr="00743B09">
        <w:rPr>
          <w:b/>
        </w:rPr>
        <w:t>SUJETO OBLIGADO</w:t>
      </w:r>
      <w:r w:rsidRPr="00743B09">
        <w:t xml:space="preserve"> se encontraba compelido a atender la solicitud de acceso a la información realizada por </w:t>
      </w:r>
      <w:r w:rsidRPr="00743B09">
        <w:rPr>
          <w:b/>
        </w:rPr>
        <w:t>LA PARTE RECURRENTE</w:t>
      </w:r>
      <w:r w:rsidRPr="00743B09">
        <w:t>.</w:t>
      </w:r>
    </w:p>
    <w:p w14:paraId="1750C700" w14:textId="77777777" w:rsidR="0075097B" w:rsidRPr="00743B09" w:rsidRDefault="0075097B" w:rsidP="00743B09"/>
    <w:p w14:paraId="10EF0C44" w14:textId="77777777" w:rsidR="0075097B" w:rsidRPr="00743B09" w:rsidRDefault="00EB3223" w:rsidP="00743B09">
      <w:pPr>
        <w:pStyle w:val="Ttulo3"/>
      </w:pPr>
      <w:bookmarkStart w:id="32" w:name="_heading=h.pqa8bmrtk1ts" w:colFirst="0" w:colLast="0"/>
      <w:bookmarkEnd w:id="32"/>
      <w:r w:rsidRPr="00743B09">
        <w:t>b)  Controversia a resolver</w:t>
      </w:r>
    </w:p>
    <w:p w14:paraId="3DB64832" w14:textId="77777777" w:rsidR="0075097B" w:rsidRPr="00743B09" w:rsidRDefault="00EB3223" w:rsidP="00743B09">
      <w:r w:rsidRPr="00743B09">
        <w:t xml:space="preserve">Con el objeto de ilustrar la controversia planteada, resulta conveniente precisar que, una vez realizado el estudio de las constancias que integran el expediente en que se actúa, se desprende </w:t>
      </w:r>
      <w:r w:rsidRPr="00743B09">
        <w:lastRenderedPageBreak/>
        <w:t xml:space="preserve">que </w:t>
      </w:r>
      <w:r w:rsidRPr="00743B09">
        <w:rPr>
          <w:b/>
        </w:rPr>
        <w:t>LA PARTE RECURRENTE</w:t>
      </w:r>
      <w:r w:rsidRPr="00743B09">
        <w:t xml:space="preserve"> requirió la nómina del personal de seguridad del Ayuntamiento. </w:t>
      </w:r>
    </w:p>
    <w:p w14:paraId="14FC888C" w14:textId="77777777" w:rsidR="0075097B" w:rsidRPr="00743B09" w:rsidRDefault="0075097B" w:rsidP="00743B09"/>
    <w:p w14:paraId="370F294B" w14:textId="77777777" w:rsidR="0075097B" w:rsidRPr="00743B09" w:rsidRDefault="00EB3223" w:rsidP="00743B09">
      <w:r w:rsidRPr="00743B09">
        <w:t xml:space="preserve">En respuesta, </w:t>
      </w:r>
      <w:r w:rsidRPr="00743B09">
        <w:rPr>
          <w:b/>
        </w:rPr>
        <w:t>EL SUJETO OBLIGADO</w:t>
      </w:r>
      <w:r w:rsidRPr="00743B09">
        <w:t xml:space="preserve"> se pronunció por medio de la Tesorería Municipal, quien remitió parte de la nómina del personal administrativo y refirió que la correspondiente al personal operativo es confidencial.  Motivo por el cual </w:t>
      </w:r>
      <w:r w:rsidRPr="00743B09">
        <w:rPr>
          <w:b/>
        </w:rPr>
        <w:t>LA PARTE RECURRENTE</w:t>
      </w:r>
      <w:r w:rsidRPr="00743B09">
        <w:t xml:space="preserve"> se inconformó refiriendo que la información está incompleta y no hay indicios de que haya información confidencial. </w:t>
      </w:r>
    </w:p>
    <w:p w14:paraId="5BAFF231" w14:textId="77777777" w:rsidR="0075097B" w:rsidRPr="00743B09" w:rsidRDefault="0075097B" w:rsidP="00743B09"/>
    <w:p w14:paraId="07EB3ABD" w14:textId="77777777" w:rsidR="0075097B" w:rsidRPr="00743B09" w:rsidRDefault="00EB3223" w:rsidP="00743B09">
      <w:r w:rsidRPr="00743B09">
        <w:t xml:space="preserve">Por lo que el presente asunto buscará determinar si la información remitida se encuentra completa o en su caso, actualiza alguna de las causales de reserva referidas por la ley y si la clasificación se llevó a cabo en apego a la legislación aplicable. </w:t>
      </w:r>
    </w:p>
    <w:p w14:paraId="66391E94" w14:textId="77777777" w:rsidR="0075097B" w:rsidRPr="00743B09" w:rsidRDefault="0075097B" w:rsidP="00743B09">
      <w:pPr>
        <w:tabs>
          <w:tab w:val="left" w:pos="4962"/>
        </w:tabs>
      </w:pPr>
    </w:p>
    <w:p w14:paraId="3856FD44" w14:textId="77777777" w:rsidR="0075097B" w:rsidRPr="00743B09" w:rsidRDefault="00EB3223" w:rsidP="00743B09">
      <w:pPr>
        <w:pStyle w:val="Ttulo3"/>
      </w:pPr>
      <w:bookmarkStart w:id="33" w:name="_heading=h.a515ae4q2h6q" w:colFirst="0" w:colLast="0"/>
      <w:bookmarkEnd w:id="33"/>
      <w:r w:rsidRPr="00743B09">
        <w:t>c) Estudio de la controversia</w:t>
      </w:r>
    </w:p>
    <w:p w14:paraId="7C3EE9F3" w14:textId="77777777" w:rsidR="0075097B" w:rsidRPr="00743B09" w:rsidRDefault="00EB3223" w:rsidP="00743B09">
      <w:pPr>
        <w:tabs>
          <w:tab w:val="left" w:pos="4962"/>
        </w:tabs>
      </w:pPr>
      <w:r w:rsidRPr="00743B09">
        <w:t>Una vez determinada la controversia a resolver,  conviene referir que nuestra legislación del Estado de México no existe como tal una definición de “nómina”; sin embargo, el “Glosario de Términos Usuales de Finanzas Públicas” del Centro de Estudios de las Finanzas Públicas de la Cámara de Diputados del H. Congreso de la Unión,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 siguiente definición de la palabra nómina, honorarios y personal de lista de raya:</w:t>
      </w:r>
    </w:p>
    <w:p w14:paraId="14A1FDBA" w14:textId="77777777" w:rsidR="0075097B" w:rsidRPr="00743B09" w:rsidRDefault="0075097B" w:rsidP="00743B09">
      <w:pPr>
        <w:tabs>
          <w:tab w:val="left" w:pos="4962"/>
        </w:tabs>
        <w:rPr>
          <w:b/>
          <w:i/>
        </w:rPr>
      </w:pPr>
    </w:p>
    <w:p w14:paraId="258F7228" w14:textId="77777777" w:rsidR="0075097B" w:rsidRPr="00743B09" w:rsidRDefault="00EB3223" w:rsidP="00743B09">
      <w:pPr>
        <w:pBdr>
          <w:top w:val="nil"/>
          <w:left w:val="nil"/>
          <w:bottom w:val="nil"/>
          <w:right w:val="nil"/>
          <w:between w:val="nil"/>
        </w:pBdr>
        <w:spacing w:line="240" w:lineRule="auto"/>
        <w:ind w:left="567" w:right="567" w:firstLine="567"/>
        <w:rPr>
          <w:i/>
        </w:rPr>
      </w:pPr>
      <w:r w:rsidRPr="00743B09">
        <w:rPr>
          <w:b/>
          <w:i/>
        </w:rPr>
        <w:lastRenderedPageBreak/>
        <w:t xml:space="preserve">“NÓMINA </w:t>
      </w:r>
      <w:r w:rsidRPr="00743B09">
        <w:rPr>
          <w:i/>
        </w:rPr>
        <w:t>Listado general de los trabajadores de una institución, en</w:t>
      </w:r>
      <w:r w:rsidRPr="00743B09">
        <w:rPr>
          <w:b/>
          <w:i/>
        </w:rPr>
        <w:t xml:space="preserve"> </w:t>
      </w:r>
      <w:r w:rsidRPr="00743B09">
        <w:rPr>
          <w:i/>
        </w:rPr>
        <w:t>el cual se asientan las percepciones brutas, deducciones y</w:t>
      </w:r>
      <w:r w:rsidRPr="00743B09">
        <w:rPr>
          <w:b/>
          <w:i/>
        </w:rPr>
        <w:t xml:space="preserve"> </w:t>
      </w:r>
      <w:r w:rsidRPr="00743B09">
        <w:rPr>
          <w:i/>
        </w:rPr>
        <w:t>alcance neto de las mismas; la nómina es utilizada para</w:t>
      </w:r>
      <w:r w:rsidRPr="00743B09">
        <w:rPr>
          <w:b/>
          <w:i/>
        </w:rPr>
        <w:t xml:space="preserve"> </w:t>
      </w:r>
      <w:r w:rsidRPr="00743B09">
        <w:rPr>
          <w:i/>
        </w:rPr>
        <w:t>efectuar los pagos periódicos (semanales, quincenales o</w:t>
      </w:r>
      <w:r w:rsidRPr="00743B09">
        <w:rPr>
          <w:b/>
          <w:i/>
        </w:rPr>
        <w:t xml:space="preserve"> </w:t>
      </w:r>
      <w:r w:rsidRPr="00743B09">
        <w:rPr>
          <w:i/>
        </w:rPr>
        <w:t>mensuales) a los trabajadores por concepto de sueldos y</w:t>
      </w:r>
      <w:r w:rsidRPr="00743B09">
        <w:rPr>
          <w:b/>
          <w:i/>
        </w:rPr>
        <w:t xml:space="preserve"> </w:t>
      </w:r>
      <w:r w:rsidRPr="00743B09">
        <w:rPr>
          <w:i/>
        </w:rPr>
        <w:t>salarios.”(Sic)</w:t>
      </w:r>
    </w:p>
    <w:p w14:paraId="0B1B3B1B" w14:textId="77777777" w:rsidR="0075097B" w:rsidRPr="00743B09" w:rsidRDefault="0075097B" w:rsidP="00743B09">
      <w:pPr>
        <w:ind w:left="1134" w:right="-93"/>
      </w:pPr>
    </w:p>
    <w:p w14:paraId="2EB734BB" w14:textId="77777777" w:rsidR="0075097B" w:rsidRPr="00743B09" w:rsidRDefault="00EB3223" w:rsidP="00743B09">
      <w:r w:rsidRPr="00743B09">
        <w:t xml:space="preserve">Con base en lo anterior, conviene a traer lo establecido por el artículo 804, fracción II, de la Ley Federal de Trabajo, el cual a la letra establece: </w:t>
      </w:r>
    </w:p>
    <w:p w14:paraId="456EAD12" w14:textId="77777777" w:rsidR="0075097B" w:rsidRPr="00743B09" w:rsidRDefault="0075097B" w:rsidP="00743B09">
      <w:pPr>
        <w:spacing w:line="240" w:lineRule="auto"/>
        <w:ind w:left="851" w:right="851"/>
        <w:rPr>
          <w:i/>
        </w:rPr>
      </w:pPr>
    </w:p>
    <w:p w14:paraId="41F25BCA" w14:textId="77777777" w:rsidR="0075097B" w:rsidRPr="00743B09" w:rsidRDefault="00EB3223" w:rsidP="00743B09">
      <w:pPr>
        <w:pBdr>
          <w:top w:val="nil"/>
          <w:left w:val="nil"/>
          <w:bottom w:val="nil"/>
          <w:right w:val="nil"/>
          <w:between w:val="nil"/>
        </w:pBdr>
        <w:spacing w:line="240" w:lineRule="auto"/>
        <w:ind w:left="567" w:right="567" w:firstLine="567"/>
        <w:rPr>
          <w:b/>
          <w:i/>
        </w:rPr>
      </w:pPr>
      <w:r w:rsidRPr="00743B09">
        <w:rPr>
          <w:i/>
        </w:rPr>
        <w:t>“</w:t>
      </w:r>
      <w:r w:rsidRPr="00743B09">
        <w:rPr>
          <w:b/>
          <w:i/>
        </w:rPr>
        <w:t>Artículo 804.- El patrón tiene obligación de conservar y exhibir en juicio los documentos que a continuación se precisan:</w:t>
      </w:r>
    </w:p>
    <w:p w14:paraId="09B81C78" w14:textId="77777777" w:rsidR="0075097B" w:rsidRPr="00743B09" w:rsidRDefault="0075097B" w:rsidP="00743B09">
      <w:pPr>
        <w:spacing w:line="240" w:lineRule="auto"/>
        <w:ind w:left="851" w:right="851"/>
        <w:rPr>
          <w:i/>
        </w:rPr>
      </w:pPr>
    </w:p>
    <w:p w14:paraId="7728D107" w14:textId="77777777" w:rsidR="0075097B" w:rsidRPr="00743B09" w:rsidRDefault="00EB3223" w:rsidP="00743B09">
      <w:pPr>
        <w:pBdr>
          <w:top w:val="nil"/>
          <w:left w:val="nil"/>
          <w:bottom w:val="nil"/>
          <w:right w:val="nil"/>
          <w:between w:val="nil"/>
        </w:pBdr>
        <w:spacing w:line="240" w:lineRule="auto"/>
        <w:ind w:left="567" w:right="567" w:firstLine="567"/>
        <w:rPr>
          <w:b/>
          <w:i/>
        </w:rPr>
      </w:pPr>
      <w:r w:rsidRPr="00743B09">
        <w:rPr>
          <w:b/>
          <w:i/>
        </w:rPr>
        <w:t xml:space="preserve">II. Listas de raya o nómina de personal, cuando se lleven en el centro de trabajo; o recibos de pagos de salarios; </w:t>
      </w:r>
    </w:p>
    <w:p w14:paraId="73E7E48A" w14:textId="77777777" w:rsidR="0075097B" w:rsidRPr="00743B09" w:rsidRDefault="00EB3223" w:rsidP="00743B09">
      <w:pPr>
        <w:pBdr>
          <w:top w:val="nil"/>
          <w:left w:val="nil"/>
          <w:bottom w:val="nil"/>
          <w:right w:val="nil"/>
          <w:between w:val="nil"/>
        </w:pBdr>
        <w:spacing w:line="240" w:lineRule="auto"/>
        <w:ind w:left="567" w:right="567" w:firstLine="567"/>
        <w:rPr>
          <w:i/>
        </w:rPr>
      </w:pPr>
      <w:r w:rsidRPr="00743B09">
        <w:rPr>
          <w:i/>
        </w:rPr>
        <w:t>(…)</w:t>
      </w:r>
    </w:p>
    <w:p w14:paraId="22376AA9" w14:textId="77777777" w:rsidR="0075097B" w:rsidRPr="00743B09" w:rsidRDefault="00EB3223" w:rsidP="00743B09">
      <w:pPr>
        <w:pBdr>
          <w:top w:val="nil"/>
          <w:left w:val="nil"/>
          <w:bottom w:val="nil"/>
          <w:right w:val="nil"/>
          <w:between w:val="nil"/>
        </w:pBdr>
        <w:spacing w:line="240" w:lineRule="auto"/>
        <w:ind w:left="567" w:right="567" w:firstLine="567"/>
        <w:rPr>
          <w:i/>
        </w:rPr>
      </w:pPr>
      <w:r w:rsidRPr="00743B09">
        <w:rPr>
          <w:i/>
        </w:rPr>
        <w:t xml:space="preserve">Los documentos señalados en la fracción I deberán conservarse mientras dure la relación laboral y hasta un año después; </w:t>
      </w:r>
      <w:r w:rsidRPr="00743B09">
        <w:rPr>
          <w:b/>
          <w:i/>
        </w:rPr>
        <w:t>los señalados en las fracciones II, III y IV, durante el último año y un año después de que se extinga la relación laboral</w:t>
      </w:r>
      <w:r w:rsidRPr="00743B09">
        <w:rPr>
          <w:i/>
        </w:rPr>
        <w:t>; y los mencionados en la fracción V, conforme lo señalen las Leyes que los rijan.” (Sic)</w:t>
      </w:r>
    </w:p>
    <w:p w14:paraId="430397DB" w14:textId="77777777" w:rsidR="0075097B" w:rsidRPr="00743B09" w:rsidRDefault="0075097B" w:rsidP="00743B09">
      <w:pPr>
        <w:spacing w:line="240" w:lineRule="auto"/>
        <w:ind w:right="851"/>
        <w:rPr>
          <w:i/>
        </w:rPr>
      </w:pPr>
    </w:p>
    <w:p w14:paraId="7BE58AD1" w14:textId="77777777" w:rsidR="0075097B" w:rsidRPr="00743B09" w:rsidRDefault="00EB3223" w:rsidP="00743B09">
      <w:r w:rsidRPr="00743B09">
        <w:t>De lo precedente, se concluye que la nómina, es el registro utilizado para efectuar los pagos a los trabajadores por concepto de sueldos y salarios, el cual se compone por el conjunto de trabajadores en el que se asientan las percepciones brutas, deducciones y la cantidad neta a pagar.</w:t>
      </w:r>
    </w:p>
    <w:p w14:paraId="300B6119" w14:textId="77777777" w:rsidR="0075097B" w:rsidRPr="00743B09" w:rsidRDefault="0075097B" w:rsidP="00743B09"/>
    <w:p w14:paraId="3F98C896" w14:textId="77777777" w:rsidR="0075097B" w:rsidRPr="00743B09" w:rsidRDefault="00EB3223" w:rsidP="00743B09">
      <w:pPr>
        <w:tabs>
          <w:tab w:val="left" w:pos="4962"/>
        </w:tabs>
      </w:pPr>
      <w:r w:rsidRPr="00743B09">
        <w:t xml:space="preserve">Una vez asentado lo anterior, como se mencionó en el antecedente segundo, </w:t>
      </w:r>
      <w:r w:rsidRPr="00743B09">
        <w:rPr>
          <w:b/>
        </w:rPr>
        <w:t xml:space="preserve">EL SUJETO OBLIGADO </w:t>
      </w:r>
      <w:r w:rsidRPr="00743B09">
        <w:t xml:space="preserve">rindió su respuesta a la solicitud del particular, donde, por un lado, remitió el documento con la nómina administrativa de la dirección de seguridad y por el otro refirió la clasificación de la información del personal operativo. </w:t>
      </w:r>
    </w:p>
    <w:p w14:paraId="6353E76D" w14:textId="77777777" w:rsidR="0075097B" w:rsidRPr="00743B09" w:rsidRDefault="0075097B" w:rsidP="00743B09">
      <w:pPr>
        <w:tabs>
          <w:tab w:val="left" w:pos="4962"/>
        </w:tabs>
      </w:pPr>
    </w:p>
    <w:p w14:paraId="24E21EA2" w14:textId="77777777" w:rsidR="0075097B" w:rsidRPr="00743B09" w:rsidRDefault="00EB3223" w:rsidP="00743B09">
      <w:pPr>
        <w:tabs>
          <w:tab w:val="left" w:pos="4962"/>
        </w:tabs>
      </w:pPr>
      <w:r w:rsidRPr="00743B09">
        <w:t xml:space="preserve">Así, en atención al motivo de inconformidad que refiere que no se visualizan los rangos de los policías en el documento entregado, es importante mencionar que dentro de la información </w:t>
      </w:r>
      <w:r w:rsidRPr="00743B09">
        <w:lastRenderedPageBreak/>
        <w:t>que manejan los municipios como parte de sus obligaciones se encuentra la Conciliación de la Nómina, donde se registra el nombre completo, fecha de alta, adscripción, puesto, percepciones ordinarias, extraordinarias, deducciones, entre otros. Se inserta imagen para mayor referencia.</w:t>
      </w:r>
    </w:p>
    <w:p w14:paraId="11BE051F" w14:textId="77777777" w:rsidR="0075097B" w:rsidRPr="00743B09" w:rsidRDefault="00EB3223" w:rsidP="00743B09">
      <w:bookmarkStart w:id="34" w:name="_heading=h.ajgdfy2mwuo6" w:colFirst="0" w:colLast="0"/>
      <w:bookmarkEnd w:id="34"/>
      <w:r w:rsidRPr="00743B09">
        <w:rPr>
          <w:noProof/>
          <w:lang w:eastAsia="es-MX"/>
        </w:rPr>
        <w:drawing>
          <wp:inline distT="114300" distB="114300" distL="114300" distR="114300" wp14:anchorId="518AFB35" wp14:editId="5BD3FAEA">
            <wp:extent cx="5597208" cy="2376261"/>
            <wp:effectExtent l="0" t="0" r="0" b="0"/>
            <wp:docPr id="13435285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t="6201" b="5825"/>
                    <a:stretch>
                      <a:fillRect/>
                    </a:stretch>
                  </pic:blipFill>
                  <pic:spPr>
                    <a:xfrm>
                      <a:off x="0" y="0"/>
                      <a:ext cx="5597208" cy="2376261"/>
                    </a:xfrm>
                    <a:prstGeom prst="rect">
                      <a:avLst/>
                    </a:prstGeom>
                    <a:ln/>
                  </pic:spPr>
                </pic:pic>
              </a:graphicData>
            </a:graphic>
          </wp:inline>
        </w:drawing>
      </w:r>
    </w:p>
    <w:p w14:paraId="41D728B0" w14:textId="77777777" w:rsidR="0075097B" w:rsidRPr="00743B09" w:rsidRDefault="00EB3223" w:rsidP="00743B09">
      <w:pPr>
        <w:tabs>
          <w:tab w:val="left" w:pos="4962"/>
        </w:tabs>
      </w:pPr>
      <w:r w:rsidRPr="00743B09">
        <w:t xml:space="preserve">En este documento se puede visualizar además un apartado denominado </w:t>
      </w:r>
      <w:r w:rsidRPr="00743B09">
        <w:rPr>
          <w:b/>
        </w:rPr>
        <w:t xml:space="preserve">“Nivel y/o rango” </w:t>
      </w:r>
      <w:r w:rsidRPr="00743B09">
        <w:t xml:space="preserve">donde se debe anotar la categoría  en la que están situados los servidores públicos en caso de contar con un nivel o rango específico. </w:t>
      </w:r>
    </w:p>
    <w:p w14:paraId="7640CB24" w14:textId="77777777" w:rsidR="0075097B" w:rsidRPr="00743B09" w:rsidRDefault="0075097B" w:rsidP="00743B09">
      <w:pPr>
        <w:tabs>
          <w:tab w:val="left" w:pos="4962"/>
        </w:tabs>
      </w:pPr>
    </w:p>
    <w:p w14:paraId="2EBE10CD" w14:textId="77777777" w:rsidR="0075097B" w:rsidRPr="00743B09" w:rsidRDefault="00EB3223" w:rsidP="00743B09">
      <w:pPr>
        <w:tabs>
          <w:tab w:val="left" w:pos="4962"/>
        </w:tabs>
      </w:pPr>
      <w:r w:rsidRPr="00743B09">
        <w:t xml:space="preserve">Por lo que, si dentro de su estructura cuentan con rango que determinen el nivel de pago, esta deberá venir especificado en el formato que se mencionó anteriormente, para poder acreditar la remuneración, relacionada con el tabulador de sueldos que se haya aprobado en el municipio. Razón por la cual, como referencia  se consultó el tabulador aprobado para el ejercicio fiscal 2024, donde se observa que existen distintos niveles de policías municipales, como se aprecia a continuación: </w:t>
      </w:r>
    </w:p>
    <w:p w14:paraId="4C975187" w14:textId="77777777" w:rsidR="0075097B" w:rsidRPr="00743B09" w:rsidRDefault="00EB3223" w:rsidP="00743B09">
      <w:pPr>
        <w:tabs>
          <w:tab w:val="left" w:pos="4962"/>
        </w:tabs>
      </w:pPr>
      <w:r w:rsidRPr="00743B09">
        <w:rPr>
          <w:noProof/>
          <w:lang w:eastAsia="es-MX"/>
        </w:rPr>
        <w:lastRenderedPageBreak/>
        <w:drawing>
          <wp:inline distT="114300" distB="114300" distL="114300" distR="114300" wp14:anchorId="6E4DDAF7" wp14:editId="3BD62E84">
            <wp:extent cx="5742940" cy="4165600"/>
            <wp:effectExtent l="0" t="0" r="0" b="0"/>
            <wp:docPr id="134352859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742940" cy="4165600"/>
                    </a:xfrm>
                    <a:prstGeom prst="rect">
                      <a:avLst/>
                    </a:prstGeom>
                    <a:ln/>
                  </pic:spPr>
                </pic:pic>
              </a:graphicData>
            </a:graphic>
          </wp:inline>
        </w:drawing>
      </w:r>
    </w:p>
    <w:p w14:paraId="641F85B4" w14:textId="77777777" w:rsidR="0075097B" w:rsidRPr="00743B09" w:rsidRDefault="00EB3223" w:rsidP="00743B09">
      <w:pPr>
        <w:tabs>
          <w:tab w:val="left" w:pos="4962"/>
        </w:tabs>
      </w:pPr>
      <w:r w:rsidRPr="00743B09">
        <w:t xml:space="preserve">Así, al haber diversos niveles a los cuales les corresponden sueldos distintos, según lo refiere la normatividad, en la nómina se debe distinguir el nivel o rango para poder justificar la cantidad remunerada. </w:t>
      </w:r>
    </w:p>
    <w:p w14:paraId="2859262E" w14:textId="77777777" w:rsidR="0075097B" w:rsidRPr="00743B09" w:rsidRDefault="0075097B" w:rsidP="00743B09">
      <w:pPr>
        <w:tabs>
          <w:tab w:val="left" w:pos="4962"/>
        </w:tabs>
      </w:pPr>
    </w:p>
    <w:p w14:paraId="7F1A79BD" w14:textId="77777777" w:rsidR="0075097B" w:rsidRPr="00743B09" w:rsidRDefault="00EB3223" w:rsidP="00743B09">
      <w:pPr>
        <w:tabs>
          <w:tab w:val="left" w:pos="4962"/>
        </w:tabs>
      </w:pPr>
      <w:r w:rsidRPr="00743B09">
        <w:t xml:space="preserve">Atento a lo anterior, se advierte que en la nómina remitida únicamente comprende información del personal administrativo, correspondiente al puesto de Director de Seguridad Pública y Secretaria C, por dicha razón no se aprecian los rangos de policías. </w:t>
      </w:r>
    </w:p>
    <w:p w14:paraId="35BD4F5B" w14:textId="77777777" w:rsidR="0075097B" w:rsidRPr="00743B09" w:rsidRDefault="0075097B" w:rsidP="00743B09">
      <w:pPr>
        <w:tabs>
          <w:tab w:val="left" w:pos="4962"/>
        </w:tabs>
      </w:pPr>
    </w:p>
    <w:p w14:paraId="3A9A2E1A" w14:textId="77777777" w:rsidR="0075097B" w:rsidRPr="00743B09" w:rsidRDefault="00EB3223" w:rsidP="00743B09">
      <w:pPr>
        <w:tabs>
          <w:tab w:val="left" w:pos="4962"/>
        </w:tabs>
      </w:pPr>
      <w:r w:rsidRPr="00743B09">
        <w:t xml:space="preserve">No obstante, este documento no se puede tener por válido, ya que se testó información confidencial, pero no se adjuntó el acuerdo de clasificación donde se funde y motive la versión pública. </w:t>
      </w:r>
    </w:p>
    <w:p w14:paraId="47E75F55" w14:textId="77777777" w:rsidR="0075097B" w:rsidRPr="00743B09" w:rsidRDefault="0075097B" w:rsidP="00743B09">
      <w:pPr>
        <w:tabs>
          <w:tab w:val="left" w:pos="4962"/>
        </w:tabs>
      </w:pPr>
    </w:p>
    <w:p w14:paraId="12410916" w14:textId="77777777" w:rsidR="0075097B" w:rsidRPr="00743B09" w:rsidRDefault="00EB3223" w:rsidP="00743B09">
      <w:r w:rsidRPr="00743B09">
        <w:t>Lo anterior, toda vez que la clasificación de la información no se da por el simple mandato de la Ley, sino que es necesario que el Sujeto Obligado, cuando clasifique algún documento o información, ya sea todo o en parte, atienda lo dispuesto por la Ley de la materia, al ser dicha clasificación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64065639" w14:textId="77777777" w:rsidR="0075097B" w:rsidRPr="00743B09" w:rsidRDefault="0075097B" w:rsidP="00743B09"/>
    <w:p w14:paraId="6226C29D" w14:textId="77777777" w:rsidR="0075097B" w:rsidRPr="00743B09" w:rsidRDefault="00EB3223" w:rsidP="00743B09">
      <w:r w:rsidRPr="00743B09">
        <w:t xml:space="preserve">Por lo tanto, la entrega de documentos en su versión pública </w:t>
      </w:r>
      <w:r w:rsidRPr="00743B09">
        <w:rPr>
          <w:b/>
          <w:u w:val="single"/>
        </w:rPr>
        <w:t>debe acompañarse necesariamente del Acuerdo del Comité de Transparencia</w:t>
      </w:r>
      <w:r w:rsidRPr="00743B09">
        <w:t xml:space="preserve"> que la sustente el cual debe estar debidamente fundado y motivado, en el que se expongan los fundamentos y razonamientos que llevaron al Sujeto Obligado a testar, suprimir o eliminar datos de dicho soporte documental, ya que no hacerlo, lo entregado no tendría un sustento jurídico ni resultaría ser una versión pública, sino más bien una documentación ilegible, incompleta o tachada; pues él no justificar las causas o motivos por las que no se aprecian determinados datos -ya sea porque se testan o suprimen- deja a la persona solicitante en estado de incertidumbre, al no conocer o comprender por qué no aparecen en la documentación respectiva.</w:t>
      </w:r>
    </w:p>
    <w:p w14:paraId="0404EF2F" w14:textId="77777777" w:rsidR="0075097B" w:rsidRPr="00743B09" w:rsidRDefault="0075097B" w:rsidP="00743B09"/>
    <w:p w14:paraId="4C589200" w14:textId="77777777" w:rsidR="0075097B" w:rsidRPr="00743B09" w:rsidRDefault="00EB3223" w:rsidP="00743B09">
      <w:r w:rsidRPr="00743B09">
        <w:t xml:space="preserve">En consecuencia, deberá hacer entrega del Acuerdo emitido por el Comité de Transparencia, mediante el cual se funde y motive la clasificación de la información con motivo de la versión pública. </w:t>
      </w:r>
    </w:p>
    <w:p w14:paraId="7CE5DF1D" w14:textId="77777777" w:rsidR="0075097B" w:rsidRPr="00743B09" w:rsidRDefault="00EB3223" w:rsidP="00743B09">
      <w:pPr>
        <w:spacing w:before="240" w:after="240"/>
      </w:pPr>
      <w:r w:rsidRPr="00743B09">
        <w:lastRenderedPageBreak/>
        <w:t>Respecto a la parte faltante de la nómina relativa a los elementos operativos de la Dirección de Seguridad Pública, la cual clasificó en respuesta, se debe señalar que la clasificación se concibe como el acto administrativo mediante el cual los sujetos obligados</w:t>
      </w:r>
      <w:r w:rsidRPr="00743B09">
        <w:rPr>
          <w:b/>
        </w:rPr>
        <w:t xml:space="preserve"> </w:t>
      </w:r>
      <w:r w:rsidRPr="00743B09">
        <w:t xml:space="preserve">determinan que la información requerida actualiza alguno de los supuestos de </w:t>
      </w:r>
      <w:r w:rsidRPr="00743B09">
        <w:rPr>
          <w:b/>
          <w:u w:val="single"/>
        </w:rPr>
        <w:t>confidencialidad</w:t>
      </w:r>
      <w:r w:rsidRPr="00743B09">
        <w:t xml:space="preserve"> </w:t>
      </w:r>
      <w:r w:rsidRPr="00743B09">
        <w:rPr>
          <w:b/>
        </w:rPr>
        <w:t xml:space="preserve">o </w:t>
      </w:r>
      <w:r w:rsidRPr="00743B09">
        <w:rPr>
          <w:b/>
          <w:u w:val="single"/>
        </w:rPr>
        <w:t>reserva,</w:t>
      </w:r>
      <w:r w:rsidRPr="00743B09">
        <w:rPr>
          <w:b/>
        </w:rPr>
        <w:t xml:space="preserve"> </w:t>
      </w:r>
      <w:r w:rsidRPr="00743B09">
        <w:t xml:space="preserve">de acuerdo con las bases y los principios inmersos en la normatividad aplicable. </w:t>
      </w:r>
    </w:p>
    <w:p w14:paraId="19AD68ED" w14:textId="77777777" w:rsidR="0075097B" w:rsidRPr="00743B09" w:rsidRDefault="00EB3223" w:rsidP="00743B09">
      <w:pPr>
        <w:spacing w:before="240" w:after="160"/>
      </w:pPr>
      <w:r w:rsidRPr="00743B09">
        <w:t xml:space="preserve">En el caso que nos ocupa, si bien, </w:t>
      </w:r>
      <w:r w:rsidRPr="00743B09">
        <w:rPr>
          <w:b/>
        </w:rPr>
        <w:t>EL SUJETO OBLIGADO</w:t>
      </w:r>
      <w:r w:rsidRPr="00743B09">
        <w:t xml:space="preserve"> refirió que la información relativa a los elementos de seguridad es confidencial, lo cierto es que, cuando se trata de información que por naturaleza es pública, pero en el caso en concreto pudiera causar un daño con su entrega y se clasifica por una temporalidad específica, se refiere a información reservada, no confidencial. </w:t>
      </w:r>
    </w:p>
    <w:p w14:paraId="2C9F1CA6" w14:textId="77777777" w:rsidR="0075097B" w:rsidRPr="00743B09" w:rsidRDefault="00EB3223" w:rsidP="00743B09">
      <w:pPr>
        <w:spacing w:after="240"/>
        <w:rPr>
          <w:b/>
        </w:rPr>
      </w:pPr>
      <w:r w:rsidRPr="00743B09">
        <w:t xml:space="preserve">Luego entonces, para realizar la reserva de la información, no basta con invocar alguna de las causales previstas en la Ley de transparencia local. En sentido contrario, dicha valoración debe realizarse a través de lo que se conoce como </w:t>
      </w:r>
      <w:r w:rsidRPr="00743B09">
        <w:rPr>
          <w:b/>
          <w:i/>
        </w:rPr>
        <w:t xml:space="preserve">“prueba de daño”, </w:t>
      </w:r>
      <w:r w:rsidRPr="00743B09">
        <w:t>que consiste en exponer los argumentos y razones, basados en elementos objetivos o verificables, a partir de los cuales se derive que la divulgación de información, en particular, puede afectar, poner en riesgo o dañar el interés protegido. Asimismo, ésta no debe basarse en meras especulaciones o suposiciones, sino en elementos objetivos que deban evaluar que existe un riesgo actual e inminente.</w:t>
      </w:r>
    </w:p>
    <w:p w14:paraId="6F1AC9E5" w14:textId="77777777" w:rsidR="0075097B" w:rsidRPr="00743B09" w:rsidRDefault="00EB3223" w:rsidP="00743B09">
      <w:r w:rsidRPr="00743B09">
        <w:t xml:space="preserve">Adicionalmente, los artículos 129 y 134 último párrafo de la Ley Estatal y 104 y 108 último párrafo de la Ley General, respectivamente, determinan que se debe realizar un análisis caso por caso, aplicando la prueba de daño. Esto implica que la motivación, que acredite la correspondencia entre el supuesto de hecho y la hipótesis normativa señalando las razones, motivos o circunstancias es una parte del acuerdo y otra parte, distinta, es la que corresponde a la prueba de daño, la que debe aplicarse caso por caso, esto es, no se puede hacer una prueba de daño de un expediente completo, </w:t>
      </w:r>
      <w:r w:rsidRPr="00743B09">
        <w:rPr>
          <w:b/>
          <w:u w:val="single"/>
        </w:rPr>
        <w:t>sino de cada uno de los documentos que lo integran</w:t>
      </w:r>
      <w:r w:rsidRPr="00743B09">
        <w:t>.</w:t>
      </w:r>
    </w:p>
    <w:p w14:paraId="71C03BDE" w14:textId="77777777" w:rsidR="0075097B" w:rsidRPr="00743B09" w:rsidRDefault="0075097B" w:rsidP="00743B09"/>
    <w:p w14:paraId="76C5A037" w14:textId="77777777" w:rsidR="0075097B" w:rsidRPr="00743B09" w:rsidRDefault="00EB3223" w:rsidP="00743B09">
      <w:r w:rsidRPr="00743B09">
        <w:t>Para aplicar la prueba de daño, se deberán de precisar las razones objetivas por las que la apertura genera una afectación, acreditando que:</w:t>
      </w:r>
    </w:p>
    <w:p w14:paraId="16A065D4" w14:textId="77777777" w:rsidR="0075097B" w:rsidRPr="00743B09" w:rsidRDefault="0075097B" w:rsidP="00743B09"/>
    <w:p w14:paraId="226F35A2" w14:textId="77777777" w:rsidR="0075097B" w:rsidRPr="00743B09" w:rsidRDefault="00EB3223" w:rsidP="00743B09">
      <w:pPr>
        <w:widowControl w:val="0"/>
        <w:spacing w:after="240"/>
        <w:ind w:left="851" w:right="333"/>
      </w:pPr>
      <w:r w:rsidRPr="00743B09">
        <w:t xml:space="preserve">I. La divulgación de la información representa un riesgo real, demostrable e identificable del perjuicio significativo al interés público o a la seguridad pública; </w:t>
      </w:r>
    </w:p>
    <w:p w14:paraId="1F69437F" w14:textId="77777777" w:rsidR="0075097B" w:rsidRPr="00743B09" w:rsidRDefault="00EB3223" w:rsidP="00743B09">
      <w:pPr>
        <w:widowControl w:val="0"/>
        <w:spacing w:after="240"/>
        <w:ind w:left="851" w:right="333"/>
      </w:pPr>
      <w:r w:rsidRPr="00743B09">
        <w:t xml:space="preserve">II. El riesgo de perjuicio que supondría la divulgación supera el interés público general de que se difunda; y </w:t>
      </w:r>
    </w:p>
    <w:p w14:paraId="244F2918" w14:textId="77777777" w:rsidR="0075097B" w:rsidRPr="00743B09" w:rsidRDefault="00EB3223" w:rsidP="00743B09">
      <w:pPr>
        <w:spacing w:after="240"/>
        <w:ind w:left="850"/>
      </w:pPr>
      <w:r w:rsidRPr="00743B09">
        <w:t xml:space="preserve">III. La limitación se adecua al principio de proporcionalidad y representa el medio menos restrictivo disponible para evitar el perjuicio. </w:t>
      </w:r>
    </w:p>
    <w:p w14:paraId="0BE83BEA" w14:textId="77777777" w:rsidR="0075097B" w:rsidRPr="00743B09" w:rsidRDefault="00EB3223" w:rsidP="00743B09">
      <w:pPr>
        <w:spacing w:after="160"/>
      </w:pPr>
      <w:r w:rsidRPr="00743B09">
        <w:t xml:space="preserve">Es así, que al configurarse tales requisitos, se otorga certidumbre jurídica y se protege la esfera más íntima del derecho humano constitucional y convencionalmente reconocido. </w:t>
      </w:r>
    </w:p>
    <w:p w14:paraId="674F2A57" w14:textId="77777777" w:rsidR="0075097B" w:rsidRPr="00743B09" w:rsidRDefault="00EB3223" w:rsidP="00743B09">
      <w:pPr>
        <w:rPr>
          <w:b/>
        </w:rPr>
      </w:pPr>
      <w:r w:rsidRPr="00743B09">
        <w:t xml:space="preserve">Debido a lo anterior, se destaca que la pauta metodológica necesaria para clasificar la información como reservada se desprende inicialmente de identificar las causales aplicables y </w:t>
      </w:r>
      <w:r w:rsidRPr="00743B09">
        <w:rPr>
          <w:b/>
          <w:u w:val="single"/>
        </w:rPr>
        <w:t xml:space="preserve">de desentrañar la naturaleza de la información requerida, </w:t>
      </w:r>
      <w:r w:rsidRPr="00743B09">
        <w:t xml:space="preserve">destacando que de conformidad con la naturaleza de la información requerida no se actualiza causal de reserva e incluso, </w:t>
      </w:r>
      <w:r w:rsidRPr="00743B09">
        <w:rPr>
          <w:b/>
        </w:rPr>
        <w:t xml:space="preserve">EL SUJETO OBLIGADO, remitiendo el Acta de Clasificación que funde y motive dicho acto. </w:t>
      </w:r>
    </w:p>
    <w:p w14:paraId="63183D7F" w14:textId="77777777" w:rsidR="0075097B" w:rsidRPr="00743B09" w:rsidRDefault="0075097B" w:rsidP="00743B09"/>
    <w:p w14:paraId="33FC0E93" w14:textId="77777777" w:rsidR="0075097B" w:rsidRPr="00743B09" w:rsidRDefault="00EB3223" w:rsidP="00743B09">
      <w:r w:rsidRPr="00743B09">
        <w:t xml:space="preserve">Bajo este contexto, para delimitar las fronteras conceptuales entre falta e indebida fundamentación y motivación, cobra particular relevancia la corriente que emana del Tercer Tribunal Colegiado en Materia Civil del Primer Circuito, a través de la jurisprudencia con número de registro digital </w:t>
      </w:r>
      <w:r w:rsidRPr="00743B09">
        <w:rPr>
          <w:b/>
        </w:rPr>
        <w:t xml:space="preserve">170307 </w:t>
      </w:r>
      <w:r w:rsidRPr="00743B09">
        <w:t>de la Novena Época, visible en el Semanario Judicial de la Federación y su Gaceta, Tomo XXVII, de febrero de 2008, tesis I.3o.C. J/47 en materia común, en la que establece lo siguiente:</w:t>
      </w:r>
    </w:p>
    <w:p w14:paraId="67C7E448" w14:textId="77777777" w:rsidR="0075097B" w:rsidRPr="00743B09" w:rsidRDefault="0075097B" w:rsidP="00743B09"/>
    <w:p w14:paraId="7A8D97E9" w14:textId="77777777" w:rsidR="0075097B" w:rsidRPr="00743B09" w:rsidRDefault="00EB3223" w:rsidP="00743B09">
      <w:pPr>
        <w:pBdr>
          <w:top w:val="nil"/>
          <w:left w:val="nil"/>
          <w:bottom w:val="nil"/>
          <w:right w:val="nil"/>
          <w:between w:val="nil"/>
        </w:pBdr>
        <w:spacing w:line="240" w:lineRule="auto"/>
        <w:ind w:left="567" w:right="567" w:firstLine="567"/>
        <w:rPr>
          <w:b/>
          <w:i/>
        </w:rPr>
      </w:pPr>
      <w:r w:rsidRPr="00743B09">
        <w:rPr>
          <w:i/>
        </w:rPr>
        <w:t>“</w:t>
      </w:r>
      <w:r w:rsidRPr="00743B09">
        <w:rPr>
          <w:b/>
          <w:i/>
        </w:rPr>
        <w:t>FUNDAMENTACIÓN Y MOTIVACIÓN. LA DIFERENCIA ENTRE LA FALTA Y LA INDEBIDA SATISFACCIÓN DE AMBOS REQUISITOS CONSTITUCIONALES TRASCIENDE AL ORDEN EN QUE DEBEN ESTUDIARSE LOS CONCEPTOS DE VIOLACIÓN Y A LOS EFECTOS DEL FALLO PROTECTOR.</w:t>
      </w:r>
    </w:p>
    <w:p w14:paraId="2509CC38" w14:textId="77777777" w:rsidR="0075097B" w:rsidRPr="00743B09" w:rsidRDefault="00EB3223" w:rsidP="00743B09">
      <w:pPr>
        <w:pBdr>
          <w:top w:val="nil"/>
          <w:left w:val="nil"/>
          <w:bottom w:val="nil"/>
          <w:right w:val="nil"/>
          <w:between w:val="nil"/>
        </w:pBdr>
        <w:spacing w:line="240" w:lineRule="auto"/>
        <w:ind w:left="567" w:right="567" w:firstLine="567"/>
        <w:rPr>
          <w:i/>
        </w:rPr>
      </w:pPr>
      <w:r w:rsidRPr="00743B09">
        <w:rPr>
          <w:i/>
        </w:rPr>
        <w:t>La falta de fundamentación y motivación es una violación formal diversa a la indebida o incorrecta fundamentación y motivación, que es una violación material o de fondo, siendo distintos los efectos que genera la existencia de una u otra, por lo que el estudio de aquella omisión debe hacerse de manera previa. En efecto, el artículo </w:t>
      </w:r>
      <w:hyperlink r:id="rId13">
        <w:r w:rsidRPr="00743B09">
          <w:rPr>
            <w:i/>
          </w:rPr>
          <w:t>16 constitucional</w:t>
        </w:r>
      </w:hyperlink>
      <w:r w:rsidRPr="00743B09">
        <w:rPr>
          <w:i/>
        </w:rPr>
        <w:t xml:space="preserve"> establece, en su primer párrafo, el imperativo para las autoridades de fundar y motivar sus actos que incidan en la esfera de los gobernados, pero la contravención al mandato constitucional que exige la expresión de ambas en los actos de autoridad puede revestir dos formas distintas, a saber: la derivada de su falta, y la correspondiente a su incorrección. Se produce la falta de fundamentación y motivación, cuando se omite expresar el dispositivo legal aplicable al asunto y las razones que se hayan considerado para estimar que el caso puede subsumirse en la hipótesis prevista en esa norma jurídica. En cambio, hay una indebida fundamentación cuando en el acto de autoridad sí se invoca el precepto legal, sin embargo, resulta inaplicable al asunto por las características específicas de éste que impiden su adecuación o encuadre en la hipótesis normativa; y una incorrecta motivación, en el supuesto en que sí se indican las razones que tiene en consideración la autoridad para emitir el acto, pero aquéllas están en disonancia con el contenido de la norma legal que se aplica en el caso. De manera que la falta de fundamentación y motivación significa la carencia o ausencia de tales requisitos, mientras que la indebida o incorrecta fundamentación y motivación entraña la presencia de ambos requisitos constitucionales, pero con un desajuste entre la aplicación de normas y los razonamientos formulados por la autoridad con el caso concreto. La diferencia apuntada permite advertir que en el primer supuesto se trata de una violación formal dado que el acto de autoridad carece de elementos ínsitos, connaturales, al mismo por virtud de un imperativo constitucional, por lo que, advertida su ausencia mediante la simple lectura del acto reclamado, procederá conceder el amparo solicitado; y en el segundo caso consiste en una violación material o de fondo porque se ha cumplido con la forma mediante la expresión de fundamentos y motivos, pero unos y otros son incorrectos, lo cual, por regla general, también dará lugar a un fallo protector, sin embargo, será menester un previo análisis del contenido del asunto para llegar a concluir la mencionada incorrección. Por virtud de esa nota distintiva, los efectos de la concesión del amparo, tratándose de una resolución jurisdiccional, son igualmente diversos en uno y otro caso, pues aunque existe un elemento común, o sea, que la autoridad deje insubsistente el acto inconstitucional, en el primer </w:t>
      </w:r>
      <w:r w:rsidRPr="00743B09">
        <w:rPr>
          <w:i/>
        </w:rPr>
        <w:lastRenderedPageBreak/>
        <w:t>supuesto será para que subsane la irregularidad expresando la fundamentación y motivación antes ausente, y en el segundo para que aporte fundamentos y motivos diferentes a los que formuló previamente. La apuntada diferencia trasciende, igualmente, al orden en que se deberán estudiar los argumentos que hagan valer los quejosos, ya que si en un caso se advierte la carencia de los requisitos constitucionales de que se trata, es decir, una violación formal, se concederá el amparo para los efectos indicados, con exclusión del análisis de los motivos de disenso que, concurriendo con los atinentes al defecto, versen sobre la incorrección de ambos elementos inherentes al acto de autoridad; empero, si han sido satisfechos aquéllos, será factible el estudio de la indebida fundamentación y motivación, esto es, de la violación material o de fondo.</w:t>
      </w:r>
    </w:p>
    <w:p w14:paraId="03EC3C84" w14:textId="77777777" w:rsidR="0075097B" w:rsidRPr="00743B09" w:rsidRDefault="0075097B" w:rsidP="00743B09"/>
    <w:p w14:paraId="18DA41F6" w14:textId="77777777" w:rsidR="0075097B" w:rsidRPr="00743B09" w:rsidRDefault="00EB3223" w:rsidP="00743B09">
      <w:r w:rsidRPr="00743B09">
        <w:t>En efecto, con relación al primer acuerdo abordado, se arriba a la conclusión de que no cumple con la pauta metodológica prevista en la normatividad aplicable, lo anterior, al tomar en consideración que refleja falta e indebida fundamentación y motivación.</w:t>
      </w:r>
    </w:p>
    <w:p w14:paraId="08214214" w14:textId="77777777" w:rsidR="0075097B" w:rsidRPr="00743B09" w:rsidRDefault="0075097B" w:rsidP="00743B09"/>
    <w:p w14:paraId="7EF0A638" w14:textId="77777777" w:rsidR="0075097B" w:rsidRPr="00743B09" w:rsidRDefault="00EB3223" w:rsidP="00743B09">
      <w:r w:rsidRPr="00743B09">
        <w:t xml:space="preserve">Así, en el caso que nos ocupa, se observa que el ente recurrido, únicamente refirió la reserva, pero no adjuntó el Acuerdo de clasificación emitido por el Comité de Transparencia,  donde funde y motive su acto. </w:t>
      </w:r>
    </w:p>
    <w:p w14:paraId="7125B1F2" w14:textId="77777777" w:rsidR="0075097B" w:rsidRPr="00743B09" w:rsidRDefault="0075097B" w:rsidP="00743B09"/>
    <w:p w14:paraId="4E2877A4" w14:textId="77777777" w:rsidR="0075097B" w:rsidRPr="00743B09" w:rsidRDefault="00EB3223" w:rsidP="00743B09">
      <w:r w:rsidRPr="00743B09">
        <w:t>Por otra parte, la reserva de la información no debió haberse realizado de forma total, ya que parte de lo solicitado corresponde a información pública, como lo son los sueldos que reciben los elementos de Seguridad Pública. Si no que, únicamente debió haber clasificado como reservado el nombre del personal operativo, para no hacer identificable al titular de tal dato personal.</w:t>
      </w:r>
    </w:p>
    <w:p w14:paraId="0182A99F" w14:textId="77777777" w:rsidR="0075097B" w:rsidRPr="00743B09" w:rsidRDefault="0075097B" w:rsidP="00743B09"/>
    <w:p w14:paraId="0CB1E07A" w14:textId="77777777" w:rsidR="0075097B" w:rsidRPr="00743B09" w:rsidRDefault="00EB3223" w:rsidP="00743B09">
      <w:r w:rsidRPr="00743B09">
        <w:t xml:space="preserve">Lo anterior, ya que si bien, por regla general, se consideran como datos personales no confidenciales, el nombre del servidor público, cargo y/o categoría, percepciones y las deducciones vinculadas con enteros en materia fiscal, ya sean tributarios o de seguridad social y cualquier otro concepto vinculado con la erogación de recursos públicos en concordancia </w:t>
      </w:r>
      <w:r w:rsidRPr="00743B09">
        <w:lastRenderedPageBreak/>
        <w:t xml:space="preserve">con el artículo 23, segundo párrafo, de la Ley ya analizado, lo cierto es que, en lo que respecta </w:t>
      </w:r>
      <w:r w:rsidRPr="00743B09">
        <w:rPr>
          <w:b/>
        </w:rPr>
        <w:t>elementos de seguridad pública, la elaboración de versiones públicas pudiera variar, eliminando información adicional, siempre y cuando se demuestre que pueda poner en riesgo la vida e integridad física con motivo de las funciones de servidores públicos</w:t>
      </w:r>
      <w:r w:rsidRPr="00743B09">
        <w:t>.</w:t>
      </w:r>
    </w:p>
    <w:p w14:paraId="1EFD6624" w14:textId="77777777" w:rsidR="0075097B" w:rsidRPr="00743B09" w:rsidRDefault="0075097B" w:rsidP="00743B09"/>
    <w:p w14:paraId="7A442C6F" w14:textId="77777777" w:rsidR="0075097B" w:rsidRPr="00743B09" w:rsidRDefault="00EB3223" w:rsidP="00743B09">
      <w:r w:rsidRPr="00743B09">
        <w:t xml:space="preserve">Esto es así, ya que el artículo 81, fracción III, de la Ley de Seguridad del Estado de México, establece lo siguiente: </w:t>
      </w:r>
    </w:p>
    <w:p w14:paraId="24698D1C" w14:textId="77777777" w:rsidR="0075097B" w:rsidRPr="00743B09" w:rsidRDefault="0075097B" w:rsidP="00743B09"/>
    <w:p w14:paraId="005720E6" w14:textId="77777777" w:rsidR="0075097B" w:rsidRPr="00743B09" w:rsidRDefault="00EB3223" w:rsidP="00743B09">
      <w:pPr>
        <w:spacing w:line="240" w:lineRule="auto"/>
        <w:ind w:left="567" w:right="567"/>
        <w:rPr>
          <w:i/>
        </w:rPr>
      </w:pPr>
      <w:r w:rsidRPr="00743B09">
        <w:rPr>
          <w:i/>
        </w:rPr>
        <w:t>“</w:t>
      </w:r>
      <w:r w:rsidRPr="00743B09">
        <w:rPr>
          <w:b/>
          <w:i/>
        </w:rPr>
        <w:t>Artículo 81.-</w:t>
      </w:r>
      <w:r w:rsidRPr="00743B09">
        <w:rPr>
          <w:i/>
        </w:rPr>
        <w:t xml:space="preserve"> </w:t>
      </w:r>
      <w:r w:rsidRPr="00743B09">
        <w:rPr>
          <w:i/>
          <w:u w:val="single"/>
        </w:rPr>
        <w:t>Toda información para la seguridad pública</w:t>
      </w:r>
      <w:r w:rsidRPr="00743B09">
        <w:rPr>
          <w:i/>
        </w:rPr>
        <w:t xml:space="preserve"> generada o en poder de Instituciones de Seguridad Pública o de cualquier instancia del Sistema Estatal </w:t>
      </w:r>
      <w:r w:rsidRPr="00743B09">
        <w:rPr>
          <w:i/>
          <w:u w:val="single"/>
        </w:rPr>
        <w:t>debe</w:t>
      </w:r>
      <w:r w:rsidRPr="00743B09">
        <w:rPr>
          <w:i/>
        </w:rPr>
        <w:t xml:space="preserve"> registrarse, </w:t>
      </w:r>
      <w:r w:rsidRPr="00743B09">
        <w:rPr>
          <w:i/>
          <w:u w:val="single"/>
        </w:rPr>
        <w:t>clasificarse</w:t>
      </w:r>
      <w:r w:rsidRPr="00743B09">
        <w:rPr>
          <w:i/>
        </w:rPr>
        <w:t xml:space="preserve"> y tratarse de conformidad con las disposiciones aplicables. No obstante lo anterior, esta información se considerará reservada en los casos siguientes:</w:t>
      </w:r>
    </w:p>
    <w:p w14:paraId="2995D419" w14:textId="77777777" w:rsidR="0075097B" w:rsidRPr="00743B09" w:rsidRDefault="00EB3223" w:rsidP="00743B09">
      <w:pPr>
        <w:spacing w:line="240" w:lineRule="auto"/>
        <w:ind w:left="567" w:right="567"/>
        <w:rPr>
          <w:i/>
        </w:rPr>
      </w:pPr>
      <w:r w:rsidRPr="00743B09">
        <w:rPr>
          <w:i/>
        </w:rPr>
        <w:t>(…)</w:t>
      </w:r>
    </w:p>
    <w:p w14:paraId="73F693EE" w14:textId="77777777" w:rsidR="0075097B" w:rsidRPr="00743B09" w:rsidRDefault="00EB3223" w:rsidP="00743B09">
      <w:pPr>
        <w:spacing w:line="240" w:lineRule="auto"/>
        <w:ind w:left="567" w:right="567"/>
        <w:rPr>
          <w:i/>
        </w:rPr>
      </w:pPr>
      <w:r w:rsidRPr="00743B09">
        <w:rPr>
          <w:b/>
          <w:i/>
        </w:rPr>
        <w:t>III</w:t>
      </w:r>
      <w:r w:rsidRPr="00743B09">
        <w:rPr>
          <w:i/>
        </w:rPr>
        <w:t xml:space="preserve">. </w:t>
      </w:r>
      <w:r w:rsidRPr="00743B09">
        <w:rPr>
          <w:i/>
          <w:u w:val="single"/>
        </w:rPr>
        <w:t>La relativa a servidores públicos miembros de las instituciones de seguridad pública, cuya revelación pueda poner en riesgo su vida e integridad física con motivo de sus funciones;”</w:t>
      </w:r>
    </w:p>
    <w:p w14:paraId="5595F950" w14:textId="77777777" w:rsidR="0075097B" w:rsidRPr="00743B09" w:rsidRDefault="0075097B" w:rsidP="00743B09"/>
    <w:p w14:paraId="758A429C" w14:textId="77777777" w:rsidR="0075097B" w:rsidRPr="00743B09" w:rsidRDefault="00EB3223" w:rsidP="00743B09">
      <w:r w:rsidRPr="00743B09">
        <w:t xml:space="preserve">Por tanto, </w:t>
      </w:r>
      <w:r w:rsidRPr="00743B09">
        <w:rPr>
          <w:b/>
        </w:rPr>
        <w:t>EL SUJETO OBLIGADO</w:t>
      </w:r>
      <w:r w:rsidRPr="00743B09">
        <w:t xml:space="preserve"> deberá clasificar dicha información, justificando de manera fundada y motivada las circunstancias por las cuales se podría en riesgo la vida de los elementos de seguridad municipal en caso de que se dieran a conocer sus datos; además deberá cumplir con los requisitos para su clasificación en términos de la Ley de Transparencia y Acceso a la Información Pública del Estado de México y Municipios, la Ley General de Transparencia y Acceso a la Información Pública</w:t>
      </w:r>
      <w:r w:rsidRPr="00743B09">
        <w:rPr>
          <w:vertAlign w:val="superscript"/>
        </w:rPr>
        <w:footnoteReference w:id="1"/>
      </w:r>
      <w:r w:rsidRPr="00743B09">
        <w:t xml:space="preserve"> y los Lineamientos generales en materia de clasificación y desclasificación de la información, así como para la elaboración de versiones públicas.</w:t>
      </w:r>
    </w:p>
    <w:p w14:paraId="542A3EA0" w14:textId="77777777" w:rsidR="0075097B" w:rsidRPr="00743B09" w:rsidRDefault="0075097B" w:rsidP="00743B09"/>
    <w:p w14:paraId="73B165F3" w14:textId="77777777" w:rsidR="0075097B" w:rsidRPr="00743B09" w:rsidRDefault="00EB3223" w:rsidP="00743B09">
      <w:r w:rsidRPr="00743B09">
        <w:lastRenderedPageBreak/>
        <w:t>Es decir, podrá eliminar cualquier información considerada no confidencial, de los elementos de seguridad pública, desde el nombre hasta las percepciones económicas, dependiendo de la información que se determine que genera el riesgo real e inminente, por constituir información reservada; sin embargo, dadas las características de la causal de reserva, bastaría con que fuera testado el nombre del servidor o servidores públicos, con el objeto de que no se haga identificable al titular, y, por tanto, se evite poner en riesgo la vida e integridad física con motivo de sus funciones.</w:t>
      </w:r>
    </w:p>
    <w:p w14:paraId="77A115B5" w14:textId="77777777" w:rsidR="0075097B" w:rsidRPr="00743B09" w:rsidRDefault="0075097B" w:rsidP="00743B09">
      <w:pPr>
        <w:tabs>
          <w:tab w:val="left" w:pos="4962"/>
        </w:tabs>
      </w:pPr>
    </w:p>
    <w:p w14:paraId="79CAB976" w14:textId="77777777" w:rsidR="0075097B" w:rsidRPr="00743B09" w:rsidRDefault="00EB3223" w:rsidP="00743B09">
      <w:r w:rsidRPr="00743B09">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w:t>
      </w:r>
      <w:r w:rsidRPr="00743B09">
        <w:rPr>
          <w:vertAlign w:val="superscript"/>
        </w:rPr>
        <w:footnoteReference w:id="2"/>
      </w:r>
      <w:r w:rsidRPr="00743B09">
        <w:t>, así como los requisitos previstos por los numerales Vigésimo Tercero y Trigésimo Tercero, de los Lineamientos generales en materia de clasificación y desclasificación de la información.</w:t>
      </w:r>
    </w:p>
    <w:p w14:paraId="7139D5AE" w14:textId="77777777" w:rsidR="0075097B" w:rsidRPr="00743B09" w:rsidRDefault="0075097B" w:rsidP="00743B09"/>
    <w:p w14:paraId="52C7711E" w14:textId="77777777" w:rsidR="0075097B" w:rsidRPr="00743B09" w:rsidRDefault="00EB3223" w:rsidP="00743B09">
      <w:r w:rsidRPr="00743B09">
        <w:t>Resulta alusivo por analogía el criterio 06-09 emitido por el entonces Instituto Federal de Acceso a la Información (IFAI), que a la letra dice:</w:t>
      </w:r>
    </w:p>
    <w:p w14:paraId="484B5DF2" w14:textId="77777777" w:rsidR="0075097B" w:rsidRPr="00743B09" w:rsidRDefault="0075097B" w:rsidP="00743B09"/>
    <w:p w14:paraId="0E5FE2C9" w14:textId="77777777" w:rsidR="0075097B" w:rsidRPr="00743B09" w:rsidRDefault="00EB3223" w:rsidP="00743B09">
      <w:pPr>
        <w:pBdr>
          <w:top w:val="nil"/>
          <w:left w:val="nil"/>
          <w:bottom w:val="nil"/>
          <w:right w:val="nil"/>
          <w:between w:val="nil"/>
        </w:pBdr>
        <w:spacing w:line="240" w:lineRule="auto"/>
        <w:ind w:left="567" w:right="567" w:firstLine="567"/>
        <w:rPr>
          <w:i/>
        </w:rPr>
      </w:pPr>
      <w:r w:rsidRPr="00743B09">
        <w:rPr>
          <w:i/>
        </w:rPr>
        <w:t>“</w:t>
      </w:r>
      <w:r w:rsidRPr="00743B09">
        <w:rPr>
          <w:b/>
          <w:i/>
        </w:rPr>
        <w:t>Nombres de servidores públicos dedicados a actividades en materia de seguridad, por excepción pueden considerarse información reservada</w:t>
      </w:r>
      <w:r w:rsidRPr="00743B09">
        <w:rPr>
          <w:i/>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w:t>
      </w:r>
      <w:r w:rsidRPr="00743B09">
        <w:rPr>
          <w:i/>
        </w:rPr>
        <w:lastRenderedPageBreak/>
        <w:t>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0F8BF2A5" w14:textId="77777777" w:rsidR="0075097B" w:rsidRPr="00743B09" w:rsidRDefault="0075097B" w:rsidP="00743B09">
      <w:pPr>
        <w:ind w:right="-93"/>
      </w:pPr>
    </w:p>
    <w:p w14:paraId="06E84B35" w14:textId="77777777" w:rsidR="0075097B" w:rsidRPr="00743B09" w:rsidRDefault="00EB3223" w:rsidP="00743B09">
      <w:pPr>
        <w:ind w:right="-93"/>
      </w:pPr>
      <w:r w:rsidRPr="00743B09">
        <w:t>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funciones de carácter operativo.</w:t>
      </w:r>
    </w:p>
    <w:p w14:paraId="1899EAA0" w14:textId="77777777" w:rsidR="0075097B" w:rsidRPr="00743B09" w:rsidRDefault="0075097B" w:rsidP="00743B09">
      <w:pPr>
        <w:ind w:right="-93"/>
      </w:pPr>
    </w:p>
    <w:p w14:paraId="63CAC2B5" w14:textId="77777777" w:rsidR="0075097B" w:rsidRPr="00743B09" w:rsidRDefault="00EB3223" w:rsidP="00743B09">
      <w:pPr>
        <w:ind w:right="-93"/>
      </w:pPr>
      <w:r w:rsidRPr="00743B09">
        <w:t xml:space="preserve">En ese orden de ideas, si bien por regla general los nombres de los trabajadores gubernamentales son información pública de oficio, existe una excepción relativa a </w:t>
      </w:r>
      <w:r w:rsidRPr="00743B09">
        <w:rPr>
          <w:b/>
        </w:rPr>
        <w:t>aquellos que realicen actividades operativas en materia de seguridad,</w:t>
      </w:r>
      <w:r w:rsidRPr="00743B09">
        <w:t xml:space="preserve"> como es el caso de los elementos operativos y la policía municipal.</w:t>
      </w:r>
    </w:p>
    <w:p w14:paraId="749C77A3" w14:textId="77777777" w:rsidR="0075097B" w:rsidRPr="00743B09" w:rsidRDefault="0075097B" w:rsidP="00743B09">
      <w:pPr>
        <w:ind w:right="-93"/>
      </w:pPr>
    </w:p>
    <w:p w14:paraId="31A698E8" w14:textId="77777777" w:rsidR="0075097B" w:rsidRPr="00743B09" w:rsidRDefault="00EB3223" w:rsidP="00743B09">
      <w:pPr>
        <w:ind w:right="-93"/>
      </w:pPr>
      <w:r w:rsidRPr="00743B09">
        <w:t xml:space="preserve">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w:t>
      </w:r>
      <w:r w:rsidRPr="00743B09">
        <w:lastRenderedPageBreak/>
        <w:t>para adolescentes, de las instancias encargadas de aplicar las infracción administrativas, y de las demás autoridades de las instancias encargadas de aplicar las infracciones administrativas.</w:t>
      </w:r>
    </w:p>
    <w:p w14:paraId="5F44DD50" w14:textId="77777777" w:rsidR="0075097B" w:rsidRPr="00743B09" w:rsidRDefault="0075097B" w:rsidP="00743B09">
      <w:pPr>
        <w:ind w:right="-93"/>
      </w:pPr>
    </w:p>
    <w:p w14:paraId="6FEB2884" w14:textId="77777777" w:rsidR="0075097B" w:rsidRPr="00743B09" w:rsidRDefault="00EB3223" w:rsidP="00743B09">
      <w:pPr>
        <w:ind w:right="-93"/>
      </w:pPr>
      <w:r w:rsidRPr="00743B09">
        <w:t>En ese contexto, el artículo 6, fracciones XI y XII de dicho ordenamiento jurídico, establece los siguientes conceptos:</w:t>
      </w:r>
    </w:p>
    <w:p w14:paraId="2B7E43B8" w14:textId="77777777" w:rsidR="0075097B" w:rsidRPr="00743B09" w:rsidRDefault="0075097B" w:rsidP="00743B09">
      <w:pPr>
        <w:ind w:right="-93"/>
      </w:pPr>
    </w:p>
    <w:p w14:paraId="25F8B5BF" w14:textId="77777777" w:rsidR="0075097B" w:rsidRPr="00743B09" w:rsidRDefault="00EB3223" w:rsidP="00743B09">
      <w:pPr>
        <w:numPr>
          <w:ilvl w:val="0"/>
          <w:numId w:val="4"/>
        </w:numPr>
        <w:ind w:right="-93"/>
        <w:rPr>
          <w:rFonts w:ascii="Noto Sans Symbols" w:eastAsia="Noto Sans Symbols" w:hAnsi="Noto Sans Symbols" w:cs="Noto Sans Symbols"/>
          <w:b/>
        </w:rPr>
      </w:pPr>
      <w:r w:rsidRPr="00743B09">
        <w:rPr>
          <w:b/>
        </w:rPr>
        <w:t xml:space="preserve">Instituciones Policiales: </w:t>
      </w:r>
      <w:r w:rsidRPr="00743B09">
        <w:t xml:space="preserve">Son los cuerpos de policía, de vigilancia y custodia de los establecimientos penitenciarios, detención preventiva, centros de arraigo y en general, </w:t>
      </w:r>
      <w:r w:rsidRPr="00743B09">
        <w:rPr>
          <w:b/>
        </w:rPr>
        <w:t>todas las dependencias encargadas de la seguridad pública a nivel</w:t>
      </w:r>
      <w:r w:rsidRPr="00743B09">
        <w:t xml:space="preserve"> estatal y </w:t>
      </w:r>
      <w:r w:rsidRPr="00743B09">
        <w:rPr>
          <w:b/>
        </w:rPr>
        <w:t>municipal.</w:t>
      </w:r>
    </w:p>
    <w:p w14:paraId="51613A4D" w14:textId="77777777" w:rsidR="0075097B" w:rsidRPr="00743B09" w:rsidRDefault="0075097B" w:rsidP="00743B09">
      <w:pPr>
        <w:tabs>
          <w:tab w:val="left" w:pos="4962"/>
        </w:tabs>
      </w:pPr>
    </w:p>
    <w:p w14:paraId="1A06749E" w14:textId="77777777" w:rsidR="0075097B" w:rsidRPr="00743B09" w:rsidRDefault="00EB3223" w:rsidP="00743B09">
      <w:pPr>
        <w:numPr>
          <w:ilvl w:val="0"/>
          <w:numId w:val="2"/>
        </w:numPr>
        <w:ind w:right="-93"/>
        <w:rPr>
          <w:rFonts w:ascii="Noto Sans Symbols" w:eastAsia="Noto Sans Symbols" w:hAnsi="Noto Sans Symbols" w:cs="Noto Sans Symbols"/>
          <w:b/>
        </w:rPr>
      </w:pPr>
      <w:r w:rsidRPr="00743B09">
        <w:rPr>
          <w:b/>
        </w:rPr>
        <w:t xml:space="preserve">Instituciones de Seguridad Pública: </w:t>
      </w:r>
      <w:r w:rsidRPr="00743B09">
        <w:t xml:space="preserve">Instituciones Policiales, Procuración de Justicia, Sistema Penitenciario y </w:t>
      </w:r>
      <w:r w:rsidRPr="00743B09">
        <w:rPr>
          <w:b/>
        </w:rPr>
        <w:t xml:space="preserve">dependencias encargadas de la seguridad pública a nivel </w:t>
      </w:r>
      <w:r w:rsidRPr="00743B09">
        <w:t xml:space="preserve">estatal y </w:t>
      </w:r>
      <w:r w:rsidRPr="00743B09">
        <w:rPr>
          <w:b/>
        </w:rPr>
        <w:t>municipal.</w:t>
      </w:r>
    </w:p>
    <w:p w14:paraId="04B4804F" w14:textId="77777777" w:rsidR="0075097B" w:rsidRPr="00743B09" w:rsidRDefault="0075097B" w:rsidP="00743B09">
      <w:pPr>
        <w:ind w:right="-93"/>
        <w:rPr>
          <w:b/>
        </w:rPr>
      </w:pPr>
    </w:p>
    <w:p w14:paraId="1BAAFEF0" w14:textId="77777777" w:rsidR="0075097B" w:rsidRPr="00743B09" w:rsidRDefault="00EB3223" w:rsidP="00743B09">
      <w:pPr>
        <w:ind w:right="-93"/>
      </w:pPr>
      <w:r w:rsidRPr="00743B09">
        <w:t>Conforme a lo anterior, se puede deducir que el área Seguridad Pública tiene como atribución principal, la prevención de delitos y proteger a las personas, sus propiedades, posesiones y derechos</w:t>
      </w:r>
    </w:p>
    <w:p w14:paraId="0A03056C" w14:textId="77777777" w:rsidR="0075097B" w:rsidRPr="00743B09" w:rsidRDefault="0075097B" w:rsidP="00743B09">
      <w:pPr>
        <w:ind w:right="-93"/>
      </w:pPr>
    </w:p>
    <w:p w14:paraId="30F3B79C" w14:textId="77777777" w:rsidR="0075097B" w:rsidRPr="00743B09" w:rsidRDefault="00EB3223" w:rsidP="00743B09">
      <w:pPr>
        <w:ind w:right="-93"/>
      </w:pPr>
      <w:r w:rsidRPr="00743B09">
        <w:t xml:space="preserve">Además, el Instructivo de llenado del Formato “Personal de Seguridad Pública”, del Secretariado Ejecutivo del Sistema Nacional de Seguridad Pública (consultado el veinticinco de abril de dos mil veintidós, a las dieciséis horas, en la liga electrónica </w:t>
      </w:r>
      <w:hyperlink r:id="rId14">
        <w:r w:rsidRPr="00743B09">
          <w:rPr>
            <w:u w:val="single"/>
          </w:rPr>
          <w:t>http://secretariadoejecutivo.gob.mx/work/models/SecretariadoEjecutivo/Resource/328/1/images/instructivo_final_edo_fuerza(1).pdf</w:t>
        </w:r>
      </w:hyperlink>
      <w:r w:rsidRPr="00743B09">
        <w:t xml:space="preserve">), establece que los elementos operativos de seguridad pública, son aquellos que desempeñan funciones de campo (policiacas, especializadas o </w:t>
      </w:r>
      <w:r w:rsidRPr="00743B09">
        <w:lastRenderedPageBreak/>
        <w:t xml:space="preserve">equivalentes y que no </w:t>
      </w:r>
      <w:r w:rsidRPr="00743B09">
        <w:rPr>
          <w:b/>
        </w:rPr>
        <w:t>desempeña funciones de mando</w:t>
      </w:r>
      <w:r w:rsidRPr="00743B09">
        <w:t xml:space="preserve">), entre los cuales, se encuentra </w:t>
      </w:r>
      <w:r w:rsidRPr="00743B09">
        <w:rPr>
          <w:b/>
        </w:rPr>
        <w:t>la Policía Municipal</w:t>
      </w:r>
      <w:r w:rsidRPr="00743B09">
        <w:t>.</w:t>
      </w:r>
    </w:p>
    <w:p w14:paraId="10D79811" w14:textId="77777777" w:rsidR="0075097B" w:rsidRPr="00743B09" w:rsidRDefault="0075097B" w:rsidP="00743B09">
      <w:pPr>
        <w:ind w:right="-93"/>
      </w:pPr>
    </w:p>
    <w:p w14:paraId="39F18716" w14:textId="77777777" w:rsidR="0075097B" w:rsidRPr="00743B09" w:rsidRDefault="00EB3223" w:rsidP="00743B09">
      <w:pPr>
        <w:ind w:right="-93"/>
      </w:pPr>
      <w:r w:rsidRPr="00743B09">
        <w:t>Además, que las Instituciones Policiales, se conforman del personal administrativo, que son los trabajadores de apoyo (chofer, personal de mantenimiento, servicios generales y área secretaria); así como, el personal de mando (alto, medio y superior), que es aquel que realiza funciones de dirección, coordinación y supervisión, por lo cual, corresponde a aquel que tenga trabajadores a su cargo.</w:t>
      </w:r>
    </w:p>
    <w:p w14:paraId="01D838B4" w14:textId="77777777" w:rsidR="0075097B" w:rsidRPr="00743B09" w:rsidRDefault="0075097B" w:rsidP="00743B09">
      <w:pPr>
        <w:tabs>
          <w:tab w:val="left" w:pos="4962"/>
        </w:tabs>
      </w:pPr>
    </w:p>
    <w:p w14:paraId="5F03FF78" w14:textId="77777777" w:rsidR="0075097B" w:rsidRPr="00743B09" w:rsidRDefault="00EB3223" w:rsidP="00743B09">
      <w:pPr>
        <w:ind w:right="-93"/>
      </w:pPr>
      <w:r w:rsidRPr="00743B09">
        <w:t>Así, dar a conocer el nombre de las personas, vinculado con el hecho que son elementos operativos o policías municipales,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376C93A3" w14:textId="77777777" w:rsidR="0075097B" w:rsidRPr="00743B09" w:rsidRDefault="0075097B" w:rsidP="00743B09"/>
    <w:p w14:paraId="5B68940D" w14:textId="77777777" w:rsidR="0075097B" w:rsidRPr="00743B09" w:rsidRDefault="00EB3223" w:rsidP="00743B09">
      <w:r w:rsidRPr="00743B09">
        <w:t xml:space="preserve">En consecuencia, este Órgano Garante determina que </w:t>
      </w:r>
      <w:r w:rsidRPr="00743B09">
        <w:rPr>
          <w:b/>
        </w:rPr>
        <w:t>EL SUJETO OBLIGADO</w:t>
      </w:r>
      <w:r w:rsidRPr="00743B09">
        <w:t xml:space="preserve"> deberá hacer entrega de la nómina del personal de seguridad al doce de febrero de dos mil veinticinco, junto con el Acuerdo en el que se clasifique como información reservada el nombre del personal operativo de Seguridad Pública, en términos de los ordinales 49, fracción VIII, 129, 140 y 141 de la Ley de Transparencia y Acceso a la Información pública del Estado de México y Municipios </w:t>
      </w:r>
    </w:p>
    <w:p w14:paraId="5604ADA2" w14:textId="77777777" w:rsidR="0075097B" w:rsidRPr="00743B09" w:rsidRDefault="0075097B" w:rsidP="00743B09">
      <w:pPr>
        <w:rPr>
          <w:i/>
        </w:rPr>
      </w:pPr>
    </w:p>
    <w:p w14:paraId="0C8603CF" w14:textId="77777777" w:rsidR="0075097B" w:rsidRPr="00743B09" w:rsidRDefault="00EB3223" w:rsidP="00743B09">
      <w:pPr>
        <w:pStyle w:val="Ttulo3"/>
      </w:pPr>
      <w:bookmarkStart w:id="35" w:name="_heading=h.1qvytxxi85v3" w:colFirst="0" w:colLast="0"/>
      <w:bookmarkEnd w:id="35"/>
      <w:r w:rsidRPr="00743B09">
        <w:t>d) Versión pública</w:t>
      </w:r>
    </w:p>
    <w:p w14:paraId="0C4CDB84" w14:textId="77777777" w:rsidR="0075097B" w:rsidRPr="00743B09" w:rsidRDefault="00EB3223" w:rsidP="00743B09">
      <w:r w:rsidRPr="00743B09">
        <w:t xml:space="preserve">Para el caso de que el o los documentos de los cuales se ordena su entrega contengan datos personales susceptibles de ser testados, deberán ser entregados en </w:t>
      </w:r>
      <w:r w:rsidRPr="00743B09">
        <w:rPr>
          <w:b/>
        </w:rPr>
        <w:t>versión pública</w:t>
      </w:r>
      <w:r w:rsidRPr="00743B09">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B8E1D15" w14:textId="77777777" w:rsidR="0075097B" w:rsidRPr="00743B09" w:rsidRDefault="0075097B" w:rsidP="00743B09"/>
    <w:p w14:paraId="15FEAF6F" w14:textId="77777777" w:rsidR="0075097B" w:rsidRPr="00743B09" w:rsidRDefault="00EB3223" w:rsidP="00743B09">
      <w:r w:rsidRPr="00743B09">
        <w:t>A este respecto, los artículos 3, fracciones IX, XX, XXI y XLV; 51 y 52 de la Ley de Transparencia y Acceso a la Información Pública del Estado de México y Municipios establecen:</w:t>
      </w:r>
    </w:p>
    <w:p w14:paraId="669CF217" w14:textId="77777777" w:rsidR="0075097B" w:rsidRPr="00743B09" w:rsidRDefault="0075097B" w:rsidP="00743B09"/>
    <w:p w14:paraId="2E00421C" w14:textId="77777777" w:rsidR="0075097B" w:rsidRPr="00743B09" w:rsidRDefault="00EB3223" w:rsidP="00743B09">
      <w:pPr>
        <w:pBdr>
          <w:top w:val="nil"/>
          <w:left w:val="nil"/>
          <w:bottom w:val="nil"/>
          <w:right w:val="nil"/>
          <w:between w:val="nil"/>
        </w:pBdr>
        <w:spacing w:line="240" w:lineRule="auto"/>
        <w:ind w:left="567" w:right="567" w:firstLine="567"/>
        <w:rPr>
          <w:i/>
        </w:rPr>
      </w:pPr>
      <w:r w:rsidRPr="00743B09">
        <w:rPr>
          <w:b/>
          <w:i/>
        </w:rPr>
        <w:t xml:space="preserve">“Artículo 3. </w:t>
      </w:r>
      <w:r w:rsidRPr="00743B09">
        <w:rPr>
          <w:i/>
        </w:rPr>
        <w:t xml:space="preserve">Para los efectos de la presente Ley se entenderá por: </w:t>
      </w:r>
    </w:p>
    <w:p w14:paraId="5AF4F946" w14:textId="77777777" w:rsidR="0075097B" w:rsidRPr="00743B09" w:rsidRDefault="00EB3223" w:rsidP="00743B09">
      <w:pPr>
        <w:pBdr>
          <w:top w:val="nil"/>
          <w:left w:val="nil"/>
          <w:bottom w:val="nil"/>
          <w:right w:val="nil"/>
          <w:between w:val="nil"/>
        </w:pBdr>
        <w:spacing w:line="240" w:lineRule="auto"/>
        <w:ind w:left="567" w:right="567" w:firstLine="567"/>
        <w:rPr>
          <w:i/>
        </w:rPr>
      </w:pPr>
      <w:r w:rsidRPr="00743B09">
        <w:rPr>
          <w:b/>
          <w:i/>
        </w:rPr>
        <w:t>IX.</w:t>
      </w:r>
      <w:r w:rsidRPr="00743B09">
        <w:rPr>
          <w:i/>
        </w:rPr>
        <w:t xml:space="preserve"> </w:t>
      </w:r>
      <w:r w:rsidRPr="00743B09">
        <w:rPr>
          <w:b/>
          <w:i/>
        </w:rPr>
        <w:t xml:space="preserve">Datos personales: </w:t>
      </w:r>
      <w:r w:rsidRPr="00743B09">
        <w:rPr>
          <w:i/>
        </w:rPr>
        <w:t xml:space="preserve">La información concerniente a una persona, identificada o identificable según lo dispuesto por la Ley de Protección de Datos Personales del Estado de México; </w:t>
      </w:r>
    </w:p>
    <w:p w14:paraId="030BC8C0" w14:textId="77777777" w:rsidR="0075097B" w:rsidRPr="00743B09" w:rsidRDefault="0075097B" w:rsidP="00743B09"/>
    <w:p w14:paraId="76212AD0" w14:textId="77777777" w:rsidR="0075097B" w:rsidRPr="00743B09" w:rsidRDefault="00EB3223" w:rsidP="00743B09">
      <w:pPr>
        <w:pBdr>
          <w:top w:val="nil"/>
          <w:left w:val="nil"/>
          <w:bottom w:val="nil"/>
          <w:right w:val="nil"/>
          <w:between w:val="nil"/>
        </w:pBdr>
        <w:spacing w:line="240" w:lineRule="auto"/>
        <w:ind w:left="567" w:right="567" w:firstLine="567"/>
        <w:rPr>
          <w:i/>
        </w:rPr>
      </w:pPr>
      <w:r w:rsidRPr="00743B09">
        <w:rPr>
          <w:b/>
          <w:i/>
        </w:rPr>
        <w:t>XX.</w:t>
      </w:r>
      <w:r w:rsidRPr="00743B09">
        <w:rPr>
          <w:i/>
        </w:rPr>
        <w:t xml:space="preserve"> </w:t>
      </w:r>
      <w:r w:rsidRPr="00743B09">
        <w:rPr>
          <w:b/>
          <w:i/>
        </w:rPr>
        <w:t>Información clasificada:</w:t>
      </w:r>
      <w:r w:rsidRPr="00743B09">
        <w:rPr>
          <w:i/>
        </w:rPr>
        <w:t xml:space="preserve"> Aquella considerada por la presente Ley como reservada o confidencial; </w:t>
      </w:r>
    </w:p>
    <w:p w14:paraId="71746F30" w14:textId="77777777" w:rsidR="0075097B" w:rsidRPr="00743B09" w:rsidRDefault="0075097B" w:rsidP="00743B09"/>
    <w:p w14:paraId="1ADA7E80" w14:textId="77777777" w:rsidR="0075097B" w:rsidRPr="00743B09" w:rsidRDefault="00EB3223" w:rsidP="00743B09">
      <w:pPr>
        <w:pBdr>
          <w:top w:val="nil"/>
          <w:left w:val="nil"/>
          <w:bottom w:val="nil"/>
          <w:right w:val="nil"/>
          <w:between w:val="nil"/>
        </w:pBdr>
        <w:spacing w:line="240" w:lineRule="auto"/>
        <w:ind w:left="567" w:right="567" w:firstLine="567"/>
        <w:rPr>
          <w:i/>
        </w:rPr>
      </w:pPr>
      <w:r w:rsidRPr="00743B09">
        <w:rPr>
          <w:b/>
          <w:i/>
        </w:rPr>
        <w:t>XXI.</w:t>
      </w:r>
      <w:r w:rsidRPr="00743B09">
        <w:rPr>
          <w:i/>
        </w:rPr>
        <w:t xml:space="preserve"> </w:t>
      </w:r>
      <w:r w:rsidRPr="00743B09">
        <w:rPr>
          <w:b/>
          <w:i/>
        </w:rPr>
        <w:t>Información confidencial</w:t>
      </w:r>
      <w:r w:rsidRPr="00743B09">
        <w:rPr>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B33A3EE" w14:textId="77777777" w:rsidR="0075097B" w:rsidRPr="00743B09" w:rsidRDefault="0075097B" w:rsidP="00743B09"/>
    <w:p w14:paraId="1724BA7B" w14:textId="77777777" w:rsidR="0075097B" w:rsidRPr="00743B09" w:rsidRDefault="00EB3223" w:rsidP="00743B09">
      <w:pPr>
        <w:pBdr>
          <w:top w:val="nil"/>
          <w:left w:val="nil"/>
          <w:bottom w:val="nil"/>
          <w:right w:val="nil"/>
          <w:between w:val="nil"/>
        </w:pBdr>
        <w:spacing w:line="240" w:lineRule="auto"/>
        <w:ind w:left="567" w:right="567" w:firstLine="567"/>
        <w:rPr>
          <w:i/>
        </w:rPr>
      </w:pPr>
      <w:r w:rsidRPr="00743B09">
        <w:rPr>
          <w:b/>
          <w:i/>
        </w:rPr>
        <w:lastRenderedPageBreak/>
        <w:t>XLV. Versión pública:</w:t>
      </w:r>
      <w:r w:rsidRPr="00743B09">
        <w:rPr>
          <w:i/>
        </w:rPr>
        <w:t xml:space="preserve"> Documento en el que se elimine, suprime o borra la información clasificada como reservada o confidencial para permitir su acceso. </w:t>
      </w:r>
    </w:p>
    <w:p w14:paraId="7712AC10" w14:textId="77777777" w:rsidR="0075097B" w:rsidRPr="00743B09" w:rsidRDefault="0075097B" w:rsidP="00743B09"/>
    <w:p w14:paraId="225FE889" w14:textId="77777777" w:rsidR="0075097B" w:rsidRPr="00743B09" w:rsidRDefault="00EB3223" w:rsidP="00743B09">
      <w:pPr>
        <w:pBdr>
          <w:top w:val="nil"/>
          <w:left w:val="nil"/>
          <w:bottom w:val="nil"/>
          <w:right w:val="nil"/>
          <w:between w:val="nil"/>
        </w:pBdr>
        <w:spacing w:line="240" w:lineRule="auto"/>
        <w:ind w:left="567" w:right="567" w:firstLine="567"/>
        <w:rPr>
          <w:i/>
        </w:rPr>
      </w:pPr>
      <w:r w:rsidRPr="00743B09">
        <w:rPr>
          <w:b/>
          <w:i/>
        </w:rPr>
        <w:t>Artículo 51.</w:t>
      </w:r>
      <w:r w:rsidRPr="00743B09">
        <w:rPr>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743B09">
        <w:rPr>
          <w:b/>
          <w:i/>
        </w:rPr>
        <w:t xml:space="preserve">y tendrá la responsabilidad de verificar en cada caso que la misma no sea confidencial o reservada. </w:t>
      </w:r>
      <w:r w:rsidRPr="00743B09">
        <w:rPr>
          <w:i/>
        </w:rPr>
        <w:t>Dicha Unidad contará con las facultades internas necesarias para gestionar la atención a las solicitudes de información en los términos de la Ley General y la presente Ley.</w:t>
      </w:r>
    </w:p>
    <w:p w14:paraId="54689A06" w14:textId="77777777" w:rsidR="0075097B" w:rsidRPr="00743B09" w:rsidRDefault="0075097B" w:rsidP="00743B09"/>
    <w:p w14:paraId="4BE9B23E" w14:textId="77777777" w:rsidR="0075097B" w:rsidRPr="00743B09" w:rsidRDefault="00EB3223" w:rsidP="00743B09">
      <w:pPr>
        <w:pBdr>
          <w:top w:val="nil"/>
          <w:left w:val="nil"/>
          <w:bottom w:val="nil"/>
          <w:right w:val="nil"/>
          <w:between w:val="nil"/>
        </w:pBdr>
        <w:spacing w:line="240" w:lineRule="auto"/>
        <w:ind w:left="567" w:right="567" w:firstLine="567"/>
        <w:rPr>
          <w:i/>
        </w:rPr>
      </w:pPr>
      <w:r w:rsidRPr="00743B09">
        <w:rPr>
          <w:b/>
          <w:i/>
        </w:rPr>
        <w:t>Artículo 52.</w:t>
      </w:r>
      <w:r w:rsidRPr="00743B09">
        <w:rPr>
          <w:i/>
        </w:rPr>
        <w:t xml:space="preserve"> Las solicitudes de acceso a la información y las respuestas que se les dé, incluyendo, en su caso, </w:t>
      </w:r>
      <w:r w:rsidRPr="00743B09">
        <w:rPr>
          <w:i/>
          <w:u w:val="single"/>
        </w:rPr>
        <w:t>la información entregada, así como las resoluciones a los recursos que en su caso se promuevan serán públicas, y de ser el caso que contenga datos personales que deban ser protegidos se podrá dar su acceso en su versión pública</w:t>
      </w:r>
      <w:r w:rsidRPr="00743B09">
        <w:rPr>
          <w:i/>
        </w:rPr>
        <w:t xml:space="preserve">, siempre y cuando la resolución de referencia se someta a un proceso de disociación, es decir, no haga identificable al titular de tales datos personales.” </w:t>
      </w:r>
      <w:r w:rsidRPr="00743B09">
        <w:t>(Énfasis añadido)</w:t>
      </w:r>
    </w:p>
    <w:p w14:paraId="5F67DB19" w14:textId="77777777" w:rsidR="0075097B" w:rsidRPr="00743B09" w:rsidRDefault="0075097B" w:rsidP="00743B09"/>
    <w:p w14:paraId="2E4D4179" w14:textId="77777777" w:rsidR="0075097B" w:rsidRPr="00743B09" w:rsidRDefault="00EB3223" w:rsidP="00743B09">
      <w:r w:rsidRPr="00743B09">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64D58E4E" w14:textId="77777777" w:rsidR="0075097B" w:rsidRPr="00743B09" w:rsidRDefault="0075097B" w:rsidP="00743B09"/>
    <w:p w14:paraId="6FC12DE2" w14:textId="77777777" w:rsidR="0075097B" w:rsidRPr="00743B09" w:rsidRDefault="00EB3223" w:rsidP="00743B09">
      <w:pPr>
        <w:pBdr>
          <w:top w:val="nil"/>
          <w:left w:val="nil"/>
          <w:bottom w:val="nil"/>
          <w:right w:val="nil"/>
          <w:between w:val="nil"/>
        </w:pBdr>
        <w:spacing w:line="240" w:lineRule="auto"/>
        <w:ind w:left="567" w:right="567" w:firstLine="567"/>
        <w:rPr>
          <w:i/>
        </w:rPr>
      </w:pPr>
      <w:r w:rsidRPr="00743B09">
        <w:rPr>
          <w:b/>
          <w:i/>
        </w:rPr>
        <w:t>“Artículo 22.</w:t>
      </w:r>
      <w:r w:rsidRPr="00743B09">
        <w:rPr>
          <w:i/>
        </w:rPr>
        <w:t xml:space="preserve"> Todo tratamiento de datos personales que efectúe el responsable deberá estar justificado por finalidades concretas, lícitas, explícitas y legítimas, relacionadas con las atribuciones que la normatividad aplicable les confiera. </w:t>
      </w:r>
    </w:p>
    <w:p w14:paraId="610A385A" w14:textId="77777777" w:rsidR="0075097B" w:rsidRPr="00743B09" w:rsidRDefault="0075097B" w:rsidP="00743B09"/>
    <w:p w14:paraId="6020BB45" w14:textId="77777777" w:rsidR="0075097B" w:rsidRPr="00743B09" w:rsidRDefault="00EB3223" w:rsidP="00743B09">
      <w:pPr>
        <w:pBdr>
          <w:top w:val="nil"/>
          <w:left w:val="nil"/>
          <w:bottom w:val="nil"/>
          <w:right w:val="nil"/>
          <w:between w:val="nil"/>
        </w:pBdr>
        <w:spacing w:line="240" w:lineRule="auto"/>
        <w:ind w:left="567" w:right="567" w:firstLine="567"/>
        <w:rPr>
          <w:i/>
        </w:rPr>
      </w:pPr>
      <w:r w:rsidRPr="00743B09">
        <w:rPr>
          <w:b/>
          <w:i/>
        </w:rPr>
        <w:lastRenderedPageBreak/>
        <w:t>Artículo 38.</w:t>
      </w:r>
      <w:r w:rsidRPr="00743B09">
        <w:rPr>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743B09">
        <w:rPr>
          <w:b/>
          <w:i/>
        </w:rPr>
        <w:t>”</w:t>
      </w:r>
      <w:r w:rsidRPr="00743B09">
        <w:rPr>
          <w:i/>
        </w:rPr>
        <w:t xml:space="preserve"> </w:t>
      </w:r>
    </w:p>
    <w:p w14:paraId="62BD3974" w14:textId="77777777" w:rsidR="0075097B" w:rsidRPr="00743B09" w:rsidRDefault="0075097B" w:rsidP="00743B09">
      <w:pPr>
        <w:rPr>
          <w:i/>
        </w:rPr>
      </w:pPr>
    </w:p>
    <w:p w14:paraId="10520CDB" w14:textId="77777777" w:rsidR="0075097B" w:rsidRPr="00743B09" w:rsidRDefault="00EB3223" w:rsidP="00743B09">
      <w:r w:rsidRPr="00743B09">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36C3EEBF" w14:textId="77777777" w:rsidR="0075097B" w:rsidRPr="00743B09" w:rsidRDefault="0075097B" w:rsidP="00743B09"/>
    <w:p w14:paraId="15AAF047" w14:textId="77777777" w:rsidR="0075097B" w:rsidRPr="00743B09" w:rsidRDefault="00EB3223" w:rsidP="00743B09">
      <w:r w:rsidRPr="00743B09">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743B09">
        <w:rPr>
          <w:b/>
        </w:rPr>
        <w:t>EL SUJETO OBLIGADO,</w:t>
      </w:r>
      <w:r w:rsidRPr="00743B09">
        <w:t xml:space="preserve"> por lo que, todo dato personal susceptible de clasificación debe ser protegido.</w:t>
      </w:r>
    </w:p>
    <w:p w14:paraId="59D093EE" w14:textId="77777777" w:rsidR="0075097B" w:rsidRPr="00743B09" w:rsidRDefault="0075097B" w:rsidP="00743B09"/>
    <w:p w14:paraId="31C7FDE2" w14:textId="77777777" w:rsidR="0075097B" w:rsidRPr="00743B09" w:rsidRDefault="00EB3223" w:rsidP="00743B09">
      <w:r w:rsidRPr="00743B09">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60639A92" w14:textId="77777777" w:rsidR="0075097B" w:rsidRPr="00743B09" w:rsidRDefault="0075097B" w:rsidP="00743B09"/>
    <w:p w14:paraId="682DBA37" w14:textId="77777777" w:rsidR="0075097B" w:rsidRPr="00743B09" w:rsidRDefault="00EB3223" w:rsidP="00743B09">
      <w:r w:rsidRPr="00743B09">
        <w:t xml:space="preserve">Asimismo, es importante señalar que dicha clasificación se tiene que efectuar mediante la forma y formalidades que la ley de la materia impone; es decir, mediante acuerdo </w:t>
      </w:r>
      <w:r w:rsidRPr="00743B09">
        <w:lastRenderedPageBreak/>
        <w:t>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3D4DAE64" w14:textId="77777777" w:rsidR="0075097B" w:rsidRPr="00743B09" w:rsidRDefault="0075097B" w:rsidP="00743B09"/>
    <w:p w14:paraId="68280712" w14:textId="77777777" w:rsidR="0075097B" w:rsidRPr="00743B09" w:rsidRDefault="00EB3223" w:rsidP="00743B09">
      <w:pPr>
        <w:pBdr>
          <w:top w:val="nil"/>
          <w:left w:val="nil"/>
          <w:bottom w:val="nil"/>
          <w:right w:val="nil"/>
          <w:between w:val="nil"/>
        </w:pBdr>
        <w:spacing w:line="240" w:lineRule="auto"/>
        <w:ind w:left="567" w:right="567" w:firstLine="567"/>
        <w:jc w:val="center"/>
        <w:rPr>
          <w:b/>
          <w:i/>
        </w:rPr>
      </w:pPr>
      <w:r w:rsidRPr="00743B09">
        <w:rPr>
          <w:b/>
          <w:i/>
        </w:rPr>
        <w:t>Ley de Transparencia y Acceso a la Información Pública del Estado de México y Municipios</w:t>
      </w:r>
    </w:p>
    <w:p w14:paraId="62A42816" w14:textId="77777777" w:rsidR="0075097B" w:rsidRPr="00743B09" w:rsidRDefault="0075097B" w:rsidP="00743B09"/>
    <w:p w14:paraId="4EA2B912" w14:textId="77777777" w:rsidR="0075097B" w:rsidRPr="00743B09" w:rsidRDefault="00EB3223" w:rsidP="00743B09">
      <w:pPr>
        <w:pBdr>
          <w:top w:val="nil"/>
          <w:left w:val="nil"/>
          <w:bottom w:val="nil"/>
          <w:right w:val="nil"/>
          <w:between w:val="nil"/>
        </w:pBdr>
        <w:spacing w:line="240" w:lineRule="auto"/>
        <w:ind w:left="567" w:right="567" w:firstLine="567"/>
        <w:rPr>
          <w:i/>
        </w:rPr>
      </w:pPr>
      <w:r w:rsidRPr="00743B09">
        <w:rPr>
          <w:b/>
          <w:i/>
        </w:rPr>
        <w:t xml:space="preserve">“Artículo 49. </w:t>
      </w:r>
      <w:r w:rsidRPr="00743B09">
        <w:rPr>
          <w:i/>
        </w:rPr>
        <w:t>Los Comités de Transparencia tendrán las siguientes atribuciones:</w:t>
      </w:r>
    </w:p>
    <w:p w14:paraId="53A2C2A7" w14:textId="77777777" w:rsidR="0075097B" w:rsidRPr="00743B09" w:rsidRDefault="00EB3223" w:rsidP="00743B09">
      <w:pPr>
        <w:pBdr>
          <w:top w:val="nil"/>
          <w:left w:val="nil"/>
          <w:bottom w:val="nil"/>
          <w:right w:val="nil"/>
          <w:between w:val="nil"/>
        </w:pBdr>
        <w:spacing w:line="240" w:lineRule="auto"/>
        <w:ind w:left="567" w:right="567" w:firstLine="567"/>
        <w:rPr>
          <w:i/>
        </w:rPr>
      </w:pPr>
      <w:r w:rsidRPr="00743B09">
        <w:rPr>
          <w:b/>
          <w:i/>
        </w:rPr>
        <w:t>VIII.</w:t>
      </w:r>
      <w:r w:rsidRPr="00743B09">
        <w:rPr>
          <w:i/>
        </w:rPr>
        <w:t xml:space="preserve"> Aprobar, modificar o revocar la clasificación de la información;</w:t>
      </w:r>
    </w:p>
    <w:p w14:paraId="261255B7" w14:textId="77777777" w:rsidR="0075097B" w:rsidRPr="00743B09" w:rsidRDefault="0075097B" w:rsidP="00743B09"/>
    <w:p w14:paraId="286F072D" w14:textId="77777777" w:rsidR="0075097B" w:rsidRPr="00743B09" w:rsidRDefault="00EB3223" w:rsidP="00743B09">
      <w:pPr>
        <w:pBdr>
          <w:top w:val="nil"/>
          <w:left w:val="nil"/>
          <w:bottom w:val="nil"/>
          <w:right w:val="nil"/>
          <w:between w:val="nil"/>
        </w:pBdr>
        <w:spacing w:line="240" w:lineRule="auto"/>
        <w:ind w:left="567" w:right="567" w:firstLine="567"/>
        <w:rPr>
          <w:i/>
        </w:rPr>
      </w:pPr>
      <w:r w:rsidRPr="00743B09">
        <w:rPr>
          <w:b/>
          <w:i/>
        </w:rPr>
        <w:t>Artículo 132.</w:t>
      </w:r>
      <w:r w:rsidRPr="00743B09">
        <w:rPr>
          <w:i/>
        </w:rPr>
        <w:t xml:space="preserve"> La clasificación de la información se llevará a cabo en el momento en que:</w:t>
      </w:r>
    </w:p>
    <w:p w14:paraId="46731DF1" w14:textId="77777777" w:rsidR="0075097B" w:rsidRPr="00743B09" w:rsidRDefault="00EB3223" w:rsidP="00743B09">
      <w:pPr>
        <w:pBdr>
          <w:top w:val="nil"/>
          <w:left w:val="nil"/>
          <w:bottom w:val="nil"/>
          <w:right w:val="nil"/>
          <w:between w:val="nil"/>
        </w:pBdr>
        <w:spacing w:line="240" w:lineRule="auto"/>
        <w:ind w:left="567" w:right="567" w:firstLine="567"/>
        <w:rPr>
          <w:i/>
        </w:rPr>
      </w:pPr>
      <w:r w:rsidRPr="00743B09">
        <w:rPr>
          <w:b/>
          <w:i/>
        </w:rPr>
        <w:t>I.</w:t>
      </w:r>
      <w:r w:rsidRPr="00743B09">
        <w:rPr>
          <w:i/>
        </w:rPr>
        <w:t xml:space="preserve"> Se reciba una solicitud de acceso a la información;</w:t>
      </w:r>
    </w:p>
    <w:p w14:paraId="49508329" w14:textId="77777777" w:rsidR="0075097B" w:rsidRPr="00743B09" w:rsidRDefault="00EB3223" w:rsidP="00743B09">
      <w:pPr>
        <w:pBdr>
          <w:top w:val="nil"/>
          <w:left w:val="nil"/>
          <w:bottom w:val="nil"/>
          <w:right w:val="nil"/>
          <w:between w:val="nil"/>
        </w:pBdr>
        <w:spacing w:line="240" w:lineRule="auto"/>
        <w:ind w:left="567" w:right="567" w:firstLine="567"/>
        <w:rPr>
          <w:i/>
        </w:rPr>
      </w:pPr>
      <w:r w:rsidRPr="00743B09">
        <w:rPr>
          <w:b/>
          <w:i/>
        </w:rPr>
        <w:t>II.</w:t>
      </w:r>
      <w:r w:rsidRPr="00743B09">
        <w:rPr>
          <w:i/>
        </w:rPr>
        <w:t xml:space="preserve"> Se determine mediante resolución de autoridad competente; o</w:t>
      </w:r>
    </w:p>
    <w:p w14:paraId="30C4A937" w14:textId="77777777" w:rsidR="0075097B" w:rsidRPr="00743B09" w:rsidRDefault="00EB3223" w:rsidP="00743B09">
      <w:pPr>
        <w:pBdr>
          <w:top w:val="nil"/>
          <w:left w:val="nil"/>
          <w:bottom w:val="nil"/>
          <w:right w:val="nil"/>
          <w:between w:val="nil"/>
        </w:pBdr>
        <w:spacing w:line="240" w:lineRule="auto"/>
        <w:ind w:left="567" w:right="567" w:firstLine="567"/>
        <w:rPr>
          <w:b/>
          <w:i/>
        </w:rPr>
      </w:pPr>
      <w:r w:rsidRPr="00743B09">
        <w:rPr>
          <w:b/>
          <w:i/>
        </w:rPr>
        <w:t>III.</w:t>
      </w:r>
      <w:r w:rsidRPr="00743B09">
        <w:rPr>
          <w:i/>
        </w:rPr>
        <w:t xml:space="preserve"> Se generen versiones públicas para dar cumplimiento a las obligaciones de transparencia previstas en esta Ley.</w:t>
      </w:r>
      <w:r w:rsidRPr="00743B09">
        <w:rPr>
          <w:b/>
          <w:i/>
        </w:rPr>
        <w:t>”</w:t>
      </w:r>
    </w:p>
    <w:p w14:paraId="039C7D59" w14:textId="77777777" w:rsidR="0075097B" w:rsidRPr="00743B09" w:rsidRDefault="0075097B" w:rsidP="00743B09"/>
    <w:p w14:paraId="2581750F" w14:textId="77777777" w:rsidR="0075097B" w:rsidRPr="00743B09" w:rsidRDefault="00EB3223" w:rsidP="00743B09">
      <w:pPr>
        <w:pBdr>
          <w:top w:val="nil"/>
          <w:left w:val="nil"/>
          <w:bottom w:val="nil"/>
          <w:right w:val="nil"/>
          <w:between w:val="nil"/>
        </w:pBdr>
        <w:spacing w:line="240" w:lineRule="auto"/>
        <w:ind w:left="567" w:right="567" w:firstLine="567"/>
        <w:rPr>
          <w:i/>
        </w:rPr>
      </w:pPr>
      <w:r w:rsidRPr="00743B09">
        <w:rPr>
          <w:b/>
          <w:i/>
        </w:rPr>
        <w:t>“Segundo. -</w:t>
      </w:r>
      <w:r w:rsidRPr="00743B09">
        <w:rPr>
          <w:i/>
        </w:rPr>
        <w:t xml:space="preserve"> Para efectos de los presentes Lineamientos Generales, se entenderá por:</w:t>
      </w:r>
    </w:p>
    <w:p w14:paraId="72747CFD" w14:textId="77777777" w:rsidR="0075097B" w:rsidRPr="00743B09" w:rsidRDefault="00EB3223" w:rsidP="00743B09">
      <w:pPr>
        <w:pBdr>
          <w:top w:val="nil"/>
          <w:left w:val="nil"/>
          <w:bottom w:val="nil"/>
          <w:right w:val="nil"/>
          <w:between w:val="nil"/>
        </w:pBdr>
        <w:spacing w:line="240" w:lineRule="auto"/>
        <w:ind w:left="567" w:right="567" w:firstLine="567"/>
        <w:rPr>
          <w:i/>
        </w:rPr>
      </w:pPr>
      <w:r w:rsidRPr="00743B09">
        <w:rPr>
          <w:b/>
          <w:i/>
        </w:rPr>
        <w:t>XVIII.</w:t>
      </w:r>
      <w:r w:rsidRPr="00743B09">
        <w:rPr>
          <w:i/>
        </w:rPr>
        <w:t xml:space="preserve">  </w:t>
      </w:r>
      <w:r w:rsidRPr="00743B09">
        <w:rPr>
          <w:b/>
          <w:i/>
        </w:rPr>
        <w:t>Versión pública:</w:t>
      </w:r>
      <w:r w:rsidRPr="00743B09">
        <w:rPr>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9EBED1E" w14:textId="77777777" w:rsidR="0075097B" w:rsidRPr="00743B09" w:rsidRDefault="0075097B" w:rsidP="00743B09">
      <w:pPr>
        <w:pBdr>
          <w:top w:val="nil"/>
          <w:left w:val="nil"/>
          <w:bottom w:val="nil"/>
          <w:right w:val="nil"/>
          <w:between w:val="nil"/>
        </w:pBdr>
        <w:spacing w:line="240" w:lineRule="auto"/>
        <w:ind w:left="567" w:right="567" w:firstLine="567"/>
        <w:rPr>
          <w:i/>
        </w:rPr>
      </w:pPr>
    </w:p>
    <w:p w14:paraId="6AF497CC" w14:textId="77777777" w:rsidR="0075097B" w:rsidRPr="00743B09" w:rsidRDefault="00EB3223" w:rsidP="00743B09">
      <w:pPr>
        <w:pBdr>
          <w:top w:val="nil"/>
          <w:left w:val="nil"/>
          <w:bottom w:val="nil"/>
          <w:right w:val="nil"/>
          <w:between w:val="nil"/>
        </w:pBdr>
        <w:spacing w:line="240" w:lineRule="auto"/>
        <w:ind w:left="567" w:right="567" w:firstLine="567"/>
        <w:rPr>
          <w:b/>
          <w:i/>
        </w:rPr>
      </w:pPr>
      <w:r w:rsidRPr="00743B09">
        <w:rPr>
          <w:b/>
          <w:i/>
        </w:rPr>
        <w:t>Lineamientos Generales en materia de Clasificación y Desclasificación de la Información</w:t>
      </w:r>
    </w:p>
    <w:p w14:paraId="44706FB6" w14:textId="77777777" w:rsidR="0075097B" w:rsidRPr="00743B09" w:rsidRDefault="0075097B" w:rsidP="00743B09">
      <w:pPr>
        <w:pBdr>
          <w:top w:val="nil"/>
          <w:left w:val="nil"/>
          <w:bottom w:val="nil"/>
          <w:right w:val="nil"/>
          <w:between w:val="nil"/>
        </w:pBdr>
        <w:spacing w:line="240" w:lineRule="auto"/>
        <w:ind w:left="567" w:right="567" w:firstLine="567"/>
        <w:rPr>
          <w:i/>
        </w:rPr>
      </w:pPr>
    </w:p>
    <w:p w14:paraId="287A63AC" w14:textId="77777777" w:rsidR="0075097B" w:rsidRPr="00743B09" w:rsidRDefault="00EB3223" w:rsidP="00743B09">
      <w:pPr>
        <w:pBdr>
          <w:top w:val="nil"/>
          <w:left w:val="nil"/>
          <w:bottom w:val="nil"/>
          <w:right w:val="nil"/>
          <w:between w:val="nil"/>
        </w:pBdr>
        <w:spacing w:line="240" w:lineRule="auto"/>
        <w:ind w:left="567" w:right="567" w:firstLine="567"/>
        <w:rPr>
          <w:i/>
        </w:rPr>
      </w:pPr>
      <w:r w:rsidRPr="00743B09">
        <w:rPr>
          <w:b/>
          <w:i/>
        </w:rPr>
        <w:t>Cuarto.</w:t>
      </w:r>
      <w:r w:rsidRPr="00743B09">
        <w:rPr>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w:t>
      </w:r>
      <w:r w:rsidRPr="00743B09">
        <w:rPr>
          <w:i/>
        </w:rPr>
        <w:lastRenderedPageBreak/>
        <w:t>de sus respectivas competencias, en tanto estas últimas no contravengan lo dispuesto en la Ley General.</w:t>
      </w:r>
    </w:p>
    <w:p w14:paraId="7A4E8D0E" w14:textId="77777777" w:rsidR="0075097B" w:rsidRPr="00743B09" w:rsidRDefault="00EB3223" w:rsidP="00743B09">
      <w:pPr>
        <w:pBdr>
          <w:top w:val="nil"/>
          <w:left w:val="nil"/>
          <w:bottom w:val="nil"/>
          <w:right w:val="nil"/>
          <w:between w:val="nil"/>
        </w:pBdr>
        <w:spacing w:line="240" w:lineRule="auto"/>
        <w:ind w:left="567" w:right="567" w:firstLine="567"/>
        <w:rPr>
          <w:i/>
        </w:rPr>
      </w:pPr>
      <w:r w:rsidRPr="00743B09">
        <w:rPr>
          <w:i/>
        </w:rPr>
        <w:t>Los sujetos obligados deberán aplicar, de manera estricta, las excepciones al derecho de acceso a la información y sólo podrán invocarlas cuando acrediten su procedencia.</w:t>
      </w:r>
    </w:p>
    <w:p w14:paraId="32864E8B" w14:textId="77777777" w:rsidR="0075097B" w:rsidRPr="00743B09" w:rsidRDefault="0075097B" w:rsidP="00743B09"/>
    <w:p w14:paraId="657FF918" w14:textId="77777777" w:rsidR="0075097B" w:rsidRPr="00743B09" w:rsidRDefault="00EB3223" w:rsidP="00743B09">
      <w:pPr>
        <w:pBdr>
          <w:top w:val="nil"/>
          <w:left w:val="nil"/>
          <w:bottom w:val="nil"/>
          <w:right w:val="nil"/>
          <w:between w:val="nil"/>
        </w:pBdr>
        <w:spacing w:line="240" w:lineRule="auto"/>
        <w:ind w:left="567" w:right="567" w:firstLine="567"/>
        <w:rPr>
          <w:i/>
        </w:rPr>
      </w:pPr>
      <w:r w:rsidRPr="00743B09">
        <w:rPr>
          <w:b/>
          <w:i/>
        </w:rPr>
        <w:t>Quinto.</w:t>
      </w:r>
      <w:r w:rsidRPr="00743B09">
        <w:rPr>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983FC4F" w14:textId="77777777" w:rsidR="0075097B" w:rsidRPr="00743B09" w:rsidRDefault="0075097B" w:rsidP="00743B09"/>
    <w:p w14:paraId="577366CC" w14:textId="77777777" w:rsidR="0075097B" w:rsidRPr="00743B09" w:rsidRDefault="00EB3223" w:rsidP="00743B09">
      <w:pPr>
        <w:pBdr>
          <w:top w:val="nil"/>
          <w:left w:val="nil"/>
          <w:bottom w:val="nil"/>
          <w:right w:val="nil"/>
          <w:between w:val="nil"/>
        </w:pBdr>
        <w:spacing w:line="240" w:lineRule="auto"/>
        <w:ind w:left="567" w:right="567" w:firstLine="567"/>
        <w:rPr>
          <w:i/>
        </w:rPr>
      </w:pPr>
      <w:r w:rsidRPr="00743B09">
        <w:rPr>
          <w:b/>
          <w:i/>
        </w:rPr>
        <w:t>Sexto.</w:t>
      </w:r>
      <w:r w:rsidRPr="00743B09">
        <w:rPr>
          <w:i/>
        </w:rPr>
        <w:t xml:space="preserve"> Se deroga.</w:t>
      </w:r>
    </w:p>
    <w:p w14:paraId="013B82F2" w14:textId="77777777" w:rsidR="0075097B" w:rsidRPr="00743B09" w:rsidRDefault="0075097B" w:rsidP="00743B09"/>
    <w:p w14:paraId="631B216E" w14:textId="77777777" w:rsidR="0075097B" w:rsidRPr="00743B09" w:rsidRDefault="00EB3223" w:rsidP="00743B09">
      <w:pPr>
        <w:pBdr>
          <w:top w:val="nil"/>
          <w:left w:val="nil"/>
          <w:bottom w:val="nil"/>
          <w:right w:val="nil"/>
          <w:between w:val="nil"/>
        </w:pBdr>
        <w:spacing w:line="240" w:lineRule="auto"/>
        <w:ind w:left="567" w:right="567" w:firstLine="567"/>
        <w:rPr>
          <w:i/>
        </w:rPr>
      </w:pPr>
      <w:r w:rsidRPr="00743B09">
        <w:rPr>
          <w:b/>
          <w:i/>
        </w:rPr>
        <w:t>Séptimo.</w:t>
      </w:r>
      <w:r w:rsidRPr="00743B09">
        <w:rPr>
          <w:i/>
        </w:rPr>
        <w:t xml:space="preserve"> La clasificación de la información se llevará a cabo en el momento en que:</w:t>
      </w:r>
    </w:p>
    <w:p w14:paraId="22DE568D" w14:textId="77777777" w:rsidR="0075097B" w:rsidRPr="00743B09" w:rsidRDefault="00EB3223" w:rsidP="00743B09">
      <w:pPr>
        <w:pBdr>
          <w:top w:val="nil"/>
          <w:left w:val="nil"/>
          <w:bottom w:val="nil"/>
          <w:right w:val="nil"/>
          <w:between w:val="nil"/>
        </w:pBdr>
        <w:spacing w:line="240" w:lineRule="auto"/>
        <w:ind w:left="567" w:right="567" w:firstLine="567"/>
        <w:rPr>
          <w:i/>
        </w:rPr>
      </w:pPr>
      <w:r w:rsidRPr="00743B09">
        <w:rPr>
          <w:b/>
          <w:i/>
        </w:rPr>
        <w:t>I.</w:t>
      </w:r>
      <w:r w:rsidRPr="00743B09">
        <w:rPr>
          <w:i/>
        </w:rPr>
        <w:t xml:space="preserve">        Se reciba una solicitud de acceso a la información;</w:t>
      </w:r>
    </w:p>
    <w:p w14:paraId="46AB1924" w14:textId="77777777" w:rsidR="0075097B" w:rsidRPr="00743B09" w:rsidRDefault="00EB3223" w:rsidP="00743B09">
      <w:pPr>
        <w:pBdr>
          <w:top w:val="nil"/>
          <w:left w:val="nil"/>
          <w:bottom w:val="nil"/>
          <w:right w:val="nil"/>
          <w:between w:val="nil"/>
        </w:pBdr>
        <w:spacing w:line="240" w:lineRule="auto"/>
        <w:ind w:left="567" w:right="567" w:firstLine="567"/>
        <w:rPr>
          <w:i/>
        </w:rPr>
      </w:pPr>
      <w:r w:rsidRPr="00743B09">
        <w:rPr>
          <w:b/>
          <w:i/>
        </w:rPr>
        <w:t>II.</w:t>
      </w:r>
      <w:r w:rsidRPr="00743B09">
        <w:rPr>
          <w:i/>
        </w:rPr>
        <w:t xml:space="preserve">       Se determine mediante resolución del Comité de Transparencia, el órgano garante competente, o en cumplimiento a una sentencia del Poder Judicial; o</w:t>
      </w:r>
    </w:p>
    <w:p w14:paraId="2CF06394" w14:textId="77777777" w:rsidR="0075097B" w:rsidRPr="00743B09" w:rsidRDefault="00EB3223" w:rsidP="00743B09">
      <w:pPr>
        <w:pBdr>
          <w:top w:val="nil"/>
          <w:left w:val="nil"/>
          <w:bottom w:val="nil"/>
          <w:right w:val="nil"/>
          <w:between w:val="nil"/>
        </w:pBdr>
        <w:spacing w:line="240" w:lineRule="auto"/>
        <w:ind w:left="567" w:right="567" w:firstLine="567"/>
        <w:rPr>
          <w:i/>
        </w:rPr>
      </w:pPr>
      <w:r w:rsidRPr="00743B09">
        <w:rPr>
          <w:b/>
          <w:i/>
        </w:rPr>
        <w:t>III.</w:t>
      </w:r>
      <w:r w:rsidRPr="00743B09">
        <w:rPr>
          <w:i/>
        </w:rPr>
        <w:t xml:space="preserve">      Se generen versiones públicas para dar cumplimiento a las obligaciones de transparencia previstas en la Ley General, la Ley Federal y las correspondientes de las entidades federativas.</w:t>
      </w:r>
    </w:p>
    <w:p w14:paraId="1D28F504" w14:textId="77777777" w:rsidR="0075097B" w:rsidRPr="00743B09" w:rsidRDefault="00EB3223" w:rsidP="00743B09">
      <w:pPr>
        <w:pBdr>
          <w:top w:val="nil"/>
          <w:left w:val="nil"/>
          <w:bottom w:val="nil"/>
          <w:right w:val="nil"/>
          <w:between w:val="nil"/>
        </w:pBdr>
        <w:spacing w:line="240" w:lineRule="auto"/>
        <w:ind w:left="567" w:right="567" w:firstLine="567"/>
        <w:rPr>
          <w:i/>
        </w:rPr>
      </w:pPr>
      <w:r w:rsidRPr="00743B09">
        <w:rPr>
          <w:i/>
        </w:rPr>
        <w:t xml:space="preserve">Los titulares de las áreas deberán revisar la información requerida al momento de la recepción de una solicitud de acceso, para verificar, conforme a su naturaleza, si encuadra en una causal de reserva o de confidencialidad. </w:t>
      </w:r>
    </w:p>
    <w:p w14:paraId="474C6289" w14:textId="77777777" w:rsidR="0075097B" w:rsidRPr="00743B09" w:rsidRDefault="0075097B" w:rsidP="00743B09"/>
    <w:p w14:paraId="586CF191" w14:textId="77777777" w:rsidR="0075097B" w:rsidRPr="00743B09" w:rsidRDefault="00EB3223" w:rsidP="00743B09">
      <w:pPr>
        <w:pBdr>
          <w:top w:val="nil"/>
          <w:left w:val="nil"/>
          <w:bottom w:val="nil"/>
          <w:right w:val="nil"/>
          <w:between w:val="nil"/>
        </w:pBdr>
        <w:spacing w:line="240" w:lineRule="auto"/>
        <w:ind w:left="567" w:right="567" w:firstLine="567"/>
        <w:rPr>
          <w:i/>
        </w:rPr>
      </w:pPr>
      <w:r w:rsidRPr="00743B09">
        <w:rPr>
          <w:b/>
          <w:i/>
        </w:rPr>
        <w:t>Octavo.</w:t>
      </w:r>
      <w:r w:rsidRPr="00743B09">
        <w:rPr>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67C32AC" w14:textId="77777777" w:rsidR="0075097B" w:rsidRPr="00743B09" w:rsidRDefault="00EB3223" w:rsidP="00743B09">
      <w:pPr>
        <w:pBdr>
          <w:top w:val="nil"/>
          <w:left w:val="nil"/>
          <w:bottom w:val="nil"/>
          <w:right w:val="nil"/>
          <w:between w:val="nil"/>
        </w:pBdr>
        <w:spacing w:line="240" w:lineRule="auto"/>
        <w:ind w:left="567" w:right="567" w:firstLine="567"/>
        <w:rPr>
          <w:i/>
        </w:rPr>
      </w:pPr>
      <w:r w:rsidRPr="00743B09">
        <w:rPr>
          <w:i/>
        </w:rPr>
        <w:t>Para motivar la clasificación se deberán señalar las razones o circunstancias especiales que lo llevaron a concluir que el caso particular se ajusta al supuesto previsto por la norma legal invocada como fundamento.</w:t>
      </w:r>
    </w:p>
    <w:p w14:paraId="45B0D902" w14:textId="77777777" w:rsidR="0075097B" w:rsidRPr="00743B09" w:rsidRDefault="00EB3223" w:rsidP="00743B09">
      <w:pPr>
        <w:pBdr>
          <w:top w:val="nil"/>
          <w:left w:val="nil"/>
          <w:bottom w:val="nil"/>
          <w:right w:val="nil"/>
          <w:between w:val="nil"/>
        </w:pBdr>
        <w:spacing w:line="240" w:lineRule="auto"/>
        <w:ind w:left="567" w:right="567" w:firstLine="567"/>
        <w:rPr>
          <w:i/>
        </w:rPr>
      </w:pPr>
      <w:r w:rsidRPr="00743B09">
        <w:rPr>
          <w:i/>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2C820A7A" w14:textId="77777777" w:rsidR="0075097B" w:rsidRPr="00743B09" w:rsidRDefault="0075097B" w:rsidP="00743B09"/>
    <w:p w14:paraId="13D8C19D" w14:textId="77777777" w:rsidR="0075097B" w:rsidRPr="00743B09" w:rsidRDefault="00EB3223" w:rsidP="00743B09">
      <w:pPr>
        <w:pBdr>
          <w:top w:val="nil"/>
          <w:left w:val="nil"/>
          <w:bottom w:val="nil"/>
          <w:right w:val="nil"/>
          <w:between w:val="nil"/>
        </w:pBdr>
        <w:spacing w:line="240" w:lineRule="auto"/>
        <w:ind w:left="567" w:right="567" w:firstLine="567"/>
        <w:rPr>
          <w:i/>
        </w:rPr>
      </w:pPr>
      <w:r w:rsidRPr="00743B09">
        <w:rPr>
          <w:b/>
          <w:i/>
        </w:rPr>
        <w:lastRenderedPageBreak/>
        <w:t>Noveno.</w:t>
      </w:r>
      <w:r w:rsidRPr="00743B09">
        <w:rPr>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D886EF6" w14:textId="77777777" w:rsidR="0075097B" w:rsidRPr="00743B09" w:rsidRDefault="0075097B" w:rsidP="00743B09"/>
    <w:p w14:paraId="7615C5C8" w14:textId="77777777" w:rsidR="0075097B" w:rsidRPr="00743B09" w:rsidRDefault="00EB3223" w:rsidP="00743B09">
      <w:pPr>
        <w:pBdr>
          <w:top w:val="nil"/>
          <w:left w:val="nil"/>
          <w:bottom w:val="nil"/>
          <w:right w:val="nil"/>
          <w:between w:val="nil"/>
        </w:pBdr>
        <w:spacing w:line="240" w:lineRule="auto"/>
        <w:ind w:left="567" w:right="567" w:firstLine="567"/>
        <w:rPr>
          <w:i/>
        </w:rPr>
      </w:pPr>
      <w:r w:rsidRPr="00743B09">
        <w:rPr>
          <w:b/>
          <w:i/>
        </w:rPr>
        <w:t>Décimo.</w:t>
      </w:r>
      <w:r w:rsidRPr="00743B09">
        <w:rPr>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C517195" w14:textId="77777777" w:rsidR="0075097B" w:rsidRPr="00743B09" w:rsidRDefault="00EB3223" w:rsidP="00743B09">
      <w:pPr>
        <w:pBdr>
          <w:top w:val="nil"/>
          <w:left w:val="nil"/>
          <w:bottom w:val="nil"/>
          <w:right w:val="nil"/>
          <w:between w:val="nil"/>
        </w:pBdr>
        <w:spacing w:line="240" w:lineRule="auto"/>
        <w:ind w:left="567" w:right="567" w:firstLine="567"/>
        <w:rPr>
          <w:i/>
        </w:rPr>
      </w:pPr>
      <w:r w:rsidRPr="00743B09">
        <w:rPr>
          <w:i/>
        </w:rPr>
        <w:t>En ausencia de los titulares de las áreas, la información será clasificada o desclasificada por la persona que lo supla, en términos de la normativa que rija la actuación del sujeto obligado.</w:t>
      </w:r>
    </w:p>
    <w:p w14:paraId="1B7F3893" w14:textId="77777777" w:rsidR="0075097B" w:rsidRPr="00743B09" w:rsidRDefault="00EB3223" w:rsidP="00743B09">
      <w:pPr>
        <w:pBdr>
          <w:top w:val="nil"/>
          <w:left w:val="nil"/>
          <w:bottom w:val="nil"/>
          <w:right w:val="nil"/>
          <w:between w:val="nil"/>
        </w:pBdr>
        <w:spacing w:line="240" w:lineRule="auto"/>
        <w:ind w:left="567" w:right="567" w:firstLine="567"/>
        <w:rPr>
          <w:b/>
          <w:i/>
        </w:rPr>
      </w:pPr>
      <w:bookmarkStart w:id="36" w:name="_heading=h.crh445dhex5h" w:colFirst="0" w:colLast="0"/>
      <w:bookmarkEnd w:id="36"/>
      <w:r w:rsidRPr="00743B09">
        <w:rPr>
          <w:b/>
          <w:i/>
        </w:rPr>
        <w:t>Décimo primero.</w:t>
      </w:r>
      <w:r w:rsidRPr="00743B09">
        <w:rPr>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743B09">
        <w:rPr>
          <w:b/>
          <w:i/>
        </w:rPr>
        <w:t>”</w:t>
      </w:r>
    </w:p>
    <w:p w14:paraId="7AAA11E7" w14:textId="77777777" w:rsidR="0075097B" w:rsidRPr="00743B09" w:rsidRDefault="0075097B" w:rsidP="00743B09"/>
    <w:p w14:paraId="697DB517" w14:textId="77777777" w:rsidR="0075097B" w:rsidRPr="00743B09" w:rsidRDefault="00EB3223" w:rsidP="00743B09">
      <w:r w:rsidRPr="00743B09">
        <w:t xml:space="preserve">Consecuentemente, se destaca que la versión pública que elabore </w:t>
      </w:r>
      <w:r w:rsidRPr="00743B09">
        <w:rPr>
          <w:b/>
        </w:rPr>
        <w:t>EL SUJETO OBLIGADO</w:t>
      </w:r>
      <w:r w:rsidRPr="00743B09">
        <w:t xml:space="preserve"> debe cumplir con las formalidades exigidas en la Ley, por lo que para tal efecto emitirá el </w:t>
      </w:r>
      <w:r w:rsidRPr="00743B09">
        <w:rPr>
          <w:b/>
        </w:rPr>
        <w:t>Acuerdo del Comité de Transparencia</w:t>
      </w:r>
      <w:r w:rsidRPr="00743B09">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16991C08" w14:textId="77777777" w:rsidR="0075097B" w:rsidRPr="00743B09" w:rsidRDefault="0075097B" w:rsidP="00743B09"/>
    <w:p w14:paraId="0AD52F3C" w14:textId="77777777" w:rsidR="0075097B" w:rsidRPr="00743B09" w:rsidRDefault="00EB3223" w:rsidP="00743B09">
      <w:r w:rsidRPr="00743B09">
        <w:lastRenderedPageBreak/>
        <w:t xml:space="preserve">Así, respecto de los documentos que </w:t>
      </w:r>
      <w:r w:rsidRPr="00743B09">
        <w:rPr>
          <w:b/>
        </w:rPr>
        <w:t xml:space="preserve">EL SUJETO OBLIGADO </w:t>
      </w:r>
      <w:r w:rsidRPr="00743B09">
        <w:t xml:space="preserve">ha de </w:t>
      </w:r>
      <w:r w:rsidRPr="00743B09">
        <w:rPr>
          <w:b/>
        </w:rPr>
        <w:t>entregar</w:t>
      </w:r>
      <w:r w:rsidRPr="00743B09">
        <w:t xml:space="preserve"> en </w:t>
      </w:r>
      <w:r w:rsidRPr="00743B09">
        <w:rPr>
          <w:b/>
        </w:rPr>
        <w:t>versión pública</w:t>
      </w:r>
      <w:r w:rsidRPr="00743B09">
        <w:t>, se deberá omitir, eliminar o suprimir la información personal de los servidores públicos, como lo es (de manera enunciativa más no limitativa), el Registro Federal de Contribuyentes (RFC), Clave única de Registro de Población (CURP), clave del Instituto de Seguridad Social del Estado de México y Municipios (ISSEMyM), los descuentos que se realicen por pensión alimenticia o deducciones estrictamente personales o de cualquier índole siempre que, no se encuentren relacionados con los impuestos o las cuotas por seguridad social, número de cuenta o cualquier otro dato que ponga en riesgo la vida, seguridad y salud de dichas personas.</w:t>
      </w:r>
    </w:p>
    <w:p w14:paraId="2F81B97C" w14:textId="77777777" w:rsidR="0075097B" w:rsidRPr="00743B09" w:rsidRDefault="0075097B" w:rsidP="00743B09"/>
    <w:p w14:paraId="1EB595BA" w14:textId="77777777" w:rsidR="0075097B" w:rsidRPr="00743B09" w:rsidRDefault="00EB3223" w:rsidP="00743B09">
      <w:r w:rsidRPr="00743B09">
        <w:t>Por cuanto hace al RFC de las personas físicas,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homoclave, la cual para su obtención es necesario acreditar personalidad con documentos oficiales.</w:t>
      </w:r>
    </w:p>
    <w:p w14:paraId="373DC595" w14:textId="77777777" w:rsidR="0075097B" w:rsidRPr="00743B09" w:rsidRDefault="0075097B" w:rsidP="00743B09"/>
    <w:p w14:paraId="57D1A3C5" w14:textId="77777777" w:rsidR="0075097B" w:rsidRPr="00743B09" w:rsidRDefault="00EB3223" w:rsidP="00743B09">
      <w:pPr>
        <w:rPr>
          <w:b/>
        </w:rPr>
      </w:pPr>
      <w:r w:rsidRPr="00743B09">
        <w:t>Al respecto, es aplicable el Criterio 19/17 de la Segunda Época, emitido por el INAI, que dice:</w:t>
      </w:r>
      <w:r w:rsidRPr="00743B09">
        <w:rPr>
          <w:b/>
        </w:rPr>
        <w:t xml:space="preserve"> </w:t>
      </w:r>
    </w:p>
    <w:p w14:paraId="208490B7" w14:textId="77777777" w:rsidR="0075097B" w:rsidRPr="00743B09" w:rsidRDefault="0075097B" w:rsidP="00743B09">
      <w:pPr>
        <w:tabs>
          <w:tab w:val="left" w:pos="7655"/>
        </w:tabs>
        <w:spacing w:line="240" w:lineRule="auto"/>
        <w:ind w:left="851" w:right="902"/>
        <w:rPr>
          <w:i/>
        </w:rPr>
      </w:pPr>
    </w:p>
    <w:p w14:paraId="18B06F49" w14:textId="77777777" w:rsidR="0075097B" w:rsidRPr="00743B09" w:rsidRDefault="00EB3223" w:rsidP="00743B09">
      <w:pPr>
        <w:tabs>
          <w:tab w:val="left" w:pos="7655"/>
        </w:tabs>
        <w:spacing w:line="240" w:lineRule="auto"/>
        <w:ind w:left="851" w:right="902"/>
        <w:rPr>
          <w:i/>
        </w:rPr>
      </w:pPr>
      <w:r w:rsidRPr="00743B09">
        <w:rPr>
          <w:i/>
        </w:rPr>
        <w:t>“</w:t>
      </w:r>
      <w:r w:rsidRPr="00743B09">
        <w:rPr>
          <w:b/>
          <w:i/>
        </w:rPr>
        <w:t>Registro Federal de Contribuyentes (RFC) de personas físicas. El RFC es una clave</w:t>
      </w:r>
      <w:r w:rsidRPr="00743B09">
        <w:rPr>
          <w:i/>
        </w:rPr>
        <w:t xml:space="preserve"> de carácter fiscal, única e irrepetible, </w:t>
      </w:r>
      <w:r w:rsidRPr="00743B09">
        <w:rPr>
          <w:b/>
          <w:i/>
        </w:rPr>
        <w:t>que permite identificar al titular, su edad y fecha de nacimiento</w:t>
      </w:r>
      <w:r w:rsidRPr="00743B09">
        <w:rPr>
          <w:i/>
        </w:rPr>
        <w:t xml:space="preserve">, por lo que </w:t>
      </w:r>
      <w:r w:rsidRPr="00743B09">
        <w:rPr>
          <w:b/>
          <w:i/>
        </w:rPr>
        <w:t>es un dato personal de carácter confidencial</w:t>
      </w:r>
      <w:r w:rsidRPr="00743B09">
        <w:rPr>
          <w:i/>
        </w:rPr>
        <w:t>.” (Sic)</w:t>
      </w:r>
    </w:p>
    <w:p w14:paraId="43A9FCD7" w14:textId="77777777" w:rsidR="0075097B" w:rsidRPr="00743B09" w:rsidRDefault="0075097B" w:rsidP="00743B09">
      <w:pPr>
        <w:tabs>
          <w:tab w:val="left" w:pos="7655"/>
        </w:tabs>
        <w:spacing w:line="240" w:lineRule="auto"/>
        <w:ind w:left="851" w:right="902"/>
      </w:pPr>
    </w:p>
    <w:p w14:paraId="6B559C38" w14:textId="77777777" w:rsidR="0075097B" w:rsidRPr="00743B09" w:rsidRDefault="00EB3223" w:rsidP="00743B09">
      <w:r w:rsidRPr="00743B09">
        <w:t xml:space="preserve">De lo anterior, se desprende que el RFC se vincula al nombre de su titular, lo que permite identificar la edad de la persona y fecha de nacimiento, en consecuencia determinar la identificación de dicha persona para efectos fiscales; por lo que, constituye un dato personal </w:t>
      </w:r>
      <w:r w:rsidRPr="00743B09">
        <w:lastRenderedPageBreak/>
        <w:t>que concierne a una persona física identificada e identificable en términos de los artículos 3°, fracción IX, de la Ley de Transparencia y Acceso a la Información Pública del Estado de México y Municipios y 4°, fracción XI de la Ley de Protección de Datos Personales en Posesión de Sujetos Obligados del Estado de México y Municipios.</w:t>
      </w:r>
    </w:p>
    <w:p w14:paraId="4E57018F" w14:textId="77777777" w:rsidR="0075097B" w:rsidRPr="00743B09" w:rsidRDefault="0075097B" w:rsidP="00743B09"/>
    <w:p w14:paraId="7AE3B678" w14:textId="77777777" w:rsidR="0075097B" w:rsidRPr="00743B09" w:rsidRDefault="00EB3223" w:rsidP="00743B09">
      <w:r w:rsidRPr="00743B09">
        <w:t>Por cuanto hace a la CURP</w:t>
      </w:r>
      <w:r w:rsidRPr="00743B09">
        <w:rPr>
          <w:b/>
        </w:rPr>
        <w:t xml:space="preserve">, </w:t>
      </w:r>
      <w:r w:rsidRPr="00743B09">
        <w:t>constituye un dato personal, que tiene como fin llevar registro de cada a cada una de las personas que integran la población del país, se tiene como sustento los artículos 86 y 91 de la Ley General de Población, la cual señala lo siguiente:</w:t>
      </w:r>
    </w:p>
    <w:p w14:paraId="0CDC0C8A" w14:textId="77777777" w:rsidR="0075097B" w:rsidRPr="00743B09" w:rsidRDefault="0075097B" w:rsidP="00743B09">
      <w:pPr>
        <w:spacing w:line="240" w:lineRule="auto"/>
      </w:pPr>
    </w:p>
    <w:p w14:paraId="70D9AFD2" w14:textId="77777777" w:rsidR="0075097B" w:rsidRPr="00743B09" w:rsidRDefault="00EB3223" w:rsidP="00743B09">
      <w:pPr>
        <w:spacing w:line="240" w:lineRule="auto"/>
        <w:ind w:left="851" w:right="902"/>
        <w:rPr>
          <w:i/>
        </w:rPr>
      </w:pPr>
      <w:r w:rsidRPr="00743B09">
        <w:rPr>
          <w:i/>
        </w:rPr>
        <w:t>“</w:t>
      </w:r>
      <w:r w:rsidRPr="00743B09">
        <w:rPr>
          <w:b/>
          <w:i/>
        </w:rPr>
        <w:t xml:space="preserve">Artículo 86. </w:t>
      </w:r>
      <w:r w:rsidRPr="00743B09">
        <w:rPr>
          <w:i/>
        </w:rPr>
        <w:t>El Registro Nacional de Población tiene como finalidad registrar a cada una de las personas que integran la población del país, con los datos que permitan certificar y acreditar fehacientemente su identidad.</w:t>
      </w:r>
    </w:p>
    <w:p w14:paraId="6A3AF323" w14:textId="77777777" w:rsidR="0075097B" w:rsidRPr="00743B09" w:rsidRDefault="0075097B" w:rsidP="00743B09">
      <w:pPr>
        <w:spacing w:line="240" w:lineRule="auto"/>
        <w:ind w:left="851" w:right="902"/>
        <w:rPr>
          <w:i/>
        </w:rPr>
      </w:pPr>
    </w:p>
    <w:p w14:paraId="728E7CA0" w14:textId="77777777" w:rsidR="0075097B" w:rsidRPr="00743B09" w:rsidRDefault="00EB3223" w:rsidP="00743B09">
      <w:pPr>
        <w:spacing w:line="240" w:lineRule="auto"/>
        <w:ind w:left="851" w:right="902"/>
        <w:rPr>
          <w:i/>
        </w:rPr>
      </w:pPr>
      <w:r w:rsidRPr="00743B09">
        <w:rPr>
          <w:b/>
          <w:i/>
        </w:rPr>
        <w:t>Artículo 91. Al incorporar a una persona en el Registro Nacional de Población</w:t>
      </w:r>
      <w:r w:rsidRPr="00743B09">
        <w:rPr>
          <w:i/>
        </w:rPr>
        <w:t xml:space="preserve">, se le asignará una clave </w:t>
      </w:r>
      <w:r w:rsidRPr="00743B09">
        <w:rPr>
          <w:b/>
          <w:i/>
        </w:rPr>
        <w:t>que se denominará Clave Única de Registro de Población</w:t>
      </w:r>
      <w:r w:rsidRPr="00743B09">
        <w:rPr>
          <w:i/>
        </w:rPr>
        <w:t xml:space="preserve">. </w:t>
      </w:r>
      <w:r w:rsidRPr="00743B09">
        <w:rPr>
          <w:b/>
          <w:i/>
        </w:rPr>
        <w:t>Esta servirá para</w:t>
      </w:r>
      <w:r w:rsidRPr="00743B09">
        <w:rPr>
          <w:i/>
        </w:rPr>
        <w:t xml:space="preserve"> registrarla e </w:t>
      </w:r>
      <w:r w:rsidRPr="00743B09">
        <w:rPr>
          <w:b/>
          <w:i/>
        </w:rPr>
        <w:t>identificarla en forma individual</w:t>
      </w:r>
      <w:r w:rsidRPr="00743B09">
        <w:rPr>
          <w:i/>
        </w:rPr>
        <w:t xml:space="preserve">.” </w:t>
      </w:r>
    </w:p>
    <w:p w14:paraId="5F4FEA14" w14:textId="77777777" w:rsidR="0075097B" w:rsidRPr="00743B09" w:rsidRDefault="00EB3223" w:rsidP="00743B09">
      <w:pPr>
        <w:spacing w:line="240" w:lineRule="auto"/>
        <w:ind w:left="851" w:right="902"/>
      </w:pPr>
      <w:r w:rsidRPr="00743B09">
        <w:t>(Énfasis añadido)</w:t>
      </w:r>
    </w:p>
    <w:p w14:paraId="17D3E719" w14:textId="77777777" w:rsidR="0075097B" w:rsidRPr="00743B09" w:rsidRDefault="0075097B" w:rsidP="00743B09">
      <w:pPr>
        <w:spacing w:line="240" w:lineRule="auto"/>
        <w:ind w:left="851" w:right="902"/>
      </w:pPr>
    </w:p>
    <w:p w14:paraId="375557CA" w14:textId="77777777" w:rsidR="0075097B" w:rsidRPr="00743B09" w:rsidRDefault="00EB3223" w:rsidP="00743B09">
      <w:r w:rsidRPr="00743B09">
        <w:t xml:space="preserve">Ahora bien, la CURP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de nacimiento; consonantes internas del nombre y apellidos; un diferenciador de homonimia y siglo; y un digito verificador, que garantizan la correcta integración. </w:t>
      </w:r>
    </w:p>
    <w:p w14:paraId="6015B294" w14:textId="77777777" w:rsidR="0075097B" w:rsidRPr="00743B09" w:rsidRDefault="0075097B" w:rsidP="00743B09"/>
    <w:p w14:paraId="3B70BB92" w14:textId="77777777" w:rsidR="0075097B" w:rsidRPr="00743B09" w:rsidRDefault="00EB3223" w:rsidP="00743B09">
      <w:r w:rsidRPr="00743B09">
        <w:t>Al respecto, el entonces INAI, a través del Criterio 18/17 de la Segunda Época, señala lo siguiente:</w:t>
      </w:r>
    </w:p>
    <w:p w14:paraId="6ED8A7C7" w14:textId="77777777" w:rsidR="0075097B" w:rsidRPr="00743B09" w:rsidRDefault="0075097B" w:rsidP="00743B09">
      <w:pPr>
        <w:spacing w:line="240" w:lineRule="auto"/>
        <w:ind w:left="851" w:right="902"/>
        <w:rPr>
          <w:i/>
        </w:rPr>
      </w:pPr>
    </w:p>
    <w:p w14:paraId="08A97209" w14:textId="77777777" w:rsidR="0075097B" w:rsidRPr="00743B09" w:rsidRDefault="00EB3223" w:rsidP="00743B09">
      <w:pPr>
        <w:spacing w:line="240" w:lineRule="auto"/>
        <w:ind w:left="851" w:right="902"/>
        <w:rPr>
          <w:i/>
        </w:rPr>
      </w:pPr>
      <w:r w:rsidRPr="00743B09">
        <w:rPr>
          <w:i/>
        </w:rPr>
        <w:t>“</w:t>
      </w:r>
      <w:r w:rsidRPr="00743B09">
        <w:rPr>
          <w:b/>
          <w:i/>
        </w:rPr>
        <w:t>Clave Única de Registro de Población (CURP).</w:t>
      </w:r>
      <w:r w:rsidRPr="00743B09">
        <w:rPr>
          <w:i/>
        </w:rPr>
        <w:t xml:space="preserve"> </w:t>
      </w:r>
      <w:r w:rsidRPr="00743B09">
        <w:rPr>
          <w:b/>
          <w:i/>
        </w:rPr>
        <w:t>La Clave Única de Registro de Población se integra por datos personales que sólo conciernen al particular titular</w:t>
      </w:r>
      <w:r w:rsidRPr="00743B09">
        <w:rPr>
          <w:i/>
        </w:rPr>
        <w:t xml:space="preserve"> de la misma, </w:t>
      </w:r>
      <w:r w:rsidRPr="00743B09">
        <w:rPr>
          <w:b/>
          <w:i/>
        </w:rPr>
        <w:t>como lo son su nombre, apellidos, fecha de nacimiento, lugar de nacimiento y sexo</w:t>
      </w:r>
      <w:r w:rsidRPr="00743B09">
        <w:rPr>
          <w:i/>
        </w:rPr>
        <w:t xml:space="preserve">. Dichos datos, constituyen información que distingue plenamente a una persona física del resto de los habitantes del país, </w:t>
      </w:r>
      <w:r w:rsidRPr="00743B09">
        <w:rPr>
          <w:b/>
          <w:i/>
        </w:rPr>
        <w:t>por lo que la CURP está considerada como información confidencial</w:t>
      </w:r>
      <w:r w:rsidRPr="00743B09">
        <w:rPr>
          <w:i/>
        </w:rPr>
        <w:t>.” (Sic)</w:t>
      </w:r>
    </w:p>
    <w:p w14:paraId="678876BE" w14:textId="77777777" w:rsidR="0075097B" w:rsidRPr="00743B09" w:rsidRDefault="00EB3223" w:rsidP="00743B09">
      <w:pPr>
        <w:spacing w:line="240" w:lineRule="auto"/>
        <w:ind w:left="851" w:right="902"/>
      </w:pPr>
      <w:r w:rsidRPr="00743B09">
        <w:t>(Énfasis añadido)</w:t>
      </w:r>
    </w:p>
    <w:p w14:paraId="79404F0E" w14:textId="77777777" w:rsidR="0075097B" w:rsidRPr="00743B09" w:rsidRDefault="0075097B" w:rsidP="00743B09">
      <w:pPr>
        <w:spacing w:line="240" w:lineRule="auto"/>
        <w:ind w:left="851" w:right="902"/>
      </w:pPr>
    </w:p>
    <w:p w14:paraId="3325CBD7" w14:textId="77777777" w:rsidR="0075097B" w:rsidRPr="00743B09" w:rsidRDefault="00EB3223" w:rsidP="00743B09">
      <w:r w:rsidRPr="00743B09">
        <w:t>De lo anterior, se desprende que la CURP se encuentra vinculada al nombre y apellidos de la persona, lo que permite identificar fecha y lugar de nacimiento, así como el sexo; datos que únicamente le atañen a su titular,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4C09C568" w14:textId="77777777" w:rsidR="0075097B" w:rsidRPr="00743B09" w:rsidRDefault="0075097B" w:rsidP="00743B09"/>
    <w:p w14:paraId="2DE6F981" w14:textId="77777777" w:rsidR="0075097B" w:rsidRPr="00743B09" w:rsidRDefault="00EB3223" w:rsidP="00743B09">
      <w:r w:rsidRPr="00743B09">
        <w:t>Por cuanto hace a la Clave de cualquier tipo de seguridad social, 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lo que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10FE91B9" w14:textId="77777777" w:rsidR="0075097B" w:rsidRPr="00743B09" w:rsidRDefault="0075097B" w:rsidP="00743B09"/>
    <w:p w14:paraId="1129211B" w14:textId="77777777" w:rsidR="0075097B" w:rsidRPr="00743B09" w:rsidRDefault="00EB3223" w:rsidP="00743B09">
      <w:pPr>
        <w:pStyle w:val="Ttulo3"/>
      </w:pPr>
      <w:bookmarkStart w:id="37" w:name="_heading=h.t7yir5qyggmw" w:colFirst="0" w:colLast="0"/>
      <w:bookmarkEnd w:id="37"/>
      <w:r w:rsidRPr="00743B09">
        <w:lastRenderedPageBreak/>
        <w:t>e) Conclusión</w:t>
      </w:r>
    </w:p>
    <w:p w14:paraId="71E7B371" w14:textId="77777777" w:rsidR="0075097B" w:rsidRPr="00743B09" w:rsidRDefault="00EB3223" w:rsidP="00743B09">
      <w:r w:rsidRPr="00743B09">
        <w:t>Este Instituto considera que no se puede tener por colmado el derecho de acceso a la información pública del particular con la respuesta entregada y, por tanto, determina</w:t>
      </w:r>
      <w:r w:rsidRPr="00743B09">
        <w:rPr>
          <w:b/>
        </w:rPr>
        <w:t xml:space="preserve"> MODIFICAR </w:t>
      </w:r>
      <w:r w:rsidRPr="00743B09">
        <w:t xml:space="preserve">la respuesta del </w:t>
      </w:r>
      <w:r w:rsidRPr="00743B09">
        <w:rPr>
          <w:b/>
        </w:rPr>
        <w:t xml:space="preserve">SUJETO OBLIGADO </w:t>
      </w:r>
      <w:r w:rsidRPr="00743B09">
        <w:t xml:space="preserve">a la solicitud </w:t>
      </w:r>
      <w:r w:rsidRPr="00743B09">
        <w:rPr>
          <w:b/>
        </w:rPr>
        <w:t xml:space="preserve">00103/COCOTIT/IP/2025 </w:t>
      </w:r>
      <w:r w:rsidRPr="00743B09">
        <w:t xml:space="preserve">por resultar </w:t>
      </w:r>
      <w:r w:rsidRPr="00743B09">
        <w:rPr>
          <w:b/>
        </w:rPr>
        <w:t xml:space="preserve">FUNDADOS </w:t>
      </w:r>
      <w:r w:rsidRPr="00743B09">
        <w:t xml:space="preserve">las razones o motivos de la </w:t>
      </w:r>
      <w:r w:rsidRPr="00743B09">
        <w:rPr>
          <w:b/>
        </w:rPr>
        <w:t>PARTE RECURRENTE</w:t>
      </w:r>
      <w:r w:rsidRPr="00743B09">
        <w:t xml:space="preserve"> en el recurso de revisión </w:t>
      </w:r>
      <w:r w:rsidRPr="00743B09">
        <w:rPr>
          <w:b/>
        </w:rPr>
        <w:t xml:space="preserve">02642/INFOEM/IP/RR/2025 </w:t>
      </w:r>
      <w:r w:rsidRPr="00743B09">
        <w:t xml:space="preserve">y ordenarle haga entrega, en versión pública, de ser necesario, de lo siguiente: </w:t>
      </w:r>
    </w:p>
    <w:p w14:paraId="60DBDD73" w14:textId="77777777" w:rsidR="0075097B" w:rsidRPr="00743B09" w:rsidRDefault="0075097B" w:rsidP="00743B09"/>
    <w:p w14:paraId="6DCB7817" w14:textId="77777777" w:rsidR="0075097B" w:rsidRPr="00743B09" w:rsidRDefault="00EB3223" w:rsidP="00743B09">
      <w:pPr>
        <w:numPr>
          <w:ilvl w:val="0"/>
          <w:numId w:val="5"/>
        </w:numPr>
      </w:pPr>
      <w:r w:rsidRPr="00743B09">
        <w:t xml:space="preserve">Documento donde conste la nómina del personal adscrito a la Dirección de seguridad pública faltante al doce de febrero de dos mil veinticinco. </w:t>
      </w:r>
    </w:p>
    <w:p w14:paraId="31CAF91A" w14:textId="77777777" w:rsidR="0075097B" w:rsidRPr="00743B09" w:rsidRDefault="00EB3223" w:rsidP="00743B09">
      <w:pPr>
        <w:numPr>
          <w:ilvl w:val="0"/>
          <w:numId w:val="5"/>
        </w:numPr>
      </w:pPr>
      <w:r w:rsidRPr="00743B09">
        <w:t xml:space="preserve">El acuerdo del Comité de Transparencia mediante el cual se llevó a cabo la clasificación de la información entregada en respuesta. </w:t>
      </w:r>
    </w:p>
    <w:p w14:paraId="52C31FE7" w14:textId="77777777" w:rsidR="0075097B" w:rsidRPr="00743B09" w:rsidRDefault="0075097B" w:rsidP="00743B09">
      <w:pPr>
        <w:ind w:right="-93"/>
      </w:pPr>
    </w:p>
    <w:p w14:paraId="22ABC95F" w14:textId="77777777" w:rsidR="0075097B" w:rsidRPr="00743B09" w:rsidRDefault="00EB3223" w:rsidP="00743B09">
      <w:pPr>
        <w:ind w:right="-93"/>
      </w:pPr>
      <w:bookmarkStart w:id="38" w:name="_heading=h.41mghml" w:colFirst="0" w:colLast="0"/>
      <w:bookmarkEnd w:id="38"/>
      <w:r w:rsidRPr="00743B09">
        <w:t>Así, con fundamento en lo establecido en los artículos 5, párrafos trigésimo séptimo, trigésimo octavo y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3358FCEE" w14:textId="77777777" w:rsidR="0075097B" w:rsidRPr="00743B09" w:rsidRDefault="0075097B" w:rsidP="00743B09">
      <w:pPr>
        <w:keepNext/>
        <w:keepLines/>
        <w:pBdr>
          <w:top w:val="nil"/>
          <w:left w:val="nil"/>
          <w:bottom w:val="nil"/>
          <w:right w:val="nil"/>
          <w:between w:val="nil"/>
        </w:pBdr>
        <w:jc w:val="center"/>
        <w:rPr>
          <w:b/>
        </w:rPr>
      </w:pPr>
      <w:bookmarkStart w:id="39" w:name="_heading=h.4nbio3vor6mq" w:colFirst="0" w:colLast="0"/>
      <w:bookmarkEnd w:id="39"/>
    </w:p>
    <w:p w14:paraId="77EC11DF" w14:textId="77777777" w:rsidR="0075097B" w:rsidRPr="00743B09" w:rsidRDefault="00EB3223" w:rsidP="00743B09">
      <w:pPr>
        <w:pStyle w:val="Ttulo1"/>
      </w:pPr>
      <w:bookmarkStart w:id="40" w:name="_heading=h.xjxblpgv2etc" w:colFirst="0" w:colLast="0"/>
      <w:bookmarkEnd w:id="40"/>
      <w:r w:rsidRPr="00743B09">
        <w:t>RESUELVE</w:t>
      </w:r>
    </w:p>
    <w:p w14:paraId="367688EE" w14:textId="77777777" w:rsidR="0075097B" w:rsidRPr="00743B09" w:rsidRDefault="0075097B" w:rsidP="00743B09">
      <w:pPr>
        <w:widowControl w:val="0"/>
        <w:rPr>
          <w:b/>
        </w:rPr>
      </w:pPr>
    </w:p>
    <w:p w14:paraId="7C6FE21B" w14:textId="7F529478" w:rsidR="0075097B" w:rsidRPr="00743B09" w:rsidRDefault="00EB3223" w:rsidP="00743B09">
      <w:pPr>
        <w:widowControl w:val="0"/>
      </w:pPr>
      <w:r w:rsidRPr="00743B09">
        <w:rPr>
          <w:b/>
        </w:rPr>
        <w:t>PRIMERO.</w:t>
      </w:r>
      <w:r w:rsidRPr="00743B09">
        <w:t xml:space="preserve"> Se </w:t>
      </w:r>
      <w:r w:rsidRPr="00743B09">
        <w:rPr>
          <w:b/>
        </w:rPr>
        <w:t xml:space="preserve">MODIFICA </w:t>
      </w:r>
      <w:r w:rsidRPr="00743B09">
        <w:t xml:space="preserve">la respuesta entregada por el </w:t>
      </w:r>
      <w:r w:rsidRPr="00743B09">
        <w:rPr>
          <w:b/>
        </w:rPr>
        <w:t>SUJETO OBLIGADO</w:t>
      </w:r>
      <w:r w:rsidRPr="00743B09">
        <w:t xml:space="preserve"> en la solicitud de información </w:t>
      </w:r>
      <w:r w:rsidRPr="00743B09">
        <w:rPr>
          <w:b/>
        </w:rPr>
        <w:t>00103/COCOTIT/IP/2025</w:t>
      </w:r>
      <w:r w:rsidRPr="00743B09">
        <w:t xml:space="preserve">, por resultar </w:t>
      </w:r>
      <w:r w:rsidRPr="00743B09">
        <w:rPr>
          <w:b/>
        </w:rPr>
        <w:t>FUNDADAS</w:t>
      </w:r>
      <w:r w:rsidRPr="00743B09">
        <w:t xml:space="preserve"> las razones o motivos de inconformidad hechos valer por </w:t>
      </w:r>
      <w:r w:rsidRPr="00743B09">
        <w:rPr>
          <w:b/>
        </w:rPr>
        <w:t>LA PARTE RECURRENTE</w:t>
      </w:r>
      <w:r w:rsidRPr="00743B09">
        <w:t xml:space="preserve"> en el Recurso de Revisión </w:t>
      </w:r>
      <w:r w:rsidRPr="00743B09">
        <w:rPr>
          <w:b/>
        </w:rPr>
        <w:t>02642/INFOEM/IP/RR/2025</w:t>
      </w:r>
      <w:r w:rsidRPr="00743B09">
        <w:t>,</w:t>
      </w:r>
      <w:r w:rsidRPr="00743B09">
        <w:rPr>
          <w:b/>
        </w:rPr>
        <w:t xml:space="preserve"> </w:t>
      </w:r>
      <w:r w:rsidRPr="00743B09">
        <w:t xml:space="preserve">en términos del considerando </w:t>
      </w:r>
      <w:r w:rsidRPr="00743B09">
        <w:rPr>
          <w:b/>
        </w:rPr>
        <w:t>SEGUNDO</w:t>
      </w:r>
      <w:r w:rsidRPr="00743B09">
        <w:t xml:space="preserve"> de la presente Resolución.</w:t>
      </w:r>
    </w:p>
    <w:p w14:paraId="6434AD59" w14:textId="77777777" w:rsidR="0075097B" w:rsidRPr="00743B09" w:rsidRDefault="00EB3223" w:rsidP="00743B09">
      <w:pPr>
        <w:ind w:right="-93"/>
      </w:pPr>
      <w:r w:rsidRPr="00743B09">
        <w:rPr>
          <w:b/>
        </w:rPr>
        <w:lastRenderedPageBreak/>
        <w:t>SEGUNDO.</w:t>
      </w:r>
      <w:r w:rsidRPr="00743B09">
        <w:t xml:space="preserve"> Se </w:t>
      </w:r>
      <w:r w:rsidRPr="00743B09">
        <w:rPr>
          <w:b/>
        </w:rPr>
        <w:t xml:space="preserve">ORDENA </w:t>
      </w:r>
      <w:r w:rsidRPr="00743B09">
        <w:t xml:space="preserve">al </w:t>
      </w:r>
      <w:r w:rsidRPr="00743B09">
        <w:rPr>
          <w:b/>
        </w:rPr>
        <w:t>SUJETO OBLIGADO</w:t>
      </w:r>
      <w:r w:rsidRPr="00743B09">
        <w:t xml:space="preserve">, a efecto de que, entregue a través del </w:t>
      </w:r>
      <w:r w:rsidRPr="00743B09">
        <w:rPr>
          <w:b/>
        </w:rPr>
        <w:t>SAIMEX</w:t>
      </w:r>
      <w:r w:rsidRPr="00743B09">
        <w:t xml:space="preserve">, de ser procedente en </w:t>
      </w:r>
      <w:r w:rsidRPr="00743B09">
        <w:rPr>
          <w:b/>
        </w:rPr>
        <w:t>versión</w:t>
      </w:r>
      <w:r w:rsidRPr="00743B09">
        <w:t xml:space="preserve"> </w:t>
      </w:r>
      <w:r w:rsidRPr="00743B09">
        <w:rPr>
          <w:b/>
        </w:rPr>
        <w:t>pública</w:t>
      </w:r>
      <w:r w:rsidRPr="00743B09">
        <w:t xml:space="preserve">, lo siguiente: </w:t>
      </w:r>
    </w:p>
    <w:p w14:paraId="53EB2558" w14:textId="77777777" w:rsidR="0075097B" w:rsidRPr="00743B09" w:rsidRDefault="0075097B" w:rsidP="00743B09">
      <w:pPr>
        <w:ind w:right="-93"/>
      </w:pPr>
    </w:p>
    <w:p w14:paraId="7F047E07" w14:textId="77777777" w:rsidR="0075097B" w:rsidRPr="00743B09" w:rsidRDefault="00EB3223" w:rsidP="00743B09">
      <w:pPr>
        <w:numPr>
          <w:ilvl w:val="0"/>
          <w:numId w:val="1"/>
        </w:numPr>
        <w:rPr>
          <w:b/>
          <w:i/>
        </w:rPr>
      </w:pPr>
      <w:r w:rsidRPr="00743B09">
        <w:rPr>
          <w:b/>
          <w:i/>
        </w:rPr>
        <w:t xml:space="preserve">La nómina del personal adscrito a la Dirección de seguridad pública faltante, adscrito al 12 de febrero de 2025. </w:t>
      </w:r>
    </w:p>
    <w:p w14:paraId="6A63C34F" w14:textId="77777777" w:rsidR="0075097B" w:rsidRPr="00743B09" w:rsidRDefault="0075097B" w:rsidP="00743B09">
      <w:pPr>
        <w:ind w:left="360" w:right="-93"/>
      </w:pPr>
    </w:p>
    <w:p w14:paraId="104895C7" w14:textId="77777777" w:rsidR="0075097B" w:rsidRPr="00743B09" w:rsidRDefault="00EB3223" w:rsidP="00743B09">
      <w:pPr>
        <w:ind w:left="360" w:right="-93"/>
      </w:pPr>
      <w:r w:rsidRPr="00743B09">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BA6B23B" w14:textId="77777777" w:rsidR="0075097B" w:rsidRPr="00743B09" w:rsidRDefault="0075097B" w:rsidP="00743B09">
      <w:pPr>
        <w:ind w:left="720"/>
      </w:pPr>
    </w:p>
    <w:p w14:paraId="55107173" w14:textId="77777777" w:rsidR="0075097B" w:rsidRPr="00743B09" w:rsidRDefault="00EB3223" w:rsidP="00743B09">
      <w:pPr>
        <w:numPr>
          <w:ilvl w:val="0"/>
          <w:numId w:val="1"/>
        </w:numPr>
        <w:rPr>
          <w:b/>
          <w:i/>
        </w:rPr>
      </w:pPr>
      <w:bookmarkStart w:id="41" w:name="_heading=h.pr3c9w93oh9q" w:colFirst="0" w:colLast="0"/>
      <w:bookmarkEnd w:id="41"/>
      <w:r w:rsidRPr="00743B09">
        <w:rPr>
          <w:b/>
          <w:i/>
        </w:rPr>
        <w:t>El acuerdo del Comité de Transparencia que sustente la clasificación de la información como confidencial contenidas en las documentales proporcionadas en respuesta.</w:t>
      </w:r>
    </w:p>
    <w:p w14:paraId="72DD37D1" w14:textId="77777777" w:rsidR="0075097B" w:rsidRPr="00743B09" w:rsidRDefault="0075097B" w:rsidP="00743B09">
      <w:pPr>
        <w:widowControl w:val="0"/>
      </w:pPr>
      <w:bookmarkStart w:id="42" w:name="_heading=h.4k668n3" w:colFirst="0" w:colLast="0"/>
      <w:bookmarkEnd w:id="42"/>
    </w:p>
    <w:p w14:paraId="2BB35479" w14:textId="74CCEB9D" w:rsidR="0075097B" w:rsidRPr="00743B09" w:rsidRDefault="00EB3223" w:rsidP="00743B09">
      <w:r w:rsidRPr="00743B09">
        <w:rPr>
          <w:b/>
        </w:rPr>
        <w:t>TERCERO.</w:t>
      </w:r>
      <w:r w:rsidRPr="00743B09">
        <w:t xml:space="preserve"> Notifíquese la presente resolución al Titular de la Unidad de Transparencia del </w:t>
      </w:r>
      <w:r w:rsidRPr="00743B09">
        <w:rPr>
          <w:b/>
        </w:rPr>
        <w:t>SUJETO OBLIGADO</w:t>
      </w:r>
      <w:r w:rsidRPr="00743B09">
        <w:t xml:space="preserve">, vía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w:t>
      </w:r>
      <w:r w:rsidRPr="00743B09">
        <w:rPr>
          <w:b/>
        </w:rPr>
        <w:t>diez días hábiles</w:t>
      </w:r>
      <w:r w:rsidRPr="00743B09">
        <w:t xml:space="preserve">, e informe a este Instituto en un plazo de </w:t>
      </w:r>
      <w:r w:rsidRPr="00743B09">
        <w:rPr>
          <w:b/>
        </w:rPr>
        <w:t>tres días hábiles</w:t>
      </w:r>
      <w:r w:rsidRPr="00743B09">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477D168" w14:textId="77777777" w:rsidR="00C4611E" w:rsidRPr="00743B09" w:rsidRDefault="00C4611E" w:rsidP="00743B09"/>
    <w:p w14:paraId="19BC7010" w14:textId="77777777" w:rsidR="0075097B" w:rsidRPr="00743B09" w:rsidRDefault="00EB3223" w:rsidP="00743B09">
      <w:r w:rsidRPr="00743B09">
        <w:rPr>
          <w:b/>
        </w:rPr>
        <w:lastRenderedPageBreak/>
        <w:t>CUARTO.</w:t>
      </w:r>
      <w:r w:rsidRPr="00743B09">
        <w:t xml:space="preserve"> Notifíquese a </w:t>
      </w:r>
      <w:r w:rsidRPr="00743B09">
        <w:rPr>
          <w:b/>
        </w:rPr>
        <w:t>LA PARTE RECURRENTE</w:t>
      </w:r>
      <w:r w:rsidRPr="00743B09">
        <w:t xml:space="preserve"> la presente resolución vía Sistema de Acceso a la Información Mexiquense (SAIMEX).</w:t>
      </w:r>
    </w:p>
    <w:p w14:paraId="6D23E1F0" w14:textId="77777777" w:rsidR="0075097B" w:rsidRPr="00743B09" w:rsidRDefault="0075097B" w:rsidP="00743B09"/>
    <w:p w14:paraId="149FA302" w14:textId="77777777" w:rsidR="0075097B" w:rsidRPr="00743B09" w:rsidRDefault="00EB3223" w:rsidP="00743B09">
      <w:r w:rsidRPr="00743B09">
        <w:rPr>
          <w:b/>
        </w:rPr>
        <w:t>QUINTO</w:t>
      </w:r>
      <w:r w:rsidRPr="00743B09">
        <w:t xml:space="preserve">. Hágase del conocimiento a </w:t>
      </w:r>
      <w:r w:rsidRPr="00743B09">
        <w:rPr>
          <w:b/>
        </w:rPr>
        <w:t>LA PARTE RECURRENTE</w:t>
      </w:r>
      <w:r w:rsidRPr="00743B09">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B3D5014" w14:textId="77777777" w:rsidR="0075097B" w:rsidRPr="00743B09" w:rsidRDefault="0075097B" w:rsidP="00743B09">
      <w:pPr>
        <w:rPr>
          <w:b/>
        </w:rPr>
      </w:pPr>
    </w:p>
    <w:p w14:paraId="0A35ECA1" w14:textId="77777777" w:rsidR="0075097B" w:rsidRPr="00743B09" w:rsidRDefault="00EB3223" w:rsidP="00743B09">
      <w:pPr>
        <w:rPr>
          <w:b/>
        </w:rPr>
      </w:pPr>
      <w:r w:rsidRPr="00743B09">
        <w:rPr>
          <w:b/>
        </w:rPr>
        <w:t>SEXTO.</w:t>
      </w:r>
      <w:r w:rsidRPr="00743B09">
        <w:t xml:space="preserve"> De conformidad con el artículo 198 de la Ley de Transparencia y Acceso a la Información Pública del Estado de México y Municipios, el </w:t>
      </w:r>
      <w:r w:rsidRPr="00743B09">
        <w:rPr>
          <w:b/>
        </w:rPr>
        <w:t>SUJETO OBLIGADO</w:t>
      </w:r>
      <w:r w:rsidRPr="00743B09">
        <w:t xml:space="preserve"> podrá solicitar una ampliación de plazo, de manera fundada y motivada, para el cumplimiento de la presente resolución.</w:t>
      </w:r>
    </w:p>
    <w:p w14:paraId="51C39C67" w14:textId="77777777" w:rsidR="0075097B" w:rsidRPr="00743B09" w:rsidRDefault="0075097B" w:rsidP="00743B09"/>
    <w:p w14:paraId="5853F2EF" w14:textId="71F8428C" w:rsidR="0075097B" w:rsidRPr="00743B09" w:rsidRDefault="00EB3223" w:rsidP="00743B09">
      <w:r w:rsidRPr="00743B09">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743B09">
        <w:t xml:space="preserve"> EMITIENDO VOTO PARTICULAR </w:t>
      </w:r>
      <w:r w:rsidRPr="00743B09">
        <w:t>Y GUADALUPE RAMÍREZ PEÑA</w:t>
      </w:r>
      <w:r w:rsidR="00743B09">
        <w:t xml:space="preserve"> EMITIENDO VOTO PARTICULAR</w:t>
      </w:r>
      <w:r w:rsidRPr="00743B09">
        <w:t>, EN</w:t>
      </w:r>
      <w:r w:rsidR="00743B09">
        <w:t xml:space="preserve"> LA</w:t>
      </w:r>
      <w:r w:rsidRPr="00743B09">
        <w:t xml:space="preserve"> DÉCIMA TERCERA SESIÓN ORDINARIA, CELEBRADA EL NUEVE DE ABRIL DE DOS MIL VEINTICINCO, ANTE EL SECRETARIO TÉCNICO DEL PLENO, ALEXIS TAPIA RAMÍREZ.</w:t>
      </w:r>
    </w:p>
    <w:p w14:paraId="279B9AA9" w14:textId="77777777" w:rsidR="0075097B" w:rsidRPr="00743B09" w:rsidRDefault="00EB3223" w:rsidP="00743B09">
      <w:pPr>
        <w:ind w:right="-93"/>
        <w:rPr>
          <w:sz w:val="18"/>
          <w:szCs w:val="18"/>
        </w:rPr>
      </w:pPr>
      <w:r w:rsidRPr="00743B09">
        <w:rPr>
          <w:sz w:val="18"/>
          <w:szCs w:val="18"/>
        </w:rPr>
        <w:t>SCMM/AGZ/DEMF/PMRE</w:t>
      </w:r>
    </w:p>
    <w:p w14:paraId="17890516" w14:textId="77777777" w:rsidR="0075097B" w:rsidRPr="00743B09" w:rsidRDefault="0075097B" w:rsidP="00743B09">
      <w:bookmarkStart w:id="43" w:name="_heading=h.sqyw64" w:colFirst="0" w:colLast="0"/>
      <w:bookmarkEnd w:id="43"/>
    </w:p>
    <w:p w14:paraId="7E94DF9A" w14:textId="77777777" w:rsidR="0075097B" w:rsidRPr="00743B09" w:rsidRDefault="0075097B" w:rsidP="00743B09">
      <w:pPr>
        <w:ind w:right="-93"/>
      </w:pPr>
    </w:p>
    <w:p w14:paraId="30530325" w14:textId="77777777" w:rsidR="0075097B" w:rsidRPr="00743B09" w:rsidRDefault="0075097B" w:rsidP="00743B09">
      <w:pPr>
        <w:ind w:right="-93"/>
      </w:pPr>
    </w:p>
    <w:p w14:paraId="7BAC6101" w14:textId="77777777" w:rsidR="0075097B" w:rsidRPr="00743B09" w:rsidRDefault="0075097B" w:rsidP="00743B09">
      <w:pPr>
        <w:ind w:right="-93"/>
      </w:pPr>
    </w:p>
    <w:p w14:paraId="1F1256E8" w14:textId="77777777" w:rsidR="0075097B" w:rsidRPr="00743B09" w:rsidRDefault="0075097B" w:rsidP="00743B09">
      <w:pPr>
        <w:ind w:right="-93"/>
      </w:pPr>
    </w:p>
    <w:p w14:paraId="1D9CB95B" w14:textId="77777777" w:rsidR="0075097B" w:rsidRPr="00743B09" w:rsidRDefault="0075097B" w:rsidP="00743B09">
      <w:pPr>
        <w:ind w:right="-93"/>
      </w:pPr>
    </w:p>
    <w:p w14:paraId="207F9EF1" w14:textId="77777777" w:rsidR="0075097B" w:rsidRPr="00743B09" w:rsidRDefault="0075097B" w:rsidP="00743B09">
      <w:pPr>
        <w:ind w:right="-93"/>
      </w:pPr>
    </w:p>
    <w:p w14:paraId="5B0156F2" w14:textId="77777777" w:rsidR="0075097B" w:rsidRPr="00743B09" w:rsidRDefault="0075097B" w:rsidP="00743B09">
      <w:pPr>
        <w:ind w:right="-93"/>
      </w:pPr>
    </w:p>
    <w:p w14:paraId="5D71621F" w14:textId="77777777" w:rsidR="0075097B" w:rsidRPr="00743B09" w:rsidRDefault="0075097B" w:rsidP="00743B09">
      <w:pPr>
        <w:ind w:right="-93"/>
      </w:pPr>
    </w:p>
    <w:p w14:paraId="61CE21CA" w14:textId="77777777" w:rsidR="0075097B" w:rsidRPr="00743B09" w:rsidRDefault="0075097B" w:rsidP="00743B09">
      <w:pPr>
        <w:tabs>
          <w:tab w:val="center" w:pos="4568"/>
        </w:tabs>
        <w:ind w:right="-93"/>
      </w:pPr>
    </w:p>
    <w:p w14:paraId="3BF33D1E" w14:textId="77777777" w:rsidR="0075097B" w:rsidRPr="00743B09" w:rsidRDefault="0075097B" w:rsidP="00743B09">
      <w:pPr>
        <w:tabs>
          <w:tab w:val="center" w:pos="4568"/>
        </w:tabs>
        <w:ind w:right="-93"/>
      </w:pPr>
    </w:p>
    <w:p w14:paraId="7D7C6F9A" w14:textId="77777777" w:rsidR="0075097B" w:rsidRPr="00743B09" w:rsidRDefault="0075097B" w:rsidP="00743B09">
      <w:pPr>
        <w:tabs>
          <w:tab w:val="center" w:pos="4568"/>
        </w:tabs>
        <w:ind w:right="-93"/>
      </w:pPr>
    </w:p>
    <w:p w14:paraId="29D260A1" w14:textId="77777777" w:rsidR="0075097B" w:rsidRPr="00743B09" w:rsidRDefault="0075097B" w:rsidP="00743B09">
      <w:pPr>
        <w:tabs>
          <w:tab w:val="center" w:pos="4568"/>
        </w:tabs>
        <w:ind w:right="-93"/>
      </w:pPr>
    </w:p>
    <w:p w14:paraId="06D1D9BB" w14:textId="77777777" w:rsidR="0075097B" w:rsidRPr="00743B09" w:rsidRDefault="0075097B" w:rsidP="00743B09">
      <w:pPr>
        <w:tabs>
          <w:tab w:val="center" w:pos="4568"/>
        </w:tabs>
        <w:ind w:right="-93"/>
      </w:pPr>
    </w:p>
    <w:p w14:paraId="3B9A9B39" w14:textId="77777777" w:rsidR="0075097B" w:rsidRPr="00743B09" w:rsidRDefault="0075097B" w:rsidP="00743B09">
      <w:pPr>
        <w:tabs>
          <w:tab w:val="center" w:pos="4568"/>
        </w:tabs>
        <w:ind w:right="-93"/>
      </w:pPr>
    </w:p>
    <w:p w14:paraId="3541ADB4" w14:textId="77777777" w:rsidR="0075097B" w:rsidRPr="00743B09" w:rsidRDefault="0075097B" w:rsidP="00743B09">
      <w:pPr>
        <w:tabs>
          <w:tab w:val="center" w:pos="4568"/>
        </w:tabs>
        <w:ind w:right="-93"/>
      </w:pPr>
    </w:p>
    <w:p w14:paraId="33B19D9F" w14:textId="77777777" w:rsidR="0075097B" w:rsidRPr="00743B09" w:rsidRDefault="0075097B" w:rsidP="00743B09">
      <w:pPr>
        <w:tabs>
          <w:tab w:val="center" w:pos="4568"/>
        </w:tabs>
        <w:ind w:right="-93"/>
      </w:pPr>
    </w:p>
    <w:p w14:paraId="3FF89E53" w14:textId="77777777" w:rsidR="0075097B" w:rsidRPr="00743B09" w:rsidRDefault="0075097B" w:rsidP="00743B09">
      <w:pPr>
        <w:tabs>
          <w:tab w:val="center" w:pos="4568"/>
        </w:tabs>
        <w:ind w:right="-93"/>
      </w:pPr>
    </w:p>
    <w:p w14:paraId="3FDEAD85" w14:textId="77777777" w:rsidR="0075097B" w:rsidRPr="00743B09" w:rsidRDefault="0075097B" w:rsidP="00743B09">
      <w:pPr>
        <w:tabs>
          <w:tab w:val="center" w:pos="4568"/>
        </w:tabs>
        <w:ind w:right="-93"/>
      </w:pPr>
    </w:p>
    <w:p w14:paraId="5CB39936" w14:textId="77777777" w:rsidR="0075097B" w:rsidRPr="00743B09" w:rsidRDefault="0075097B" w:rsidP="00743B09">
      <w:pPr>
        <w:tabs>
          <w:tab w:val="center" w:pos="4568"/>
        </w:tabs>
        <w:ind w:right="-93"/>
      </w:pPr>
    </w:p>
    <w:p w14:paraId="71099AE9" w14:textId="77777777" w:rsidR="0075097B" w:rsidRPr="00743B09" w:rsidRDefault="0075097B" w:rsidP="00743B09">
      <w:pPr>
        <w:tabs>
          <w:tab w:val="center" w:pos="4568"/>
        </w:tabs>
        <w:ind w:right="-93"/>
      </w:pPr>
    </w:p>
    <w:p w14:paraId="1888C4DF" w14:textId="77777777" w:rsidR="0075097B" w:rsidRPr="00743B09" w:rsidRDefault="0075097B" w:rsidP="00743B09">
      <w:pPr>
        <w:tabs>
          <w:tab w:val="center" w:pos="4568"/>
        </w:tabs>
        <w:ind w:right="-93"/>
      </w:pPr>
    </w:p>
    <w:p w14:paraId="51F56BF6" w14:textId="77777777" w:rsidR="0075097B" w:rsidRPr="00743B09" w:rsidRDefault="0075097B" w:rsidP="00743B09">
      <w:pPr>
        <w:tabs>
          <w:tab w:val="center" w:pos="4568"/>
        </w:tabs>
        <w:ind w:right="-93"/>
      </w:pPr>
    </w:p>
    <w:p w14:paraId="4F3BAB1C" w14:textId="77777777" w:rsidR="0075097B" w:rsidRPr="00743B09" w:rsidRDefault="0075097B" w:rsidP="00743B09">
      <w:pPr>
        <w:tabs>
          <w:tab w:val="center" w:pos="4568"/>
        </w:tabs>
        <w:ind w:right="-93"/>
      </w:pPr>
    </w:p>
    <w:p w14:paraId="3F203CD8" w14:textId="77777777" w:rsidR="0075097B" w:rsidRPr="00743B09" w:rsidRDefault="0075097B" w:rsidP="00743B09">
      <w:pPr>
        <w:tabs>
          <w:tab w:val="center" w:pos="4568"/>
        </w:tabs>
        <w:ind w:right="-93"/>
      </w:pPr>
    </w:p>
    <w:p w14:paraId="52CB04FB" w14:textId="77777777" w:rsidR="0075097B" w:rsidRPr="00743B09" w:rsidRDefault="0075097B" w:rsidP="00743B09"/>
    <w:sectPr w:rsidR="0075097B" w:rsidRPr="00743B09">
      <w:footerReference w:type="default" r:id="rId15"/>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D87ED" w14:textId="77777777" w:rsidR="003A6691" w:rsidRDefault="003A6691">
      <w:pPr>
        <w:spacing w:line="240" w:lineRule="auto"/>
      </w:pPr>
      <w:r>
        <w:separator/>
      </w:r>
    </w:p>
  </w:endnote>
  <w:endnote w:type="continuationSeparator" w:id="0">
    <w:p w14:paraId="5E05FB89" w14:textId="77777777" w:rsidR="003A6691" w:rsidRDefault="003A66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Play">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to Sans Symbols">
    <w:altName w:val="Times New Roman"/>
    <w:charset w:val="00"/>
    <w:family w:val="auto"/>
    <w:pitch w:val="default"/>
  </w:font>
  <w:font w:name="Aptos">
    <w:altName w:val="Times New Roman"/>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55B13" w14:textId="77777777" w:rsidR="0075097B" w:rsidRDefault="0075097B">
    <w:pPr>
      <w:tabs>
        <w:tab w:val="center" w:pos="4550"/>
        <w:tab w:val="left" w:pos="5818"/>
      </w:tabs>
      <w:ind w:right="260"/>
      <w:jc w:val="right"/>
      <w:rPr>
        <w:color w:val="071320"/>
        <w:sz w:val="24"/>
        <w:szCs w:val="24"/>
      </w:rPr>
    </w:pPr>
  </w:p>
  <w:p w14:paraId="6E93B932" w14:textId="77777777" w:rsidR="0075097B" w:rsidRDefault="0075097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6E3E2" w14:textId="4F83033C" w:rsidR="0075097B" w:rsidRDefault="00EB3223">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5D7BB2">
      <w:rPr>
        <w:noProof/>
        <w:color w:val="0A1D30"/>
        <w:sz w:val="24"/>
        <w:szCs w:val="24"/>
      </w:rPr>
      <w:t>8</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5D7BB2">
      <w:rPr>
        <w:noProof/>
        <w:color w:val="0A1D30"/>
        <w:sz w:val="24"/>
        <w:szCs w:val="24"/>
      </w:rPr>
      <w:t>37</w:t>
    </w:r>
    <w:r>
      <w:rPr>
        <w:color w:val="0A1D30"/>
        <w:sz w:val="24"/>
        <w:szCs w:val="24"/>
      </w:rPr>
      <w:fldChar w:fldCharType="end"/>
    </w:r>
  </w:p>
  <w:p w14:paraId="58A118D6" w14:textId="77777777" w:rsidR="0075097B" w:rsidRDefault="0075097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5E08E" w14:textId="77777777" w:rsidR="003A6691" w:rsidRDefault="003A6691">
      <w:pPr>
        <w:spacing w:line="240" w:lineRule="auto"/>
      </w:pPr>
      <w:r>
        <w:separator/>
      </w:r>
    </w:p>
  </w:footnote>
  <w:footnote w:type="continuationSeparator" w:id="0">
    <w:p w14:paraId="01AA4AA0" w14:textId="77777777" w:rsidR="003A6691" w:rsidRDefault="003A6691">
      <w:pPr>
        <w:spacing w:line="240" w:lineRule="auto"/>
      </w:pPr>
      <w:r>
        <w:continuationSeparator/>
      </w:r>
    </w:p>
  </w:footnote>
  <w:footnote w:id="1">
    <w:p w14:paraId="291DFCE7" w14:textId="77777777" w:rsidR="0075097B" w:rsidRDefault="00EB3223">
      <w:pPr>
        <w:spacing w:line="240" w:lineRule="auto"/>
        <w:rPr>
          <w:sz w:val="20"/>
        </w:rPr>
      </w:pPr>
      <w:r>
        <w:rPr>
          <w:vertAlign w:val="superscript"/>
        </w:rPr>
        <w:footnoteRef/>
      </w:r>
      <w:r>
        <w:rPr>
          <w:sz w:val="20"/>
        </w:rPr>
        <w:t xml:space="preserve"> Vigente a la presentación de la solicitud materia del presente estudio. </w:t>
      </w:r>
    </w:p>
  </w:footnote>
  <w:footnote w:id="2">
    <w:p w14:paraId="7E7BF97D" w14:textId="77777777" w:rsidR="0075097B" w:rsidRDefault="00EB3223">
      <w:pPr>
        <w:spacing w:line="240" w:lineRule="auto"/>
        <w:rPr>
          <w:sz w:val="20"/>
        </w:rPr>
      </w:pPr>
      <w:r>
        <w:rPr>
          <w:vertAlign w:val="superscript"/>
        </w:rPr>
        <w:footnoteRef/>
      </w:r>
      <w:r>
        <w:rPr>
          <w:sz w:val="20"/>
        </w:rPr>
        <w:t xml:space="preserve"> Vigente a la presentación de la solicitud materia del presente estudio.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44525" w14:textId="77777777" w:rsidR="0075097B" w:rsidRDefault="0075097B">
    <w:pPr>
      <w:widowControl w:val="0"/>
      <w:pBdr>
        <w:top w:val="nil"/>
        <w:left w:val="nil"/>
        <w:bottom w:val="nil"/>
        <w:right w:val="nil"/>
        <w:between w:val="nil"/>
      </w:pBdr>
      <w:spacing w:line="276" w:lineRule="auto"/>
      <w:jc w:val="left"/>
    </w:pPr>
  </w:p>
  <w:tbl>
    <w:tblPr>
      <w:tblStyle w:val="afe"/>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75097B" w14:paraId="4FFEB529" w14:textId="77777777">
      <w:trPr>
        <w:trHeight w:val="144"/>
        <w:jc w:val="right"/>
      </w:trPr>
      <w:tc>
        <w:tcPr>
          <w:tcW w:w="2727" w:type="dxa"/>
        </w:tcPr>
        <w:p w14:paraId="7BDD89AF" w14:textId="77777777" w:rsidR="0075097B" w:rsidRDefault="00EB3223">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02" w:type="dxa"/>
        </w:tcPr>
        <w:p w14:paraId="7CF7F854" w14:textId="2140A9F3" w:rsidR="0075097B" w:rsidRDefault="0053128B">
          <w:pPr>
            <w:tabs>
              <w:tab w:val="right" w:pos="8838"/>
            </w:tabs>
            <w:ind w:left="-74" w:right="-105"/>
            <w:rPr>
              <w:rFonts w:ascii="Palatino Linotype" w:eastAsia="Palatino Linotype" w:hAnsi="Palatino Linotype" w:cs="Palatino Linotype"/>
            </w:rPr>
          </w:pPr>
          <w:r>
            <w:rPr>
              <w:rFonts w:ascii="Palatino Linotype" w:eastAsia="Palatino Linotype" w:hAnsi="Palatino Linotype" w:cs="Palatino Linotype"/>
            </w:rPr>
            <w:t>026</w:t>
          </w:r>
          <w:r w:rsidR="00EB3223">
            <w:rPr>
              <w:rFonts w:ascii="Palatino Linotype" w:eastAsia="Palatino Linotype" w:hAnsi="Palatino Linotype" w:cs="Palatino Linotype"/>
            </w:rPr>
            <w:t>42/INFOEM/IP/RR/2025</w:t>
          </w:r>
        </w:p>
      </w:tc>
    </w:tr>
    <w:tr w:rsidR="0075097B" w14:paraId="0A37C087" w14:textId="77777777">
      <w:trPr>
        <w:jc w:val="right"/>
      </w:trPr>
      <w:tc>
        <w:tcPr>
          <w:tcW w:w="2727" w:type="dxa"/>
        </w:tcPr>
        <w:p w14:paraId="7978CF77" w14:textId="77777777" w:rsidR="0075097B" w:rsidRDefault="00EB3223">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02" w:type="dxa"/>
        </w:tcPr>
        <w:p w14:paraId="2ABC05D0" w14:textId="77777777" w:rsidR="0075097B" w:rsidRDefault="00EB3223">
          <w:pPr>
            <w:tabs>
              <w:tab w:val="left" w:pos="2834"/>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Ayuntamiento de Cocotitlán</w:t>
          </w:r>
        </w:p>
      </w:tc>
    </w:tr>
    <w:tr w:rsidR="0075097B" w14:paraId="709E6867" w14:textId="77777777">
      <w:trPr>
        <w:trHeight w:val="283"/>
        <w:jc w:val="right"/>
      </w:trPr>
      <w:tc>
        <w:tcPr>
          <w:tcW w:w="2727" w:type="dxa"/>
        </w:tcPr>
        <w:p w14:paraId="17E1A4DB" w14:textId="77777777" w:rsidR="0075097B" w:rsidRDefault="00EB3223">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02" w:type="dxa"/>
        </w:tcPr>
        <w:p w14:paraId="467E26AC" w14:textId="77777777" w:rsidR="0075097B" w:rsidRDefault="00EB3223">
          <w:pPr>
            <w:tabs>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14:paraId="0818220B" w14:textId="77777777" w:rsidR="0075097B" w:rsidRDefault="00EB3223">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15C74BC4" wp14:editId="19B259A0">
          <wp:simplePos x="0" y="0"/>
          <wp:positionH relativeFrom="margin">
            <wp:posOffset>-995027</wp:posOffset>
          </wp:positionH>
          <wp:positionV relativeFrom="margin">
            <wp:posOffset>-1782428</wp:posOffset>
          </wp:positionV>
          <wp:extent cx="8426450" cy="10972800"/>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7C984" w14:textId="77777777" w:rsidR="0075097B" w:rsidRDefault="0075097B">
    <w:pPr>
      <w:widowControl w:val="0"/>
      <w:spacing w:line="276" w:lineRule="auto"/>
      <w:ind w:right="-25"/>
      <w:jc w:val="left"/>
      <w:rPr>
        <w:sz w:val="14"/>
        <w:szCs w:val="14"/>
      </w:rPr>
    </w:pPr>
  </w:p>
  <w:tbl>
    <w:tblPr>
      <w:tblStyle w:val="aff"/>
      <w:tblpPr w:leftFromText="141" w:rightFromText="141" w:vertAnchor="text" w:tblpX="3887"/>
      <w:tblW w:w="5847" w:type="dxa"/>
      <w:tblInd w:w="0" w:type="dxa"/>
      <w:tblLayout w:type="fixed"/>
      <w:tblLook w:val="0400" w:firstRow="0" w:lastRow="0" w:firstColumn="0" w:lastColumn="0" w:noHBand="0" w:noVBand="1"/>
    </w:tblPr>
    <w:tblGrid>
      <w:gridCol w:w="2457"/>
      <w:gridCol w:w="3390"/>
    </w:tblGrid>
    <w:tr w:rsidR="0075097B" w14:paraId="6E080E91" w14:textId="77777777">
      <w:trPr>
        <w:trHeight w:val="136"/>
      </w:trPr>
      <w:tc>
        <w:tcPr>
          <w:tcW w:w="2457" w:type="dxa"/>
        </w:tcPr>
        <w:p w14:paraId="0E0ABD33" w14:textId="77777777" w:rsidR="0075097B" w:rsidRDefault="00EB3223">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390" w:type="dxa"/>
        </w:tcPr>
        <w:p w14:paraId="4D0904C0" w14:textId="77777777" w:rsidR="0075097B" w:rsidRDefault="00EB3223">
          <w:pPr>
            <w:tabs>
              <w:tab w:val="right" w:pos="8838"/>
            </w:tabs>
            <w:ind w:left="-74" w:right="-25"/>
            <w:rPr>
              <w:rFonts w:ascii="Palatino Linotype" w:eastAsia="Palatino Linotype" w:hAnsi="Palatino Linotype" w:cs="Palatino Linotype"/>
            </w:rPr>
          </w:pPr>
          <w:r>
            <w:rPr>
              <w:rFonts w:ascii="Palatino Linotype" w:eastAsia="Palatino Linotype" w:hAnsi="Palatino Linotype" w:cs="Palatino Linotype"/>
            </w:rPr>
            <w:t>02642/INFOEM/IP/RR/2025</w:t>
          </w:r>
        </w:p>
      </w:tc>
    </w:tr>
    <w:tr w:rsidR="0075097B" w14:paraId="282277D6" w14:textId="77777777">
      <w:trPr>
        <w:trHeight w:val="136"/>
      </w:trPr>
      <w:tc>
        <w:tcPr>
          <w:tcW w:w="2457" w:type="dxa"/>
        </w:tcPr>
        <w:p w14:paraId="4623C231" w14:textId="77777777" w:rsidR="0075097B" w:rsidRDefault="00EB3223">
          <w:pPr>
            <w:tabs>
              <w:tab w:val="right" w:pos="8838"/>
            </w:tabs>
            <w:ind w:left="-74" w:right="-25"/>
            <w:rPr>
              <w:rFonts w:ascii="Palatino Linotype" w:eastAsia="Palatino Linotype" w:hAnsi="Palatino Linotype" w:cs="Palatino Linotype"/>
              <w:b/>
            </w:rPr>
          </w:pPr>
          <w:bookmarkStart w:id="0" w:name="_heading=h.3fwokq0" w:colFirst="0" w:colLast="0"/>
          <w:bookmarkEnd w:id="0"/>
          <w:r>
            <w:rPr>
              <w:rFonts w:ascii="Palatino Linotype" w:eastAsia="Palatino Linotype" w:hAnsi="Palatino Linotype" w:cs="Palatino Linotype"/>
              <w:b/>
            </w:rPr>
            <w:t>Recurrente:</w:t>
          </w:r>
        </w:p>
      </w:tc>
      <w:tc>
        <w:tcPr>
          <w:tcW w:w="3390" w:type="dxa"/>
        </w:tcPr>
        <w:p w14:paraId="64DDB2D5" w14:textId="77777777" w:rsidR="0075097B" w:rsidRDefault="0075097B">
          <w:pPr>
            <w:tabs>
              <w:tab w:val="left" w:pos="3122"/>
              <w:tab w:val="right" w:pos="8838"/>
            </w:tabs>
            <w:ind w:left="-105" w:right="-25"/>
            <w:rPr>
              <w:rFonts w:ascii="Palatino Linotype" w:eastAsia="Palatino Linotype" w:hAnsi="Palatino Linotype" w:cs="Palatino Linotype"/>
            </w:rPr>
          </w:pPr>
        </w:p>
      </w:tc>
    </w:tr>
    <w:tr w:rsidR="0075097B" w14:paraId="4C2D2F03" w14:textId="77777777">
      <w:trPr>
        <w:trHeight w:val="269"/>
      </w:trPr>
      <w:tc>
        <w:tcPr>
          <w:tcW w:w="2457" w:type="dxa"/>
        </w:tcPr>
        <w:p w14:paraId="4D5C1A25" w14:textId="77777777" w:rsidR="0075097B" w:rsidRDefault="00EB3223">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390" w:type="dxa"/>
        </w:tcPr>
        <w:p w14:paraId="6163C944" w14:textId="77777777" w:rsidR="0075097B" w:rsidRDefault="00EB3223">
          <w:pPr>
            <w:tabs>
              <w:tab w:val="left" w:pos="3122"/>
              <w:tab w:val="right" w:pos="8838"/>
            </w:tabs>
            <w:ind w:left="-105" w:right="-25"/>
            <w:rPr>
              <w:rFonts w:ascii="Palatino Linotype" w:eastAsia="Palatino Linotype" w:hAnsi="Palatino Linotype" w:cs="Palatino Linotype"/>
            </w:rPr>
          </w:pPr>
          <w:r>
            <w:rPr>
              <w:rFonts w:ascii="Palatino Linotype" w:eastAsia="Palatino Linotype" w:hAnsi="Palatino Linotype" w:cs="Palatino Linotype"/>
            </w:rPr>
            <w:t>Ayuntamiento de Cocotitlán</w:t>
          </w:r>
        </w:p>
      </w:tc>
    </w:tr>
    <w:tr w:rsidR="0075097B" w14:paraId="43F7B68D" w14:textId="77777777">
      <w:trPr>
        <w:trHeight w:val="269"/>
      </w:trPr>
      <w:tc>
        <w:tcPr>
          <w:tcW w:w="2457" w:type="dxa"/>
        </w:tcPr>
        <w:p w14:paraId="7C7162D9" w14:textId="77777777" w:rsidR="0075097B" w:rsidRDefault="00EB3223">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390" w:type="dxa"/>
        </w:tcPr>
        <w:p w14:paraId="24EA1A17" w14:textId="77777777" w:rsidR="0075097B" w:rsidRDefault="00EB3223">
          <w:pPr>
            <w:tabs>
              <w:tab w:val="right" w:pos="8838"/>
            </w:tabs>
            <w:ind w:left="-108" w:right="-2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14:paraId="11232308" w14:textId="77777777" w:rsidR="0075097B" w:rsidRDefault="0075097B">
    <w:pPr>
      <w:widowControl w:val="0"/>
      <w:spacing w:line="276" w:lineRule="auto"/>
      <w:ind w:right="-17"/>
      <w:jc w:val="left"/>
      <w:rPr>
        <w:sz w:val="14"/>
        <w:szCs w:val="14"/>
      </w:rPr>
    </w:pPr>
  </w:p>
  <w:p w14:paraId="0C039B4A" w14:textId="77777777" w:rsidR="0075097B" w:rsidRDefault="003A6691">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6A2504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F0987"/>
    <w:multiLevelType w:val="multilevel"/>
    <w:tmpl w:val="4866BF9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E2156C"/>
    <w:multiLevelType w:val="multilevel"/>
    <w:tmpl w:val="12C42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9C2485"/>
    <w:multiLevelType w:val="multilevel"/>
    <w:tmpl w:val="7FA682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9FD1904"/>
    <w:multiLevelType w:val="multilevel"/>
    <w:tmpl w:val="D0E80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DDE778B"/>
    <w:multiLevelType w:val="multilevel"/>
    <w:tmpl w:val="B7D6100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7B"/>
    <w:rsid w:val="00327A30"/>
    <w:rsid w:val="003A6691"/>
    <w:rsid w:val="0053128B"/>
    <w:rsid w:val="005D7BB2"/>
    <w:rsid w:val="00743B09"/>
    <w:rsid w:val="0075097B"/>
    <w:rsid w:val="00786CBE"/>
    <w:rsid w:val="008F492D"/>
    <w:rsid w:val="00BB54CF"/>
    <w:rsid w:val="00C4611E"/>
    <w:rsid w:val="00EB32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9AD28F"/>
  <w15:docId w15:val="{37603395-1C59-4D31-BB02-F4C2FB19A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c"/>
    <w:pPr>
      <w:spacing w:line="240" w:lineRule="auto"/>
    </w:pPr>
    <w:tblPr>
      <w:tblStyleRowBandSize w:val="1"/>
      <w:tblStyleColBandSize w:val="1"/>
      <w:tblCellMar>
        <w:left w:w="108" w:type="dxa"/>
        <w:right w:w="108" w:type="dxa"/>
      </w:tblCellMar>
    </w:tblPr>
  </w:style>
  <w:style w:type="table" w:customStyle="1" w:styleId="a0">
    <w:basedOn w:val="TableNormalc"/>
    <w:tblPr>
      <w:tblStyleRowBandSize w:val="1"/>
      <w:tblStyleColBandSize w:val="1"/>
      <w:tblCellMar>
        <w:left w:w="115" w:type="dxa"/>
        <w:right w:w="115" w:type="dxa"/>
      </w:tblCellMar>
    </w:tblPr>
  </w:style>
  <w:style w:type="table" w:customStyle="1" w:styleId="a1">
    <w:basedOn w:val="TableNormalc"/>
    <w:pPr>
      <w:spacing w:line="240" w:lineRule="auto"/>
    </w:pPr>
    <w:tblPr>
      <w:tblStyleRowBandSize w:val="1"/>
      <w:tblStyleColBandSize w:val="1"/>
      <w:tblCellMar>
        <w:left w:w="108" w:type="dxa"/>
        <w:right w:w="108" w:type="dxa"/>
      </w:tblCellMar>
    </w:tblPr>
  </w:style>
  <w:style w:type="table" w:customStyle="1" w:styleId="a2">
    <w:basedOn w:val="TableNormalc"/>
    <w:pPr>
      <w:spacing w:line="240" w:lineRule="auto"/>
    </w:pPr>
    <w:tblPr>
      <w:tblStyleRowBandSize w:val="1"/>
      <w:tblStyleColBandSize w:val="1"/>
      <w:tblCellMar>
        <w:left w:w="108" w:type="dxa"/>
        <w:right w:w="108" w:type="dxa"/>
      </w:tblCellMar>
    </w:tblPr>
  </w:style>
  <w:style w:type="table" w:customStyle="1" w:styleId="a3">
    <w:basedOn w:val="TableNormalc"/>
    <w:pPr>
      <w:spacing w:line="240" w:lineRule="auto"/>
    </w:pPr>
    <w:tblPr>
      <w:tblStyleRowBandSize w:val="1"/>
      <w:tblStyleColBandSize w:val="1"/>
      <w:tblCellMar>
        <w:left w:w="108" w:type="dxa"/>
        <w:right w:w="108" w:type="dxa"/>
      </w:tblCellMar>
    </w:tblPr>
  </w:style>
  <w:style w:type="table" w:customStyle="1" w:styleId="a4">
    <w:basedOn w:val="TableNormalc"/>
    <w:pPr>
      <w:spacing w:line="240" w:lineRule="auto"/>
    </w:pPr>
    <w:tblPr>
      <w:tblStyleRowBandSize w:val="1"/>
      <w:tblStyleColBandSize w:val="1"/>
      <w:tblCellMar>
        <w:left w:w="108" w:type="dxa"/>
        <w:right w:w="108" w:type="dxa"/>
      </w:tblCellMar>
    </w:tblPr>
  </w:style>
  <w:style w:type="character" w:customStyle="1" w:styleId="Mencinsinresolver1">
    <w:name w:val="Mención sin resolver1"/>
    <w:basedOn w:val="Fuentedeprrafopredeter"/>
    <w:uiPriority w:val="99"/>
    <w:semiHidden/>
    <w:unhideWhenUsed/>
    <w:rsid w:val="003B6789"/>
    <w:rPr>
      <w:color w:val="605E5C"/>
      <w:shd w:val="clear" w:color="auto" w:fill="E1DFDD"/>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0549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0549B7"/>
    <w:rPr>
      <w:rFonts w:eastAsia="Times New Roman" w:cs="Times New Roman"/>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0549B7"/>
    <w:rPr>
      <w:vertAlign w:val="superscript"/>
    </w:rPr>
  </w:style>
  <w:style w:type="table" w:customStyle="1" w:styleId="a5">
    <w:basedOn w:val="TableNormalb"/>
    <w:pPr>
      <w:spacing w:line="240" w:lineRule="auto"/>
    </w:pPr>
    <w:tblPr>
      <w:tblStyleRowBandSize w:val="1"/>
      <w:tblStyleColBandSize w:val="1"/>
      <w:tblCellMar>
        <w:left w:w="108" w:type="dxa"/>
        <w:right w:w="108" w:type="dxa"/>
      </w:tblCellMar>
    </w:tblPr>
  </w:style>
  <w:style w:type="table" w:customStyle="1" w:styleId="a6">
    <w:basedOn w:val="TableNormalb"/>
    <w:pPr>
      <w:spacing w:line="240" w:lineRule="auto"/>
    </w:pPr>
    <w:tblPr>
      <w:tblStyleRowBandSize w:val="1"/>
      <w:tblStyleColBandSize w:val="1"/>
      <w:tblCellMar>
        <w:left w:w="108" w:type="dxa"/>
        <w:right w:w="108" w:type="dxa"/>
      </w:tblCellMar>
    </w:tblPr>
  </w:style>
  <w:style w:type="table" w:customStyle="1" w:styleId="a7">
    <w:basedOn w:val="TableNormalb"/>
    <w:rPr>
      <w:rFonts w:ascii="Cambria" w:eastAsia="Cambria" w:hAnsi="Cambria" w:cs="Cambria"/>
    </w:rPr>
    <w:tblPr>
      <w:tblStyleRowBandSize w:val="1"/>
      <w:tblStyleColBandSize w:val="1"/>
      <w:tblCellMar>
        <w:left w:w="108" w:type="dxa"/>
        <w:right w:w="108" w:type="dxa"/>
      </w:tblCellMar>
    </w:tblPr>
  </w:style>
  <w:style w:type="table" w:customStyle="1" w:styleId="a8">
    <w:basedOn w:val="TableNormalb"/>
    <w:rPr>
      <w:rFonts w:ascii="Cambria" w:eastAsia="Cambria" w:hAnsi="Cambria" w:cs="Cambria"/>
    </w:rPr>
    <w:tblPr>
      <w:tblStyleRowBandSize w:val="1"/>
      <w:tblStyleColBandSize w:val="1"/>
      <w:tblCellMar>
        <w:left w:w="108" w:type="dxa"/>
        <w:right w:w="108" w:type="dxa"/>
      </w:tblCellMar>
    </w:tblPr>
  </w:style>
  <w:style w:type="table" w:customStyle="1" w:styleId="a9">
    <w:basedOn w:val="TableNormalb"/>
    <w:pPr>
      <w:spacing w:line="240" w:lineRule="auto"/>
    </w:pPr>
    <w:tblPr>
      <w:tblStyleRowBandSize w:val="1"/>
      <w:tblStyleColBandSize w:val="1"/>
      <w:tblCellMar>
        <w:left w:w="108" w:type="dxa"/>
        <w:right w:w="108" w:type="dxa"/>
      </w:tblCellMar>
    </w:tblPr>
  </w:style>
  <w:style w:type="table" w:customStyle="1" w:styleId="aa">
    <w:basedOn w:val="TableNormalb"/>
    <w:pPr>
      <w:spacing w:line="240" w:lineRule="auto"/>
    </w:pPr>
    <w:tblPr>
      <w:tblStyleRowBandSize w:val="1"/>
      <w:tblStyleColBandSize w:val="1"/>
      <w:tblCellMar>
        <w:left w:w="108" w:type="dxa"/>
        <w:right w:w="108" w:type="dxa"/>
      </w:tblCellMar>
    </w:tblPr>
  </w:style>
  <w:style w:type="table" w:customStyle="1" w:styleId="ab">
    <w:basedOn w:val="TableNormal9"/>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c">
    <w:basedOn w:val="TableNormal9"/>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d">
    <w:basedOn w:val="TableNormal9"/>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e">
    <w:basedOn w:val="TableNormal9"/>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
    <w:basedOn w:val="TableNormal9"/>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0">
    <w:basedOn w:val="TableNormal9"/>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1">
    <w:basedOn w:val="TableNormal9"/>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2">
    <w:basedOn w:val="TableNormal9"/>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3">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4">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5">
    <w:basedOn w:val="TableNormal5"/>
    <w:pPr>
      <w:spacing w:line="240" w:lineRule="auto"/>
    </w:pPr>
    <w:tblPr>
      <w:tblStyleRowBandSize w:val="1"/>
      <w:tblStyleColBandSize w:val="1"/>
      <w:tblCellMar>
        <w:left w:w="108" w:type="dxa"/>
        <w:right w:w="108" w:type="dxa"/>
      </w:tblCellMar>
    </w:tblPr>
  </w:style>
  <w:style w:type="table" w:customStyle="1" w:styleId="af6">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7">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8">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9">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a">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b">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c">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d">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e">
    <w:basedOn w:val="TableNormal0"/>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
    <w:basedOn w:val="TableNormal0"/>
    <w:pPr>
      <w:spacing w:line="240" w:lineRule="auto"/>
    </w:pPr>
    <w:rPr>
      <w:rFonts w:ascii="Cambria" w:eastAsia="Cambria" w:hAnsi="Cambria" w:cs="Cambria"/>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cretariadoejecutivo.gob.mx/work/models/SecretariadoEjecutivo/Resource/328/1/images/instructivo_final_edo_fuerza(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Mdp+4Dw3/3iQLtyaBOksecpA+A==">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37</Pages>
  <Words>10132</Words>
  <Characters>55728</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7</cp:revision>
  <cp:lastPrinted>2025-04-10T18:40:00Z</cp:lastPrinted>
  <dcterms:created xsi:type="dcterms:W3CDTF">2025-04-07T22:40:00Z</dcterms:created>
  <dcterms:modified xsi:type="dcterms:W3CDTF">2025-04-29T20:45:00Z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