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69F" w:rsidRPr="00F65CBF" w:rsidRDefault="001E21FA" w:rsidP="00F65CBF">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F65CBF">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F65CBF">
        <w:rPr>
          <w:rFonts w:ascii="Palatino Linotype" w:eastAsia="Palatino Linotype" w:hAnsi="Palatino Linotype" w:cs="Palatino Linotype"/>
          <w:b/>
          <w:color w:val="000000" w:themeColor="text1"/>
        </w:rPr>
        <w:t xml:space="preserve">de fecha </w:t>
      </w:r>
      <w:r w:rsidR="00DF311C" w:rsidRPr="00F65CBF">
        <w:rPr>
          <w:rFonts w:ascii="Palatino Linotype" w:eastAsia="Palatino Linotype" w:hAnsi="Palatino Linotype" w:cs="Palatino Linotype"/>
          <w:b/>
          <w:color w:val="000000" w:themeColor="text1"/>
        </w:rPr>
        <w:t>tres (03) de diciembre</w:t>
      </w:r>
      <w:r w:rsidRPr="00F65CBF">
        <w:rPr>
          <w:rFonts w:ascii="Palatino Linotype" w:eastAsia="Palatino Linotype" w:hAnsi="Palatino Linotype" w:cs="Palatino Linotype"/>
          <w:b/>
          <w:color w:val="000000" w:themeColor="text1"/>
        </w:rPr>
        <w:t xml:space="preserve"> de dos mil veinticinco</w:t>
      </w:r>
      <w:r w:rsidRPr="00F65CBF">
        <w:rPr>
          <w:rFonts w:ascii="Palatino Linotype" w:eastAsia="Palatino Linotype" w:hAnsi="Palatino Linotype" w:cs="Palatino Linotype"/>
          <w:color w:val="000000" w:themeColor="text1"/>
        </w:rPr>
        <w:t>.</w:t>
      </w:r>
    </w:p>
    <w:p w:rsidR="0020369F" w:rsidRPr="00F65CBF" w:rsidRDefault="0020369F" w:rsidP="00F65CBF">
      <w:pPr>
        <w:tabs>
          <w:tab w:val="left" w:pos="3465"/>
        </w:tabs>
        <w:spacing w:line="360" w:lineRule="auto"/>
        <w:jc w:val="both"/>
        <w:rPr>
          <w:rFonts w:ascii="Palatino Linotype" w:eastAsia="Palatino Linotype" w:hAnsi="Palatino Linotype" w:cs="Palatino Linotype"/>
          <w:color w:val="000000" w:themeColor="text1"/>
        </w:rPr>
      </w:pPr>
    </w:p>
    <w:p w:rsidR="0020369F" w:rsidRPr="00F65CBF" w:rsidRDefault="001E21FA" w:rsidP="00F65CBF">
      <w:pPr>
        <w:spacing w:line="360" w:lineRule="auto"/>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b/>
          <w:color w:val="000000" w:themeColor="text1"/>
        </w:rPr>
        <w:t xml:space="preserve">VISTAS </w:t>
      </w:r>
      <w:r w:rsidRPr="00F65CBF">
        <w:rPr>
          <w:rFonts w:ascii="Palatino Linotype" w:eastAsia="Palatino Linotype" w:hAnsi="Palatino Linotype" w:cs="Palatino Linotype"/>
          <w:color w:val="000000" w:themeColor="text1"/>
        </w:rPr>
        <w:t xml:space="preserve">las constancias para resolver el Recurso de Revisión </w:t>
      </w:r>
      <w:r w:rsidR="0084695A" w:rsidRPr="00F65CBF">
        <w:rPr>
          <w:rFonts w:ascii="Palatino Linotype" w:eastAsia="Palatino Linotype" w:hAnsi="Palatino Linotype" w:cs="Palatino Linotype"/>
          <w:b/>
          <w:color w:val="000000" w:themeColor="text1"/>
        </w:rPr>
        <w:t>05583</w:t>
      </w:r>
      <w:r w:rsidRPr="00F65CBF">
        <w:rPr>
          <w:rFonts w:ascii="Palatino Linotype" w:eastAsia="Palatino Linotype" w:hAnsi="Palatino Linotype" w:cs="Palatino Linotype"/>
          <w:b/>
          <w:color w:val="000000" w:themeColor="text1"/>
        </w:rPr>
        <w:t>/INFOEM/IP/RR/2025</w:t>
      </w:r>
      <w:r w:rsidRPr="00F65CBF">
        <w:rPr>
          <w:rFonts w:ascii="Palatino Linotype" w:eastAsia="Palatino Linotype" w:hAnsi="Palatino Linotype" w:cs="Palatino Linotype"/>
          <w:color w:val="000000" w:themeColor="text1"/>
        </w:rPr>
        <w:t xml:space="preserve">, promovido por </w:t>
      </w:r>
      <w:r w:rsidR="0084695A" w:rsidRPr="00F65CBF">
        <w:rPr>
          <w:rFonts w:ascii="Palatino Linotype" w:eastAsia="Palatino Linotype" w:hAnsi="Palatino Linotype" w:cs="Palatino Linotype"/>
          <w:b/>
          <w:color w:val="000000" w:themeColor="text1"/>
        </w:rPr>
        <w:t xml:space="preserve">una persona </w:t>
      </w:r>
      <w:r w:rsidR="00F62FB0" w:rsidRPr="00F65CBF">
        <w:rPr>
          <w:rFonts w:ascii="Palatino Linotype" w:eastAsia="Palatino Linotype" w:hAnsi="Palatino Linotype" w:cs="Palatino Linotype"/>
          <w:b/>
          <w:color w:val="000000" w:themeColor="text1"/>
        </w:rPr>
        <w:t>que no registró nombre</w:t>
      </w:r>
      <w:r w:rsidRPr="00F65CBF">
        <w:rPr>
          <w:rFonts w:ascii="Palatino Linotype" w:eastAsia="Palatino Linotype" w:hAnsi="Palatino Linotype" w:cs="Palatino Linotype"/>
          <w:color w:val="000000" w:themeColor="text1"/>
        </w:rPr>
        <w:t xml:space="preserve">, en lo sucesivo </w:t>
      </w:r>
      <w:r w:rsidRPr="00F65CBF">
        <w:rPr>
          <w:rFonts w:ascii="Palatino Linotype" w:eastAsia="Palatino Linotype" w:hAnsi="Palatino Linotype" w:cs="Palatino Linotype"/>
          <w:b/>
          <w:color w:val="000000" w:themeColor="text1"/>
        </w:rPr>
        <w:t>EL RECURRENTE</w:t>
      </w:r>
      <w:r w:rsidRPr="00F65CBF">
        <w:rPr>
          <w:rFonts w:ascii="Palatino Linotype" w:eastAsia="Palatino Linotype" w:hAnsi="Palatino Linotype" w:cs="Palatino Linotype"/>
          <w:color w:val="000000" w:themeColor="text1"/>
        </w:rPr>
        <w:t xml:space="preserve">, en contra de la respuesta otorgada a la solicitud de información </w:t>
      </w:r>
      <w:r w:rsidR="00F62FB0" w:rsidRPr="00F65CBF">
        <w:rPr>
          <w:rFonts w:ascii="Palatino Linotype" w:eastAsia="Palatino Linotype" w:hAnsi="Palatino Linotype" w:cs="Palatino Linotype"/>
          <w:b/>
          <w:color w:val="000000" w:themeColor="text1"/>
        </w:rPr>
        <w:t>00131/OFICIALIA/IP/2025</w:t>
      </w:r>
      <w:r w:rsidR="00F62FB0" w:rsidRPr="00F65CBF">
        <w:rPr>
          <w:rFonts w:ascii="Palatino Linotype" w:eastAsia="Palatino Linotype" w:hAnsi="Palatino Linotype" w:cs="Palatino Linotype"/>
          <w:color w:val="000000" w:themeColor="text1"/>
        </w:rPr>
        <w:t>, por parte de la</w:t>
      </w:r>
      <w:r w:rsidRPr="00F65CBF">
        <w:rPr>
          <w:rFonts w:ascii="Palatino Linotype" w:eastAsia="Palatino Linotype" w:hAnsi="Palatino Linotype" w:cs="Palatino Linotype"/>
          <w:color w:val="000000" w:themeColor="text1"/>
        </w:rPr>
        <w:t xml:space="preserve"> </w:t>
      </w:r>
      <w:r w:rsidR="00F62FB0" w:rsidRPr="00F65CBF">
        <w:rPr>
          <w:rFonts w:ascii="Palatino Linotype" w:eastAsia="Palatino Linotype" w:hAnsi="Palatino Linotype" w:cs="Palatino Linotype"/>
          <w:b/>
          <w:color w:val="000000" w:themeColor="text1"/>
        </w:rPr>
        <w:t>Oficialía Mayor</w:t>
      </w:r>
      <w:r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 xml:space="preserve">en adelante el </w:t>
      </w:r>
      <w:r w:rsidRPr="00F65CBF">
        <w:rPr>
          <w:rFonts w:ascii="Palatino Linotype" w:eastAsia="Palatino Linotype" w:hAnsi="Palatino Linotype" w:cs="Palatino Linotype"/>
          <w:b/>
          <w:color w:val="000000" w:themeColor="text1"/>
        </w:rPr>
        <w:t>SUJETO OBLIGADO</w:t>
      </w:r>
      <w:r w:rsidRPr="00F65CBF">
        <w:rPr>
          <w:rFonts w:ascii="Palatino Linotype" w:eastAsia="Palatino Linotype" w:hAnsi="Palatino Linotype" w:cs="Palatino Linotype"/>
          <w:color w:val="000000" w:themeColor="text1"/>
        </w:rPr>
        <w:t>, se emite la presente resolución con base en los siguientes:</w:t>
      </w:r>
    </w:p>
    <w:p w:rsidR="0020369F" w:rsidRPr="00F65CBF" w:rsidRDefault="0020369F" w:rsidP="00F65CBF">
      <w:pPr>
        <w:spacing w:line="360" w:lineRule="auto"/>
        <w:jc w:val="both"/>
        <w:rPr>
          <w:rFonts w:ascii="Palatino Linotype" w:eastAsia="Palatino Linotype" w:hAnsi="Palatino Linotype" w:cs="Palatino Linotype"/>
          <w:color w:val="000000" w:themeColor="text1"/>
        </w:rPr>
      </w:pPr>
    </w:p>
    <w:p w:rsidR="0020369F" w:rsidRPr="00F65CBF" w:rsidRDefault="001E21FA" w:rsidP="00F65CBF">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F65CBF">
        <w:rPr>
          <w:rFonts w:ascii="Palatino Linotype" w:eastAsia="Palatino Linotype" w:hAnsi="Palatino Linotype" w:cs="Palatino Linotype"/>
          <w:b/>
          <w:color w:val="000000" w:themeColor="text1"/>
          <w:sz w:val="24"/>
          <w:szCs w:val="24"/>
        </w:rPr>
        <w:t>A N T E C E D E N T E S</w:t>
      </w:r>
    </w:p>
    <w:p w:rsidR="0020369F" w:rsidRPr="00F65CBF" w:rsidRDefault="0020369F" w:rsidP="00F65CB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20369F" w:rsidRPr="00F65CBF" w:rsidRDefault="001E21FA" w:rsidP="00F65CB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El </w:t>
      </w:r>
      <w:r w:rsidR="009737A8" w:rsidRPr="00F65CBF">
        <w:rPr>
          <w:rFonts w:ascii="Palatino Linotype" w:eastAsia="Palatino Linotype" w:hAnsi="Palatino Linotype" w:cs="Palatino Linotype"/>
          <w:b/>
          <w:color w:val="000000" w:themeColor="text1"/>
        </w:rPr>
        <w:t>doce de mayo</w:t>
      </w:r>
      <w:r w:rsidRPr="00F65CBF">
        <w:rPr>
          <w:rFonts w:ascii="Palatino Linotype" w:eastAsia="Palatino Linotype" w:hAnsi="Palatino Linotype" w:cs="Palatino Linotype"/>
          <w:b/>
          <w:color w:val="000000" w:themeColor="text1"/>
        </w:rPr>
        <w:t xml:space="preserve"> de dos mil veinticinco</w:t>
      </w:r>
      <w:r w:rsidRPr="00F65CBF">
        <w:rPr>
          <w:rFonts w:ascii="Palatino Linotype" w:eastAsia="Palatino Linotype" w:hAnsi="Palatino Linotype" w:cs="Palatino Linotype"/>
          <w:color w:val="000000" w:themeColor="text1"/>
        </w:rPr>
        <w:t>,</w:t>
      </w:r>
      <w:r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 xml:space="preserve">se presentó ante el Sujeto Obligado vía Sistema de Acceso a la Información Mexiquense, en adelante SAIMEX, la siguiente </w:t>
      </w:r>
      <w:r w:rsidRPr="00F65CBF">
        <w:rPr>
          <w:rFonts w:ascii="Palatino Linotype" w:eastAsia="Palatino Linotype" w:hAnsi="Palatino Linotype" w:cs="Palatino Linotype"/>
          <w:b/>
          <w:color w:val="000000" w:themeColor="text1"/>
        </w:rPr>
        <w:t>solicitud de información pública</w:t>
      </w:r>
      <w:r w:rsidRPr="00F65CBF">
        <w:rPr>
          <w:rFonts w:ascii="Palatino Linotype" w:eastAsia="Palatino Linotype" w:hAnsi="Palatino Linotype" w:cs="Palatino Linotype"/>
          <w:color w:val="000000" w:themeColor="text1"/>
        </w:rPr>
        <w:t>:</w:t>
      </w:r>
    </w:p>
    <w:p w:rsidR="0020369F" w:rsidRPr="00F65CBF" w:rsidRDefault="0020369F"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20369F" w:rsidRPr="00F65CBF" w:rsidRDefault="001E21FA"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 “</w:t>
      </w:r>
      <w:r w:rsidR="009737A8" w:rsidRPr="00F65CBF">
        <w:rPr>
          <w:rFonts w:ascii="Palatino Linotype" w:eastAsia="Palatino Linotype" w:hAnsi="Palatino Linotype" w:cs="Palatino Linotype"/>
          <w:i/>
          <w:color w:val="000000" w:themeColor="text1"/>
        </w:rPr>
        <w:t>Solicito atentamente se me informe por qué no se autorizó incremento salarial para el ejercicio 2024 a las plazas 100 estatales del Colegio de Estudios Científicos y Tecnológicos del Estado de México, también quiero saber si se planea congelar el sueldo de dichas plazas, cabe señalar que el número de plazas 100 estatales en el cecytem es mínimo y creo que al estado no le afecta ni para bien ni para mal el darles $22,000 pesos quincenales si se compara con las plazas directivas a las cuales si se les otorgó incremento</w:t>
      </w:r>
      <w:r w:rsidRPr="00F65CBF">
        <w:rPr>
          <w:rFonts w:ascii="Palatino Linotype" w:eastAsia="Palatino Linotype" w:hAnsi="Palatino Linotype" w:cs="Palatino Linotype"/>
          <w:i/>
          <w:color w:val="000000" w:themeColor="text1"/>
        </w:rPr>
        <w:t>” (Sic)</w:t>
      </w:r>
    </w:p>
    <w:p w:rsidR="0020369F" w:rsidRDefault="0020369F"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7E0FEA" w:rsidRPr="00F65CBF" w:rsidRDefault="007E0FEA"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20369F" w:rsidRPr="00F65CBF" w:rsidRDefault="001E21FA" w:rsidP="00F65CBF">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Se eligió como modalidad de entrega de la información: A través del </w:t>
      </w:r>
      <w:r w:rsidRPr="00F65CBF">
        <w:rPr>
          <w:rFonts w:ascii="Palatino Linotype" w:eastAsia="Palatino Linotype" w:hAnsi="Palatino Linotype" w:cs="Palatino Linotype"/>
          <w:b/>
          <w:color w:val="000000" w:themeColor="text1"/>
        </w:rPr>
        <w:t>SAIMEX.</w:t>
      </w:r>
    </w:p>
    <w:p w:rsidR="0020369F" w:rsidRPr="00F65CBF" w:rsidRDefault="0020369F" w:rsidP="00F65CB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0369F" w:rsidRPr="007E0FEA" w:rsidRDefault="001E21FA" w:rsidP="00F65CB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lastRenderedPageBreak/>
        <w:t>El</w:t>
      </w:r>
      <w:r w:rsidRPr="00F65CBF">
        <w:rPr>
          <w:rFonts w:ascii="Palatino Linotype" w:eastAsia="Palatino Linotype" w:hAnsi="Palatino Linotype" w:cs="Palatino Linotype"/>
          <w:b/>
          <w:color w:val="000000" w:themeColor="text1"/>
        </w:rPr>
        <w:t xml:space="preserve"> </w:t>
      </w:r>
      <w:r w:rsidR="00BB4868" w:rsidRPr="00F65CBF">
        <w:rPr>
          <w:rFonts w:ascii="Palatino Linotype" w:eastAsia="Palatino Linotype" w:hAnsi="Palatino Linotype" w:cs="Palatino Linotype"/>
          <w:b/>
          <w:color w:val="000000" w:themeColor="text1"/>
        </w:rPr>
        <w:t>quince de mayo</w:t>
      </w:r>
      <w:r w:rsidRPr="00F65CBF">
        <w:rPr>
          <w:rFonts w:ascii="Palatino Linotype" w:eastAsia="Palatino Linotype" w:hAnsi="Palatino Linotype" w:cs="Palatino Linotype"/>
          <w:b/>
          <w:color w:val="000000" w:themeColor="text1"/>
        </w:rPr>
        <w:t xml:space="preserve"> de dos mil veinticinco</w:t>
      </w:r>
      <w:r w:rsidRPr="00F65CBF">
        <w:rPr>
          <w:rFonts w:ascii="Palatino Linotype" w:eastAsia="Palatino Linotype" w:hAnsi="Palatino Linotype" w:cs="Palatino Linotype"/>
          <w:color w:val="000000" w:themeColor="text1"/>
        </w:rPr>
        <w:t>, el Sujeto Obligado</w:t>
      </w:r>
      <w:r w:rsidRPr="00F65CBF">
        <w:rPr>
          <w:rFonts w:ascii="Palatino Linotype" w:eastAsia="Palatino Linotype" w:hAnsi="Palatino Linotype" w:cs="Palatino Linotype"/>
          <w:b/>
          <w:color w:val="000000" w:themeColor="text1"/>
        </w:rPr>
        <w:t>,</w:t>
      </w:r>
      <w:r w:rsidRPr="00F65CBF">
        <w:rPr>
          <w:rFonts w:ascii="Palatino Linotype" w:eastAsia="Palatino Linotype" w:hAnsi="Palatino Linotype" w:cs="Palatino Linotype"/>
          <w:color w:val="000000" w:themeColor="text1"/>
        </w:rPr>
        <w:t xml:space="preserve"> dio </w:t>
      </w:r>
      <w:r w:rsidRPr="00F65CBF">
        <w:rPr>
          <w:rFonts w:ascii="Palatino Linotype" w:eastAsia="Palatino Linotype" w:hAnsi="Palatino Linotype" w:cs="Palatino Linotype"/>
          <w:b/>
          <w:color w:val="000000" w:themeColor="text1"/>
        </w:rPr>
        <w:t>respuesta</w:t>
      </w:r>
      <w:r w:rsidRPr="00F65CBF">
        <w:rPr>
          <w:rFonts w:ascii="Palatino Linotype" w:eastAsia="Palatino Linotype" w:hAnsi="Palatino Linotype" w:cs="Palatino Linotype"/>
          <w:color w:val="000000" w:themeColor="text1"/>
        </w:rPr>
        <w:t xml:space="preserve"> </w:t>
      </w:r>
      <w:r w:rsidR="00BB4868" w:rsidRPr="00F65CBF">
        <w:rPr>
          <w:rFonts w:ascii="Palatino Linotype" w:eastAsia="Palatino Linotype" w:hAnsi="Palatino Linotype" w:cs="Palatino Linotype"/>
          <w:color w:val="000000" w:themeColor="text1"/>
        </w:rPr>
        <w:t>en el siguiente sentido, adjuntando el siguiente archivo electrónico</w:t>
      </w:r>
      <w:r w:rsidRPr="00F65CBF">
        <w:rPr>
          <w:rFonts w:ascii="Palatino Linotype" w:eastAsia="Palatino Linotype" w:hAnsi="Palatino Linotype" w:cs="Palatino Linotype"/>
          <w:b/>
          <w:i/>
          <w:color w:val="000000" w:themeColor="text1"/>
        </w:rPr>
        <w:t>:</w:t>
      </w:r>
    </w:p>
    <w:p w:rsidR="007E0FEA" w:rsidRPr="00F65CBF" w:rsidRDefault="007E0FEA" w:rsidP="007E0FE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BB4868" w:rsidRPr="00F65CBF" w:rsidRDefault="00BB4868" w:rsidP="00F65CBF">
      <w:pPr>
        <w:pBdr>
          <w:top w:val="nil"/>
          <w:left w:val="nil"/>
          <w:bottom w:val="nil"/>
          <w:right w:val="nil"/>
          <w:between w:val="nil"/>
        </w:pBdr>
        <w:tabs>
          <w:tab w:val="left" w:pos="567"/>
        </w:tabs>
        <w:jc w:val="right"/>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Metepec, México a 15 de Mayo de 2025</w:t>
      </w:r>
    </w:p>
    <w:p w:rsidR="00BB4868" w:rsidRPr="00F65CBF" w:rsidRDefault="00BB4868" w:rsidP="00F65CBF">
      <w:pPr>
        <w:pBdr>
          <w:top w:val="nil"/>
          <w:left w:val="nil"/>
          <w:bottom w:val="nil"/>
          <w:right w:val="nil"/>
          <w:between w:val="nil"/>
        </w:pBdr>
        <w:tabs>
          <w:tab w:val="left" w:pos="567"/>
        </w:tabs>
        <w:jc w:val="right"/>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Nombre del solicitante: C. Solicitante</w:t>
      </w:r>
    </w:p>
    <w:p w:rsidR="00BB4868" w:rsidRPr="00F65CBF" w:rsidRDefault="00BB4868" w:rsidP="00F65CBF">
      <w:pPr>
        <w:pBdr>
          <w:top w:val="nil"/>
          <w:left w:val="nil"/>
          <w:bottom w:val="nil"/>
          <w:right w:val="nil"/>
          <w:between w:val="nil"/>
        </w:pBdr>
        <w:tabs>
          <w:tab w:val="left" w:pos="567"/>
        </w:tabs>
        <w:jc w:val="right"/>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Folio de la solicitud: 00131/OFICIALIA/IP/2025</w:t>
      </w:r>
    </w:p>
    <w:p w:rsidR="00BB4868" w:rsidRPr="00F65CBF" w:rsidRDefault="00BB4868" w:rsidP="00F65CBF">
      <w:pPr>
        <w:pBdr>
          <w:top w:val="nil"/>
          <w:left w:val="nil"/>
          <w:bottom w:val="nil"/>
          <w:right w:val="nil"/>
          <w:between w:val="nil"/>
        </w:pBdr>
        <w:tabs>
          <w:tab w:val="left" w:pos="567"/>
        </w:tabs>
        <w:jc w:val="right"/>
        <w:rPr>
          <w:rFonts w:ascii="Palatino Linotype" w:eastAsia="Palatino Linotype" w:hAnsi="Palatino Linotype" w:cs="Palatino Linotype"/>
          <w:i/>
          <w:color w:val="000000" w:themeColor="text1"/>
        </w:rPr>
      </w:pPr>
    </w:p>
    <w:p w:rsidR="00BB4868"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SE NOTIFICA INCOMPETENCIA NOTORIA PARA ATENDER LA SOLICITUD DE ACCESO</w:t>
      </w:r>
    </w:p>
    <w:p w:rsidR="00BB4868"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p>
    <w:p w:rsidR="00BB4868"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ATENTAMENTE</w:t>
      </w:r>
    </w:p>
    <w:p w:rsidR="00BB4868"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Lic en Derecho Rafael Alejandro Contreras Carmona</w:t>
      </w:r>
    </w:p>
    <w:p w:rsidR="00BB4868"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p>
    <w:p w:rsidR="00BB4868"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p>
    <w:p w:rsidR="00BB4868"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 xml:space="preserve">Inco 131.pdf </w:t>
      </w:r>
    </w:p>
    <w:p w:rsidR="0020369F" w:rsidRPr="00F65CBF" w:rsidRDefault="00BB4868" w:rsidP="00F65CBF">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Oficio No. 234A00000/UT-0370-2025 de fecha 15 de mayo de 2025, firmado por el Titular de la Unidad de Transparencia de la Oficialía Mayor a través de cual se hace del conocimiento al solicitante que el </w:t>
      </w:r>
      <w:r w:rsidRPr="00F65CBF">
        <w:rPr>
          <w:rFonts w:ascii="Palatino Linotype" w:eastAsia="Palatino Linotype" w:hAnsi="Palatino Linotype" w:cs="Palatino Linotype"/>
          <w:b/>
          <w:color w:val="000000" w:themeColor="text1"/>
        </w:rPr>
        <w:t>Sujeto Obligado es notoriamente incompetente</w:t>
      </w:r>
      <w:r w:rsidRPr="00F65CBF">
        <w:rPr>
          <w:rFonts w:ascii="Palatino Linotype" w:eastAsia="Palatino Linotype" w:hAnsi="Palatino Linotype" w:cs="Palatino Linotype"/>
          <w:color w:val="000000" w:themeColor="text1"/>
        </w:rPr>
        <w:t xml:space="preserve"> para atender su requerimiento de acceso a información pública, ello, en virtud de no contar con atribuciones para poseer, administrar y/o resguardar dato alguno que pueda ser relacionado con su pretensión, por consiguiente, se sugiere interponer de nueva cuenta su solicitud ante el Sujeto Obligado Colegio de Estudios Científicos y Tecnológicos del Estado de México.</w:t>
      </w:r>
    </w:p>
    <w:p w:rsidR="0020369F" w:rsidRPr="00F65CBF" w:rsidRDefault="0020369F" w:rsidP="00F65CBF">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20369F" w:rsidRPr="00F65CBF" w:rsidRDefault="0020369F" w:rsidP="00F65CBF">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20369F" w:rsidRPr="00F65CBF" w:rsidRDefault="001E21FA" w:rsidP="00F65CB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El</w:t>
      </w:r>
      <w:r w:rsidRPr="00F65CBF">
        <w:rPr>
          <w:rFonts w:ascii="Palatino Linotype" w:eastAsia="Palatino Linotype" w:hAnsi="Palatino Linotype" w:cs="Palatino Linotype"/>
          <w:b/>
          <w:color w:val="000000" w:themeColor="text1"/>
        </w:rPr>
        <w:t xml:space="preserve"> </w:t>
      </w:r>
      <w:r w:rsidR="00D0533A" w:rsidRPr="00F65CBF">
        <w:rPr>
          <w:rFonts w:ascii="Palatino Linotype" w:eastAsia="Palatino Linotype" w:hAnsi="Palatino Linotype" w:cs="Palatino Linotype"/>
          <w:b/>
          <w:color w:val="000000" w:themeColor="text1"/>
        </w:rPr>
        <w:t>dieciséis</w:t>
      </w:r>
      <w:r w:rsidRPr="00F65CBF">
        <w:rPr>
          <w:rFonts w:ascii="Palatino Linotype" w:eastAsia="Palatino Linotype" w:hAnsi="Palatino Linotype" w:cs="Palatino Linotype"/>
          <w:b/>
          <w:color w:val="000000" w:themeColor="text1"/>
        </w:rPr>
        <w:t xml:space="preserve"> de mayo de dos mil veinticinco</w:t>
      </w:r>
      <w:r w:rsidRPr="00F65CBF">
        <w:rPr>
          <w:rFonts w:ascii="Palatino Linotype" w:eastAsia="Palatino Linotype" w:hAnsi="Palatino Linotype" w:cs="Palatino Linotype"/>
          <w:color w:val="000000" w:themeColor="text1"/>
        </w:rPr>
        <w:t xml:space="preserve">, el particular interpuso el </w:t>
      </w:r>
      <w:r w:rsidRPr="00F65CBF">
        <w:rPr>
          <w:rFonts w:ascii="Palatino Linotype" w:eastAsia="Palatino Linotype" w:hAnsi="Palatino Linotype" w:cs="Palatino Linotype"/>
          <w:b/>
          <w:color w:val="000000" w:themeColor="text1"/>
        </w:rPr>
        <w:t>recurso de revisión</w:t>
      </w:r>
      <w:r w:rsidRPr="00F65CBF">
        <w:rPr>
          <w:rFonts w:ascii="Palatino Linotype" w:eastAsia="Palatino Linotype" w:hAnsi="Palatino Linotype" w:cs="Palatino Linotype"/>
          <w:color w:val="000000" w:themeColor="text1"/>
        </w:rPr>
        <w:t xml:space="preserve"> al que se le asignó el folio </w:t>
      </w:r>
      <w:r w:rsidR="00D0533A" w:rsidRPr="00F65CBF">
        <w:rPr>
          <w:rFonts w:ascii="Palatino Linotype" w:eastAsia="Palatino Linotype" w:hAnsi="Palatino Linotype" w:cs="Palatino Linotype"/>
          <w:b/>
          <w:color w:val="000000" w:themeColor="text1"/>
        </w:rPr>
        <w:t>05583</w:t>
      </w:r>
      <w:r w:rsidRPr="00F65CBF">
        <w:rPr>
          <w:rFonts w:ascii="Palatino Linotype" w:eastAsia="Palatino Linotype" w:hAnsi="Palatino Linotype" w:cs="Palatino Linotype"/>
          <w:b/>
          <w:color w:val="000000" w:themeColor="text1"/>
        </w:rPr>
        <w:t xml:space="preserve">/INFOEM/IP/RR/2025 </w:t>
      </w:r>
      <w:r w:rsidRPr="00F65CBF">
        <w:rPr>
          <w:rFonts w:ascii="Palatino Linotype" w:eastAsia="Palatino Linotype" w:hAnsi="Palatino Linotype" w:cs="Palatino Linotype"/>
          <w:color w:val="000000" w:themeColor="text1"/>
        </w:rPr>
        <w:t>en contra de la respuesta emitida por el sujeto obligado, realizando las siguientes manifestaciones como acto impugnado y razones o motivos de inconformidad:</w:t>
      </w:r>
    </w:p>
    <w:p w:rsidR="0020369F" w:rsidRPr="00F65CBF" w:rsidRDefault="0020369F" w:rsidP="00F65CBF">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20369F" w:rsidRPr="007E0FEA" w:rsidRDefault="007E0FEA" w:rsidP="007E0FEA">
      <w:pPr>
        <w:pStyle w:val="Prrafodelista"/>
        <w:numPr>
          <w:ilvl w:val="0"/>
          <w:numId w:val="13"/>
        </w:numPr>
        <w:pBdr>
          <w:top w:val="nil"/>
          <w:left w:val="nil"/>
          <w:bottom w:val="nil"/>
          <w:right w:val="nil"/>
          <w:between w:val="nil"/>
        </w:pBdr>
        <w:jc w:val="both"/>
        <w:rPr>
          <w:rFonts w:ascii="Palatino Linotype" w:eastAsia="Palatino Linotype" w:hAnsi="Palatino Linotype" w:cs="Palatino Linotype"/>
          <w:b/>
          <w:color w:val="000000" w:themeColor="text1"/>
        </w:rPr>
      </w:pPr>
      <w:bookmarkStart w:id="2" w:name="_heading=h.30j0zll" w:colFirst="0" w:colLast="0"/>
      <w:bookmarkEnd w:id="2"/>
      <w:r w:rsidRPr="007E0FEA">
        <w:rPr>
          <w:rFonts w:ascii="Palatino Linotype" w:eastAsia="Palatino Linotype" w:hAnsi="Palatino Linotype" w:cs="Palatino Linotype"/>
          <w:b/>
          <w:color w:val="000000" w:themeColor="text1"/>
        </w:rPr>
        <w:t xml:space="preserve">ACTO IMPUGNADO: </w:t>
      </w:r>
    </w:p>
    <w:p w:rsidR="0020369F" w:rsidRPr="00F65CBF" w:rsidRDefault="001E21FA"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w:t>
      </w:r>
      <w:r w:rsidR="00D0533A" w:rsidRPr="00F65CBF">
        <w:rPr>
          <w:rFonts w:ascii="Palatino Linotype" w:eastAsia="Palatino Linotype" w:hAnsi="Palatino Linotype" w:cs="Palatino Linotype"/>
          <w:i/>
          <w:color w:val="000000" w:themeColor="text1"/>
        </w:rPr>
        <w:t>Me negarion la información</w:t>
      </w:r>
      <w:r w:rsidRPr="00F65CBF">
        <w:rPr>
          <w:rFonts w:ascii="Palatino Linotype" w:eastAsia="Palatino Linotype" w:hAnsi="Palatino Linotype" w:cs="Palatino Linotype"/>
          <w:i/>
          <w:color w:val="000000" w:themeColor="text1"/>
        </w:rPr>
        <w:t>” (Sic)</w:t>
      </w:r>
    </w:p>
    <w:p w:rsidR="0020369F" w:rsidRDefault="0020369F"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7E0FEA" w:rsidRPr="00F65CBF" w:rsidRDefault="007E0FEA"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20369F" w:rsidRPr="007E0FEA" w:rsidRDefault="007E0FEA" w:rsidP="007E0FEA">
      <w:pPr>
        <w:pStyle w:val="Prrafodelista"/>
        <w:numPr>
          <w:ilvl w:val="0"/>
          <w:numId w:val="13"/>
        </w:numPr>
        <w:pBdr>
          <w:top w:val="nil"/>
          <w:left w:val="nil"/>
          <w:bottom w:val="nil"/>
          <w:right w:val="nil"/>
          <w:between w:val="nil"/>
        </w:pBdr>
        <w:jc w:val="both"/>
        <w:rPr>
          <w:rFonts w:ascii="Palatino Linotype" w:eastAsia="Palatino Linotype" w:hAnsi="Palatino Linotype" w:cs="Palatino Linotype"/>
          <w:b/>
          <w:color w:val="000000" w:themeColor="text1"/>
        </w:rPr>
      </w:pPr>
      <w:bookmarkStart w:id="3" w:name="_heading=h.1fob9te" w:colFirst="0" w:colLast="0"/>
      <w:bookmarkEnd w:id="3"/>
      <w:r w:rsidRPr="007E0FEA">
        <w:rPr>
          <w:rFonts w:ascii="Palatino Linotype" w:eastAsia="Palatino Linotype" w:hAnsi="Palatino Linotype" w:cs="Palatino Linotype"/>
          <w:b/>
          <w:color w:val="000000" w:themeColor="text1"/>
        </w:rPr>
        <w:lastRenderedPageBreak/>
        <w:t xml:space="preserve">RAZONES O MOTIVOS DE INCONFORMIDAD: </w:t>
      </w:r>
    </w:p>
    <w:p w:rsidR="0020369F" w:rsidRPr="00F65CBF" w:rsidRDefault="001E21FA"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w:t>
      </w:r>
      <w:r w:rsidR="00D0533A" w:rsidRPr="00F65CBF">
        <w:rPr>
          <w:rFonts w:ascii="Palatino Linotype" w:eastAsia="Palatino Linotype" w:hAnsi="Palatino Linotype" w:cs="Palatino Linotype"/>
          <w:i/>
          <w:color w:val="000000" w:themeColor="text1"/>
        </w:rPr>
        <w:t>El colegio de estudios científicos y tecnológicos del Estado de México, aún siendo un organismo descentralizado de la secretaría de educación, paga los sueldos de los servidores públicos con base a un tabulador de sueldo autorizado por la Dirección General de Personal dependiente de la oficiallia Mayor y es esta la que se encarga de analizar elaborar y autorizar estos pagos, anexo oficio de solicitud del cecytem y oficio de contestación con los tabuladores por parte de la dirección general de personal, derivado de esto muchos trabajadores fueron afectos por qué no recibieron un incremento y según las autoridades del cecytem esta cotización será permanente con la finalidad de de aceptar una democión o cambio de plazas para eliminar las plazas estatales del cecytem y tal vez de otros subsistemas así que requiero que me digan por qué no están incremento salarial a esta plazas ya que los trabajadores no tienen la culpa de la naturaleza de las. Plazas que crearon en su momento cuando se creo el colegio y autorizó esta dirección general así que si es de la competencia de la oficializa mayor darme respuesta</w:t>
      </w:r>
      <w:r w:rsidRPr="00F65CBF">
        <w:rPr>
          <w:rFonts w:ascii="Palatino Linotype" w:eastAsia="Palatino Linotype" w:hAnsi="Palatino Linotype" w:cs="Palatino Linotype"/>
          <w:i/>
          <w:color w:val="000000" w:themeColor="text1"/>
        </w:rPr>
        <w:t>” (Sic)</w:t>
      </w:r>
    </w:p>
    <w:p w:rsidR="008842F4" w:rsidRPr="00F65CBF" w:rsidRDefault="008842F4"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8842F4" w:rsidRPr="00F65CBF" w:rsidRDefault="008842F4"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El particular adjuntó el archivo denominado</w:t>
      </w:r>
      <w:r w:rsidRPr="00F65CBF">
        <w:rPr>
          <w:rFonts w:ascii="Palatino Linotype" w:hAnsi="Palatino Linotype"/>
          <w:color w:val="000000" w:themeColor="text1"/>
        </w:rPr>
        <w:t xml:space="preserve"> </w:t>
      </w:r>
      <w:r w:rsidRPr="00F65CBF">
        <w:rPr>
          <w:rFonts w:ascii="Palatino Linotype" w:eastAsia="Palatino Linotype" w:hAnsi="Palatino Linotype" w:cs="Palatino Linotype"/>
          <w:b/>
          <w:i/>
          <w:color w:val="000000" w:themeColor="text1"/>
        </w:rPr>
        <w:t>tabulador 2024.pdf</w:t>
      </w:r>
      <w:r w:rsidRPr="00F65CBF">
        <w:rPr>
          <w:rFonts w:ascii="Palatino Linotype" w:eastAsia="Palatino Linotype" w:hAnsi="Palatino Linotype" w:cs="Palatino Linotype"/>
          <w:color w:val="000000" w:themeColor="text1"/>
        </w:rPr>
        <w:t>, cuyo contenido es el siguiente:</w:t>
      </w:r>
    </w:p>
    <w:p w:rsidR="008842F4" w:rsidRPr="00F65CBF" w:rsidRDefault="008842F4"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8842F4" w:rsidRPr="00F65CBF" w:rsidRDefault="008842F4" w:rsidP="00F65CBF">
      <w:pPr>
        <w:pBdr>
          <w:top w:val="nil"/>
          <w:left w:val="nil"/>
          <w:bottom w:val="nil"/>
          <w:right w:val="nil"/>
          <w:between w:val="nil"/>
        </w:pBdr>
        <w:jc w:val="both"/>
        <w:rPr>
          <w:rFonts w:ascii="Palatino Linotype" w:eastAsia="Palatino Linotype" w:hAnsi="Palatino Linotype" w:cs="Palatino Linotype"/>
          <w:color w:val="000000" w:themeColor="text1"/>
          <w:lang w:val="es-MX"/>
        </w:rPr>
      </w:pPr>
      <w:r w:rsidRPr="00F65CBF">
        <w:rPr>
          <w:rFonts w:ascii="Palatino Linotype" w:eastAsia="Palatino Linotype" w:hAnsi="Palatino Linotype" w:cs="Palatino Linotype"/>
          <w:color w:val="000000" w:themeColor="text1"/>
        </w:rPr>
        <w:t xml:space="preserve">- Oficio No. 210C04010/1026/2024 de fecha 17 de diciembre de 2024, firmado por el </w:t>
      </w:r>
      <w:r w:rsidRPr="00F65CBF">
        <w:rPr>
          <w:rFonts w:ascii="Palatino Linotype" w:eastAsia="Palatino Linotype" w:hAnsi="Palatino Linotype" w:cs="Palatino Linotype"/>
          <w:b/>
          <w:color w:val="000000" w:themeColor="text1"/>
        </w:rPr>
        <w:t xml:space="preserve">Director General del </w:t>
      </w:r>
      <w:r w:rsidRPr="00F65CBF">
        <w:rPr>
          <w:rFonts w:ascii="Palatino Linotype" w:eastAsia="Palatino Linotype" w:hAnsi="Palatino Linotype" w:cs="Palatino Linotype"/>
          <w:b/>
          <w:color w:val="000000" w:themeColor="text1"/>
          <w:lang w:val="es-MX"/>
        </w:rPr>
        <w:t>Colegio de Estudios Científicos y Tecnológicos del Estado de México</w:t>
      </w:r>
      <w:r w:rsidRPr="00F65CBF">
        <w:rPr>
          <w:rFonts w:ascii="Palatino Linotype" w:eastAsia="Palatino Linotype" w:hAnsi="Palatino Linotype" w:cs="Palatino Linotype"/>
          <w:color w:val="000000" w:themeColor="text1"/>
          <w:lang w:val="es-MX"/>
        </w:rPr>
        <w:t xml:space="preserve">, dirigido al </w:t>
      </w:r>
      <w:r w:rsidRPr="00F65CBF">
        <w:rPr>
          <w:rFonts w:ascii="Palatino Linotype" w:eastAsia="Palatino Linotype" w:hAnsi="Palatino Linotype" w:cs="Palatino Linotype"/>
          <w:b/>
          <w:color w:val="000000" w:themeColor="text1"/>
          <w:lang w:val="es-MX"/>
        </w:rPr>
        <w:t xml:space="preserve">Director General de Personal </w:t>
      </w:r>
      <w:r w:rsidR="00FA5C10" w:rsidRPr="00F65CBF">
        <w:rPr>
          <w:rFonts w:ascii="Palatino Linotype" w:eastAsia="Palatino Linotype" w:hAnsi="Palatino Linotype" w:cs="Palatino Linotype"/>
          <w:b/>
          <w:color w:val="000000" w:themeColor="text1"/>
          <w:lang w:val="es-MX"/>
        </w:rPr>
        <w:t>de la Oficialía Mayor</w:t>
      </w:r>
      <w:r w:rsidR="00FA5C10" w:rsidRPr="00F65CBF">
        <w:rPr>
          <w:rFonts w:ascii="Palatino Linotype" w:eastAsia="Palatino Linotype" w:hAnsi="Palatino Linotype" w:cs="Palatino Linotype"/>
          <w:color w:val="000000" w:themeColor="text1"/>
          <w:lang w:val="es-MX"/>
        </w:rPr>
        <w:t xml:space="preserve">, </w:t>
      </w:r>
      <w:r w:rsidRPr="00F65CBF">
        <w:rPr>
          <w:rFonts w:ascii="Palatino Linotype" w:eastAsia="Palatino Linotype" w:hAnsi="Palatino Linotype" w:cs="Palatino Linotype"/>
          <w:color w:val="000000" w:themeColor="text1"/>
          <w:lang w:val="es-MX"/>
        </w:rPr>
        <w:t>en los siguientes términos:</w:t>
      </w:r>
    </w:p>
    <w:p w:rsidR="008842F4" w:rsidRPr="00F65CBF" w:rsidRDefault="008842F4" w:rsidP="00F65CBF">
      <w:pPr>
        <w:pBdr>
          <w:top w:val="nil"/>
          <w:left w:val="nil"/>
          <w:bottom w:val="nil"/>
          <w:right w:val="nil"/>
          <w:between w:val="nil"/>
        </w:pBdr>
        <w:jc w:val="both"/>
        <w:rPr>
          <w:rFonts w:ascii="Palatino Linotype" w:eastAsia="Palatino Linotype" w:hAnsi="Palatino Linotype" w:cs="Palatino Linotype"/>
          <w:color w:val="000000" w:themeColor="text1"/>
          <w:lang w:val="es-MX"/>
        </w:rPr>
      </w:pPr>
    </w:p>
    <w:p w:rsidR="008842F4" w:rsidRPr="00F65CBF" w:rsidRDefault="00FA5C10" w:rsidP="00F65CBF">
      <w:pPr>
        <w:pBdr>
          <w:top w:val="nil"/>
          <w:left w:val="nil"/>
          <w:bottom w:val="nil"/>
          <w:right w:val="nil"/>
          <w:between w:val="nil"/>
        </w:pBdr>
        <w:jc w:val="both"/>
        <w:rPr>
          <w:rFonts w:ascii="Palatino Linotype" w:eastAsia="Palatino Linotype" w:hAnsi="Palatino Linotype" w:cs="Palatino Linotype"/>
          <w:color w:val="000000" w:themeColor="text1"/>
          <w:lang w:val="es-MX"/>
        </w:rPr>
      </w:pPr>
      <w:r w:rsidRPr="00F65CBF">
        <w:rPr>
          <w:rFonts w:ascii="Palatino Linotype" w:eastAsia="Palatino Linotype" w:hAnsi="Palatino Linotype" w:cs="Palatino Linotype"/>
          <w:noProof/>
          <w:color w:val="000000" w:themeColor="text1"/>
          <w:lang w:val="es-MX"/>
        </w:rPr>
        <w:drawing>
          <wp:inline distT="0" distB="0" distL="0" distR="0" wp14:anchorId="3F5702E5" wp14:editId="313986F2">
            <wp:extent cx="5756275" cy="2515870"/>
            <wp:effectExtent l="152400" t="152400" r="358775" b="3606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2515870"/>
                    </a:xfrm>
                    <a:prstGeom prst="rect">
                      <a:avLst/>
                    </a:prstGeom>
                    <a:ln>
                      <a:noFill/>
                    </a:ln>
                    <a:effectLst>
                      <a:outerShdw blurRad="292100" dist="139700" dir="2700000" algn="tl" rotWithShape="0">
                        <a:srgbClr val="333333">
                          <a:alpha val="65000"/>
                        </a:srgbClr>
                      </a:outerShdw>
                    </a:effectLst>
                  </pic:spPr>
                </pic:pic>
              </a:graphicData>
            </a:graphic>
          </wp:inline>
        </w:drawing>
      </w:r>
    </w:p>
    <w:p w:rsidR="008842F4" w:rsidRPr="00F65CBF" w:rsidRDefault="00FA5C10" w:rsidP="00F65CBF">
      <w:pPr>
        <w:pBdr>
          <w:top w:val="nil"/>
          <w:left w:val="nil"/>
          <w:bottom w:val="nil"/>
          <w:right w:val="nil"/>
          <w:between w:val="nil"/>
        </w:pBdr>
        <w:jc w:val="both"/>
        <w:rPr>
          <w:rFonts w:ascii="Palatino Linotype" w:eastAsia="Palatino Linotype" w:hAnsi="Palatino Linotype" w:cs="Palatino Linotype"/>
          <w:color w:val="000000" w:themeColor="text1"/>
          <w:lang w:val="es-MX"/>
        </w:rPr>
      </w:pPr>
      <w:r w:rsidRPr="00F65CBF">
        <w:rPr>
          <w:rFonts w:ascii="Palatino Linotype" w:eastAsia="Palatino Linotype" w:hAnsi="Palatino Linotype" w:cs="Palatino Linotype"/>
          <w:color w:val="000000" w:themeColor="text1"/>
        </w:rPr>
        <w:lastRenderedPageBreak/>
        <w:t xml:space="preserve">- Oficio Núm.23400004000000L-1111/2024 de fecha 18 de diciembre de 2024 firmado por el </w:t>
      </w:r>
      <w:r w:rsidRPr="00F65CBF">
        <w:rPr>
          <w:rFonts w:ascii="Palatino Linotype" w:eastAsia="Palatino Linotype" w:hAnsi="Palatino Linotype" w:cs="Palatino Linotype"/>
          <w:b/>
          <w:color w:val="000000" w:themeColor="text1"/>
        </w:rPr>
        <w:t>Director General de Personal de la Oficialía Mayor</w:t>
      </w:r>
      <w:r w:rsidRPr="00F65CBF">
        <w:rPr>
          <w:rFonts w:ascii="Palatino Linotype" w:eastAsia="Palatino Linotype" w:hAnsi="Palatino Linotype" w:cs="Palatino Linotype"/>
          <w:color w:val="000000" w:themeColor="text1"/>
        </w:rPr>
        <w:t xml:space="preserve">, dirigido al </w:t>
      </w:r>
      <w:r w:rsidRPr="00F65CBF">
        <w:rPr>
          <w:rFonts w:ascii="Palatino Linotype" w:eastAsia="Palatino Linotype" w:hAnsi="Palatino Linotype" w:cs="Palatino Linotype"/>
          <w:b/>
          <w:color w:val="000000" w:themeColor="text1"/>
        </w:rPr>
        <w:t xml:space="preserve">Director General del </w:t>
      </w:r>
      <w:r w:rsidRPr="00F65CBF">
        <w:rPr>
          <w:rFonts w:ascii="Palatino Linotype" w:eastAsia="Palatino Linotype" w:hAnsi="Palatino Linotype" w:cs="Palatino Linotype"/>
          <w:b/>
          <w:color w:val="000000" w:themeColor="text1"/>
          <w:lang w:val="es-MX"/>
        </w:rPr>
        <w:t>Colegio de Estudios Científicos y Tecnológicos del Estado de México</w:t>
      </w:r>
      <w:r w:rsidR="009D7C8E" w:rsidRPr="00F65CBF">
        <w:rPr>
          <w:rFonts w:ascii="Palatino Linotype" w:eastAsia="Palatino Linotype" w:hAnsi="Palatino Linotype" w:cs="Palatino Linotype"/>
          <w:color w:val="000000" w:themeColor="text1"/>
          <w:lang w:val="es-MX"/>
        </w:rPr>
        <w:t>, a través del cual refiere lo siguiente:</w:t>
      </w: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lang w:val="es-MX"/>
        </w:rPr>
      </w:pPr>
    </w:p>
    <w:p w:rsidR="0020369F"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noProof/>
          <w:color w:val="000000" w:themeColor="text1"/>
          <w:lang w:val="es-MX"/>
        </w:rPr>
        <w:drawing>
          <wp:inline distT="0" distB="0" distL="0" distR="0" wp14:anchorId="24DC57A3" wp14:editId="2BFDC779">
            <wp:extent cx="5756275" cy="2463800"/>
            <wp:effectExtent l="152400" t="152400" r="358775" b="355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2463800"/>
                    </a:xfrm>
                    <a:prstGeom prst="rect">
                      <a:avLst/>
                    </a:prstGeom>
                    <a:ln>
                      <a:noFill/>
                    </a:ln>
                    <a:effectLst>
                      <a:outerShdw blurRad="292100" dist="139700" dir="2700000" algn="tl" rotWithShape="0">
                        <a:srgbClr val="333333">
                          <a:alpha val="65000"/>
                        </a:srgbClr>
                      </a:outerShdw>
                    </a:effectLst>
                  </pic:spPr>
                </pic:pic>
              </a:graphicData>
            </a:graphic>
          </wp:inline>
        </w:drawing>
      </w: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Se advierten 4 anexos:</w:t>
      </w:r>
    </w:p>
    <w:p w:rsidR="00DE15BE" w:rsidRPr="00F65CBF" w:rsidRDefault="00DE15BE"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Anexo I. Documento titulado Colegio de Estudios Científicos y Tecnológicos del Estado de México. </w:t>
      </w:r>
      <w:r w:rsidRPr="00F65CBF">
        <w:rPr>
          <w:rFonts w:ascii="Palatino Linotype" w:eastAsia="Palatino Linotype" w:hAnsi="Palatino Linotype" w:cs="Palatino Linotype"/>
          <w:b/>
          <w:color w:val="000000" w:themeColor="text1"/>
        </w:rPr>
        <w:t>Tabulador</w:t>
      </w:r>
      <w:r w:rsidRPr="00F65CBF">
        <w:rPr>
          <w:rFonts w:ascii="Palatino Linotype" w:eastAsia="Palatino Linotype" w:hAnsi="Palatino Linotype" w:cs="Palatino Linotype"/>
          <w:color w:val="000000" w:themeColor="text1"/>
        </w:rPr>
        <w:t xml:space="preserve"> para </w:t>
      </w:r>
      <w:r w:rsidRPr="00F65CBF">
        <w:rPr>
          <w:rFonts w:ascii="Palatino Linotype" w:eastAsia="Palatino Linotype" w:hAnsi="Palatino Linotype" w:cs="Palatino Linotype"/>
          <w:b/>
          <w:color w:val="000000" w:themeColor="text1"/>
        </w:rPr>
        <w:t>personal directivo</w:t>
      </w:r>
      <w:r w:rsidRPr="00F65CBF">
        <w:rPr>
          <w:rFonts w:ascii="Palatino Linotype" w:eastAsia="Palatino Linotype" w:hAnsi="Palatino Linotype" w:cs="Palatino Linotype"/>
          <w:color w:val="000000" w:themeColor="text1"/>
        </w:rPr>
        <w:t xml:space="preserve"> de instituciones educativas.</w:t>
      </w: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Anexo II. Documento titulado Colegio de Estudios Científicos y Tecnológicos del Estado de México. </w:t>
      </w:r>
      <w:r w:rsidRPr="00F65CBF">
        <w:rPr>
          <w:rFonts w:ascii="Palatino Linotype" w:eastAsia="Palatino Linotype" w:hAnsi="Palatino Linotype" w:cs="Palatino Linotype"/>
          <w:b/>
          <w:color w:val="000000" w:themeColor="text1"/>
        </w:rPr>
        <w:t>Tabulador</w:t>
      </w:r>
      <w:r w:rsidRPr="00F65CBF">
        <w:rPr>
          <w:rFonts w:ascii="Palatino Linotype" w:eastAsia="Palatino Linotype" w:hAnsi="Palatino Linotype" w:cs="Palatino Linotype"/>
          <w:color w:val="000000" w:themeColor="text1"/>
        </w:rPr>
        <w:t xml:space="preserve"> para </w:t>
      </w:r>
      <w:r w:rsidRPr="00F65CBF">
        <w:rPr>
          <w:rFonts w:ascii="Palatino Linotype" w:eastAsia="Palatino Linotype" w:hAnsi="Palatino Linotype" w:cs="Palatino Linotype"/>
          <w:b/>
          <w:color w:val="000000" w:themeColor="text1"/>
        </w:rPr>
        <w:t>personal administrativo</w:t>
      </w:r>
      <w:r w:rsidRPr="00F65CBF">
        <w:rPr>
          <w:rFonts w:ascii="Palatino Linotype" w:eastAsia="Palatino Linotype" w:hAnsi="Palatino Linotype" w:cs="Palatino Linotype"/>
          <w:color w:val="000000" w:themeColor="text1"/>
        </w:rPr>
        <w:t xml:space="preserve"> de instituciones educativas.</w:t>
      </w: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Anexo III. Documento titulado Colegio de Estudios Científicos y Tecnológicos del Estado de México. </w:t>
      </w:r>
      <w:r w:rsidRPr="00F65CBF">
        <w:rPr>
          <w:rFonts w:ascii="Palatino Linotype" w:eastAsia="Palatino Linotype" w:hAnsi="Palatino Linotype" w:cs="Palatino Linotype"/>
          <w:b/>
          <w:color w:val="000000" w:themeColor="text1"/>
        </w:rPr>
        <w:t>Tabulador</w:t>
      </w:r>
      <w:r w:rsidRPr="00F65CBF">
        <w:rPr>
          <w:rFonts w:ascii="Palatino Linotype" w:eastAsia="Palatino Linotype" w:hAnsi="Palatino Linotype" w:cs="Palatino Linotype"/>
          <w:color w:val="000000" w:themeColor="text1"/>
        </w:rPr>
        <w:t xml:space="preserve"> para </w:t>
      </w:r>
      <w:r w:rsidRPr="00F65CBF">
        <w:rPr>
          <w:rFonts w:ascii="Palatino Linotype" w:eastAsia="Palatino Linotype" w:hAnsi="Palatino Linotype" w:cs="Palatino Linotype"/>
          <w:b/>
          <w:color w:val="000000" w:themeColor="text1"/>
        </w:rPr>
        <w:t>personal docente</w:t>
      </w:r>
      <w:r w:rsidRPr="00F65CBF">
        <w:rPr>
          <w:rFonts w:ascii="Palatino Linotype" w:eastAsia="Palatino Linotype" w:hAnsi="Palatino Linotype" w:cs="Palatino Linotype"/>
          <w:color w:val="000000" w:themeColor="text1"/>
        </w:rPr>
        <w:t xml:space="preserve"> de instituciones educativas.</w:t>
      </w: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Anexo IV. Documento titulado Colegio de Estudios Científicos y Tecnológicos del Estado de México. </w:t>
      </w:r>
      <w:r w:rsidRPr="00F65CBF">
        <w:rPr>
          <w:rFonts w:ascii="Palatino Linotype" w:eastAsia="Palatino Linotype" w:hAnsi="Palatino Linotype" w:cs="Palatino Linotype"/>
          <w:b/>
          <w:color w:val="000000" w:themeColor="text1"/>
        </w:rPr>
        <w:t>Tabulador</w:t>
      </w:r>
      <w:r w:rsidRPr="00F65CBF">
        <w:rPr>
          <w:rFonts w:ascii="Palatino Linotype" w:eastAsia="Palatino Linotype" w:hAnsi="Palatino Linotype" w:cs="Palatino Linotype"/>
          <w:color w:val="000000" w:themeColor="text1"/>
        </w:rPr>
        <w:t xml:space="preserve"> para </w:t>
      </w:r>
      <w:r w:rsidRPr="00F65CBF">
        <w:rPr>
          <w:rFonts w:ascii="Palatino Linotype" w:eastAsia="Palatino Linotype" w:hAnsi="Palatino Linotype" w:cs="Palatino Linotype"/>
          <w:b/>
          <w:color w:val="000000" w:themeColor="text1"/>
        </w:rPr>
        <w:t>personal docente</w:t>
      </w:r>
      <w:r w:rsidRPr="00F65CBF">
        <w:rPr>
          <w:rFonts w:ascii="Palatino Linotype" w:eastAsia="Palatino Linotype" w:hAnsi="Palatino Linotype" w:cs="Palatino Linotype"/>
          <w:color w:val="000000" w:themeColor="text1"/>
        </w:rPr>
        <w:t xml:space="preserve"> de instituciones educativas por jornada.</w:t>
      </w:r>
    </w:p>
    <w:p w:rsidR="004D0622" w:rsidRPr="00F65CBF" w:rsidRDefault="004D0622"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9D7C8E" w:rsidRPr="00F65CBF" w:rsidRDefault="009D7C8E"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20369F" w:rsidRPr="00F65CBF" w:rsidRDefault="007E0FEA" w:rsidP="00F65CB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lastRenderedPageBreak/>
        <w:t>La Comisionada p</w:t>
      </w:r>
      <w:r w:rsidR="001E21FA" w:rsidRPr="00F65CBF">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1E21FA" w:rsidRPr="00F65CBF">
        <w:rPr>
          <w:rFonts w:ascii="Palatino Linotype" w:eastAsia="Palatino Linotype" w:hAnsi="Palatino Linotype" w:cs="Palatino Linotype"/>
          <w:b/>
          <w:color w:val="000000" w:themeColor="text1"/>
        </w:rPr>
        <w:t xml:space="preserve">acuerdo de admisión </w:t>
      </w:r>
      <w:r w:rsidR="001E21FA" w:rsidRPr="00F65CBF">
        <w:rPr>
          <w:rFonts w:ascii="Palatino Linotype" w:eastAsia="Palatino Linotype" w:hAnsi="Palatino Linotype" w:cs="Palatino Linotype"/>
          <w:color w:val="000000" w:themeColor="text1"/>
        </w:rPr>
        <w:t xml:space="preserve">de fecha </w:t>
      </w:r>
      <w:r w:rsidR="004D0622" w:rsidRPr="00F65CBF">
        <w:rPr>
          <w:rFonts w:ascii="Palatino Linotype" w:eastAsia="Palatino Linotype" w:hAnsi="Palatino Linotype" w:cs="Palatino Linotype"/>
          <w:b/>
          <w:color w:val="000000" w:themeColor="text1"/>
        </w:rPr>
        <w:t>diecinueve</w:t>
      </w:r>
      <w:r w:rsidR="001E21FA" w:rsidRPr="00F65CBF">
        <w:rPr>
          <w:rFonts w:ascii="Palatino Linotype" w:eastAsia="Palatino Linotype" w:hAnsi="Palatino Linotype" w:cs="Palatino Linotype"/>
          <w:b/>
          <w:color w:val="000000" w:themeColor="text1"/>
        </w:rPr>
        <w:t xml:space="preserve"> </w:t>
      </w:r>
      <w:r w:rsidR="004D0622" w:rsidRPr="00F65CBF">
        <w:rPr>
          <w:rFonts w:ascii="Palatino Linotype" w:eastAsia="Palatino Linotype" w:hAnsi="Palatino Linotype" w:cs="Palatino Linotype"/>
          <w:b/>
          <w:color w:val="000000" w:themeColor="text1"/>
        </w:rPr>
        <w:t xml:space="preserve"> de mayo </w:t>
      </w:r>
      <w:r w:rsidR="001E21FA" w:rsidRPr="00F65CBF">
        <w:rPr>
          <w:rFonts w:ascii="Palatino Linotype" w:eastAsia="Palatino Linotype" w:hAnsi="Palatino Linotype" w:cs="Palatino Linotype"/>
          <w:b/>
          <w:color w:val="000000" w:themeColor="text1"/>
        </w:rPr>
        <w:t xml:space="preserve">de dos mil veinticinco, </w:t>
      </w:r>
      <w:r w:rsidR="001E21FA" w:rsidRPr="00F65CBF">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1E21FA" w:rsidRPr="00F65CBF">
        <w:rPr>
          <w:rFonts w:ascii="Palatino Linotype" w:eastAsia="Palatino Linotype" w:hAnsi="Palatino Linotype" w:cs="Palatino Linotype"/>
          <w:b/>
          <w:color w:val="000000" w:themeColor="text1"/>
        </w:rPr>
        <w:t xml:space="preserve">SUJETO OBLIGADO </w:t>
      </w:r>
      <w:r w:rsidR="001E21FA" w:rsidRPr="00F65CBF">
        <w:rPr>
          <w:rFonts w:ascii="Palatino Linotype" w:eastAsia="Palatino Linotype" w:hAnsi="Palatino Linotype" w:cs="Palatino Linotype"/>
          <w:color w:val="000000" w:themeColor="text1"/>
        </w:rPr>
        <w:t>presentara el Informe Justificado procedente.</w:t>
      </w:r>
    </w:p>
    <w:p w:rsidR="0020369F" w:rsidRPr="00F65CBF" w:rsidRDefault="0020369F" w:rsidP="00F65CB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0369F" w:rsidRPr="00F65CBF" w:rsidRDefault="001E21FA" w:rsidP="00F65CB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El Recurrente</w:t>
      </w:r>
      <w:r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dejó de realizar manifestaciones que a su derecho conviniera y asistiera. Por su parte, el Sujeto Obligado,</w:t>
      </w:r>
      <w:r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el</w:t>
      </w:r>
      <w:r w:rsidRPr="00F65CBF">
        <w:rPr>
          <w:rFonts w:ascii="Palatino Linotype" w:eastAsia="Palatino Linotype" w:hAnsi="Palatino Linotype" w:cs="Palatino Linotype"/>
          <w:b/>
          <w:color w:val="000000" w:themeColor="text1"/>
        </w:rPr>
        <w:t xml:space="preserve"> </w:t>
      </w:r>
      <w:r w:rsidR="004D0622" w:rsidRPr="00F65CBF">
        <w:rPr>
          <w:rFonts w:ascii="Palatino Linotype" w:eastAsia="Palatino Linotype" w:hAnsi="Palatino Linotype" w:cs="Palatino Linotype"/>
          <w:b/>
          <w:color w:val="000000" w:themeColor="text1"/>
        </w:rPr>
        <w:t>veintiocho</w:t>
      </w:r>
      <w:r w:rsidRPr="00F65CBF">
        <w:rPr>
          <w:rFonts w:ascii="Palatino Linotype" w:eastAsia="Palatino Linotype" w:hAnsi="Palatino Linotype" w:cs="Palatino Linotype"/>
          <w:b/>
          <w:color w:val="000000" w:themeColor="text1"/>
        </w:rPr>
        <w:t xml:space="preserve"> de mayo de dos mil veinticinco </w:t>
      </w:r>
      <w:r w:rsidRPr="00F65CBF">
        <w:rPr>
          <w:rFonts w:ascii="Palatino Linotype" w:eastAsia="Palatino Linotype" w:hAnsi="Palatino Linotype" w:cs="Palatino Linotype"/>
          <w:color w:val="000000" w:themeColor="text1"/>
        </w:rPr>
        <w:t xml:space="preserve">presentó informe justificado a través del archivo digital siguiente: </w:t>
      </w:r>
    </w:p>
    <w:p w:rsidR="0020369F" w:rsidRPr="00F65CBF" w:rsidRDefault="001E21FA" w:rsidP="00F65CB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ab/>
      </w:r>
      <w:r w:rsidR="007527F2" w:rsidRPr="00F65CBF">
        <w:rPr>
          <w:rFonts w:ascii="Palatino Linotype" w:eastAsia="Palatino Linotype" w:hAnsi="Palatino Linotype" w:cs="Palatino Linotype"/>
          <w:b/>
          <w:i/>
          <w:color w:val="000000" w:themeColor="text1"/>
        </w:rPr>
        <w:t>Informe justificado .pdf</w:t>
      </w: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Oficio No. 234A00000/UT-0421-2025 de fecha 28 de mayo de 2025 firmado por el Titular de la Unidad de Transparencia de la Oficialía Mayor a través del cual informa que  se solicitó al servidor público habilitado de la Dirección General de Personal, rendir la información correspondiente para emitir el informe justificado, quien informó lo siguiente: </w:t>
      </w: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“Al respecto y conforme a lo dispuesto por el artículo 59 fracción III de la Ley de Transparencia y Acceso a la Información Pública del Estado de México y Municipios, me permito comentar a usted que después de realizar el análisis correspondiente, se informa que con fundamento en el artículo 54, fracción I del Presupuesto de Egresos del Gobierno del Estado de México para el Ejercicio Fiscal 2025, así como Anexo XIV del mismo ordenamiento, donde se establece que la operación de los Colegios de Educación Media Superior y Superior descentralizados, como es el caso del CECyTEM, está sujeta a una aportación paritaria 50% estatal y 50% federal. Por lo tanto, para que proceda cualquier ajuste salarial, las plazas involucradas deben estar debidamente reconocidas dentro de los Catálogos de Puestos y Tabuladores de Sueldos autorizados por la Secretaría de Educación Pública, a través de la Dirección General de Recursos Humanos y Organización. </w:t>
      </w: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Cabe señalar que, conforme al marco de colaboración institucional, la Dirección General de Personal emite tabuladores específicos para el CECYTEM, los cuales se elaboran con base en los tabuladores federales previamente autorizados. En este sentido, se precisa que las plazas que motivan la solicitud de incremento salarial no se encuentran reflejadas en dichos tabuladores, razón por la cual no es </w:t>
      </w:r>
      <w:r w:rsidRPr="00F65CBF">
        <w:rPr>
          <w:rFonts w:ascii="Palatino Linotype" w:eastAsia="Palatino Linotype" w:hAnsi="Palatino Linotype" w:cs="Palatino Linotype"/>
          <w:i/>
          <w:color w:val="000000" w:themeColor="text1"/>
        </w:rPr>
        <w:lastRenderedPageBreak/>
        <w:t xml:space="preserve">posible autorizar incremento salarial alguno, en apego a la normatividad vigente y al principio de legalidad presupuestal. </w:t>
      </w: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En virtud de lo anterior, las plazas de creación 100% estatal que no se encuentren incluidas en los tabuladores federales o en sus versiones homologadas estatales, no pueden ser consideradas para incrementos salariales en el marco del esquema paritario de financiamiento, resultando así improcedente su autorización.” (Sic)</w:t>
      </w: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Señalando que se puede tener por atendido el derecho de acceso a la información pública del Recurrente, en el entendido que se hizo la explicación del por qué las plazas que señaló en su requerimiento de información, no pueden ser consideradas para incrementos salariales en el marco del esquema paritario de financiamiento, esto es, que se realizó la búsqueda exhaustiva en la Unidad Administrativa competente, a saber, la Dirección General de Personal y derivado de ello, podemos referir que en los archivos físicos y/o digitales de esta Oficialía Mayor, no obra documento alguno que se encuentre relacionado con la información requerida. Sugiriendo al recurrente hacer un requerimiento de información en la Secretaría de Educación Pública.</w:t>
      </w: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Concluyendo que el Sujeto Obligado no cuenta con facultades y/o atribuciones para poseer, generar y/o resguardar la información requerida.</w:t>
      </w: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Informe justificado .pdf</w:t>
      </w:r>
    </w:p>
    <w:p w:rsidR="00037991" w:rsidRPr="00F65CBF" w:rsidRDefault="00037991" w:rsidP="00F65CBF">
      <w:pPr>
        <w:pBdr>
          <w:top w:val="nil"/>
          <w:left w:val="nil"/>
          <w:bottom w:val="nil"/>
          <w:right w:val="nil"/>
          <w:between w:val="nil"/>
        </w:pBdr>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Mismo documento descrito con antelación.</w:t>
      </w:r>
    </w:p>
    <w:p w:rsidR="00037991" w:rsidRPr="00F65CBF" w:rsidRDefault="00037991" w:rsidP="00F65CBF">
      <w:pPr>
        <w:pBdr>
          <w:top w:val="nil"/>
          <w:left w:val="nil"/>
          <w:bottom w:val="nil"/>
          <w:right w:val="nil"/>
          <w:between w:val="nil"/>
        </w:pBdr>
        <w:rPr>
          <w:rFonts w:ascii="Palatino Linotype" w:eastAsia="Palatino Linotype" w:hAnsi="Palatino Linotype" w:cs="Palatino Linotype"/>
          <w:color w:val="000000" w:themeColor="text1"/>
        </w:rPr>
      </w:pPr>
    </w:p>
    <w:p w:rsidR="007527F2" w:rsidRPr="00F65CBF" w:rsidRDefault="007527F2"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20369F" w:rsidRPr="00F65CBF" w:rsidRDefault="001E21FA" w:rsidP="00F65CB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F65CBF">
        <w:rPr>
          <w:rFonts w:ascii="Palatino Linotype" w:eastAsia="Palatino Linotype" w:hAnsi="Palatino Linotype" w:cs="Palatino Linotype"/>
          <w:color w:val="000000" w:themeColor="text1"/>
        </w:rPr>
        <w:t>En fecha</w:t>
      </w:r>
      <w:r w:rsidRPr="00F65CBF">
        <w:rPr>
          <w:rFonts w:ascii="Palatino Linotype" w:eastAsia="Palatino Linotype" w:hAnsi="Palatino Linotype" w:cs="Palatino Linotype"/>
          <w:b/>
          <w:color w:val="000000" w:themeColor="text1"/>
        </w:rPr>
        <w:t xml:space="preserve"> </w:t>
      </w:r>
      <w:r w:rsidR="00E125BA" w:rsidRPr="00F65CBF">
        <w:rPr>
          <w:rFonts w:ascii="Palatino Linotype" w:eastAsia="Palatino Linotype" w:hAnsi="Palatino Linotype" w:cs="Palatino Linotype"/>
          <w:b/>
          <w:color w:val="000000" w:themeColor="text1"/>
        </w:rPr>
        <w:t>treinta</w:t>
      </w:r>
      <w:r w:rsidRPr="00F65CBF">
        <w:rPr>
          <w:rFonts w:ascii="Palatino Linotype" w:eastAsia="Palatino Linotype" w:hAnsi="Palatino Linotype" w:cs="Palatino Linotype"/>
          <w:b/>
          <w:color w:val="000000" w:themeColor="text1"/>
        </w:rPr>
        <w:t xml:space="preserve"> de junio de dos mil veinticinco</w:t>
      </w:r>
      <w:r w:rsidRPr="00F65CBF">
        <w:rPr>
          <w:rFonts w:ascii="Palatino Linotype" w:eastAsia="Palatino Linotype" w:hAnsi="Palatino Linotype" w:cs="Palatino Linotype"/>
          <w:color w:val="000000" w:themeColor="text1"/>
        </w:rPr>
        <w:t>, se acordó ampliar el plazo para resolver el presente Recurso de Revisión.</w:t>
      </w:r>
    </w:p>
    <w:p w:rsidR="0020369F" w:rsidRPr="00F65CBF" w:rsidRDefault="0020369F" w:rsidP="00F65CB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20369F" w:rsidRPr="00F65CBF" w:rsidRDefault="001E21FA" w:rsidP="00F65CB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color w:val="000000" w:themeColor="text1"/>
        </w:rPr>
        <w:t xml:space="preserve">Seguidamente, en fecha </w:t>
      </w:r>
      <w:r w:rsidR="00E125BA" w:rsidRPr="00F65CBF">
        <w:rPr>
          <w:rFonts w:ascii="Palatino Linotype" w:eastAsia="Palatino Linotype" w:hAnsi="Palatino Linotype" w:cs="Palatino Linotype"/>
          <w:b/>
          <w:color w:val="000000" w:themeColor="text1"/>
        </w:rPr>
        <w:t>veintiocho de noviembre</w:t>
      </w:r>
      <w:r w:rsidRPr="00F65CBF">
        <w:rPr>
          <w:rFonts w:ascii="Palatino Linotype" w:eastAsia="Palatino Linotype" w:hAnsi="Palatino Linotype" w:cs="Palatino Linotype"/>
          <w:b/>
          <w:color w:val="000000" w:themeColor="text1"/>
        </w:rPr>
        <w:t xml:space="preserve"> de dos mil veinticinco</w:t>
      </w:r>
      <w:r w:rsidRPr="00F65CBF">
        <w:rPr>
          <w:rFonts w:ascii="Palatino Linotype" w:eastAsia="Palatino Linotype" w:hAnsi="Palatino Linotype" w:cs="Palatino Linotype"/>
          <w:color w:val="000000" w:themeColor="text1"/>
        </w:rPr>
        <w:t xml:space="preserve">, la Comisionada Ponente dictó el </w:t>
      </w:r>
      <w:r w:rsidRPr="00F65CBF">
        <w:rPr>
          <w:rFonts w:ascii="Palatino Linotype" w:eastAsia="Palatino Linotype" w:hAnsi="Palatino Linotype" w:cs="Palatino Linotype"/>
          <w:b/>
          <w:color w:val="000000" w:themeColor="text1"/>
        </w:rPr>
        <w:t>cierre del periodo de instrucción</w:t>
      </w:r>
      <w:r w:rsidRPr="00F65CBF">
        <w:rPr>
          <w:rFonts w:ascii="Palatino Linotype" w:eastAsia="Palatino Linotype" w:hAnsi="Palatino Linotype" w:cs="Palatino Linotype"/>
          <w:color w:val="000000" w:themeColor="text1"/>
        </w:rPr>
        <w:t xml:space="preserve"> y, orden</w:t>
      </w:r>
      <w:r w:rsidR="007E0FEA">
        <w:rPr>
          <w:rFonts w:ascii="Palatino Linotype" w:eastAsia="Palatino Linotype" w:hAnsi="Palatino Linotype" w:cs="Palatino Linotype"/>
          <w:color w:val="000000" w:themeColor="text1"/>
        </w:rPr>
        <w:t>ó la resolución que conforme a d</w:t>
      </w:r>
      <w:r w:rsidRPr="00F65CBF">
        <w:rPr>
          <w:rFonts w:ascii="Palatino Linotype" w:eastAsia="Palatino Linotype" w:hAnsi="Palatino Linotype" w:cs="Palatino Linotype"/>
          <w:color w:val="000000" w:themeColor="text1"/>
        </w:rPr>
        <w:t>erecho proceda:</w:t>
      </w:r>
      <w:r w:rsidR="007E0FEA">
        <w:rPr>
          <w:rFonts w:ascii="Palatino Linotype" w:eastAsia="Palatino Linotype" w:hAnsi="Palatino Linotype" w:cs="Palatino Linotype"/>
          <w:color w:val="000000" w:themeColor="text1"/>
        </w:rPr>
        <w:t xml:space="preserve"> ---------------------------------------------------------------------------------</w:t>
      </w:r>
    </w:p>
    <w:p w:rsidR="0020369F" w:rsidRPr="00F65CBF" w:rsidRDefault="0020369F" w:rsidP="00F65CBF">
      <w:pPr>
        <w:pBdr>
          <w:top w:val="nil"/>
          <w:left w:val="nil"/>
          <w:bottom w:val="nil"/>
          <w:right w:val="nil"/>
          <w:between w:val="nil"/>
        </w:pBdr>
        <w:rPr>
          <w:rFonts w:ascii="Palatino Linotype" w:eastAsia="Palatino Linotype" w:hAnsi="Palatino Linotype" w:cs="Palatino Linotype"/>
          <w:b/>
          <w:color w:val="000000" w:themeColor="text1"/>
        </w:rPr>
      </w:pPr>
    </w:p>
    <w:p w:rsidR="0020369F" w:rsidRPr="00F65CBF" w:rsidRDefault="001E21FA" w:rsidP="00F65CBF">
      <w:pPr>
        <w:keepNext/>
        <w:keepLines/>
        <w:spacing w:line="360" w:lineRule="auto"/>
        <w:jc w:val="center"/>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lastRenderedPageBreak/>
        <w:t xml:space="preserve">C O N S I D E R A N D O </w:t>
      </w:r>
    </w:p>
    <w:p w:rsidR="0020369F" w:rsidRPr="00F65CBF" w:rsidRDefault="0020369F" w:rsidP="00F65CBF">
      <w:pPr>
        <w:spacing w:line="360" w:lineRule="auto"/>
        <w:rPr>
          <w:rFonts w:ascii="Palatino Linotype" w:eastAsia="Palatino Linotype" w:hAnsi="Palatino Linotype" w:cs="Palatino Linotype"/>
          <w:color w:val="000000" w:themeColor="text1"/>
        </w:rPr>
      </w:pPr>
    </w:p>
    <w:p w:rsidR="0020369F" w:rsidRPr="00F65CBF" w:rsidRDefault="001E21FA" w:rsidP="00F65CBF">
      <w:pPr>
        <w:keepNext/>
        <w:keepLines/>
        <w:spacing w:line="360" w:lineRule="auto"/>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PRIMERO. De la competencia</w:t>
      </w:r>
    </w:p>
    <w:p w:rsidR="0020369F" w:rsidRPr="00F65CBF" w:rsidRDefault="001E21FA" w:rsidP="00F65CB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0369F" w:rsidRPr="00F65CBF" w:rsidRDefault="0020369F" w:rsidP="00F65CBF">
      <w:pPr>
        <w:tabs>
          <w:tab w:val="left" w:pos="426"/>
        </w:tabs>
        <w:spacing w:line="360" w:lineRule="auto"/>
        <w:jc w:val="both"/>
        <w:rPr>
          <w:rFonts w:ascii="Palatino Linotype" w:eastAsia="Palatino Linotype" w:hAnsi="Palatino Linotype" w:cs="Palatino Linotype"/>
          <w:color w:val="000000" w:themeColor="text1"/>
        </w:rPr>
      </w:pPr>
    </w:p>
    <w:p w:rsidR="0020369F" w:rsidRPr="00F65CBF" w:rsidRDefault="001E21FA" w:rsidP="00F65CBF">
      <w:pPr>
        <w:keepNext/>
        <w:keepLines/>
        <w:spacing w:line="360" w:lineRule="auto"/>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SEGUNDO. De la oportunidad y procedencia.</w:t>
      </w:r>
    </w:p>
    <w:p w:rsidR="0020369F" w:rsidRPr="00F65CBF" w:rsidRDefault="001E21FA" w:rsidP="00F65CB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El medio de impugnación fue presentado a través del </w:t>
      </w:r>
      <w:r w:rsidRPr="00F65CBF">
        <w:rPr>
          <w:rFonts w:ascii="Palatino Linotype" w:eastAsia="Palatino Linotype" w:hAnsi="Palatino Linotype" w:cs="Palatino Linotype"/>
          <w:b/>
          <w:color w:val="000000" w:themeColor="text1"/>
        </w:rPr>
        <w:t>SAIMEX,</w:t>
      </w:r>
      <w:r w:rsidRPr="00F65CBF">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F65CBF">
        <w:rPr>
          <w:rFonts w:ascii="Palatino Linotype" w:eastAsia="Palatino Linotype" w:hAnsi="Palatino Linotype" w:cs="Palatino Linotype"/>
          <w:b/>
          <w:color w:val="000000" w:themeColor="text1"/>
        </w:rPr>
        <w:t>SUJETO OBLIGADO</w:t>
      </w:r>
      <w:r w:rsidRPr="00F65CBF">
        <w:rPr>
          <w:rFonts w:ascii="Palatino Linotype" w:eastAsia="Palatino Linotype" w:hAnsi="Palatino Linotype" w:cs="Palatino Linotype"/>
          <w:color w:val="000000" w:themeColor="text1"/>
        </w:rPr>
        <w:t xml:space="preserve"> entregó respuesta el </w:t>
      </w:r>
      <w:r w:rsidR="005F5AB1" w:rsidRPr="00F65CBF">
        <w:rPr>
          <w:rFonts w:ascii="Palatino Linotype" w:eastAsia="Palatino Linotype" w:hAnsi="Palatino Linotype" w:cs="Palatino Linotype"/>
          <w:b/>
          <w:color w:val="000000" w:themeColor="text1"/>
        </w:rPr>
        <w:t>quince de mayo</w:t>
      </w:r>
      <w:r w:rsidRPr="00F65CBF">
        <w:rPr>
          <w:rFonts w:ascii="Palatino Linotype" w:eastAsia="Palatino Linotype" w:hAnsi="Palatino Linotype" w:cs="Palatino Linotype"/>
          <w:b/>
          <w:color w:val="000000" w:themeColor="text1"/>
        </w:rPr>
        <w:t xml:space="preserve"> dos mil veinticinco</w:t>
      </w:r>
      <w:r w:rsidRPr="00F65CBF">
        <w:rPr>
          <w:rFonts w:ascii="Palatino Linotype" w:eastAsia="Palatino Linotype" w:hAnsi="Palatino Linotype" w:cs="Palatino Linotype"/>
          <w:color w:val="000000" w:themeColor="text1"/>
        </w:rPr>
        <w:t xml:space="preserve">, de tal forma que el plazo para interponer el recurso transcurrió del </w:t>
      </w:r>
      <w:r w:rsidR="005F5AB1" w:rsidRPr="00F65CBF">
        <w:rPr>
          <w:rFonts w:ascii="Palatino Linotype" w:eastAsia="Palatino Linotype" w:hAnsi="Palatino Linotype" w:cs="Palatino Linotype"/>
          <w:b/>
          <w:color w:val="000000" w:themeColor="text1"/>
        </w:rPr>
        <w:t>dieciséis de mayo al cinco de junio</w:t>
      </w:r>
      <w:r w:rsidRPr="00F65CBF">
        <w:rPr>
          <w:rFonts w:ascii="Palatino Linotype" w:eastAsia="Palatino Linotype" w:hAnsi="Palatino Linotype" w:cs="Palatino Linotype"/>
          <w:b/>
          <w:color w:val="000000" w:themeColor="text1"/>
        </w:rPr>
        <w:t xml:space="preserve"> de dos mil veinticinco, </w:t>
      </w:r>
      <w:r w:rsidRPr="00F65CBF">
        <w:rPr>
          <w:rFonts w:ascii="Palatino Linotype" w:eastAsia="Palatino Linotype" w:hAnsi="Palatino Linotype" w:cs="Palatino Linotype"/>
          <w:color w:val="000000" w:themeColor="text1"/>
        </w:rPr>
        <w:t xml:space="preserve">en consecuencia, si el </w:t>
      </w:r>
      <w:r w:rsidRPr="00F65CBF">
        <w:rPr>
          <w:rFonts w:ascii="Palatino Linotype" w:eastAsia="Palatino Linotype" w:hAnsi="Palatino Linotype" w:cs="Palatino Linotype"/>
          <w:b/>
          <w:color w:val="000000" w:themeColor="text1"/>
        </w:rPr>
        <w:t>PARTICULAR</w:t>
      </w:r>
      <w:r w:rsidRPr="00F65CBF">
        <w:rPr>
          <w:rFonts w:ascii="Palatino Linotype" w:eastAsia="Palatino Linotype" w:hAnsi="Palatino Linotype" w:cs="Palatino Linotype"/>
          <w:color w:val="000000" w:themeColor="text1"/>
        </w:rPr>
        <w:t xml:space="preserve"> presentó su inconformidad el </w:t>
      </w:r>
      <w:r w:rsidR="005F5AB1" w:rsidRPr="00F65CBF">
        <w:rPr>
          <w:rFonts w:ascii="Palatino Linotype" w:eastAsia="Palatino Linotype" w:hAnsi="Palatino Linotype" w:cs="Palatino Linotype"/>
          <w:b/>
          <w:color w:val="000000" w:themeColor="text1"/>
        </w:rPr>
        <w:t>dieciséis</w:t>
      </w:r>
      <w:r w:rsidRPr="00F65CBF">
        <w:rPr>
          <w:rFonts w:ascii="Palatino Linotype" w:eastAsia="Palatino Linotype" w:hAnsi="Palatino Linotype" w:cs="Palatino Linotype"/>
          <w:b/>
          <w:color w:val="000000" w:themeColor="text1"/>
        </w:rPr>
        <w:t xml:space="preserve"> de mayo de dos mil veinticinco</w:t>
      </w:r>
      <w:r w:rsidRPr="00F65CBF">
        <w:rPr>
          <w:rFonts w:ascii="Palatino Linotype" w:eastAsia="Palatino Linotype" w:hAnsi="Palatino Linotype" w:cs="Palatino Linotype"/>
          <w:color w:val="000000" w:themeColor="text1"/>
        </w:rPr>
        <w:t xml:space="preserve">, este  se encuentra dentro de los márgenes temporales previstos en el artículo 178 de la </w:t>
      </w:r>
      <w:r w:rsidRPr="00F65CBF">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F65CBF">
        <w:rPr>
          <w:rFonts w:ascii="Palatino Linotype" w:eastAsia="Palatino Linotype" w:hAnsi="Palatino Linotype" w:cs="Palatino Linotype"/>
          <w:color w:val="000000" w:themeColor="text1"/>
        </w:rPr>
        <w:t xml:space="preserve">vigente. </w:t>
      </w:r>
    </w:p>
    <w:p w:rsidR="0020369F" w:rsidRPr="00F65CBF" w:rsidRDefault="001E21FA" w:rsidP="00F65CBF">
      <w:pPr>
        <w:pStyle w:val="Ttulo2"/>
        <w:rPr>
          <w:rFonts w:ascii="Palatino Linotype" w:eastAsia="Palatino Linotype" w:hAnsi="Palatino Linotype" w:cs="Palatino Linotype"/>
          <w:b/>
          <w:i/>
          <w:color w:val="000000" w:themeColor="text1"/>
          <w:sz w:val="24"/>
          <w:szCs w:val="24"/>
        </w:rPr>
      </w:pPr>
      <w:bookmarkStart w:id="5" w:name="_heading=h.2et92p0" w:colFirst="0" w:colLast="0"/>
      <w:bookmarkEnd w:id="5"/>
      <w:r w:rsidRPr="00F65CBF">
        <w:rPr>
          <w:rFonts w:ascii="Palatino Linotype" w:eastAsia="Palatino Linotype" w:hAnsi="Palatino Linotype" w:cs="Palatino Linotype"/>
          <w:b/>
          <w:color w:val="000000" w:themeColor="text1"/>
          <w:sz w:val="24"/>
          <w:szCs w:val="24"/>
        </w:rPr>
        <w:lastRenderedPageBreak/>
        <w:t xml:space="preserve">TERCERO. Del planteamiento de la </w:t>
      </w:r>
      <w:r w:rsidRPr="00F65CBF">
        <w:rPr>
          <w:rFonts w:ascii="Palatino Linotype" w:eastAsia="Palatino Linotype" w:hAnsi="Palatino Linotype" w:cs="Palatino Linotype"/>
          <w:b/>
          <w:i/>
          <w:color w:val="000000" w:themeColor="text1"/>
          <w:sz w:val="24"/>
          <w:szCs w:val="24"/>
        </w:rPr>
        <w:t>Litis.</w:t>
      </w:r>
    </w:p>
    <w:p w:rsidR="0020369F" w:rsidRPr="00F65CBF" w:rsidRDefault="001E21FA"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Se solicitó tener acceso, a la información que a continuación se simplifica:</w:t>
      </w:r>
    </w:p>
    <w:p w:rsidR="00655537" w:rsidRPr="00F65CBF" w:rsidRDefault="00655537" w:rsidP="00F65CBF">
      <w:pPr>
        <w:pStyle w:val="Prrafodelista"/>
        <w:numPr>
          <w:ilvl w:val="0"/>
          <w:numId w:val="7"/>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¿Por qué no se autorizó incremento salarial para el ejercicio 2024 a las plazas 100 estatales del Colegio de Estudios Científicos y Tecnológicos del Estado de México?, ¿Se planea congelar el sueldo de dichas plazas?</w:t>
      </w:r>
    </w:p>
    <w:p w:rsidR="00655537" w:rsidRPr="00F65CBF" w:rsidRDefault="00655537" w:rsidP="00F65CBF">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Cabe señalar que el número de plazas 100 estatales en el CECYTEM es mínimo y creo que al estado no le afecta ni para bien ni para mal el darles $22,000 pesos quincenales si se compara con las plazas directivas a las cuales si se les otorgó incremento</w:t>
      </w:r>
    </w:p>
    <w:p w:rsidR="0020369F" w:rsidRPr="00F65CBF" w:rsidRDefault="0020369F"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20369F" w:rsidRPr="00F65CBF" w:rsidRDefault="001E21FA"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En respuesta, el Sujeto Obligado</w:t>
      </w:r>
      <w:r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remitió el archivo ya d</w:t>
      </w:r>
      <w:r w:rsidR="00901A6F" w:rsidRPr="00F65CBF">
        <w:rPr>
          <w:rFonts w:ascii="Palatino Linotype" w:eastAsia="Palatino Linotype" w:hAnsi="Palatino Linotype" w:cs="Palatino Linotype"/>
          <w:color w:val="000000" w:themeColor="text1"/>
        </w:rPr>
        <w:t>escrito en el anterior párrafo 2</w:t>
      </w:r>
      <w:r w:rsidRPr="00F65CBF">
        <w:rPr>
          <w:rFonts w:ascii="Palatino Linotype" w:eastAsia="Palatino Linotype" w:hAnsi="Palatino Linotype" w:cs="Palatino Linotype"/>
          <w:color w:val="000000" w:themeColor="text1"/>
        </w:rPr>
        <w:t xml:space="preserve">, inconforme con la respuesta, se interpuso recurso de revisión </w:t>
      </w:r>
      <w:r w:rsidR="00845E3C" w:rsidRPr="00F65CBF">
        <w:rPr>
          <w:rFonts w:ascii="Palatino Linotype" w:eastAsia="Palatino Linotype" w:hAnsi="Palatino Linotype" w:cs="Palatino Linotype"/>
          <w:color w:val="000000" w:themeColor="text1"/>
        </w:rPr>
        <w:t>argumentando sustancialmente que el Sujeto Obligado si tiene competencia para proporcionar la información.</w:t>
      </w:r>
    </w:p>
    <w:p w:rsidR="0020369F" w:rsidRPr="00F65CBF" w:rsidRDefault="0020369F" w:rsidP="00F65CBF">
      <w:pPr>
        <w:jc w:val="both"/>
        <w:rPr>
          <w:rFonts w:ascii="Palatino Linotype" w:eastAsia="Palatino Linotype" w:hAnsi="Palatino Linotype" w:cs="Palatino Linotype"/>
          <w:i/>
          <w:color w:val="000000" w:themeColor="text1"/>
        </w:rPr>
      </w:pPr>
    </w:p>
    <w:p w:rsidR="0020369F" w:rsidRPr="00F65CBF" w:rsidRDefault="001E21FA"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artículo </w:t>
      </w:r>
      <w:r w:rsidRPr="00F65CBF">
        <w:rPr>
          <w:rFonts w:ascii="Palatino Linotype" w:eastAsia="Palatino Linotype" w:hAnsi="Palatino Linotype" w:cs="Palatino Linotype"/>
          <w:b/>
          <w:color w:val="000000" w:themeColor="text1"/>
        </w:rPr>
        <w:t>179, fra</w:t>
      </w:r>
      <w:r w:rsidR="00901A6F" w:rsidRPr="00F65CBF">
        <w:rPr>
          <w:rFonts w:ascii="Palatino Linotype" w:eastAsia="Palatino Linotype" w:hAnsi="Palatino Linotype" w:cs="Palatino Linotype"/>
          <w:b/>
          <w:color w:val="000000" w:themeColor="text1"/>
        </w:rPr>
        <w:t xml:space="preserve">cción </w:t>
      </w:r>
      <w:r w:rsidR="00845E3C" w:rsidRPr="00F65CBF">
        <w:rPr>
          <w:rFonts w:ascii="Palatino Linotype" w:eastAsia="Palatino Linotype" w:hAnsi="Palatino Linotype" w:cs="Palatino Linotype"/>
          <w:b/>
          <w:color w:val="000000" w:themeColor="text1"/>
        </w:rPr>
        <w:t>IV</w:t>
      </w:r>
      <w:r w:rsidRPr="00F65CBF">
        <w:rPr>
          <w:rFonts w:ascii="Palatino Linotype" w:eastAsia="Palatino Linotype" w:hAnsi="Palatino Linotype" w:cs="Palatino Linotype"/>
          <w:b/>
          <w:color w:val="000000" w:themeColor="text1"/>
        </w:rPr>
        <w:t>, de la Ley de Transparencia y Acceso a la Información Pública del Estado de México y Municipios</w:t>
      </w:r>
      <w:r w:rsidRPr="00F65CBF">
        <w:rPr>
          <w:rFonts w:ascii="Palatino Linotype" w:eastAsia="Palatino Linotype" w:hAnsi="Palatino Linotype" w:cs="Palatino Linotype"/>
          <w:color w:val="000000" w:themeColor="text1"/>
        </w:rPr>
        <w:t xml:space="preserve">; fracción que determina la hipótesis relativa a </w:t>
      </w:r>
      <w:r w:rsidRPr="00F65CBF">
        <w:rPr>
          <w:rFonts w:ascii="Palatino Linotype" w:eastAsia="Palatino Linotype" w:hAnsi="Palatino Linotype" w:cs="Palatino Linotype"/>
          <w:b/>
          <w:color w:val="000000" w:themeColor="text1"/>
        </w:rPr>
        <w:t xml:space="preserve">la </w:t>
      </w:r>
      <w:r w:rsidR="00845E3C" w:rsidRPr="00F65CBF">
        <w:rPr>
          <w:rFonts w:ascii="Palatino Linotype" w:eastAsia="Palatino Linotype" w:hAnsi="Palatino Linotype" w:cs="Palatino Linotype"/>
          <w:b/>
          <w:color w:val="000000" w:themeColor="text1"/>
        </w:rPr>
        <w:t>declaración de incompetencia por el Sujeto Obligado</w:t>
      </w:r>
      <w:r w:rsidRPr="00F65CBF">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señalada.</w:t>
      </w:r>
    </w:p>
    <w:p w:rsidR="0020369F" w:rsidRPr="00F65CBF" w:rsidRDefault="0020369F" w:rsidP="00F65CBF">
      <w:pPr>
        <w:spacing w:line="360" w:lineRule="auto"/>
        <w:rPr>
          <w:rFonts w:ascii="Palatino Linotype" w:eastAsia="Palatino Linotype" w:hAnsi="Palatino Linotype" w:cs="Palatino Linotype"/>
          <w:color w:val="000000" w:themeColor="text1"/>
        </w:rPr>
      </w:pPr>
    </w:p>
    <w:p w:rsidR="0020369F" w:rsidRPr="00F65CBF" w:rsidRDefault="001E21FA" w:rsidP="00F65CBF">
      <w:pPr>
        <w:pStyle w:val="Ttulo2"/>
        <w:rPr>
          <w:rFonts w:ascii="Palatino Linotype" w:eastAsia="Palatino Linotype" w:hAnsi="Palatino Linotype" w:cs="Palatino Linotype"/>
          <w:b/>
          <w:color w:val="000000" w:themeColor="text1"/>
          <w:sz w:val="24"/>
          <w:szCs w:val="24"/>
        </w:rPr>
      </w:pPr>
      <w:bookmarkStart w:id="6" w:name="_heading=h.1t3h5sf" w:colFirst="0" w:colLast="0"/>
      <w:bookmarkEnd w:id="6"/>
      <w:r w:rsidRPr="00F65CBF">
        <w:rPr>
          <w:rFonts w:ascii="Palatino Linotype" w:eastAsia="Palatino Linotype" w:hAnsi="Palatino Linotype" w:cs="Palatino Linotype"/>
          <w:b/>
          <w:color w:val="000000" w:themeColor="text1"/>
          <w:sz w:val="24"/>
          <w:szCs w:val="24"/>
        </w:rPr>
        <w:t>CUARTO. Del estudio y resolución del asunto.</w:t>
      </w:r>
    </w:p>
    <w:p w:rsidR="0020369F" w:rsidRPr="00F65CBF" w:rsidRDefault="001E21FA"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w:t>
      </w:r>
      <w:r w:rsidRPr="00F65CBF">
        <w:rPr>
          <w:rFonts w:ascii="Palatino Linotype" w:eastAsia="Palatino Linotype" w:hAnsi="Palatino Linotype" w:cs="Palatino Linotype"/>
          <w:color w:val="000000" w:themeColor="text1"/>
        </w:rPr>
        <w:lastRenderedPageBreak/>
        <w:t>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0369F" w:rsidRPr="00F65CBF" w:rsidRDefault="0020369F" w:rsidP="00F65CBF">
      <w:pPr>
        <w:spacing w:line="360" w:lineRule="auto"/>
        <w:jc w:val="both"/>
        <w:rPr>
          <w:rFonts w:ascii="Palatino Linotype" w:eastAsia="Palatino Linotype" w:hAnsi="Palatino Linotype" w:cs="Palatino Linotype"/>
          <w:color w:val="000000" w:themeColor="text1"/>
        </w:rPr>
      </w:pPr>
    </w:p>
    <w:p w:rsidR="0020369F" w:rsidRPr="00F65CBF" w:rsidRDefault="001E21FA"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0369F" w:rsidRPr="00F65CBF" w:rsidRDefault="0020369F" w:rsidP="00F65CB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20369F" w:rsidRPr="00F65CBF" w:rsidRDefault="001E21FA"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0369F" w:rsidRPr="00F65CBF" w:rsidRDefault="0020369F" w:rsidP="00F65CBF">
      <w:pPr>
        <w:spacing w:line="360" w:lineRule="auto"/>
        <w:jc w:val="both"/>
        <w:rPr>
          <w:rFonts w:ascii="Palatino Linotype" w:eastAsia="Palatino Linotype" w:hAnsi="Palatino Linotype" w:cs="Palatino Linotype"/>
          <w:color w:val="000000" w:themeColor="text1"/>
        </w:rPr>
      </w:pPr>
    </w:p>
    <w:p w:rsidR="00845E3C" w:rsidRPr="00F65CBF" w:rsidRDefault="00845E3C"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lastRenderedPageBreak/>
        <w:t xml:space="preserve">Ahora bien, es de recodar que el Sujeto Obligado </w:t>
      </w:r>
      <w:r w:rsidR="007A5959" w:rsidRPr="00F65CBF">
        <w:rPr>
          <w:rFonts w:ascii="Palatino Linotype" w:eastAsia="Palatino Linotype" w:hAnsi="Palatino Linotype" w:cs="Palatino Linotype"/>
          <w:color w:val="000000" w:themeColor="text1"/>
        </w:rPr>
        <w:t xml:space="preserve">a través del Titular de la Unidad de Transparencia de la Oficialía Mayor, </w:t>
      </w:r>
      <w:r w:rsidRPr="00F65CBF">
        <w:rPr>
          <w:rFonts w:ascii="Palatino Linotype" w:eastAsia="Palatino Linotype" w:hAnsi="Palatino Linotype" w:cs="Palatino Linotype"/>
          <w:color w:val="000000" w:themeColor="text1"/>
        </w:rPr>
        <w:t xml:space="preserve">notificó al particular la </w:t>
      </w:r>
      <w:r w:rsidR="007A5959" w:rsidRPr="00F65CBF">
        <w:rPr>
          <w:rFonts w:ascii="Palatino Linotype" w:eastAsia="Palatino Linotype" w:hAnsi="Palatino Linotype" w:cs="Palatino Linotype"/>
          <w:b/>
          <w:color w:val="000000" w:themeColor="text1"/>
        </w:rPr>
        <w:t>notoria incompetencia</w:t>
      </w:r>
      <w:r w:rsidR="007A5959" w:rsidRPr="00F65CBF">
        <w:rPr>
          <w:rFonts w:ascii="Palatino Linotype" w:eastAsia="Palatino Linotype" w:hAnsi="Palatino Linotype" w:cs="Palatino Linotype"/>
          <w:color w:val="000000" w:themeColor="text1"/>
        </w:rPr>
        <w:t xml:space="preserve"> para atender su requerimiento de acceso a información pública, ello, en virtud de no contar con atribuciones para poseer, administrar y/o resguardar dato alguno que pueda ser relacionado con su pretensión, por consiguiente, se sugiere interponer de nueva cuenta su solicitud ante el Sujeto Obligado Colegio de Estudios Científicos y Tecnológicos del Estado de México, de conformidad con lo establecido en </w:t>
      </w:r>
      <w:r w:rsidR="00762825" w:rsidRPr="00F65CBF">
        <w:rPr>
          <w:rFonts w:ascii="Palatino Linotype" w:eastAsia="Palatino Linotype" w:hAnsi="Palatino Linotype" w:cs="Palatino Linotype"/>
          <w:color w:val="000000" w:themeColor="text1"/>
        </w:rPr>
        <w:t xml:space="preserve">el artículo 167, primer párrafo de </w:t>
      </w:r>
      <w:r w:rsidR="007A5959" w:rsidRPr="00F65CBF">
        <w:rPr>
          <w:rFonts w:ascii="Palatino Linotype" w:eastAsia="Palatino Linotype" w:hAnsi="Palatino Linotype" w:cs="Palatino Linotype"/>
          <w:color w:val="000000" w:themeColor="text1"/>
        </w:rPr>
        <w:t>la Ley de Transparencia Local:</w:t>
      </w:r>
    </w:p>
    <w:p w:rsidR="007A5959" w:rsidRPr="00F65CBF" w:rsidRDefault="007A5959"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762825" w:rsidRDefault="00762825" w:rsidP="00F65CBF">
      <w:pPr>
        <w:jc w:val="both"/>
        <w:rPr>
          <w:rFonts w:ascii="Palatino Linotype" w:eastAsia="Palatino Linotype" w:hAnsi="Palatino Linotype" w:cs="Palatino Linotype"/>
          <w:i/>
          <w:color w:val="000000" w:themeColor="text1"/>
        </w:rPr>
      </w:pPr>
    </w:p>
    <w:p w:rsidR="007E0FEA" w:rsidRPr="00F65CBF" w:rsidRDefault="007E0FEA" w:rsidP="00F65CBF">
      <w:pPr>
        <w:jc w:val="both"/>
        <w:rPr>
          <w:rFonts w:ascii="Palatino Linotype" w:eastAsia="Palatino Linotype" w:hAnsi="Palatino Linotype" w:cs="Palatino Linotype"/>
          <w:i/>
          <w:color w:val="000000" w:themeColor="text1"/>
        </w:rPr>
      </w:pPr>
    </w:p>
    <w:p w:rsidR="00762825" w:rsidRPr="00F65CBF" w:rsidRDefault="00762825"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Circunstancia de la cual se dolió el recurrente, en consecuencia a través de informe justificado el Sujeto Obligado remite pronunciamiento por el servidor público habilitado de la Dirección General de Personal.</w:t>
      </w:r>
    </w:p>
    <w:p w:rsidR="00762825" w:rsidRPr="00F65CBF" w:rsidRDefault="00762825" w:rsidP="00F65CBF">
      <w:pPr>
        <w:spacing w:line="360" w:lineRule="auto"/>
        <w:jc w:val="both"/>
        <w:rPr>
          <w:rFonts w:ascii="Palatino Linotype" w:eastAsia="Palatino Linotype" w:hAnsi="Palatino Linotype" w:cs="Palatino Linotype"/>
          <w:color w:val="000000" w:themeColor="text1"/>
        </w:rPr>
      </w:pPr>
    </w:p>
    <w:p w:rsidR="00762825" w:rsidRPr="00F65CBF" w:rsidRDefault="00762825" w:rsidP="00F65CBF">
      <w:pPr>
        <w:numPr>
          <w:ilvl w:val="0"/>
          <w:numId w:val="3"/>
        </w:numPr>
        <w:spacing w:line="360" w:lineRule="auto"/>
        <w:ind w:left="0" w:firstLine="0"/>
        <w:jc w:val="both"/>
        <w:rPr>
          <w:rFonts w:ascii="Palatino Linotype" w:eastAsia="Palatino Linotype" w:hAnsi="Palatino Linotype" w:cs="Palatino Linotype"/>
          <w:i/>
          <w:color w:val="000000" w:themeColor="text1"/>
          <w:u w:val="single"/>
        </w:rPr>
      </w:pPr>
      <w:r w:rsidRPr="00F65CBF">
        <w:rPr>
          <w:rFonts w:ascii="Palatino Linotype" w:eastAsia="Palatino Linotype" w:hAnsi="Palatino Linotype" w:cs="Palatino Linotype"/>
          <w:color w:val="000000" w:themeColor="text1"/>
        </w:rPr>
        <w:t>En este sentido es importante recordar el requerimiento de información  ¿</w:t>
      </w:r>
      <w:r w:rsidR="00655537" w:rsidRPr="00F65CBF">
        <w:rPr>
          <w:rFonts w:ascii="Palatino Linotype" w:eastAsia="Palatino Linotype" w:hAnsi="Palatino Linotype" w:cs="Palatino Linotype"/>
          <w:i/>
          <w:color w:val="000000" w:themeColor="text1"/>
          <w:u w:val="single"/>
        </w:rPr>
        <w:t>Por qué no se autorizó incremento salarial para el ejercicio 2024 a las plazas 100 estatales del Colegio de Estudios Científicos y Tecnológicos del Estado de México?, ¿Se planea congelar el sueldo de dichas plazas?</w:t>
      </w:r>
      <w:r w:rsidRPr="00F65CBF">
        <w:rPr>
          <w:rFonts w:ascii="Palatino Linotype" w:eastAsia="Palatino Linotype" w:hAnsi="Palatino Linotype" w:cs="Palatino Linotype"/>
          <w:i/>
          <w:color w:val="000000" w:themeColor="text1"/>
          <w:u w:val="single"/>
        </w:rPr>
        <w:t xml:space="preserve"> </w:t>
      </w:r>
      <w:r w:rsidR="00655537" w:rsidRPr="00F65CBF">
        <w:rPr>
          <w:rFonts w:ascii="Palatino Linotype" w:eastAsia="Palatino Linotype" w:hAnsi="Palatino Linotype" w:cs="Palatino Linotype"/>
          <w:i/>
          <w:color w:val="000000" w:themeColor="text1"/>
          <w:u w:val="single"/>
        </w:rPr>
        <w:t>Cabe señalar que el número de plazas 100 estatales en el CECYTEM es mínimo y creo que al estado no le afecta ni para bien ni para mal el darles $22,000 pesos quincenales si se compara con las plazas directivas a las cuales si se les otorgó incremento</w:t>
      </w:r>
      <w:r w:rsidRPr="00F65CBF">
        <w:rPr>
          <w:rFonts w:ascii="Palatino Linotype" w:eastAsia="Palatino Linotype" w:hAnsi="Palatino Linotype" w:cs="Palatino Linotype"/>
          <w:i/>
          <w:color w:val="000000" w:themeColor="text1"/>
          <w:u w:val="single"/>
        </w:rPr>
        <w:t>,</w:t>
      </w:r>
      <w:r w:rsidRPr="00F65CBF">
        <w:rPr>
          <w:rFonts w:ascii="Palatino Linotype" w:eastAsia="Palatino Linotype" w:hAnsi="Palatino Linotype" w:cs="Palatino Linotype"/>
          <w:i/>
          <w:color w:val="000000" w:themeColor="text1"/>
        </w:rPr>
        <w:t xml:space="preserve"> </w:t>
      </w:r>
      <w:r w:rsidRPr="00F65CBF">
        <w:rPr>
          <w:rFonts w:ascii="Palatino Linotype" w:eastAsia="Palatino Linotype" w:hAnsi="Palatino Linotype" w:cs="Palatino Linotype"/>
          <w:color w:val="000000" w:themeColor="text1"/>
        </w:rPr>
        <w:t xml:space="preserve">se advierte que no constituyen un derecho de acceso a la información y por lo tanto no es atendible mediante una solicitud de acceso a la </w:t>
      </w:r>
      <w:r w:rsidRPr="00F65CBF">
        <w:rPr>
          <w:rFonts w:ascii="Palatino Linotype" w:eastAsia="Palatino Linotype" w:hAnsi="Palatino Linotype" w:cs="Palatino Linotype"/>
          <w:color w:val="000000" w:themeColor="text1"/>
        </w:rPr>
        <w:lastRenderedPageBreak/>
        <w:t xml:space="preserve">información pública, porque se tratan de una consulta para un caso específico, situación que conlleva a afirmar que se está en presencia del ejercicio del </w:t>
      </w:r>
      <w:r w:rsidRPr="00F65CBF">
        <w:rPr>
          <w:rFonts w:ascii="Palatino Linotype" w:eastAsia="Palatino Linotype" w:hAnsi="Palatino Linotype" w:cs="Palatino Linotype"/>
          <w:b/>
          <w:color w:val="000000" w:themeColor="text1"/>
        </w:rPr>
        <w:t>derecho de petición.</w:t>
      </w:r>
    </w:p>
    <w:p w:rsidR="00762825" w:rsidRPr="00F65CBF" w:rsidRDefault="00762825" w:rsidP="00F65CBF">
      <w:pPr>
        <w:spacing w:line="360" w:lineRule="auto"/>
        <w:jc w:val="both"/>
        <w:rPr>
          <w:rFonts w:ascii="Palatino Linotype" w:eastAsia="Palatino Linotype" w:hAnsi="Palatino Linotype" w:cs="Palatino Linotype"/>
          <w:color w:val="000000" w:themeColor="text1"/>
        </w:rPr>
      </w:pPr>
    </w:p>
    <w:p w:rsidR="00762825" w:rsidRPr="00F65CBF" w:rsidRDefault="00762825"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hAnsi="Palatino Linotype" w:cs="Tahoma"/>
          <w:bCs/>
          <w:color w:val="000000" w:themeColor="text1"/>
          <w:lang w:val="es-ES" w:eastAsia="en-US"/>
        </w:rPr>
        <w:t>En</w:t>
      </w:r>
      <w:r w:rsidRPr="00F65CBF">
        <w:rPr>
          <w:rFonts w:ascii="Palatino Linotype" w:eastAsia="Palatino Linotype" w:hAnsi="Palatino Linotype" w:cs="Palatino Linotype"/>
          <w:color w:val="000000" w:themeColor="text1"/>
        </w:rPr>
        <w:t xml:space="preserve"> ese sentido, es importante diferenciar lo que se entiende por derecho de petición y por derecho de acceso a la información pública.</w:t>
      </w:r>
    </w:p>
    <w:p w:rsidR="00762825" w:rsidRPr="00F65CBF" w:rsidRDefault="00762825" w:rsidP="00F65CBF">
      <w:pPr>
        <w:spacing w:before="240" w:after="240" w:line="360" w:lineRule="auto"/>
        <w:jc w:val="both"/>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Derecho de Petición:</w:t>
      </w:r>
    </w:p>
    <w:p w:rsidR="00762825" w:rsidRPr="00F65CBF" w:rsidRDefault="00762825" w:rsidP="00F65CBF">
      <w:pPr>
        <w:spacing w:before="240" w:after="240" w:line="360" w:lineRule="auto"/>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El Doctor Ignacio Burgoa Orihuela refiere que derecho de petición: "...</w:t>
      </w:r>
      <w:r w:rsidRPr="00F65CBF">
        <w:rPr>
          <w:rFonts w:ascii="Palatino Linotype" w:eastAsia="Palatino Linotype" w:hAnsi="Palatino Linotype" w:cs="Palatino Linotype"/>
          <w:i/>
          <w:color w:val="000000" w:themeColor="text1"/>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F65CBF">
        <w:rPr>
          <w:rFonts w:ascii="Palatino Linotype" w:eastAsia="Palatino Linotype" w:hAnsi="Palatino Linotype" w:cs="Palatino Linotype"/>
          <w:color w:val="000000" w:themeColor="text1"/>
        </w:rPr>
        <w:t>"</w:t>
      </w:r>
      <w:r w:rsidRPr="00F65CBF">
        <w:rPr>
          <w:rFonts w:ascii="Palatino Linotype" w:eastAsia="Palatino Linotype" w:hAnsi="Palatino Linotype" w:cs="Palatino Linotype"/>
          <w:color w:val="000000" w:themeColor="text1"/>
          <w:vertAlign w:val="superscript"/>
        </w:rPr>
        <w:footnoteReference w:id="1"/>
      </w:r>
      <w:r w:rsidRPr="00F65CBF">
        <w:rPr>
          <w:rFonts w:ascii="Palatino Linotype" w:eastAsia="Palatino Linotype" w:hAnsi="Palatino Linotype" w:cs="Palatino Linotype"/>
          <w:color w:val="000000" w:themeColor="text1"/>
        </w:rPr>
        <w:t>(Sic)</w:t>
      </w:r>
    </w:p>
    <w:p w:rsidR="00762825" w:rsidRPr="00F65CBF" w:rsidRDefault="00762825" w:rsidP="00F65CBF">
      <w:pPr>
        <w:pBdr>
          <w:top w:val="nil"/>
          <w:left w:val="nil"/>
          <w:bottom w:val="nil"/>
          <w:right w:val="nil"/>
          <w:between w:val="nil"/>
        </w:pBdr>
        <w:spacing w:before="240" w:after="360" w:line="360" w:lineRule="auto"/>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color w:val="000000" w:themeColor="text1"/>
        </w:rPr>
        <w:t xml:space="preserve">Por su parte, David Cienfuegos Salgado, concibe al derecho de petición como </w:t>
      </w:r>
      <w:r w:rsidRPr="00F65CBF">
        <w:rPr>
          <w:rFonts w:ascii="Palatino Linotype" w:eastAsia="Palatino Linotype" w:hAnsi="Palatino Linotype" w:cs="Palatino Linotype"/>
          <w:i/>
          <w:color w:val="000000" w:themeColor="text1"/>
        </w:rPr>
        <w:t>“el derecho de toda persona a ser escuchado por quienes ejercen el poder público.</w:t>
      </w:r>
      <w:r w:rsidRPr="00F65CBF">
        <w:rPr>
          <w:rFonts w:ascii="Palatino Linotype" w:eastAsia="Palatino Linotype" w:hAnsi="Palatino Linotype" w:cs="Palatino Linotype"/>
          <w:i/>
          <w:color w:val="000000" w:themeColor="text1"/>
          <w:vertAlign w:val="superscript"/>
        </w:rPr>
        <w:t xml:space="preserve"> </w:t>
      </w:r>
      <w:r w:rsidRPr="00F65CBF">
        <w:rPr>
          <w:rFonts w:ascii="Palatino Linotype" w:eastAsia="Palatino Linotype" w:hAnsi="Palatino Linotype" w:cs="Palatino Linotype"/>
          <w:i/>
          <w:color w:val="000000" w:themeColor="text1"/>
          <w:vertAlign w:val="superscript"/>
        </w:rPr>
        <w:footnoteReference w:id="2"/>
      </w:r>
      <w:r w:rsidRPr="00F65CBF">
        <w:rPr>
          <w:rFonts w:ascii="Palatino Linotype" w:eastAsia="Palatino Linotype" w:hAnsi="Palatino Linotype" w:cs="Palatino Linotype"/>
          <w:i/>
          <w:color w:val="000000" w:themeColor="text1"/>
        </w:rPr>
        <w:t xml:space="preserve">” (Sic) </w:t>
      </w:r>
    </w:p>
    <w:p w:rsidR="00762825" w:rsidRPr="00F65CBF" w:rsidRDefault="00762825"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t xml:space="preserve">De la misma manera, Migue Carbonell en su libro “Los derechos fundamentales” refiere que el derecho de petición se ha entendido de dos distintas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w:t>
      </w:r>
      <w:r w:rsidRPr="00F65CBF">
        <w:rPr>
          <w:rFonts w:ascii="Palatino Linotype" w:eastAsia="Palatino Linotype" w:hAnsi="Palatino Linotype" w:cs="Palatino Linotype"/>
          <w:color w:val="000000" w:themeColor="text1"/>
        </w:rPr>
        <w:lastRenderedPageBreak/>
        <w:t>en la obligación de todos los funcionarios y autoridades de permitir a los ciudadanos de dirigirse a ellos en demanda de lo que deseen expresar o solicitar y responder de dicha demanda por escrito, de forma congruente y en un plazo breve.</w:t>
      </w:r>
      <w:r w:rsidRPr="00F65CBF">
        <w:rPr>
          <w:rFonts w:ascii="Palatino Linotype" w:eastAsia="Palatino Linotype" w:hAnsi="Palatino Linotype" w:cs="Palatino Linotype"/>
          <w:color w:val="000000" w:themeColor="text1"/>
          <w:vertAlign w:val="superscript"/>
        </w:rPr>
        <w:footnoteReference w:id="3"/>
      </w:r>
    </w:p>
    <w:p w:rsidR="00762825" w:rsidRPr="00F65CBF" w:rsidRDefault="00762825" w:rsidP="00F65CBF">
      <w:pPr>
        <w:spacing w:line="360" w:lineRule="auto"/>
        <w:jc w:val="both"/>
        <w:rPr>
          <w:rFonts w:ascii="Palatino Linotype" w:eastAsia="Palatino Linotype" w:hAnsi="Palatino Linotype" w:cs="Palatino Linotype"/>
          <w:color w:val="000000" w:themeColor="text1"/>
        </w:rPr>
      </w:pPr>
    </w:p>
    <w:p w:rsidR="00762825" w:rsidRPr="00F65CBF" w:rsidRDefault="00762825" w:rsidP="00F65CBF">
      <w:pPr>
        <w:spacing w:line="360" w:lineRule="auto"/>
        <w:jc w:val="both"/>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Derecho de Acceso a la Información Pública:</w:t>
      </w:r>
    </w:p>
    <w:p w:rsidR="00762825" w:rsidRPr="00F65CBF" w:rsidRDefault="00762825"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762825" w:rsidRPr="00F65CBF" w:rsidRDefault="00762825" w:rsidP="00F65CBF">
      <w:pPr>
        <w:pBdr>
          <w:top w:val="nil"/>
          <w:left w:val="nil"/>
          <w:bottom w:val="nil"/>
          <w:right w:val="nil"/>
          <w:between w:val="nil"/>
        </w:pBdr>
        <w:spacing w:line="360" w:lineRule="auto"/>
        <w:rPr>
          <w:rFonts w:ascii="Palatino Linotype" w:hAnsi="Palatino Linotype"/>
          <w:color w:val="000000" w:themeColor="text1"/>
        </w:rPr>
      </w:pPr>
    </w:p>
    <w:p w:rsidR="00762825" w:rsidRPr="00F65CBF" w:rsidRDefault="00762825"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F65CBF">
        <w:rPr>
          <w:rFonts w:ascii="Palatino Linotype" w:eastAsia="Palatino Linotype" w:hAnsi="Palatino Linotype" w:cs="Palatino Linotype"/>
          <w:color w:val="000000" w:themeColor="text1"/>
          <w:vertAlign w:val="superscript"/>
        </w:rPr>
        <w:footnoteReference w:id="4"/>
      </w:r>
    </w:p>
    <w:p w:rsidR="00762825" w:rsidRPr="00F65CBF" w:rsidRDefault="00762825" w:rsidP="00F65CB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62825" w:rsidRPr="00F65CBF" w:rsidRDefault="00762825"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t xml:space="preserve">Del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w:t>
      </w:r>
      <w:r w:rsidRPr="00F65CBF">
        <w:rPr>
          <w:rFonts w:ascii="Palatino Linotype" w:eastAsia="Palatino Linotype" w:hAnsi="Palatino Linotype" w:cs="Palatino Linotype"/>
          <w:color w:val="000000" w:themeColor="text1"/>
        </w:rPr>
        <w:lastRenderedPageBreak/>
        <w:t>una garantía de que la información sea tramitada con claridad y objetividad, por cuanto a que es un bien jurídico que coadyuva al desarrollo de las personas y a la formación de opinión pública de calidad para poder participar y luego influir en la vida pública.”</w:t>
      </w:r>
      <w:r w:rsidRPr="00F65CBF">
        <w:rPr>
          <w:rFonts w:ascii="Palatino Linotype" w:eastAsia="Palatino Linotype" w:hAnsi="Palatino Linotype" w:cs="Palatino Linotype"/>
          <w:color w:val="000000" w:themeColor="text1"/>
          <w:vertAlign w:val="superscript"/>
        </w:rPr>
        <w:footnoteReference w:id="5"/>
      </w:r>
    </w:p>
    <w:p w:rsidR="00762825" w:rsidRPr="00F65CBF" w:rsidRDefault="00762825" w:rsidP="00F65CBF">
      <w:pPr>
        <w:spacing w:line="360" w:lineRule="auto"/>
        <w:jc w:val="both"/>
        <w:rPr>
          <w:rFonts w:ascii="Palatino Linotype" w:eastAsia="Palatino Linotype" w:hAnsi="Palatino Linotype" w:cs="Palatino Linotype"/>
          <w:color w:val="000000" w:themeColor="text1"/>
        </w:rPr>
      </w:pPr>
    </w:p>
    <w:p w:rsidR="00762825" w:rsidRPr="00F65CBF" w:rsidRDefault="00762825"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762825" w:rsidRPr="00F65CBF" w:rsidRDefault="00762825" w:rsidP="00F65CBF">
      <w:pP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“CRITERIO 0002-11</w:t>
      </w:r>
    </w:p>
    <w:p w:rsidR="00762825" w:rsidRPr="00F65CBF" w:rsidRDefault="00762825"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32, 4,11 Y 41.</w:t>
      </w:r>
      <w:r w:rsidRPr="00F65CBF">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62825" w:rsidRPr="00F65CBF" w:rsidRDefault="00762825"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762825" w:rsidRPr="00F65CBF" w:rsidRDefault="00762825"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762825" w:rsidRPr="00F65CBF" w:rsidRDefault="00762825"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762825" w:rsidRPr="00F65CBF" w:rsidRDefault="00762825"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Obligados.”(Sic)</w:t>
      </w:r>
    </w:p>
    <w:p w:rsidR="00762825" w:rsidRPr="00F65CBF" w:rsidRDefault="00762825" w:rsidP="00F65CBF">
      <w:pPr>
        <w:jc w:val="both"/>
        <w:rPr>
          <w:rFonts w:ascii="Palatino Linotype" w:eastAsia="Palatino Linotype" w:hAnsi="Palatino Linotype" w:cs="Palatino Linotype"/>
          <w:i/>
          <w:color w:val="000000" w:themeColor="text1"/>
        </w:rPr>
      </w:pPr>
    </w:p>
    <w:p w:rsidR="00762825" w:rsidRPr="00F65CBF" w:rsidRDefault="00762825"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lastRenderedPageBreak/>
        <w:t xml:space="preserve">De lo anterior se puede concluir que la </w:t>
      </w:r>
      <w:r w:rsidRPr="00F65CBF">
        <w:rPr>
          <w:rFonts w:ascii="Palatino Linotype" w:eastAsia="Palatino Linotype" w:hAnsi="Palatino Linotype" w:cs="Palatino Linotype"/>
          <w:b/>
          <w:color w:val="000000" w:themeColor="text1"/>
        </w:rPr>
        <w:t xml:space="preserve">distinción entre el derecho de petición y el derecho de acceso a la información </w:t>
      </w:r>
      <w:r w:rsidRPr="00F65CBF">
        <w:rPr>
          <w:rFonts w:ascii="Palatino Linotype" w:eastAsia="Palatino Linotype" w:hAnsi="Palatino Linotype" w:cs="Palatino Linotype"/>
          <w:color w:val="000000" w:themeColor="text1"/>
        </w:rPr>
        <w:t>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762825" w:rsidRPr="00F65CBF" w:rsidRDefault="00762825" w:rsidP="00F65CB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62825" w:rsidRPr="00F65CBF" w:rsidRDefault="00762825" w:rsidP="00F65CBF">
      <w:pPr>
        <w:numPr>
          <w:ilvl w:val="0"/>
          <w:numId w:val="3"/>
        </w:numPr>
        <w:spacing w:line="360" w:lineRule="auto"/>
        <w:ind w:left="0" w:firstLine="0"/>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color w:val="000000" w:themeColor="text1"/>
        </w:rPr>
        <w:t xml:space="preserve">Con base a lo anterior, tenemos que el </w:t>
      </w:r>
      <w:r w:rsidRPr="00F65CBF">
        <w:rPr>
          <w:rFonts w:ascii="Palatino Linotype" w:eastAsia="Palatino Linotype" w:hAnsi="Palatino Linotype" w:cs="Palatino Linotype"/>
          <w:b/>
          <w:color w:val="000000" w:themeColor="text1"/>
        </w:rPr>
        <w:t>RECURRENTE</w:t>
      </w:r>
      <w:r w:rsidRPr="00F65CBF">
        <w:rPr>
          <w:rFonts w:ascii="Palatino Linotype" w:eastAsia="Palatino Linotype" w:hAnsi="Palatino Linotype" w:cs="Palatino Linotype"/>
          <w:color w:val="000000" w:themeColor="text1"/>
        </w:rPr>
        <w:t xml:space="preserve"> en su solicitud de información pretende ejercer un derecho de petición y no el derecho de acceso a la información pública, por los razonamiento ya expuesto; asimismo, realizó manifestaciones subjetivas</w:t>
      </w:r>
      <w:r w:rsidR="00874E97" w:rsidRPr="00F65CBF">
        <w:rPr>
          <w:rFonts w:ascii="Palatino Linotype" w:eastAsia="Palatino Linotype" w:hAnsi="Palatino Linotype" w:cs="Palatino Linotype"/>
          <w:color w:val="000000" w:themeColor="text1"/>
        </w:rPr>
        <w:t xml:space="preserve">; </w:t>
      </w:r>
      <w:r w:rsidRPr="00F65CBF">
        <w:rPr>
          <w:rFonts w:ascii="Palatino Linotype" w:eastAsia="Palatino Linotype" w:hAnsi="Palatino Linotype" w:cs="Palatino Linotype"/>
          <w:color w:val="000000" w:themeColor="text1"/>
        </w:rPr>
        <w:t>por consiguiente, la entrega de una razón o la respuesta a cuestionamientos que no encuentren soporte documental alguno, por parte de los Sujetos Obligados no es algo que la Ley de la Materia establece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rsidR="00762825" w:rsidRPr="00F65CBF" w:rsidRDefault="00762825" w:rsidP="00F65CB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62825" w:rsidRPr="00F65CBF" w:rsidRDefault="00762825" w:rsidP="00F65CBF">
      <w:pPr>
        <w:numPr>
          <w:ilvl w:val="0"/>
          <w:numId w:val="3"/>
        </w:numPr>
        <w:spacing w:line="360" w:lineRule="auto"/>
        <w:ind w:left="0" w:firstLine="0"/>
        <w:jc w:val="both"/>
        <w:rPr>
          <w:rFonts w:ascii="Palatino Linotype" w:hAnsi="Palatino Linotype"/>
          <w:b/>
          <w:color w:val="000000" w:themeColor="text1"/>
        </w:rPr>
      </w:pPr>
      <w:r w:rsidRPr="00F65CBF">
        <w:rPr>
          <w:rFonts w:ascii="Palatino Linotype" w:eastAsia="Palatino Linotype" w:hAnsi="Palatino Linotype" w:cs="Palatino Linotype"/>
          <w:color w:val="000000" w:themeColor="text1"/>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w:t>
      </w:r>
      <w:r w:rsidRPr="00F65CBF">
        <w:rPr>
          <w:rFonts w:ascii="Palatino Linotype" w:eastAsia="Palatino Linotype" w:hAnsi="Palatino Linotype" w:cs="Palatino Linotype"/>
          <w:color w:val="000000" w:themeColor="text1"/>
        </w:rPr>
        <w:lastRenderedPageBreak/>
        <w:t xml:space="preserve">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w:t>
      </w:r>
      <w:r w:rsidRPr="00F65CBF">
        <w:rPr>
          <w:rFonts w:ascii="Palatino Linotype" w:eastAsia="Palatino Linotype" w:hAnsi="Palatino Linotype" w:cs="Palatino Linotype"/>
          <w:b/>
          <w:color w:val="000000" w:themeColor="text1"/>
        </w:rPr>
        <w:t>este Instinto no tiene atribuciones para pronunciarse respecto a las manifestaciones expuestas por el particular.</w:t>
      </w:r>
    </w:p>
    <w:p w:rsidR="00762825" w:rsidRPr="00F65CBF" w:rsidRDefault="00762825" w:rsidP="00F65CBF">
      <w:pPr>
        <w:spacing w:line="360" w:lineRule="auto"/>
        <w:jc w:val="both"/>
        <w:rPr>
          <w:rFonts w:ascii="Palatino Linotype" w:eastAsia="Palatino Linotype" w:hAnsi="Palatino Linotype" w:cs="Palatino Linotype"/>
          <w:color w:val="000000" w:themeColor="text1"/>
        </w:rPr>
      </w:pPr>
    </w:p>
    <w:p w:rsidR="00762825" w:rsidRPr="00F65CBF" w:rsidRDefault="00874E97"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En este mismo sentido, en las </w:t>
      </w:r>
      <w:r w:rsidRPr="00F65CBF">
        <w:rPr>
          <w:rFonts w:ascii="Palatino Linotype" w:eastAsia="Palatino Linotype" w:hAnsi="Palatino Linotype" w:cs="Palatino Linotype"/>
          <w:b/>
          <w:color w:val="000000" w:themeColor="text1"/>
        </w:rPr>
        <w:t xml:space="preserve">razones o motivos de </w:t>
      </w:r>
      <w:r w:rsidR="00E3111C" w:rsidRPr="00F65CBF">
        <w:rPr>
          <w:rFonts w:ascii="Palatino Linotype" w:eastAsia="Palatino Linotype" w:hAnsi="Palatino Linotype" w:cs="Palatino Linotype"/>
          <w:b/>
          <w:color w:val="000000" w:themeColor="text1"/>
        </w:rPr>
        <w:t>inconformidad</w:t>
      </w:r>
      <w:r w:rsidRPr="00F65CBF">
        <w:rPr>
          <w:rFonts w:ascii="Palatino Linotype" w:eastAsia="Palatino Linotype" w:hAnsi="Palatino Linotype" w:cs="Palatino Linotype"/>
          <w:color w:val="000000" w:themeColor="text1"/>
        </w:rPr>
        <w:t xml:space="preserve"> vertidos por el recurrente, de nueva cuenta refiere </w:t>
      </w:r>
      <w:r w:rsidRPr="00F65CBF">
        <w:rPr>
          <w:rFonts w:ascii="Palatino Linotype" w:eastAsia="Palatino Linotype" w:hAnsi="Palatino Linotype" w:cs="Palatino Linotype"/>
          <w:b/>
          <w:color w:val="000000" w:themeColor="text1"/>
        </w:rPr>
        <w:t>manifestaciones subjetivas</w:t>
      </w:r>
      <w:r w:rsidRPr="00F65CBF">
        <w:rPr>
          <w:rFonts w:ascii="Palatino Linotype" w:eastAsia="Palatino Linotype" w:hAnsi="Palatino Linotype" w:cs="Palatino Linotype"/>
          <w:color w:val="000000" w:themeColor="text1"/>
        </w:rPr>
        <w:t xml:space="preserve"> “…</w:t>
      </w:r>
      <w:r w:rsidRPr="00F65CBF">
        <w:rPr>
          <w:rFonts w:ascii="Palatino Linotype" w:eastAsia="Palatino Linotype" w:hAnsi="Palatino Linotype" w:cs="Palatino Linotype"/>
          <w:i/>
          <w:color w:val="000000" w:themeColor="text1"/>
        </w:rPr>
        <w:t>esta cotización será permanente con la finalidad de de aceptar una democión o cambio de plazas para eliminar las plazas estatales del cecytem y tal vez de otros subsistemas así que requiero que me digan por qué no están incremento salarial a esta plazas ya que los trabajadores no tienen la culpa de la naturaleza de las. Plazas que crearon en su momento cuando se creo el colegio y autorizó esta dirección general</w:t>
      </w:r>
      <w:r w:rsidR="00E3111C" w:rsidRPr="00F65CBF">
        <w:rPr>
          <w:rFonts w:ascii="Palatino Linotype" w:eastAsia="Palatino Linotype" w:hAnsi="Palatino Linotype" w:cs="Palatino Linotype"/>
          <w:i/>
          <w:color w:val="000000" w:themeColor="text1"/>
        </w:rPr>
        <w:t>…” (Sic)</w:t>
      </w:r>
      <w:r w:rsidR="00E3111C" w:rsidRPr="00F65CBF">
        <w:rPr>
          <w:rFonts w:ascii="Palatino Linotype" w:eastAsia="Palatino Linotype" w:hAnsi="Palatino Linotype" w:cs="Palatino Linotype"/>
          <w:b/>
          <w:color w:val="000000" w:themeColor="text1"/>
        </w:rPr>
        <w:t xml:space="preserve">, </w:t>
      </w:r>
      <w:r w:rsidR="00E3111C" w:rsidRPr="00F65CBF">
        <w:rPr>
          <w:rFonts w:ascii="Palatino Linotype" w:eastAsia="Palatino Linotype" w:hAnsi="Palatino Linotype" w:cs="Palatino Linotype"/>
          <w:color w:val="000000" w:themeColor="text1"/>
        </w:rPr>
        <w:t xml:space="preserve">razón por la cual como ya quedó establecido en párrafos anteriores, la entrega de una razón o la respuesta a cuestionamientos que no encuentren soporte documental alguno, por parte de los Sujetos Obligados no es algo que la Ley de la Materia establece como atribución,  derecho o facultad; pues ello implicaría emitir un juicio de valor referente a cuestionamientos realizados, los cuales como ha quedado explicado, al constituir </w:t>
      </w:r>
      <w:r w:rsidR="00E3111C" w:rsidRPr="00F65CBF">
        <w:rPr>
          <w:rFonts w:ascii="Palatino Linotype" w:eastAsia="Palatino Linotype" w:hAnsi="Palatino Linotype" w:cs="Palatino Linotype"/>
          <w:color w:val="000000" w:themeColor="text1"/>
        </w:rPr>
        <w:lastRenderedPageBreak/>
        <w:t xml:space="preserve">interrogantes, inquietudes, quejas y manifestaciones resultan estar encaminadas a ser satisfechas en ejercicio del </w:t>
      </w:r>
      <w:r w:rsidR="00E3111C" w:rsidRPr="00F65CBF">
        <w:rPr>
          <w:rFonts w:ascii="Palatino Linotype" w:eastAsia="Palatino Linotype" w:hAnsi="Palatino Linotype" w:cs="Palatino Linotype"/>
          <w:b/>
          <w:color w:val="000000" w:themeColor="text1"/>
        </w:rPr>
        <w:t>derecho de petición.</w:t>
      </w:r>
    </w:p>
    <w:p w:rsidR="00097E40" w:rsidRPr="00F65CBF" w:rsidRDefault="00097E40" w:rsidP="00F65CBF">
      <w:pPr>
        <w:spacing w:line="360" w:lineRule="auto"/>
        <w:jc w:val="both"/>
        <w:rPr>
          <w:rFonts w:ascii="Palatino Linotype" w:eastAsia="Palatino Linotype" w:hAnsi="Palatino Linotype" w:cs="Palatino Linotype"/>
          <w:color w:val="000000" w:themeColor="text1"/>
        </w:rPr>
      </w:pPr>
    </w:p>
    <w:p w:rsidR="00097E40" w:rsidRPr="00F65CBF" w:rsidRDefault="00097E40"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De igual modo, el recurrente adjunto un documento en que se advierten dos oficios y anexos, ya descritos en el párrafo 3.</w:t>
      </w:r>
    </w:p>
    <w:p w:rsidR="00097E40" w:rsidRPr="00F65CBF" w:rsidRDefault="00097E40" w:rsidP="00F65CBF">
      <w:pPr>
        <w:spacing w:line="360" w:lineRule="auto"/>
        <w:jc w:val="both"/>
        <w:rPr>
          <w:rFonts w:ascii="Palatino Linotype" w:eastAsia="Palatino Linotype" w:hAnsi="Palatino Linotype" w:cs="Palatino Linotype"/>
          <w:color w:val="000000" w:themeColor="text1"/>
        </w:rPr>
      </w:pPr>
    </w:p>
    <w:p w:rsidR="00097E40" w:rsidRPr="00F65CBF" w:rsidRDefault="00097E40"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Aun así, al encontrarnos frente a un derecho de petición, el Sujeto Obligado en aras de garantizar el derecho de acceso a la información, a través de informe justificado señaló turnar la solicitud de información derivado del medio de impugnación a la </w:t>
      </w:r>
      <w:r w:rsidRPr="00F65CBF">
        <w:rPr>
          <w:rFonts w:ascii="Palatino Linotype" w:eastAsia="Palatino Linotype" w:hAnsi="Palatino Linotype" w:cs="Palatino Linotype"/>
          <w:b/>
          <w:color w:val="000000" w:themeColor="text1"/>
        </w:rPr>
        <w:t>Dirección General de Personal</w:t>
      </w:r>
      <w:r w:rsidR="00B42C94" w:rsidRPr="00F65CBF">
        <w:rPr>
          <w:rFonts w:ascii="Palatino Linotype" w:eastAsia="Palatino Linotype" w:hAnsi="Palatino Linotype" w:cs="Palatino Linotype"/>
          <w:b/>
          <w:color w:val="000000" w:themeColor="text1"/>
        </w:rPr>
        <w:t xml:space="preserve">, </w:t>
      </w:r>
      <w:r w:rsidR="00B42C94" w:rsidRPr="00F65CBF">
        <w:rPr>
          <w:rFonts w:ascii="Palatino Linotype" w:eastAsia="Palatino Linotype" w:hAnsi="Palatino Linotype" w:cs="Palatino Linotype"/>
          <w:color w:val="000000" w:themeColor="text1"/>
        </w:rPr>
        <w:t>por lo que es de señalar lo que precisa la Ley Orgánica de la Administración Pública del Estado de México y el Reglamento Interior de la Oficialía Mayor:</w:t>
      </w:r>
    </w:p>
    <w:p w:rsidR="00B42C94" w:rsidRPr="00F65CBF" w:rsidRDefault="00B42C94" w:rsidP="00F65CBF">
      <w:pPr>
        <w:jc w:val="center"/>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Ley Orgánica de la Administración Pública del Estado de México</w:t>
      </w:r>
    </w:p>
    <w:p w:rsidR="00B42C94" w:rsidRPr="00F65CBF" w:rsidRDefault="00B42C94" w:rsidP="00F65CBF">
      <w:pPr>
        <w:jc w:val="center"/>
        <w:rPr>
          <w:rFonts w:ascii="Palatino Linotype" w:eastAsia="Palatino Linotype" w:hAnsi="Palatino Linotype" w:cs="Palatino Linotype"/>
          <w:b/>
          <w:i/>
          <w:color w:val="000000" w:themeColor="text1"/>
        </w:rPr>
      </w:pPr>
    </w:p>
    <w:p w:rsidR="00B42C94" w:rsidRPr="00F65CBF" w:rsidRDefault="00B42C94"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b/>
          <w:i/>
          <w:color w:val="000000" w:themeColor="text1"/>
        </w:rPr>
        <w:t xml:space="preserve">Artículo 58. La Oficialía Mayor </w:t>
      </w:r>
      <w:r w:rsidRPr="00F65CBF">
        <w:rPr>
          <w:rFonts w:ascii="Palatino Linotype" w:eastAsia="Palatino Linotype" w:hAnsi="Palatino Linotype" w:cs="Palatino Linotype"/>
          <w:i/>
          <w:color w:val="000000" w:themeColor="text1"/>
        </w:rPr>
        <w:t>es la encargada de planear, organizar, normar y dirigir la administración y desarrollo de los recursos humanos, materiales y servicios para el apoyo administrativo y tecnológico que requieran las dependencias del Poder Ejecutivo del Estado.</w:t>
      </w:r>
    </w:p>
    <w:p w:rsidR="00B42C94" w:rsidRPr="00F65CBF" w:rsidRDefault="00B42C94" w:rsidP="00F65CBF">
      <w:pPr>
        <w:jc w:val="both"/>
        <w:rPr>
          <w:rFonts w:ascii="Palatino Linotype" w:eastAsia="Palatino Linotype" w:hAnsi="Palatino Linotype" w:cs="Palatino Linotype"/>
          <w:i/>
          <w:color w:val="000000" w:themeColor="text1"/>
        </w:rPr>
      </w:pPr>
    </w:p>
    <w:p w:rsidR="00B42C94" w:rsidRPr="00F65CBF" w:rsidRDefault="00B42C94" w:rsidP="00F65CBF">
      <w:pP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Artículo 59. La Oficialía Mayor contará con las siguientes atribuciones:</w:t>
      </w:r>
    </w:p>
    <w:p w:rsidR="00B42C94" w:rsidRPr="00F65CBF" w:rsidRDefault="00B42C94" w:rsidP="00F65CBF">
      <w:pP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w:t>
      </w:r>
    </w:p>
    <w:p w:rsidR="00B42C94" w:rsidRPr="00F65CBF" w:rsidRDefault="00B42C94" w:rsidP="00F65CBF">
      <w:pPr>
        <w:jc w:val="both"/>
        <w:rPr>
          <w:rFonts w:ascii="Palatino Linotype" w:eastAsia="Palatino Linotype" w:hAnsi="Palatino Linotype" w:cs="Palatino Linotype"/>
          <w:b/>
          <w:i/>
          <w:color w:val="000000" w:themeColor="text1"/>
        </w:rPr>
      </w:pPr>
    </w:p>
    <w:p w:rsidR="00B42C94" w:rsidRPr="00F65CBF" w:rsidRDefault="00B42C94"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II. Instrumentar y vigilar el cumplimiento de las disposiciones legales de carácter administrativo, laboral, tecnológico y de manejo de información, así como las demás de su ramo, aplicables en el Estado; </w:t>
      </w:r>
    </w:p>
    <w:p w:rsidR="00B42C94" w:rsidRPr="00F65CBF" w:rsidRDefault="00B42C94"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III. Ejercer en el ámbito de su competencia las atribuciones derivadas de los convenios administrativos, laborales, tecnológicos y de manejo de información que celebre el Gobierno del Estado con el Gobierno Federal, con los gobiernos de otros estados de la República, con los gobiernos municipales y con organismos auxiliares; </w:t>
      </w:r>
    </w:p>
    <w:p w:rsidR="00B42C94" w:rsidRPr="00F65CBF" w:rsidRDefault="00B42C94"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IV. Proyectar y calcular el gasto anual requerido para las dependencias, por concepto de servicios personales, materiales, servicios y de inversión pública para someterlo a consideración de la persona </w:t>
      </w:r>
      <w:r w:rsidRPr="00F65CBF">
        <w:rPr>
          <w:rFonts w:ascii="Palatino Linotype" w:eastAsia="Palatino Linotype" w:hAnsi="Palatino Linotype" w:cs="Palatino Linotype"/>
          <w:i/>
          <w:color w:val="000000" w:themeColor="text1"/>
        </w:rPr>
        <w:lastRenderedPageBreak/>
        <w:t>titular del Poder Ejecutivo del Estado, que se entregará a la Secretaría de Finanzas para su incorporación en el Proyecto de Presupuesto de Egresos del Gobierno del Estado de México, con apego a los principios constitucionales de eficiencia, eficacia, economía, transparencia, honradez;</w:t>
      </w:r>
    </w:p>
    <w:p w:rsidR="00B42C94" w:rsidRPr="00F65CBF" w:rsidRDefault="00B42C94"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w:t>
      </w:r>
    </w:p>
    <w:p w:rsidR="00B42C94" w:rsidRPr="00F65CBF" w:rsidRDefault="00B42C94"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XXXVIII. Las demás que le señalen otras leyes, reglamentos y disposiciones jurídicas aplicables, así como las que le encomiende la persona titular del Poder Ejecutivo del Estado.</w:t>
      </w:r>
    </w:p>
    <w:p w:rsidR="00B42C94" w:rsidRPr="00F65CBF" w:rsidRDefault="00B42C94" w:rsidP="00F65CBF">
      <w:pPr>
        <w:jc w:val="both"/>
        <w:rPr>
          <w:rFonts w:ascii="Palatino Linotype" w:eastAsia="Palatino Linotype" w:hAnsi="Palatino Linotype" w:cs="Palatino Linotype"/>
          <w:b/>
          <w:i/>
          <w:color w:val="000000" w:themeColor="text1"/>
        </w:rPr>
      </w:pPr>
    </w:p>
    <w:p w:rsidR="00B42C94" w:rsidRPr="00F65CBF" w:rsidRDefault="00B42C94" w:rsidP="00F65CBF">
      <w:pPr>
        <w:jc w:val="both"/>
        <w:rPr>
          <w:rFonts w:ascii="Palatino Linotype" w:eastAsia="Palatino Linotype" w:hAnsi="Palatino Linotype" w:cs="Palatino Linotype"/>
          <w:b/>
          <w:i/>
          <w:color w:val="000000" w:themeColor="text1"/>
        </w:rPr>
      </w:pPr>
    </w:p>
    <w:p w:rsidR="00B42C94" w:rsidRPr="00F65CBF" w:rsidRDefault="00B42C94" w:rsidP="00F65CBF">
      <w:pPr>
        <w:jc w:val="center"/>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Reglamento Interior de la Oficialía Mayor</w:t>
      </w:r>
    </w:p>
    <w:p w:rsidR="00B42C94" w:rsidRPr="00F65CBF" w:rsidRDefault="00B42C94" w:rsidP="00F65CBF">
      <w:pPr>
        <w:jc w:val="center"/>
        <w:rPr>
          <w:rFonts w:ascii="Palatino Linotype" w:eastAsia="Palatino Linotype" w:hAnsi="Palatino Linotype" w:cs="Palatino Linotype"/>
          <w:b/>
          <w:i/>
          <w:color w:val="000000" w:themeColor="text1"/>
        </w:rPr>
      </w:pPr>
    </w:p>
    <w:p w:rsidR="00B42C94" w:rsidRPr="00F65CBF" w:rsidRDefault="00B42C94"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b/>
          <w:i/>
          <w:color w:val="000000" w:themeColor="text1"/>
        </w:rPr>
        <w:t>Artículo 2</w:t>
      </w:r>
      <w:r w:rsidRPr="00F65CBF">
        <w:rPr>
          <w:rFonts w:ascii="Palatino Linotype" w:eastAsia="Palatino Linotype" w:hAnsi="Palatino Linotype" w:cs="Palatino Linotype"/>
          <w:i/>
          <w:color w:val="000000" w:themeColor="text1"/>
        </w:rPr>
        <w:t xml:space="preserve">. La </w:t>
      </w:r>
      <w:r w:rsidRPr="00F65CBF">
        <w:rPr>
          <w:rFonts w:ascii="Palatino Linotype" w:eastAsia="Palatino Linotype" w:hAnsi="Palatino Linotype" w:cs="Palatino Linotype"/>
          <w:b/>
          <w:i/>
          <w:color w:val="000000" w:themeColor="text1"/>
        </w:rPr>
        <w:t>Oficialía Mayor</w:t>
      </w:r>
      <w:r w:rsidRPr="00F65CBF">
        <w:rPr>
          <w:rFonts w:ascii="Palatino Linotype" w:eastAsia="Palatino Linotype" w:hAnsi="Palatino Linotype" w:cs="Palatino Linotype"/>
          <w:i/>
          <w:color w:val="000000" w:themeColor="text1"/>
        </w:rPr>
        <w:t xml:space="preserve"> tiene a su cargo el despacho de los asuntos que le encomiendan la Ley Orgánica de la Administración Pública del Estado de México y las demás disposiciones jurídicas que le resulten aplicables. Asimismo, la Oficialía Mayor asumirá los compromisos y las obligaciones que establezcan los acuerdos, convenios o contratos que suscriba el Gobierno del Estado de México, con los gobiernos Federal, estatales y municipales en las materias que se encuentren en el ámbito de su competencia.</w:t>
      </w:r>
    </w:p>
    <w:p w:rsidR="00A90417" w:rsidRPr="00F65CBF" w:rsidRDefault="00A90417" w:rsidP="00F65CBF">
      <w:pPr>
        <w:jc w:val="both"/>
        <w:rPr>
          <w:rFonts w:ascii="Palatino Linotype" w:eastAsia="Palatino Linotype" w:hAnsi="Palatino Linotype" w:cs="Palatino Linotype"/>
          <w:i/>
          <w:color w:val="000000" w:themeColor="text1"/>
        </w:rPr>
      </w:pPr>
    </w:p>
    <w:p w:rsidR="00A90417" w:rsidRPr="00F65CBF" w:rsidRDefault="00A90417"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b/>
          <w:i/>
          <w:color w:val="000000" w:themeColor="text1"/>
        </w:rPr>
        <w:t>Artículo 4</w:t>
      </w:r>
      <w:r w:rsidRPr="00F65CBF">
        <w:rPr>
          <w:rFonts w:ascii="Palatino Linotype" w:eastAsia="Palatino Linotype" w:hAnsi="Palatino Linotype" w:cs="Palatino Linotype"/>
          <w:i/>
          <w:color w:val="000000" w:themeColor="text1"/>
        </w:rPr>
        <w:t xml:space="preserve">. Para el estudio, planeación y atención de los asuntos de su competencia, al frente de la Oficialía Mayor estará una persona titular quien se auxiliará de las unidades administrativas siguientes: </w:t>
      </w:r>
    </w:p>
    <w:p w:rsidR="00A90417" w:rsidRPr="00F65CBF" w:rsidRDefault="00A90417" w:rsidP="00F65CBF">
      <w:pPr>
        <w:jc w:val="both"/>
        <w:rPr>
          <w:rFonts w:ascii="Palatino Linotype" w:eastAsia="Palatino Linotype" w:hAnsi="Palatino Linotype" w:cs="Palatino Linotype"/>
          <w:i/>
          <w:color w:val="000000" w:themeColor="text1"/>
        </w:rPr>
      </w:pPr>
    </w:p>
    <w:p w:rsidR="00A90417" w:rsidRPr="00F65CBF" w:rsidRDefault="00A90417"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 Dirección General de Recursos Materiales; </w:t>
      </w:r>
    </w:p>
    <w:p w:rsidR="00A90417" w:rsidRPr="00F65CBF" w:rsidRDefault="00A90417" w:rsidP="00F65CBF">
      <w:pP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 xml:space="preserve">II. Dirección General de Personal; </w:t>
      </w:r>
    </w:p>
    <w:p w:rsidR="00817E38" w:rsidRPr="00F65CBF" w:rsidRDefault="00A90417"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III. Dirección General de Innovación; </w:t>
      </w:r>
    </w:p>
    <w:p w:rsidR="00817E38" w:rsidRPr="00F65CBF" w:rsidRDefault="00A90417"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IV. Coordinación de Servicios Auxiliares a Contingencias y Emergencias; </w:t>
      </w:r>
    </w:p>
    <w:p w:rsidR="00817E38" w:rsidRPr="00F65CBF" w:rsidRDefault="00A90417"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V. Coordinación Administrativa; y, </w:t>
      </w:r>
    </w:p>
    <w:p w:rsidR="00A90417" w:rsidRPr="00F65CBF" w:rsidRDefault="00A90417"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VI. Coordinación Jurídica, de Igualdad de Género y Erradicación de la Violencia.</w:t>
      </w:r>
    </w:p>
    <w:p w:rsidR="00B42C94"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w:t>
      </w:r>
    </w:p>
    <w:p w:rsidR="00817E38" w:rsidRPr="00F65CBF" w:rsidRDefault="00817E38" w:rsidP="00F65CBF">
      <w:pPr>
        <w:jc w:val="both"/>
        <w:rPr>
          <w:rFonts w:ascii="Palatino Linotype" w:eastAsia="Palatino Linotype" w:hAnsi="Palatino Linotype" w:cs="Palatino Linotype"/>
          <w:i/>
          <w:color w:val="000000" w:themeColor="text1"/>
        </w:rPr>
      </w:pP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b/>
          <w:i/>
          <w:color w:val="000000" w:themeColor="text1"/>
        </w:rPr>
        <w:t>Artículo 10</w:t>
      </w:r>
      <w:r w:rsidRPr="00F65CBF">
        <w:rPr>
          <w:rFonts w:ascii="Palatino Linotype" w:eastAsia="Palatino Linotype" w:hAnsi="Palatino Linotype" w:cs="Palatino Linotype"/>
          <w:i/>
          <w:color w:val="000000" w:themeColor="text1"/>
        </w:rPr>
        <w:t xml:space="preserve">. Corresponden a la </w:t>
      </w:r>
      <w:r w:rsidRPr="00F65CBF">
        <w:rPr>
          <w:rFonts w:ascii="Palatino Linotype" w:eastAsia="Palatino Linotype" w:hAnsi="Palatino Linotype" w:cs="Palatino Linotype"/>
          <w:b/>
          <w:i/>
          <w:color w:val="000000" w:themeColor="text1"/>
        </w:rPr>
        <w:t>Dirección General de Personal</w:t>
      </w:r>
      <w:r w:rsidRPr="00F65CBF">
        <w:rPr>
          <w:rFonts w:ascii="Palatino Linotype" w:eastAsia="Palatino Linotype" w:hAnsi="Palatino Linotype" w:cs="Palatino Linotype"/>
          <w:i/>
          <w:color w:val="000000" w:themeColor="text1"/>
        </w:rPr>
        <w:t xml:space="preserve"> las atribuciones siguientes:</w:t>
      </w:r>
    </w:p>
    <w:p w:rsidR="00817E38" w:rsidRPr="00F65CBF" w:rsidRDefault="00817E38" w:rsidP="00F65CBF">
      <w:pPr>
        <w:jc w:val="both"/>
        <w:rPr>
          <w:rFonts w:ascii="Palatino Linotype" w:eastAsia="Palatino Linotype" w:hAnsi="Palatino Linotype" w:cs="Palatino Linotype"/>
          <w:i/>
          <w:color w:val="000000" w:themeColor="text1"/>
        </w:rPr>
      </w:pP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 Proponer, desarrollar y coordinar, con la Secretaría de Finanzas, la operación y el control del Sistema Integral de Movimientos al Personal, así como las tecnologías de la información y comunicación que se requieran para el correcto desarrollo de sus funciones;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II. Aplicar las disposiciones legales y normativas en materia de desarrollo y administración de personal para las personas servidoras públicas del sector central del Poder Ejecutivo;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lastRenderedPageBreak/>
        <w:t xml:space="preserve">III. Proponer a la persona titular de la Oficialía Mayor los lineamientos que en materia de personal deben observar las dependencias y los organismos auxiliares del Poder Ejecutivo del Gobierno del Estado de México;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IV. Observar el cumplimiento de los convenios que rigen las relaciones de trabajo entre el Poder Ejecutivo del Gobierno del Estado y las personas servidoras públicas;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V. Elaborar, actualizar y difundir, en el ámbito de su competencia, las disposiciones procedimentales contenidas en el Manual de Normas y Procedimientos de Desarrollo y Administración de Personal, previa autorización de la Oficialía Mayor;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VI. Elaborar y someter a la consideración de la persona Titular de la Oficialía Mayor, la estrategia y acciones que orienten la política salarial del Poder Ejecutivo del Gobierno del Estado; </w:t>
      </w:r>
    </w:p>
    <w:p w:rsidR="00817E38" w:rsidRPr="00F65CBF" w:rsidRDefault="00817E38" w:rsidP="00F65CBF">
      <w:pP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t xml:space="preserve">VII. Aplicar las disposiciones que norman la remuneración y prestaciones que deban otorgarse a las personas servidoras públicas del Poder Ejecutivo del Gobierno del Estado, en concordancia con las estructuras orgánico-funcionales y los catálogos de puestos aprobados;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VIII. Ejecutar las acciones relativas al registro de personas aspirantes en el sistema de cartera de empleo, al reclutamiento y selección de personal, a la inducción del personal de nuevo ingreso y al procedimiento de concurso escalafonario de las personas servidoras públicas generales del sector central del Poder Ejecutivo del Estado, con base en las disposiciones jurídicas aplicables;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IX. Proporcionar a las personas servidoras públicas del sector central de la administración pública estatal, constancias y documentos para su identificación;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 Otorgar a las personas servidoras públicas en activo del Poder Ejecutivo del Gobierno del Estado, a los que hayan causado baja, así como a sus beneficiarios, acreedores alimentarios, las prestaciones socioeconómicas, que en su caso les correspondan; </w:t>
      </w:r>
    </w:p>
    <w:p w:rsidR="00B42C94"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XI. Aplicar las políticas de estímulos y recompensas para las personas servidoras públicas de los poderes Legislativo, Ejecutivo y Judicial del Gobierno del Estado;</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XII. Coordinar acciones con la Dirección General de Recaudación de la Secretaría de Finanzas para que, en forma oportuna, se entreguen los documentos de percepciones a las personas servidoras públicas del Poder Ejecutivo del Estado, cuando esta dirección actúe como centro de pago;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XIII. Formular y mantener actualizados los catálogos de puestos y los tabuladores de sueldos del Poder Ejecutivo del Gobierno del Estado;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XIV. Realizar la actualización de las plantillas de plazas y contratos por tiempo determinado de las dependencias y organismos auxiliares del Poder Ejecutivo del Gobierno del Estado, de acuerdo con la normatividad en la materia;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XV. Presentar a la persona Titular de la Oficialía Mayor para su suscripción, los nombramientos de las personas servidoras públicas que ocupen puestos de igual o mayor jerarquía a los de nivel de dirección general en el Poder Ejecutivo del Gobierno del Estado;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lastRenderedPageBreak/>
        <w:t xml:space="preserve">XVI. Suscribir los nombramientos de las personas servidoras públicas que ocupen un puesto de igual o menor jerarquía al de dirección de área, y los correspondientes a las personas servidoras públicas de enlace y apoyo técnico de las dependencias del Poder Ejecutivo del Gobierno del Estado;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XVII. Registrar, procesar y validar los movimientos centralizados de las personas servidoras públicas de las dependencias del Poder Ejecutivo del Gobierno del Estado;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XVIII. Autorizar los finiquitos a que tengan derecho las personas servidoras públicas de las dependencias del Poder Ejecutivo, conforme a lo dispuesto por la legislación aplicable;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XIX. Formular y aplicar normas, políticas y procedimientos relativos a la generación de la cartera de empleo, al reclutamiento y a la selección de personal, a la inducción del personal de nuevo ingreso, al procedimiento de concurso escalafonario, así como a la evaluación del desempeño y a la medición del clima y cultura laboral de las personas servidoras públicas de las dependencias del Poder Ejecutivo del Estado y someterlas a la consideración de la persona Titular de la Oficialía Mayor;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 Implementar y fomentar, de manera unilateral o en coordinación con otras instituciones públicas o privadas, actividades culturales, deportivas, educativas, de recreación y esparcimiento, para las personas servidoras públicas del sector central del Poder Ejecutivo del Gobierno del Estado de México y sus familias, con la finalidad de propiciar un ambiente laboral positivo y la integración familiar;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XXI. Mantener comunicación permanente con las organizaciones sindicales que agremian a las personas servidoras públicas del Poder Ejecutivo del Gobierno del Estado, fomentando un clima laboral armónico y profesional;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XXII. Coordinar y ejecutar las acciones tendentes a llevar a cabo la evaluación del desempeño y la medición del clima y de la cultura laboral de las personas servidoras públicas de las dependencias del Poder Ejecutivo del Gobierno del Estado, con la participación que corresponde a éstas, a través de sus coordinaciones administrativas o equivalentes, e informarles de los resultados que se obtengan de dichas evaluaciones y mediciones para que implementen las acciones de mejora que correspondan;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XXIII. Establecer y dar cumplimiento al sistema de ascenso escalafonario, en coordinación con las instancias competentes y en términos de la normatividad aplicable;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XXIV. Presentar para su aprobación a la persona titular de la Oficialía Mayor, el calendario oficial de labores que rija a las dependencias del Poder Ejecutivo del Gobierno del Estado el año que corresponda;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XXV. Emitir opiniones, en su ámbito competencial, sobre la procedencia de derechos y obligaciones de las personas servidoras públicas del Poder Ejecutivo del Gobierno del Estado;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XXVI. Establecer de manera conjunta con la representación legal de la Oficialía Mayor, mecanismos de solución de controversias, previos a un procedimiento laboral jurisdiccional, en conflictos laborales que surjan entre las personas servidoras públicas y las dependencias del Poder Ejecutivo del Gobierno del Estado; </w:t>
      </w:r>
    </w:p>
    <w:p w:rsidR="009122CA" w:rsidRPr="00F65CBF" w:rsidRDefault="00817E38" w:rsidP="00F65CBF">
      <w:pPr>
        <w:jc w:val="both"/>
        <w:rPr>
          <w:rFonts w:ascii="Palatino Linotype" w:eastAsia="Palatino Linotype" w:hAnsi="Palatino Linotype" w:cs="Palatino Linotype"/>
          <w:b/>
          <w:i/>
          <w:color w:val="000000" w:themeColor="text1"/>
        </w:rPr>
      </w:pPr>
      <w:r w:rsidRPr="00F65CBF">
        <w:rPr>
          <w:rFonts w:ascii="Palatino Linotype" w:eastAsia="Palatino Linotype" w:hAnsi="Palatino Linotype" w:cs="Palatino Linotype"/>
          <w:b/>
          <w:i/>
          <w:color w:val="000000" w:themeColor="text1"/>
        </w:rPr>
        <w:lastRenderedPageBreak/>
        <w:t xml:space="preserve">XXVII. Supervisar, en su caso, que las coordinaciones administrativas de las dependencias efectúen el correcto cumplimiento de las disposiciones en materia de desarrollo y administración de personal;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XXVIII. Dar seguimiento de manera conjunta con la representación legal de la Oficialía Mayor, a los asuntos laborales de las personas servidoras públicas de las dependencias y de los organismos auxiliares del Poder Ejecutivo del Gobierno del Estado, conforme a lo dispuesto por la legislación aplicable;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XXIX. Proyectar y calcular el gasto anual requerido para las dependencias, por concepto de servicios personales;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XXX. Dirigir, vigilar y controlar la selección y contratación del personal adscrito a las dependencias del Poder Ejecutivo del Estado; </w:t>
      </w:r>
    </w:p>
    <w:p w:rsidR="009122CA"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XXXI. Gestionar los nombramientos, remociones, renuncias, licencias y jubilaciones de las personas servidoras públicas del Poder Ejecutivo del Estado, y en su caso de sus organismos auxiliares; apegado a las disposiciones legales vigentes, y </w:t>
      </w:r>
    </w:p>
    <w:p w:rsidR="00817E38" w:rsidRPr="00F65CBF" w:rsidRDefault="00817E38"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XXXII. Las demás que le señalen otros ordenamientos jurídicos y aquellas que le encomiende la persona titular de la Oficialía Mayor.</w:t>
      </w:r>
    </w:p>
    <w:p w:rsidR="00762825" w:rsidRPr="00F65CBF" w:rsidRDefault="00762825" w:rsidP="00F65CBF">
      <w:pPr>
        <w:spacing w:line="360" w:lineRule="auto"/>
        <w:jc w:val="both"/>
        <w:rPr>
          <w:rFonts w:ascii="Palatino Linotype" w:hAnsi="Palatino Linotype"/>
          <w:color w:val="000000" w:themeColor="text1"/>
        </w:rPr>
      </w:pPr>
    </w:p>
    <w:p w:rsidR="0020369F" w:rsidRPr="00F65CBF" w:rsidRDefault="009122CA"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De lo expuesto, l</w:t>
      </w:r>
      <w:r w:rsidR="001E21FA" w:rsidRPr="00F65CBF">
        <w:rPr>
          <w:rFonts w:ascii="Palatino Linotype" w:eastAsia="Palatino Linotype" w:hAnsi="Palatino Linotype" w:cs="Palatino Linotype"/>
          <w:color w:val="000000" w:themeColor="text1"/>
        </w:rPr>
        <w:t xml:space="preserve">a </w:t>
      </w:r>
      <w:r w:rsidRPr="00F65CBF">
        <w:rPr>
          <w:rFonts w:ascii="Palatino Linotype" w:eastAsia="Palatino Linotype" w:hAnsi="Palatino Linotype" w:cs="Palatino Linotype"/>
          <w:b/>
          <w:color w:val="000000" w:themeColor="text1"/>
        </w:rPr>
        <w:t>Oficialía Mayor</w:t>
      </w:r>
      <w:r w:rsidR="001E21FA"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es la encargada de planear, organizar, normar y dirigir la administración y desarrollo de los recursos humanos, materiales y servicios para el apoyo administrativo y tecnológico que requieran las dependencias del Poder Ejecutivo del Estado</w:t>
      </w:r>
      <w:r w:rsidRPr="00F65CBF">
        <w:rPr>
          <w:rFonts w:ascii="Palatino Linotype" w:eastAsia="Palatino Linotype" w:hAnsi="Palatino Linotype" w:cs="Palatino Linotype"/>
          <w:b/>
          <w:color w:val="000000" w:themeColor="text1"/>
        </w:rPr>
        <w:t xml:space="preserve">, </w:t>
      </w:r>
      <w:r w:rsidRPr="00F65CBF">
        <w:rPr>
          <w:rFonts w:ascii="Palatino Linotype" w:eastAsia="Palatino Linotype" w:hAnsi="Palatino Linotype" w:cs="Palatino Linotype"/>
          <w:color w:val="000000" w:themeColor="text1"/>
        </w:rPr>
        <w:t xml:space="preserve">y a través de su </w:t>
      </w:r>
      <w:r w:rsidRPr="00F65CBF">
        <w:rPr>
          <w:rFonts w:ascii="Palatino Linotype" w:eastAsia="Palatino Linotype" w:hAnsi="Palatino Linotype" w:cs="Palatino Linotype"/>
          <w:b/>
          <w:color w:val="000000" w:themeColor="text1"/>
        </w:rPr>
        <w:t>Dirección General de Desarrollo de Personal</w:t>
      </w:r>
      <w:r w:rsidRPr="00F65CBF">
        <w:rPr>
          <w:rFonts w:ascii="Palatino Linotype" w:eastAsia="Palatino Linotype" w:hAnsi="Palatino Linotype" w:cs="Palatino Linotype"/>
          <w:color w:val="000000" w:themeColor="text1"/>
        </w:rPr>
        <w:t xml:space="preserve"> tiene entre sus atribuciones la de </w:t>
      </w:r>
      <w:r w:rsidR="003778C7" w:rsidRPr="00F65CBF">
        <w:rPr>
          <w:rFonts w:ascii="Palatino Linotype" w:eastAsia="Palatino Linotype" w:hAnsi="Palatino Linotype" w:cs="Palatino Linotype"/>
          <w:color w:val="000000" w:themeColor="text1"/>
        </w:rPr>
        <w:t>a</w:t>
      </w:r>
      <w:r w:rsidRPr="00F65CBF">
        <w:rPr>
          <w:rFonts w:ascii="Palatino Linotype" w:eastAsia="Palatino Linotype" w:hAnsi="Palatino Linotype" w:cs="Palatino Linotype"/>
          <w:color w:val="000000" w:themeColor="text1"/>
        </w:rPr>
        <w:t>plicar las disposiciones que norman la remuneración y prestaciones que deban otorgarse a las personas servidoras públicas del Poder Ejecutivo del Gobierno del Estado, en concordancia con las estructuras orgánico-funcionales y los catálogos de puestos aprobados</w:t>
      </w:r>
      <w:r w:rsidR="003778C7" w:rsidRPr="00F65CBF">
        <w:rPr>
          <w:rFonts w:ascii="Palatino Linotype" w:eastAsia="Palatino Linotype" w:hAnsi="Palatino Linotype" w:cs="Palatino Linotype"/>
          <w:color w:val="000000" w:themeColor="text1"/>
        </w:rPr>
        <w:t>.</w:t>
      </w:r>
    </w:p>
    <w:p w:rsidR="0020369F" w:rsidRPr="00F65CBF" w:rsidRDefault="0020369F" w:rsidP="00F65CBF">
      <w:pPr>
        <w:spacing w:line="360" w:lineRule="auto"/>
        <w:jc w:val="both"/>
        <w:rPr>
          <w:rFonts w:ascii="Palatino Linotype" w:eastAsia="Palatino Linotype" w:hAnsi="Palatino Linotype" w:cs="Palatino Linotype"/>
          <w:color w:val="000000" w:themeColor="text1"/>
        </w:rPr>
      </w:pPr>
    </w:p>
    <w:p w:rsidR="0020369F" w:rsidRPr="00F65CBF" w:rsidRDefault="001E21FA"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t xml:space="preserve">De lo expuesto es de precisar que </w:t>
      </w:r>
      <w:r w:rsidR="003778C7" w:rsidRPr="00F65CBF">
        <w:rPr>
          <w:rFonts w:ascii="Palatino Linotype" w:eastAsia="Palatino Linotype" w:hAnsi="Palatino Linotype" w:cs="Palatino Linotype"/>
          <w:color w:val="000000" w:themeColor="text1"/>
        </w:rPr>
        <w:t xml:space="preserve">si en un primer momento el Sujeto Obligado se declaró incompetente, en una etapa posterior emitió pronunciamiento por </w:t>
      </w:r>
      <w:r w:rsidRPr="00F65CBF">
        <w:rPr>
          <w:rFonts w:ascii="Palatino Linotype" w:eastAsia="Palatino Linotype" w:hAnsi="Palatino Linotype" w:cs="Palatino Linotype"/>
          <w:color w:val="000000" w:themeColor="text1"/>
        </w:rPr>
        <w:t xml:space="preserve">la </w:t>
      </w:r>
      <w:r w:rsidR="003778C7" w:rsidRPr="00F65CBF">
        <w:rPr>
          <w:rFonts w:ascii="Palatino Linotype" w:eastAsia="Palatino Linotype" w:hAnsi="Palatino Linotype" w:cs="Palatino Linotype"/>
          <w:b/>
          <w:color w:val="000000" w:themeColor="text1"/>
        </w:rPr>
        <w:t>Dirección General de Desarrollo de Personal</w:t>
      </w:r>
      <w:r w:rsidRPr="00F65CBF">
        <w:rPr>
          <w:rFonts w:ascii="Palatino Linotype" w:eastAsia="Palatino Linotype" w:hAnsi="Palatino Linotype" w:cs="Palatino Linotype"/>
          <w:color w:val="000000" w:themeColor="text1"/>
        </w:rPr>
        <w:t xml:space="preserve">, por lo que podemos advertir que </w:t>
      </w:r>
      <w:r w:rsidRPr="00F65CBF">
        <w:rPr>
          <w:rFonts w:ascii="Palatino Linotype" w:eastAsia="Palatino Linotype" w:hAnsi="Palatino Linotype" w:cs="Palatino Linotype"/>
          <w:b/>
          <w:color w:val="000000" w:themeColor="text1"/>
        </w:rPr>
        <w:t xml:space="preserve">EL SUJETO OBLIGADO </w:t>
      </w:r>
      <w:r w:rsidRPr="00F65CBF">
        <w:rPr>
          <w:rFonts w:ascii="Palatino Linotype" w:eastAsia="Palatino Linotype" w:hAnsi="Palatino Linotype" w:cs="Palatino Linotype"/>
          <w:color w:val="000000" w:themeColor="text1"/>
        </w:rPr>
        <w:t xml:space="preserve">siguió el procedimiento inmerso en la normatividad aplicable, ya que turnó el </w:t>
      </w:r>
      <w:r w:rsidRPr="00F65CBF">
        <w:rPr>
          <w:rFonts w:ascii="Palatino Linotype" w:eastAsia="Palatino Linotype" w:hAnsi="Palatino Linotype" w:cs="Palatino Linotype"/>
          <w:color w:val="000000" w:themeColor="text1"/>
        </w:rPr>
        <w:lastRenderedPageBreak/>
        <w:t>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20369F" w:rsidRPr="00F65CBF" w:rsidRDefault="001E21FA"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b/>
          <w:i/>
          <w:color w:val="000000" w:themeColor="text1"/>
        </w:rPr>
        <w:t>XXXIX.</w:t>
      </w:r>
      <w:r w:rsidRPr="00F65CBF">
        <w:rPr>
          <w:rFonts w:ascii="Palatino Linotype" w:eastAsia="Palatino Linotype" w:hAnsi="Palatino Linotype" w:cs="Palatino Linotype"/>
          <w:i/>
          <w:color w:val="000000" w:themeColor="text1"/>
        </w:rPr>
        <w:t xml:space="preserve"> </w:t>
      </w:r>
      <w:r w:rsidRPr="00F65CBF">
        <w:rPr>
          <w:rFonts w:ascii="Palatino Linotype" w:eastAsia="Palatino Linotype" w:hAnsi="Palatino Linotype" w:cs="Palatino Linotype"/>
          <w:b/>
          <w:i/>
          <w:color w:val="000000" w:themeColor="text1"/>
        </w:rPr>
        <w:t>Servidor público habilitado</w:t>
      </w:r>
      <w:r w:rsidRPr="00F65CBF">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0369F" w:rsidRPr="00F65CBF" w:rsidRDefault="0020369F" w:rsidP="00F65CBF">
      <w:pPr>
        <w:spacing w:line="360" w:lineRule="auto"/>
        <w:jc w:val="both"/>
        <w:rPr>
          <w:rFonts w:ascii="Palatino Linotype" w:eastAsia="Palatino Linotype" w:hAnsi="Palatino Linotype" w:cs="Palatino Linotype"/>
          <w:color w:val="000000" w:themeColor="text1"/>
        </w:rPr>
      </w:pPr>
    </w:p>
    <w:p w:rsidR="0020369F" w:rsidRPr="00F65CBF" w:rsidRDefault="001E21FA" w:rsidP="00F65CBF">
      <w:pPr>
        <w:numPr>
          <w:ilvl w:val="0"/>
          <w:numId w:val="3"/>
        </w:numPr>
        <w:spacing w:line="360" w:lineRule="auto"/>
        <w:ind w:left="0" w:firstLine="0"/>
        <w:jc w:val="both"/>
        <w:rPr>
          <w:rFonts w:ascii="Palatino Linotype" w:hAnsi="Palatino Linotype"/>
          <w:color w:val="000000" w:themeColor="text1"/>
        </w:rPr>
      </w:pPr>
      <w:r w:rsidRPr="00F65CBF">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20369F" w:rsidRPr="00F65CBF" w:rsidRDefault="001E21FA" w:rsidP="00F65CBF">
      <w:pP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w:t>
      </w:r>
      <w:r w:rsidRPr="00F65CBF">
        <w:rPr>
          <w:rFonts w:ascii="Palatino Linotype" w:eastAsia="Palatino Linotype" w:hAnsi="Palatino Linotype" w:cs="Palatino Linotype"/>
          <w:b/>
          <w:i/>
          <w:color w:val="000000" w:themeColor="text1"/>
        </w:rPr>
        <w:t>Artículo 162.</w:t>
      </w:r>
      <w:r w:rsidRPr="00F65CBF">
        <w:rPr>
          <w:rFonts w:ascii="Palatino Linotype" w:eastAsia="Palatino Linotype" w:hAnsi="Palatino Linotype" w:cs="Palatino Linotype"/>
          <w:i/>
          <w:color w:val="000000" w:themeColor="text1"/>
        </w:rPr>
        <w:t xml:space="preserve"> Las unidades de transparencia deberán garantizar que las solicitudes se turnen a </w:t>
      </w:r>
      <w:r w:rsidRPr="00F65CBF">
        <w:rPr>
          <w:rFonts w:ascii="Palatino Linotype" w:eastAsia="Palatino Linotype" w:hAnsi="Palatino Linotype" w:cs="Palatino Linotype"/>
          <w:b/>
          <w:i/>
          <w:color w:val="000000" w:themeColor="text1"/>
        </w:rPr>
        <w:t>todas las Áreas competentes</w:t>
      </w:r>
      <w:r w:rsidRPr="00F65CBF">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20369F" w:rsidRPr="00F65CBF" w:rsidRDefault="0020369F" w:rsidP="00F65CBF">
      <w:pPr>
        <w:spacing w:line="360" w:lineRule="auto"/>
        <w:jc w:val="both"/>
        <w:rPr>
          <w:rFonts w:ascii="Palatino Linotype" w:eastAsia="Palatino Linotype" w:hAnsi="Palatino Linotype" w:cs="Palatino Linotype"/>
          <w:color w:val="000000" w:themeColor="text1"/>
        </w:rPr>
      </w:pPr>
    </w:p>
    <w:p w:rsidR="0020369F" w:rsidRPr="00F65CBF" w:rsidRDefault="00DE5FEE"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Dicho lo anterior, se reitera que, s</w:t>
      </w:r>
      <w:r w:rsidRPr="00F65CBF">
        <w:rPr>
          <w:rFonts w:ascii="Palatino Linotype" w:eastAsia="Palatino Linotype" w:hAnsi="Palatino Linotype" w:cs="Palatino Linotype"/>
          <w:b/>
          <w:color w:val="000000" w:themeColor="text1"/>
        </w:rPr>
        <w:t>i bien nos encontrarnos frente a un derecho de petición</w:t>
      </w:r>
      <w:r w:rsidRPr="00F65CBF">
        <w:rPr>
          <w:rFonts w:ascii="Palatino Linotype" w:eastAsia="Palatino Linotype" w:hAnsi="Palatino Linotype" w:cs="Palatino Linotype"/>
          <w:color w:val="000000" w:themeColor="text1"/>
        </w:rPr>
        <w:t>, el Sujeto Obligado a través de informe justificado el Titular de la Unidad de Transparencia refirió que el al servidor público habilitado de la Dirección General de Personal informó lo siguiente:</w:t>
      </w:r>
    </w:p>
    <w:p w:rsidR="00DE5FEE" w:rsidRPr="00F65CBF" w:rsidRDefault="00DE5FE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“Al respecto y conforme a lo dispuesto por el artículo 59 fracción III de la Ley de Transparencia y Acceso a la Información Pública del Estado de México y Municipios, me permito comentar a usted que después de realizar el análisis correspondiente, se informa que con fundamento en el artículo 54, fracción I del Presupuesto de Egresos del Gobierno del Estado de México para el Ejercicio Fiscal 2025, así como Anexo XIV del mismo ordenamiento, donde se establece que la operación de los Colegios de Educación Media Superior y Superior descentralizados, como es el caso del CECyTEM, está sujeta a </w:t>
      </w:r>
      <w:r w:rsidRPr="00F65CBF">
        <w:rPr>
          <w:rFonts w:ascii="Palatino Linotype" w:eastAsia="Palatino Linotype" w:hAnsi="Palatino Linotype" w:cs="Palatino Linotype"/>
          <w:i/>
          <w:color w:val="000000" w:themeColor="text1"/>
        </w:rPr>
        <w:lastRenderedPageBreak/>
        <w:t xml:space="preserve">una aportación paritaria 50% estatal y 50% federal. Por lo tanto, para que proceda cualquier ajuste salarial, las plazas involucradas deben estar debidamente reconocidas dentro de los Catálogos de Puestos y Tabuladores de Sueldos autorizados por la Secretaría de Educación Pública, a través de la Dirección General de Recursos Humanos y Organización. </w:t>
      </w:r>
    </w:p>
    <w:p w:rsidR="00DE5FEE" w:rsidRPr="00F65CBF" w:rsidRDefault="00DE5FE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DE5FEE" w:rsidRPr="00F65CBF" w:rsidRDefault="00DE5FE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Cabe señalar que, conforme al marco de colaboración institucional, la Dirección General de Personal emite tabuladores específicos para el CECYTEM, los cuales se elaboran con base en los tabuladores federales previamente autorizados. En este sentido, se precisa que las plazas que motivan la solicitud de incremento salarial no se encuentran reflejadas en dichos tabuladores, razón por la cual no es posible autorizar incremento salarial alguno, en apego a la normatividad vigente y al principio de legalidad presupuestal. </w:t>
      </w:r>
    </w:p>
    <w:p w:rsidR="00DE5FEE" w:rsidRPr="00F65CBF" w:rsidRDefault="00DE5FE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DE5FEE" w:rsidRPr="00F65CBF" w:rsidRDefault="00DE5FE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En virtud de lo anterior, las plazas de creación 100% estatal que no se encuentren incluidas en los tabuladores federales o en sus versiones homologadas estatales, no pueden ser consideradas para incrementos salariales en el marco del esquema paritario de financiamiento, resultando así improcedente su autorización.” (Sic)</w:t>
      </w:r>
    </w:p>
    <w:p w:rsidR="00877484" w:rsidRPr="00F65CBF" w:rsidRDefault="00877484"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DE5FEE" w:rsidRPr="00F65CBF" w:rsidRDefault="00877484"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Por lo anterior es de citar lo que establece el Presupuesto de Egresos del Gobierno del Estado de México para el Ejercicio Fiscal 2025, establece lo siguiente:</w:t>
      </w:r>
    </w:p>
    <w:p w:rsidR="003C7556" w:rsidRPr="00F65CBF" w:rsidRDefault="003C7556"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b/>
          <w:i/>
          <w:color w:val="000000" w:themeColor="text1"/>
        </w:rPr>
        <w:t>Artículo 54</w:t>
      </w:r>
      <w:r w:rsidRPr="00F65CBF">
        <w:rPr>
          <w:rFonts w:ascii="Palatino Linotype" w:eastAsia="Palatino Linotype" w:hAnsi="Palatino Linotype" w:cs="Palatino Linotype"/>
          <w:i/>
          <w:color w:val="000000" w:themeColor="text1"/>
        </w:rPr>
        <w:t xml:space="preserve">. Las Dependencias y Entidades Públicas en el ejercicio de sus asignaciones presupuestarias, por concepto de servicios personales, deberán atender lo siguiente: </w:t>
      </w:r>
    </w:p>
    <w:p w:rsidR="003C7556" w:rsidRPr="00F65CBF" w:rsidRDefault="003C7556"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3C7556" w:rsidRPr="00F65CBF" w:rsidRDefault="003C7556"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I. Aplicar estrictamente los tabuladores de sueldo aprobados, aplicando la normatividad de la Entidad y disposiciones federales que regulan las deducciones vigentes, así como lo dispuesto en el Acuerdo de compatibilidad de plazas y demás asignaciones autorizadas, evitando adicionar otras prestaciones o conceptos para conformar las remuneraciones de los servidores públicos a excepción a lo señalado en el artículo 82 de la Ley del Trabajo de los Servidores Públicos del Estado y Municipios; en el caso de las Dependencias y Entidades Públicas que reciban subsidio federal para el pago de servicios personales, con revisión y autorización de la entidad y sin comprometer el equilibrio presupuestal, se ajustarán los tabuladores de sueldo que autorice la Federación para tal efecto.</w:t>
      </w:r>
    </w:p>
    <w:p w:rsidR="003C7556" w:rsidRPr="00F65CBF" w:rsidRDefault="003C7556"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w:t>
      </w:r>
    </w:p>
    <w:p w:rsidR="00877484" w:rsidRPr="00F65CBF" w:rsidRDefault="00877484" w:rsidP="00F65CBF">
      <w:pPr>
        <w:spacing w:line="360" w:lineRule="auto"/>
        <w:jc w:val="both"/>
        <w:rPr>
          <w:rFonts w:ascii="Palatino Linotype" w:eastAsia="Palatino Linotype" w:hAnsi="Palatino Linotype" w:cs="Palatino Linotype"/>
          <w:color w:val="000000" w:themeColor="text1"/>
        </w:rPr>
      </w:pPr>
    </w:p>
    <w:p w:rsidR="00877484" w:rsidRPr="00F65CBF" w:rsidRDefault="003C7556"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En esa misma línea el Presupuesto de Egresos referido establece el Tabulador para Personal del </w:t>
      </w:r>
      <w:r w:rsidR="00A35F05" w:rsidRPr="00F65CBF">
        <w:rPr>
          <w:rFonts w:ascii="Palatino Linotype" w:eastAsia="Palatino Linotype" w:hAnsi="Palatino Linotype" w:cs="Palatino Linotype"/>
          <w:color w:val="000000" w:themeColor="text1"/>
        </w:rPr>
        <w:t xml:space="preserve">Tabulador para personal del Colegio de Estudios Científicos y Tecnológicos </w:t>
      </w:r>
      <w:r w:rsidR="00A35F05" w:rsidRPr="00F65CBF">
        <w:rPr>
          <w:rFonts w:ascii="Palatino Linotype" w:eastAsia="Palatino Linotype" w:hAnsi="Palatino Linotype" w:cs="Palatino Linotype"/>
          <w:color w:val="000000" w:themeColor="text1"/>
        </w:rPr>
        <w:lastRenderedPageBreak/>
        <w:t xml:space="preserve">del Estado de México, </w:t>
      </w:r>
      <w:r w:rsidR="00B1177E" w:rsidRPr="00F65CBF">
        <w:rPr>
          <w:rFonts w:ascii="Palatino Linotype" w:eastAsia="Palatino Linotype" w:hAnsi="Palatino Linotype" w:cs="Palatino Linotype"/>
          <w:color w:val="000000" w:themeColor="text1"/>
        </w:rPr>
        <w:t xml:space="preserve">en el cual señala que el gasto público destinado a la operación de los Colegios se norma en términos de la suscripción de Anexos de Ejecución, donde se determina una aportación paritaria del 50% estatal y 50% federal, tal como se muestra en la imagen siguiente: </w:t>
      </w:r>
    </w:p>
    <w:p w:rsidR="00B1177E" w:rsidRPr="00F65CBF" w:rsidRDefault="00B1177E" w:rsidP="00F65CBF">
      <w:pPr>
        <w:spacing w:line="360" w:lineRule="auto"/>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noProof/>
          <w:color w:val="000000" w:themeColor="text1"/>
          <w:lang w:val="es-MX"/>
        </w:rPr>
        <w:drawing>
          <wp:inline distT="0" distB="0" distL="0" distR="0" wp14:anchorId="1720963B" wp14:editId="7F7B1988">
            <wp:extent cx="5756275" cy="2393950"/>
            <wp:effectExtent l="152400" t="152400" r="358775" b="368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2393950"/>
                    </a:xfrm>
                    <a:prstGeom prst="rect">
                      <a:avLst/>
                    </a:prstGeom>
                    <a:ln>
                      <a:noFill/>
                    </a:ln>
                    <a:effectLst>
                      <a:outerShdw blurRad="292100" dist="139700" dir="2700000" algn="tl" rotWithShape="0">
                        <a:srgbClr val="333333">
                          <a:alpha val="65000"/>
                        </a:srgbClr>
                      </a:outerShdw>
                    </a:effectLst>
                  </pic:spPr>
                </pic:pic>
              </a:graphicData>
            </a:graphic>
          </wp:inline>
        </w:drawing>
      </w:r>
    </w:p>
    <w:p w:rsidR="00877484" w:rsidRPr="00F65CBF" w:rsidRDefault="00877484"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En tal documento se puede apreciar la plantilla de organismos públicos </w:t>
      </w:r>
      <w:r w:rsidR="003C7556" w:rsidRPr="00F65CBF">
        <w:rPr>
          <w:rFonts w:ascii="Palatino Linotype" w:eastAsia="Palatino Linotype" w:hAnsi="Palatino Linotype" w:cs="Palatino Linotype"/>
          <w:color w:val="000000" w:themeColor="text1"/>
        </w:rPr>
        <w:t>descentralizados</w:t>
      </w:r>
      <w:r w:rsidRPr="00F65CBF">
        <w:rPr>
          <w:rFonts w:ascii="Palatino Linotype" w:eastAsia="Palatino Linotype" w:hAnsi="Palatino Linotype" w:cs="Palatino Linotype"/>
          <w:color w:val="000000" w:themeColor="text1"/>
        </w:rPr>
        <w:t xml:space="preserve">, entre ellos el Colegio de Estudios Científicos y Tecnológicos del Estado de México, </w:t>
      </w:r>
      <w:r w:rsidR="003C7556" w:rsidRPr="00F65CBF">
        <w:rPr>
          <w:rFonts w:ascii="Palatino Linotype" w:eastAsia="Palatino Linotype" w:hAnsi="Palatino Linotype" w:cs="Palatino Linotype"/>
          <w:color w:val="000000" w:themeColor="text1"/>
        </w:rPr>
        <w:t xml:space="preserve">que contiene diversos campos de información como Nivel, Rango y Nombre de Plaza, Permanente / Eventual, Número de Plazas, Costo Unitario, Ingreso Extraordinario, Erogación Patrón,  Costo Total, </w:t>
      </w:r>
      <w:r w:rsidRPr="00F65CBF">
        <w:rPr>
          <w:rFonts w:ascii="Palatino Linotype" w:eastAsia="Palatino Linotype" w:hAnsi="Palatino Linotype" w:cs="Palatino Linotype"/>
          <w:color w:val="000000" w:themeColor="text1"/>
        </w:rPr>
        <w:t xml:space="preserve">tal como se </w:t>
      </w:r>
      <w:r w:rsidR="003C7556" w:rsidRPr="00F65CBF">
        <w:rPr>
          <w:rFonts w:ascii="Palatino Linotype" w:eastAsia="Palatino Linotype" w:hAnsi="Palatino Linotype" w:cs="Palatino Linotype"/>
          <w:color w:val="000000" w:themeColor="text1"/>
        </w:rPr>
        <w:t>muestra</w:t>
      </w:r>
      <w:r w:rsidRPr="00F65CBF">
        <w:rPr>
          <w:rFonts w:ascii="Palatino Linotype" w:eastAsia="Palatino Linotype" w:hAnsi="Palatino Linotype" w:cs="Palatino Linotype"/>
          <w:color w:val="000000" w:themeColor="text1"/>
        </w:rPr>
        <w:t xml:space="preserve"> en la imagen siguiente</w:t>
      </w:r>
      <w:r w:rsidR="003C7556" w:rsidRPr="00F65CBF">
        <w:rPr>
          <w:rFonts w:ascii="Palatino Linotype" w:eastAsia="Palatino Linotype" w:hAnsi="Palatino Linotype" w:cs="Palatino Linotype"/>
          <w:color w:val="000000" w:themeColor="text1"/>
        </w:rPr>
        <w:t>:</w:t>
      </w:r>
    </w:p>
    <w:p w:rsidR="003C7556" w:rsidRPr="00F65CBF" w:rsidRDefault="003C7556" w:rsidP="00F65CBF">
      <w:pPr>
        <w:spacing w:before="240" w:after="240" w:line="360" w:lineRule="auto"/>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noProof/>
          <w:color w:val="000000" w:themeColor="text1"/>
          <w:lang w:val="es-MX"/>
        </w:rPr>
        <w:lastRenderedPageBreak/>
        <w:drawing>
          <wp:inline distT="0" distB="0" distL="0" distR="0" wp14:anchorId="0DCA2E8F" wp14:editId="5BF0C626">
            <wp:extent cx="5756275" cy="2566035"/>
            <wp:effectExtent l="152400" t="152400" r="358775" b="3676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2566035"/>
                    </a:xfrm>
                    <a:prstGeom prst="rect">
                      <a:avLst/>
                    </a:prstGeom>
                    <a:ln>
                      <a:noFill/>
                    </a:ln>
                    <a:effectLst>
                      <a:outerShdw blurRad="292100" dist="139700" dir="2700000" algn="tl" rotWithShape="0">
                        <a:srgbClr val="333333">
                          <a:alpha val="65000"/>
                        </a:srgbClr>
                      </a:outerShdw>
                    </a:effectLst>
                  </pic:spPr>
                </pic:pic>
              </a:graphicData>
            </a:graphic>
          </wp:inline>
        </w:drawing>
      </w:r>
    </w:p>
    <w:p w:rsidR="00877484" w:rsidRPr="00F65CBF" w:rsidRDefault="00B1177E"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En razón de lo expuesto, es de recordar que a través de Informe Justificado el servidor público habilitado de la Dirección General de Personal informó:</w:t>
      </w:r>
    </w:p>
    <w:p w:rsidR="00B1177E" w:rsidRPr="00F65CBF" w:rsidRDefault="00B1177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“...para que proceda cualquier ajuste salarial, las plazas involucradas deben estar debidamente reconocidas dentro de los Catálogos de Puestos y Tabuladores de Sueldos autorizados por la Secretaría de Educación Pública, a través de la Dirección General de Recursos Humanos y Organización. </w:t>
      </w:r>
    </w:p>
    <w:p w:rsidR="00B1177E" w:rsidRPr="00F65CBF" w:rsidRDefault="00B1177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B1177E" w:rsidRPr="00F65CBF" w:rsidRDefault="00B1177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Cabe señalar que, conforme al marco de colaboración institucional, la Dirección General de Personal emite tabuladores específicos para el CECYTEM, los cuales se elaboran con base en los tabuladores federales previamente autorizados. En este sentido, se precisa que las plazas que motivan la solicitud de incremento salarial no se encuentran reflejadas en dichos tabuladores, razón por la cual no es posible autorizar incremento salarial alguno, en apego a la normatividad vigente y al principio de legalidad presupuestal. </w:t>
      </w:r>
    </w:p>
    <w:p w:rsidR="00B1177E" w:rsidRPr="00F65CBF" w:rsidRDefault="00B1177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B1177E" w:rsidRPr="00F65CBF" w:rsidRDefault="00B1177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r w:rsidRPr="00F65CBF">
        <w:rPr>
          <w:rFonts w:ascii="Palatino Linotype" w:eastAsia="Palatino Linotype" w:hAnsi="Palatino Linotype" w:cs="Palatino Linotype"/>
          <w:i/>
          <w:color w:val="000000" w:themeColor="text1"/>
        </w:rPr>
        <w:t xml:space="preserve">En virtud de lo anterior, </w:t>
      </w:r>
      <w:r w:rsidRPr="00F65CBF">
        <w:rPr>
          <w:rFonts w:ascii="Palatino Linotype" w:eastAsia="Palatino Linotype" w:hAnsi="Palatino Linotype" w:cs="Palatino Linotype"/>
          <w:b/>
          <w:i/>
          <w:color w:val="000000" w:themeColor="text1"/>
        </w:rPr>
        <w:t>las plazas de creación 100% estatal que no se encuentren incluidas en los tabuladores federales o en sus versiones homologadas estatales, no pueden ser consideradas para incrementos salariales en el marco del esquema paritario de financiamiento, resultando así improcedente su autorización</w:t>
      </w:r>
      <w:r w:rsidRPr="00F65CBF">
        <w:rPr>
          <w:rFonts w:ascii="Palatino Linotype" w:eastAsia="Palatino Linotype" w:hAnsi="Palatino Linotype" w:cs="Palatino Linotype"/>
          <w:i/>
          <w:color w:val="000000" w:themeColor="text1"/>
        </w:rPr>
        <w:t>” (Sic)</w:t>
      </w:r>
    </w:p>
    <w:p w:rsidR="00B1177E" w:rsidRPr="00F65CBF" w:rsidRDefault="00B1177E" w:rsidP="00F65CBF">
      <w:pPr>
        <w:pBdr>
          <w:top w:val="nil"/>
          <w:left w:val="nil"/>
          <w:bottom w:val="nil"/>
          <w:right w:val="nil"/>
          <w:between w:val="nil"/>
        </w:pBdr>
        <w:jc w:val="both"/>
        <w:rPr>
          <w:rFonts w:ascii="Palatino Linotype" w:eastAsia="Palatino Linotype" w:hAnsi="Palatino Linotype" w:cs="Palatino Linotype"/>
          <w:i/>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lastRenderedPageBreak/>
        <w:t xml:space="preserve">De esto, se logra vislumbrar que conforme a lo manifestado por el Sujeto Obligado, las </w:t>
      </w:r>
      <w:r w:rsidRPr="00F65CBF">
        <w:rPr>
          <w:rFonts w:ascii="Palatino Linotype" w:eastAsia="Palatino Linotype" w:hAnsi="Palatino Linotype" w:cs="Palatino Linotype"/>
          <w:b/>
          <w:i/>
          <w:color w:val="000000" w:themeColor="text1"/>
        </w:rPr>
        <w:t>plazas de creación 100% estatal que no se encuentren incluidas en los tabuladores federales o en sus versiones homologadas estatales, no pueden ser consideradas para incrementos salariales</w:t>
      </w:r>
      <w:r w:rsidRPr="00F65CBF">
        <w:rPr>
          <w:rFonts w:ascii="Palatino Linotype" w:eastAsia="Palatino Linotype" w:hAnsi="Palatino Linotype" w:cs="Palatino Linotype"/>
          <w:color w:val="000000" w:themeColor="text1"/>
        </w:rPr>
        <w:t>.</w:t>
      </w:r>
    </w:p>
    <w:p w:rsidR="00881D31" w:rsidRPr="00F65CBF" w:rsidRDefault="00881D31" w:rsidP="00F65CBF">
      <w:pPr>
        <w:spacing w:line="360" w:lineRule="auto"/>
        <w:jc w:val="both"/>
        <w:rPr>
          <w:rFonts w:ascii="Palatino Linotype" w:eastAsia="Palatino Linotype" w:hAnsi="Palatino Linotype" w:cs="Palatino Linotype"/>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En razón de todo lo anterior, se presume que, al haber existido un pronunciamiento por parte del </w:t>
      </w:r>
      <w:r w:rsidRPr="00F65CBF">
        <w:rPr>
          <w:rFonts w:ascii="Palatino Linotype" w:eastAsia="Palatino Linotype" w:hAnsi="Palatino Linotype" w:cs="Palatino Linotype"/>
          <w:b/>
          <w:bCs/>
          <w:color w:val="000000" w:themeColor="text1"/>
        </w:rPr>
        <w:t>SUJETO OBLIGADO</w:t>
      </w:r>
      <w:r w:rsidRPr="00F65CBF">
        <w:rPr>
          <w:rFonts w:ascii="Palatino Linotype" w:eastAsia="Palatino Linotype" w:hAnsi="Palatino Linotype" w:cs="Palatino Linotype"/>
          <w:color w:val="000000" w:themeColor="text1"/>
        </w:rPr>
        <w:t xml:space="preserve">, aún más de la unidad administrativa competente, </w:t>
      </w:r>
      <w:r w:rsidRPr="00F65CBF">
        <w:rPr>
          <w:rFonts w:ascii="Palatino Linotype" w:eastAsia="Palatino Linotype" w:hAnsi="Palatino Linotype" w:cs="Palatino Linotype"/>
          <w:b/>
          <w:color w:val="000000" w:themeColor="text1"/>
        </w:rPr>
        <w:t>se dio atención a las manifestaciones vertidas la solicitud</w:t>
      </w:r>
      <w:r w:rsidRPr="00F65CBF">
        <w:rPr>
          <w:rFonts w:ascii="Palatino Linotype" w:eastAsia="Palatino Linotype" w:hAnsi="Palatino Linotype" w:cs="Palatino Linotype"/>
          <w:color w:val="000000" w:themeColor="text1"/>
        </w:rPr>
        <w:t xml:space="preserve"> respectiva, advirtiendo que el </w:t>
      </w:r>
      <w:r w:rsidRPr="00F65CBF">
        <w:rPr>
          <w:rFonts w:ascii="Palatino Linotype" w:eastAsia="Palatino Linotype" w:hAnsi="Palatino Linotype" w:cs="Palatino Linotype"/>
          <w:b/>
          <w:bCs/>
          <w:color w:val="000000" w:themeColor="text1"/>
        </w:rPr>
        <w:t xml:space="preserve">SUJETO OBLIGADO </w:t>
      </w:r>
      <w:r w:rsidRPr="00F65CBF">
        <w:rPr>
          <w:rFonts w:ascii="Palatino Linotype" w:eastAsia="Palatino Linotype" w:hAnsi="Palatino Linotype" w:cs="Palatino Linotype"/>
          <w:color w:val="000000" w:themeColor="text1"/>
        </w:rPr>
        <w:t>modificó su acto al pronunciarse en informe justificado sobre el requerimiento hecho por el particular.</w:t>
      </w:r>
    </w:p>
    <w:p w:rsidR="00881D31" w:rsidRPr="00F65CBF" w:rsidRDefault="00881D31" w:rsidP="00F65CBF">
      <w:pPr>
        <w:pBdr>
          <w:top w:val="nil"/>
          <w:left w:val="nil"/>
          <w:bottom w:val="nil"/>
          <w:right w:val="nil"/>
          <w:between w:val="nil"/>
        </w:pBdr>
        <w:tabs>
          <w:tab w:val="left" w:pos="7513"/>
        </w:tabs>
        <w:jc w:val="both"/>
        <w:rPr>
          <w:rFonts w:ascii="Palatino Linotype" w:eastAsia="Palatino Linotype" w:hAnsi="Palatino Linotype" w:cs="Palatino Linotype"/>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Luego entonces, al haberse pronunciado en informe justificado refiriendo la información que da atención a la solicitud, resulta necesario invocar la fracción III, del artículo 192, de la </w:t>
      </w:r>
      <w:r w:rsidRPr="00F65CBF">
        <w:rPr>
          <w:rFonts w:ascii="Palatino Linotype" w:eastAsia="Palatino Linotype" w:hAnsi="Palatino Linotype" w:cs="Palatino Linotype"/>
          <w:b/>
          <w:bCs/>
          <w:color w:val="000000" w:themeColor="text1"/>
        </w:rPr>
        <w:t>Ley de Transparencia y Acceso a la Información Pública del Estado de México y Municipios</w:t>
      </w:r>
      <w:r w:rsidRPr="00F65CBF">
        <w:rPr>
          <w:rFonts w:ascii="Palatino Linotype" w:eastAsia="Palatino Linotype" w:hAnsi="Palatino Linotype" w:cs="Palatino Linotype"/>
          <w:color w:val="000000" w:themeColor="text1"/>
        </w:rPr>
        <w:t xml:space="preserve">, por contener la causal de sobreseimiento relativa a que el Sujeto Obligado </w:t>
      </w:r>
      <w:r w:rsidRPr="00F65CBF">
        <w:rPr>
          <w:rFonts w:ascii="Palatino Linotype" w:eastAsia="Palatino Linotype" w:hAnsi="Palatino Linotype" w:cs="Palatino Linotype"/>
          <w:b/>
          <w:bCs/>
          <w:color w:val="000000" w:themeColor="text1"/>
          <w:u w:val="single"/>
        </w:rPr>
        <w:t>modifique o revoque el acto</w:t>
      </w:r>
      <w:r w:rsidRPr="00F65CBF">
        <w:rPr>
          <w:rFonts w:ascii="Palatino Linotype" w:eastAsia="Palatino Linotype" w:hAnsi="Palatino Linotype" w:cs="Palatino Linotype"/>
          <w:color w:val="000000" w:themeColor="text1"/>
        </w:rPr>
        <w:t>; de ahí que la actualización de alguno de éstos trae como consecuencia que el medio de impugnación se concluya sin que se analice el objeto de estudio planteado, es decir se sobresea.</w:t>
      </w:r>
    </w:p>
    <w:p w:rsidR="00881D31" w:rsidRPr="00F65CBF" w:rsidRDefault="00881D31" w:rsidP="00F65CBF">
      <w:pPr>
        <w:jc w:val="both"/>
        <w:rPr>
          <w:rFonts w:ascii="Palatino Linotype" w:eastAsia="Palatino Linotype" w:hAnsi="Palatino Linotype" w:cs="Palatino Linotype"/>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Para los efectos de esta resolución, es oportuno precisar los alcances jurídicos de la fracción III de referencia, a saber:</w:t>
      </w:r>
    </w:p>
    <w:p w:rsidR="00881D31" w:rsidRPr="00F65CBF" w:rsidRDefault="00881D31" w:rsidP="00F65CBF">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b/>
          <w:bCs/>
          <w:color w:val="000000" w:themeColor="text1"/>
        </w:rPr>
        <w:t>Modifique el acto impugnado:</w:t>
      </w:r>
      <w:r w:rsidRPr="00F65CBF">
        <w:rPr>
          <w:rFonts w:ascii="Palatino Linotype" w:eastAsia="Palatino Linotype" w:hAnsi="Palatino Linotype" w:cs="Palatino Linotype"/>
          <w:color w:val="000000" w:themeColor="text1"/>
        </w:rPr>
        <w:t xml:space="preserve"> Se actualiza cuando el </w:t>
      </w:r>
      <w:r w:rsidRPr="00F65CBF">
        <w:rPr>
          <w:rFonts w:ascii="Palatino Linotype" w:eastAsia="Palatino Linotype" w:hAnsi="Palatino Linotype" w:cs="Palatino Linotype"/>
          <w:b/>
          <w:bCs/>
          <w:color w:val="000000" w:themeColor="text1"/>
        </w:rPr>
        <w:t>SUJETO OBLIGADO</w:t>
      </w:r>
      <w:r w:rsidRPr="00F65CBF">
        <w:rPr>
          <w:rFonts w:ascii="Palatino Linotype" w:eastAsia="Palatino Linotype" w:hAnsi="Palatino Linotype" w:cs="Palatino Linotype"/>
          <w:color w:val="000000" w:themeColor="text1"/>
        </w:rPr>
        <w:t xml:space="preserve"> después de haber otorgado una respuesta y hasta antes de dictada la resolución del recurso de revisión, emite una diversa en la que subsane las deficiencias que hubiera tenido.</w:t>
      </w:r>
    </w:p>
    <w:p w:rsidR="00881D31" w:rsidRPr="00F65CBF" w:rsidRDefault="00881D31" w:rsidP="00F65CBF">
      <w:pPr>
        <w:spacing w:line="360" w:lineRule="auto"/>
        <w:jc w:val="both"/>
        <w:rPr>
          <w:rFonts w:ascii="Palatino Linotype" w:eastAsia="Palatino Linotype" w:hAnsi="Palatino Linotype" w:cs="Palatino Linotype"/>
          <w:color w:val="000000" w:themeColor="text1"/>
        </w:rPr>
      </w:pPr>
    </w:p>
    <w:p w:rsidR="00881D31" w:rsidRPr="00F65CBF" w:rsidRDefault="00881D31" w:rsidP="00F65CBF">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b/>
          <w:bCs/>
          <w:color w:val="000000" w:themeColor="text1"/>
        </w:rPr>
        <w:lastRenderedPageBreak/>
        <w:t>Revoque el acto impugnado:</w:t>
      </w:r>
      <w:r w:rsidRPr="00F65CBF">
        <w:rPr>
          <w:rFonts w:ascii="Palatino Linotype" w:eastAsia="Palatino Linotype" w:hAnsi="Palatino Linotype" w:cs="Palatino Linotype"/>
          <w:color w:val="000000" w:themeColor="text1"/>
        </w:rPr>
        <w:t xml:space="preserve"> En este supuesto, el </w:t>
      </w:r>
      <w:r w:rsidRPr="00F65CBF">
        <w:rPr>
          <w:rFonts w:ascii="Palatino Linotype" w:eastAsia="Palatino Linotype" w:hAnsi="Palatino Linotype" w:cs="Palatino Linotype"/>
          <w:b/>
          <w:bCs/>
          <w:color w:val="000000" w:themeColor="text1"/>
        </w:rPr>
        <w:t>SUJETO OBLIGADO</w:t>
      </w:r>
      <w:r w:rsidRPr="00F65CBF">
        <w:rPr>
          <w:rFonts w:ascii="Palatino Linotype" w:eastAsia="Palatino Linotype" w:hAnsi="Palatino Linotype" w:cs="Palatino Linotype"/>
          <w:color w:val="000000" w:themeColor="text1"/>
        </w:rPr>
        <w:t xml:space="preserve"> deja sin efectos la primera respuesta y en su lugar emite otra que satisfaga lo solicitado por el particular en un primer momento.</w:t>
      </w:r>
    </w:p>
    <w:p w:rsidR="00881D31" w:rsidRPr="00F65CBF" w:rsidRDefault="00881D31" w:rsidP="00F65CBF">
      <w:pPr>
        <w:pBdr>
          <w:top w:val="nil"/>
          <w:left w:val="nil"/>
          <w:bottom w:val="nil"/>
          <w:right w:val="nil"/>
          <w:between w:val="nil"/>
        </w:pBdr>
        <w:jc w:val="both"/>
        <w:rPr>
          <w:rFonts w:ascii="Palatino Linotype" w:eastAsia="Palatino Linotype" w:hAnsi="Palatino Linotype" w:cs="Palatino Linotype"/>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881D31" w:rsidRPr="00F65CBF" w:rsidRDefault="00881D31" w:rsidP="00F65CBF">
      <w:pPr>
        <w:jc w:val="both"/>
        <w:rPr>
          <w:rFonts w:ascii="Palatino Linotype" w:eastAsia="Palatino Linotype" w:hAnsi="Palatino Linotype" w:cs="Palatino Linotype"/>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 xml:space="preserve">En el presente asunto, este Pleno advierte que el Sujeto Obligado con la información precisada a través del informe de justificado, </w:t>
      </w:r>
      <w:r w:rsidRPr="00F65CBF">
        <w:rPr>
          <w:rFonts w:ascii="Palatino Linotype" w:eastAsia="Palatino Linotype" w:hAnsi="Palatino Linotype" w:cs="Palatino Linotype"/>
          <w:b/>
          <w:bCs/>
          <w:color w:val="000000" w:themeColor="text1"/>
        </w:rPr>
        <w:t>revoca</w:t>
      </w:r>
      <w:r w:rsidRPr="00F65CBF">
        <w:rPr>
          <w:rFonts w:ascii="Palatino Linotype" w:eastAsia="Palatino Linotype" w:hAnsi="Palatino Linotype" w:cs="Palatino Linotype"/>
          <w:color w:val="000000" w:themeColor="text1"/>
        </w:rPr>
        <w:t xml:space="preserve"> el acto que le dio origen al recurso de revisión, lo que trae como consecuencia que el mismo quede sin materia, actualizándose de este modo, la hipótesis jurídica contenida en la fracción III, del citado artículo 192.</w:t>
      </w:r>
    </w:p>
    <w:p w:rsidR="00881D31" w:rsidRPr="00F65CBF" w:rsidRDefault="00881D31" w:rsidP="00F65CBF">
      <w:pPr>
        <w:spacing w:line="360" w:lineRule="auto"/>
        <w:rPr>
          <w:rFonts w:ascii="Palatino Linotype" w:eastAsia="Palatino Linotype" w:hAnsi="Palatino Linotype" w:cs="Palatino Linotype"/>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De este modo, cuando el Sujeto Obligado</w:t>
      </w:r>
      <w:r w:rsidRPr="00F65CBF">
        <w:rPr>
          <w:rFonts w:ascii="Palatino Linotype" w:eastAsia="Palatino Linotype" w:hAnsi="Palatino Linotype" w:cs="Palatino Linotype"/>
          <w:b/>
          <w:bCs/>
          <w:color w:val="000000" w:themeColor="text1"/>
        </w:rPr>
        <w:t xml:space="preserve">, </w:t>
      </w:r>
      <w:r w:rsidRPr="00F65CBF">
        <w:rPr>
          <w:rFonts w:ascii="Palatino Linotype" w:eastAsia="Palatino Linotype" w:hAnsi="Palatino Linotype" w:cs="Palatino Linotype"/>
          <w:color w:val="000000" w:themeColor="text1"/>
        </w:rPr>
        <w:t>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controversia planteada, debido a que la afectación en su esfera de derechos fue restituida por la propia autoridad que emitió el acto motivo de impugnación.</w:t>
      </w:r>
    </w:p>
    <w:p w:rsidR="00881D31" w:rsidRPr="00F65CBF" w:rsidRDefault="00881D31" w:rsidP="00F65CBF">
      <w:pPr>
        <w:spacing w:line="360" w:lineRule="auto"/>
        <w:rPr>
          <w:rFonts w:ascii="Palatino Linotype" w:eastAsia="Palatino Linotype" w:hAnsi="Palatino Linotype" w:cs="Palatino Linotype"/>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Sirve de sustento a lo anterior la siguiente jurisprudencia por contradicción, cuyo rubro, texto y datos de identificación son los siguientes:</w:t>
      </w:r>
    </w:p>
    <w:p w:rsidR="00881D31" w:rsidRPr="00F65CBF" w:rsidRDefault="00881D31" w:rsidP="00F65CBF">
      <w:pPr>
        <w:spacing w:line="360" w:lineRule="auto"/>
        <w:jc w:val="both"/>
        <w:rPr>
          <w:rFonts w:ascii="Palatino Linotype" w:eastAsia="Palatino Linotype" w:hAnsi="Palatino Linotype" w:cs="Palatino Linotype"/>
          <w:color w:val="000000" w:themeColor="text1"/>
        </w:rPr>
      </w:pPr>
    </w:p>
    <w:p w:rsidR="00881D31" w:rsidRPr="00F65CBF" w:rsidRDefault="00881D31" w:rsidP="00F65CBF">
      <w:pPr>
        <w:jc w:val="both"/>
        <w:rPr>
          <w:rFonts w:ascii="Palatino Linotype" w:eastAsia="Palatino Linotype" w:hAnsi="Palatino Linotype" w:cs="Palatino Linotype"/>
          <w:i/>
          <w:iCs/>
          <w:color w:val="000000" w:themeColor="text1"/>
        </w:rPr>
      </w:pPr>
      <w:r w:rsidRPr="00F65CBF">
        <w:rPr>
          <w:rFonts w:ascii="Palatino Linotype" w:eastAsia="Palatino Linotype" w:hAnsi="Palatino Linotype" w:cs="Palatino Linotype"/>
          <w:b/>
          <w:bCs/>
          <w:i/>
          <w:iCs/>
          <w:color w:val="000000" w:themeColor="text1"/>
        </w:rPr>
        <w:lastRenderedPageBreak/>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F65CBF">
        <w:rPr>
          <w:rFonts w:ascii="Palatino Linotype" w:eastAsia="Palatino Linotype" w:hAnsi="Palatino Linotype" w:cs="Palatino Linotype"/>
          <w:i/>
          <w:iCs/>
          <w:color w:val="000000" w:themeColor="text1"/>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881D31" w:rsidRPr="00F65CBF" w:rsidRDefault="00881D31" w:rsidP="00F65CBF">
      <w:pPr>
        <w:spacing w:line="360" w:lineRule="auto"/>
        <w:jc w:val="both"/>
        <w:rPr>
          <w:rFonts w:ascii="Palatino Linotype" w:eastAsia="Palatino Linotype" w:hAnsi="Palatino Linotype" w:cs="Palatino Linotype"/>
          <w:i/>
          <w:iCs/>
          <w:color w:val="000000" w:themeColor="text1"/>
        </w:rPr>
      </w:pP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La anterior jurisprudencia resulta aplicable al presente asunto, en dos aspectos:</w:t>
      </w:r>
    </w:p>
    <w:p w:rsidR="00881D31" w:rsidRPr="00F65CBF" w:rsidRDefault="00881D31" w:rsidP="00F65CBF">
      <w:pPr>
        <w:numPr>
          <w:ilvl w:val="0"/>
          <w:numId w:val="11"/>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b/>
          <w:bCs/>
          <w:color w:val="000000" w:themeColor="text1"/>
        </w:rPr>
        <w:t>La cesación de los efectos perniciosos del acto de autoridad:</w:t>
      </w:r>
      <w:r w:rsidRPr="00F65CBF">
        <w:rPr>
          <w:rFonts w:ascii="Palatino Linotype" w:eastAsia="Palatino Linotype" w:hAnsi="Palatino Linotype" w:cs="Palatino Linotype"/>
          <w:color w:val="000000" w:themeColor="text1"/>
        </w:rPr>
        <w:t xml:space="preserve"> Al respecto, la Ley de Transparencia contempla la figura jurídica del sobreseimiento cuando el </w:t>
      </w:r>
      <w:r w:rsidRPr="00F65CBF">
        <w:rPr>
          <w:rFonts w:ascii="Palatino Linotype" w:eastAsia="Palatino Linotype" w:hAnsi="Palatino Linotype" w:cs="Palatino Linotype"/>
          <w:b/>
          <w:bCs/>
          <w:color w:val="000000" w:themeColor="text1"/>
        </w:rPr>
        <w:t>SUJETO OBLIGADO</w:t>
      </w:r>
      <w:r w:rsidRPr="00F65CBF">
        <w:rPr>
          <w:rFonts w:ascii="Palatino Linotype" w:eastAsia="Palatino Linotype" w:hAnsi="Palatino Linotype" w:cs="Palatino Linotype"/>
          <w:color w:val="000000" w:themeColor="text1"/>
        </w:rPr>
        <w:t xml:space="preserve"> de </w:t>
      </w:r>
      <w:r w:rsidRPr="00F65CBF">
        <w:rPr>
          <w:rFonts w:ascii="Palatino Linotype" w:eastAsia="Palatino Linotype" w:hAnsi="Palatino Linotype" w:cs="Palatino Linotype"/>
          <w:i/>
          <w:iCs/>
          <w:color w:val="000000" w:themeColor="text1"/>
        </w:rPr>
        <w:t>motu proprio</w:t>
      </w:r>
      <w:r w:rsidRPr="00F65CBF">
        <w:rPr>
          <w:rFonts w:ascii="Palatino Linotype" w:eastAsia="Palatino Linotype" w:hAnsi="Palatino Linotype" w:cs="Palatino Linotype"/>
          <w:color w:val="000000" w:themeColor="text1"/>
        </w:rPr>
        <w:t xml:space="preserve"> modifica o revoca de tal manera el acto motivo de la impugnación que lo deja sin materia; es decir, cesan los efectos de éste y el derecho de acceso a la información pública se encuentra satisfecho.</w:t>
      </w:r>
    </w:p>
    <w:p w:rsidR="00881D31" w:rsidRPr="00F65CBF" w:rsidRDefault="00881D31" w:rsidP="00F65CBF">
      <w:pPr>
        <w:numPr>
          <w:ilvl w:val="0"/>
          <w:numId w:val="11"/>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b/>
          <w:bCs/>
          <w:color w:val="000000" w:themeColor="text1"/>
        </w:rPr>
        <w:t>El momento procesal para modificar el acto impugnado:</w:t>
      </w:r>
      <w:r w:rsidRPr="00F65CBF">
        <w:rPr>
          <w:rFonts w:ascii="Palatino Linotype" w:eastAsia="Palatino Linotype" w:hAnsi="Palatino Linotype" w:cs="Palatino Linotype"/>
          <w:color w:val="000000" w:themeColor="text1"/>
        </w:rPr>
        <w:t xml:space="preserve"> Para que se actualice el sobreseimiento de un recurso de revisión, el </w:t>
      </w:r>
      <w:r w:rsidRPr="00F65CBF">
        <w:rPr>
          <w:rFonts w:ascii="Palatino Linotype" w:eastAsia="Palatino Linotype" w:hAnsi="Palatino Linotype" w:cs="Palatino Linotype"/>
          <w:b/>
          <w:bCs/>
          <w:color w:val="000000" w:themeColor="text1"/>
        </w:rPr>
        <w:t>SUJETO OBLIGADO</w:t>
      </w:r>
      <w:r w:rsidRPr="00F65CBF">
        <w:rPr>
          <w:rFonts w:ascii="Palatino Linotype" w:eastAsia="Palatino Linotype" w:hAnsi="Palatino Linotype" w:cs="Palatino Linotype"/>
          <w:color w:val="000000" w:themeColor="text1"/>
        </w:rPr>
        <w:t xml:space="preserve"> puede entregar o completar la información al momento de rendir su informe de justificación o </w:t>
      </w:r>
      <w:r w:rsidRPr="00F65CBF">
        <w:rPr>
          <w:rFonts w:ascii="Palatino Linotype" w:eastAsia="Palatino Linotype" w:hAnsi="Palatino Linotype" w:cs="Palatino Linotype"/>
          <w:b/>
          <w:bCs/>
          <w:color w:val="000000" w:themeColor="text1"/>
          <w:u w:val="single"/>
        </w:rPr>
        <w:t>posteriormente</w:t>
      </w:r>
      <w:r w:rsidRPr="00F65CBF">
        <w:rPr>
          <w:rFonts w:ascii="Palatino Linotype" w:eastAsia="Palatino Linotype" w:hAnsi="Palatino Linotype" w:cs="Palatino Linotype"/>
          <w:color w:val="000000" w:themeColor="text1"/>
        </w:rPr>
        <w:t xml:space="preserve"> a éste, siempre y cuando el Pleno del Instituto no haya dictado resolución definitiva.</w:t>
      </w:r>
    </w:p>
    <w:p w:rsidR="00881D31" w:rsidRPr="00F65CBF" w:rsidRDefault="00881D31" w:rsidP="00F65CBF">
      <w:pPr>
        <w:numPr>
          <w:ilvl w:val="0"/>
          <w:numId w:val="3"/>
        </w:numPr>
        <w:spacing w:line="360" w:lineRule="auto"/>
        <w:ind w:left="0" w:firstLine="0"/>
        <w:jc w:val="both"/>
        <w:rPr>
          <w:rFonts w:ascii="Palatino Linotype" w:eastAsia="Palatino Linotype" w:hAnsi="Palatino Linotype" w:cs="Palatino Linotype"/>
          <w:b/>
          <w:bCs/>
          <w:color w:val="000000" w:themeColor="text1"/>
          <w:u w:val="single"/>
        </w:rPr>
      </w:pPr>
      <w:r w:rsidRPr="00F65CBF">
        <w:rPr>
          <w:rFonts w:ascii="Palatino Linotype" w:eastAsia="Palatino Linotype" w:hAnsi="Palatino Linotype" w:cs="Palatino Linotype"/>
          <w:color w:val="000000" w:themeColor="text1"/>
        </w:rPr>
        <w:lastRenderedPageBreak/>
        <w:t xml:space="preserve">Bajo ese tenor con fundamento en la segunda hipótesis de la fracción I, del artículo 186, de la Ley de Transparencia y Acceso a la Información Pública del Estado de México y Municipios, se </w:t>
      </w:r>
      <w:r w:rsidRPr="00F65CBF">
        <w:rPr>
          <w:rFonts w:ascii="Palatino Linotype" w:eastAsia="Palatino Linotype" w:hAnsi="Palatino Linotype" w:cs="Palatino Linotype"/>
          <w:b/>
          <w:bCs/>
          <w:color w:val="000000" w:themeColor="text1"/>
        </w:rPr>
        <w:t xml:space="preserve">SOBRESEE </w:t>
      </w:r>
      <w:r w:rsidRPr="00F65CBF">
        <w:rPr>
          <w:rFonts w:ascii="Palatino Linotype" w:eastAsia="Palatino Linotype" w:hAnsi="Palatino Linotype" w:cs="Palatino Linotype"/>
          <w:color w:val="000000" w:themeColor="text1"/>
        </w:rPr>
        <w:t xml:space="preserve">el recurso de revisión </w:t>
      </w:r>
      <w:r w:rsidRPr="00F65CBF">
        <w:rPr>
          <w:rFonts w:ascii="Palatino Linotype" w:eastAsia="Palatino Linotype" w:hAnsi="Palatino Linotype" w:cs="Palatino Linotype"/>
          <w:b/>
          <w:bCs/>
          <w:color w:val="000000" w:themeColor="text1"/>
        </w:rPr>
        <w:t>05583/INFOEM/IP/RR/2025</w:t>
      </w:r>
      <w:r w:rsidRPr="00F65CBF">
        <w:rPr>
          <w:rFonts w:ascii="Palatino Linotype" w:eastAsia="Palatino Linotype" w:hAnsi="Palatino Linotype" w:cs="Palatino Linotype"/>
          <w:color w:val="000000" w:themeColor="text1"/>
        </w:rPr>
        <w:t>, que ha sido materia del presente fallo.</w:t>
      </w:r>
    </w:p>
    <w:p w:rsidR="00881D31" w:rsidRPr="00F65CBF" w:rsidRDefault="00881D31" w:rsidP="00F65CBF">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881D31" w:rsidRDefault="00881D31" w:rsidP="00F65CB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Por lo expuesto, y con fundamento en lo prescrito en los artículos 5, párrafos trigésimo noveno, cuadragésimo y cuadragésimo primero, fracciones IV y V, de la Constitución Política del Estado Libre y Soberano de México; 2, fracción II; 29, 36 fracciones I y II; 176, 178, 179, 181 y 185 de la Ley de Transparencia y Acceso a la Información Pública del Estado de México y Municipios, este Pleno:</w:t>
      </w:r>
    </w:p>
    <w:p w:rsidR="00F65CBF" w:rsidRPr="00F65CBF" w:rsidRDefault="00F65CBF" w:rsidP="00F65CBF">
      <w:pPr>
        <w:spacing w:line="360" w:lineRule="auto"/>
        <w:jc w:val="both"/>
        <w:rPr>
          <w:rFonts w:ascii="Palatino Linotype" w:eastAsia="Palatino Linotype" w:hAnsi="Palatino Linotype" w:cs="Palatino Linotype"/>
          <w:color w:val="000000" w:themeColor="text1"/>
        </w:rPr>
      </w:pPr>
    </w:p>
    <w:p w:rsidR="00881D31" w:rsidRPr="00F65CBF" w:rsidRDefault="00881D31" w:rsidP="00F65CBF">
      <w:pPr>
        <w:spacing w:line="360" w:lineRule="auto"/>
        <w:jc w:val="center"/>
        <w:rPr>
          <w:rFonts w:ascii="Palatino Linotype" w:eastAsia="Palatino Linotype" w:hAnsi="Palatino Linotype" w:cs="Palatino Linotype"/>
          <w:b/>
          <w:bCs/>
          <w:color w:val="000000" w:themeColor="text1"/>
        </w:rPr>
      </w:pPr>
      <w:r w:rsidRPr="00F65CBF">
        <w:rPr>
          <w:rFonts w:ascii="Palatino Linotype" w:eastAsia="Palatino Linotype" w:hAnsi="Palatino Linotype" w:cs="Palatino Linotype"/>
          <w:b/>
          <w:bCs/>
          <w:color w:val="000000" w:themeColor="text1"/>
        </w:rPr>
        <w:t>R E S U E L V E</w:t>
      </w:r>
    </w:p>
    <w:p w:rsidR="00881D31" w:rsidRPr="00F65CBF" w:rsidRDefault="00881D31" w:rsidP="00F65CBF">
      <w:pPr>
        <w:spacing w:line="360" w:lineRule="auto"/>
        <w:jc w:val="center"/>
        <w:rPr>
          <w:rFonts w:ascii="Palatino Linotype" w:eastAsia="Palatino Linotype" w:hAnsi="Palatino Linotype" w:cs="Palatino Linotype"/>
          <w:b/>
          <w:bCs/>
          <w:color w:val="000000" w:themeColor="text1"/>
        </w:rPr>
      </w:pPr>
    </w:p>
    <w:p w:rsidR="00881D31" w:rsidRPr="00F65CBF" w:rsidRDefault="00881D31" w:rsidP="00F65CBF">
      <w:pPr>
        <w:spacing w:line="360" w:lineRule="auto"/>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b/>
          <w:bCs/>
          <w:color w:val="000000" w:themeColor="text1"/>
        </w:rPr>
        <w:t>PRIMERO</w:t>
      </w:r>
      <w:r w:rsidRPr="00F65CBF">
        <w:rPr>
          <w:rFonts w:ascii="Palatino Linotype" w:eastAsia="Palatino Linotype" w:hAnsi="Palatino Linotype" w:cs="Palatino Linotype"/>
          <w:color w:val="000000" w:themeColor="text1"/>
        </w:rPr>
        <w:t xml:space="preserve">. Se </w:t>
      </w:r>
      <w:r w:rsidRPr="00F65CBF">
        <w:rPr>
          <w:rFonts w:ascii="Palatino Linotype" w:eastAsia="Palatino Linotype" w:hAnsi="Palatino Linotype" w:cs="Palatino Linotype"/>
          <w:b/>
          <w:bCs/>
          <w:color w:val="000000" w:themeColor="text1"/>
        </w:rPr>
        <w:t>SOBRESEE</w:t>
      </w:r>
      <w:r w:rsidRPr="00F65CBF">
        <w:rPr>
          <w:rFonts w:ascii="Palatino Linotype" w:eastAsia="Palatino Linotype" w:hAnsi="Palatino Linotype" w:cs="Palatino Linotype"/>
          <w:color w:val="000000" w:themeColor="text1"/>
        </w:rPr>
        <w:t xml:space="preserve"> el Recurso de Revisión número </w:t>
      </w:r>
      <w:r w:rsidRPr="00F65CBF">
        <w:rPr>
          <w:rFonts w:ascii="Palatino Linotype" w:eastAsia="Palatino Linotype" w:hAnsi="Palatino Linotype" w:cs="Palatino Linotype"/>
          <w:b/>
          <w:bCs/>
          <w:color w:val="000000" w:themeColor="text1"/>
        </w:rPr>
        <w:t>05583/INFOEM/IP/RR/2025</w:t>
      </w:r>
      <w:r w:rsidRPr="00F65CBF">
        <w:rPr>
          <w:rFonts w:ascii="Palatino Linotype" w:eastAsia="Palatino Linotype" w:hAnsi="Palatino Linotype" w:cs="Palatino Linotype"/>
          <w:color w:val="000000" w:themeColor="text1"/>
        </w:rPr>
        <w:t xml:space="preserve">, conforme al artículo 192, fracción III, de la Ley de la Materia, porque al revocar el acto que dio origen al presente medio de impugnación, el Recurso de Revisión quedó sin materia en términos del  </w:t>
      </w:r>
      <w:r w:rsidRPr="00F65CBF">
        <w:rPr>
          <w:rFonts w:ascii="Palatino Linotype" w:eastAsia="Palatino Linotype" w:hAnsi="Palatino Linotype" w:cs="Palatino Linotype"/>
          <w:b/>
          <w:bCs/>
          <w:color w:val="000000" w:themeColor="text1"/>
        </w:rPr>
        <w:t>Considerando Cuarto</w:t>
      </w:r>
      <w:r w:rsidRPr="00F65CBF">
        <w:rPr>
          <w:rFonts w:ascii="Palatino Linotype" w:eastAsia="Palatino Linotype" w:hAnsi="Palatino Linotype" w:cs="Palatino Linotype"/>
          <w:color w:val="000000" w:themeColor="text1"/>
        </w:rPr>
        <w:t xml:space="preserve"> de la presente resolución.</w:t>
      </w:r>
    </w:p>
    <w:p w:rsidR="00881D31" w:rsidRPr="00F65CBF" w:rsidRDefault="00881D31" w:rsidP="00F65CBF">
      <w:pPr>
        <w:spacing w:line="360" w:lineRule="auto"/>
        <w:jc w:val="both"/>
        <w:rPr>
          <w:rFonts w:ascii="Palatino Linotype" w:eastAsia="Palatino Linotype" w:hAnsi="Palatino Linotype" w:cs="Palatino Linotype"/>
          <w:b/>
          <w:bCs/>
          <w:color w:val="000000" w:themeColor="text1"/>
        </w:rPr>
      </w:pPr>
    </w:p>
    <w:p w:rsidR="00881D31" w:rsidRPr="00F65CBF" w:rsidRDefault="00881D31" w:rsidP="00F65CBF">
      <w:pPr>
        <w:spacing w:line="360" w:lineRule="auto"/>
        <w:jc w:val="both"/>
        <w:rPr>
          <w:rFonts w:ascii="Palatino Linotype" w:eastAsia="Palatino Linotype" w:hAnsi="Palatino Linotype" w:cs="Palatino Linotype"/>
          <w:color w:val="000000" w:themeColor="text1"/>
          <w:highlight w:val="white"/>
        </w:rPr>
      </w:pPr>
      <w:r w:rsidRPr="00F65CBF">
        <w:rPr>
          <w:rFonts w:ascii="Palatino Linotype" w:eastAsia="Palatino Linotype" w:hAnsi="Palatino Linotype" w:cs="Palatino Linotype"/>
          <w:b/>
          <w:bCs/>
          <w:color w:val="000000" w:themeColor="text1"/>
        </w:rPr>
        <w:t xml:space="preserve">SEGUNDO. Notifíquese </w:t>
      </w:r>
      <w:r w:rsidRPr="00F65CBF">
        <w:rPr>
          <w:rFonts w:ascii="Palatino Linotype" w:eastAsia="Palatino Linotype" w:hAnsi="Palatino Linotype" w:cs="Palatino Linotype"/>
          <w:color w:val="000000" w:themeColor="text1"/>
        </w:rPr>
        <w:t xml:space="preserve">al Titular de la Unidad de Transparencia del </w:t>
      </w:r>
      <w:r w:rsidRPr="00F65CBF">
        <w:rPr>
          <w:rFonts w:ascii="Palatino Linotype" w:eastAsia="Palatino Linotype" w:hAnsi="Palatino Linotype" w:cs="Palatino Linotype"/>
          <w:b/>
          <w:bCs/>
          <w:color w:val="000000" w:themeColor="text1"/>
        </w:rPr>
        <w:t xml:space="preserve">SUJETO OBLIGADO </w:t>
      </w:r>
      <w:r w:rsidRPr="00F65CBF">
        <w:rPr>
          <w:rFonts w:ascii="Palatino Linotype" w:eastAsia="Palatino Linotype" w:hAnsi="Palatino Linotype" w:cs="Palatino Linotype"/>
          <w:color w:val="000000" w:themeColor="text1"/>
        </w:rPr>
        <w:t>vía SAIMEX, para su conocimiento</w:t>
      </w:r>
      <w:r w:rsidRPr="00F65CBF">
        <w:rPr>
          <w:rFonts w:ascii="Palatino Linotype" w:eastAsia="Palatino Linotype" w:hAnsi="Palatino Linotype" w:cs="Palatino Linotype"/>
          <w:color w:val="000000" w:themeColor="text1"/>
          <w:highlight w:val="white"/>
        </w:rPr>
        <w:t>.</w:t>
      </w:r>
    </w:p>
    <w:p w:rsidR="00881D31" w:rsidRPr="00F65CBF" w:rsidRDefault="00881D31" w:rsidP="00F65CBF">
      <w:pPr>
        <w:shd w:val="clear" w:color="auto" w:fill="FFFFFF"/>
        <w:spacing w:line="360" w:lineRule="auto"/>
        <w:jc w:val="both"/>
        <w:rPr>
          <w:rFonts w:ascii="Palatino Linotype" w:eastAsia="Palatino Linotype" w:hAnsi="Palatino Linotype" w:cs="Palatino Linotype"/>
          <w:color w:val="000000" w:themeColor="text1"/>
          <w:highlight w:val="white"/>
        </w:rPr>
      </w:pPr>
    </w:p>
    <w:p w:rsidR="00881D31" w:rsidRPr="00F65CBF" w:rsidRDefault="00881D31" w:rsidP="00F65CBF">
      <w:pPr>
        <w:spacing w:line="360" w:lineRule="auto"/>
        <w:jc w:val="both"/>
        <w:rPr>
          <w:rFonts w:ascii="Palatino Linotype" w:eastAsia="Palatino Linotype" w:hAnsi="Palatino Linotype" w:cs="Palatino Linotype"/>
          <w:color w:val="000000" w:themeColor="text1"/>
          <w:highlight w:val="white"/>
        </w:rPr>
      </w:pPr>
      <w:r w:rsidRPr="00F65CBF">
        <w:rPr>
          <w:rFonts w:ascii="Palatino Linotype" w:eastAsia="Palatino Linotype" w:hAnsi="Palatino Linotype" w:cs="Palatino Linotype"/>
          <w:b/>
          <w:bCs/>
          <w:color w:val="000000" w:themeColor="text1"/>
        </w:rPr>
        <w:t xml:space="preserve">TERCERO. Notifíquese </w:t>
      </w:r>
      <w:r w:rsidRPr="00F65CBF">
        <w:rPr>
          <w:rFonts w:ascii="Palatino Linotype" w:eastAsia="Palatino Linotype" w:hAnsi="Palatino Linotype" w:cs="Palatino Linotype"/>
          <w:color w:val="000000" w:themeColor="text1"/>
        </w:rPr>
        <w:t xml:space="preserve">a </w:t>
      </w:r>
      <w:r w:rsidRPr="00F65CBF">
        <w:rPr>
          <w:rFonts w:ascii="Palatino Linotype" w:eastAsia="Palatino Linotype" w:hAnsi="Palatino Linotype" w:cs="Palatino Linotype"/>
          <w:b/>
          <w:bCs/>
          <w:color w:val="000000" w:themeColor="text1"/>
        </w:rPr>
        <w:t>EL RECURRENTE</w:t>
      </w:r>
      <w:r w:rsidRPr="00F65CBF">
        <w:rPr>
          <w:rFonts w:ascii="Palatino Linotype" w:eastAsia="Palatino Linotype" w:hAnsi="Palatino Linotype" w:cs="Palatino Linotype"/>
          <w:color w:val="000000" w:themeColor="text1"/>
        </w:rPr>
        <w:t xml:space="preserve"> la presente resolución vía SAIMEX</w:t>
      </w:r>
      <w:r w:rsidRPr="00F65CBF">
        <w:rPr>
          <w:rFonts w:ascii="Palatino Linotype" w:eastAsia="Palatino Linotype" w:hAnsi="Palatino Linotype" w:cs="Palatino Linotype"/>
          <w:color w:val="000000" w:themeColor="text1"/>
          <w:highlight w:val="white"/>
        </w:rPr>
        <w:t>.</w:t>
      </w:r>
    </w:p>
    <w:p w:rsidR="00881D31" w:rsidRPr="00F65CBF" w:rsidRDefault="00881D31" w:rsidP="00F65CBF">
      <w:pPr>
        <w:shd w:val="clear" w:color="auto" w:fill="FFFFFF"/>
        <w:spacing w:line="360" w:lineRule="auto"/>
        <w:jc w:val="both"/>
        <w:rPr>
          <w:rFonts w:ascii="Palatino Linotype" w:eastAsia="Palatino Linotype" w:hAnsi="Palatino Linotype" w:cs="Palatino Linotype"/>
          <w:b/>
          <w:bCs/>
          <w:color w:val="000000" w:themeColor="text1"/>
        </w:rPr>
      </w:pPr>
    </w:p>
    <w:p w:rsidR="00877484" w:rsidRPr="00F65CBF" w:rsidRDefault="00881D31" w:rsidP="00F65CBF">
      <w:pPr>
        <w:spacing w:line="360" w:lineRule="auto"/>
        <w:jc w:val="both"/>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b/>
          <w:bCs/>
          <w:color w:val="000000" w:themeColor="text1"/>
        </w:rPr>
        <w:lastRenderedPageBreak/>
        <w:t>CUARTO.</w:t>
      </w:r>
      <w:r w:rsidRPr="00F65CBF">
        <w:rPr>
          <w:rFonts w:ascii="Palatino Linotype" w:eastAsia="Palatino Linotype" w:hAnsi="Palatino Linotype" w:cs="Palatino Linotype"/>
          <w:color w:val="000000" w:themeColor="text1"/>
        </w:rPr>
        <w:t xml:space="preserve"> Se hace del conocimiento del </w:t>
      </w:r>
      <w:r w:rsidRPr="00F65CBF">
        <w:rPr>
          <w:rFonts w:ascii="Palatino Linotype" w:eastAsia="Palatino Linotype" w:hAnsi="Palatino Linotype" w:cs="Palatino Linotype"/>
          <w:b/>
          <w:bCs/>
          <w:color w:val="000000" w:themeColor="text1"/>
        </w:rPr>
        <w:t>RECURRENTE</w:t>
      </w:r>
      <w:r w:rsidRPr="00F65CBF">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81D31" w:rsidRPr="00F65CBF" w:rsidRDefault="00881D31" w:rsidP="00F65CBF">
      <w:pPr>
        <w:spacing w:line="360" w:lineRule="auto"/>
        <w:jc w:val="both"/>
        <w:rPr>
          <w:rFonts w:ascii="Palatino Linotype" w:eastAsia="Palatino Linotype" w:hAnsi="Palatino Linotype" w:cs="Palatino Linotype"/>
          <w:color w:val="000000" w:themeColor="text1"/>
        </w:rPr>
      </w:pPr>
    </w:p>
    <w:p w:rsidR="0020369F" w:rsidRPr="00F65CBF" w:rsidRDefault="00F65CBF" w:rsidP="00F65CBF">
      <w:pPr>
        <w:spacing w:line="360" w:lineRule="auto"/>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20369F" w:rsidRPr="00F65CBF" w:rsidRDefault="001E21FA" w:rsidP="00F65CBF">
      <w:pPr>
        <w:rPr>
          <w:rFonts w:ascii="Palatino Linotype" w:eastAsia="Palatino Linotype" w:hAnsi="Palatino Linotype" w:cs="Palatino Linotype"/>
          <w:color w:val="000000" w:themeColor="text1"/>
        </w:rPr>
      </w:pPr>
      <w:r w:rsidRPr="00F65CBF">
        <w:rPr>
          <w:rFonts w:ascii="Palatino Linotype" w:hAnsi="Palatino Linotype"/>
          <w:color w:val="000000" w:themeColor="text1"/>
        </w:rPr>
        <w:br w:type="page"/>
      </w:r>
      <w:bookmarkStart w:id="7" w:name="_heading=h.lnxbz9" w:colFirst="0" w:colLast="0"/>
      <w:bookmarkEnd w:id="7"/>
    </w:p>
    <w:sectPr w:rsidR="0020369F" w:rsidRPr="00F65CBF" w:rsidSect="007E0FEA">
      <w:headerReference w:type="even" r:id="rId12"/>
      <w:headerReference w:type="default" r:id="rId13"/>
      <w:footerReference w:type="default" r:id="rId14"/>
      <w:headerReference w:type="first" r:id="rId15"/>
      <w:footerReference w:type="first" r:id="rId16"/>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C49" w:rsidRDefault="00735C49">
      <w:r>
        <w:separator/>
      </w:r>
    </w:p>
  </w:endnote>
  <w:endnote w:type="continuationSeparator" w:id="0">
    <w:p w:rsidR="00735C49" w:rsidRDefault="00735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FEE" w:rsidRPr="007E0FEA" w:rsidRDefault="00DE5FEE">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0"/>
        <w:szCs w:val="20"/>
      </w:rPr>
    </w:pPr>
    <w:r w:rsidRPr="007E0FEA">
      <w:rPr>
        <w:rFonts w:ascii="Palatino Linotype" w:eastAsia="Palatino Linotype" w:hAnsi="Palatino Linotype" w:cs="Palatino Linotype"/>
        <w:b/>
        <w:color w:val="000000"/>
        <w:sz w:val="22"/>
        <w:szCs w:val="20"/>
      </w:rPr>
      <w:t xml:space="preserve">Página </w:t>
    </w:r>
    <w:r w:rsidRPr="007E0FEA">
      <w:rPr>
        <w:rFonts w:ascii="Palatino Linotype" w:eastAsia="Palatino Linotype" w:hAnsi="Palatino Linotype" w:cs="Palatino Linotype"/>
        <w:b/>
        <w:color w:val="000000"/>
        <w:sz w:val="22"/>
        <w:szCs w:val="20"/>
      </w:rPr>
      <w:fldChar w:fldCharType="begin"/>
    </w:r>
    <w:r w:rsidRPr="007E0FEA">
      <w:rPr>
        <w:rFonts w:ascii="Palatino Linotype" w:eastAsia="Palatino Linotype" w:hAnsi="Palatino Linotype" w:cs="Palatino Linotype"/>
        <w:b/>
        <w:color w:val="000000"/>
        <w:sz w:val="22"/>
        <w:szCs w:val="20"/>
      </w:rPr>
      <w:instrText>PAGE</w:instrText>
    </w:r>
    <w:r w:rsidRPr="007E0FEA">
      <w:rPr>
        <w:rFonts w:ascii="Palatino Linotype" w:eastAsia="Palatino Linotype" w:hAnsi="Palatino Linotype" w:cs="Palatino Linotype"/>
        <w:b/>
        <w:color w:val="000000"/>
        <w:sz w:val="22"/>
        <w:szCs w:val="20"/>
      </w:rPr>
      <w:fldChar w:fldCharType="separate"/>
    </w:r>
    <w:r w:rsidR="007E0FEA">
      <w:rPr>
        <w:rFonts w:ascii="Palatino Linotype" w:eastAsia="Palatino Linotype" w:hAnsi="Palatino Linotype" w:cs="Palatino Linotype"/>
        <w:b/>
        <w:noProof/>
        <w:color w:val="000000"/>
        <w:sz w:val="22"/>
        <w:szCs w:val="20"/>
      </w:rPr>
      <w:t>21</w:t>
    </w:r>
    <w:r w:rsidRPr="007E0FEA">
      <w:rPr>
        <w:rFonts w:ascii="Palatino Linotype" w:eastAsia="Palatino Linotype" w:hAnsi="Palatino Linotype" w:cs="Palatino Linotype"/>
        <w:b/>
        <w:color w:val="000000"/>
        <w:sz w:val="22"/>
        <w:szCs w:val="20"/>
      </w:rPr>
      <w:fldChar w:fldCharType="end"/>
    </w:r>
    <w:r w:rsidRPr="007E0FEA">
      <w:rPr>
        <w:rFonts w:ascii="Palatino Linotype" w:eastAsia="Palatino Linotype" w:hAnsi="Palatino Linotype" w:cs="Palatino Linotype"/>
        <w:b/>
        <w:color w:val="000000"/>
        <w:sz w:val="22"/>
        <w:szCs w:val="20"/>
      </w:rPr>
      <w:t xml:space="preserve"> de </w:t>
    </w:r>
    <w:r w:rsidRPr="007E0FEA">
      <w:rPr>
        <w:rFonts w:ascii="Palatino Linotype" w:eastAsia="Palatino Linotype" w:hAnsi="Palatino Linotype" w:cs="Palatino Linotype"/>
        <w:b/>
        <w:color w:val="000000"/>
        <w:sz w:val="22"/>
        <w:szCs w:val="20"/>
      </w:rPr>
      <w:fldChar w:fldCharType="begin"/>
    </w:r>
    <w:r w:rsidRPr="007E0FEA">
      <w:rPr>
        <w:rFonts w:ascii="Palatino Linotype" w:eastAsia="Palatino Linotype" w:hAnsi="Palatino Linotype" w:cs="Palatino Linotype"/>
        <w:b/>
        <w:color w:val="000000"/>
        <w:sz w:val="22"/>
        <w:szCs w:val="20"/>
      </w:rPr>
      <w:instrText>NUMPAGES</w:instrText>
    </w:r>
    <w:r w:rsidRPr="007E0FEA">
      <w:rPr>
        <w:rFonts w:ascii="Palatino Linotype" w:eastAsia="Palatino Linotype" w:hAnsi="Palatino Linotype" w:cs="Palatino Linotype"/>
        <w:b/>
        <w:color w:val="000000"/>
        <w:sz w:val="22"/>
        <w:szCs w:val="20"/>
      </w:rPr>
      <w:fldChar w:fldCharType="separate"/>
    </w:r>
    <w:r w:rsidR="007E0FEA">
      <w:rPr>
        <w:rFonts w:ascii="Palatino Linotype" w:eastAsia="Palatino Linotype" w:hAnsi="Palatino Linotype" w:cs="Palatino Linotype"/>
        <w:b/>
        <w:noProof/>
        <w:color w:val="000000"/>
        <w:sz w:val="22"/>
        <w:szCs w:val="20"/>
      </w:rPr>
      <w:t>30</w:t>
    </w:r>
    <w:r w:rsidRPr="007E0FEA">
      <w:rPr>
        <w:rFonts w:ascii="Palatino Linotype" w:eastAsia="Palatino Linotype" w:hAnsi="Palatino Linotype" w:cs="Palatino Linotype"/>
        <w:b/>
        <w:color w:val="000000"/>
        <w:sz w:val="22"/>
        <w:szCs w:val="20"/>
      </w:rPr>
      <w:fldChar w:fldCharType="end"/>
    </w:r>
  </w:p>
  <w:p w:rsidR="00DE5FEE" w:rsidRDefault="00DE5FE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FEE" w:rsidRPr="007E0FEA" w:rsidRDefault="00DE5FEE">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7E0FEA">
      <w:rPr>
        <w:rFonts w:ascii="Palatino Linotype" w:eastAsia="Palatino Linotype" w:hAnsi="Palatino Linotype" w:cs="Palatino Linotype"/>
        <w:b/>
        <w:color w:val="000000"/>
        <w:sz w:val="22"/>
        <w:szCs w:val="20"/>
      </w:rPr>
      <w:t xml:space="preserve">Página </w:t>
    </w:r>
    <w:r w:rsidRPr="007E0FEA">
      <w:rPr>
        <w:rFonts w:ascii="Palatino Linotype" w:eastAsia="Palatino Linotype" w:hAnsi="Palatino Linotype" w:cs="Palatino Linotype"/>
        <w:b/>
        <w:color w:val="000000"/>
        <w:sz w:val="22"/>
        <w:szCs w:val="20"/>
      </w:rPr>
      <w:fldChar w:fldCharType="begin"/>
    </w:r>
    <w:r w:rsidRPr="007E0FEA">
      <w:rPr>
        <w:rFonts w:ascii="Palatino Linotype" w:eastAsia="Palatino Linotype" w:hAnsi="Palatino Linotype" w:cs="Palatino Linotype"/>
        <w:b/>
        <w:color w:val="000000"/>
        <w:sz w:val="22"/>
        <w:szCs w:val="20"/>
      </w:rPr>
      <w:instrText>PAGE</w:instrText>
    </w:r>
    <w:r w:rsidRPr="007E0FEA">
      <w:rPr>
        <w:rFonts w:ascii="Palatino Linotype" w:eastAsia="Palatino Linotype" w:hAnsi="Palatino Linotype" w:cs="Palatino Linotype"/>
        <w:b/>
        <w:color w:val="000000"/>
        <w:sz w:val="22"/>
        <w:szCs w:val="20"/>
      </w:rPr>
      <w:fldChar w:fldCharType="separate"/>
    </w:r>
    <w:r w:rsidR="007E0FEA">
      <w:rPr>
        <w:rFonts w:ascii="Palatino Linotype" w:eastAsia="Palatino Linotype" w:hAnsi="Palatino Linotype" w:cs="Palatino Linotype"/>
        <w:b/>
        <w:noProof/>
        <w:color w:val="000000"/>
        <w:sz w:val="22"/>
        <w:szCs w:val="20"/>
      </w:rPr>
      <w:t>1</w:t>
    </w:r>
    <w:r w:rsidRPr="007E0FEA">
      <w:rPr>
        <w:rFonts w:ascii="Palatino Linotype" w:eastAsia="Palatino Linotype" w:hAnsi="Palatino Linotype" w:cs="Palatino Linotype"/>
        <w:b/>
        <w:color w:val="000000"/>
        <w:sz w:val="22"/>
        <w:szCs w:val="20"/>
      </w:rPr>
      <w:fldChar w:fldCharType="end"/>
    </w:r>
    <w:r w:rsidRPr="007E0FEA">
      <w:rPr>
        <w:rFonts w:ascii="Palatino Linotype" w:eastAsia="Palatino Linotype" w:hAnsi="Palatino Linotype" w:cs="Palatino Linotype"/>
        <w:b/>
        <w:color w:val="000000"/>
        <w:sz w:val="22"/>
        <w:szCs w:val="20"/>
      </w:rPr>
      <w:t xml:space="preserve"> de </w:t>
    </w:r>
    <w:r w:rsidRPr="007E0FEA">
      <w:rPr>
        <w:rFonts w:ascii="Palatino Linotype" w:eastAsia="Palatino Linotype" w:hAnsi="Palatino Linotype" w:cs="Palatino Linotype"/>
        <w:b/>
        <w:color w:val="000000"/>
        <w:sz w:val="22"/>
        <w:szCs w:val="20"/>
      </w:rPr>
      <w:fldChar w:fldCharType="begin"/>
    </w:r>
    <w:r w:rsidRPr="007E0FEA">
      <w:rPr>
        <w:rFonts w:ascii="Palatino Linotype" w:eastAsia="Palatino Linotype" w:hAnsi="Palatino Linotype" w:cs="Palatino Linotype"/>
        <w:b/>
        <w:color w:val="000000"/>
        <w:sz w:val="22"/>
        <w:szCs w:val="20"/>
      </w:rPr>
      <w:instrText>NUMPAGES</w:instrText>
    </w:r>
    <w:r w:rsidRPr="007E0FEA">
      <w:rPr>
        <w:rFonts w:ascii="Palatino Linotype" w:eastAsia="Palatino Linotype" w:hAnsi="Palatino Linotype" w:cs="Palatino Linotype"/>
        <w:b/>
        <w:color w:val="000000"/>
        <w:sz w:val="22"/>
        <w:szCs w:val="20"/>
      </w:rPr>
      <w:fldChar w:fldCharType="separate"/>
    </w:r>
    <w:r w:rsidR="007E0FEA">
      <w:rPr>
        <w:rFonts w:ascii="Palatino Linotype" w:eastAsia="Palatino Linotype" w:hAnsi="Palatino Linotype" w:cs="Palatino Linotype"/>
        <w:b/>
        <w:noProof/>
        <w:color w:val="000000"/>
        <w:sz w:val="22"/>
        <w:szCs w:val="20"/>
      </w:rPr>
      <w:t>30</w:t>
    </w:r>
    <w:r w:rsidRPr="007E0FEA">
      <w:rPr>
        <w:rFonts w:ascii="Palatino Linotype" w:eastAsia="Palatino Linotype" w:hAnsi="Palatino Linotype" w:cs="Palatino Linotype"/>
        <w:b/>
        <w:color w:val="000000"/>
        <w:sz w:val="22"/>
        <w:szCs w:val="20"/>
      </w:rPr>
      <w:fldChar w:fldCharType="end"/>
    </w:r>
  </w:p>
  <w:p w:rsidR="00DE5FEE" w:rsidRDefault="00DE5FE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C49" w:rsidRDefault="00735C49">
      <w:r>
        <w:separator/>
      </w:r>
    </w:p>
  </w:footnote>
  <w:footnote w:type="continuationSeparator" w:id="0">
    <w:p w:rsidR="00735C49" w:rsidRDefault="00735C49">
      <w:r>
        <w:continuationSeparator/>
      </w:r>
    </w:p>
  </w:footnote>
  <w:footnote w:id="1">
    <w:p w:rsidR="00DE5FEE" w:rsidRDefault="00DE5FEE" w:rsidP="0076282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rsidR="00DE5FEE" w:rsidRDefault="00DE5FEE" w:rsidP="0076282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rsidR="00DE5FEE" w:rsidRDefault="00DE5FEE" w:rsidP="00762825">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rsidR="00DE5FEE" w:rsidRDefault="00DE5FEE" w:rsidP="00762825">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5">
    <w:p w:rsidR="00DE5FEE" w:rsidRDefault="00DE5FEE" w:rsidP="00762825">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FEE" w:rsidRDefault="00735C4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945" w:type="dxa"/>
      <w:tblInd w:w="3544" w:type="dxa"/>
      <w:tblLayout w:type="fixed"/>
      <w:tblLook w:val="0400" w:firstRow="0" w:lastRow="0" w:firstColumn="0" w:lastColumn="0" w:noHBand="0" w:noVBand="1"/>
    </w:tblPr>
    <w:tblGrid>
      <w:gridCol w:w="2693"/>
      <w:gridCol w:w="4252"/>
    </w:tblGrid>
    <w:tr w:rsidR="00DE5FEE" w:rsidTr="007E0FEA">
      <w:trPr>
        <w:trHeight w:val="227"/>
      </w:trPr>
      <w:tc>
        <w:tcPr>
          <w:tcW w:w="2693" w:type="dxa"/>
        </w:tcPr>
        <w:p w:rsidR="00DE5FEE" w:rsidRPr="00F65CBF" w:rsidRDefault="00DE5FEE" w:rsidP="00F65CBF">
          <w:pPr>
            <w:jc w:val="right"/>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Recurso de Revisión:</w:t>
          </w:r>
        </w:p>
      </w:tc>
      <w:tc>
        <w:tcPr>
          <w:tcW w:w="4252" w:type="dxa"/>
        </w:tcPr>
        <w:p w:rsidR="00DE5FEE" w:rsidRPr="00F65CBF" w:rsidRDefault="00DE5FEE" w:rsidP="00F65CBF">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highlight w:val="green"/>
            </w:rPr>
          </w:pPr>
          <w:r w:rsidRPr="00F65CBF">
            <w:rPr>
              <w:rFonts w:ascii="Palatino Linotype" w:eastAsia="Palatino Linotype" w:hAnsi="Palatino Linotype" w:cs="Palatino Linotype"/>
              <w:color w:val="000000" w:themeColor="text1"/>
            </w:rPr>
            <w:t>05583/INFOEM/IP/RR/2025</w:t>
          </w:r>
        </w:p>
      </w:tc>
    </w:tr>
    <w:tr w:rsidR="00DE5FEE" w:rsidTr="007E0FEA">
      <w:trPr>
        <w:trHeight w:val="342"/>
      </w:trPr>
      <w:tc>
        <w:tcPr>
          <w:tcW w:w="2693" w:type="dxa"/>
        </w:tcPr>
        <w:p w:rsidR="00DE5FEE" w:rsidRPr="00F65CBF" w:rsidRDefault="00DE5FEE" w:rsidP="00F65CBF">
          <w:pPr>
            <w:jc w:val="right"/>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Sujeto Obligado:</w:t>
          </w:r>
        </w:p>
      </w:tc>
      <w:tc>
        <w:tcPr>
          <w:tcW w:w="4252" w:type="dxa"/>
        </w:tcPr>
        <w:p w:rsidR="00DE5FEE" w:rsidRPr="00F65CBF" w:rsidRDefault="00DE5FEE" w:rsidP="00F65CBF">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F65CBF">
            <w:rPr>
              <w:rFonts w:ascii="Palatino Linotype" w:eastAsia="Palatino Linotype" w:hAnsi="Palatino Linotype" w:cs="Palatino Linotype"/>
              <w:color w:val="000000" w:themeColor="text1"/>
            </w:rPr>
            <w:t>Oficialía Mayor</w:t>
          </w:r>
        </w:p>
      </w:tc>
    </w:tr>
    <w:tr w:rsidR="00DE5FEE" w:rsidTr="007E0FEA">
      <w:trPr>
        <w:trHeight w:val="342"/>
      </w:trPr>
      <w:tc>
        <w:tcPr>
          <w:tcW w:w="2693" w:type="dxa"/>
        </w:tcPr>
        <w:p w:rsidR="00DE5FEE" w:rsidRPr="00F65CBF" w:rsidRDefault="00DE5FEE" w:rsidP="00F65CBF">
          <w:pPr>
            <w:jc w:val="right"/>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Comisionada Ponente:</w:t>
          </w:r>
        </w:p>
      </w:tc>
      <w:tc>
        <w:tcPr>
          <w:tcW w:w="4252" w:type="dxa"/>
        </w:tcPr>
        <w:p w:rsidR="00DE5FEE" w:rsidRPr="00F65CBF" w:rsidRDefault="00DE5FEE" w:rsidP="00F65CBF">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María del Rosario Mejía Ayala</w:t>
          </w:r>
        </w:p>
      </w:tc>
    </w:tr>
  </w:tbl>
  <w:p w:rsidR="00DE5FEE" w:rsidRDefault="00735C49">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945" w:type="dxa"/>
      <w:tblInd w:w="3544" w:type="dxa"/>
      <w:tblLayout w:type="fixed"/>
      <w:tblLook w:val="0400" w:firstRow="0" w:lastRow="0" w:firstColumn="0" w:lastColumn="0" w:noHBand="0" w:noVBand="1"/>
    </w:tblPr>
    <w:tblGrid>
      <w:gridCol w:w="2693"/>
      <w:gridCol w:w="4252"/>
    </w:tblGrid>
    <w:tr w:rsidR="00DE5FEE" w:rsidTr="007E0FEA">
      <w:trPr>
        <w:trHeight w:val="227"/>
      </w:trPr>
      <w:tc>
        <w:tcPr>
          <w:tcW w:w="2693" w:type="dxa"/>
        </w:tcPr>
        <w:p w:rsidR="00DE5FEE" w:rsidRPr="00F65CBF" w:rsidRDefault="00DE5FEE" w:rsidP="00F65CBF">
          <w:pPr>
            <w:jc w:val="right"/>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Recurso de Revisión:</w:t>
          </w:r>
        </w:p>
      </w:tc>
      <w:tc>
        <w:tcPr>
          <w:tcW w:w="4252" w:type="dxa"/>
        </w:tcPr>
        <w:p w:rsidR="00DE5FEE" w:rsidRPr="00F65CBF" w:rsidRDefault="00DE5FEE" w:rsidP="00F65CBF">
          <w:pPr>
            <w:pBdr>
              <w:top w:val="nil"/>
              <w:left w:val="nil"/>
              <w:bottom w:val="nil"/>
              <w:right w:val="nil"/>
              <w:between w:val="nil"/>
            </w:pBdr>
            <w:tabs>
              <w:tab w:val="right" w:pos="8838"/>
            </w:tabs>
            <w:ind w:right="-70"/>
            <w:rPr>
              <w:rFonts w:ascii="Palatino Linotype" w:eastAsia="Palatino Linotype" w:hAnsi="Palatino Linotype" w:cs="Palatino Linotype"/>
              <w:color w:val="000000" w:themeColor="text1"/>
              <w:highlight w:val="green"/>
            </w:rPr>
          </w:pPr>
          <w:r w:rsidRPr="00F65CBF">
            <w:rPr>
              <w:rFonts w:ascii="Palatino Linotype" w:eastAsia="Palatino Linotype" w:hAnsi="Palatino Linotype" w:cs="Palatino Linotype"/>
              <w:color w:val="000000" w:themeColor="text1"/>
            </w:rPr>
            <w:t>05583/INFOEM/IP/RR/2025</w:t>
          </w:r>
        </w:p>
      </w:tc>
    </w:tr>
    <w:tr w:rsidR="00DE5FEE" w:rsidTr="007E0FEA">
      <w:trPr>
        <w:trHeight w:val="242"/>
      </w:trPr>
      <w:tc>
        <w:tcPr>
          <w:tcW w:w="2693" w:type="dxa"/>
        </w:tcPr>
        <w:p w:rsidR="00DE5FEE" w:rsidRPr="00F65CBF" w:rsidRDefault="00DE5FEE" w:rsidP="00F65CBF">
          <w:pPr>
            <w:jc w:val="right"/>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Recurrente:</w:t>
          </w:r>
        </w:p>
      </w:tc>
      <w:tc>
        <w:tcPr>
          <w:tcW w:w="4252" w:type="dxa"/>
        </w:tcPr>
        <w:p w:rsidR="00DE5FEE" w:rsidRPr="00F65CBF" w:rsidRDefault="00DE5FEE" w:rsidP="00F65CBF">
          <w:pPr>
            <w:ind w:right="-70"/>
            <w:rPr>
              <w:rFonts w:ascii="Palatino Linotype" w:eastAsia="Palatino Linotype" w:hAnsi="Palatino Linotype" w:cs="Palatino Linotype"/>
              <w:color w:val="000000" w:themeColor="text1"/>
              <w:highlight w:val="green"/>
            </w:rPr>
          </w:pPr>
        </w:p>
      </w:tc>
    </w:tr>
    <w:tr w:rsidR="00DE5FEE" w:rsidTr="007E0FEA">
      <w:trPr>
        <w:trHeight w:val="342"/>
      </w:trPr>
      <w:tc>
        <w:tcPr>
          <w:tcW w:w="2693" w:type="dxa"/>
        </w:tcPr>
        <w:p w:rsidR="00DE5FEE" w:rsidRPr="00F65CBF" w:rsidRDefault="00DE5FEE" w:rsidP="00F65CBF">
          <w:pPr>
            <w:jc w:val="right"/>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Sujeto Obligado:</w:t>
          </w:r>
        </w:p>
      </w:tc>
      <w:tc>
        <w:tcPr>
          <w:tcW w:w="4252" w:type="dxa"/>
        </w:tcPr>
        <w:p w:rsidR="00DE5FEE" w:rsidRPr="00F65CBF" w:rsidRDefault="00DE5FEE" w:rsidP="00F65CBF">
          <w:pPr>
            <w:pBdr>
              <w:top w:val="nil"/>
              <w:left w:val="nil"/>
              <w:bottom w:val="nil"/>
              <w:right w:val="nil"/>
              <w:between w:val="nil"/>
            </w:pBdr>
            <w:tabs>
              <w:tab w:val="right" w:pos="8838"/>
            </w:tabs>
            <w:ind w:right="-70"/>
            <w:jc w:val="both"/>
            <w:rPr>
              <w:rFonts w:ascii="Palatino Linotype" w:eastAsia="Palatino Linotype" w:hAnsi="Palatino Linotype" w:cs="Palatino Linotype"/>
              <w:color w:val="000000" w:themeColor="text1"/>
              <w:highlight w:val="green"/>
            </w:rPr>
          </w:pPr>
          <w:r w:rsidRPr="00F65CBF">
            <w:rPr>
              <w:rFonts w:ascii="Palatino Linotype" w:eastAsia="Palatino Linotype" w:hAnsi="Palatino Linotype" w:cs="Palatino Linotype"/>
              <w:color w:val="000000" w:themeColor="text1"/>
            </w:rPr>
            <w:t>Oficialía Mayor</w:t>
          </w:r>
        </w:p>
      </w:tc>
    </w:tr>
    <w:tr w:rsidR="00DE5FEE" w:rsidTr="007E0FEA">
      <w:trPr>
        <w:trHeight w:val="342"/>
      </w:trPr>
      <w:tc>
        <w:tcPr>
          <w:tcW w:w="2693" w:type="dxa"/>
        </w:tcPr>
        <w:p w:rsidR="00DE5FEE" w:rsidRPr="00F65CBF" w:rsidRDefault="00DE5FEE" w:rsidP="00F65CBF">
          <w:pPr>
            <w:jc w:val="right"/>
            <w:rPr>
              <w:rFonts w:ascii="Palatino Linotype" w:eastAsia="Palatino Linotype" w:hAnsi="Palatino Linotype" w:cs="Palatino Linotype"/>
              <w:b/>
              <w:color w:val="000000" w:themeColor="text1"/>
            </w:rPr>
          </w:pPr>
          <w:r w:rsidRPr="00F65CBF">
            <w:rPr>
              <w:rFonts w:ascii="Palatino Linotype" w:eastAsia="Palatino Linotype" w:hAnsi="Palatino Linotype" w:cs="Palatino Linotype"/>
              <w:b/>
              <w:color w:val="000000" w:themeColor="text1"/>
            </w:rPr>
            <w:t>Comisionada Ponente:</w:t>
          </w:r>
        </w:p>
      </w:tc>
      <w:tc>
        <w:tcPr>
          <w:tcW w:w="4252" w:type="dxa"/>
        </w:tcPr>
        <w:p w:rsidR="00DE5FEE" w:rsidRPr="00F65CBF" w:rsidRDefault="00DE5FEE" w:rsidP="00F65CBF">
          <w:pPr>
            <w:pBdr>
              <w:top w:val="nil"/>
              <w:left w:val="nil"/>
              <w:bottom w:val="nil"/>
              <w:right w:val="nil"/>
              <w:between w:val="nil"/>
            </w:pBdr>
            <w:tabs>
              <w:tab w:val="right" w:pos="8838"/>
            </w:tabs>
            <w:ind w:right="-70"/>
            <w:rPr>
              <w:rFonts w:ascii="Palatino Linotype" w:eastAsia="Palatino Linotype" w:hAnsi="Palatino Linotype" w:cs="Palatino Linotype"/>
              <w:color w:val="000000" w:themeColor="text1"/>
            </w:rPr>
          </w:pPr>
          <w:r w:rsidRPr="00F65CBF">
            <w:rPr>
              <w:rFonts w:ascii="Palatino Linotype" w:eastAsia="Palatino Linotype" w:hAnsi="Palatino Linotype" w:cs="Palatino Linotype"/>
              <w:color w:val="000000" w:themeColor="text1"/>
            </w:rPr>
            <w:t>María del Rosario Mejía Ayala</w:t>
          </w:r>
        </w:p>
      </w:tc>
    </w:tr>
  </w:tbl>
  <w:p w:rsidR="00DE5FEE" w:rsidRDefault="00735C49">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98B"/>
    <w:multiLevelType w:val="hybridMultilevel"/>
    <w:tmpl w:val="41E69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916826"/>
    <w:multiLevelType w:val="multilevel"/>
    <w:tmpl w:val="7A78F2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DE1CD8"/>
    <w:multiLevelType w:val="multilevel"/>
    <w:tmpl w:val="A65815E6"/>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 w15:restartNumberingAfterBreak="0">
    <w:nsid w:val="276B7CAA"/>
    <w:multiLevelType w:val="hybridMultilevel"/>
    <w:tmpl w:val="9594E5E4"/>
    <w:lvl w:ilvl="0" w:tplc="080A0011">
      <w:start w:val="1"/>
      <w:numFmt w:val="decimal"/>
      <w:lvlText w:val="%1)"/>
      <w:lvlJc w:val="left"/>
      <w:pPr>
        <w:ind w:left="1340" w:hanging="360"/>
      </w:pPr>
    </w:lvl>
    <w:lvl w:ilvl="1" w:tplc="080A0019" w:tentative="1">
      <w:start w:val="1"/>
      <w:numFmt w:val="lowerLetter"/>
      <w:lvlText w:val="%2."/>
      <w:lvlJc w:val="left"/>
      <w:pPr>
        <w:ind w:left="2060" w:hanging="360"/>
      </w:pPr>
    </w:lvl>
    <w:lvl w:ilvl="2" w:tplc="080A001B" w:tentative="1">
      <w:start w:val="1"/>
      <w:numFmt w:val="lowerRoman"/>
      <w:lvlText w:val="%3."/>
      <w:lvlJc w:val="right"/>
      <w:pPr>
        <w:ind w:left="2780" w:hanging="180"/>
      </w:pPr>
    </w:lvl>
    <w:lvl w:ilvl="3" w:tplc="080A000F" w:tentative="1">
      <w:start w:val="1"/>
      <w:numFmt w:val="decimal"/>
      <w:lvlText w:val="%4."/>
      <w:lvlJc w:val="left"/>
      <w:pPr>
        <w:ind w:left="3500" w:hanging="360"/>
      </w:pPr>
    </w:lvl>
    <w:lvl w:ilvl="4" w:tplc="080A0019" w:tentative="1">
      <w:start w:val="1"/>
      <w:numFmt w:val="lowerLetter"/>
      <w:lvlText w:val="%5."/>
      <w:lvlJc w:val="left"/>
      <w:pPr>
        <w:ind w:left="4220" w:hanging="360"/>
      </w:pPr>
    </w:lvl>
    <w:lvl w:ilvl="5" w:tplc="080A001B" w:tentative="1">
      <w:start w:val="1"/>
      <w:numFmt w:val="lowerRoman"/>
      <w:lvlText w:val="%6."/>
      <w:lvlJc w:val="right"/>
      <w:pPr>
        <w:ind w:left="4940" w:hanging="180"/>
      </w:pPr>
    </w:lvl>
    <w:lvl w:ilvl="6" w:tplc="080A000F" w:tentative="1">
      <w:start w:val="1"/>
      <w:numFmt w:val="decimal"/>
      <w:lvlText w:val="%7."/>
      <w:lvlJc w:val="left"/>
      <w:pPr>
        <w:ind w:left="5660" w:hanging="360"/>
      </w:pPr>
    </w:lvl>
    <w:lvl w:ilvl="7" w:tplc="080A0019" w:tentative="1">
      <w:start w:val="1"/>
      <w:numFmt w:val="lowerLetter"/>
      <w:lvlText w:val="%8."/>
      <w:lvlJc w:val="left"/>
      <w:pPr>
        <w:ind w:left="6380" w:hanging="360"/>
      </w:pPr>
    </w:lvl>
    <w:lvl w:ilvl="8" w:tplc="080A001B" w:tentative="1">
      <w:start w:val="1"/>
      <w:numFmt w:val="lowerRoman"/>
      <w:lvlText w:val="%9."/>
      <w:lvlJc w:val="right"/>
      <w:pPr>
        <w:ind w:left="7100" w:hanging="180"/>
      </w:pPr>
    </w:lvl>
  </w:abstractNum>
  <w:abstractNum w:abstractNumId="4" w15:restartNumberingAfterBreak="0">
    <w:nsid w:val="28213B61"/>
    <w:multiLevelType w:val="multilevel"/>
    <w:tmpl w:val="66043710"/>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F1316B"/>
    <w:multiLevelType w:val="multilevel"/>
    <w:tmpl w:val="3E2A1F4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2F8E0861"/>
    <w:multiLevelType w:val="multilevel"/>
    <w:tmpl w:val="4FE8108C"/>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C65071"/>
    <w:multiLevelType w:val="multilevel"/>
    <w:tmpl w:val="AE5CA3C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48AE1173"/>
    <w:multiLevelType w:val="multilevel"/>
    <w:tmpl w:val="17268E56"/>
    <w:lvl w:ilvl="0">
      <w:start w:val="1"/>
      <w:numFmt w:val="decimal"/>
      <w:pStyle w:val="Listaconvietas2"/>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61990412"/>
    <w:multiLevelType w:val="hybridMultilevel"/>
    <w:tmpl w:val="9594E5E4"/>
    <w:lvl w:ilvl="0" w:tplc="080A0011">
      <w:start w:val="1"/>
      <w:numFmt w:val="decimal"/>
      <w:lvlText w:val="%1)"/>
      <w:lvlJc w:val="left"/>
      <w:pPr>
        <w:ind w:left="1340" w:hanging="360"/>
      </w:pPr>
    </w:lvl>
    <w:lvl w:ilvl="1" w:tplc="080A0019" w:tentative="1">
      <w:start w:val="1"/>
      <w:numFmt w:val="lowerLetter"/>
      <w:lvlText w:val="%2."/>
      <w:lvlJc w:val="left"/>
      <w:pPr>
        <w:ind w:left="2060" w:hanging="360"/>
      </w:pPr>
    </w:lvl>
    <w:lvl w:ilvl="2" w:tplc="080A001B" w:tentative="1">
      <w:start w:val="1"/>
      <w:numFmt w:val="lowerRoman"/>
      <w:lvlText w:val="%3."/>
      <w:lvlJc w:val="right"/>
      <w:pPr>
        <w:ind w:left="2780" w:hanging="180"/>
      </w:pPr>
    </w:lvl>
    <w:lvl w:ilvl="3" w:tplc="080A000F" w:tentative="1">
      <w:start w:val="1"/>
      <w:numFmt w:val="decimal"/>
      <w:lvlText w:val="%4."/>
      <w:lvlJc w:val="left"/>
      <w:pPr>
        <w:ind w:left="3500" w:hanging="360"/>
      </w:pPr>
    </w:lvl>
    <w:lvl w:ilvl="4" w:tplc="080A0019" w:tentative="1">
      <w:start w:val="1"/>
      <w:numFmt w:val="lowerLetter"/>
      <w:lvlText w:val="%5."/>
      <w:lvlJc w:val="left"/>
      <w:pPr>
        <w:ind w:left="4220" w:hanging="360"/>
      </w:pPr>
    </w:lvl>
    <w:lvl w:ilvl="5" w:tplc="080A001B" w:tentative="1">
      <w:start w:val="1"/>
      <w:numFmt w:val="lowerRoman"/>
      <w:lvlText w:val="%6."/>
      <w:lvlJc w:val="right"/>
      <w:pPr>
        <w:ind w:left="4940" w:hanging="180"/>
      </w:pPr>
    </w:lvl>
    <w:lvl w:ilvl="6" w:tplc="080A000F" w:tentative="1">
      <w:start w:val="1"/>
      <w:numFmt w:val="decimal"/>
      <w:lvlText w:val="%7."/>
      <w:lvlJc w:val="left"/>
      <w:pPr>
        <w:ind w:left="5660" w:hanging="360"/>
      </w:pPr>
    </w:lvl>
    <w:lvl w:ilvl="7" w:tplc="080A0019" w:tentative="1">
      <w:start w:val="1"/>
      <w:numFmt w:val="lowerLetter"/>
      <w:lvlText w:val="%8."/>
      <w:lvlJc w:val="left"/>
      <w:pPr>
        <w:ind w:left="6380" w:hanging="360"/>
      </w:pPr>
    </w:lvl>
    <w:lvl w:ilvl="8" w:tplc="080A001B" w:tentative="1">
      <w:start w:val="1"/>
      <w:numFmt w:val="lowerRoman"/>
      <w:lvlText w:val="%9."/>
      <w:lvlJc w:val="right"/>
      <w:pPr>
        <w:ind w:left="7100" w:hanging="180"/>
      </w:pPr>
    </w:lvl>
  </w:abstractNum>
  <w:abstractNum w:abstractNumId="10" w15:restartNumberingAfterBreak="0">
    <w:nsid w:val="6F4C78D7"/>
    <w:multiLevelType w:val="multilevel"/>
    <w:tmpl w:val="37B0A93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79E51494"/>
    <w:multiLevelType w:val="multilevel"/>
    <w:tmpl w:val="2B861DF6"/>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7C435A25"/>
    <w:multiLevelType w:val="multilevel"/>
    <w:tmpl w:val="088AE3FE"/>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b/>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5"/>
  </w:num>
  <w:num w:numId="3">
    <w:abstractNumId w:val="6"/>
  </w:num>
  <w:num w:numId="4">
    <w:abstractNumId w:val="1"/>
  </w:num>
  <w:num w:numId="5">
    <w:abstractNumId w:val="8"/>
  </w:num>
  <w:num w:numId="6">
    <w:abstractNumId w:val="11"/>
  </w:num>
  <w:num w:numId="7">
    <w:abstractNumId w:val="9"/>
  </w:num>
  <w:num w:numId="8">
    <w:abstractNumId w:val="12"/>
  </w:num>
  <w:num w:numId="9">
    <w:abstractNumId w:val="3"/>
  </w:num>
  <w:num w:numId="10">
    <w:abstractNumId w:val="2"/>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9F"/>
    <w:rsid w:val="00007CBC"/>
    <w:rsid w:val="00037991"/>
    <w:rsid w:val="00076413"/>
    <w:rsid w:val="00097E40"/>
    <w:rsid w:val="001E21FA"/>
    <w:rsid w:val="0020369F"/>
    <w:rsid w:val="002B67BF"/>
    <w:rsid w:val="003259A9"/>
    <w:rsid w:val="003778C7"/>
    <w:rsid w:val="003A028F"/>
    <w:rsid w:val="003C7556"/>
    <w:rsid w:val="004402AF"/>
    <w:rsid w:val="004842C6"/>
    <w:rsid w:val="004D0622"/>
    <w:rsid w:val="005F5AB1"/>
    <w:rsid w:val="00655537"/>
    <w:rsid w:val="00680807"/>
    <w:rsid w:val="00735BD0"/>
    <w:rsid w:val="00735C49"/>
    <w:rsid w:val="007527F2"/>
    <w:rsid w:val="00762825"/>
    <w:rsid w:val="00796671"/>
    <w:rsid w:val="007A5959"/>
    <w:rsid w:val="007E0FEA"/>
    <w:rsid w:val="00817E38"/>
    <w:rsid w:val="00845E3C"/>
    <w:rsid w:val="0084695A"/>
    <w:rsid w:val="00874E97"/>
    <w:rsid w:val="00877484"/>
    <w:rsid w:val="00881D31"/>
    <w:rsid w:val="008842F4"/>
    <w:rsid w:val="008C510B"/>
    <w:rsid w:val="00901A6F"/>
    <w:rsid w:val="009122CA"/>
    <w:rsid w:val="009737A8"/>
    <w:rsid w:val="009D7C8E"/>
    <w:rsid w:val="00A35F05"/>
    <w:rsid w:val="00A854C4"/>
    <w:rsid w:val="00A90417"/>
    <w:rsid w:val="00B03D58"/>
    <w:rsid w:val="00B1177E"/>
    <w:rsid w:val="00B42C94"/>
    <w:rsid w:val="00B8357E"/>
    <w:rsid w:val="00B8558F"/>
    <w:rsid w:val="00BB4868"/>
    <w:rsid w:val="00D0533A"/>
    <w:rsid w:val="00DE15BE"/>
    <w:rsid w:val="00DE5FEE"/>
    <w:rsid w:val="00DF311C"/>
    <w:rsid w:val="00E125BA"/>
    <w:rsid w:val="00E3111C"/>
    <w:rsid w:val="00F62FB0"/>
    <w:rsid w:val="00F65CBF"/>
    <w:rsid w:val="00F92A2E"/>
    <w:rsid w:val="00FA5C10"/>
    <w:rsid w:val="00FF21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E24B8E4-E60E-4B9C-B336-80824515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3">
    <w:name w:val="13"/>
    <w:basedOn w:val="TableNormal10"/>
    <w:tblPr>
      <w:tblStyleRowBandSize w:val="1"/>
      <w:tblStyleColBandSize w:val="1"/>
      <w:tblCellMar>
        <w:left w:w="70" w:type="dxa"/>
        <w:right w:w="70" w:type="dxa"/>
      </w:tblCellMar>
    </w:tblPr>
  </w:style>
  <w:style w:type="table" w:customStyle="1" w:styleId="12">
    <w:name w:val="12"/>
    <w:basedOn w:val="TableNormal10"/>
    <w:tblPr>
      <w:tblStyleRowBandSize w:val="1"/>
      <w:tblStyleColBandSize w:val="1"/>
      <w:tblCellMar>
        <w:left w:w="70" w:type="dxa"/>
        <w:right w:w="70"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70" w:type="dxa"/>
        <w:right w:w="70" w:type="dxa"/>
      </w:tblCellMar>
    </w:tblPr>
  </w:style>
  <w:style w:type="table" w:customStyle="1" w:styleId="9">
    <w:name w:val="9"/>
    <w:basedOn w:val="TableNormal1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70" w:type="dxa"/>
        <w:right w:w="70" w:type="dxa"/>
      </w:tblCellMar>
    </w:tblPr>
  </w:style>
  <w:style w:type="table" w:customStyle="1" w:styleId="5">
    <w:name w:val="5"/>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88734">
      <w:bodyDiv w:val="1"/>
      <w:marLeft w:val="0"/>
      <w:marRight w:val="0"/>
      <w:marTop w:val="0"/>
      <w:marBottom w:val="0"/>
      <w:divBdr>
        <w:top w:val="none" w:sz="0" w:space="0" w:color="auto"/>
        <w:left w:val="none" w:sz="0" w:space="0" w:color="auto"/>
        <w:bottom w:val="none" w:sz="0" w:space="0" w:color="auto"/>
        <w:right w:val="none" w:sz="0" w:space="0" w:color="auto"/>
      </w:divBdr>
    </w:div>
    <w:div w:id="178008960">
      <w:bodyDiv w:val="1"/>
      <w:marLeft w:val="0"/>
      <w:marRight w:val="0"/>
      <w:marTop w:val="0"/>
      <w:marBottom w:val="0"/>
      <w:divBdr>
        <w:top w:val="none" w:sz="0" w:space="0" w:color="auto"/>
        <w:left w:val="none" w:sz="0" w:space="0" w:color="auto"/>
        <w:bottom w:val="none" w:sz="0" w:space="0" w:color="auto"/>
        <w:right w:val="none" w:sz="0" w:space="0" w:color="auto"/>
      </w:divBdr>
    </w:div>
    <w:div w:id="388187039">
      <w:bodyDiv w:val="1"/>
      <w:marLeft w:val="0"/>
      <w:marRight w:val="0"/>
      <w:marTop w:val="0"/>
      <w:marBottom w:val="0"/>
      <w:divBdr>
        <w:top w:val="none" w:sz="0" w:space="0" w:color="auto"/>
        <w:left w:val="none" w:sz="0" w:space="0" w:color="auto"/>
        <w:bottom w:val="none" w:sz="0" w:space="0" w:color="auto"/>
        <w:right w:val="none" w:sz="0" w:space="0" w:color="auto"/>
      </w:divBdr>
    </w:div>
    <w:div w:id="616064488">
      <w:bodyDiv w:val="1"/>
      <w:marLeft w:val="0"/>
      <w:marRight w:val="0"/>
      <w:marTop w:val="0"/>
      <w:marBottom w:val="0"/>
      <w:divBdr>
        <w:top w:val="none" w:sz="0" w:space="0" w:color="auto"/>
        <w:left w:val="none" w:sz="0" w:space="0" w:color="auto"/>
        <w:bottom w:val="none" w:sz="0" w:space="0" w:color="auto"/>
        <w:right w:val="none" w:sz="0" w:space="0" w:color="auto"/>
      </w:divBdr>
    </w:div>
    <w:div w:id="1291325765">
      <w:bodyDiv w:val="1"/>
      <w:marLeft w:val="0"/>
      <w:marRight w:val="0"/>
      <w:marTop w:val="0"/>
      <w:marBottom w:val="0"/>
      <w:divBdr>
        <w:top w:val="none" w:sz="0" w:space="0" w:color="auto"/>
        <w:left w:val="none" w:sz="0" w:space="0" w:color="auto"/>
        <w:bottom w:val="none" w:sz="0" w:space="0" w:color="auto"/>
        <w:right w:val="none" w:sz="0" w:space="0" w:color="auto"/>
      </w:divBdr>
    </w:div>
    <w:div w:id="1424035169">
      <w:bodyDiv w:val="1"/>
      <w:marLeft w:val="0"/>
      <w:marRight w:val="0"/>
      <w:marTop w:val="0"/>
      <w:marBottom w:val="0"/>
      <w:divBdr>
        <w:top w:val="none" w:sz="0" w:space="0" w:color="auto"/>
        <w:left w:val="none" w:sz="0" w:space="0" w:color="auto"/>
        <w:bottom w:val="none" w:sz="0" w:space="0" w:color="auto"/>
        <w:right w:val="none" w:sz="0" w:space="0" w:color="auto"/>
      </w:divBdr>
    </w:div>
    <w:div w:id="1465345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xJ2bfdrAUwspjBAdOHgwnKuWdw==">CgMxLjAyCGguZ2pkZ3hzMgloLjMwajB6bGwyCWguMWZvYjl0ZTIJaC4zem55c2g3MgloLjJldDkycDAyCWguMXQzaDVzZjIJaC4xa3N2NHV2MgloLjNyZGNyam4yCGgubG54Yno5OAByITFpVC1DNmFoV0wwbUJPSmFvLTBJVXpndDJkNm9mNXduaw==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30</Pages>
  <Words>7988</Words>
  <Characters>43936</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32</cp:revision>
  <cp:lastPrinted>2025-12-05T16:02:00Z</cp:lastPrinted>
  <dcterms:created xsi:type="dcterms:W3CDTF">2025-11-19T20:08:00Z</dcterms:created>
  <dcterms:modified xsi:type="dcterms:W3CDTF">2026-01-15T17:15:00Z</dcterms:modified>
</cp:coreProperties>
</file>