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31119" w14:textId="77777777" w:rsidR="00722A8D" w:rsidRDefault="00722A8D" w:rsidP="00840162">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3D43D61B" w14:textId="09699CAA" w:rsidR="00722A8D" w:rsidRPr="00DC01BC" w:rsidRDefault="00722A8D" w:rsidP="00840162">
          <w:pPr>
            <w:pStyle w:val="TtulodeTDC"/>
            <w:spacing w:before="0" w:line="360" w:lineRule="auto"/>
            <w:contextualSpacing/>
            <w:jc w:val="center"/>
            <w:rPr>
              <w:rFonts w:ascii="Palatino Linotype" w:hAnsi="Palatino Linotype"/>
              <w:color w:val="000000" w:themeColor="text1"/>
              <w:sz w:val="22"/>
              <w:szCs w:val="22"/>
            </w:rPr>
          </w:pPr>
          <w:r w:rsidRPr="00DC01BC">
            <w:rPr>
              <w:rFonts w:ascii="Palatino Linotype" w:hAnsi="Palatino Linotype"/>
              <w:color w:val="000000" w:themeColor="text1"/>
              <w:sz w:val="22"/>
              <w:szCs w:val="22"/>
              <w:lang w:val="es-ES"/>
            </w:rPr>
            <w:t>RESOLUCIÓN DEL RECURSO DE REVISIÓN 0</w:t>
          </w:r>
          <w:r w:rsidR="004D5F21" w:rsidRPr="00DC01BC">
            <w:rPr>
              <w:rFonts w:ascii="Palatino Linotype" w:hAnsi="Palatino Linotype"/>
              <w:color w:val="000000" w:themeColor="text1"/>
              <w:sz w:val="22"/>
              <w:szCs w:val="22"/>
              <w:lang w:val="es-ES"/>
            </w:rPr>
            <w:t>1121</w:t>
          </w:r>
          <w:r w:rsidRPr="00DC01BC">
            <w:rPr>
              <w:rFonts w:ascii="Palatino Linotype" w:hAnsi="Palatino Linotype"/>
              <w:color w:val="000000" w:themeColor="text1"/>
              <w:sz w:val="22"/>
              <w:szCs w:val="22"/>
              <w:lang w:val="es-ES"/>
            </w:rPr>
            <w:t>/INFOEM/IP/RR/2025</w:t>
          </w:r>
        </w:p>
        <w:p w14:paraId="6E79A48B" w14:textId="77777777" w:rsidR="00722A8D" w:rsidRPr="00DC01BC" w:rsidRDefault="00722A8D" w:rsidP="00840162">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DC01BC">
            <w:rPr>
              <w:rFonts w:ascii="Palatino Linotype" w:hAnsi="Palatino Linotype"/>
              <w:color w:val="000000" w:themeColor="text1"/>
              <w:sz w:val="22"/>
              <w:szCs w:val="22"/>
            </w:rPr>
            <w:fldChar w:fldCharType="begin"/>
          </w:r>
          <w:r w:rsidRPr="00DC01BC">
            <w:rPr>
              <w:rFonts w:ascii="Palatino Linotype" w:hAnsi="Palatino Linotype"/>
              <w:color w:val="000000" w:themeColor="text1"/>
              <w:sz w:val="22"/>
              <w:szCs w:val="22"/>
            </w:rPr>
            <w:instrText xml:space="preserve"> TOC \o "1-3" \h \z \u </w:instrText>
          </w:r>
          <w:r w:rsidRPr="00DC01BC">
            <w:rPr>
              <w:rFonts w:ascii="Palatino Linotype" w:hAnsi="Palatino Linotype"/>
              <w:color w:val="000000" w:themeColor="text1"/>
              <w:sz w:val="22"/>
              <w:szCs w:val="22"/>
            </w:rPr>
            <w:fldChar w:fldCharType="separate"/>
          </w:r>
          <w:hyperlink w:anchor="_Toc190350679" w:history="1">
            <w:r w:rsidRPr="00DC01BC">
              <w:rPr>
                <w:rStyle w:val="Hipervnculo"/>
                <w:rFonts w:ascii="Palatino Linotype" w:hAnsi="Palatino Linotype"/>
                <w:noProof/>
                <w:color w:val="000000" w:themeColor="text1"/>
                <w:sz w:val="22"/>
                <w:szCs w:val="22"/>
              </w:rPr>
              <w:t>A N T E C E D E N T E S</w:t>
            </w:r>
            <w:r w:rsidRPr="00DC01BC">
              <w:rPr>
                <w:rFonts w:ascii="Palatino Linotype" w:hAnsi="Palatino Linotype"/>
                <w:noProof/>
                <w:webHidden/>
                <w:color w:val="000000" w:themeColor="text1"/>
                <w:sz w:val="22"/>
                <w:szCs w:val="22"/>
              </w:rPr>
              <w:tab/>
            </w:r>
            <w:r w:rsidRPr="00DC01BC">
              <w:rPr>
                <w:rFonts w:ascii="Palatino Linotype" w:hAnsi="Palatino Linotype"/>
                <w:noProof/>
                <w:webHidden/>
                <w:color w:val="000000" w:themeColor="text1"/>
                <w:sz w:val="22"/>
                <w:szCs w:val="22"/>
              </w:rPr>
              <w:fldChar w:fldCharType="begin"/>
            </w:r>
            <w:r w:rsidRPr="00DC01BC">
              <w:rPr>
                <w:rFonts w:ascii="Palatino Linotype" w:hAnsi="Palatino Linotype"/>
                <w:noProof/>
                <w:webHidden/>
                <w:color w:val="000000" w:themeColor="text1"/>
                <w:sz w:val="22"/>
                <w:szCs w:val="22"/>
              </w:rPr>
              <w:instrText xml:space="preserve"> PAGEREF _Toc190350679 \h </w:instrText>
            </w:r>
            <w:r w:rsidRPr="00DC01BC">
              <w:rPr>
                <w:rFonts w:ascii="Palatino Linotype" w:hAnsi="Palatino Linotype"/>
                <w:noProof/>
                <w:webHidden/>
                <w:color w:val="000000" w:themeColor="text1"/>
                <w:sz w:val="22"/>
                <w:szCs w:val="22"/>
              </w:rPr>
            </w:r>
            <w:r w:rsidRPr="00DC01BC">
              <w:rPr>
                <w:rFonts w:ascii="Palatino Linotype" w:hAnsi="Palatino Linotype"/>
                <w:noProof/>
                <w:webHidden/>
                <w:color w:val="000000" w:themeColor="text1"/>
                <w:sz w:val="22"/>
                <w:szCs w:val="22"/>
              </w:rPr>
              <w:fldChar w:fldCharType="separate"/>
            </w:r>
            <w:r w:rsidR="0046754A">
              <w:rPr>
                <w:rFonts w:ascii="Palatino Linotype" w:hAnsi="Palatino Linotype"/>
                <w:noProof/>
                <w:webHidden/>
                <w:color w:val="000000" w:themeColor="text1"/>
                <w:sz w:val="22"/>
                <w:szCs w:val="22"/>
              </w:rPr>
              <w:t>2</w:t>
            </w:r>
            <w:r w:rsidRPr="00DC01BC">
              <w:rPr>
                <w:rFonts w:ascii="Palatino Linotype" w:hAnsi="Palatino Linotype"/>
                <w:noProof/>
                <w:webHidden/>
                <w:color w:val="000000" w:themeColor="text1"/>
                <w:sz w:val="22"/>
                <w:szCs w:val="22"/>
              </w:rPr>
              <w:fldChar w:fldCharType="end"/>
            </w:r>
          </w:hyperlink>
        </w:p>
        <w:p w14:paraId="4BAA676D" w14:textId="77777777" w:rsidR="00722A8D" w:rsidRPr="00DC01BC" w:rsidRDefault="00F15BA7" w:rsidP="00840162">
          <w:pPr>
            <w:pStyle w:val="TDC2"/>
            <w:rPr>
              <w:noProof/>
            </w:rPr>
          </w:pPr>
          <w:hyperlink w:anchor="_Toc190350680" w:history="1">
            <w:r w:rsidR="00722A8D" w:rsidRPr="00DC01BC">
              <w:rPr>
                <w:rStyle w:val="Hipervnculo"/>
                <w:rFonts w:ascii="Palatino Linotype" w:hAnsi="Palatino Linotype"/>
                <w:noProof/>
                <w:color w:val="000000" w:themeColor="text1"/>
                <w:sz w:val="22"/>
                <w:szCs w:val="22"/>
              </w:rPr>
              <w:t>I. Presentación de la solicitud de información</w:t>
            </w:r>
            <w:r w:rsidR="00722A8D" w:rsidRPr="00DC01BC">
              <w:rPr>
                <w:noProof/>
                <w:webHidden/>
              </w:rPr>
              <w:tab/>
            </w:r>
            <w:r w:rsidR="00722A8D" w:rsidRPr="00DC01BC">
              <w:rPr>
                <w:noProof/>
                <w:webHidden/>
              </w:rPr>
              <w:fldChar w:fldCharType="begin"/>
            </w:r>
            <w:r w:rsidR="00722A8D" w:rsidRPr="00DC01BC">
              <w:rPr>
                <w:noProof/>
                <w:webHidden/>
              </w:rPr>
              <w:instrText xml:space="preserve"> PAGEREF _Toc190350680 \h </w:instrText>
            </w:r>
            <w:r w:rsidR="00722A8D" w:rsidRPr="00DC01BC">
              <w:rPr>
                <w:noProof/>
                <w:webHidden/>
              </w:rPr>
            </w:r>
            <w:r w:rsidR="00722A8D" w:rsidRPr="00DC01BC">
              <w:rPr>
                <w:noProof/>
                <w:webHidden/>
              </w:rPr>
              <w:fldChar w:fldCharType="separate"/>
            </w:r>
            <w:r w:rsidR="0046754A">
              <w:rPr>
                <w:noProof/>
                <w:webHidden/>
              </w:rPr>
              <w:t>2</w:t>
            </w:r>
            <w:r w:rsidR="00722A8D" w:rsidRPr="00DC01BC">
              <w:rPr>
                <w:noProof/>
                <w:webHidden/>
              </w:rPr>
              <w:fldChar w:fldCharType="end"/>
            </w:r>
          </w:hyperlink>
        </w:p>
        <w:p w14:paraId="634E8F0C" w14:textId="77777777" w:rsidR="00722A8D" w:rsidRPr="00DC01BC" w:rsidRDefault="00F15BA7" w:rsidP="00840162">
          <w:pPr>
            <w:pStyle w:val="TDC2"/>
            <w:rPr>
              <w:noProof/>
            </w:rPr>
          </w:pPr>
          <w:hyperlink w:anchor="_Toc190350681" w:history="1">
            <w:r w:rsidR="00722A8D" w:rsidRPr="00DC01BC">
              <w:rPr>
                <w:rStyle w:val="Hipervnculo"/>
                <w:rFonts w:ascii="Palatino Linotype" w:hAnsi="Palatino Linotype"/>
                <w:noProof/>
                <w:color w:val="000000" w:themeColor="text1"/>
                <w:sz w:val="22"/>
                <w:szCs w:val="22"/>
              </w:rPr>
              <w:t>II. Respuesta del Sujeto Obligado</w:t>
            </w:r>
            <w:r w:rsidR="00722A8D" w:rsidRPr="00DC01BC">
              <w:rPr>
                <w:noProof/>
                <w:webHidden/>
              </w:rPr>
              <w:tab/>
            </w:r>
            <w:r w:rsidR="00722A8D" w:rsidRPr="00DC01BC">
              <w:rPr>
                <w:noProof/>
                <w:webHidden/>
              </w:rPr>
              <w:fldChar w:fldCharType="begin"/>
            </w:r>
            <w:r w:rsidR="00722A8D" w:rsidRPr="00DC01BC">
              <w:rPr>
                <w:noProof/>
                <w:webHidden/>
              </w:rPr>
              <w:instrText xml:space="preserve"> PAGEREF _Toc190350681 \h </w:instrText>
            </w:r>
            <w:r w:rsidR="00722A8D" w:rsidRPr="00DC01BC">
              <w:rPr>
                <w:noProof/>
                <w:webHidden/>
              </w:rPr>
            </w:r>
            <w:r w:rsidR="00722A8D" w:rsidRPr="00DC01BC">
              <w:rPr>
                <w:noProof/>
                <w:webHidden/>
              </w:rPr>
              <w:fldChar w:fldCharType="separate"/>
            </w:r>
            <w:r w:rsidR="0046754A">
              <w:rPr>
                <w:noProof/>
                <w:webHidden/>
              </w:rPr>
              <w:t>3</w:t>
            </w:r>
            <w:r w:rsidR="00722A8D" w:rsidRPr="00DC01BC">
              <w:rPr>
                <w:noProof/>
                <w:webHidden/>
              </w:rPr>
              <w:fldChar w:fldCharType="end"/>
            </w:r>
          </w:hyperlink>
        </w:p>
        <w:p w14:paraId="57D2A004" w14:textId="6E3F6748" w:rsidR="00722A8D" w:rsidRPr="00DC01BC" w:rsidRDefault="00F15BA7" w:rsidP="00840162">
          <w:pPr>
            <w:pStyle w:val="TDC2"/>
            <w:rPr>
              <w:noProof/>
            </w:rPr>
          </w:pPr>
          <w:hyperlink w:anchor="_Toc190350682" w:history="1">
            <w:r w:rsidR="00722A8D" w:rsidRPr="00DC01BC">
              <w:rPr>
                <w:rStyle w:val="Hipervnculo"/>
                <w:rFonts w:ascii="Palatino Linotype" w:hAnsi="Palatino Linotype"/>
                <w:noProof/>
                <w:color w:val="000000" w:themeColor="text1"/>
                <w:sz w:val="22"/>
                <w:szCs w:val="22"/>
              </w:rPr>
              <w:t>III. Interposición del Recurso de Revisión</w:t>
            </w:r>
            <w:r w:rsidR="00722A8D" w:rsidRPr="00DC01BC">
              <w:rPr>
                <w:noProof/>
                <w:webHidden/>
              </w:rPr>
              <w:tab/>
            </w:r>
            <w:r w:rsidR="000B0821" w:rsidRPr="00DC01BC">
              <w:rPr>
                <w:noProof/>
                <w:webHidden/>
              </w:rPr>
              <w:t>5</w:t>
            </w:r>
          </w:hyperlink>
        </w:p>
        <w:p w14:paraId="46519F6E" w14:textId="2FA41CE3" w:rsidR="00722A8D" w:rsidRPr="00DC01BC" w:rsidRDefault="00F15BA7" w:rsidP="00840162">
          <w:pPr>
            <w:pStyle w:val="TDC2"/>
            <w:rPr>
              <w:noProof/>
            </w:rPr>
          </w:pPr>
          <w:hyperlink w:anchor="_Toc190350683" w:history="1">
            <w:r w:rsidR="00722A8D" w:rsidRPr="00DC01BC">
              <w:rPr>
                <w:rStyle w:val="Hipervnculo"/>
                <w:rFonts w:ascii="Palatino Linotype" w:hAnsi="Palatino Linotype"/>
                <w:noProof/>
                <w:color w:val="000000" w:themeColor="text1"/>
                <w:sz w:val="22"/>
                <w:szCs w:val="22"/>
              </w:rPr>
              <w:t xml:space="preserve">IV. </w:t>
            </w:r>
            <w:r w:rsidR="00722A8D" w:rsidRPr="00DC01BC">
              <w:rPr>
                <w:rStyle w:val="Hipervnculo"/>
                <w:rFonts w:ascii="Palatino Linotype" w:eastAsia="Batang" w:hAnsi="Palatino Linotype"/>
                <w:noProof/>
                <w:color w:val="000000" w:themeColor="text1"/>
                <w:sz w:val="22"/>
                <w:szCs w:val="22"/>
              </w:rPr>
              <w:t xml:space="preserve">Trámite del </w:t>
            </w:r>
            <w:r w:rsidR="00722A8D" w:rsidRPr="00DC01BC">
              <w:rPr>
                <w:rStyle w:val="Hipervnculo"/>
                <w:rFonts w:ascii="Palatino Linotype" w:hAnsi="Palatino Linotype"/>
                <w:noProof/>
                <w:color w:val="000000" w:themeColor="text1"/>
                <w:sz w:val="22"/>
                <w:szCs w:val="22"/>
              </w:rPr>
              <w:t xml:space="preserve">Recurso de Revisión </w:t>
            </w:r>
            <w:r w:rsidR="00722A8D" w:rsidRPr="00DC01BC">
              <w:rPr>
                <w:rStyle w:val="Hipervnculo"/>
                <w:rFonts w:ascii="Palatino Linotype" w:eastAsia="Batang" w:hAnsi="Palatino Linotype"/>
                <w:noProof/>
                <w:color w:val="000000" w:themeColor="text1"/>
                <w:sz w:val="22"/>
                <w:szCs w:val="22"/>
              </w:rPr>
              <w:t>ante el Instituto</w:t>
            </w:r>
            <w:r w:rsidR="00722A8D" w:rsidRPr="00DC01BC">
              <w:rPr>
                <w:noProof/>
                <w:webHidden/>
              </w:rPr>
              <w:tab/>
            </w:r>
            <w:r w:rsidR="00006124" w:rsidRPr="00DC01BC">
              <w:rPr>
                <w:noProof/>
                <w:webHidden/>
              </w:rPr>
              <w:t>6</w:t>
            </w:r>
          </w:hyperlink>
        </w:p>
        <w:p w14:paraId="445E20F8" w14:textId="1C966709" w:rsidR="00722A8D" w:rsidRPr="00DC01BC" w:rsidRDefault="00F15BA7" w:rsidP="00840162">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722A8D" w:rsidRPr="00DC01BC">
              <w:rPr>
                <w:rStyle w:val="Hipervnculo"/>
                <w:rFonts w:ascii="Palatino Linotype" w:hAnsi="Palatino Linotype"/>
                <w:noProof/>
                <w:color w:val="000000" w:themeColor="text1"/>
                <w:sz w:val="22"/>
                <w:szCs w:val="22"/>
                <w:lang w:val="es-ES"/>
              </w:rPr>
              <w:t>C O N S I D E R A N D O S</w:t>
            </w:r>
            <w:r w:rsidR="00722A8D" w:rsidRPr="00DC01BC">
              <w:rPr>
                <w:rFonts w:ascii="Palatino Linotype" w:hAnsi="Palatino Linotype"/>
                <w:noProof/>
                <w:webHidden/>
                <w:color w:val="000000" w:themeColor="text1"/>
                <w:sz w:val="22"/>
                <w:szCs w:val="22"/>
              </w:rPr>
              <w:tab/>
            </w:r>
            <w:r w:rsidR="00840162" w:rsidRPr="00DC01BC">
              <w:rPr>
                <w:rFonts w:ascii="Palatino Linotype" w:hAnsi="Palatino Linotype"/>
                <w:noProof/>
                <w:webHidden/>
                <w:color w:val="000000" w:themeColor="text1"/>
                <w:sz w:val="22"/>
                <w:szCs w:val="22"/>
              </w:rPr>
              <w:t>8</w:t>
            </w:r>
          </w:hyperlink>
        </w:p>
        <w:p w14:paraId="6A23940C" w14:textId="5C7251EF" w:rsidR="00722A8D" w:rsidRPr="00DC01BC" w:rsidRDefault="00F15BA7" w:rsidP="00840162">
          <w:pPr>
            <w:pStyle w:val="TDC2"/>
            <w:rPr>
              <w:rFonts w:ascii="Palatino Linotype" w:hAnsi="Palatino Linotype"/>
              <w:noProof/>
              <w:color w:val="000000" w:themeColor="text1"/>
              <w:sz w:val="22"/>
              <w:szCs w:val="22"/>
            </w:rPr>
          </w:pPr>
          <w:hyperlink w:anchor="_Toc190350685" w:history="1">
            <w:r w:rsidR="00722A8D" w:rsidRPr="00DC01BC">
              <w:rPr>
                <w:rStyle w:val="Hipervnculo"/>
                <w:rFonts w:ascii="Palatino Linotype" w:eastAsia="Calibri" w:hAnsi="Palatino Linotype"/>
                <w:noProof/>
                <w:color w:val="000000" w:themeColor="text1"/>
                <w:sz w:val="22"/>
                <w:szCs w:val="22"/>
                <w:lang w:val="es-ES" w:eastAsia="es-MX"/>
              </w:rPr>
              <w:t xml:space="preserve">PRIMERO. </w:t>
            </w:r>
            <w:r w:rsidR="00722A8D" w:rsidRPr="00DC01BC">
              <w:rPr>
                <w:rStyle w:val="Hipervnculo"/>
                <w:rFonts w:ascii="Palatino Linotype" w:hAnsi="Palatino Linotype"/>
                <w:noProof/>
                <w:color w:val="000000" w:themeColor="text1"/>
                <w:sz w:val="22"/>
                <w:szCs w:val="22"/>
                <w:lang w:val="es-ES"/>
              </w:rPr>
              <w:t>Competencia</w:t>
            </w:r>
            <w:r w:rsidR="00722A8D" w:rsidRPr="00DC01BC">
              <w:rPr>
                <w:rFonts w:ascii="Palatino Linotype" w:hAnsi="Palatino Linotype"/>
                <w:noProof/>
                <w:webHidden/>
                <w:color w:val="000000" w:themeColor="text1"/>
                <w:sz w:val="22"/>
                <w:szCs w:val="22"/>
              </w:rPr>
              <w:tab/>
            </w:r>
            <w:r w:rsidR="00840162" w:rsidRPr="00DC01BC">
              <w:rPr>
                <w:rFonts w:ascii="Palatino Linotype" w:hAnsi="Palatino Linotype"/>
                <w:noProof/>
                <w:webHidden/>
                <w:color w:val="000000" w:themeColor="text1"/>
                <w:sz w:val="22"/>
                <w:szCs w:val="22"/>
              </w:rPr>
              <w:t>8</w:t>
            </w:r>
          </w:hyperlink>
        </w:p>
        <w:p w14:paraId="71F374E9" w14:textId="2148134B" w:rsidR="00722A8D" w:rsidRPr="00DC01BC" w:rsidRDefault="00F15BA7" w:rsidP="00840162">
          <w:pPr>
            <w:pStyle w:val="TDC2"/>
            <w:rPr>
              <w:noProof/>
            </w:rPr>
          </w:pPr>
          <w:hyperlink w:anchor="_Toc190350686" w:history="1">
            <w:r w:rsidR="00722A8D" w:rsidRPr="00DC01BC">
              <w:rPr>
                <w:rStyle w:val="Hipervnculo"/>
                <w:rFonts w:ascii="Palatino Linotype" w:eastAsia="Calibri" w:hAnsi="Palatino Linotype"/>
                <w:noProof/>
                <w:color w:val="000000" w:themeColor="text1"/>
                <w:sz w:val="22"/>
                <w:szCs w:val="22"/>
                <w:lang w:val="es-ES" w:eastAsia="es-MX"/>
              </w:rPr>
              <w:t>SEGUNDO. Causales de improcedencia y sobreseimiento</w:t>
            </w:r>
            <w:r w:rsidR="00722A8D" w:rsidRPr="00DC01BC">
              <w:rPr>
                <w:noProof/>
                <w:webHidden/>
              </w:rPr>
              <w:tab/>
            </w:r>
            <w:r w:rsidR="00840162" w:rsidRPr="00DC01BC">
              <w:rPr>
                <w:noProof/>
                <w:webHidden/>
              </w:rPr>
              <w:t>9</w:t>
            </w:r>
          </w:hyperlink>
        </w:p>
        <w:p w14:paraId="23D905B5" w14:textId="059CDFEF" w:rsidR="00722A8D" w:rsidRPr="00DC01BC" w:rsidRDefault="00F15BA7" w:rsidP="00840162">
          <w:pPr>
            <w:pStyle w:val="TDC2"/>
            <w:rPr>
              <w:noProof/>
            </w:rPr>
          </w:pPr>
          <w:hyperlink w:anchor="_Toc190350687" w:history="1">
            <w:r w:rsidR="00722A8D" w:rsidRPr="00DC01BC">
              <w:rPr>
                <w:rStyle w:val="Hipervnculo"/>
                <w:rFonts w:ascii="Palatino Linotype" w:hAnsi="Palatino Linotype"/>
                <w:noProof/>
                <w:color w:val="000000" w:themeColor="text1"/>
                <w:sz w:val="22"/>
                <w:szCs w:val="22"/>
                <w:lang w:val="es-ES" w:eastAsia="es-ES_tradnl"/>
              </w:rPr>
              <w:t>TERCERO. Determinación de la Controversia</w:t>
            </w:r>
            <w:r w:rsidR="00722A8D" w:rsidRPr="00DC01BC">
              <w:rPr>
                <w:noProof/>
                <w:webHidden/>
              </w:rPr>
              <w:tab/>
              <w:t>1</w:t>
            </w:r>
            <w:r w:rsidR="00840162" w:rsidRPr="00DC01BC">
              <w:rPr>
                <w:noProof/>
                <w:webHidden/>
              </w:rPr>
              <w:t>0</w:t>
            </w:r>
          </w:hyperlink>
        </w:p>
        <w:p w14:paraId="57BCBC5B" w14:textId="4963638A" w:rsidR="00722A8D" w:rsidRPr="00DC01BC" w:rsidRDefault="00F15BA7" w:rsidP="00840162">
          <w:pPr>
            <w:pStyle w:val="TDC2"/>
            <w:rPr>
              <w:noProof/>
            </w:rPr>
          </w:pPr>
          <w:hyperlink w:anchor="_Toc190350688" w:history="1">
            <w:r w:rsidR="00722A8D" w:rsidRPr="00DC01BC">
              <w:rPr>
                <w:rStyle w:val="Hipervnculo"/>
                <w:rFonts w:ascii="Palatino Linotype" w:hAnsi="Palatino Linotype"/>
                <w:noProof/>
                <w:color w:val="000000" w:themeColor="text1"/>
                <w:sz w:val="22"/>
                <w:szCs w:val="22"/>
                <w:lang w:val="es-ES"/>
              </w:rPr>
              <w:t xml:space="preserve">CUARTO. </w:t>
            </w:r>
            <w:r w:rsidR="00722A8D" w:rsidRPr="00DC01BC">
              <w:rPr>
                <w:rStyle w:val="Hipervnculo"/>
                <w:rFonts w:ascii="Palatino Linotype" w:hAnsi="Palatino Linotype"/>
                <w:noProof/>
                <w:color w:val="000000" w:themeColor="text1"/>
                <w:sz w:val="22"/>
                <w:szCs w:val="22"/>
              </w:rPr>
              <w:t>Marco normativo aplicable en materia de transparencia y acceso a la información pública</w:t>
            </w:r>
            <w:r w:rsidR="00722A8D" w:rsidRPr="00DC01BC">
              <w:rPr>
                <w:noProof/>
                <w:webHidden/>
              </w:rPr>
              <w:tab/>
            </w:r>
            <w:r w:rsidR="00722A8D" w:rsidRPr="00DC01BC">
              <w:rPr>
                <w:noProof/>
                <w:webHidden/>
              </w:rPr>
              <w:fldChar w:fldCharType="begin"/>
            </w:r>
            <w:r w:rsidR="00722A8D" w:rsidRPr="00DC01BC">
              <w:rPr>
                <w:noProof/>
                <w:webHidden/>
              </w:rPr>
              <w:instrText xml:space="preserve"> PAGEREF _Toc190350688 \h </w:instrText>
            </w:r>
            <w:r w:rsidR="00722A8D" w:rsidRPr="00DC01BC">
              <w:rPr>
                <w:noProof/>
                <w:webHidden/>
              </w:rPr>
            </w:r>
            <w:r w:rsidR="00722A8D" w:rsidRPr="00DC01BC">
              <w:rPr>
                <w:noProof/>
                <w:webHidden/>
              </w:rPr>
              <w:fldChar w:fldCharType="separate"/>
            </w:r>
            <w:r w:rsidR="0046754A">
              <w:rPr>
                <w:noProof/>
                <w:webHidden/>
              </w:rPr>
              <w:t>13</w:t>
            </w:r>
            <w:r w:rsidR="00722A8D" w:rsidRPr="00DC01BC">
              <w:rPr>
                <w:noProof/>
                <w:webHidden/>
              </w:rPr>
              <w:fldChar w:fldCharType="end"/>
            </w:r>
          </w:hyperlink>
        </w:p>
        <w:p w14:paraId="7E92D376" w14:textId="4EEB4CB6" w:rsidR="00722A8D" w:rsidRPr="00DC01BC" w:rsidRDefault="00F15BA7" w:rsidP="00840162">
          <w:pPr>
            <w:pStyle w:val="TDC2"/>
            <w:rPr>
              <w:rFonts w:ascii="Palatino Linotype" w:hAnsi="Palatino Linotype"/>
              <w:noProof/>
              <w:color w:val="000000" w:themeColor="text1"/>
              <w:sz w:val="22"/>
              <w:szCs w:val="22"/>
            </w:rPr>
          </w:pPr>
          <w:hyperlink w:anchor="_Toc190350689" w:history="1">
            <w:r w:rsidR="00722A8D" w:rsidRPr="00DC01BC">
              <w:rPr>
                <w:rStyle w:val="Hipervnculo"/>
                <w:rFonts w:ascii="Palatino Linotype" w:hAnsi="Palatino Linotype"/>
                <w:noProof/>
                <w:color w:val="000000" w:themeColor="text1"/>
                <w:sz w:val="22"/>
                <w:szCs w:val="22"/>
                <w:lang w:val="es-ES"/>
              </w:rPr>
              <w:t>QUINTO. Estudio de Fondo</w:t>
            </w:r>
            <w:r w:rsidR="00722A8D" w:rsidRPr="00DC01BC">
              <w:rPr>
                <w:rFonts w:ascii="Palatino Linotype" w:hAnsi="Palatino Linotype"/>
                <w:noProof/>
                <w:webHidden/>
                <w:color w:val="000000" w:themeColor="text1"/>
                <w:sz w:val="22"/>
                <w:szCs w:val="22"/>
              </w:rPr>
              <w:tab/>
              <w:t>1</w:t>
            </w:r>
            <w:r w:rsidR="00840162" w:rsidRPr="00DC01BC">
              <w:rPr>
                <w:rFonts w:ascii="Palatino Linotype" w:hAnsi="Palatino Linotype"/>
                <w:noProof/>
                <w:webHidden/>
                <w:color w:val="000000" w:themeColor="text1"/>
                <w:sz w:val="22"/>
                <w:szCs w:val="22"/>
              </w:rPr>
              <w:t>4</w:t>
            </w:r>
          </w:hyperlink>
        </w:p>
        <w:p w14:paraId="61C73EFD" w14:textId="653FDC81" w:rsidR="00722A8D" w:rsidRPr="00DC01BC" w:rsidRDefault="00F15BA7" w:rsidP="00840162">
          <w:pPr>
            <w:pStyle w:val="TDC2"/>
            <w:rPr>
              <w:rFonts w:ascii="Palatino Linotype" w:hAnsi="Palatino Linotype"/>
              <w:noProof/>
              <w:color w:val="000000" w:themeColor="text1"/>
              <w:sz w:val="22"/>
              <w:szCs w:val="22"/>
            </w:rPr>
          </w:pPr>
          <w:hyperlink w:anchor="_Toc190350690" w:history="1">
            <w:r w:rsidR="00722A8D" w:rsidRPr="00DC01BC">
              <w:rPr>
                <w:rStyle w:val="Hipervnculo"/>
                <w:rFonts w:ascii="Palatino Linotype" w:hAnsi="Palatino Linotype"/>
                <w:noProof/>
                <w:color w:val="000000" w:themeColor="text1"/>
                <w:sz w:val="22"/>
                <w:szCs w:val="22"/>
              </w:rPr>
              <w:t>SEXTO. Decisión</w:t>
            </w:r>
            <w:r w:rsidR="00722A8D" w:rsidRPr="00DC01BC">
              <w:rPr>
                <w:rFonts w:ascii="Palatino Linotype" w:hAnsi="Palatino Linotype"/>
                <w:noProof/>
                <w:webHidden/>
                <w:color w:val="000000" w:themeColor="text1"/>
                <w:sz w:val="22"/>
                <w:szCs w:val="22"/>
              </w:rPr>
              <w:tab/>
              <w:t>2</w:t>
            </w:r>
            <w:r w:rsidR="00006124" w:rsidRPr="00DC01BC">
              <w:rPr>
                <w:rFonts w:ascii="Palatino Linotype" w:hAnsi="Palatino Linotype"/>
                <w:noProof/>
                <w:webHidden/>
                <w:color w:val="000000" w:themeColor="text1"/>
                <w:sz w:val="22"/>
                <w:szCs w:val="22"/>
              </w:rPr>
              <w:t>1</w:t>
            </w:r>
          </w:hyperlink>
        </w:p>
        <w:p w14:paraId="33C86A1F" w14:textId="09978AE3" w:rsidR="00722A8D" w:rsidRPr="00DC01BC" w:rsidRDefault="00F15BA7" w:rsidP="00840162">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722A8D" w:rsidRPr="00DC01BC">
              <w:rPr>
                <w:rStyle w:val="Hipervnculo"/>
                <w:rFonts w:ascii="Palatino Linotype" w:eastAsia="Calibri" w:hAnsi="Palatino Linotype"/>
                <w:noProof/>
                <w:color w:val="000000" w:themeColor="text1"/>
                <w:sz w:val="22"/>
                <w:szCs w:val="22"/>
              </w:rPr>
              <w:t>R E S U E L V E</w:t>
            </w:r>
            <w:r w:rsidR="00722A8D" w:rsidRPr="00DC01BC">
              <w:rPr>
                <w:rFonts w:ascii="Palatino Linotype" w:hAnsi="Palatino Linotype"/>
                <w:noProof/>
                <w:webHidden/>
                <w:color w:val="000000" w:themeColor="text1"/>
                <w:sz w:val="22"/>
                <w:szCs w:val="22"/>
              </w:rPr>
              <w:tab/>
              <w:t>2</w:t>
            </w:r>
            <w:r w:rsidR="00006124" w:rsidRPr="00DC01BC">
              <w:rPr>
                <w:rFonts w:ascii="Palatino Linotype" w:hAnsi="Palatino Linotype"/>
                <w:noProof/>
                <w:webHidden/>
                <w:color w:val="000000" w:themeColor="text1"/>
                <w:sz w:val="22"/>
                <w:szCs w:val="22"/>
              </w:rPr>
              <w:t>2</w:t>
            </w:r>
          </w:hyperlink>
        </w:p>
        <w:p w14:paraId="2A9BE48E" w14:textId="77777777" w:rsidR="00722A8D" w:rsidRPr="00DC01BC" w:rsidRDefault="00722A8D" w:rsidP="00840162">
          <w:pPr>
            <w:spacing w:line="360" w:lineRule="auto"/>
            <w:contextualSpacing/>
          </w:pPr>
          <w:r w:rsidRPr="00DC01BC">
            <w:rPr>
              <w:rFonts w:ascii="Palatino Linotype" w:hAnsi="Palatino Linotype"/>
              <w:b/>
              <w:bCs/>
              <w:color w:val="000000" w:themeColor="text1"/>
              <w:sz w:val="22"/>
              <w:szCs w:val="22"/>
              <w:lang w:val="es-ES"/>
            </w:rPr>
            <w:fldChar w:fldCharType="end"/>
          </w:r>
        </w:p>
      </w:sdtContent>
    </w:sdt>
    <w:p w14:paraId="56BE5C96"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0236071C"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4C27F31B"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0A649E76"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4BE5632D"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25C08F76"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76B21FCB" w14:textId="77777777" w:rsidR="004D5F21" w:rsidRPr="00DC01BC" w:rsidRDefault="004D5F21" w:rsidP="00840162">
      <w:pPr>
        <w:spacing w:line="360" w:lineRule="auto"/>
        <w:ind w:right="-28"/>
        <w:contextualSpacing/>
        <w:jc w:val="both"/>
        <w:rPr>
          <w:rFonts w:ascii="Palatino Linotype" w:hAnsi="Palatino Linotype" w:cs="Tahoma"/>
          <w:sz w:val="22"/>
          <w:szCs w:val="22"/>
        </w:rPr>
      </w:pPr>
    </w:p>
    <w:p w14:paraId="2CBC03F2" w14:textId="3282C780" w:rsidR="00722A8D" w:rsidRPr="00DC01BC" w:rsidRDefault="00722A8D" w:rsidP="00840162">
      <w:pPr>
        <w:spacing w:line="360" w:lineRule="auto"/>
        <w:ind w:right="-28"/>
        <w:contextualSpacing/>
        <w:jc w:val="both"/>
        <w:rPr>
          <w:rFonts w:ascii="Palatino Linotype" w:hAnsi="Palatino Linotype" w:cs="Tahoma"/>
          <w:sz w:val="22"/>
          <w:szCs w:val="22"/>
        </w:rPr>
      </w:pPr>
      <w:r w:rsidRPr="00DC01BC">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0E2CDB" w:rsidRPr="00DC01BC">
        <w:rPr>
          <w:rFonts w:ascii="Palatino Linotype" w:hAnsi="Palatino Linotype" w:cs="Tahoma"/>
          <w:bCs/>
          <w:sz w:val="22"/>
          <w:szCs w:val="22"/>
        </w:rPr>
        <w:t>veinte</w:t>
      </w:r>
      <w:r w:rsidRPr="00DC01BC">
        <w:rPr>
          <w:rFonts w:ascii="Palatino Linotype" w:hAnsi="Palatino Linotype" w:cs="Tahoma"/>
          <w:bCs/>
          <w:sz w:val="22"/>
          <w:szCs w:val="22"/>
        </w:rPr>
        <w:t xml:space="preserve"> de marzo de dos mil veinticinco.</w:t>
      </w:r>
    </w:p>
    <w:p w14:paraId="43F033DB" w14:textId="77777777" w:rsidR="00722A8D" w:rsidRPr="00DC01BC" w:rsidRDefault="00722A8D" w:rsidP="00840162">
      <w:pPr>
        <w:spacing w:line="360" w:lineRule="auto"/>
        <w:ind w:right="-28"/>
        <w:contextualSpacing/>
        <w:jc w:val="both"/>
        <w:rPr>
          <w:rFonts w:ascii="Palatino Linotype" w:hAnsi="Palatino Linotype"/>
          <w:noProof/>
          <w:sz w:val="22"/>
          <w:szCs w:val="22"/>
          <w:lang w:val="es-ES"/>
        </w:rPr>
      </w:pPr>
    </w:p>
    <w:p w14:paraId="71022356" w14:textId="3C530982" w:rsidR="00722A8D" w:rsidRPr="00DC01BC" w:rsidRDefault="00722A8D" w:rsidP="00840162">
      <w:pPr>
        <w:spacing w:line="360" w:lineRule="auto"/>
        <w:ind w:right="-28"/>
        <w:contextualSpacing/>
        <w:jc w:val="both"/>
        <w:rPr>
          <w:rFonts w:ascii="Palatino Linotype" w:hAnsi="Palatino Linotype" w:cs="Tahoma"/>
          <w:bCs/>
          <w:sz w:val="22"/>
          <w:szCs w:val="22"/>
        </w:rPr>
      </w:pPr>
      <w:r w:rsidRPr="00DC01BC">
        <w:rPr>
          <w:rFonts w:ascii="Palatino Linotype" w:hAnsi="Palatino Linotype" w:cs="Tahoma"/>
          <w:b/>
          <w:bCs/>
          <w:sz w:val="22"/>
          <w:szCs w:val="22"/>
        </w:rPr>
        <w:t xml:space="preserve">VISTO </w:t>
      </w:r>
      <w:r w:rsidRPr="00DC01BC">
        <w:rPr>
          <w:rFonts w:ascii="Palatino Linotype" w:hAnsi="Palatino Linotype" w:cs="Tahoma"/>
          <w:bCs/>
          <w:sz w:val="22"/>
          <w:szCs w:val="22"/>
        </w:rPr>
        <w:t xml:space="preserve">el expediente conformado con motivo del Recurso de Revisión </w:t>
      </w:r>
      <w:r w:rsidRPr="00D82A16">
        <w:rPr>
          <w:rFonts w:ascii="Palatino Linotype" w:hAnsi="Palatino Linotype" w:cs="Tahoma"/>
          <w:b/>
          <w:color w:val="0D0D0D" w:themeColor="text1" w:themeTint="F2"/>
          <w:sz w:val="22"/>
          <w:szCs w:val="22"/>
        </w:rPr>
        <w:t>0</w:t>
      </w:r>
      <w:r w:rsidR="004D5F21" w:rsidRPr="00D82A16">
        <w:rPr>
          <w:rFonts w:ascii="Palatino Linotype" w:hAnsi="Palatino Linotype" w:cs="Tahoma"/>
          <w:b/>
          <w:color w:val="0D0D0D" w:themeColor="text1" w:themeTint="F2"/>
          <w:sz w:val="22"/>
          <w:szCs w:val="22"/>
        </w:rPr>
        <w:t>1121</w:t>
      </w:r>
      <w:r w:rsidRPr="00D82A16">
        <w:rPr>
          <w:rFonts w:ascii="Palatino Linotype" w:hAnsi="Palatino Linotype" w:cs="Tahoma"/>
          <w:b/>
          <w:color w:val="0D0D0D" w:themeColor="text1" w:themeTint="F2"/>
          <w:sz w:val="22"/>
          <w:szCs w:val="22"/>
        </w:rPr>
        <w:t>/INFOEM/IP/RR/2025</w:t>
      </w:r>
      <w:r w:rsidRPr="00DC01BC">
        <w:rPr>
          <w:rFonts w:ascii="Palatino Linotype" w:hAnsi="Palatino Linotype" w:cs="Tahoma"/>
          <w:sz w:val="22"/>
          <w:szCs w:val="22"/>
        </w:rPr>
        <w:t xml:space="preserve">, interpuesto por el Recurrente o Particular, en contra de la respuesta del Sujeto Obligado, </w:t>
      </w:r>
      <w:r w:rsidR="004D5F21" w:rsidRPr="00D82A16">
        <w:rPr>
          <w:rFonts w:ascii="Palatino Linotype" w:hAnsi="Palatino Linotype"/>
          <w:b/>
          <w:color w:val="000000"/>
          <w:sz w:val="22"/>
          <w:szCs w:val="22"/>
        </w:rPr>
        <w:t>Instituto de Políticas Públicas del Estado de México y sus Municipios</w:t>
      </w:r>
      <w:r w:rsidRPr="00D82A16">
        <w:rPr>
          <w:rFonts w:ascii="Palatino Linotype" w:hAnsi="Palatino Linotype" w:cs="Tahoma"/>
          <w:b/>
          <w:sz w:val="22"/>
          <w:szCs w:val="22"/>
        </w:rPr>
        <w:t>,</w:t>
      </w:r>
      <w:r w:rsidRPr="00DC01BC">
        <w:rPr>
          <w:rFonts w:ascii="Palatino Linotype" w:hAnsi="Palatino Linotype" w:cs="Tahoma"/>
          <w:sz w:val="22"/>
          <w:szCs w:val="22"/>
        </w:rPr>
        <w:t xml:space="preserve"> a la solicitud de acceso a la información pública</w:t>
      </w:r>
      <w:r w:rsidRPr="00DC01BC">
        <w:rPr>
          <w:rFonts w:ascii="Palatino Linotype" w:hAnsi="Palatino Linotype" w:cs="Tahoma"/>
          <w:bCs/>
          <w:sz w:val="22"/>
          <w:szCs w:val="22"/>
        </w:rPr>
        <w:t xml:space="preserve"> con número de folio</w:t>
      </w:r>
      <w:r w:rsidRPr="00DC01BC">
        <w:rPr>
          <w:rFonts w:ascii="Verdana" w:hAnsi="Verdana"/>
          <w:b/>
          <w:bCs/>
          <w:color w:val="FF0000"/>
        </w:rPr>
        <w:t> </w:t>
      </w:r>
      <w:r w:rsidR="004D5F21" w:rsidRPr="00DC01BC">
        <w:rPr>
          <w:rFonts w:ascii="Palatino Linotype" w:hAnsi="Palatino Linotype"/>
          <w:sz w:val="22"/>
          <w:szCs w:val="22"/>
        </w:rPr>
        <w:t>00005/IPPEMM/IP/2025</w:t>
      </w:r>
      <w:r w:rsidRPr="00DC01BC">
        <w:rPr>
          <w:rFonts w:ascii="Palatino Linotype" w:hAnsi="Palatino Linotype" w:cs="Tahoma"/>
          <w:bCs/>
          <w:sz w:val="22"/>
          <w:szCs w:val="22"/>
        </w:rPr>
        <w:t>, se emite la presente Resolución, con base en los Antecedentes y Considerandos que se exponen a continuación:</w:t>
      </w:r>
    </w:p>
    <w:p w14:paraId="7A127EB8" w14:textId="77777777" w:rsidR="00722A8D" w:rsidRPr="00DC01BC" w:rsidRDefault="00722A8D" w:rsidP="00840162">
      <w:pPr>
        <w:spacing w:line="360" w:lineRule="auto"/>
        <w:ind w:right="-28"/>
        <w:contextualSpacing/>
        <w:jc w:val="both"/>
        <w:rPr>
          <w:rFonts w:ascii="Palatino Linotype" w:hAnsi="Palatino Linotype" w:cs="Tahoma"/>
          <w:bCs/>
          <w:sz w:val="22"/>
          <w:szCs w:val="22"/>
        </w:rPr>
      </w:pPr>
    </w:p>
    <w:p w14:paraId="32944903" w14:textId="77777777" w:rsidR="00722A8D" w:rsidRPr="00DC01BC" w:rsidRDefault="00722A8D" w:rsidP="00840162">
      <w:pPr>
        <w:pStyle w:val="Ttulo1"/>
        <w:spacing w:before="0" w:after="0" w:line="360" w:lineRule="auto"/>
        <w:contextualSpacing/>
        <w:jc w:val="center"/>
        <w:rPr>
          <w:rFonts w:ascii="Palatino Linotype" w:hAnsi="Palatino Linotype"/>
          <w:b/>
          <w:bCs/>
          <w:color w:val="auto"/>
          <w:sz w:val="22"/>
          <w:szCs w:val="22"/>
        </w:rPr>
      </w:pPr>
      <w:bookmarkStart w:id="0" w:name="_Toc190350679"/>
      <w:r w:rsidRPr="00DC01BC">
        <w:rPr>
          <w:rFonts w:ascii="Palatino Linotype" w:hAnsi="Palatino Linotype"/>
          <w:b/>
          <w:bCs/>
          <w:color w:val="auto"/>
          <w:sz w:val="22"/>
          <w:szCs w:val="22"/>
        </w:rPr>
        <w:t>A N T E C E D E N T E S</w:t>
      </w:r>
      <w:bookmarkEnd w:id="0"/>
    </w:p>
    <w:p w14:paraId="7DC1CEC7" w14:textId="77777777" w:rsidR="00722A8D" w:rsidRPr="00DC01BC" w:rsidRDefault="00722A8D" w:rsidP="00840162">
      <w:pPr>
        <w:tabs>
          <w:tab w:val="center" w:pos="4522"/>
          <w:tab w:val="left" w:pos="7245"/>
          <w:tab w:val="right" w:pos="9044"/>
        </w:tabs>
        <w:spacing w:line="360" w:lineRule="auto"/>
        <w:ind w:right="-28"/>
        <w:contextualSpacing/>
        <w:rPr>
          <w:rFonts w:ascii="Palatino Linotype" w:hAnsi="Palatino Linotype" w:cs="Tahoma"/>
          <w:b/>
          <w:bCs/>
          <w:sz w:val="22"/>
          <w:szCs w:val="22"/>
        </w:rPr>
      </w:pPr>
    </w:p>
    <w:p w14:paraId="0F26AE91" w14:textId="77777777" w:rsidR="00722A8D" w:rsidRPr="00DC01BC" w:rsidRDefault="00722A8D" w:rsidP="00840162">
      <w:pPr>
        <w:pStyle w:val="Ttulo2"/>
        <w:spacing w:before="0" w:after="0" w:line="360" w:lineRule="auto"/>
        <w:contextualSpacing/>
        <w:rPr>
          <w:rFonts w:ascii="Palatino Linotype" w:hAnsi="Palatino Linotype"/>
          <w:b/>
          <w:bCs/>
          <w:color w:val="auto"/>
          <w:sz w:val="22"/>
          <w:szCs w:val="22"/>
        </w:rPr>
      </w:pPr>
      <w:bookmarkStart w:id="1" w:name="_Toc190350680"/>
      <w:r w:rsidRPr="00DC01BC">
        <w:rPr>
          <w:rFonts w:ascii="Palatino Linotype" w:hAnsi="Palatino Linotype"/>
          <w:b/>
          <w:bCs/>
          <w:color w:val="auto"/>
          <w:sz w:val="22"/>
          <w:szCs w:val="22"/>
        </w:rPr>
        <w:t>I. Presentación de la solicitud de información</w:t>
      </w:r>
      <w:bookmarkEnd w:id="1"/>
    </w:p>
    <w:p w14:paraId="5A03B755" w14:textId="77777777"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rPr>
      </w:pPr>
    </w:p>
    <w:p w14:paraId="5B9D1CBB" w14:textId="00752CCD"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lang w:val="es-ES"/>
        </w:rPr>
      </w:pPr>
      <w:r w:rsidRPr="00DC01BC">
        <w:rPr>
          <w:rFonts w:ascii="Palatino Linotype" w:hAnsi="Palatino Linotype" w:cs="Tahoma"/>
          <w:sz w:val="22"/>
          <w:szCs w:val="22"/>
        </w:rPr>
        <w:t xml:space="preserve">Con fecha </w:t>
      </w:r>
      <w:r w:rsidR="004D5F21" w:rsidRPr="00DC01BC">
        <w:rPr>
          <w:rFonts w:ascii="Palatino Linotype" w:hAnsi="Palatino Linotype" w:cs="Tahoma"/>
          <w:sz w:val="22"/>
          <w:szCs w:val="22"/>
        </w:rPr>
        <w:t>veintisiete</w:t>
      </w:r>
      <w:r w:rsidRPr="00DC01BC">
        <w:rPr>
          <w:rFonts w:ascii="Palatino Linotype" w:hAnsi="Palatino Linotype" w:cs="Tahoma"/>
          <w:sz w:val="22"/>
          <w:szCs w:val="22"/>
        </w:rPr>
        <w:t xml:space="preserve"> de enero de dos mil veinticinco, el Particular presentó una solicitud de acceso a la información pública, a través del Sistema de Acceso a la Información Mexiquense (SAIMEX), ante el </w:t>
      </w:r>
      <w:r w:rsidR="004D5F21" w:rsidRPr="00DC01BC">
        <w:rPr>
          <w:rFonts w:ascii="Palatino Linotype" w:hAnsi="Palatino Linotype"/>
          <w:color w:val="000000"/>
          <w:sz w:val="22"/>
          <w:szCs w:val="22"/>
        </w:rPr>
        <w:t>Instituto de Políticas Públicas del Estado de México y sus Municipios</w:t>
      </w:r>
      <w:r w:rsidRPr="00DC01BC">
        <w:rPr>
          <w:rFonts w:ascii="Palatino Linotype" w:hAnsi="Palatino Linotype"/>
          <w:bCs/>
          <w:color w:val="000000"/>
          <w:sz w:val="22"/>
          <w:szCs w:val="22"/>
        </w:rPr>
        <w:t xml:space="preserve">, </w:t>
      </w:r>
      <w:r w:rsidRPr="00DC01BC">
        <w:rPr>
          <w:rFonts w:ascii="Palatino Linotype" w:hAnsi="Palatino Linotype"/>
          <w:b/>
          <w:color w:val="000000"/>
          <w:sz w:val="22"/>
          <w:szCs w:val="22"/>
        </w:rPr>
        <w:t>ya que, si bien se presentó el veint</w:t>
      </w:r>
      <w:r w:rsidR="004D5F21" w:rsidRPr="00DC01BC">
        <w:rPr>
          <w:rFonts w:ascii="Palatino Linotype" w:hAnsi="Palatino Linotype"/>
          <w:b/>
          <w:color w:val="000000"/>
          <w:sz w:val="22"/>
          <w:szCs w:val="22"/>
        </w:rPr>
        <w:t>iséis</w:t>
      </w:r>
      <w:r w:rsidRPr="00DC01BC">
        <w:rPr>
          <w:rFonts w:ascii="Palatino Linotype" w:hAnsi="Palatino Linotype"/>
          <w:b/>
          <w:color w:val="000000"/>
          <w:sz w:val="22"/>
          <w:szCs w:val="22"/>
        </w:rPr>
        <w:t xml:space="preserve"> de</w:t>
      </w:r>
      <w:r w:rsidR="004D5F21" w:rsidRPr="00DC01BC">
        <w:rPr>
          <w:rFonts w:ascii="Palatino Linotype" w:hAnsi="Palatino Linotype"/>
          <w:b/>
          <w:color w:val="000000"/>
          <w:sz w:val="22"/>
          <w:szCs w:val="22"/>
        </w:rPr>
        <w:t xml:space="preserve"> enero del presente año</w:t>
      </w:r>
      <w:r w:rsidRPr="00DC01BC">
        <w:rPr>
          <w:rFonts w:ascii="Palatino Linotype" w:hAnsi="Palatino Linotype"/>
          <w:b/>
          <w:color w:val="000000"/>
          <w:sz w:val="22"/>
          <w:szCs w:val="22"/>
        </w:rPr>
        <w:t>, lo cierto es que fue inhábil, por lo que se tuvo por presentada el día hábil subsecuente,</w:t>
      </w:r>
      <w:r w:rsidRPr="00DC01BC">
        <w:rPr>
          <w:rFonts w:ascii="Palatino Linotype" w:hAnsi="Palatino Linotype" w:cs="Tahoma"/>
          <w:b/>
          <w:bCs/>
          <w:sz w:val="22"/>
          <w:szCs w:val="22"/>
        </w:rPr>
        <w:t xml:space="preserve"> </w:t>
      </w:r>
      <w:r w:rsidRPr="00DC01BC">
        <w:rPr>
          <w:rFonts w:ascii="Palatino Linotype" w:hAnsi="Palatino Linotype" w:cs="Tahoma"/>
          <w:sz w:val="22"/>
          <w:szCs w:val="22"/>
          <w:lang w:val="es-ES"/>
        </w:rPr>
        <w:t>mediante la cual requirió lo siguiente:</w:t>
      </w:r>
    </w:p>
    <w:p w14:paraId="35641E81" w14:textId="77777777" w:rsidR="00722A8D" w:rsidRPr="00DC01BC" w:rsidRDefault="00722A8D" w:rsidP="00840162">
      <w:pPr>
        <w:tabs>
          <w:tab w:val="left" w:pos="4667"/>
        </w:tabs>
        <w:spacing w:line="360" w:lineRule="auto"/>
        <w:ind w:right="567"/>
        <w:contextualSpacing/>
        <w:jc w:val="both"/>
        <w:rPr>
          <w:rFonts w:ascii="Palatino Linotype" w:hAnsi="Palatino Linotype" w:cs="Tahoma"/>
          <w:b/>
          <w:bCs/>
          <w:i/>
        </w:rPr>
      </w:pPr>
    </w:p>
    <w:p w14:paraId="5CF31C45" w14:textId="77777777" w:rsidR="00722A8D" w:rsidRPr="00DC01BC" w:rsidRDefault="00722A8D" w:rsidP="00840162">
      <w:pPr>
        <w:tabs>
          <w:tab w:val="left" w:pos="4667"/>
        </w:tabs>
        <w:spacing w:line="360" w:lineRule="auto"/>
        <w:ind w:left="567" w:right="567"/>
        <w:contextualSpacing/>
        <w:jc w:val="both"/>
        <w:rPr>
          <w:rFonts w:ascii="Palatino Linotype" w:hAnsi="Palatino Linotype" w:cs="Tahoma"/>
          <w:b/>
          <w:bCs/>
          <w:i/>
        </w:rPr>
      </w:pPr>
      <w:bookmarkStart w:id="2" w:name="_Hlk182343885"/>
      <w:r w:rsidRPr="00DC01BC">
        <w:rPr>
          <w:rFonts w:ascii="Palatino Linotype" w:hAnsi="Palatino Linotype" w:cs="Tahoma"/>
          <w:b/>
          <w:bCs/>
          <w:i/>
        </w:rPr>
        <w:t>“DESCRIPCIÓN CLARA Y PRECISA DE LA INFORMACIÓN SOLICITADA:</w:t>
      </w:r>
    </w:p>
    <w:p w14:paraId="759061FF" w14:textId="36914FF7" w:rsidR="00722A8D" w:rsidRPr="00DC01BC" w:rsidRDefault="004D5F21" w:rsidP="00840162">
      <w:pPr>
        <w:spacing w:line="360" w:lineRule="auto"/>
        <w:ind w:left="567" w:right="567"/>
        <w:contextualSpacing/>
        <w:jc w:val="both"/>
        <w:rPr>
          <w:rFonts w:ascii="Palatino Linotype" w:hAnsi="Palatino Linotype" w:cs="Tahoma"/>
          <w:bCs/>
          <w:i/>
        </w:rPr>
      </w:pPr>
      <w:r w:rsidRPr="00DC01BC">
        <w:rPr>
          <w:rFonts w:ascii="Palatino Linotype" w:hAnsi="Palatino Linotype"/>
          <w:i/>
          <w:color w:val="000000"/>
        </w:rPr>
        <w:t xml:space="preserve">Requiero la justificación legal y académica del grado que imparten, Maestría en Administración Pública Municipal con Enfoque de Género, sobre todo en lo que respecta el Enfoque de Género; </w:t>
      </w:r>
      <w:r w:rsidRPr="00DC01BC">
        <w:rPr>
          <w:rFonts w:ascii="Palatino Linotype" w:hAnsi="Palatino Linotype"/>
          <w:i/>
          <w:color w:val="000000"/>
        </w:rPr>
        <w:lastRenderedPageBreak/>
        <w:t>también qué metas y objetivos específicos persigue y derivado de qué estudios e investigaciones basadas en la Metodología de la Investigación Científica, busca resolver y su pertinencia.</w:t>
      </w:r>
      <w:r w:rsidR="00722A8D" w:rsidRPr="00DC01BC">
        <w:rPr>
          <w:rFonts w:ascii="Palatino Linotype" w:hAnsi="Palatino Linotype" w:cs="Tahoma"/>
          <w:bCs/>
          <w:i/>
        </w:rPr>
        <w:t>” (Sic)</w:t>
      </w:r>
    </w:p>
    <w:bookmarkEnd w:id="2"/>
    <w:p w14:paraId="39AAAB47" w14:textId="77777777" w:rsidR="004D5F21" w:rsidRPr="00DC01BC" w:rsidRDefault="004D5F21" w:rsidP="00840162">
      <w:pPr>
        <w:tabs>
          <w:tab w:val="left" w:pos="4667"/>
        </w:tabs>
        <w:spacing w:line="360" w:lineRule="auto"/>
        <w:ind w:left="567" w:right="567"/>
        <w:contextualSpacing/>
        <w:jc w:val="both"/>
        <w:rPr>
          <w:rFonts w:ascii="Palatino Linotype" w:hAnsi="Palatino Linotype" w:cs="Tahoma"/>
          <w:b/>
          <w:bCs/>
          <w:i/>
        </w:rPr>
      </w:pPr>
    </w:p>
    <w:p w14:paraId="3F0C7929" w14:textId="2D7697CF" w:rsidR="00722A8D" w:rsidRPr="00DC01BC" w:rsidRDefault="00722A8D" w:rsidP="00840162">
      <w:pPr>
        <w:tabs>
          <w:tab w:val="left" w:pos="4667"/>
        </w:tabs>
        <w:spacing w:line="360" w:lineRule="auto"/>
        <w:ind w:left="567" w:right="567"/>
        <w:contextualSpacing/>
        <w:jc w:val="both"/>
        <w:rPr>
          <w:rFonts w:ascii="Palatino Linotype" w:hAnsi="Palatino Linotype" w:cs="Tahoma"/>
          <w:b/>
          <w:bCs/>
          <w:i/>
        </w:rPr>
      </w:pPr>
      <w:r w:rsidRPr="00DC01BC">
        <w:rPr>
          <w:rFonts w:ascii="Palatino Linotype" w:hAnsi="Palatino Linotype" w:cs="Tahoma"/>
          <w:b/>
          <w:bCs/>
          <w:i/>
        </w:rPr>
        <w:t>“Modalidad de Entrega</w:t>
      </w:r>
    </w:p>
    <w:p w14:paraId="5C90E7BE" w14:textId="77777777" w:rsidR="00722A8D" w:rsidRPr="00DC01BC" w:rsidRDefault="00722A8D" w:rsidP="00840162">
      <w:pPr>
        <w:tabs>
          <w:tab w:val="left" w:pos="567"/>
        </w:tabs>
        <w:spacing w:line="360" w:lineRule="auto"/>
        <w:ind w:left="567" w:right="567"/>
        <w:contextualSpacing/>
        <w:jc w:val="both"/>
        <w:rPr>
          <w:rFonts w:ascii="Palatino Linotype" w:hAnsi="Palatino Linotype" w:cs="Tahoma"/>
          <w:bCs/>
          <w:i/>
        </w:rPr>
      </w:pPr>
      <w:r w:rsidRPr="00DC01BC">
        <w:rPr>
          <w:rFonts w:ascii="Palatino Linotype" w:hAnsi="Palatino Linotype" w:cs="Tahoma"/>
          <w:bCs/>
          <w:i/>
        </w:rPr>
        <w:t xml:space="preserve">A través del SAIMEX”  </w:t>
      </w:r>
    </w:p>
    <w:p w14:paraId="3E1759A9" w14:textId="77777777" w:rsidR="00722A8D" w:rsidRPr="00DC01BC" w:rsidRDefault="00722A8D" w:rsidP="00840162">
      <w:pPr>
        <w:spacing w:line="360" w:lineRule="auto"/>
        <w:contextualSpacing/>
        <w:rPr>
          <w:rFonts w:ascii="Palatino Linotype" w:eastAsia="Calibri" w:hAnsi="Palatino Linotype" w:cs="Tahoma"/>
          <w:b/>
          <w:bCs/>
          <w:sz w:val="22"/>
          <w:szCs w:val="22"/>
        </w:rPr>
      </w:pPr>
      <w:bookmarkStart w:id="3" w:name="_Hlk16082333"/>
    </w:p>
    <w:p w14:paraId="20D788FB" w14:textId="77777777" w:rsidR="00722A8D" w:rsidRPr="00DC01BC" w:rsidRDefault="00722A8D" w:rsidP="00840162">
      <w:pPr>
        <w:pStyle w:val="Ttulo2"/>
        <w:spacing w:before="0" w:after="0" w:line="360" w:lineRule="auto"/>
        <w:contextualSpacing/>
        <w:rPr>
          <w:rFonts w:ascii="Palatino Linotype" w:hAnsi="Palatino Linotype"/>
          <w:b/>
          <w:bCs/>
          <w:color w:val="auto"/>
          <w:sz w:val="22"/>
          <w:szCs w:val="22"/>
        </w:rPr>
      </w:pPr>
      <w:bookmarkStart w:id="4" w:name="_Toc190350681"/>
      <w:r w:rsidRPr="00DC01BC">
        <w:rPr>
          <w:rFonts w:ascii="Palatino Linotype" w:hAnsi="Palatino Linotype"/>
          <w:b/>
          <w:bCs/>
          <w:color w:val="auto"/>
          <w:sz w:val="22"/>
          <w:szCs w:val="22"/>
        </w:rPr>
        <w:t>II. Respuesta del Sujeto Obligado</w:t>
      </w:r>
      <w:bookmarkEnd w:id="4"/>
    </w:p>
    <w:p w14:paraId="07AEBDD5" w14:textId="77777777" w:rsidR="00722A8D" w:rsidRPr="00DC01BC" w:rsidRDefault="00722A8D" w:rsidP="00840162">
      <w:pPr>
        <w:tabs>
          <w:tab w:val="left" w:pos="4667"/>
        </w:tabs>
        <w:spacing w:line="360" w:lineRule="auto"/>
        <w:ind w:right="567"/>
        <w:contextualSpacing/>
        <w:jc w:val="both"/>
        <w:rPr>
          <w:rFonts w:ascii="Palatino Linotype" w:hAnsi="Palatino Linotype" w:cs="Tahoma"/>
          <w:b/>
          <w:bCs/>
          <w:sz w:val="22"/>
          <w:szCs w:val="24"/>
        </w:rPr>
      </w:pPr>
    </w:p>
    <w:bookmarkEnd w:id="3"/>
    <w:p w14:paraId="55B55424" w14:textId="5360821F"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rPr>
      </w:pPr>
      <w:r w:rsidRPr="00DC01BC">
        <w:rPr>
          <w:rFonts w:ascii="Palatino Linotype" w:hAnsi="Palatino Linotype" w:cs="Tahoma"/>
          <w:bCs/>
          <w:sz w:val="22"/>
          <w:szCs w:val="22"/>
        </w:rPr>
        <w:t xml:space="preserve">Con fecha </w:t>
      </w:r>
      <w:r w:rsidR="007D557A" w:rsidRPr="00DC01BC">
        <w:rPr>
          <w:rFonts w:ascii="Palatino Linotype" w:hAnsi="Palatino Linotype" w:cs="Tahoma"/>
          <w:bCs/>
          <w:sz w:val="22"/>
          <w:szCs w:val="22"/>
        </w:rPr>
        <w:t>siete de febrero</w:t>
      </w:r>
      <w:r w:rsidRPr="00DC01BC">
        <w:rPr>
          <w:rFonts w:ascii="Palatino Linotype" w:hAnsi="Palatino Linotype" w:cs="Tahoma"/>
          <w:bCs/>
          <w:sz w:val="22"/>
          <w:szCs w:val="22"/>
        </w:rPr>
        <w:t xml:space="preserve"> de febrero de dos mil veinticinco, el</w:t>
      </w:r>
      <w:r w:rsidRPr="00DC01BC">
        <w:rPr>
          <w:rFonts w:ascii="Palatino Linotype" w:hAnsi="Palatino Linotype" w:cs="Tahoma"/>
          <w:b/>
          <w:sz w:val="22"/>
          <w:szCs w:val="22"/>
        </w:rPr>
        <w:t xml:space="preserve"> </w:t>
      </w:r>
      <w:r w:rsidRPr="00DC01BC">
        <w:rPr>
          <w:rFonts w:ascii="Palatino Linotype" w:hAnsi="Palatino Linotype" w:cs="Tahoma"/>
          <w:sz w:val="22"/>
          <w:szCs w:val="22"/>
        </w:rPr>
        <w:t>Sujeto Obligado dio respuesta a la solicitud de acceso a la información a través del Sistema de Acceso a la Información Mexiquense (SAIMEX), por medio del oficio sin número, por medio del cual manifiesta y expone esencialmente lo siguiente:</w:t>
      </w:r>
    </w:p>
    <w:p w14:paraId="2869D906" w14:textId="77777777"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rPr>
      </w:pPr>
    </w:p>
    <w:p w14:paraId="236903F4" w14:textId="77777777" w:rsidR="007D557A" w:rsidRPr="00DC01BC" w:rsidRDefault="00722A8D" w:rsidP="00840162">
      <w:pPr>
        <w:autoSpaceDE w:val="0"/>
        <w:autoSpaceDN w:val="0"/>
        <w:adjustRightInd w:val="0"/>
        <w:spacing w:line="360" w:lineRule="auto"/>
        <w:ind w:left="567" w:right="567"/>
        <w:contextualSpacing/>
        <w:jc w:val="both"/>
        <w:rPr>
          <w:rFonts w:ascii="Palatino Linotype" w:hAnsi="Palatino Linotype" w:cs="Tahoma"/>
          <w:i/>
        </w:rPr>
      </w:pPr>
      <w:bookmarkStart w:id="5" w:name="_Hlk192681629"/>
      <w:r w:rsidRPr="00DC01BC">
        <w:rPr>
          <w:rFonts w:ascii="Palatino Linotype" w:hAnsi="Palatino Linotype" w:cs="Tahoma"/>
          <w:i/>
        </w:rPr>
        <w:t>“…</w:t>
      </w:r>
    </w:p>
    <w:p w14:paraId="1E67C17F" w14:textId="590915F5"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b/>
          <w:bCs/>
          <w:i/>
        </w:rPr>
      </w:pPr>
      <w:r w:rsidRPr="00DC01BC">
        <w:rPr>
          <w:rFonts w:ascii="Palatino Linotype" w:hAnsi="Palatino Linotype" w:cs="Tahoma"/>
          <w:b/>
          <w:bCs/>
          <w:i/>
        </w:rPr>
        <w:t>Se adjunta la Ficha Técnica emitida por el Sistema de Reconocimiento de Validez Oficial de Estudios del tipo Superior de la Secretaría de Educación Pública como parte de la justificación legal.</w:t>
      </w:r>
    </w:p>
    <w:p w14:paraId="22F6D1B0" w14:textId="77777777"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p>
    <w:p w14:paraId="655C38F2" w14:textId="250A14D5"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b/>
          <w:bCs/>
          <w:i/>
        </w:rPr>
      </w:pPr>
      <w:r w:rsidRPr="00DC01BC">
        <w:rPr>
          <w:rFonts w:ascii="Palatino Linotype" w:hAnsi="Palatino Linotype" w:cs="Tahoma"/>
          <w:b/>
          <w:bCs/>
          <w:i/>
        </w:rPr>
        <w:t>Metas y objetivos específicos</w:t>
      </w:r>
    </w:p>
    <w:p w14:paraId="0CF4ACAE" w14:textId="77777777"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p>
    <w:p w14:paraId="5E16DBD4" w14:textId="606CB9F0"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Formar profesionales en el ámbito de la administración pública municipal con el enfoque de género capaces de analizar, diseñar, implementar y evaluar políticas y programas públicos con perspectiva de género que promuevan la igualdad de oportunidades y la equidad.</w:t>
      </w:r>
    </w:p>
    <w:p w14:paraId="3BE1AACB" w14:textId="77777777"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p>
    <w:p w14:paraId="574284F8" w14:textId="30778EAE"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 xml:space="preserve">Que el alumno fortalezca sus capacidades de análisis e interpretación para la adquisición y el desarrollo de conocimiento permitiéndole, mediante el estudio de experiencias previas, el abordaje </w:t>
      </w:r>
      <w:r w:rsidRPr="00DC01BC">
        <w:rPr>
          <w:rFonts w:ascii="Palatino Linotype" w:hAnsi="Palatino Linotype" w:cs="Tahoma"/>
          <w:i/>
        </w:rPr>
        <w:lastRenderedPageBreak/>
        <w:t>de problemas públicos para construir intervenciones desde el gobierno municipal, sustentándolas racional y científicamente.</w:t>
      </w:r>
    </w:p>
    <w:p w14:paraId="1E01EA93" w14:textId="77777777" w:rsidR="00DB4D2B" w:rsidRPr="00DC01BC" w:rsidRDefault="00DB4D2B" w:rsidP="00840162">
      <w:pPr>
        <w:autoSpaceDE w:val="0"/>
        <w:autoSpaceDN w:val="0"/>
        <w:adjustRightInd w:val="0"/>
        <w:spacing w:line="360" w:lineRule="auto"/>
        <w:ind w:left="567" w:right="567"/>
        <w:contextualSpacing/>
        <w:jc w:val="both"/>
        <w:rPr>
          <w:rFonts w:ascii="Palatino Linotype" w:hAnsi="Palatino Linotype" w:cs="Tahoma"/>
          <w:i/>
        </w:rPr>
      </w:pPr>
    </w:p>
    <w:p w14:paraId="073E522D" w14:textId="0F50F945"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noProof/>
          <w:lang w:eastAsia="es-MX"/>
        </w:rPr>
        <w:drawing>
          <wp:inline distT="0" distB="0" distL="0" distR="0" wp14:anchorId="3263E557" wp14:editId="20B7B127">
            <wp:extent cx="5279390" cy="4231005"/>
            <wp:effectExtent l="0" t="0" r="0" b="0"/>
            <wp:docPr id="13445260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4231005"/>
                    </a:xfrm>
                    <a:prstGeom prst="rect">
                      <a:avLst/>
                    </a:prstGeom>
                    <a:noFill/>
                  </pic:spPr>
                </pic:pic>
              </a:graphicData>
            </a:graphic>
          </wp:inline>
        </w:drawing>
      </w:r>
    </w:p>
    <w:p w14:paraId="0015DDEE" w14:textId="77777777" w:rsidR="003615F7" w:rsidRPr="00DC01BC" w:rsidRDefault="003615F7" w:rsidP="00840162">
      <w:pPr>
        <w:autoSpaceDE w:val="0"/>
        <w:autoSpaceDN w:val="0"/>
        <w:adjustRightInd w:val="0"/>
        <w:spacing w:line="360" w:lineRule="auto"/>
        <w:ind w:left="567" w:right="567"/>
        <w:contextualSpacing/>
        <w:jc w:val="both"/>
        <w:rPr>
          <w:rFonts w:ascii="Palatino Linotype" w:hAnsi="Palatino Linotype" w:cs="Tahoma"/>
          <w:i/>
        </w:rPr>
      </w:pPr>
    </w:p>
    <w:p w14:paraId="5D7DF479" w14:textId="35354AD9"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¿Aplican el enfoque de la Nueva Escuela Mexicana como metodología de enseñanza o cual es el que utilizan en los estudios de posgrado de imparten?</w:t>
      </w:r>
    </w:p>
    <w:p w14:paraId="0793C040" w14:textId="77777777"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p>
    <w:p w14:paraId="0AA8C01B" w14:textId="58FA7DD9"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Respuesta: Se envía en medio electrónico y se anexa a esta comunicación la información solicitada:</w:t>
      </w:r>
    </w:p>
    <w:p w14:paraId="464B4EFB" w14:textId="77777777"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p>
    <w:p w14:paraId="77166197" w14:textId="59224EC9"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b/>
          <w:bCs/>
          <w:i/>
        </w:rPr>
      </w:pPr>
      <w:r w:rsidRPr="00DC01BC">
        <w:rPr>
          <w:rFonts w:ascii="Palatino Linotype" w:hAnsi="Palatino Linotype" w:cs="Tahoma"/>
          <w:b/>
          <w:bCs/>
          <w:i/>
        </w:rPr>
        <w:lastRenderedPageBreak/>
        <w:t>El plan de estudios de la Maestría en Administración Pública Municipal con Enfoque de Género constituido por 16 materias a cursar durante 4 semestres, tiene como valores fundamentales los siguientes:</w:t>
      </w:r>
    </w:p>
    <w:p w14:paraId="2DDE9315" w14:textId="77777777" w:rsidR="00DB4D2B" w:rsidRPr="00DC01BC" w:rsidRDefault="00DB4D2B" w:rsidP="00840162">
      <w:pPr>
        <w:autoSpaceDE w:val="0"/>
        <w:autoSpaceDN w:val="0"/>
        <w:adjustRightInd w:val="0"/>
        <w:spacing w:line="360" w:lineRule="auto"/>
        <w:ind w:left="567" w:right="567"/>
        <w:contextualSpacing/>
        <w:jc w:val="both"/>
        <w:rPr>
          <w:rFonts w:ascii="Palatino Linotype" w:hAnsi="Palatino Linotype" w:cs="Tahoma"/>
          <w:i/>
        </w:rPr>
      </w:pPr>
    </w:p>
    <w:p w14:paraId="5CE296CC" w14:textId="4FE330B0" w:rsidR="00004CB8" w:rsidRPr="00DC01BC" w:rsidRDefault="00004CB8" w:rsidP="00840162">
      <w:pPr>
        <w:pStyle w:val="Prrafodelista"/>
        <w:numPr>
          <w:ilvl w:val="0"/>
          <w:numId w:val="4"/>
        </w:numPr>
        <w:autoSpaceDE w:val="0"/>
        <w:autoSpaceDN w:val="0"/>
        <w:adjustRightInd w:val="0"/>
        <w:spacing w:line="360" w:lineRule="auto"/>
        <w:ind w:left="1210" w:right="567"/>
        <w:jc w:val="both"/>
        <w:rPr>
          <w:rFonts w:ascii="Palatino Linotype" w:hAnsi="Palatino Linotype" w:cs="Tahoma"/>
          <w:i/>
        </w:rPr>
      </w:pPr>
      <w:r w:rsidRPr="00DC01BC">
        <w:rPr>
          <w:rFonts w:ascii="Palatino Linotype" w:hAnsi="Palatino Linotype" w:cs="Tahoma"/>
          <w:i/>
        </w:rPr>
        <w:t>Alto sentido de responsabilidad ética y profesional.</w:t>
      </w:r>
    </w:p>
    <w:p w14:paraId="11406B7B" w14:textId="46CB9442" w:rsidR="00004CB8" w:rsidRPr="00DC01BC" w:rsidRDefault="00004CB8" w:rsidP="00840162">
      <w:pPr>
        <w:pStyle w:val="Prrafodelista"/>
        <w:numPr>
          <w:ilvl w:val="0"/>
          <w:numId w:val="4"/>
        </w:numPr>
        <w:autoSpaceDE w:val="0"/>
        <w:autoSpaceDN w:val="0"/>
        <w:adjustRightInd w:val="0"/>
        <w:spacing w:line="360" w:lineRule="auto"/>
        <w:ind w:left="1210" w:right="567"/>
        <w:jc w:val="both"/>
        <w:rPr>
          <w:rFonts w:ascii="Palatino Linotype" w:hAnsi="Palatino Linotype" w:cs="Tahoma"/>
          <w:i/>
        </w:rPr>
      </w:pPr>
      <w:r w:rsidRPr="00DC01BC">
        <w:rPr>
          <w:rFonts w:ascii="Palatino Linotype" w:hAnsi="Palatino Linotype" w:cs="Tahoma"/>
          <w:i/>
        </w:rPr>
        <w:t>Compromiso, responsabilidad y sensibilidad social.</w:t>
      </w:r>
    </w:p>
    <w:p w14:paraId="209240DC" w14:textId="464F0DD2" w:rsidR="00004CB8" w:rsidRPr="00DC01BC" w:rsidRDefault="00004CB8" w:rsidP="00840162">
      <w:pPr>
        <w:pStyle w:val="Prrafodelista"/>
        <w:numPr>
          <w:ilvl w:val="0"/>
          <w:numId w:val="4"/>
        </w:numPr>
        <w:autoSpaceDE w:val="0"/>
        <w:autoSpaceDN w:val="0"/>
        <w:adjustRightInd w:val="0"/>
        <w:spacing w:line="360" w:lineRule="auto"/>
        <w:ind w:left="1210" w:right="567"/>
        <w:jc w:val="both"/>
        <w:rPr>
          <w:rFonts w:ascii="Palatino Linotype" w:hAnsi="Palatino Linotype" w:cs="Tahoma"/>
          <w:i/>
        </w:rPr>
      </w:pPr>
      <w:r w:rsidRPr="00DC01BC">
        <w:rPr>
          <w:rFonts w:ascii="Palatino Linotype" w:hAnsi="Palatino Linotype" w:cs="Tahoma"/>
          <w:i/>
        </w:rPr>
        <w:t>Respeto e inclusión a la diversidad.</w:t>
      </w:r>
    </w:p>
    <w:p w14:paraId="535AB324" w14:textId="6F03E742" w:rsidR="00004CB8" w:rsidRPr="00DC01BC" w:rsidRDefault="00004CB8" w:rsidP="00840162">
      <w:pPr>
        <w:pStyle w:val="Prrafodelista"/>
        <w:numPr>
          <w:ilvl w:val="0"/>
          <w:numId w:val="4"/>
        </w:numPr>
        <w:autoSpaceDE w:val="0"/>
        <w:autoSpaceDN w:val="0"/>
        <w:adjustRightInd w:val="0"/>
        <w:spacing w:line="360" w:lineRule="auto"/>
        <w:ind w:left="1210" w:right="567"/>
        <w:jc w:val="both"/>
        <w:rPr>
          <w:rFonts w:ascii="Palatino Linotype" w:hAnsi="Palatino Linotype" w:cs="Tahoma"/>
          <w:i/>
        </w:rPr>
      </w:pPr>
      <w:r w:rsidRPr="00DC01BC">
        <w:rPr>
          <w:rFonts w:ascii="Palatino Linotype" w:hAnsi="Palatino Linotype" w:cs="Tahoma"/>
          <w:i/>
        </w:rPr>
        <w:t>Humanismo</w:t>
      </w:r>
    </w:p>
    <w:p w14:paraId="38293F76" w14:textId="77777777" w:rsidR="00004CB8"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p>
    <w:p w14:paraId="344555FE" w14:textId="77777777" w:rsidR="0022698D" w:rsidRPr="00DC01BC" w:rsidRDefault="00004CB8"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El plan de estudios de la Maestría en Administración Pública Municipal con Enfoque de Género se apega y es coincidente con lo establecido en la Ley General de Educación publicada en el Diario Oficial de la Federación el 30 de septiembre de 2019, específicamente con el apartado referente a la función de la nueva escuela mexicana. Dicho ordenamiento establece lo siguiente</w:t>
      </w:r>
    </w:p>
    <w:p w14:paraId="7FB77CE3" w14:textId="6A5404B4" w:rsidR="00722A8D" w:rsidRPr="00DC01BC" w:rsidRDefault="00722A8D" w:rsidP="00840162">
      <w:pPr>
        <w:autoSpaceDE w:val="0"/>
        <w:autoSpaceDN w:val="0"/>
        <w:adjustRightInd w:val="0"/>
        <w:spacing w:line="360" w:lineRule="auto"/>
        <w:ind w:left="567" w:right="567"/>
        <w:contextualSpacing/>
        <w:jc w:val="both"/>
        <w:rPr>
          <w:rFonts w:ascii="Palatino Linotype" w:hAnsi="Palatino Linotype" w:cs="Tahoma"/>
          <w:i/>
        </w:rPr>
      </w:pPr>
      <w:r w:rsidRPr="00DC01BC">
        <w:rPr>
          <w:rFonts w:ascii="Palatino Linotype" w:hAnsi="Palatino Linotype" w:cs="Tahoma"/>
          <w:i/>
        </w:rPr>
        <w:t>…”</w:t>
      </w:r>
    </w:p>
    <w:bookmarkEnd w:id="5"/>
    <w:p w14:paraId="3D3F1C22" w14:textId="77777777" w:rsidR="00722A8D" w:rsidRPr="00DC01BC" w:rsidRDefault="00722A8D" w:rsidP="00840162">
      <w:pPr>
        <w:autoSpaceDE w:val="0"/>
        <w:autoSpaceDN w:val="0"/>
        <w:adjustRightInd w:val="0"/>
        <w:spacing w:line="360" w:lineRule="auto"/>
        <w:ind w:left="567" w:right="567"/>
        <w:contextualSpacing/>
        <w:jc w:val="both"/>
        <w:rPr>
          <w:rFonts w:ascii="Palatino Linotype" w:hAnsi="Palatino Linotype" w:cs="Tahoma"/>
          <w:i/>
        </w:rPr>
      </w:pPr>
    </w:p>
    <w:p w14:paraId="39270E02" w14:textId="77777777" w:rsidR="00722A8D" w:rsidRPr="00DC01BC" w:rsidRDefault="00722A8D" w:rsidP="00840162">
      <w:pPr>
        <w:pStyle w:val="Ttulo2"/>
        <w:spacing w:before="0" w:after="0" w:line="360" w:lineRule="auto"/>
        <w:contextualSpacing/>
        <w:rPr>
          <w:rFonts w:ascii="Palatino Linotype" w:hAnsi="Palatino Linotype"/>
          <w:b/>
          <w:bCs/>
          <w:sz w:val="22"/>
          <w:szCs w:val="22"/>
        </w:rPr>
      </w:pPr>
      <w:bookmarkStart w:id="6" w:name="_Toc190350682"/>
      <w:r w:rsidRPr="00DC01BC">
        <w:rPr>
          <w:rFonts w:ascii="Palatino Linotype" w:hAnsi="Palatino Linotype"/>
          <w:b/>
          <w:bCs/>
          <w:color w:val="auto"/>
          <w:sz w:val="22"/>
          <w:szCs w:val="22"/>
        </w:rPr>
        <w:t>III. Interposición del Recurso de Revisión</w:t>
      </w:r>
      <w:bookmarkEnd w:id="6"/>
    </w:p>
    <w:p w14:paraId="2A512B69" w14:textId="77777777" w:rsidR="00722A8D" w:rsidRPr="00DC01BC" w:rsidRDefault="00722A8D" w:rsidP="00840162">
      <w:pPr>
        <w:autoSpaceDE w:val="0"/>
        <w:autoSpaceDN w:val="0"/>
        <w:adjustRightInd w:val="0"/>
        <w:spacing w:line="360" w:lineRule="auto"/>
        <w:ind w:right="-28"/>
        <w:contextualSpacing/>
        <w:jc w:val="both"/>
        <w:rPr>
          <w:rFonts w:ascii="Palatino Linotype" w:hAnsi="Palatino Linotype" w:cs="Tahoma"/>
          <w:sz w:val="22"/>
          <w:szCs w:val="22"/>
        </w:rPr>
      </w:pPr>
    </w:p>
    <w:p w14:paraId="06FB15F8" w14:textId="4737A376" w:rsidR="00722A8D" w:rsidRPr="00DC01BC" w:rsidRDefault="00722A8D" w:rsidP="00840162">
      <w:pPr>
        <w:spacing w:line="360" w:lineRule="auto"/>
        <w:contextualSpacing/>
        <w:jc w:val="both"/>
        <w:rPr>
          <w:rFonts w:ascii="Palatino Linotype" w:hAnsi="Palatino Linotype" w:cs="Tahoma"/>
          <w:bCs/>
          <w:sz w:val="22"/>
          <w:szCs w:val="22"/>
          <w:lang w:val="es-ES"/>
        </w:rPr>
      </w:pPr>
      <w:r w:rsidRPr="00DC01BC">
        <w:rPr>
          <w:rFonts w:ascii="Palatino Linotype" w:hAnsi="Palatino Linotype" w:cs="Tahoma"/>
          <w:bCs/>
          <w:sz w:val="22"/>
          <w:szCs w:val="22"/>
          <w:lang w:val="es-ES"/>
        </w:rPr>
        <w:t xml:space="preserve">Con fecha </w:t>
      </w:r>
      <w:r w:rsidR="00004CB8" w:rsidRPr="00DC01BC">
        <w:rPr>
          <w:rFonts w:ascii="Palatino Linotype" w:hAnsi="Palatino Linotype" w:cs="Tahoma"/>
          <w:bCs/>
          <w:sz w:val="22"/>
          <w:szCs w:val="22"/>
          <w:lang w:val="es-ES"/>
        </w:rPr>
        <w:t>once</w:t>
      </w:r>
      <w:r w:rsidRPr="00DC01BC">
        <w:rPr>
          <w:rFonts w:ascii="Palatino Linotype" w:hAnsi="Palatino Linotype" w:cs="Tahoma"/>
          <w:bCs/>
          <w:sz w:val="22"/>
          <w:szCs w:val="22"/>
          <w:lang w:val="es-ES"/>
        </w:rPr>
        <w:t xml:space="preserve"> de febrero de dos mil veinticinco, </w:t>
      </w:r>
      <w:r w:rsidRPr="00DC01BC">
        <w:rPr>
          <w:rFonts w:ascii="Palatino Linotype" w:hAnsi="Palatino Linotype" w:cs="Tahoma"/>
          <w:bCs/>
          <w:sz w:val="22"/>
          <w:szCs w:val="22"/>
        </w:rPr>
        <w:t xml:space="preserve">se recibió en este Instituto, a través del </w:t>
      </w:r>
      <w:r w:rsidRPr="00DC01BC">
        <w:rPr>
          <w:rFonts w:ascii="Palatino Linotype" w:hAnsi="Palatino Linotype" w:cs="Tahoma"/>
          <w:bCs/>
          <w:sz w:val="22"/>
          <w:szCs w:val="22"/>
          <w:lang w:val="es-ES"/>
        </w:rPr>
        <w:t>Sistema de Acceso a la Información Mexiquense (SAIMEX)</w:t>
      </w:r>
      <w:r w:rsidRPr="00DC01BC">
        <w:rPr>
          <w:rFonts w:ascii="Palatino Linotype" w:hAnsi="Palatino Linotype" w:cs="Tahoma"/>
          <w:bCs/>
          <w:sz w:val="22"/>
          <w:szCs w:val="22"/>
        </w:rPr>
        <w:t>, el Recurso de Revisión interpuesto por la parte Recurrente, en contra de la respuesta del Sujeto Obligado</w:t>
      </w:r>
      <w:r w:rsidR="00004CB8" w:rsidRPr="00DC01BC">
        <w:rPr>
          <w:rFonts w:ascii="Palatino Linotype" w:hAnsi="Palatino Linotype" w:cs="Tahoma"/>
          <w:b/>
          <w:sz w:val="22"/>
          <w:szCs w:val="22"/>
        </w:rPr>
        <w:t>,</w:t>
      </w:r>
      <w:r w:rsidRPr="00DC01BC">
        <w:rPr>
          <w:rFonts w:ascii="Palatino Linotype" w:hAnsi="Palatino Linotype"/>
          <w:b/>
          <w:color w:val="000000"/>
          <w:sz w:val="22"/>
          <w:szCs w:val="22"/>
        </w:rPr>
        <w:t xml:space="preserve"> </w:t>
      </w:r>
      <w:r w:rsidRPr="00DC01BC">
        <w:rPr>
          <w:rFonts w:ascii="Palatino Linotype" w:hAnsi="Palatino Linotype" w:cs="Tahoma"/>
          <w:bCs/>
          <w:sz w:val="22"/>
          <w:szCs w:val="22"/>
        </w:rPr>
        <w:t>en los siguientes términos:</w:t>
      </w:r>
    </w:p>
    <w:p w14:paraId="69866EC2" w14:textId="77777777" w:rsidR="00722A8D" w:rsidRPr="00DC01BC" w:rsidRDefault="00722A8D" w:rsidP="00840162">
      <w:pPr>
        <w:autoSpaceDE w:val="0"/>
        <w:autoSpaceDN w:val="0"/>
        <w:adjustRightInd w:val="0"/>
        <w:spacing w:line="360" w:lineRule="auto"/>
        <w:ind w:right="-28"/>
        <w:contextualSpacing/>
        <w:jc w:val="both"/>
        <w:rPr>
          <w:rFonts w:ascii="Palatino Linotype" w:hAnsi="Palatino Linotype" w:cs="Tahoma"/>
          <w:i/>
          <w:iCs/>
          <w:lang w:val="es-ES"/>
        </w:rPr>
      </w:pPr>
    </w:p>
    <w:p w14:paraId="6553F3FF" w14:textId="77777777" w:rsidR="00722A8D" w:rsidRPr="00DC01BC" w:rsidRDefault="00722A8D" w:rsidP="00840162">
      <w:pPr>
        <w:tabs>
          <w:tab w:val="left" w:pos="4667"/>
        </w:tabs>
        <w:spacing w:line="360" w:lineRule="auto"/>
        <w:ind w:left="567" w:right="567"/>
        <w:contextualSpacing/>
        <w:jc w:val="both"/>
        <w:rPr>
          <w:rFonts w:ascii="Palatino Linotype" w:hAnsi="Palatino Linotype" w:cs="Tahoma"/>
          <w:b/>
          <w:bCs/>
          <w:i/>
          <w:iCs/>
        </w:rPr>
      </w:pPr>
      <w:r w:rsidRPr="00DC01BC">
        <w:rPr>
          <w:rFonts w:ascii="Palatino Linotype" w:hAnsi="Palatino Linotype" w:cs="Tahoma"/>
          <w:b/>
          <w:bCs/>
          <w:i/>
          <w:iCs/>
        </w:rPr>
        <w:t>“ACTO IMPUGNADO</w:t>
      </w:r>
    </w:p>
    <w:p w14:paraId="60C47093" w14:textId="5E2C3ECF" w:rsidR="00722A8D" w:rsidRPr="00DC01BC" w:rsidRDefault="00004CB8" w:rsidP="00840162">
      <w:pPr>
        <w:spacing w:line="360" w:lineRule="auto"/>
        <w:ind w:left="567" w:right="567"/>
        <w:contextualSpacing/>
        <w:jc w:val="both"/>
        <w:rPr>
          <w:rFonts w:ascii="Palatino Linotype" w:hAnsi="Palatino Linotype" w:cs="Tahoma"/>
          <w:bCs/>
          <w:i/>
          <w:iCs/>
        </w:rPr>
      </w:pPr>
      <w:r w:rsidRPr="00DC01BC">
        <w:rPr>
          <w:rFonts w:ascii="Palatino Linotype" w:hAnsi="Palatino Linotype"/>
          <w:i/>
          <w:color w:val="000000"/>
        </w:rPr>
        <w:t>No responde al por qué la maestría se enfoca en Género desde una perspectiva científica y por qué es pertinente ese enfoque en la actualidad.</w:t>
      </w:r>
      <w:r w:rsidR="00722A8D" w:rsidRPr="00DC01BC">
        <w:rPr>
          <w:rFonts w:ascii="Palatino Linotype" w:hAnsi="Palatino Linotype" w:cs="Tahoma"/>
          <w:bCs/>
          <w:i/>
          <w:iCs/>
        </w:rPr>
        <w:t>” (Sic.)</w:t>
      </w:r>
    </w:p>
    <w:p w14:paraId="6B1FA9AA" w14:textId="77777777" w:rsidR="00722A8D" w:rsidRPr="00DC01BC" w:rsidRDefault="00722A8D" w:rsidP="00840162">
      <w:pPr>
        <w:tabs>
          <w:tab w:val="left" w:pos="4667"/>
        </w:tabs>
        <w:spacing w:line="360" w:lineRule="auto"/>
        <w:ind w:left="567" w:right="567"/>
        <w:contextualSpacing/>
        <w:jc w:val="both"/>
        <w:rPr>
          <w:rFonts w:ascii="Palatino Linotype" w:hAnsi="Palatino Linotype" w:cs="Tahoma"/>
          <w:bCs/>
          <w:i/>
          <w:iCs/>
        </w:rPr>
      </w:pPr>
    </w:p>
    <w:p w14:paraId="0B2DFCBF" w14:textId="77777777" w:rsidR="000E2CDB" w:rsidRPr="00DC01BC" w:rsidRDefault="000E2CDB" w:rsidP="00840162">
      <w:pPr>
        <w:tabs>
          <w:tab w:val="left" w:pos="4667"/>
        </w:tabs>
        <w:spacing w:line="360" w:lineRule="auto"/>
        <w:ind w:left="567" w:right="567"/>
        <w:contextualSpacing/>
        <w:jc w:val="both"/>
        <w:rPr>
          <w:rFonts w:ascii="Palatino Linotype" w:hAnsi="Palatino Linotype" w:cs="Tahoma"/>
          <w:bCs/>
          <w:i/>
          <w:iCs/>
        </w:rPr>
      </w:pPr>
    </w:p>
    <w:p w14:paraId="38BCDF09" w14:textId="77777777" w:rsidR="00722A8D" w:rsidRPr="00DC01BC" w:rsidRDefault="00722A8D" w:rsidP="00840162">
      <w:pPr>
        <w:tabs>
          <w:tab w:val="left" w:pos="4667"/>
        </w:tabs>
        <w:spacing w:line="360" w:lineRule="auto"/>
        <w:ind w:left="567" w:right="567"/>
        <w:contextualSpacing/>
        <w:jc w:val="both"/>
        <w:rPr>
          <w:rFonts w:ascii="Palatino Linotype" w:hAnsi="Palatino Linotype" w:cs="Tahoma"/>
          <w:b/>
          <w:bCs/>
          <w:i/>
          <w:iCs/>
        </w:rPr>
      </w:pPr>
      <w:r w:rsidRPr="00DC01BC">
        <w:rPr>
          <w:rFonts w:ascii="Palatino Linotype" w:hAnsi="Palatino Linotype" w:cs="Tahoma"/>
          <w:b/>
          <w:bCs/>
          <w:i/>
          <w:iCs/>
        </w:rPr>
        <w:lastRenderedPageBreak/>
        <w:t>“RAZONES O MOTIVOS DE LA INCONFORMIDAD</w:t>
      </w:r>
    </w:p>
    <w:p w14:paraId="40C534E9" w14:textId="627265B6" w:rsidR="00722A8D" w:rsidRPr="00DC01BC" w:rsidRDefault="00004CB8" w:rsidP="00840162">
      <w:pPr>
        <w:spacing w:line="360" w:lineRule="auto"/>
        <w:ind w:left="567" w:right="567"/>
        <w:contextualSpacing/>
        <w:jc w:val="both"/>
        <w:rPr>
          <w:rFonts w:ascii="Palatino Linotype" w:hAnsi="Palatino Linotype" w:cs="Tahoma"/>
          <w:i/>
          <w:iCs/>
        </w:rPr>
      </w:pPr>
      <w:r w:rsidRPr="00DC01BC">
        <w:rPr>
          <w:rFonts w:ascii="Palatino Linotype" w:hAnsi="Palatino Linotype"/>
          <w:i/>
          <w:color w:val="000000"/>
        </w:rPr>
        <w:t>No explicita qué estudios e investigaciones sustentan que la maestría se enfoque en género o el problema que busca abordar</w:t>
      </w:r>
      <w:r w:rsidR="00722A8D" w:rsidRPr="00DC01BC">
        <w:rPr>
          <w:rFonts w:ascii="Palatino Linotype" w:hAnsi="Palatino Linotype"/>
          <w:i/>
          <w:iCs/>
          <w:color w:val="000000"/>
        </w:rPr>
        <w:t>.</w:t>
      </w:r>
      <w:r w:rsidR="00722A8D" w:rsidRPr="00DC01BC">
        <w:rPr>
          <w:rFonts w:ascii="Palatino Linotype" w:hAnsi="Palatino Linotype" w:cs="Tahoma"/>
          <w:i/>
          <w:iCs/>
        </w:rPr>
        <w:t>” (Sic)</w:t>
      </w:r>
    </w:p>
    <w:p w14:paraId="688BA3E9" w14:textId="77777777" w:rsidR="00722A8D" w:rsidRPr="00DC01BC" w:rsidRDefault="00722A8D" w:rsidP="00840162">
      <w:pPr>
        <w:spacing w:line="360" w:lineRule="auto"/>
        <w:ind w:right="-28"/>
        <w:contextualSpacing/>
        <w:jc w:val="both"/>
        <w:rPr>
          <w:rFonts w:ascii="Palatino Linotype" w:hAnsi="Palatino Linotype" w:cs="Tahoma"/>
          <w:b/>
          <w:sz w:val="22"/>
          <w:szCs w:val="22"/>
        </w:rPr>
      </w:pPr>
    </w:p>
    <w:p w14:paraId="501C169B" w14:textId="77777777" w:rsidR="00722A8D" w:rsidRPr="00DC01BC" w:rsidRDefault="00722A8D" w:rsidP="00840162">
      <w:pPr>
        <w:pStyle w:val="Ttulo2"/>
        <w:spacing w:before="0" w:after="0" w:line="360" w:lineRule="auto"/>
        <w:contextualSpacing/>
        <w:rPr>
          <w:rFonts w:ascii="Palatino Linotype" w:eastAsia="Batang" w:hAnsi="Palatino Linotype"/>
          <w:b/>
          <w:bCs/>
          <w:color w:val="auto"/>
          <w:sz w:val="22"/>
          <w:szCs w:val="22"/>
        </w:rPr>
      </w:pPr>
      <w:bookmarkStart w:id="7" w:name="_Toc190350683"/>
      <w:r w:rsidRPr="00DC01BC">
        <w:rPr>
          <w:rFonts w:ascii="Palatino Linotype" w:hAnsi="Palatino Linotype"/>
          <w:b/>
          <w:bCs/>
          <w:color w:val="auto"/>
          <w:sz w:val="22"/>
          <w:szCs w:val="22"/>
        </w:rPr>
        <w:t xml:space="preserve">IV. </w:t>
      </w:r>
      <w:r w:rsidRPr="00DC01BC">
        <w:rPr>
          <w:rFonts w:ascii="Palatino Linotype" w:eastAsia="Batang" w:hAnsi="Palatino Linotype"/>
          <w:b/>
          <w:bCs/>
          <w:color w:val="auto"/>
          <w:sz w:val="22"/>
          <w:szCs w:val="22"/>
        </w:rPr>
        <w:t xml:space="preserve">Trámite del </w:t>
      </w:r>
      <w:r w:rsidRPr="00DC01BC">
        <w:rPr>
          <w:rFonts w:ascii="Palatino Linotype" w:hAnsi="Palatino Linotype"/>
          <w:b/>
          <w:bCs/>
          <w:color w:val="auto"/>
          <w:sz w:val="22"/>
          <w:szCs w:val="22"/>
        </w:rPr>
        <w:t xml:space="preserve">Recurso de Revisión </w:t>
      </w:r>
      <w:r w:rsidRPr="00DC01BC">
        <w:rPr>
          <w:rFonts w:ascii="Palatino Linotype" w:eastAsia="Batang" w:hAnsi="Palatino Linotype"/>
          <w:b/>
          <w:bCs/>
          <w:color w:val="auto"/>
          <w:sz w:val="22"/>
          <w:szCs w:val="22"/>
        </w:rPr>
        <w:t>ante el Instituto</w:t>
      </w:r>
      <w:bookmarkEnd w:id="7"/>
    </w:p>
    <w:p w14:paraId="609C26E7" w14:textId="77777777" w:rsidR="00722A8D" w:rsidRPr="00DC01BC" w:rsidRDefault="00722A8D" w:rsidP="00840162">
      <w:pPr>
        <w:spacing w:line="360" w:lineRule="auto"/>
        <w:ind w:right="-28"/>
        <w:contextualSpacing/>
        <w:jc w:val="both"/>
        <w:rPr>
          <w:rFonts w:ascii="Palatino Linotype" w:eastAsia="Batang" w:hAnsi="Palatino Linotype" w:cs="Tahoma"/>
          <w:b/>
          <w:bCs/>
          <w:sz w:val="22"/>
          <w:szCs w:val="22"/>
        </w:rPr>
      </w:pPr>
    </w:p>
    <w:p w14:paraId="618D49A7" w14:textId="15F6D7B0" w:rsidR="00722A8D" w:rsidRPr="00DC01BC" w:rsidRDefault="00722A8D" w:rsidP="00840162">
      <w:pPr>
        <w:spacing w:line="360" w:lineRule="auto"/>
        <w:ind w:right="-28"/>
        <w:contextualSpacing/>
        <w:jc w:val="both"/>
        <w:rPr>
          <w:rFonts w:ascii="Palatino Linotype" w:eastAsia="Calibri" w:hAnsi="Palatino Linotype" w:cs="Tahoma"/>
          <w:bCs/>
          <w:sz w:val="22"/>
          <w:szCs w:val="22"/>
          <w:lang w:eastAsia="en-US"/>
        </w:rPr>
      </w:pPr>
      <w:r w:rsidRPr="00DC01BC">
        <w:rPr>
          <w:rFonts w:ascii="Palatino Linotype" w:eastAsia="Batang" w:hAnsi="Palatino Linotype" w:cs="Tahoma"/>
          <w:b/>
          <w:bCs/>
          <w:sz w:val="22"/>
          <w:szCs w:val="22"/>
        </w:rPr>
        <w:t xml:space="preserve">a) Turno del </w:t>
      </w:r>
      <w:r w:rsidRPr="00DC01BC">
        <w:rPr>
          <w:rFonts w:ascii="Palatino Linotype" w:hAnsi="Palatino Linotype" w:cs="Tahoma"/>
          <w:b/>
          <w:sz w:val="22"/>
          <w:szCs w:val="22"/>
        </w:rPr>
        <w:t>Recurso de Revisión</w:t>
      </w:r>
      <w:r w:rsidRPr="00DC01BC">
        <w:rPr>
          <w:rFonts w:ascii="Palatino Linotype" w:eastAsia="Batang" w:hAnsi="Palatino Linotype" w:cs="Tahoma"/>
          <w:b/>
          <w:bCs/>
          <w:sz w:val="22"/>
          <w:szCs w:val="22"/>
        </w:rPr>
        <w:t xml:space="preserve">. </w:t>
      </w:r>
      <w:r w:rsidRPr="00DC01BC">
        <w:rPr>
          <w:rFonts w:ascii="Palatino Linotype" w:eastAsia="Batang" w:hAnsi="Palatino Linotype" w:cs="Tahoma"/>
          <w:bCs/>
          <w:sz w:val="22"/>
          <w:szCs w:val="22"/>
        </w:rPr>
        <w:t xml:space="preserve">El </w:t>
      </w:r>
      <w:r w:rsidR="00D7394E" w:rsidRPr="00DC01BC">
        <w:rPr>
          <w:rFonts w:ascii="Palatino Linotype" w:eastAsia="Batang" w:hAnsi="Palatino Linotype" w:cs="Tahoma"/>
          <w:bCs/>
          <w:sz w:val="22"/>
          <w:szCs w:val="22"/>
        </w:rPr>
        <w:t>once</w:t>
      </w:r>
      <w:r w:rsidRPr="00DC01BC">
        <w:rPr>
          <w:rFonts w:ascii="Palatino Linotype" w:eastAsia="Batang" w:hAnsi="Palatino Linotype" w:cs="Tahoma"/>
          <w:bCs/>
          <w:sz w:val="22"/>
          <w:szCs w:val="22"/>
        </w:rPr>
        <w:t xml:space="preserve"> de febrero </w:t>
      </w:r>
      <w:r w:rsidRPr="00DC01BC">
        <w:rPr>
          <w:rFonts w:ascii="Palatino Linotype" w:hAnsi="Palatino Linotype" w:cs="Tahoma"/>
          <w:sz w:val="22"/>
          <w:szCs w:val="22"/>
        </w:rPr>
        <w:t>de dos mil veinticinco</w:t>
      </w:r>
      <w:r w:rsidRPr="00DC01BC">
        <w:rPr>
          <w:rFonts w:ascii="Palatino Linotype" w:eastAsia="Batang" w:hAnsi="Palatino Linotype" w:cs="Tahoma"/>
          <w:bCs/>
          <w:sz w:val="22"/>
          <w:szCs w:val="22"/>
        </w:rPr>
        <w:t xml:space="preserve">, </w:t>
      </w:r>
      <w:r w:rsidRPr="00DC01BC">
        <w:rPr>
          <w:rFonts w:ascii="Palatino Linotype" w:eastAsia="Calibri" w:hAnsi="Palatino Linotype" w:cs="Tahoma"/>
          <w:bCs/>
          <w:sz w:val="22"/>
          <w:szCs w:val="22"/>
          <w:lang w:eastAsia="en-US"/>
        </w:rPr>
        <w:t xml:space="preserve">el Sistema de Acceso a la Información Mexiquense (SAIMEX), asignó el número de expediente </w:t>
      </w:r>
      <w:r w:rsidRPr="00DC01BC">
        <w:rPr>
          <w:rFonts w:ascii="Palatino Linotype" w:eastAsia="Calibri" w:hAnsi="Palatino Linotype" w:cs="Tahoma"/>
          <w:b/>
          <w:bCs/>
          <w:sz w:val="22"/>
          <w:szCs w:val="22"/>
          <w:lang w:eastAsia="en-US"/>
        </w:rPr>
        <w:t>0</w:t>
      </w:r>
      <w:r w:rsidR="00D7394E" w:rsidRPr="00DC01BC">
        <w:rPr>
          <w:rFonts w:ascii="Palatino Linotype" w:eastAsia="Calibri" w:hAnsi="Palatino Linotype" w:cs="Tahoma"/>
          <w:b/>
          <w:bCs/>
          <w:sz w:val="22"/>
          <w:szCs w:val="22"/>
          <w:lang w:eastAsia="en-US"/>
        </w:rPr>
        <w:t>1121</w:t>
      </w:r>
      <w:r w:rsidRPr="00DC01BC">
        <w:rPr>
          <w:rFonts w:ascii="Palatino Linotype" w:eastAsia="Calibri" w:hAnsi="Palatino Linotype" w:cs="Tahoma"/>
          <w:b/>
          <w:bCs/>
          <w:sz w:val="22"/>
          <w:szCs w:val="22"/>
          <w:lang w:eastAsia="en-US"/>
        </w:rPr>
        <w:t xml:space="preserve">/INFOEM/IP/RR/2025, </w:t>
      </w:r>
      <w:r w:rsidRPr="00DC01BC">
        <w:rPr>
          <w:rFonts w:ascii="Palatino Linotype" w:eastAsia="Calibri" w:hAnsi="Palatino Linotype" w:cs="Tahoma"/>
          <w:bCs/>
          <w:sz w:val="22"/>
          <w:szCs w:val="22"/>
          <w:lang w:eastAsia="en-US"/>
        </w:rPr>
        <w:t xml:space="preserve">al Recurso de Revisión y lo turnó al Comisionado Ponente </w:t>
      </w:r>
      <w:r w:rsidRPr="00DC01BC">
        <w:rPr>
          <w:rFonts w:ascii="Palatino Linotype" w:eastAsia="Calibri" w:hAnsi="Palatino Linotype" w:cs="Tahoma"/>
          <w:b/>
          <w:bCs/>
          <w:sz w:val="22"/>
          <w:szCs w:val="22"/>
          <w:lang w:eastAsia="en-US"/>
        </w:rPr>
        <w:t>Luis Gustavo Parra Noriega</w:t>
      </w:r>
      <w:r w:rsidRPr="00DC01BC">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044F6E6D" w14:textId="77777777" w:rsidR="00722A8D" w:rsidRPr="00DC01BC" w:rsidRDefault="00722A8D" w:rsidP="00840162">
      <w:pPr>
        <w:spacing w:line="360" w:lineRule="auto"/>
        <w:ind w:right="-28"/>
        <w:contextualSpacing/>
        <w:jc w:val="both"/>
        <w:rPr>
          <w:rFonts w:ascii="Palatino Linotype" w:eastAsia="Calibri" w:hAnsi="Palatino Linotype" w:cs="Tahoma"/>
          <w:bCs/>
          <w:sz w:val="22"/>
          <w:szCs w:val="22"/>
          <w:lang w:eastAsia="en-US"/>
        </w:rPr>
      </w:pPr>
    </w:p>
    <w:p w14:paraId="764C0E81" w14:textId="62DC7705" w:rsidR="00722A8D" w:rsidRPr="00DC01BC" w:rsidRDefault="00722A8D" w:rsidP="00840162">
      <w:pPr>
        <w:spacing w:line="360" w:lineRule="auto"/>
        <w:contextualSpacing/>
        <w:jc w:val="both"/>
        <w:rPr>
          <w:rFonts w:ascii="Palatino Linotype" w:hAnsi="Palatino Linotype" w:cs="Tahoma"/>
          <w:bCs/>
          <w:sz w:val="22"/>
          <w:szCs w:val="22"/>
        </w:rPr>
      </w:pPr>
      <w:r w:rsidRPr="00DC01BC">
        <w:rPr>
          <w:rFonts w:ascii="Palatino Linotype" w:eastAsia="Batang" w:hAnsi="Palatino Linotype" w:cs="Tahoma"/>
          <w:b/>
          <w:bCs/>
          <w:sz w:val="22"/>
          <w:szCs w:val="22"/>
        </w:rPr>
        <w:t xml:space="preserve">b) Admisión del </w:t>
      </w:r>
      <w:r w:rsidRPr="00DC01BC">
        <w:rPr>
          <w:rFonts w:ascii="Palatino Linotype" w:hAnsi="Palatino Linotype" w:cs="Tahoma"/>
          <w:b/>
          <w:sz w:val="22"/>
          <w:szCs w:val="22"/>
        </w:rPr>
        <w:t>Recurso de Revisión</w:t>
      </w:r>
      <w:r w:rsidRPr="00DC01BC">
        <w:rPr>
          <w:rFonts w:ascii="Palatino Linotype" w:eastAsia="Batang" w:hAnsi="Palatino Linotype" w:cs="Tahoma"/>
          <w:b/>
          <w:bCs/>
          <w:sz w:val="22"/>
          <w:szCs w:val="22"/>
          <w:lang w:val="es-ES_tradnl"/>
        </w:rPr>
        <w:t xml:space="preserve">. </w:t>
      </w:r>
      <w:r w:rsidRPr="00DC01BC">
        <w:rPr>
          <w:rFonts w:ascii="Palatino Linotype" w:eastAsia="Batang" w:hAnsi="Palatino Linotype" w:cs="Tahoma"/>
          <w:bCs/>
          <w:sz w:val="22"/>
          <w:szCs w:val="22"/>
          <w:lang w:val="es-ES_tradnl"/>
        </w:rPr>
        <w:t xml:space="preserve">El </w:t>
      </w:r>
      <w:r w:rsidR="00D7394E" w:rsidRPr="00DC01BC">
        <w:rPr>
          <w:rFonts w:ascii="Palatino Linotype" w:eastAsia="Batang" w:hAnsi="Palatino Linotype" w:cs="Tahoma"/>
          <w:bCs/>
          <w:sz w:val="22"/>
          <w:szCs w:val="22"/>
          <w:lang w:val="es-ES_tradnl"/>
        </w:rPr>
        <w:t>catorce</w:t>
      </w:r>
      <w:r w:rsidRPr="00DC01BC">
        <w:rPr>
          <w:rFonts w:ascii="Palatino Linotype" w:eastAsia="Batang" w:hAnsi="Palatino Linotype" w:cs="Tahoma"/>
          <w:bCs/>
          <w:sz w:val="22"/>
          <w:szCs w:val="22"/>
          <w:lang w:val="es-ES_tradnl"/>
        </w:rPr>
        <w:t xml:space="preserv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5ED572EE" w14:textId="77777777" w:rsidR="00722A8D" w:rsidRPr="00DC01BC" w:rsidRDefault="00722A8D" w:rsidP="00840162">
      <w:pPr>
        <w:spacing w:line="360" w:lineRule="auto"/>
        <w:contextualSpacing/>
        <w:jc w:val="both"/>
        <w:rPr>
          <w:rFonts w:ascii="Palatino Linotype" w:hAnsi="Palatino Linotype" w:cs="Tahoma"/>
          <w:bCs/>
          <w:sz w:val="22"/>
          <w:szCs w:val="22"/>
        </w:rPr>
      </w:pPr>
    </w:p>
    <w:p w14:paraId="7A00C0A8" w14:textId="6DDE7434" w:rsidR="00D7394E" w:rsidRPr="00DC01BC" w:rsidRDefault="00722A8D"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bookmarkStart w:id="8" w:name="_Hlk192683580"/>
      <w:r w:rsidRPr="00DC01BC">
        <w:rPr>
          <w:rFonts w:ascii="Palatino Linotype" w:eastAsia="Palatino Linotype" w:hAnsi="Palatino Linotype" w:cs="Palatino Linotype"/>
          <w:b/>
          <w:sz w:val="22"/>
          <w:szCs w:val="22"/>
        </w:rPr>
        <w:t xml:space="preserve">c) Informe Justificado. </w:t>
      </w:r>
      <w:r w:rsidRPr="00DC01BC">
        <w:rPr>
          <w:rFonts w:ascii="Palatino Linotype" w:eastAsia="Palatino Linotype" w:hAnsi="Palatino Linotype" w:cs="Palatino Linotype"/>
          <w:bCs/>
          <w:sz w:val="22"/>
          <w:szCs w:val="22"/>
        </w:rPr>
        <w:t>Con fecha veinti</w:t>
      </w:r>
      <w:r w:rsidR="00D7394E" w:rsidRPr="00DC01BC">
        <w:rPr>
          <w:rFonts w:ascii="Palatino Linotype" w:eastAsia="Palatino Linotype" w:hAnsi="Palatino Linotype" w:cs="Palatino Linotype"/>
          <w:bCs/>
          <w:sz w:val="22"/>
          <w:szCs w:val="22"/>
        </w:rPr>
        <w:t>uno</w:t>
      </w:r>
      <w:r w:rsidRPr="00DC01BC">
        <w:rPr>
          <w:rFonts w:ascii="Palatino Linotype" w:eastAsia="Palatino Linotype" w:hAnsi="Palatino Linotype" w:cs="Palatino Linotype"/>
          <w:bCs/>
          <w:sz w:val="22"/>
          <w:szCs w:val="22"/>
        </w:rPr>
        <w:t xml:space="preserve"> de febrero de dos mil veinticinco, se recibió en este Instituto, a través del Sistema de Acceso a la Información Mexiquense (SAIMEX), el Informe Justificado, por parte del Sujeto Obligado, a través de</w:t>
      </w:r>
      <w:r w:rsidR="00D7394E" w:rsidRPr="00DC01BC">
        <w:rPr>
          <w:rFonts w:ascii="Palatino Linotype" w:eastAsia="Palatino Linotype" w:hAnsi="Palatino Linotype" w:cs="Palatino Linotype"/>
          <w:bCs/>
          <w:sz w:val="22"/>
          <w:szCs w:val="22"/>
        </w:rPr>
        <w:t xml:space="preserve"> </w:t>
      </w:r>
      <w:r w:rsidRPr="00DC01BC">
        <w:rPr>
          <w:rFonts w:ascii="Palatino Linotype" w:eastAsia="Palatino Linotype" w:hAnsi="Palatino Linotype" w:cs="Palatino Linotype"/>
          <w:bCs/>
          <w:sz w:val="22"/>
          <w:szCs w:val="22"/>
        </w:rPr>
        <w:t>l</w:t>
      </w:r>
      <w:r w:rsidR="00D7394E" w:rsidRPr="00DC01BC">
        <w:rPr>
          <w:rFonts w:ascii="Palatino Linotype" w:eastAsia="Palatino Linotype" w:hAnsi="Palatino Linotype" w:cs="Palatino Linotype"/>
          <w:bCs/>
          <w:sz w:val="22"/>
          <w:szCs w:val="22"/>
        </w:rPr>
        <w:t>a digitalización de los documentos siguientes:</w:t>
      </w:r>
    </w:p>
    <w:p w14:paraId="3C3ADA0F" w14:textId="77777777" w:rsidR="00D7394E" w:rsidRPr="00DC01BC" w:rsidRDefault="00D7394E"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2F6AAF05" w14:textId="60B7841A" w:rsidR="00D7394E" w:rsidRPr="00DC01BC" w:rsidRDefault="00302EC8" w:rsidP="00840162">
      <w:pPr>
        <w:autoSpaceDE w:val="0"/>
        <w:autoSpaceDN w:val="0"/>
        <w:adjustRightInd w:val="0"/>
        <w:spacing w:line="360" w:lineRule="auto"/>
        <w:contextualSpacing/>
        <w:jc w:val="both"/>
        <w:rPr>
          <w:rFonts w:ascii="Palatino Linotype" w:eastAsia="Palatino Linotype" w:hAnsi="Palatino Linotype" w:cs="Palatino Linotype"/>
          <w:bCs/>
          <w:i/>
          <w:iCs/>
        </w:rPr>
      </w:pPr>
      <w:r w:rsidRPr="00DC01BC">
        <w:rPr>
          <w:rFonts w:ascii="Palatino Linotype" w:eastAsia="Palatino Linotype" w:hAnsi="Palatino Linotype" w:cs="Palatino Linotype"/>
          <w:bCs/>
          <w:sz w:val="22"/>
          <w:szCs w:val="22"/>
        </w:rPr>
        <w:lastRenderedPageBreak/>
        <w:t xml:space="preserve">i) </w:t>
      </w:r>
      <w:r w:rsidR="007B1761" w:rsidRPr="00DC01BC">
        <w:rPr>
          <w:rFonts w:ascii="Palatino Linotype" w:eastAsia="Palatino Linotype" w:hAnsi="Palatino Linotype" w:cs="Palatino Linotype"/>
          <w:bCs/>
          <w:sz w:val="22"/>
          <w:szCs w:val="22"/>
        </w:rPr>
        <w:t>Oficio sin número, por medio del cual manifiesta y expone lo siguiente:</w:t>
      </w:r>
    </w:p>
    <w:p w14:paraId="3BD750BE" w14:textId="77777777" w:rsidR="007B1761" w:rsidRPr="00DC01BC" w:rsidRDefault="007B1761"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205873BA" w14:textId="718280BA" w:rsidR="007B1761" w:rsidRPr="00DC01BC" w:rsidRDefault="007B1761" w:rsidP="00840162">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DC01BC">
        <w:rPr>
          <w:rFonts w:ascii="Palatino Linotype" w:eastAsia="Palatino Linotype" w:hAnsi="Palatino Linotype" w:cs="Palatino Linotype"/>
          <w:bCs/>
          <w:i/>
          <w:iCs/>
        </w:rPr>
        <w:t>“…En este contexto se anexa el documento (PDF) la respuesta presentada por la Coordinación del EGAPMEX que es el área correspondiente para dar respuesta a esta solicitud…”</w:t>
      </w:r>
    </w:p>
    <w:bookmarkEnd w:id="8"/>
    <w:p w14:paraId="750C94AF" w14:textId="77777777" w:rsidR="007B1761" w:rsidRPr="00DC01BC" w:rsidRDefault="007B1761"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278C6B9D" w14:textId="42F03B65" w:rsidR="00302EC8" w:rsidRPr="00DC01BC" w:rsidRDefault="00302EC8"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DC01BC">
        <w:rPr>
          <w:rFonts w:ascii="Palatino Linotype" w:eastAsia="Palatino Linotype" w:hAnsi="Palatino Linotype" w:cs="Palatino Linotype"/>
          <w:bCs/>
          <w:sz w:val="22"/>
          <w:szCs w:val="22"/>
        </w:rPr>
        <w:t>ii) Oficio sin número, suscrito por el Titular de la Unidad de Transparencia, por medio del cual manifiesta y expone lo siguiente:</w:t>
      </w:r>
    </w:p>
    <w:p w14:paraId="51093A67" w14:textId="77777777" w:rsidR="00302EC8" w:rsidRPr="00DC01BC" w:rsidRDefault="00302EC8"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6A126F7C" w14:textId="77777777" w:rsidR="00302EC8" w:rsidRPr="00DC01BC" w:rsidRDefault="00302EC8" w:rsidP="00840162">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DC01BC">
        <w:rPr>
          <w:rFonts w:ascii="Palatino Linotype" w:eastAsia="Palatino Linotype" w:hAnsi="Palatino Linotype" w:cs="Palatino Linotype"/>
          <w:bCs/>
          <w:i/>
          <w:iCs/>
        </w:rPr>
        <w:t>“…</w:t>
      </w:r>
    </w:p>
    <w:p w14:paraId="604BE1BB" w14:textId="77777777" w:rsidR="00302EC8" w:rsidRPr="00DC01BC" w:rsidRDefault="00302EC8" w:rsidP="00840162">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DC01BC">
        <w:rPr>
          <w:rFonts w:ascii="Palatino Linotype" w:eastAsia="Palatino Linotype" w:hAnsi="Palatino Linotype" w:cs="Palatino Linotype"/>
          <w:bCs/>
          <w:i/>
          <w:iCs/>
        </w:rPr>
        <w:t>Se adjunta el Análisis de la pertinencia social; la Contextualización del grado de estudios; el Análisis del Contexto Educativo; el Análisis Psicopedagógico; el Fundamento filosófico y las Fuentes de consulta del documento presentado para la obtención del Reconocimiento de Validez Oficial de Estudios (RVOE) número 21003A000000000/97/2023 otorgado por el Gobierno del Estado de México.</w:t>
      </w:r>
    </w:p>
    <w:p w14:paraId="5A1F9C2C" w14:textId="77777777" w:rsidR="00302EC8" w:rsidRPr="00DC01BC" w:rsidRDefault="00302EC8" w:rsidP="00840162">
      <w:pPr>
        <w:autoSpaceDE w:val="0"/>
        <w:autoSpaceDN w:val="0"/>
        <w:adjustRightInd w:val="0"/>
        <w:spacing w:line="360" w:lineRule="auto"/>
        <w:ind w:left="567" w:right="567"/>
        <w:contextualSpacing/>
        <w:jc w:val="both"/>
        <w:rPr>
          <w:rFonts w:ascii="Palatino Linotype" w:eastAsia="Palatino Linotype" w:hAnsi="Palatino Linotype" w:cs="Palatino Linotype"/>
          <w:bCs/>
          <w:i/>
          <w:iCs/>
        </w:rPr>
      </w:pPr>
      <w:r w:rsidRPr="00DC01BC">
        <w:rPr>
          <w:rFonts w:ascii="Palatino Linotype" w:eastAsia="Palatino Linotype" w:hAnsi="Palatino Linotype" w:cs="Palatino Linotype"/>
          <w:bCs/>
          <w:i/>
          <w:iCs/>
        </w:rPr>
        <w:t>…</w:t>
      </w:r>
    </w:p>
    <w:p w14:paraId="59DA5219" w14:textId="77777777" w:rsidR="00302EC8" w:rsidRPr="00DC01BC" w:rsidRDefault="00302EC8"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4D0198BE" w14:textId="77777777" w:rsidR="00722A8D" w:rsidRPr="00DC01BC" w:rsidRDefault="00722A8D" w:rsidP="00840162">
      <w:pPr>
        <w:autoSpaceDE w:val="0"/>
        <w:autoSpaceDN w:val="0"/>
        <w:adjustRightInd w:val="0"/>
        <w:spacing w:line="360" w:lineRule="auto"/>
        <w:contextualSpacing/>
        <w:jc w:val="both"/>
        <w:rPr>
          <w:rFonts w:ascii="Palatino Linotype" w:eastAsia="Palatino Linotype" w:hAnsi="Palatino Linotype" w:cs="Palatino Linotype"/>
          <w:bCs/>
          <w:sz w:val="22"/>
          <w:szCs w:val="22"/>
        </w:rPr>
      </w:pPr>
      <w:r w:rsidRPr="00DC01BC">
        <w:rPr>
          <w:rFonts w:ascii="Palatino Linotype" w:eastAsia="Palatino Linotype" w:hAnsi="Palatino Linotype" w:cs="Palatino Linotype"/>
          <w:b/>
          <w:sz w:val="22"/>
          <w:szCs w:val="22"/>
        </w:rPr>
        <w:t xml:space="preserve"> d) Vista del Informe Justificado. </w:t>
      </w:r>
      <w:r w:rsidRPr="00DC01BC">
        <w:rPr>
          <w:rFonts w:ascii="Palatino Linotype" w:eastAsia="Palatino Linotype" w:hAnsi="Palatino Linotype" w:cs="Palatino Linotype"/>
          <w:bCs/>
          <w:sz w:val="22"/>
          <w:szCs w:val="22"/>
        </w:rPr>
        <w:t>El veintiséis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06936A54" w14:textId="676D376F"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rPr>
      </w:pPr>
    </w:p>
    <w:p w14:paraId="6062C672" w14:textId="36B9FD80" w:rsidR="00722A8D" w:rsidRPr="00DC01BC" w:rsidRDefault="007B1761" w:rsidP="00840162">
      <w:pPr>
        <w:autoSpaceDE w:val="0"/>
        <w:autoSpaceDN w:val="0"/>
        <w:adjustRightInd w:val="0"/>
        <w:spacing w:line="360" w:lineRule="auto"/>
        <w:contextualSpacing/>
        <w:jc w:val="both"/>
        <w:rPr>
          <w:rFonts w:ascii="Palatino Linotype" w:hAnsi="Palatino Linotype" w:cs="Tahoma"/>
          <w:b/>
          <w:bCs/>
          <w:sz w:val="22"/>
          <w:szCs w:val="22"/>
        </w:rPr>
      </w:pPr>
      <w:r w:rsidRPr="00DC01BC">
        <w:rPr>
          <w:rFonts w:ascii="Palatino Linotype" w:hAnsi="Palatino Linotype" w:cs="Tahoma"/>
          <w:b/>
          <w:bCs/>
          <w:sz w:val="22"/>
          <w:szCs w:val="22"/>
        </w:rPr>
        <w:t>e</w:t>
      </w:r>
      <w:r w:rsidR="00722A8D" w:rsidRPr="00DC01BC">
        <w:rPr>
          <w:rFonts w:ascii="Palatino Linotype" w:hAnsi="Palatino Linotype" w:cs="Tahoma"/>
          <w:b/>
          <w:bCs/>
          <w:sz w:val="22"/>
          <w:szCs w:val="22"/>
        </w:rPr>
        <w:t xml:space="preserve">) </w:t>
      </w:r>
      <w:r w:rsidR="00722A8D" w:rsidRPr="00DC01BC">
        <w:rPr>
          <w:rFonts w:ascii="Palatino Linotype" w:hAnsi="Palatino Linotype" w:cs="Tahoma"/>
          <w:b/>
          <w:sz w:val="22"/>
          <w:szCs w:val="22"/>
        </w:rPr>
        <w:t xml:space="preserve">Cierre de instrucción. </w:t>
      </w:r>
      <w:r w:rsidR="00722A8D" w:rsidRPr="00DC01BC">
        <w:rPr>
          <w:rFonts w:ascii="Palatino Linotype" w:hAnsi="Palatino Linotype" w:cs="Tahoma"/>
          <w:sz w:val="22"/>
          <w:szCs w:val="22"/>
        </w:rPr>
        <w:t xml:space="preserve">El </w:t>
      </w:r>
      <w:r w:rsidR="00FA53BC" w:rsidRPr="00DC01BC">
        <w:rPr>
          <w:rFonts w:ascii="Palatino Linotype" w:hAnsi="Palatino Linotype" w:cs="Tahoma"/>
          <w:sz w:val="22"/>
          <w:szCs w:val="22"/>
        </w:rPr>
        <w:t>dieciocho</w:t>
      </w:r>
      <w:r w:rsidRPr="00DC01BC">
        <w:rPr>
          <w:rFonts w:ascii="Palatino Linotype" w:hAnsi="Palatino Linotype" w:cs="Tahoma"/>
          <w:sz w:val="22"/>
          <w:szCs w:val="22"/>
        </w:rPr>
        <w:t xml:space="preserve"> </w:t>
      </w:r>
      <w:r w:rsidR="00722A8D" w:rsidRPr="00DC01BC">
        <w:rPr>
          <w:rFonts w:ascii="Palatino Linotype" w:hAnsi="Palatino Linotype" w:cs="Tahoma"/>
          <w:sz w:val="22"/>
          <w:szCs w:val="22"/>
        </w:rPr>
        <w:t xml:space="preserve">de marzo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w:t>
      </w:r>
      <w:r w:rsidR="00722A8D" w:rsidRPr="00DC01BC">
        <w:rPr>
          <w:rFonts w:ascii="Palatino Linotype" w:hAnsi="Palatino Linotype" w:cs="Tahoma"/>
          <w:sz w:val="22"/>
          <w:szCs w:val="22"/>
        </w:rPr>
        <w:lastRenderedPageBreak/>
        <w:t xml:space="preserve">del Estado de México y Municipios, mismo que fue notificado a las partes el mismo día, a través del </w:t>
      </w:r>
      <w:r w:rsidR="00722A8D" w:rsidRPr="00DC01BC">
        <w:rPr>
          <w:rFonts w:ascii="Palatino Linotype" w:hAnsi="Palatino Linotype" w:cs="Tahoma"/>
          <w:sz w:val="22"/>
          <w:szCs w:val="22"/>
          <w:lang w:val="es-ES"/>
        </w:rPr>
        <w:t>Sistema de Acceso a la Información Mexiquense (SAIMEX)</w:t>
      </w:r>
      <w:r w:rsidR="00722A8D" w:rsidRPr="00DC01BC">
        <w:rPr>
          <w:rFonts w:ascii="Palatino Linotype" w:hAnsi="Palatino Linotype" w:cs="Tahoma"/>
          <w:sz w:val="22"/>
          <w:szCs w:val="22"/>
        </w:rPr>
        <w:t>.</w:t>
      </w:r>
    </w:p>
    <w:p w14:paraId="4863EA84" w14:textId="77777777" w:rsidR="00722A8D" w:rsidRPr="00DC01BC" w:rsidRDefault="00722A8D" w:rsidP="00840162">
      <w:pPr>
        <w:spacing w:line="360" w:lineRule="auto"/>
        <w:ind w:right="-28"/>
        <w:contextualSpacing/>
        <w:jc w:val="both"/>
        <w:rPr>
          <w:rFonts w:ascii="Palatino Linotype" w:hAnsi="Palatino Linotype" w:cs="Tahoma"/>
          <w:sz w:val="22"/>
          <w:szCs w:val="22"/>
          <w:lang w:val="es-ES"/>
        </w:rPr>
      </w:pPr>
    </w:p>
    <w:p w14:paraId="7394B683" w14:textId="6300BAA0" w:rsidR="007B1761" w:rsidRPr="00DC01BC" w:rsidRDefault="00722A8D" w:rsidP="00840162">
      <w:pPr>
        <w:spacing w:line="360" w:lineRule="auto"/>
        <w:ind w:right="-28"/>
        <w:contextualSpacing/>
        <w:jc w:val="both"/>
        <w:rPr>
          <w:rFonts w:ascii="Palatino Linotype" w:hAnsi="Palatino Linotype" w:cs="Tahoma"/>
          <w:color w:val="000000"/>
          <w:sz w:val="22"/>
          <w:szCs w:val="22"/>
        </w:rPr>
      </w:pPr>
      <w:r w:rsidRPr="00DC01BC">
        <w:rPr>
          <w:rFonts w:ascii="Palatino Linotype" w:hAnsi="Palatino Linotype" w:cs="Tahoma"/>
          <w:color w:val="000000"/>
          <w:sz w:val="22"/>
          <w:szCs w:val="22"/>
        </w:rPr>
        <w:t>En razón de que fue debidamente sustanciado el expediente electrónico y no existe diligencia pendiente de desahogo, se emite la resolución que conforme a Derecho proceda, de acuerdo a los siguientes:</w:t>
      </w:r>
    </w:p>
    <w:p w14:paraId="7E886FB2" w14:textId="77777777" w:rsidR="0022698D" w:rsidRPr="00DC01BC" w:rsidRDefault="0022698D" w:rsidP="00840162">
      <w:pPr>
        <w:spacing w:line="360" w:lineRule="auto"/>
        <w:ind w:right="-28"/>
        <w:contextualSpacing/>
        <w:jc w:val="both"/>
        <w:rPr>
          <w:rFonts w:ascii="Palatino Linotype" w:hAnsi="Palatino Linotype" w:cs="Tahoma"/>
          <w:color w:val="000000"/>
          <w:sz w:val="22"/>
          <w:szCs w:val="22"/>
        </w:rPr>
      </w:pPr>
    </w:p>
    <w:p w14:paraId="7DC4788E" w14:textId="77777777" w:rsidR="00722A8D" w:rsidRPr="00DC01BC" w:rsidRDefault="00722A8D" w:rsidP="00840162">
      <w:pPr>
        <w:pStyle w:val="Ttulo1"/>
        <w:spacing w:before="0" w:after="0" w:line="360" w:lineRule="auto"/>
        <w:contextualSpacing/>
        <w:jc w:val="center"/>
        <w:rPr>
          <w:rFonts w:ascii="Palatino Linotype" w:hAnsi="Palatino Linotype"/>
          <w:b/>
          <w:bCs/>
          <w:color w:val="auto"/>
          <w:sz w:val="22"/>
          <w:szCs w:val="22"/>
          <w:lang w:val="es-ES"/>
        </w:rPr>
      </w:pPr>
      <w:bookmarkStart w:id="9" w:name="_Toc190350684"/>
      <w:r w:rsidRPr="00DC01BC">
        <w:rPr>
          <w:rFonts w:ascii="Palatino Linotype" w:hAnsi="Palatino Linotype"/>
          <w:b/>
          <w:bCs/>
          <w:color w:val="auto"/>
          <w:sz w:val="22"/>
          <w:szCs w:val="22"/>
          <w:lang w:val="es-ES"/>
        </w:rPr>
        <w:t>C O N S I D E R A N D O S</w:t>
      </w:r>
      <w:bookmarkEnd w:id="9"/>
    </w:p>
    <w:p w14:paraId="7551C9C2" w14:textId="77777777" w:rsidR="00722A8D" w:rsidRPr="00DC01BC" w:rsidRDefault="00722A8D" w:rsidP="00840162">
      <w:pPr>
        <w:spacing w:line="360" w:lineRule="auto"/>
        <w:contextualSpacing/>
        <w:rPr>
          <w:lang w:val="es-ES"/>
        </w:rPr>
      </w:pPr>
    </w:p>
    <w:p w14:paraId="5DB60026" w14:textId="77777777" w:rsidR="00722A8D" w:rsidRPr="00DC01BC" w:rsidRDefault="00722A8D" w:rsidP="00840162">
      <w:pPr>
        <w:pStyle w:val="Ttulo2"/>
        <w:spacing w:before="0" w:after="0" w:line="360" w:lineRule="auto"/>
        <w:contextualSpacing/>
        <w:rPr>
          <w:rFonts w:ascii="Palatino Linotype" w:hAnsi="Palatino Linotype"/>
          <w:b/>
          <w:bCs/>
          <w:color w:val="auto"/>
          <w:sz w:val="22"/>
          <w:szCs w:val="22"/>
          <w:lang w:val="es-ES"/>
        </w:rPr>
      </w:pPr>
      <w:bookmarkStart w:id="10" w:name="_Toc190350685"/>
      <w:r w:rsidRPr="00DC01BC">
        <w:rPr>
          <w:rFonts w:ascii="Palatino Linotype" w:eastAsia="Calibri" w:hAnsi="Palatino Linotype"/>
          <w:b/>
          <w:bCs/>
          <w:color w:val="auto"/>
          <w:sz w:val="22"/>
          <w:szCs w:val="22"/>
          <w:lang w:val="es-ES" w:eastAsia="es-MX"/>
        </w:rPr>
        <w:t xml:space="preserve">PRIMERO. </w:t>
      </w:r>
      <w:r w:rsidRPr="00DC01BC">
        <w:rPr>
          <w:rFonts w:ascii="Palatino Linotype" w:hAnsi="Palatino Linotype"/>
          <w:b/>
          <w:bCs/>
          <w:color w:val="auto"/>
          <w:sz w:val="22"/>
          <w:szCs w:val="22"/>
          <w:lang w:val="es-ES"/>
        </w:rPr>
        <w:t>Competencia</w:t>
      </w:r>
      <w:bookmarkEnd w:id="10"/>
    </w:p>
    <w:p w14:paraId="2A30A891" w14:textId="77777777" w:rsidR="00722A8D" w:rsidRPr="00DC01BC" w:rsidRDefault="00722A8D" w:rsidP="00840162">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27BF98B2" w14:textId="77777777" w:rsidR="00722A8D" w:rsidRPr="00DC01BC" w:rsidRDefault="00722A8D" w:rsidP="00840162">
      <w:pPr>
        <w:spacing w:line="360" w:lineRule="auto"/>
        <w:ind w:right="-28"/>
        <w:contextualSpacing/>
        <w:jc w:val="both"/>
        <w:rPr>
          <w:rFonts w:ascii="Palatino Linotype" w:hAnsi="Palatino Linotype" w:cs="Tahoma"/>
          <w:color w:val="000000"/>
          <w:sz w:val="22"/>
          <w:szCs w:val="22"/>
        </w:rPr>
      </w:pPr>
      <w:r w:rsidRPr="00DC01BC">
        <w:rPr>
          <w:rFonts w:ascii="Palatino Linotype" w:hAnsi="Palatino Linotype" w:cs="Tahoma"/>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DC01BC">
        <w:rPr>
          <w:rFonts w:ascii="Palatino Linotype" w:hAnsi="Palatino Linotype"/>
          <w:color w:val="000000"/>
        </w:rPr>
        <w:t xml:space="preserve"> 7°, </w:t>
      </w:r>
      <w:r w:rsidRPr="00DC01BC">
        <w:rPr>
          <w:rFonts w:ascii="Palatino Linotype" w:hAnsi="Palatino Linotype" w:cs="Tahoma"/>
          <w:color w:val="000000"/>
          <w:sz w:val="22"/>
          <w:szCs w:val="22"/>
        </w:rPr>
        <w:t>9°, fracciones I y XXIII y 11 del Reglamento Interior del Instituto de Transparencia, Acceso a la Información Pública y Protección de Datos Personales del Estado de México y Municipios.</w:t>
      </w:r>
    </w:p>
    <w:p w14:paraId="7C51AC38" w14:textId="77777777" w:rsidR="00722A8D" w:rsidRPr="00DC01BC" w:rsidRDefault="00722A8D" w:rsidP="00840162">
      <w:pPr>
        <w:spacing w:line="360" w:lineRule="auto"/>
        <w:ind w:right="-28"/>
        <w:contextualSpacing/>
        <w:jc w:val="both"/>
        <w:rPr>
          <w:rFonts w:ascii="Palatino Linotype" w:hAnsi="Palatino Linotype" w:cs="Tahoma"/>
          <w:color w:val="000000"/>
          <w:sz w:val="22"/>
          <w:szCs w:val="22"/>
        </w:rPr>
      </w:pPr>
    </w:p>
    <w:p w14:paraId="6448CC17" w14:textId="77777777" w:rsidR="00722A8D" w:rsidRPr="00DC01BC" w:rsidRDefault="00722A8D" w:rsidP="00840162">
      <w:pPr>
        <w:pStyle w:val="Ttulo2"/>
        <w:spacing w:before="0" w:after="0" w:line="360" w:lineRule="auto"/>
        <w:contextualSpacing/>
        <w:rPr>
          <w:rFonts w:ascii="Palatino Linotype" w:eastAsia="Calibri" w:hAnsi="Palatino Linotype"/>
          <w:b/>
          <w:bCs/>
          <w:color w:val="auto"/>
          <w:sz w:val="22"/>
          <w:szCs w:val="22"/>
          <w:lang w:val="es-ES" w:eastAsia="es-MX"/>
        </w:rPr>
      </w:pPr>
      <w:bookmarkStart w:id="11" w:name="_Toc190350686"/>
      <w:r w:rsidRPr="00DC01BC">
        <w:rPr>
          <w:rFonts w:ascii="Palatino Linotype" w:eastAsia="Calibri" w:hAnsi="Palatino Linotype"/>
          <w:b/>
          <w:bCs/>
          <w:color w:val="auto"/>
          <w:sz w:val="22"/>
          <w:szCs w:val="22"/>
          <w:lang w:val="es-ES" w:eastAsia="es-MX"/>
        </w:rPr>
        <w:t>SEGUNDO. Causales de improcedencia y sobreseimiento</w:t>
      </w:r>
      <w:bookmarkEnd w:id="11"/>
    </w:p>
    <w:p w14:paraId="57CA6FFC" w14:textId="77777777"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lang w:val="es-ES"/>
        </w:rPr>
      </w:pPr>
    </w:p>
    <w:p w14:paraId="0C370A64" w14:textId="77777777" w:rsidR="00722A8D" w:rsidRPr="00DC01BC" w:rsidRDefault="00722A8D" w:rsidP="00840162">
      <w:pPr>
        <w:autoSpaceDE w:val="0"/>
        <w:autoSpaceDN w:val="0"/>
        <w:adjustRightInd w:val="0"/>
        <w:spacing w:line="360" w:lineRule="auto"/>
        <w:contextualSpacing/>
        <w:jc w:val="both"/>
        <w:rPr>
          <w:rFonts w:ascii="Palatino Linotype" w:hAnsi="Palatino Linotype" w:cs="Tahoma"/>
          <w:sz w:val="22"/>
          <w:szCs w:val="22"/>
          <w:lang w:val="es-ES"/>
        </w:rPr>
      </w:pPr>
      <w:r w:rsidRPr="00DC01BC">
        <w:rPr>
          <w:rFonts w:ascii="Palatino Linotype" w:hAnsi="Palatino Linotype" w:cs="Tahoma"/>
          <w:sz w:val="22"/>
          <w:szCs w:val="22"/>
          <w:lang w:val="es-ES"/>
        </w:rPr>
        <w:lastRenderedPageBreak/>
        <w:t xml:space="preserve">De las constancias que forma parte del Recurso de Revisión que se analiza, se advierte que previo al estudio del fondo de la </w:t>
      </w:r>
      <w:proofErr w:type="spellStart"/>
      <w:r w:rsidRPr="00DC01BC">
        <w:rPr>
          <w:rFonts w:ascii="Palatino Linotype" w:hAnsi="Palatino Linotype" w:cs="Tahoma"/>
          <w:i/>
          <w:sz w:val="22"/>
          <w:szCs w:val="22"/>
          <w:lang w:val="es-ES"/>
        </w:rPr>
        <w:t>litis</w:t>
      </w:r>
      <w:proofErr w:type="spellEnd"/>
      <w:r w:rsidRPr="00DC01BC">
        <w:rPr>
          <w:rFonts w:ascii="Palatino Linotype" w:hAnsi="Palatino Linotype" w:cs="Tahoma"/>
          <w:sz w:val="22"/>
          <w:szCs w:val="22"/>
          <w:lang w:val="es-ES"/>
        </w:rPr>
        <w:t>, es necesario estudiar las causales de improcedencia, para determinar lo que en Derecho proceda.</w:t>
      </w:r>
    </w:p>
    <w:p w14:paraId="536157A5" w14:textId="77777777" w:rsidR="00DB4D2B" w:rsidRPr="00DC01BC" w:rsidRDefault="00DB4D2B" w:rsidP="00840162">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0AF0F6F9" w14:textId="77777777" w:rsidR="00DB4D2B" w:rsidRPr="00DC01BC" w:rsidRDefault="00DB4D2B" w:rsidP="00840162">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DC01BC">
        <w:rPr>
          <w:rFonts w:ascii="Palatino Linotype" w:eastAsia="Calibri" w:hAnsi="Palatino Linotype" w:cs="Tahoma"/>
          <w:b/>
          <w:color w:val="000000"/>
          <w:sz w:val="22"/>
          <w:szCs w:val="22"/>
          <w:lang w:val="es-ES" w:eastAsia="es-MX"/>
        </w:rPr>
        <w:t>Causales de improcedencia</w:t>
      </w:r>
    </w:p>
    <w:p w14:paraId="593F69B9" w14:textId="77777777" w:rsidR="00DB4D2B" w:rsidRPr="00DC01BC" w:rsidRDefault="00DB4D2B" w:rsidP="0084016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0C7D20B" w14:textId="77777777" w:rsidR="00DB4D2B" w:rsidRPr="00DC01BC" w:rsidRDefault="00DB4D2B" w:rsidP="00840162">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DC01BC">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CD1E928" w14:textId="77777777" w:rsidR="00DB4D2B" w:rsidRPr="00DC01BC" w:rsidRDefault="00DB4D2B" w:rsidP="00840162">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5BEA726E" w14:textId="77777777" w:rsidR="00DB4D2B" w:rsidRPr="00DC01BC" w:rsidRDefault="00DB4D2B" w:rsidP="0084016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DC01BC">
        <w:rPr>
          <w:rFonts w:ascii="Palatino Linotype" w:hAnsi="Palatino Linotype" w:cs="Tahoma"/>
          <w:sz w:val="22"/>
          <w:szCs w:val="24"/>
        </w:rPr>
        <w:t>En el presente caso, </w:t>
      </w:r>
      <w:r w:rsidRPr="00DC01BC">
        <w:rPr>
          <w:rFonts w:ascii="Palatino Linotype" w:hAnsi="Palatino Linotype" w:cs="Tahoma"/>
          <w:b/>
          <w:bCs/>
          <w:sz w:val="22"/>
          <w:szCs w:val="24"/>
        </w:rPr>
        <w:t>no se actualiza ninguna de las causales de improcedencia</w:t>
      </w:r>
      <w:r w:rsidRPr="00DC01BC">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DC01BC">
        <w:rPr>
          <w:rFonts w:ascii="Palatino Linotype" w:hAnsi="Palatino Linotype" w:cs="Tahoma"/>
          <w:sz w:val="22"/>
          <w:szCs w:val="22"/>
          <w:lang w:val="es-ES"/>
        </w:rPr>
        <w:t xml:space="preserve">además de que </w:t>
      </w:r>
      <w:r w:rsidRPr="00DC01BC">
        <w:rPr>
          <w:rFonts w:ascii="Palatino Linotype" w:eastAsia="Calibri" w:hAnsi="Palatino Linotype" w:cs="Tahoma"/>
          <w:color w:val="000000"/>
          <w:sz w:val="22"/>
          <w:szCs w:val="22"/>
          <w:lang w:val="es-ES" w:eastAsia="es-MX"/>
        </w:rPr>
        <w:t>el medio de impugnación fue presentado en tiempo.</w:t>
      </w:r>
    </w:p>
    <w:p w14:paraId="4C34CA11" w14:textId="77777777" w:rsidR="00DB4D2B" w:rsidRPr="00DC01BC" w:rsidRDefault="00DB4D2B" w:rsidP="0084016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76ECF64E" w14:textId="77777777" w:rsidR="000E2CDB" w:rsidRPr="00DC01BC" w:rsidRDefault="000E2CDB" w:rsidP="00840162">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2038BB6E" w14:textId="70EA639E" w:rsidR="00DB4D2B" w:rsidRPr="00DC01BC" w:rsidRDefault="00DB4D2B" w:rsidP="00840162">
      <w:pPr>
        <w:widowControl w:val="0"/>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lastRenderedPageBreak/>
        <w:t xml:space="preserve">Asimismo, se actualiza la causal de procedencia del Recurso de Revisión señalada en el artículo 179, fracción </w:t>
      </w:r>
      <w:r w:rsidR="0022698D" w:rsidRPr="00DC01BC">
        <w:rPr>
          <w:rFonts w:ascii="Palatino Linotype" w:hAnsi="Palatino Linotype" w:cs="Tahoma"/>
          <w:sz w:val="22"/>
          <w:szCs w:val="22"/>
        </w:rPr>
        <w:t>V</w:t>
      </w:r>
      <w:r w:rsidRPr="00DC01BC">
        <w:rPr>
          <w:rFonts w:ascii="Palatino Linotype" w:hAnsi="Palatino Linotype" w:cs="Tahoma"/>
          <w:sz w:val="22"/>
          <w:szCs w:val="22"/>
        </w:rPr>
        <w:t xml:space="preserve">, de la Ley en cita, </w:t>
      </w:r>
      <w:r w:rsidRPr="00DC01BC">
        <w:rPr>
          <w:rFonts w:ascii="Palatino Linotype" w:eastAsia="Calibri" w:hAnsi="Palatino Linotype" w:cs="Tahoma"/>
          <w:color w:val="000000"/>
          <w:sz w:val="22"/>
          <w:szCs w:val="22"/>
          <w:lang w:eastAsia="es-MX"/>
        </w:rPr>
        <w:t xml:space="preserve">pues el Recurrente se inconformó con </w:t>
      </w:r>
      <w:r w:rsidRPr="00DC01BC">
        <w:rPr>
          <w:rFonts w:ascii="Palatino Linotype" w:hAnsi="Palatino Linotype" w:cs="Tahoma"/>
          <w:sz w:val="22"/>
          <w:szCs w:val="22"/>
        </w:rPr>
        <w:t xml:space="preserve">la </w:t>
      </w:r>
      <w:r w:rsidR="0022698D" w:rsidRPr="00DC01BC">
        <w:rPr>
          <w:rFonts w:ascii="Palatino Linotype" w:hAnsi="Palatino Linotype" w:cs="Tahoma"/>
          <w:sz w:val="22"/>
          <w:szCs w:val="22"/>
        </w:rPr>
        <w:t xml:space="preserve">entrega de </w:t>
      </w:r>
      <w:r w:rsidRPr="00DC01BC">
        <w:rPr>
          <w:rFonts w:ascii="Palatino Linotype" w:hAnsi="Palatino Linotype" w:cs="Tahoma"/>
          <w:sz w:val="22"/>
          <w:szCs w:val="22"/>
        </w:rPr>
        <w:t>información</w:t>
      </w:r>
      <w:bookmarkStart w:id="12" w:name="_Toc188529041"/>
      <w:r w:rsidR="0022698D" w:rsidRPr="00DC01BC">
        <w:rPr>
          <w:rFonts w:ascii="Palatino Linotype" w:hAnsi="Palatino Linotype" w:cs="Tahoma"/>
          <w:sz w:val="22"/>
          <w:szCs w:val="22"/>
        </w:rPr>
        <w:t xml:space="preserve"> incompleta</w:t>
      </w:r>
      <w:r w:rsidRPr="00DC01BC">
        <w:rPr>
          <w:rFonts w:ascii="Palatino Linotype" w:hAnsi="Palatino Linotype" w:cs="Tahoma"/>
          <w:sz w:val="22"/>
          <w:szCs w:val="22"/>
        </w:rPr>
        <w:t>.</w:t>
      </w:r>
    </w:p>
    <w:bookmarkEnd w:id="12"/>
    <w:p w14:paraId="3B7B28DA" w14:textId="77777777" w:rsidR="00DB4D2B" w:rsidRPr="00DC01BC" w:rsidRDefault="00DB4D2B" w:rsidP="00840162">
      <w:pPr>
        <w:spacing w:line="360" w:lineRule="auto"/>
        <w:contextualSpacing/>
        <w:jc w:val="both"/>
        <w:rPr>
          <w:rFonts w:ascii="Palatino Linotype" w:hAnsi="Palatino Linotype" w:cs="Tahoma"/>
          <w:b/>
          <w:bCs/>
          <w:color w:val="0D0D0D" w:themeColor="text1" w:themeTint="F2"/>
          <w:sz w:val="22"/>
          <w:szCs w:val="22"/>
        </w:rPr>
      </w:pPr>
    </w:p>
    <w:p w14:paraId="7EDB0E61" w14:textId="77777777" w:rsidR="00DB4D2B" w:rsidRPr="00DC01BC" w:rsidRDefault="00DB4D2B" w:rsidP="00840162">
      <w:pPr>
        <w:spacing w:line="360" w:lineRule="auto"/>
        <w:contextualSpacing/>
        <w:jc w:val="both"/>
        <w:rPr>
          <w:rFonts w:ascii="Palatino Linotype" w:hAnsi="Palatino Linotype" w:cs="Tahoma"/>
          <w:bCs/>
          <w:color w:val="0D0D0D" w:themeColor="text1" w:themeTint="F2"/>
          <w:sz w:val="22"/>
          <w:szCs w:val="22"/>
        </w:rPr>
      </w:pPr>
      <w:r w:rsidRPr="00DC01BC">
        <w:rPr>
          <w:rFonts w:ascii="Palatino Linotype" w:hAnsi="Palatino Linotype" w:cs="Tahoma"/>
          <w:b/>
          <w:bCs/>
          <w:color w:val="0D0D0D" w:themeColor="text1" w:themeTint="F2"/>
          <w:sz w:val="22"/>
          <w:szCs w:val="22"/>
        </w:rPr>
        <w:t>Causales de sobreseimiento</w:t>
      </w:r>
    </w:p>
    <w:p w14:paraId="34C3A19D" w14:textId="77777777" w:rsidR="00DB4D2B" w:rsidRPr="00DC01BC" w:rsidRDefault="00DB4D2B" w:rsidP="00840162">
      <w:pPr>
        <w:spacing w:line="360" w:lineRule="auto"/>
        <w:contextualSpacing/>
        <w:jc w:val="both"/>
        <w:rPr>
          <w:rFonts w:ascii="Palatino Linotype" w:hAnsi="Palatino Linotype" w:cs="Tahoma"/>
          <w:bCs/>
          <w:color w:val="0D0D0D" w:themeColor="text1" w:themeTint="F2"/>
          <w:sz w:val="22"/>
          <w:szCs w:val="22"/>
        </w:rPr>
      </w:pPr>
    </w:p>
    <w:p w14:paraId="501BDFF9" w14:textId="77777777" w:rsidR="00DB4D2B" w:rsidRPr="00DC01BC" w:rsidRDefault="00DB4D2B"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Por ser de previo y especial pronunciamiento, este Instituto analiza si se actualiza alguna causal de sobreseimiento.</w:t>
      </w:r>
    </w:p>
    <w:p w14:paraId="586C286D" w14:textId="77777777" w:rsidR="00DB4D2B" w:rsidRPr="00DC01BC" w:rsidRDefault="00DB4D2B" w:rsidP="00840162">
      <w:pPr>
        <w:spacing w:line="360" w:lineRule="auto"/>
        <w:contextualSpacing/>
        <w:jc w:val="both"/>
        <w:rPr>
          <w:rFonts w:ascii="Palatino Linotype" w:hAnsi="Palatino Linotype" w:cs="Tahoma"/>
          <w:sz w:val="22"/>
          <w:szCs w:val="22"/>
        </w:rPr>
      </w:pPr>
    </w:p>
    <w:p w14:paraId="4857B6B0" w14:textId="77777777" w:rsidR="00DB4D2B" w:rsidRPr="00DC01BC" w:rsidRDefault="00DB4D2B"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680856A7" w14:textId="77777777" w:rsidR="00DB4D2B" w:rsidRPr="00DC01BC" w:rsidRDefault="00DB4D2B" w:rsidP="00840162">
      <w:pPr>
        <w:spacing w:line="360" w:lineRule="auto"/>
        <w:contextualSpacing/>
        <w:jc w:val="both"/>
        <w:rPr>
          <w:rFonts w:ascii="Palatino Linotype" w:hAnsi="Palatino Linotype" w:cs="Tahoma"/>
          <w:sz w:val="22"/>
          <w:szCs w:val="22"/>
        </w:rPr>
      </w:pPr>
    </w:p>
    <w:p w14:paraId="22F120E8" w14:textId="77777777" w:rsidR="00DB4D2B" w:rsidRPr="00DC01BC" w:rsidRDefault="00DB4D2B" w:rsidP="00840162">
      <w:pPr>
        <w:tabs>
          <w:tab w:val="left" w:pos="4962"/>
        </w:tabs>
        <w:spacing w:line="360" w:lineRule="auto"/>
        <w:contextualSpacing/>
        <w:jc w:val="both"/>
        <w:rPr>
          <w:rFonts w:ascii="Palatino Linotype" w:hAnsi="Palatino Linotype" w:cs="Tahoma"/>
          <w:sz w:val="22"/>
          <w:szCs w:val="22"/>
          <w:lang w:val="es-ES"/>
        </w:rPr>
      </w:pPr>
      <w:r w:rsidRPr="00DC01BC">
        <w:rPr>
          <w:rFonts w:ascii="Palatino Linotype" w:hAnsi="Palatino Linotype" w:cs="Tahoma"/>
          <w:bCs/>
          <w:sz w:val="22"/>
          <w:szCs w:val="22"/>
          <w:lang w:val="es-ES"/>
        </w:rPr>
        <w:t xml:space="preserve">Por tales motivos, </w:t>
      </w:r>
      <w:r w:rsidRPr="00DC01BC">
        <w:rPr>
          <w:rFonts w:ascii="Palatino Linotype" w:hAnsi="Palatino Linotype" w:cs="Tahoma"/>
          <w:sz w:val="22"/>
          <w:szCs w:val="22"/>
          <w:lang w:val="es-ES"/>
        </w:rPr>
        <w:t xml:space="preserve">se considera procedente entrar al fondo del presente asunto. </w:t>
      </w:r>
    </w:p>
    <w:p w14:paraId="7E91DC1B" w14:textId="77777777" w:rsidR="00722A8D" w:rsidRPr="00DC01BC" w:rsidRDefault="00722A8D" w:rsidP="00840162">
      <w:pPr>
        <w:tabs>
          <w:tab w:val="left" w:pos="4962"/>
        </w:tabs>
        <w:spacing w:line="360" w:lineRule="auto"/>
        <w:contextualSpacing/>
        <w:jc w:val="both"/>
        <w:rPr>
          <w:rFonts w:ascii="Palatino Linotype" w:hAnsi="Palatino Linotype" w:cs="Tahoma"/>
          <w:sz w:val="22"/>
          <w:szCs w:val="22"/>
          <w:lang w:val="es-ES"/>
        </w:rPr>
      </w:pPr>
    </w:p>
    <w:p w14:paraId="3CB5E49B" w14:textId="77777777" w:rsidR="00722A8D" w:rsidRPr="00DC01BC" w:rsidRDefault="00722A8D" w:rsidP="00840162">
      <w:pPr>
        <w:pStyle w:val="Ttulo2"/>
        <w:spacing w:before="0" w:after="0" w:line="360" w:lineRule="auto"/>
        <w:contextualSpacing/>
        <w:rPr>
          <w:rFonts w:ascii="Palatino Linotype" w:hAnsi="Palatino Linotype"/>
          <w:b/>
          <w:bCs/>
          <w:color w:val="auto"/>
          <w:sz w:val="22"/>
          <w:szCs w:val="22"/>
          <w:lang w:val="es-ES" w:eastAsia="es-ES_tradnl"/>
        </w:rPr>
      </w:pPr>
      <w:bookmarkStart w:id="13" w:name="_Toc190350687"/>
      <w:r w:rsidRPr="00DC01BC">
        <w:rPr>
          <w:rFonts w:ascii="Palatino Linotype" w:hAnsi="Palatino Linotype"/>
          <w:b/>
          <w:bCs/>
          <w:color w:val="auto"/>
          <w:sz w:val="22"/>
          <w:szCs w:val="22"/>
          <w:lang w:val="es-ES" w:eastAsia="es-ES_tradnl"/>
        </w:rPr>
        <w:t>TERCERO. Determinación de la Controversia</w:t>
      </w:r>
      <w:bookmarkEnd w:id="13"/>
    </w:p>
    <w:p w14:paraId="290FDE42" w14:textId="77777777" w:rsidR="00722A8D" w:rsidRPr="00DC01BC" w:rsidRDefault="00722A8D" w:rsidP="00840162">
      <w:pPr>
        <w:tabs>
          <w:tab w:val="left" w:pos="4962"/>
        </w:tabs>
        <w:spacing w:line="360" w:lineRule="auto"/>
        <w:contextualSpacing/>
        <w:jc w:val="both"/>
        <w:rPr>
          <w:rFonts w:ascii="Palatino Linotype" w:hAnsi="Palatino Linotype" w:cs="Tahoma"/>
          <w:b/>
          <w:iCs/>
          <w:sz w:val="22"/>
          <w:szCs w:val="22"/>
          <w:lang w:val="es-ES" w:eastAsia="es-ES_tradnl"/>
        </w:rPr>
      </w:pPr>
    </w:p>
    <w:p w14:paraId="60CE5C8C" w14:textId="11686A4F"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DC01BC">
        <w:rPr>
          <w:rFonts w:ascii="Palatino Linotype" w:hAnsi="Palatino Linotype" w:cs="Tahoma"/>
          <w:sz w:val="22"/>
          <w:szCs w:val="22"/>
        </w:rPr>
        <w:t>que el Particular requirió respecto de</w:t>
      </w:r>
      <w:r w:rsidR="0022698D" w:rsidRPr="00DC01BC">
        <w:rPr>
          <w:rFonts w:ascii="Palatino Linotype" w:hAnsi="Palatino Linotype" w:cs="Tahoma"/>
          <w:sz w:val="22"/>
          <w:szCs w:val="22"/>
        </w:rPr>
        <w:t xml:space="preserve"> la Maestría en Administración Pública Municipal con Enfoque de Género</w:t>
      </w:r>
      <w:r w:rsidRPr="00DC01BC">
        <w:rPr>
          <w:rFonts w:ascii="Palatino Linotype" w:hAnsi="Palatino Linotype" w:cs="Tahoma"/>
          <w:sz w:val="22"/>
          <w:szCs w:val="22"/>
        </w:rPr>
        <w:t xml:space="preserve">, al </w:t>
      </w:r>
      <w:r w:rsidR="00C3542C" w:rsidRPr="00DC01BC">
        <w:rPr>
          <w:rFonts w:ascii="Palatino Linotype" w:hAnsi="Palatino Linotype" w:cs="Tahoma"/>
          <w:sz w:val="22"/>
          <w:szCs w:val="22"/>
        </w:rPr>
        <w:t xml:space="preserve">veintisiete </w:t>
      </w:r>
      <w:r w:rsidRPr="00DC01BC">
        <w:rPr>
          <w:rFonts w:ascii="Palatino Linotype" w:hAnsi="Palatino Linotype" w:cs="Tahoma"/>
          <w:sz w:val="22"/>
          <w:szCs w:val="22"/>
        </w:rPr>
        <w:t>de enero de dos mil veinticinco, los documentos que dieran cuenta de lo siguiente:</w:t>
      </w:r>
    </w:p>
    <w:p w14:paraId="2ACADA2F" w14:textId="77777777" w:rsidR="00C3542C" w:rsidRPr="00DC01BC" w:rsidRDefault="00C3542C" w:rsidP="00840162">
      <w:pPr>
        <w:pStyle w:val="Prrafodelista"/>
        <w:numPr>
          <w:ilvl w:val="0"/>
          <w:numId w:val="2"/>
        </w:numPr>
        <w:spacing w:line="360" w:lineRule="auto"/>
        <w:jc w:val="both"/>
        <w:rPr>
          <w:rFonts w:ascii="Palatino Linotype" w:hAnsi="Palatino Linotype" w:cs="Tahoma"/>
          <w:sz w:val="22"/>
          <w:szCs w:val="22"/>
        </w:rPr>
      </w:pPr>
      <w:r w:rsidRPr="00DC01BC">
        <w:rPr>
          <w:rFonts w:ascii="Palatino Linotype" w:hAnsi="Palatino Linotype" w:cs="Tahoma"/>
          <w:sz w:val="22"/>
          <w:szCs w:val="22"/>
        </w:rPr>
        <w:lastRenderedPageBreak/>
        <w:t>Justificación Legal y Académica;</w:t>
      </w:r>
    </w:p>
    <w:p w14:paraId="6F96A2B7" w14:textId="77777777" w:rsidR="00C3542C" w:rsidRPr="00DC01BC" w:rsidRDefault="00C3542C" w:rsidP="00840162">
      <w:pPr>
        <w:pStyle w:val="Prrafodelista"/>
        <w:numPr>
          <w:ilvl w:val="0"/>
          <w:numId w:val="2"/>
        </w:numPr>
        <w:spacing w:line="360" w:lineRule="auto"/>
        <w:jc w:val="both"/>
        <w:rPr>
          <w:rFonts w:ascii="Palatino Linotype" w:hAnsi="Palatino Linotype" w:cs="Tahoma"/>
          <w:sz w:val="22"/>
          <w:szCs w:val="22"/>
        </w:rPr>
      </w:pPr>
      <w:r w:rsidRPr="00DC01BC">
        <w:rPr>
          <w:rFonts w:ascii="Palatino Linotype" w:hAnsi="Palatino Linotype" w:cs="Tahoma"/>
          <w:sz w:val="22"/>
          <w:szCs w:val="22"/>
        </w:rPr>
        <w:t>Metas y Objetivos específicos;</w:t>
      </w:r>
    </w:p>
    <w:p w14:paraId="7CD31993" w14:textId="08E978D4" w:rsidR="00722A8D" w:rsidRPr="00DC01BC" w:rsidRDefault="00C3542C" w:rsidP="00840162">
      <w:pPr>
        <w:pStyle w:val="Prrafodelista"/>
        <w:numPr>
          <w:ilvl w:val="0"/>
          <w:numId w:val="2"/>
        </w:numPr>
        <w:spacing w:line="360" w:lineRule="auto"/>
        <w:jc w:val="both"/>
        <w:rPr>
          <w:rFonts w:ascii="Palatino Linotype" w:hAnsi="Palatino Linotype" w:cs="Tahoma"/>
          <w:sz w:val="22"/>
          <w:szCs w:val="22"/>
        </w:rPr>
      </w:pPr>
      <w:r w:rsidRPr="00DC01BC">
        <w:rPr>
          <w:rFonts w:ascii="Palatino Linotype" w:hAnsi="Palatino Linotype" w:cs="Tahoma"/>
          <w:sz w:val="22"/>
          <w:szCs w:val="22"/>
        </w:rPr>
        <w:t xml:space="preserve">Estudios basados en la Metodología de la Investigación Científica; </w:t>
      </w:r>
      <w:r w:rsidR="00722A8D" w:rsidRPr="00DC01BC">
        <w:rPr>
          <w:rFonts w:ascii="Palatino Linotype" w:hAnsi="Palatino Linotype" w:cs="Tahoma"/>
          <w:sz w:val="22"/>
          <w:szCs w:val="22"/>
        </w:rPr>
        <w:t>y</w:t>
      </w:r>
    </w:p>
    <w:p w14:paraId="49891303" w14:textId="7FFE4015" w:rsidR="00722A8D" w:rsidRPr="00DC01BC" w:rsidRDefault="00C3542C" w:rsidP="00840162">
      <w:pPr>
        <w:pStyle w:val="Prrafodelista"/>
        <w:numPr>
          <w:ilvl w:val="0"/>
          <w:numId w:val="2"/>
        </w:numPr>
        <w:spacing w:line="360" w:lineRule="auto"/>
        <w:jc w:val="both"/>
        <w:rPr>
          <w:rFonts w:ascii="Palatino Linotype" w:hAnsi="Palatino Linotype" w:cs="Tahoma"/>
          <w:sz w:val="22"/>
          <w:szCs w:val="22"/>
        </w:rPr>
      </w:pPr>
      <w:r w:rsidRPr="00DC01BC">
        <w:rPr>
          <w:rFonts w:ascii="Palatino Linotype" w:hAnsi="Palatino Linotype" w:cs="Tahoma"/>
          <w:sz w:val="22"/>
          <w:szCs w:val="22"/>
        </w:rPr>
        <w:t>Pertinencia Social</w:t>
      </w:r>
      <w:r w:rsidR="00722A8D" w:rsidRPr="00DC01BC">
        <w:rPr>
          <w:rFonts w:ascii="Palatino Linotype" w:hAnsi="Palatino Linotype" w:cs="Tahoma"/>
          <w:sz w:val="22"/>
          <w:szCs w:val="22"/>
        </w:rPr>
        <w:t>.</w:t>
      </w:r>
    </w:p>
    <w:p w14:paraId="2AAB489C" w14:textId="77777777" w:rsidR="00722A8D" w:rsidRPr="00DC01BC" w:rsidRDefault="00722A8D" w:rsidP="00840162">
      <w:pPr>
        <w:spacing w:line="360" w:lineRule="auto"/>
        <w:contextualSpacing/>
        <w:rPr>
          <w:rFonts w:ascii="Palatino Linotype" w:hAnsi="Palatino Linotype" w:cs="Tahoma"/>
          <w:sz w:val="22"/>
          <w:szCs w:val="22"/>
        </w:rPr>
      </w:pPr>
    </w:p>
    <w:p w14:paraId="080D5F71" w14:textId="377AEEF2"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sz w:val="22"/>
          <w:szCs w:val="22"/>
        </w:rPr>
      </w:pPr>
      <w:r w:rsidRPr="00DC01BC">
        <w:rPr>
          <w:rFonts w:ascii="Palatino Linotype" w:hAnsi="Palatino Linotype" w:cs="Tahoma"/>
          <w:sz w:val="22"/>
          <w:szCs w:val="22"/>
          <w:lang w:val="es-ES"/>
        </w:rPr>
        <w:t xml:space="preserve">En respuesta, el Sujeto Obligado, </w:t>
      </w:r>
      <w:r w:rsidR="001A062C" w:rsidRPr="00DC01BC">
        <w:rPr>
          <w:rFonts w:ascii="Palatino Linotype" w:hAnsi="Palatino Linotype" w:cs="Tahoma"/>
          <w:sz w:val="22"/>
          <w:szCs w:val="22"/>
          <w:lang w:val="es-ES"/>
        </w:rPr>
        <w:t>proporcionó la ficha técnica de reconocimiento de validez oficial</w:t>
      </w:r>
      <w:r w:rsidR="00DF704A" w:rsidRPr="00DC01BC">
        <w:rPr>
          <w:rFonts w:ascii="Palatino Linotype" w:hAnsi="Palatino Linotype" w:cs="Tahoma"/>
          <w:sz w:val="22"/>
          <w:szCs w:val="22"/>
          <w:lang w:val="es-ES"/>
        </w:rPr>
        <w:t xml:space="preserve">, </w:t>
      </w:r>
      <w:r w:rsidR="001A062C" w:rsidRPr="00DC01BC">
        <w:rPr>
          <w:rFonts w:ascii="Palatino Linotype" w:hAnsi="Palatino Linotype" w:cs="Tahoma"/>
          <w:sz w:val="22"/>
          <w:szCs w:val="22"/>
          <w:lang w:val="es-ES"/>
        </w:rPr>
        <w:t>fundamento legal, metas y objetivos específicos</w:t>
      </w:r>
      <w:r w:rsidRPr="00DC01BC">
        <w:rPr>
          <w:rFonts w:ascii="Palatino Linotype" w:eastAsia="Calibri" w:hAnsi="Palatino Linotype" w:cs="Tahoma"/>
          <w:color w:val="000000"/>
          <w:sz w:val="22"/>
          <w:szCs w:val="22"/>
          <w:lang w:val="es-ES"/>
        </w:rPr>
        <w:t>;</w:t>
      </w:r>
      <w:r w:rsidR="001A062C" w:rsidRPr="00DC01BC">
        <w:rPr>
          <w:rFonts w:ascii="Palatino Linotype" w:hAnsi="Palatino Linotype" w:cs="Tahoma"/>
          <w:sz w:val="22"/>
          <w:szCs w:val="22"/>
          <w:lang w:val="es-ES"/>
        </w:rPr>
        <w:t xml:space="preserve"> a</w:t>
      </w:r>
      <w:r w:rsidRPr="00DC01BC">
        <w:rPr>
          <w:rFonts w:ascii="Palatino Linotype" w:hAnsi="Palatino Linotype" w:cs="Tahoma"/>
          <w:sz w:val="22"/>
          <w:szCs w:val="22"/>
          <w:lang w:val="es-ES"/>
        </w:rPr>
        <w:t xml:space="preserve">nte dicha circunstancia, el Particular se agravió </w:t>
      </w:r>
      <w:r w:rsidR="001A062C" w:rsidRPr="00DC01BC">
        <w:rPr>
          <w:rFonts w:ascii="Palatino Linotype" w:hAnsi="Palatino Linotype" w:cs="Tahoma"/>
          <w:sz w:val="22"/>
          <w:szCs w:val="22"/>
          <w:lang w:val="es-ES"/>
        </w:rPr>
        <w:t xml:space="preserve">porque no le habían proporcionado información sobre </w:t>
      </w:r>
      <w:r w:rsidR="00DF704A" w:rsidRPr="00DC01BC">
        <w:rPr>
          <w:rFonts w:ascii="Palatino Linotype" w:hAnsi="Palatino Linotype" w:cs="Tahoma"/>
          <w:sz w:val="22"/>
          <w:szCs w:val="22"/>
          <w:lang w:val="es-ES"/>
        </w:rPr>
        <w:t xml:space="preserve">los estudios basados en la metodología de investigación científica y su </w:t>
      </w:r>
      <w:r w:rsidR="001A062C" w:rsidRPr="00DC01BC">
        <w:rPr>
          <w:rFonts w:ascii="Palatino Linotype" w:hAnsi="Palatino Linotype" w:cs="Tahoma"/>
          <w:sz w:val="22"/>
          <w:szCs w:val="22"/>
          <w:lang w:val="es-ES"/>
        </w:rPr>
        <w:t>pertinencia social</w:t>
      </w:r>
      <w:r w:rsidRPr="00DC01BC">
        <w:rPr>
          <w:rFonts w:ascii="Palatino Linotype" w:hAnsi="Palatino Linotype" w:cs="Tahoma"/>
          <w:sz w:val="22"/>
          <w:szCs w:val="22"/>
        </w:rPr>
        <w:t xml:space="preserve">; </w:t>
      </w:r>
      <w:r w:rsidRPr="00DC01BC">
        <w:rPr>
          <w:rFonts w:ascii="Palatino Linotype" w:hAnsi="Palatino Linotype" w:cs="Tahoma"/>
          <w:sz w:val="22"/>
          <w:szCs w:val="22"/>
          <w:lang w:val="es-ES"/>
        </w:rPr>
        <w:t xml:space="preserve">circunstancia que </w:t>
      </w:r>
      <w:r w:rsidRPr="00DC01BC">
        <w:rPr>
          <w:rFonts w:ascii="Palatino Linotype" w:eastAsia="Calibri" w:hAnsi="Palatino Linotype" w:cs="Tahoma"/>
          <w:sz w:val="22"/>
          <w:szCs w:val="22"/>
        </w:rPr>
        <w:t xml:space="preserve">actualiza la causal de procedencia prevista en la fracción </w:t>
      </w:r>
      <w:r w:rsidR="00DF704A" w:rsidRPr="00DC01BC">
        <w:rPr>
          <w:rFonts w:ascii="Palatino Linotype" w:eastAsia="Calibri" w:hAnsi="Palatino Linotype" w:cs="Tahoma"/>
          <w:sz w:val="22"/>
          <w:szCs w:val="22"/>
        </w:rPr>
        <w:t>V</w:t>
      </w:r>
      <w:r w:rsidRPr="00DC01BC">
        <w:rPr>
          <w:rFonts w:ascii="Palatino Linotype" w:eastAsia="Calibri" w:hAnsi="Palatino Linotype" w:cs="Tahoma"/>
          <w:sz w:val="22"/>
          <w:szCs w:val="22"/>
        </w:rPr>
        <w:t xml:space="preserve">, del artículo 179 de la Ley de Transparencia y Acceso a la Información Pública del Estado de México y Municipios. </w:t>
      </w:r>
    </w:p>
    <w:p w14:paraId="04133291"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sz w:val="22"/>
          <w:szCs w:val="22"/>
        </w:rPr>
      </w:pPr>
    </w:p>
    <w:p w14:paraId="6F87A736" w14:textId="7549DF51"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Conforme a lo anterior, se logra vislumbrar que el ahora Recurrente no se agravió de l</w:t>
      </w:r>
      <w:r w:rsidR="00993C4A" w:rsidRPr="00DC01BC">
        <w:rPr>
          <w:rFonts w:ascii="Palatino Linotype" w:eastAsia="Calibri" w:hAnsi="Palatino Linotype" w:cs="Tahoma"/>
          <w:color w:val="000000"/>
          <w:sz w:val="22"/>
          <w:szCs w:val="22"/>
        </w:rPr>
        <w:t>os</w:t>
      </w:r>
      <w:r w:rsidRPr="00DC01BC">
        <w:rPr>
          <w:rFonts w:ascii="Palatino Linotype" w:eastAsia="Calibri" w:hAnsi="Palatino Linotype" w:cs="Tahoma"/>
          <w:color w:val="000000"/>
          <w:sz w:val="22"/>
          <w:szCs w:val="22"/>
        </w:rPr>
        <w:t xml:space="preserve"> </w:t>
      </w:r>
      <w:r w:rsidR="00993C4A" w:rsidRPr="00DC01BC">
        <w:rPr>
          <w:rFonts w:ascii="Palatino Linotype" w:eastAsia="Calibri" w:hAnsi="Palatino Linotype" w:cs="Tahoma"/>
          <w:color w:val="000000"/>
          <w:sz w:val="22"/>
          <w:szCs w:val="22"/>
        </w:rPr>
        <w:t>puntos 1, y 2</w:t>
      </w:r>
      <w:r w:rsidRPr="00DC01BC">
        <w:rPr>
          <w:rFonts w:ascii="Palatino Linotype" w:eastAsia="Calibri" w:hAnsi="Palatino Linotype" w:cs="Tahoma"/>
          <w:color w:val="000000"/>
          <w:sz w:val="22"/>
          <w:szCs w:val="22"/>
        </w:rPr>
        <w:t xml:space="preserve">, sino porque no le habían proporcionado </w:t>
      </w:r>
      <w:r w:rsidR="00DF704A" w:rsidRPr="00DC01BC">
        <w:rPr>
          <w:rFonts w:ascii="Palatino Linotype" w:hAnsi="Palatino Linotype" w:cs="Tahoma"/>
          <w:sz w:val="22"/>
          <w:szCs w:val="22"/>
          <w:lang w:val="es-ES"/>
        </w:rPr>
        <w:t>los estudios basados en la metodología de investigación científica y su pertinencia social</w:t>
      </w:r>
      <w:r w:rsidRPr="00DC01BC">
        <w:rPr>
          <w:rFonts w:ascii="Palatino Linotype" w:eastAsia="Calibri" w:hAnsi="Palatino Linotype" w:cs="Tahoma"/>
          <w:color w:val="000000"/>
          <w:sz w:val="22"/>
          <w:szCs w:val="22"/>
        </w:rPr>
        <w:t xml:space="preserve">;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DC01BC">
        <w:rPr>
          <w:rFonts w:ascii="Palatino Linotype" w:eastAsia="Calibri" w:hAnsi="Palatino Linotype" w:cs="Tahoma"/>
          <w:b/>
          <w:color w:val="000000"/>
          <w:sz w:val="22"/>
          <w:szCs w:val="22"/>
        </w:rPr>
        <w:t>los actos que se hayan consentido tácitamente,</w:t>
      </w:r>
      <w:r w:rsidRPr="00DC01BC">
        <w:rPr>
          <w:rFonts w:ascii="Palatino Linotype" w:eastAsia="Calibri" w:hAnsi="Palatino Linotype" w:cs="Tahoma"/>
          <w:color w:val="000000"/>
          <w:sz w:val="22"/>
          <w:szCs w:val="22"/>
        </w:rPr>
        <w:t xml:space="preserve"> entendiéndose por estos cuando el agravio no se haya promovido en el plazo señalado para el efecto.</w:t>
      </w:r>
    </w:p>
    <w:p w14:paraId="4226A7D8"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 </w:t>
      </w:r>
    </w:p>
    <w:p w14:paraId="6001F297"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De la misma manera resulta aplicable el criterio sostenido por el Poder Judicial de la Federación de rubro </w:t>
      </w:r>
      <w:r w:rsidRPr="00DC01BC">
        <w:rPr>
          <w:rFonts w:ascii="Palatino Linotype" w:eastAsia="Calibri" w:hAnsi="Palatino Linotype" w:cs="Tahoma"/>
          <w:b/>
          <w:color w:val="000000"/>
          <w:sz w:val="22"/>
          <w:szCs w:val="22"/>
        </w:rPr>
        <w:t>ACTOS CONSENTIDOS TÁCITAMENTE</w:t>
      </w:r>
      <w:r w:rsidRPr="00DC01BC">
        <w:rPr>
          <w:rFonts w:ascii="Palatino Linotype" w:eastAsia="Calibri" w:hAnsi="Palatino Linotype" w:cs="Tahoma"/>
          <w:color w:val="000000"/>
          <w:sz w:val="22"/>
          <w:szCs w:val="22"/>
        </w:rPr>
        <w:t xml:space="preserve">, Tesis VI.2o. J/21, emitida en la novena época, por el Segundo Tribunal Colegiado del Sexto Circuito, publicada en la Gaceta </w:t>
      </w:r>
      <w:r w:rsidRPr="00DC01BC">
        <w:rPr>
          <w:rFonts w:ascii="Palatino Linotype" w:eastAsia="Calibri" w:hAnsi="Palatino Linotype" w:cs="Tahoma"/>
          <w:color w:val="000000"/>
          <w:sz w:val="22"/>
          <w:szCs w:val="22"/>
        </w:rPr>
        <w:lastRenderedPageBreak/>
        <w:t>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5C484FD"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 </w:t>
      </w:r>
    </w:p>
    <w:p w14:paraId="1F2EBA99"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5EB94D82"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 </w:t>
      </w:r>
    </w:p>
    <w:p w14:paraId="05DF4A79" w14:textId="1956566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color w:val="000000"/>
          <w:sz w:val="22"/>
          <w:szCs w:val="22"/>
        </w:rPr>
      </w:pPr>
      <w:r w:rsidRPr="00DC01BC">
        <w:rPr>
          <w:rFonts w:ascii="Palatino Linotype" w:eastAsia="Calibri" w:hAnsi="Palatino Linotype" w:cs="Tahoma"/>
          <w:color w:val="000000"/>
          <w:sz w:val="22"/>
          <w:szCs w:val="22"/>
        </w:rPr>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lo referente a </w:t>
      </w:r>
      <w:r w:rsidR="00993C4A" w:rsidRPr="00DC01BC">
        <w:rPr>
          <w:rFonts w:ascii="Palatino Linotype" w:hAnsi="Palatino Linotype" w:cs="Tahoma"/>
          <w:sz w:val="22"/>
          <w:szCs w:val="22"/>
          <w:lang w:val="es-ES"/>
        </w:rPr>
        <w:t>los estudios basados en la metodología de investigación científica y su pertinencia social</w:t>
      </w:r>
      <w:r w:rsidRPr="00DC01BC">
        <w:rPr>
          <w:rFonts w:ascii="Palatino Linotype" w:eastAsia="Calibri" w:hAnsi="Palatino Linotype" w:cs="Tahoma"/>
          <w:color w:val="000000"/>
          <w:sz w:val="22"/>
          <w:szCs w:val="22"/>
        </w:rPr>
        <w:t>.</w:t>
      </w:r>
    </w:p>
    <w:p w14:paraId="6238BA0E"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sz w:val="22"/>
          <w:szCs w:val="22"/>
        </w:rPr>
      </w:pPr>
    </w:p>
    <w:p w14:paraId="35468A78" w14:textId="408E6893" w:rsidR="00722A8D" w:rsidRPr="00DC01BC" w:rsidRDefault="00722A8D" w:rsidP="00840162">
      <w:pPr>
        <w:autoSpaceDE w:val="0"/>
        <w:autoSpaceDN w:val="0"/>
        <w:adjustRightInd w:val="0"/>
        <w:spacing w:line="360" w:lineRule="auto"/>
        <w:contextualSpacing/>
        <w:jc w:val="both"/>
        <w:rPr>
          <w:rFonts w:ascii="Palatino Linotype" w:eastAsia="Palatino Linotype" w:hAnsi="Palatino Linotype" w:cs="Palatino Linotype"/>
          <w:b/>
          <w:sz w:val="22"/>
          <w:szCs w:val="22"/>
        </w:rPr>
      </w:pPr>
      <w:r w:rsidRPr="00DC01BC">
        <w:rPr>
          <w:rFonts w:ascii="Palatino Linotype" w:eastAsia="Calibri" w:hAnsi="Palatino Linotype" w:cs="Tahoma"/>
          <w:sz w:val="22"/>
          <w:szCs w:val="22"/>
        </w:rPr>
        <w:t xml:space="preserve">Así, las cosas, una vez admitido y notificado el Recurso de Revisión a las partes, el Sujeto Obligado </w:t>
      </w:r>
      <w:r w:rsidR="00993C4A" w:rsidRPr="00DC01BC">
        <w:rPr>
          <w:rFonts w:ascii="Palatino Linotype" w:eastAsia="Calibri" w:hAnsi="Palatino Linotype" w:cs="Tahoma"/>
          <w:sz w:val="22"/>
          <w:szCs w:val="22"/>
        </w:rPr>
        <w:t>indicó que proporcionaba el análisis de la pertinencia social,</w:t>
      </w:r>
      <w:r w:rsidR="00302EC8" w:rsidRPr="00DC01BC">
        <w:rPr>
          <w:rFonts w:ascii="Palatino Linotype" w:eastAsia="Calibri" w:hAnsi="Palatino Linotype" w:cs="Tahoma"/>
          <w:sz w:val="22"/>
          <w:szCs w:val="22"/>
        </w:rPr>
        <w:t xml:space="preserve"> y</w:t>
      </w:r>
      <w:r w:rsidR="00993C4A" w:rsidRPr="00DC01BC">
        <w:rPr>
          <w:rFonts w:ascii="Palatino Linotype" w:eastAsia="Calibri" w:hAnsi="Palatino Linotype" w:cs="Tahoma"/>
          <w:sz w:val="22"/>
          <w:szCs w:val="22"/>
        </w:rPr>
        <w:t xml:space="preserve"> los estudios metodológicos que sustentan el reconocimiento de validez oficial de estudios (RVOE).</w:t>
      </w:r>
    </w:p>
    <w:p w14:paraId="3503505D"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5B2ED161" w14:textId="2E091266" w:rsidR="00722A8D" w:rsidRPr="00DC01BC" w:rsidRDefault="00722A8D" w:rsidP="00840162">
      <w:pPr>
        <w:autoSpaceDE w:val="0"/>
        <w:autoSpaceDN w:val="0"/>
        <w:adjustRightInd w:val="0"/>
        <w:spacing w:line="360" w:lineRule="auto"/>
        <w:contextualSpacing/>
        <w:jc w:val="both"/>
        <w:rPr>
          <w:rFonts w:ascii="Palatino Linotype" w:hAnsi="Palatino Linotype" w:cs="Tahoma"/>
          <w:bCs/>
          <w:sz w:val="22"/>
          <w:szCs w:val="22"/>
        </w:rPr>
      </w:pPr>
      <w:r w:rsidRPr="00DC01BC">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DC01BC">
        <w:rPr>
          <w:rFonts w:ascii="Palatino Linotype" w:hAnsi="Palatino Linotype" w:cs="Tahoma"/>
          <w:iCs/>
          <w:sz w:val="22"/>
          <w:szCs w:val="22"/>
          <w:lang w:eastAsia="es-ES_tradnl"/>
        </w:rPr>
        <w:t xml:space="preserve"> la respuesta proporcionada, el escrito </w:t>
      </w:r>
      <w:proofErr w:type="spellStart"/>
      <w:r w:rsidRPr="00DC01BC">
        <w:rPr>
          <w:rFonts w:ascii="Palatino Linotype" w:hAnsi="Palatino Linotype" w:cs="Tahoma"/>
          <w:iCs/>
          <w:sz w:val="22"/>
          <w:szCs w:val="22"/>
          <w:lang w:eastAsia="es-ES_tradnl"/>
        </w:rPr>
        <w:t>recursal</w:t>
      </w:r>
      <w:proofErr w:type="spellEnd"/>
      <w:r w:rsidR="00993C4A" w:rsidRPr="00DC01BC">
        <w:rPr>
          <w:rFonts w:ascii="Palatino Linotype" w:hAnsi="Palatino Linotype" w:cs="Tahoma"/>
          <w:iCs/>
          <w:sz w:val="22"/>
          <w:szCs w:val="22"/>
          <w:lang w:eastAsia="es-ES_tradnl"/>
        </w:rPr>
        <w:t>, y el informe justificado</w:t>
      </w:r>
      <w:r w:rsidRPr="00DC01BC">
        <w:rPr>
          <w:rFonts w:ascii="Palatino Linotype" w:hAnsi="Palatino Linotype" w:cs="Tahoma"/>
          <w:iCs/>
          <w:sz w:val="22"/>
          <w:szCs w:val="22"/>
          <w:lang w:eastAsia="es-ES_tradnl"/>
        </w:rPr>
        <w:t xml:space="preserve">; </w:t>
      </w:r>
      <w:r w:rsidRPr="00DC01BC">
        <w:rPr>
          <w:rFonts w:ascii="Palatino Linotype" w:hAnsi="Palatino Linotype" w:cs="Tahoma"/>
          <w:bCs/>
          <w:sz w:val="22"/>
          <w:szCs w:val="22"/>
        </w:rPr>
        <w:t xml:space="preserve">instrumentales que se </w:t>
      </w:r>
      <w:r w:rsidRPr="00DC01BC">
        <w:rPr>
          <w:rFonts w:ascii="Palatino Linotype" w:hAnsi="Palatino Linotype" w:cs="Tahoma"/>
          <w:bCs/>
          <w:sz w:val="22"/>
          <w:szCs w:val="22"/>
        </w:rPr>
        <w:lastRenderedPageBreak/>
        <w:t>toman en cuenta a efecto de resolver el presente medio de impugnación, conforme a lo dispuesto por el artículo 185, fracción IV, de la Ley de Transparencia y Acceso a la Información Pública del Estado de México y Municipios.</w:t>
      </w:r>
      <w:r w:rsidRPr="00DC01BC">
        <w:rPr>
          <w:rFonts w:ascii="Palatino Linotype" w:hAnsi="Palatino Linotype" w:cs="Tahoma"/>
          <w:b/>
          <w:sz w:val="22"/>
          <w:szCs w:val="22"/>
        </w:rPr>
        <w:t xml:space="preserve"> </w:t>
      </w:r>
    </w:p>
    <w:p w14:paraId="2E236F06" w14:textId="77777777" w:rsidR="00722A8D" w:rsidRPr="00DC01BC" w:rsidRDefault="00722A8D" w:rsidP="00840162">
      <w:pPr>
        <w:spacing w:line="360" w:lineRule="auto"/>
        <w:contextualSpacing/>
        <w:jc w:val="both"/>
        <w:rPr>
          <w:rFonts w:ascii="Palatino Linotype" w:hAnsi="Palatino Linotype" w:cs="Tahoma"/>
          <w:b/>
          <w:sz w:val="22"/>
          <w:szCs w:val="22"/>
          <w:lang w:val="es-ES"/>
        </w:rPr>
      </w:pPr>
    </w:p>
    <w:p w14:paraId="20670B87" w14:textId="77777777" w:rsidR="00722A8D" w:rsidRPr="00DC01BC" w:rsidRDefault="00722A8D" w:rsidP="00840162">
      <w:pPr>
        <w:pStyle w:val="Ttulo2"/>
        <w:spacing w:before="0" w:after="0" w:line="360" w:lineRule="auto"/>
        <w:contextualSpacing/>
        <w:jc w:val="both"/>
        <w:rPr>
          <w:rFonts w:ascii="Palatino Linotype" w:hAnsi="Palatino Linotype"/>
          <w:b/>
          <w:bCs/>
          <w:color w:val="auto"/>
          <w:sz w:val="22"/>
          <w:szCs w:val="22"/>
        </w:rPr>
      </w:pPr>
      <w:bookmarkStart w:id="14" w:name="_Toc190350688"/>
      <w:r w:rsidRPr="00DC01BC">
        <w:rPr>
          <w:rFonts w:ascii="Palatino Linotype" w:hAnsi="Palatino Linotype"/>
          <w:b/>
          <w:bCs/>
          <w:color w:val="auto"/>
          <w:sz w:val="22"/>
          <w:szCs w:val="22"/>
          <w:lang w:val="es-ES"/>
        </w:rPr>
        <w:t xml:space="preserve">CUARTO. </w:t>
      </w:r>
      <w:r w:rsidRPr="00DC01BC">
        <w:rPr>
          <w:rFonts w:ascii="Palatino Linotype" w:hAnsi="Palatino Linotype"/>
          <w:b/>
          <w:bCs/>
          <w:color w:val="auto"/>
          <w:sz w:val="22"/>
          <w:szCs w:val="22"/>
        </w:rPr>
        <w:t>Marco normativo aplicable en materia de transparencia y acceso a la información pública</w:t>
      </w:r>
      <w:bookmarkEnd w:id="14"/>
    </w:p>
    <w:p w14:paraId="2C32056C" w14:textId="77777777" w:rsidR="00722A8D" w:rsidRPr="00DC01BC" w:rsidRDefault="00722A8D" w:rsidP="00840162">
      <w:pPr>
        <w:spacing w:line="360" w:lineRule="auto"/>
        <w:contextualSpacing/>
        <w:jc w:val="both"/>
        <w:rPr>
          <w:rFonts w:ascii="Palatino Linotype" w:hAnsi="Palatino Linotype" w:cs="Tahoma"/>
          <w:b/>
          <w:sz w:val="22"/>
          <w:szCs w:val="22"/>
        </w:rPr>
      </w:pPr>
    </w:p>
    <w:p w14:paraId="1606CFBC"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E5C2E6C" w14:textId="77777777" w:rsidR="00722A8D" w:rsidRPr="00DC01BC" w:rsidRDefault="00722A8D" w:rsidP="00840162">
      <w:pPr>
        <w:spacing w:line="360" w:lineRule="auto"/>
        <w:contextualSpacing/>
        <w:jc w:val="both"/>
        <w:rPr>
          <w:rFonts w:ascii="Palatino Linotype" w:hAnsi="Palatino Linotype" w:cs="Tahoma"/>
          <w:sz w:val="22"/>
          <w:szCs w:val="22"/>
        </w:rPr>
      </w:pPr>
    </w:p>
    <w:p w14:paraId="516DB7E1"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72C5D90" w14:textId="77777777" w:rsidR="00993C4A" w:rsidRPr="00DC01BC" w:rsidRDefault="00993C4A" w:rsidP="00840162">
      <w:pPr>
        <w:spacing w:line="360" w:lineRule="auto"/>
        <w:contextualSpacing/>
        <w:jc w:val="both"/>
        <w:rPr>
          <w:rFonts w:ascii="Palatino Linotype" w:hAnsi="Palatino Linotype" w:cs="Tahoma"/>
          <w:sz w:val="22"/>
          <w:szCs w:val="22"/>
        </w:rPr>
      </w:pPr>
    </w:p>
    <w:p w14:paraId="793419FC"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5ED5E449" w14:textId="77777777" w:rsidR="00722A8D" w:rsidRPr="00DC01BC" w:rsidRDefault="00722A8D" w:rsidP="00840162">
      <w:pPr>
        <w:spacing w:line="360" w:lineRule="auto"/>
        <w:contextualSpacing/>
        <w:jc w:val="both"/>
        <w:rPr>
          <w:rFonts w:ascii="Palatino Linotype" w:hAnsi="Palatino Linotype" w:cs="Tahoma"/>
          <w:sz w:val="22"/>
          <w:szCs w:val="22"/>
        </w:rPr>
      </w:pPr>
    </w:p>
    <w:p w14:paraId="4EA3BB94"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A600EA7"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El artículo 12, que, quienes generen, recopilen, administren, manejen, procesen, archiven o conserven información pública serán responsables de la misma.</w:t>
      </w:r>
    </w:p>
    <w:p w14:paraId="521F2077" w14:textId="77777777" w:rsidR="00722A8D" w:rsidRPr="00DC01BC" w:rsidRDefault="00722A8D" w:rsidP="00840162">
      <w:pPr>
        <w:spacing w:line="360" w:lineRule="auto"/>
        <w:contextualSpacing/>
        <w:jc w:val="both"/>
        <w:rPr>
          <w:rFonts w:ascii="Palatino Linotype" w:hAnsi="Palatino Linotype" w:cs="Tahoma"/>
          <w:sz w:val="22"/>
          <w:szCs w:val="22"/>
        </w:rPr>
      </w:pPr>
    </w:p>
    <w:p w14:paraId="0F2D628E"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5B2A9596" w14:textId="77777777" w:rsidR="00722A8D" w:rsidRPr="00DC01BC" w:rsidRDefault="00722A8D" w:rsidP="00840162">
      <w:pPr>
        <w:spacing w:line="360" w:lineRule="auto"/>
        <w:contextualSpacing/>
        <w:jc w:val="both"/>
        <w:rPr>
          <w:rFonts w:ascii="Palatino Linotype" w:hAnsi="Palatino Linotype" w:cs="Tahoma"/>
          <w:sz w:val="22"/>
          <w:szCs w:val="22"/>
        </w:rPr>
      </w:pPr>
    </w:p>
    <w:p w14:paraId="0BB97795" w14:textId="77777777" w:rsidR="00722A8D"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52D4BAB" w14:textId="77777777" w:rsidR="00722A8D" w:rsidRPr="00DC01BC" w:rsidRDefault="00722A8D" w:rsidP="00840162">
      <w:pPr>
        <w:spacing w:line="360" w:lineRule="auto"/>
        <w:contextualSpacing/>
        <w:jc w:val="both"/>
        <w:rPr>
          <w:rFonts w:ascii="Palatino Linotype" w:hAnsi="Palatino Linotype" w:cs="Tahoma"/>
          <w:b/>
          <w:sz w:val="22"/>
          <w:szCs w:val="22"/>
          <w:lang w:val="es-ES"/>
        </w:rPr>
      </w:pPr>
    </w:p>
    <w:p w14:paraId="15BCD656" w14:textId="77777777" w:rsidR="00722A8D" w:rsidRPr="00DC01BC" w:rsidRDefault="00722A8D" w:rsidP="00840162">
      <w:pPr>
        <w:pStyle w:val="Ttulo2"/>
        <w:spacing w:before="0" w:after="0" w:line="360" w:lineRule="auto"/>
        <w:contextualSpacing/>
        <w:rPr>
          <w:rFonts w:ascii="Palatino Linotype" w:hAnsi="Palatino Linotype"/>
          <w:b/>
          <w:bCs/>
          <w:color w:val="auto"/>
          <w:sz w:val="22"/>
          <w:szCs w:val="22"/>
          <w:lang w:val="es-ES"/>
        </w:rPr>
      </w:pPr>
      <w:bookmarkStart w:id="15" w:name="_Toc190350689"/>
      <w:r w:rsidRPr="00DC01BC">
        <w:rPr>
          <w:rFonts w:ascii="Palatino Linotype" w:hAnsi="Palatino Linotype"/>
          <w:b/>
          <w:bCs/>
          <w:color w:val="auto"/>
          <w:sz w:val="22"/>
          <w:szCs w:val="22"/>
          <w:lang w:val="es-ES"/>
        </w:rPr>
        <w:t>QUINTO. Estudio de Fondo</w:t>
      </w:r>
      <w:bookmarkEnd w:id="15"/>
    </w:p>
    <w:p w14:paraId="08775459" w14:textId="77777777" w:rsidR="00722A8D" w:rsidRPr="00DC01BC" w:rsidRDefault="00722A8D" w:rsidP="00840162">
      <w:pPr>
        <w:spacing w:line="360" w:lineRule="auto"/>
        <w:contextualSpacing/>
        <w:jc w:val="both"/>
        <w:rPr>
          <w:rFonts w:ascii="Palatino Linotype" w:hAnsi="Palatino Linotype" w:cs="Tahoma"/>
          <w:bCs/>
          <w:sz w:val="22"/>
          <w:szCs w:val="22"/>
        </w:rPr>
      </w:pPr>
    </w:p>
    <w:p w14:paraId="64EB8929" w14:textId="4B041608" w:rsidR="00722A8D" w:rsidRPr="00DC01BC" w:rsidRDefault="00722A8D" w:rsidP="00840162">
      <w:pPr>
        <w:widowControl w:val="0"/>
        <w:spacing w:line="360" w:lineRule="auto"/>
        <w:contextualSpacing/>
        <w:jc w:val="both"/>
        <w:rPr>
          <w:rFonts w:ascii="Palatino Linotype" w:hAnsi="Palatino Linotype" w:cs="Tahoma"/>
          <w:sz w:val="22"/>
          <w:szCs w:val="22"/>
        </w:rPr>
      </w:pPr>
      <w:r w:rsidRPr="00DC01BC">
        <w:rPr>
          <w:rFonts w:ascii="Palatino Linotype" w:hAnsi="Palatino Linotype" w:cs="Tahoma"/>
          <w:sz w:val="22"/>
          <w:szCs w:val="22"/>
        </w:rPr>
        <w:t xml:space="preserve">Expuestas las posturas de las partes, se procede a realizar el análisis de los agravios hechos valer por el ahora Recurrente, concernientes a la </w:t>
      </w:r>
      <w:r w:rsidR="00993C4A" w:rsidRPr="00DC01BC">
        <w:rPr>
          <w:rFonts w:ascii="Palatino Linotype" w:hAnsi="Palatino Linotype" w:cs="Tahoma"/>
          <w:sz w:val="22"/>
          <w:szCs w:val="22"/>
        </w:rPr>
        <w:t xml:space="preserve">entrega de </w:t>
      </w:r>
      <w:r w:rsidRPr="00DC01BC">
        <w:rPr>
          <w:rFonts w:ascii="Palatino Linotype" w:hAnsi="Palatino Linotype" w:cs="Tahoma"/>
          <w:sz w:val="22"/>
          <w:szCs w:val="22"/>
        </w:rPr>
        <w:t>información</w:t>
      </w:r>
      <w:r w:rsidR="00993C4A" w:rsidRPr="00DC01BC">
        <w:rPr>
          <w:rFonts w:ascii="Palatino Linotype" w:hAnsi="Palatino Linotype" w:cs="Tahoma"/>
          <w:sz w:val="22"/>
          <w:szCs w:val="22"/>
        </w:rPr>
        <w:t xml:space="preserve"> incompleta</w:t>
      </w:r>
      <w:r w:rsidRPr="00DC01BC">
        <w:rPr>
          <w:rFonts w:ascii="Palatino Linotype" w:hAnsi="Palatino Linotype" w:cs="Tahoma"/>
          <w:sz w:val="22"/>
          <w:szCs w:val="22"/>
        </w:rPr>
        <w:t>, por lo que en principio se procede a contextualizar la solicitud de información.</w:t>
      </w:r>
    </w:p>
    <w:p w14:paraId="3AF9D7E4" w14:textId="77777777" w:rsidR="00722A8D" w:rsidRPr="00DC01BC" w:rsidRDefault="00722A8D" w:rsidP="00840162">
      <w:pPr>
        <w:widowControl w:val="0"/>
        <w:spacing w:line="360" w:lineRule="auto"/>
        <w:contextualSpacing/>
        <w:jc w:val="both"/>
        <w:rPr>
          <w:rFonts w:ascii="Palatino Linotype" w:hAnsi="Palatino Linotype" w:cs="Tahoma"/>
          <w:sz w:val="22"/>
          <w:szCs w:val="22"/>
        </w:rPr>
      </w:pPr>
    </w:p>
    <w:p w14:paraId="6FA07BC2" w14:textId="251B31AE" w:rsidR="00727375" w:rsidRPr="00DC01BC" w:rsidRDefault="000E2CDB" w:rsidP="00840162">
      <w:pPr>
        <w:spacing w:line="360" w:lineRule="auto"/>
        <w:contextualSpacing/>
        <w:jc w:val="both"/>
        <w:rPr>
          <w:rFonts w:ascii="Palatino Linotype" w:hAnsi="Palatino Linotype"/>
          <w:sz w:val="22"/>
          <w:szCs w:val="22"/>
        </w:rPr>
      </w:pPr>
      <w:r w:rsidRPr="00DC01BC">
        <w:rPr>
          <w:rFonts w:ascii="Palatino Linotype" w:hAnsi="Palatino Linotype"/>
          <w:sz w:val="22"/>
          <w:szCs w:val="22"/>
        </w:rPr>
        <w:t>Sobre el tema</w:t>
      </w:r>
      <w:r w:rsidR="00727375" w:rsidRPr="00DC01BC">
        <w:rPr>
          <w:rFonts w:ascii="Palatino Linotype" w:hAnsi="Palatino Linotype"/>
          <w:sz w:val="22"/>
          <w:szCs w:val="22"/>
        </w:rPr>
        <w:t xml:space="preserve">, </w:t>
      </w:r>
      <w:r w:rsidR="00AA1AA8" w:rsidRPr="00DC01BC">
        <w:rPr>
          <w:rFonts w:ascii="Palatino Linotype" w:hAnsi="Palatino Linotype"/>
          <w:sz w:val="22"/>
          <w:szCs w:val="22"/>
        </w:rPr>
        <w:t xml:space="preserve">resulta oportuno traer a estudio los artículos 1, 2, 3 fracciones I, III, IX, y XI, de la Ley del Organismo Público Descentralizado de Carácter Estatal denominado Instituto de Políticas Públicas del Estado de México y sus Municipios, los cuales establecen que dicho Organismo </w:t>
      </w:r>
      <w:r w:rsidR="00727375" w:rsidRPr="00DC01BC">
        <w:rPr>
          <w:rFonts w:ascii="Palatino Linotype" w:hAnsi="Palatino Linotype"/>
          <w:sz w:val="22"/>
          <w:szCs w:val="22"/>
        </w:rPr>
        <w:t xml:space="preserve">tiene como objetivo el estudio de la teoría y práctica de la Administración Pública aplicada y de las Políticas Públicas, así como el registro, sistematización, desarrollo e implementación de mejores prácticas de transferencia tecnológica en los municipios de la entidad y el diseño, propuesta y, en su caso, implementación de acciones relativas al fortalecimiento y actualización del marco jurídico e institucional de la administración pública </w:t>
      </w:r>
      <w:r w:rsidR="00727375" w:rsidRPr="00DC01BC">
        <w:rPr>
          <w:rFonts w:ascii="Palatino Linotype" w:hAnsi="Palatino Linotype"/>
          <w:sz w:val="22"/>
          <w:szCs w:val="22"/>
        </w:rPr>
        <w:lastRenderedPageBreak/>
        <w:t xml:space="preserve">estatal y municipal. </w:t>
      </w:r>
      <w:r w:rsidR="00081BB5" w:rsidRPr="00DC01BC">
        <w:rPr>
          <w:rFonts w:ascii="Palatino Linotype" w:hAnsi="Palatino Linotype"/>
          <w:sz w:val="22"/>
          <w:szCs w:val="22"/>
        </w:rPr>
        <w:t>Para el cumplimiento de su objetivo, el Instituto tendrá diversas atribuciones, entre otras las siguientes:</w:t>
      </w:r>
    </w:p>
    <w:p w14:paraId="45D72EB5" w14:textId="77777777" w:rsidR="00081BB5" w:rsidRPr="00DC01BC" w:rsidRDefault="00081BB5" w:rsidP="00840162">
      <w:pPr>
        <w:spacing w:line="360" w:lineRule="auto"/>
        <w:contextualSpacing/>
        <w:jc w:val="both"/>
        <w:rPr>
          <w:rFonts w:ascii="Palatino Linotype" w:hAnsi="Palatino Linotype"/>
          <w:sz w:val="22"/>
          <w:szCs w:val="22"/>
        </w:rPr>
      </w:pPr>
    </w:p>
    <w:p w14:paraId="69E4AA48" w14:textId="3E9F26D4" w:rsidR="00081BB5" w:rsidRPr="00DC01BC" w:rsidRDefault="00081BB5"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Realizar y promover estudios sobre temas prioritarios de la administración pública y ciencias afines;</w:t>
      </w:r>
    </w:p>
    <w:p w14:paraId="2654FDF1" w14:textId="78115EE6" w:rsidR="00081BB5" w:rsidRPr="00DC01BC" w:rsidRDefault="00081BB5"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Coadyuvar, con el Instituto de Profesionalización de los Servidores Públicos del Poder Ejecutivo del Estado de México, en el diseño y en la ejecución de actividades relacionadas con procesos de enseñanza aprendizaje, en sus modalidades presencial, mixta y a distancia, para desarrollar competencias y aptitudes de alto nivel en las personas servidoras públicas de los diferentes órdenes de gobierno;</w:t>
      </w:r>
    </w:p>
    <w:p w14:paraId="1CB62CCD" w14:textId="7473DE19" w:rsidR="00081BB5" w:rsidRPr="00DC01BC" w:rsidRDefault="00081BB5"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Diseñar y realizar, con sus medios o en colaboración con otras instituciones, diplomados, talleres, cursos, seminarios, conferencias y otras acciones para el fortalecimiento de las competencias, de la vocación de servicio y de los valores de las personas servidoras públicas e interesadas en la materia del Instituto, en sus modalidades presencial, mixta y a distancia; y</w:t>
      </w:r>
    </w:p>
    <w:p w14:paraId="08C82EDF" w14:textId="4A6C643C" w:rsidR="00081BB5" w:rsidRPr="00DC01BC" w:rsidRDefault="00081BB5"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Otorgar por sí o con otras instituciones y organizaciones afines, certificados, diplomas y constancias de acreditación de las diferentes actividades académicas realizadas en el Instituto.</w:t>
      </w:r>
    </w:p>
    <w:p w14:paraId="0F315A7B" w14:textId="77777777" w:rsidR="00727375" w:rsidRPr="00DC01BC" w:rsidRDefault="00727375" w:rsidP="00840162">
      <w:pPr>
        <w:spacing w:line="360" w:lineRule="auto"/>
        <w:contextualSpacing/>
        <w:jc w:val="both"/>
        <w:rPr>
          <w:rFonts w:ascii="Palatino Linotype" w:hAnsi="Palatino Linotype"/>
          <w:sz w:val="22"/>
          <w:szCs w:val="22"/>
        </w:rPr>
      </w:pPr>
    </w:p>
    <w:p w14:paraId="7B915316" w14:textId="483C6F39" w:rsidR="00727375" w:rsidRPr="00DC01BC" w:rsidRDefault="00081BB5" w:rsidP="00840162">
      <w:pPr>
        <w:spacing w:line="360" w:lineRule="auto"/>
        <w:contextualSpacing/>
        <w:jc w:val="both"/>
        <w:rPr>
          <w:rFonts w:ascii="Palatino Linotype" w:hAnsi="Palatino Linotype"/>
          <w:sz w:val="22"/>
          <w:szCs w:val="22"/>
        </w:rPr>
      </w:pPr>
      <w:r w:rsidRPr="00DC01BC">
        <w:rPr>
          <w:rFonts w:ascii="Palatino Linotype" w:hAnsi="Palatino Linotype"/>
          <w:sz w:val="22"/>
          <w:szCs w:val="22"/>
        </w:rPr>
        <w:t>Ahora bien, el Manual General de Organización del</w:t>
      </w:r>
      <w:r w:rsidR="00A1007F" w:rsidRPr="00DC01BC">
        <w:rPr>
          <w:rFonts w:ascii="Palatino Linotype" w:hAnsi="Palatino Linotype"/>
          <w:sz w:val="22"/>
          <w:szCs w:val="22"/>
        </w:rPr>
        <w:t xml:space="preserve"> Instituto de Políticas Públicas del Estado de México y sus Municipios en su</w:t>
      </w:r>
      <w:r w:rsidRPr="00DC01BC">
        <w:rPr>
          <w:rFonts w:ascii="Palatino Linotype" w:hAnsi="Palatino Linotype"/>
          <w:sz w:val="22"/>
          <w:szCs w:val="22"/>
        </w:rPr>
        <w:t xml:space="preserve"> numeral </w:t>
      </w:r>
      <w:r w:rsidR="00DB17DE" w:rsidRPr="00DC01BC">
        <w:rPr>
          <w:rFonts w:ascii="Palatino Linotype" w:hAnsi="Palatino Linotype"/>
          <w:sz w:val="22"/>
          <w:szCs w:val="22"/>
        </w:rPr>
        <w:t>207C0811000000L</w:t>
      </w:r>
      <w:r w:rsidR="00A1007F" w:rsidRPr="00DC01BC">
        <w:rPr>
          <w:rFonts w:ascii="Palatino Linotype" w:hAnsi="Palatino Linotype"/>
          <w:sz w:val="22"/>
          <w:szCs w:val="22"/>
        </w:rPr>
        <w:t>, establece que para el ejercicio de sus funciones, el Instituto se auxiliará de diversas unidades administrativas entre otras l</w:t>
      </w:r>
      <w:r w:rsidR="00DB17DE" w:rsidRPr="00DC01BC">
        <w:rPr>
          <w:rFonts w:ascii="Palatino Linotype" w:hAnsi="Palatino Linotype"/>
          <w:sz w:val="22"/>
          <w:szCs w:val="22"/>
        </w:rPr>
        <w:t>a</w:t>
      </w:r>
      <w:r w:rsidR="00A1007F" w:rsidRPr="00DC01BC">
        <w:rPr>
          <w:rFonts w:ascii="Palatino Linotype" w:hAnsi="Palatino Linotype"/>
          <w:sz w:val="22"/>
          <w:szCs w:val="22"/>
        </w:rPr>
        <w:t xml:space="preserve"> </w:t>
      </w:r>
      <w:r w:rsidR="00DB17DE" w:rsidRPr="00DC01BC">
        <w:rPr>
          <w:rFonts w:ascii="Palatino Linotype" w:hAnsi="Palatino Linotype"/>
          <w:sz w:val="22"/>
          <w:szCs w:val="22"/>
        </w:rPr>
        <w:t xml:space="preserve">Coordinación de la Escuela de Gobierno y Administración Pública Mexiquense; </w:t>
      </w:r>
      <w:r w:rsidR="00A1007F" w:rsidRPr="00DC01BC">
        <w:rPr>
          <w:rFonts w:ascii="Palatino Linotype" w:hAnsi="Palatino Linotype"/>
          <w:sz w:val="22"/>
          <w:szCs w:val="22"/>
        </w:rPr>
        <w:t xml:space="preserve">Encargado </w:t>
      </w:r>
      <w:r w:rsidR="00DB17DE" w:rsidRPr="00DC01BC">
        <w:rPr>
          <w:rFonts w:ascii="Palatino Linotype" w:hAnsi="Palatino Linotype"/>
          <w:sz w:val="22"/>
          <w:szCs w:val="22"/>
        </w:rPr>
        <w:t xml:space="preserve">Desarrollar y promover acciones de capacitación y profesionalización para personas servidoras públicas y ciudadanía, mediante programas que conduzcan al planteamiento de </w:t>
      </w:r>
      <w:r w:rsidR="00DB17DE" w:rsidRPr="00DC01BC">
        <w:rPr>
          <w:rFonts w:ascii="Palatino Linotype" w:hAnsi="Palatino Linotype"/>
          <w:sz w:val="22"/>
          <w:szCs w:val="22"/>
        </w:rPr>
        <w:lastRenderedPageBreak/>
        <w:t>soluciones y propuestas concretas para la mejora del gobierno y la administración pública</w:t>
      </w:r>
      <w:r w:rsidR="004D6DBE" w:rsidRPr="00DC01BC">
        <w:rPr>
          <w:rFonts w:ascii="Palatino Linotype" w:hAnsi="Palatino Linotype"/>
          <w:sz w:val="22"/>
          <w:szCs w:val="22"/>
        </w:rPr>
        <w:t>, para el ejercicio de sus funciones se auxiliará de</w:t>
      </w:r>
      <w:r w:rsidR="00DB17DE" w:rsidRPr="00DC01BC">
        <w:rPr>
          <w:rFonts w:ascii="Palatino Linotype" w:hAnsi="Palatino Linotype"/>
          <w:sz w:val="22"/>
          <w:szCs w:val="22"/>
        </w:rPr>
        <w:t xml:space="preserve"> tres unidades administrativas; Departamento Académico; </w:t>
      </w:r>
      <w:r w:rsidR="004D6DBE" w:rsidRPr="00DC01BC">
        <w:rPr>
          <w:rFonts w:ascii="Palatino Linotype" w:hAnsi="Palatino Linotype"/>
          <w:sz w:val="22"/>
          <w:szCs w:val="22"/>
        </w:rPr>
        <w:t>Departamento de Control Escolar;</w:t>
      </w:r>
      <w:r w:rsidR="00DB17DE" w:rsidRPr="00DC01BC">
        <w:rPr>
          <w:rFonts w:ascii="Palatino Linotype" w:hAnsi="Palatino Linotype"/>
          <w:sz w:val="22"/>
          <w:szCs w:val="22"/>
        </w:rPr>
        <w:t xml:space="preserve"> y Departamento de Control Escolar</w:t>
      </w:r>
      <w:r w:rsidR="00546312" w:rsidRPr="00DC01BC">
        <w:rPr>
          <w:rFonts w:ascii="Palatino Linotype" w:hAnsi="Palatino Linotype"/>
          <w:sz w:val="22"/>
          <w:szCs w:val="22"/>
        </w:rPr>
        <w:t>, con quienes en conjunto tendrán diversas atribuciones, entre otras las siguientes:</w:t>
      </w:r>
    </w:p>
    <w:p w14:paraId="44AF6CD5" w14:textId="77777777" w:rsidR="00546312" w:rsidRPr="00DC01BC" w:rsidRDefault="00546312" w:rsidP="00840162">
      <w:pPr>
        <w:spacing w:line="360" w:lineRule="auto"/>
        <w:contextualSpacing/>
        <w:jc w:val="both"/>
        <w:rPr>
          <w:rFonts w:ascii="Palatino Linotype" w:hAnsi="Palatino Linotype"/>
          <w:sz w:val="22"/>
          <w:szCs w:val="22"/>
        </w:rPr>
      </w:pPr>
    </w:p>
    <w:p w14:paraId="6E3D48D5"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Planear e implementar el programa anual de cursos, asesorías y servicios de capacitación y profesionalización para personas servidoras públicas y público en general;</w:t>
      </w:r>
    </w:p>
    <w:p w14:paraId="5FA488B5"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Diseñar, promover y realizar, con sus medios o en colaboración con otras instituciones, diplomados, talleres, cursos, seminarios, conferencias y otras acciones para el fortalecimiento de las competencias, de la vocación de servicio y de los valores de las personas servidoras públicas e interesadas en la materia del Instituto, en sus modalidades presencial, mixta y a distancia;</w:t>
      </w:r>
    </w:p>
    <w:p w14:paraId="1BC24BFD"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Elaborar y proponer a la Dirección General del Instituto el programa anual de trabajo de la Escuela, el cual estará acorde con el presupuesto de egresos autorizado y las metas institucionales programadas;</w:t>
      </w:r>
    </w:p>
    <w:p w14:paraId="6E8F8E92"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Prever y organizar las actividades, los recursos y apoyos necesarios para el desarrollo de los programas de la Escuela;</w:t>
      </w:r>
    </w:p>
    <w:p w14:paraId="3718846A"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Revisar las propuestas de presupuestos de los programas de capacitación y profesionalización y enviarlos a la Dirección General para su conocimiento;</w:t>
      </w:r>
    </w:p>
    <w:p w14:paraId="1F28893E"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Dirigir y supervisar que las actividades académicas, de control escolar y de promoción, se realicen conforme a la calendarización establecida;</w:t>
      </w:r>
    </w:p>
    <w:p w14:paraId="37D2EDA3" w14:textId="77777777"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Evaluar e informar a la Dirección General del Instituto el desarrollo y los resultados de los programas y actividades de la Escuela;</w:t>
      </w:r>
    </w:p>
    <w:p w14:paraId="23B0A1E0" w14:textId="66DBA021"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lastRenderedPageBreak/>
        <w:t>Proponer a la Dirección General los reglamentos que tengan injerencia con las actividades académicas del Instituto, difundirlos y vigilar su cumplimiento; y</w:t>
      </w:r>
    </w:p>
    <w:p w14:paraId="26505906" w14:textId="5DEB372D" w:rsidR="00546312" w:rsidRPr="00DC01BC" w:rsidRDefault="00546312" w:rsidP="00840162">
      <w:pPr>
        <w:pStyle w:val="Prrafodelista"/>
        <w:numPr>
          <w:ilvl w:val="0"/>
          <w:numId w:val="4"/>
        </w:numPr>
        <w:spacing w:line="360" w:lineRule="auto"/>
        <w:jc w:val="both"/>
        <w:rPr>
          <w:rFonts w:ascii="Palatino Linotype" w:hAnsi="Palatino Linotype"/>
          <w:sz w:val="22"/>
          <w:szCs w:val="22"/>
        </w:rPr>
      </w:pPr>
      <w:r w:rsidRPr="00DC01BC">
        <w:rPr>
          <w:rFonts w:ascii="Palatino Linotype" w:hAnsi="Palatino Linotype"/>
          <w:sz w:val="22"/>
          <w:szCs w:val="22"/>
        </w:rPr>
        <w:t>Integrar y turnar a firma de la Dirección General, las constancias, certificados, diplomas o documentos que acrediten la participación de las personas asistentes a los programas de capacitación del Instituto.</w:t>
      </w:r>
    </w:p>
    <w:p w14:paraId="1056CBFB" w14:textId="77777777" w:rsidR="00DB17DE" w:rsidRPr="00DC01BC" w:rsidRDefault="00DB17DE" w:rsidP="00840162">
      <w:pPr>
        <w:spacing w:line="360" w:lineRule="auto"/>
        <w:contextualSpacing/>
        <w:jc w:val="both"/>
        <w:rPr>
          <w:rFonts w:ascii="Palatino Linotype" w:hAnsi="Palatino Linotype"/>
          <w:sz w:val="22"/>
          <w:szCs w:val="22"/>
        </w:rPr>
      </w:pPr>
    </w:p>
    <w:p w14:paraId="7F8B5282" w14:textId="3A3691D4" w:rsidR="00B368ED" w:rsidRPr="00DC01BC" w:rsidRDefault="000E2CDB" w:rsidP="00840162">
      <w:pPr>
        <w:spacing w:line="360" w:lineRule="auto"/>
        <w:contextualSpacing/>
        <w:jc w:val="both"/>
        <w:rPr>
          <w:rFonts w:ascii="Palatino Linotype" w:hAnsi="Palatino Linotype"/>
          <w:sz w:val="22"/>
          <w:szCs w:val="22"/>
        </w:rPr>
      </w:pPr>
      <w:r w:rsidRPr="00DC01BC">
        <w:rPr>
          <w:rFonts w:ascii="Palatino Linotype" w:hAnsi="Palatino Linotype"/>
          <w:sz w:val="22"/>
          <w:szCs w:val="22"/>
        </w:rPr>
        <w:t>En ese contexto</w:t>
      </w:r>
      <w:r w:rsidR="00B368ED" w:rsidRPr="00DC01BC">
        <w:rPr>
          <w:rFonts w:ascii="Palatino Linotype" w:hAnsi="Palatino Linotype"/>
          <w:sz w:val="22"/>
          <w:szCs w:val="22"/>
        </w:rPr>
        <w:t xml:space="preserve">, se localizó que en la página del Instituto de Políticas Públicas del Estado de México y sus Municipios </w:t>
      </w:r>
      <w:r w:rsidRPr="00DC01BC">
        <w:rPr>
          <w:rFonts w:ascii="Palatino Linotype" w:hAnsi="Palatino Linotype"/>
          <w:sz w:val="22"/>
          <w:szCs w:val="22"/>
        </w:rPr>
        <w:t>)</w:t>
      </w:r>
      <w:r w:rsidR="00B368ED" w:rsidRPr="00DC01BC">
        <w:rPr>
          <w:rFonts w:ascii="Palatino Linotype" w:hAnsi="Palatino Linotype"/>
          <w:sz w:val="22"/>
          <w:szCs w:val="22"/>
        </w:rPr>
        <w:t xml:space="preserve">visible en </w:t>
      </w:r>
      <w:hyperlink r:id="rId8" w:history="1">
        <w:r w:rsidR="00B368ED" w:rsidRPr="00DC01BC">
          <w:rPr>
            <w:rStyle w:val="Hipervnculo"/>
            <w:rFonts w:ascii="Palatino Linotype" w:hAnsi="Palatino Linotype"/>
            <w:sz w:val="22"/>
            <w:szCs w:val="22"/>
          </w:rPr>
          <w:t>https://iapem.edomex.gob.mx/maestria-administracion-publica-municipal-enfoque-genero</w:t>
        </w:r>
      </w:hyperlink>
      <w:r w:rsidRPr="00DC01BC">
        <w:rPr>
          <w:rFonts w:ascii="Palatino Linotype" w:hAnsi="Palatino Linotype"/>
          <w:sz w:val="22"/>
          <w:szCs w:val="22"/>
        </w:rPr>
        <w:t>),</w:t>
      </w:r>
      <w:r w:rsidR="00B368ED" w:rsidRPr="00DC01BC">
        <w:rPr>
          <w:rFonts w:ascii="Palatino Linotype" w:hAnsi="Palatino Linotype"/>
          <w:sz w:val="22"/>
          <w:szCs w:val="22"/>
        </w:rPr>
        <w:t xml:space="preserve"> </w:t>
      </w:r>
      <w:r w:rsidRPr="00DC01BC">
        <w:rPr>
          <w:rFonts w:ascii="Palatino Linotype" w:hAnsi="Palatino Linotype"/>
          <w:sz w:val="22"/>
          <w:szCs w:val="22"/>
        </w:rPr>
        <w:t>q</w:t>
      </w:r>
      <w:r w:rsidR="00B368ED" w:rsidRPr="00DC01BC">
        <w:rPr>
          <w:rFonts w:ascii="Palatino Linotype" w:hAnsi="Palatino Linotype"/>
          <w:sz w:val="22"/>
          <w:szCs w:val="22"/>
        </w:rPr>
        <w:t>ue dicho organismo ofrece la Maestría en Administración Pública Municipal con Enfoque de Género, con la cual se busca formar profesionales capaces de analizar, diseñar, implementar y evaluar políticas y programas públicos con perspectiva de género que promuevan la igualdad de oportunidades y la equidad, la cual cuenta con un plan de estudios de dieciséis materias.</w:t>
      </w:r>
    </w:p>
    <w:p w14:paraId="73592C1A" w14:textId="77777777" w:rsidR="00B368ED" w:rsidRPr="00DC01BC" w:rsidRDefault="00B368ED" w:rsidP="00840162">
      <w:pPr>
        <w:spacing w:line="360" w:lineRule="auto"/>
        <w:contextualSpacing/>
        <w:jc w:val="both"/>
        <w:rPr>
          <w:rFonts w:ascii="Palatino Linotype" w:hAnsi="Palatino Linotype"/>
          <w:sz w:val="22"/>
          <w:szCs w:val="22"/>
        </w:rPr>
      </w:pPr>
    </w:p>
    <w:p w14:paraId="264C40A1" w14:textId="5A85341A" w:rsidR="00667B22" w:rsidRPr="00DC01BC" w:rsidRDefault="00B368ED" w:rsidP="00840162">
      <w:pPr>
        <w:spacing w:line="360" w:lineRule="auto"/>
        <w:contextualSpacing/>
        <w:jc w:val="both"/>
        <w:rPr>
          <w:rFonts w:ascii="Palatino Linotype" w:hAnsi="Palatino Linotype" w:cs="Tahoma"/>
          <w:sz w:val="22"/>
          <w:szCs w:val="22"/>
        </w:rPr>
      </w:pPr>
      <w:r w:rsidRPr="00DC01BC">
        <w:rPr>
          <w:rFonts w:ascii="Palatino Linotype" w:eastAsia="Calibri" w:hAnsi="Palatino Linotype" w:cs="Tahoma"/>
          <w:bCs/>
          <w:sz w:val="22"/>
          <w:szCs w:val="22"/>
        </w:rPr>
        <w:t xml:space="preserve">Conforme a lo anterior, se logra vislumbrar que la pretensión del ahora Recurrente, es obtener, </w:t>
      </w:r>
      <w:r w:rsidR="00667B22" w:rsidRPr="00DC01BC">
        <w:rPr>
          <w:rFonts w:ascii="Palatino Linotype" w:hAnsi="Palatino Linotype" w:cs="Tahoma"/>
          <w:sz w:val="22"/>
          <w:szCs w:val="22"/>
        </w:rPr>
        <w:t>respecto de la Maestría en Administración Pública Municipal con Enfoque de Género, los documentos que dieran cuenta de los Estudios basados en la Metodología de la Investigación Científica y su Pertinencia Social, al veintisiete de enero de dos mil veinticinco.</w:t>
      </w:r>
    </w:p>
    <w:p w14:paraId="7919D196" w14:textId="56581FA7" w:rsidR="00727375" w:rsidRPr="00DC01BC" w:rsidRDefault="00727375" w:rsidP="00840162">
      <w:pPr>
        <w:widowControl w:val="0"/>
        <w:autoSpaceDE w:val="0"/>
        <w:autoSpaceDN w:val="0"/>
        <w:adjustRightInd w:val="0"/>
        <w:spacing w:line="360" w:lineRule="auto"/>
        <w:contextualSpacing/>
        <w:jc w:val="both"/>
        <w:rPr>
          <w:rFonts w:ascii="Palatino Linotype" w:hAnsi="Palatino Linotype"/>
          <w:sz w:val="22"/>
          <w:szCs w:val="22"/>
        </w:rPr>
      </w:pPr>
    </w:p>
    <w:p w14:paraId="54EC1E0C" w14:textId="2DD9F4C7" w:rsidR="00722A8D" w:rsidRPr="00DC01BC" w:rsidRDefault="00722A8D" w:rsidP="00840162">
      <w:pPr>
        <w:spacing w:line="360" w:lineRule="auto"/>
        <w:ind w:right="-28"/>
        <w:contextualSpacing/>
        <w:jc w:val="both"/>
        <w:rPr>
          <w:rFonts w:ascii="Palatino Linotype" w:eastAsia="Palatino Linotype" w:hAnsi="Palatino Linotype" w:cs="Palatino Linotype"/>
          <w:sz w:val="22"/>
          <w:szCs w:val="22"/>
        </w:rPr>
      </w:pPr>
      <w:r w:rsidRPr="00DC01BC">
        <w:rPr>
          <w:rFonts w:ascii="Palatino Linotype" w:eastAsia="Palatino Linotype" w:hAnsi="Palatino Linotype" w:cs="Palatino Linotype"/>
          <w:sz w:val="22"/>
          <w:szCs w:val="22"/>
        </w:rPr>
        <w:t xml:space="preserve">Establecida dicha circunstancia, se procede analizar la respuesta entregada, para lo cual, es de señalar que de las constancias que de las constancias que obran en el expediente, se logra vislumbrar que el Sujeto Obligado turno la solicitud de información a la </w:t>
      </w:r>
      <w:r w:rsidR="00667B22" w:rsidRPr="00DC01BC">
        <w:rPr>
          <w:rFonts w:ascii="Palatino Linotype" w:hAnsi="Palatino Linotype"/>
          <w:sz w:val="22"/>
          <w:szCs w:val="22"/>
        </w:rPr>
        <w:t>Coordinación de la Escuela de Gobierno y Administración Pública Mexiquense</w:t>
      </w:r>
      <w:r w:rsidRPr="00DC01BC">
        <w:rPr>
          <w:rFonts w:ascii="Palatino Linotype" w:eastAsia="Palatino Linotype" w:hAnsi="Palatino Linotype" w:cs="Palatino Linotype"/>
          <w:sz w:val="22"/>
          <w:szCs w:val="22"/>
        </w:rPr>
        <w:t xml:space="preserve"> así, resulta necesario hacer referencia al procedimiento de búsqueda que deben seguir los Sujetos Obligados para localizar la información, el cual se encuentra previsto en el artículo 162 de la Ley de Transparencia y </w:t>
      </w:r>
      <w:r w:rsidRPr="00DC01BC">
        <w:rPr>
          <w:rFonts w:ascii="Palatino Linotype" w:eastAsia="Palatino Linotype" w:hAnsi="Palatino Linotype" w:cs="Palatino Linotype"/>
          <w:sz w:val="22"/>
          <w:szCs w:val="22"/>
        </w:rPr>
        <w:lastRenderedPageBreak/>
        <w:t>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482130AA" w14:textId="1D904F16" w:rsidR="00722A8D" w:rsidRPr="00DC01BC" w:rsidRDefault="00722A8D" w:rsidP="00840162">
      <w:pPr>
        <w:spacing w:line="360" w:lineRule="auto"/>
        <w:ind w:right="-28"/>
        <w:contextualSpacing/>
        <w:jc w:val="both"/>
        <w:rPr>
          <w:rFonts w:ascii="Palatino Linotype" w:eastAsia="Palatino Linotype" w:hAnsi="Palatino Linotype" w:cs="Palatino Linotype"/>
          <w:sz w:val="22"/>
          <w:szCs w:val="22"/>
        </w:rPr>
      </w:pPr>
    </w:p>
    <w:p w14:paraId="3C54CBFD" w14:textId="586811E2" w:rsidR="00722A8D" w:rsidRPr="00DC01BC" w:rsidRDefault="00722A8D" w:rsidP="00840162">
      <w:pPr>
        <w:spacing w:line="360" w:lineRule="auto"/>
        <w:ind w:right="-28"/>
        <w:contextualSpacing/>
        <w:jc w:val="both"/>
        <w:rPr>
          <w:rFonts w:ascii="Palatino Linotype" w:eastAsia="Palatino Linotype" w:hAnsi="Palatino Linotype" w:cs="Palatino Linotype"/>
          <w:sz w:val="22"/>
          <w:szCs w:val="22"/>
        </w:rPr>
      </w:pPr>
      <w:r w:rsidRPr="00DC01BC">
        <w:rPr>
          <w:rFonts w:ascii="Palatino Linotype" w:eastAsia="Palatino Linotype" w:hAnsi="Palatino Linotype" w:cs="Palatino Linotype"/>
          <w:sz w:val="22"/>
          <w:szCs w:val="22"/>
        </w:rPr>
        <w:t xml:space="preserve">Así, se advierte que el Sujeto Obligado cumplió con el procedimiento de búsqueda, pues turno la solicitud de información a la </w:t>
      </w:r>
      <w:r w:rsidR="00667B22" w:rsidRPr="00DC01BC">
        <w:rPr>
          <w:rFonts w:ascii="Palatino Linotype" w:hAnsi="Palatino Linotype"/>
          <w:sz w:val="22"/>
          <w:szCs w:val="22"/>
        </w:rPr>
        <w:t>Coordinación de la Escuela de Gobierno y Administración Pública Mexiquense</w:t>
      </w:r>
      <w:r w:rsidRPr="00DC01BC">
        <w:rPr>
          <w:rFonts w:ascii="Palatino Linotype" w:eastAsia="Palatino Linotype" w:hAnsi="Palatino Linotype" w:cs="Palatino Linotype"/>
          <w:sz w:val="22"/>
          <w:szCs w:val="22"/>
        </w:rPr>
        <w:t xml:space="preserve">, que ve las cuestiones relacionadas con </w:t>
      </w:r>
      <w:r w:rsidR="00667B22" w:rsidRPr="00DC01BC">
        <w:rPr>
          <w:rFonts w:ascii="Palatino Linotype" w:eastAsia="Palatino Linotype" w:hAnsi="Palatino Linotype" w:cs="Palatino Linotype"/>
          <w:sz w:val="22"/>
          <w:szCs w:val="22"/>
        </w:rPr>
        <w:t>la profesionalización de los servidores públicos mediante la implementación de cursos y servicios de capacitación y profesionalización</w:t>
      </w:r>
      <w:r w:rsidRPr="00DC01BC">
        <w:rPr>
          <w:rFonts w:ascii="Palatino Linotype" w:eastAsia="Palatino Linotype" w:hAnsi="Palatino Linotype" w:cs="Palatino Linotype"/>
          <w:sz w:val="22"/>
          <w:szCs w:val="22"/>
        </w:rPr>
        <w:t>.</w:t>
      </w:r>
    </w:p>
    <w:p w14:paraId="1C2287C6" w14:textId="77777777" w:rsidR="00722A8D" w:rsidRPr="00DC01BC" w:rsidRDefault="00722A8D" w:rsidP="00840162">
      <w:pPr>
        <w:spacing w:line="360" w:lineRule="auto"/>
        <w:ind w:right="-28"/>
        <w:contextualSpacing/>
        <w:jc w:val="both"/>
        <w:rPr>
          <w:rFonts w:ascii="Palatino Linotype" w:eastAsia="Palatino Linotype" w:hAnsi="Palatino Linotype" w:cs="Palatino Linotype"/>
          <w:sz w:val="22"/>
          <w:szCs w:val="22"/>
        </w:rPr>
      </w:pPr>
    </w:p>
    <w:p w14:paraId="7522DD06" w14:textId="5ECA04BC" w:rsidR="00CE14B7" w:rsidRPr="00DC01BC" w:rsidRDefault="00722A8D" w:rsidP="00840162">
      <w:pPr>
        <w:spacing w:line="360" w:lineRule="auto"/>
        <w:ind w:right="-28"/>
        <w:contextualSpacing/>
        <w:jc w:val="both"/>
        <w:rPr>
          <w:rFonts w:ascii="Palatino Linotype" w:eastAsia="Palatino Linotype" w:hAnsi="Palatino Linotype" w:cs="Palatino Linotype"/>
          <w:sz w:val="22"/>
          <w:szCs w:val="22"/>
        </w:rPr>
      </w:pPr>
      <w:r w:rsidRPr="00DC01BC">
        <w:rPr>
          <w:rFonts w:ascii="Palatino Linotype" w:eastAsia="Palatino Linotype" w:hAnsi="Palatino Linotype" w:cs="Palatino Linotype"/>
          <w:sz w:val="22"/>
          <w:szCs w:val="22"/>
        </w:rPr>
        <w:t>Ahora bien,</w:t>
      </w:r>
      <w:r w:rsidR="00667B22" w:rsidRPr="00DC01BC">
        <w:rPr>
          <w:rFonts w:ascii="Palatino Linotype" w:eastAsia="Palatino Linotype" w:hAnsi="Palatino Linotype" w:cs="Palatino Linotype"/>
          <w:sz w:val="22"/>
          <w:szCs w:val="22"/>
        </w:rPr>
        <w:t xml:space="preserve"> </w:t>
      </w:r>
      <w:r w:rsidR="00302EC8" w:rsidRPr="00DC01BC">
        <w:rPr>
          <w:rFonts w:ascii="Palatino Linotype" w:eastAsia="Palatino Linotype" w:hAnsi="Palatino Linotype" w:cs="Palatino Linotype"/>
          <w:sz w:val="22"/>
          <w:szCs w:val="22"/>
        </w:rPr>
        <w:t xml:space="preserve">en respuesta el área competente proporcionó la justificación legal y académica, así como las metas y objetivos que se persiguen con la impartición de la Maestría en Administración Pública Municipal con Enfoque de Género, </w:t>
      </w:r>
      <w:r w:rsidR="000E2CDB" w:rsidRPr="00DC01BC">
        <w:rPr>
          <w:rFonts w:ascii="Palatino Linotype" w:eastAsia="Palatino Linotype" w:hAnsi="Palatino Linotype" w:cs="Palatino Linotype"/>
          <w:sz w:val="22"/>
          <w:szCs w:val="22"/>
        </w:rPr>
        <w:t>sin embargo</w:t>
      </w:r>
      <w:r w:rsidR="00CE14B7" w:rsidRPr="00DC01BC">
        <w:rPr>
          <w:rFonts w:ascii="Palatino Linotype" w:eastAsia="Palatino Linotype" w:hAnsi="Palatino Linotype" w:cs="Palatino Linotype"/>
          <w:sz w:val="22"/>
          <w:szCs w:val="22"/>
        </w:rPr>
        <w:t xml:space="preserve">, omitió la entrega de </w:t>
      </w:r>
      <w:r w:rsidR="00CE14B7" w:rsidRPr="00DC01BC">
        <w:rPr>
          <w:rFonts w:ascii="Palatino Linotype" w:hAnsi="Palatino Linotype" w:cs="Tahoma"/>
          <w:sz w:val="22"/>
          <w:szCs w:val="22"/>
        </w:rPr>
        <w:t>los documentos que dieran cuenta de los Estudios basados en la Metodología de la Investigación Científica y su Pertinencia Social</w:t>
      </w:r>
      <w:r w:rsidR="006A4E2A" w:rsidRPr="00DC01BC">
        <w:rPr>
          <w:rFonts w:ascii="Palatino Linotype" w:eastAsia="Palatino Linotype" w:hAnsi="Palatino Linotype" w:cs="Palatino Linotype"/>
          <w:sz w:val="22"/>
          <w:szCs w:val="22"/>
        </w:rPr>
        <w:t xml:space="preserve">; </w:t>
      </w:r>
      <w:r w:rsidR="00CE14B7" w:rsidRPr="00DC01BC">
        <w:rPr>
          <w:rFonts w:ascii="Palatino Linotype" w:eastAsia="Palatino Linotype" w:hAnsi="Palatino Linotype" w:cs="Palatino Linotype"/>
          <w:sz w:val="22"/>
          <w:szCs w:val="22"/>
        </w:rPr>
        <w:t>sobre el tema, el artículo 1.8, fracción XIII, del Código Administrativo del Estado de México, establece que para que tenga validez, todo acto administrativo deberá resolver todos los puntos propuestos por los interesados.</w:t>
      </w:r>
    </w:p>
    <w:p w14:paraId="55863214" w14:textId="77777777" w:rsidR="00CE14B7" w:rsidRPr="00DC01BC" w:rsidRDefault="00CE14B7" w:rsidP="00840162">
      <w:pPr>
        <w:spacing w:line="360" w:lineRule="auto"/>
        <w:ind w:right="-28"/>
        <w:contextualSpacing/>
        <w:jc w:val="both"/>
        <w:rPr>
          <w:rFonts w:ascii="Palatino Linotype" w:eastAsia="Palatino Linotype" w:hAnsi="Palatino Linotype" w:cs="Palatino Linotype"/>
          <w:sz w:val="22"/>
          <w:szCs w:val="22"/>
        </w:rPr>
      </w:pPr>
      <w:r w:rsidRPr="00DC01BC">
        <w:rPr>
          <w:rFonts w:ascii="Palatino Linotype" w:eastAsia="Palatino Linotype" w:hAnsi="Palatino Linotype" w:cs="Palatino Linotype"/>
          <w:sz w:val="22"/>
          <w:szCs w:val="22"/>
        </w:rPr>
        <w:t xml:space="preserve"> </w:t>
      </w:r>
    </w:p>
    <w:p w14:paraId="183C0FB2" w14:textId="77777777" w:rsidR="00CE14B7" w:rsidRPr="00DC01BC" w:rsidRDefault="00CE14B7" w:rsidP="00840162">
      <w:pPr>
        <w:spacing w:line="360" w:lineRule="auto"/>
        <w:ind w:right="-28"/>
        <w:contextualSpacing/>
        <w:jc w:val="both"/>
        <w:rPr>
          <w:rFonts w:ascii="Palatino Linotype" w:eastAsia="Palatino Linotype" w:hAnsi="Palatino Linotype" w:cs="Palatino Linotype"/>
          <w:sz w:val="22"/>
          <w:szCs w:val="22"/>
        </w:rPr>
      </w:pPr>
      <w:r w:rsidRPr="00DC01BC">
        <w:rPr>
          <w:rFonts w:ascii="Palatino Linotype" w:eastAsia="Palatino Linotype" w:hAnsi="Palatino Linotype" w:cs="Palatino Linotype"/>
          <w:sz w:val="22"/>
          <w:szCs w:val="22"/>
        </w:rPr>
        <w:t xml:space="preserve">Situación que se robustece, con el Criterio de Interpretación, con clave de control SO/002/2017, de la Segunda Época, emitido por el Instituto Nacional de Transparencia, Acceso a la Información y Protección de Datos Personales, que establece que todo acto administrativo debe apegarse al </w:t>
      </w:r>
      <w:r w:rsidRPr="00DC01BC">
        <w:rPr>
          <w:rFonts w:ascii="Palatino Linotype" w:eastAsia="Palatino Linotype" w:hAnsi="Palatino Linotype" w:cs="Palatino Linotype"/>
          <w:b/>
          <w:sz w:val="22"/>
          <w:szCs w:val="22"/>
        </w:rPr>
        <w:t>principio de exhaustividad</w:t>
      </w:r>
      <w:r w:rsidRPr="00DC01BC">
        <w:rPr>
          <w:rFonts w:ascii="Palatino Linotype" w:eastAsia="Palatino Linotype" w:hAnsi="Palatino Linotype" w:cs="Palatino Linotype"/>
          <w:sz w:val="22"/>
          <w:szCs w:val="22"/>
        </w:rPr>
        <w:t xml:space="preserve">, entendiendo por éste que se pronuncie expresamente sobre cada uno de los puntos requeridos, lo cual en materia de transparencia y </w:t>
      </w:r>
      <w:r w:rsidRPr="00DC01BC">
        <w:rPr>
          <w:rFonts w:ascii="Palatino Linotype" w:eastAsia="Palatino Linotype" w:hAnsi="Palatino Linotype" w:cs="Palatino Linotype"/>
          <w:sz w:val="22"/>
          <w:szCs w:val="22"/>
        </w:rPr>
        <w:lastRenderedPageBreak/>
        <w:t>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C14E8D0" w14:textId="77777777" w:rsidR="00722A8D" w:rsidRPr="00DC01BC" w:rsidRDefault="00722A8D" w:rsidP="00840162">
      <w:pPr>
        <w:spacing w:line="360" w:lineRule="auto"/>
        <w:ind w:right="-28"/>
        <w:contextualSpacing/>
        <w:jc w:val="both"/>
        <w:rPr>
          <w:rFonts w:ascii="Palatino Linotype" w:hAnsi="Palatino Linotype" w:cs="Tahoma"/>
          <w:sz w:val="22"/>
          <w:szCs w:val="22"/>
        </w:rPr>
      </w:pPr>
    </w:p>
    <w:p w14:paraId="36407194" w14:textId="3FDF2E35" w:rsidR="00826F6B" w:rsidRPr="00DC01BC" w:rsidRDefault="000E2CDB" w:rsidP="00840162">
      <w:pPr>
        <w:spacing w:line="360" w:lineRule="auto"/>
        <w:ind w:right="-28"/>
        <w:contextualSpacing/>
        <w:jc w:val="both"/>
        <w:rPr>
          <w:rFonts w:ascii="Palatino Linotype" w:hAnsi="Palatino Linotype" w:cs="Tahoma"/>
          <w:sz w:val="22"/>
          <w:szCs w:val="22"/>
        </w:rPr>
      </w:pPr>
      <w:r w:rsidRPr="00DC01BC">
        <w:rPr>
          <w:rFonts w:ascii="Palatino Linotype" w:hAnsi="Palatino Linotype" w:cs="Tahoma"/>
          <w:sz w:val="22"/>
          <w:szCs w:val="22"/>
        </w:rPr>
        <w:t xml:space="preserve">Conforme a lo anterior, se logra vislumbrar que el agravio resulta </w:t>
      </w:r>
      <w:r w:rsidRPr="00DC01BC">
        <w:rPr>
          <w:rFonts w:ascii="Palatino Linotype" w:hAnsi="Palatino Linotype" w:cs="Tahoma"/>
          <w:b/>
          <w:bCs/>
          <w:sz w:val="22"/>
          <w:szCs w:val="22"/>
        </w:rPr>
        <w:t>FUNDADO,</w:t>
      </w:r>
      <w:r w:rsidRPr="00DC01BC">
        <w:rPr>
          <w:rFonts w:ascii="Palatino Linotype" w:hAnsi="Palatino Linotype" w:cs="Tahoma"/>
          <w:sz w:val="22"/>
          <w:szCs w:val="22"/>
        </w:rPr>
        <w:t xml:space="preserve"> pues el Sujeto Obligado omitió pronunciarse respecto a los Estudios basados en la Metodología de la Investigación Científica y su Pertinencia Social; n</w:t>
      </w:r>
      <w:r w:rsidR="00CE14B7" w:rsidRPr="00DC01BC">
        <w:rPr>
          <w:rFonts w:ascii="Palatino Linotype" w:hAnsi="Palatino Linotype" w:cs="Tahoma"/>
          <w:sz w:val="22"/>
          <w:szCs w:val="22"/>
        </w:rPr>
        <w:t xml:space="preserve">o obstante, durante la sustanciación del medio de impugnación el área competente precisó </w:t>
      </w:r>
      <w:r w:rsidRPr="00DC01BC">
        <w:rPr>
          <w:rFonts w:ascii="Palatino Linotype" w:hAnsi="Palatino Linotype" w:cs="Tahoma"/>
          <w:sz w:val="22"/>
          <w:szCs w:val="22"/>
        </w:rPr>
        <w:t>los documentos que daban cuenta de lo solicitado, eran los siguientes:</w:t>
      </w:r>
    </w:p>
    <w:p w14:paraId="2662FF2C" w14:textId="77777777" w:rsidR="00826F6B" w:rsidRPr="00DC01BC" w:rsidRDefault="00826F6B" w:rsidP="00840162">
      <w:pPr>
        <w:spacing w:line="360" w:lineRule="auto"/>
        <w:ind w:right="-28"/>
        <w:contextualSpacing/>
        <w:jc w:val="both"/>
        <w:rPr>
          <w:rFonts w:ascii="Palatino Linotype" w:hAnsi="Palatino Linotype" w:cs="Tahoma"/>
          <w:sz w:val="22"/>
          <w:szCs w:val="22"/>
        </w:rPr>
      </w:pPr>
    </w:p>
    <w:p w14:paraId="513EDFE9" w14:textId="3B71EE31"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 xml:space="preserve">Análisis de la pertinencia social; </w:t>
      </w:r>
    </w:p>
    <w:p w14:paraId="4700CE42" w14:textId="7DE39544"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Contextualización del grado de estudios;</w:t>
      </w:r>
    </w:p>
    <w:p w14:paraId="14FAA012" w14:textId="77777777"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Análisis del contexto educativo;</w:t>
      </w:r>
    </w:p>
    <w:p w14:paraId="2149386F" w14:textId="77777777"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 xml:space="preserve">Análisis psicopedagógico; </w:t>
      </w:r>
    </w:p>
    <w:p w14:paraId="573E9686" w14:textId="61B06E15"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Fundamento filosófico</w:t>
      </w:r>
      <w:r w:rsidR="000E2CDB" w:rsidRPr="00DC01BC">
        <w:rPr>
          <w:rFonts w:ascii="Palatino Linotype" w:hAnsi="Palatino Linotype" w:cs="Tahoma"/>
          <w:sz w:val="22"/>
          <w:szCs w:val="22"/>
        </w:rPr>
        <w:t>,</w:t>
      </w:r>
      <w:r w:rsidRPr="00DC01BC">
        <w:rPr>
          <w:rFonts w:ascii="Palatino Linotype" w:hAnsi="Palatino Linotype" w:cs="Tahoma"/>
          <w:sz w:val="22"/>
          <w:szCs w:val="22"/>
        </w:rPr>
        <w:t xml:space="preserve"> y</w:t>
      </w:r>
    </w:p>
    <w:p w14:paraId="31DEC0C8" w14:textId="61E4DE5F" w:rsidR="00826F6B" w:rsidRPr="00DC01BC" w:rsidRDefault="00826F6B" w:rsidP="00840162">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Fuentes de consulta para el reconocimiento de validez oficial.</w:t>
      </w:r>
    </w:p>
    <w:p w14:paraId="72687C5C" w14:textId="77777777" w:rsidR="00826F6B" w:rsidRPr="00DC01BC" w:rsidRDefault="00826F6B" w:rsidP="00840162">
      <w:pPr>
        <w:pStyle w:val="Prrafodelista"/>
        <w:spacing w:line="360" w:lineRule="auto"/>
        <w:ind w:left="927" w:right="-28"/>
        <w:jc w:val="both"/>
        <w:rPr>
          <w:rFonts w:ascii="Palatino Linotype" w:eastAsia="Palatino Linotype" w:hAnsi="Palatino Linotype" w:cs="Palatino Linotype"/>
          <w:sz w:val="22"/>
          <w:szCs w:val="22"/>
        </w:rPr>
      </w:pPr>
    </w:p>
    <w:p w14:paraId="5CAF7DE9" w14:textId="6A7FBB03" w:rsidR="00826F6B" w:rsidRPr="00DC01BC" w:rsidRDefault="00826F6B" w:rsidP="000E2CDB">
      <w:pPr>
        <w:spacing w:line="360" w:lineRule="auto"/>
        <w:ind w:right="-28"/>
        <w:contextualSpacing/>
        <w:jc w:val="both"/>
        <w:rPr>
          <w:rFonts w:ascii="Palatino Linotype" w:hAnsi="Palatino Linotype" w:cs="Tahoma"/>
          <w:sz w:val="22"/>
          <w:szCs w:val="22"/>
        </w:rPr>
      </w:pPr>
      <w:r w:rsidRPr="00DC01BC">
        <w:rPr>
          <w:rFonts w:ascii="Palatino Linotype" w:hAnsi="Palatino Linotype" w:cs="Arial"/>
          <w:sz w:val="22"/>
          <w:szCs w:val="22"/>
        </w:rPr>
        <w:t xml:space="preserve">Conforme a lo anterior, se colige que si bien, el área competente para conocer sobre lo peticionado mediante </w:t>
      </w:r>
      <w:r w:rsidR="000E2CDB" w:rsidRPr="00DC01BC">
        <w:rPr>
          <w:rFonts w:ascii="Palatino Linotype" w:hAnsi="Palatino Linotype" w:cs="Arial"/>
          <w:sz w:val="22"/>
          <w:szCs w:val="22"/>
        </w:rPr>
        <w:t>I</w:t>
      </w:r>
      <w:r w:rsidRPr="00DC01BC">
        <w:rPr>
          <w:rFonts w:ascii="Palatino Linotype" w:hAnsi="Palatino Linotype" w:cs="Arial"/>
          <w:sz w:val="22"/>
          <w:szCs w:val="22"/>
        </w:rPr>
        <w:t xml:space="preserve">nforme </w:t>
      </w:r>
      <w:r w:rsidR="000E2CDB" w:rsidRPr="00DC01BC">
        <w:rPr>
          <w:rFonts w:ascii="Palatino Linotype" w:hAnsi="Palatino Linotype" w:cs="Arial"/>
          <w:sz w:val="22"/>
          <w:szCs w:val="22"/>
        </w:rPr>
        <w:t>J</w:t>
      </w:r>
      <w:r w:rsidRPr="00DC01BC">
        <w:rPr>
          <w:rFonts w:ascii="Palatino Linotype" w:hAnsi="Palatino Linotype" w:cs="Arial"/>
          <w:sz w:val="22"/>
          <w:szCs w:val="22"/>
        </w:rPr>
        <w:t xml:space="preserve">ustificado indicó </w:t>
      </w:r>
      <w:r w:rsidR="000E2CDB" w:rsidRPr="00DC01BC">
        <w:rPr>
          <w:rFonts w:ascii="Palatino Linotype" w:hAnsi="Palatino Linotype" w:cs="Arial"/>
          <w:sz w:val="22"/>
          <w:szCs w:val="22"/>
        </w:rPr>
        <w:t xml:space="preserve">cuales eran los documentos que daban cuenta de la información solicitada, es decir, </w:t>
      </w:r>
      <w:r w:rsidR="000E2CDB" w:rsidRPr="00DC01BC">
        <w:rPr>
          <w:rFonts w:ascii="Palatino Linotype" w:hAnsi="Palatino Linotype" w:cs="Tahoma"/>
          <w:sz w:val="22"/>
          <w:szCs w:val="22"/>
        </w:rPr>
        <w:t>los Estudios basados en la Metodología de la Investigación Científica y su Pertinencia Social, lo cierto es que omitió anexarlos</w:t>
      </w:r>
      <w:r w:rsidR="000E2CDB" w:rsidRPr="00DC01BC">
        <w:rPr>
          <w:rFonts w:ascii="Palatino Linotype" w:hAnsi="Palatino Linotype" w:cs="Arial"/>
          <w:sz w:val="22"/>
          <w:szCs w:val="22"/>
        </w:rPr>
        <w:t>, por lo que, no se puede tener por atendido el requerimiento de información.</w:t>
      </w:r>
    </w:p>
    <w:p w14:paraId="4EAD5019" w14:textId="667AB37D" w:rsidR="00826F6B" w:rsidRPr="00DC01BC" w:rsidRDefault="00826F6B" w:rsidP="00840162">
      <w:pPr>
        <w:spacing w:line="360" w:lineRule="auto"/>
        <w:ind w:right="-28"/>
        <w:contextualSpacing/>
        <w:jc w:val="both"/>
        <w:rPr>
          <w:rFonts w:ascii="Palatino Linotype" w:hAnsi="Palatino Linotype" w:cs="Arial"/>
          <w:sz w:val="22"/>
          <w:szCs w:val="22"/>
        </w:rPr>
      </w:pPr>
    </w:p>
    <w:p w14:paraId="193435CD" w14:textId="2AC708AF" w:rsidR="00722A8D" w:rsidRPr="00DC01BC" w:rsidRDefault="00722A8D" w:rsidP="00840162">
      <w:pPr>
        <w:spacing w:line="360" w:lineRule="auto"/>
        <w:ind w:right="-28"/>
        <w:contextualSpacing/>
        <w:jc w:val="both"/>
        <w:rPr>
          <w:rFonts w:ascii="Palatino Linotype" w:eastAsia="Calibri" w:hAnsi="Palatino Linotype" w:cs="Tahoma"/>
          <w:color w:val="000000"/>
          <w:sz w:val="22"/>
          <w:szCs w:val="24"/>
          <w:lang w:eastAsia="es-MX"/>
        </w:rPr>
      </w:pPr>
      <w:r w:rsidRPr="00DC01BC">
        <w:rPr>
          <w:rFonts w:ascii="Palatino Linotype" w:hAnsi="Palatino Linotype" w:cs="Arial"/>
          <w:sz w:val="22"/>
          <w:szCs w:val="22"/>
        </w:rPr>
        <w:lastRenderedPageBreak/>
        <w:t xml:space="preserve">Así, se logra vislumbrar que, para atender el requerimiento de información, el Sujeto Obligado, deberá </w:t>
      </w:r>
      <w:r w:rsidR="000E2CDB" w:rsidRPr="00DC01BC">
        <w:rPr>
          <w:rFonts w:ascii="Palatino Linotype" w:eastAsia="Palatino Linotype" w:hAnsi="Palatino Linotype" w:cs="Palatino Linotype"/>
          <w:color w:val="000000"/>
          <w:sz w:val="22"/>
          <w:szCs w:val="22"/>
          <w:lang w:eastAsia="es-MX"/>
        </w:rPr>
        <w:t xml:space="preserve">proporcionar </w:t>
      </w:r>
      <w:r w:rsidRPr="00DC01BC">
        <w:rPr>
          <w:rFonts w:ascii="Palatino Linotype" w:eastAsia="Calibri" w:hAnsi="Palatino Linotype" w:cs="Tahoma"/>
          <w:color w:val="000000"/>
          <w:sz w:val="22"/>
          <w:szCs w:val="24"/>
          <w:lang w:eastAsia="es-MX"/>
        </w:rPr>
        <w:t xml:space="preserve"> </w:t>
      </w:r>
      <w:r w:rsidR="000E2CDB" w:rsidRPr="00DC01BC">
        <w:rPr>
          <w:rFonts w:ascii="Palatino Linotype" w:eastAsia="Calibri" w:hAnsi="Palatino Linotype" w:cs="Tahoma"/>
          <w:color w:val="000000"/>
          <w:sz w:val="22"/>
          <w:szCs w:val="24"/>
          <w:lang w:eastAsia="es-MX"/>
        </w:rPr>
        <w:t>los documentos referidos en Informe Justificado; d</w:t>
      </w:r>
      <w:r w:rsidRPr="00DC01BC">
        <w:rPr>
          <w:rFonts w:ascii="Palatino Linotype" w:eastAsia="Calibri" w:hAnsi="Palatino Linotype" w:cs="Tahoma"/>
          <w:iCs/>
          <w:sz w:val="22"/>
          <w:szCs w:val="22"/>
          <w:lang w:eastAsia="es-ES_tradnl"/>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300C2D5" w14:textId="77777777" w:rsidR="00722A8D" w:rsidRPr="00DC01BC" w:rsidRDefault="00722A8D" w:rsidP="00840162">
      <w:pPr>
        <w:spacing w:line="360" w:lineRule="auto"/>
        <w:contextualSpacing/>
        <w:jc w:val="both"/>
        <w:rPr>
          <w:rFonts w:ascii="Palatino Linotype" w:eastAsia="Calibri" w:hAnsi="Palatino Linotype"/>
          <w:color w:val="FF0000"/>
          <w:sz w:val="22"/>
          <w:szCs w:val="22"/>
          <w:lang w:eastAsia="es-MX"/>
        </w:rPr>
      </w:pPr>
    </w:p>
    <w:p w14:paraId="4F3F122F" w14:textId="77777777" w:rsidR="00722A8D" w:rsidRPr="00DC01BC" w:rsidRDefault="00722A8D" w:rsidP="00840162">
      <w:pPr>
        <w:spacing w:line="360" w:lineRule="auto"/>
        <w:contextualSpacing/>
        <w:jc w:val="both"/>
        <w:rPr>
          <w:rFonts w:ascii="Palatino Linotype" w:eastAsia="Calibri" w:hAnsi="Palatino Linotype"/>
          <w:sz w:val="22"/>
          <w:szCs w:val="22"/>
          <w:lang w:eastAsia="es-MX"/>
        </w:rPr>
      </w:pPr>
      <w:r w:rsidRPr="00DC01BC">
        <w:rPr>
          <w:rFonts w:ascii="Palatino Linotype" w:eastAsia="Calibri" w:hAnsi="Palatino Linotype"/>
          <w:sz w:val="22"/>
          <w:szCs w:val="22"/>
          <w:lang w:eastAsia="es-MX"/>
        </w:rPr>
        <w:t xml:space="preserve">De esta manera, el derecho de acceso a la información pública se satisface en aquellos casos en que se entregue el soporte documental en el que conste la información solicitada, sin necesidad de elaborar documentos </w:t>
      </w:r>
      <w:r w:rsidRPr="00DC01BC">
        <w:rPr>
          <w:rFonts w:ascii="Palatino Linotype" w:eastAsia="Calibri" w:hAnsi="Palatino Linotype"/>
          <w:i/>
          <w:sz w:val="22"/>
          <w:szCs w:val="22"/>
          <w:lang w:eastAsia="es-MX"/>
        </w:rPr>
        <w:t>ad hoc</w:t>
      </w:r>
      <w:r w:rsidRPr="00DC01BC">
        <w:rPr>
          <w:rFonts w:ascii="Palatino Linotype" w:eastAsia="Calibri" w:hAnsi="Palatino Linotype"/>
          <w:sz w:val="22"/>
          <w:szCs w:val="22"/>
          <w:lang w:eastAsia="es-MX"/>
        </w:rPr>
        <w:t>; lo cual, de conformidad con en el artículo 160 de la Ley de Transparencia y Acceso a la Información Pública del Estado de México y Municipios, el cual refiere que los sujetos obligados deberán entregar la información que obre en sus archivos.</w:t>
      </w:r>
    </w:p>
    <w:p w14:paraId="41A986BE" w14:textId="77777777" w:rsidR="00722A8D" w:rsidRPr="00DC01BC" w:rsidRDefault="00722A8D" w:rsidP="00840162">
      <w:pPr>
        <w:spacing w:line="360" w:lineRule="auto"/>
        <w:contextualSpacing/>
        <w:jc w:val="both"/>
        <w:rPr>
          <w:rFonts w:ascii="Palatino Linotype" w:eastAsia="Calibri" w:hAnsi="Palatino Linotype"/>
          <w:sz w:val="22"/>
          <w:szCs w:val="22"/>
          <w:lang w:eastAsia="es-MX"/>
        </w:rPr>
      </w:pPr>
    </w:p>
    <w:p w14:paraId="1FA3068F" w14:textId="7EA6F776" w:rsidR="00722A8D" w:rsidRPr="00DC01BC" w:rsidRDefault="00722A8D" w:rsidP="00840162">
      <w:pPr>
        <w:spacing w:line="360" w:lineRule="auto"/>
        <w:contextualSpacing/>
        <w:jc w:val="both"/>
        <w:rPr>
          <w:rFonts w:ascii="Palatino Linotype" w:eastAsia="Calibri" w:hAnsi="Palatino Linotype"/>
          <w:sz w:val="22"/>
          <w:szCs w:val="22"/>
          <w:lang w:eastAsia="es-MX"/>
        </w:rPr>
      </w:pPr>
      <w:r w:rsidRPr="00DC01BC">
        <w:rPr>
          <w:rFonts w:ascii="Palatino Linotype" w:hAnsi="Palatino Linotype" w:cs="Tahoma"/>
          <w:sz w:val="22"/>
          <w:szCs w:val="22"/>
          <w:lang w:val="es-ES" w:eastAsia="es-MX"/>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entregar </w:t>
      </w:r>
      <w:r w:rsidRPr="00DC01BC">
        <w:rPr>
          <w:rFonts w:ascii="Palatino Linotype" w:eastAsia="Calibri" w:hAnsi="Palatino Linotype"/>
          <w:sz w:val="22"/>
          <w:szCs w:val="22"/>
          <w:lang w:eastAsia="es-MX"/>
        </w:rPr>
        <w:t>l</w:t>
      </w:r>
      <w:r w:rsidR="000E2CDB" w:rsidRPr="00DC01BC">
        <w:rPr>
          <w:rFonts w:ascii="Palatino Linotype" w:eastAsia="Calibri" w:hAnsi="Palatino Linotype"/>
          <w:sz w:val="22"/>
          <w:szCs w:val="22"/>
          <w:lang w:eastAsia="es-MX"/>
        </w:rPr>
        <w:t xml:space="preserve">os documentos referidos en Informe Justificado, pues dan cuenta de </w:t>
      </w:r>
      <w:r w:rsidR="000E2CDB" w:rsidRPr="00DC01BC">
        <w:rPr>
          <w:rFonts w:ascii="Palatino Linotype" w:hAnsi="Palatino Linotype" w:cs="Tahoma"/>
          <w:sz w:val="22"/>
          <w:szCs w:val="22"/>
        </w:rPr>
        <w:t>los Estudios basados en la Metodología de la Investigación Científica y su Pertinencia Social.</w:t>
      </w:r>
    </w:p>
    <w:p w14:paraId="4C3F6621" w14:textId="77777777" w:rsidR="00722A8D" w:rsidRPr="00DC01BC" w:rsidRDefault="00722A8D" w:rsidP="00840162">
      <w:pPr>
        <w:spacing w:line="360" w:lineRule="auto"/>
        <w:contextualSpacing/>
        <w:jc w:val="both"/>
        <w:rPr>
          <w:rFonts w:ascii="Palatino Linotype" w:eastAsia="Calibri" w:hAnsi="Palatino Linotype"/>
          <w:sz w:val="22"/>
          <w:szCs w:val="22"/>
          <w:lang w:eastAsia="es-MX"/>
        </w:rPr>
      </w:pPr>
    </w:p>
    <w:p w14:paraId="59D7B753" w14:textId="6A9684FA" w:rsidR="00722A8D" w:rsidRPr="00DC01BC" w:rsidRDefault="006A4E2A" w:rsidP="00840162">
      <w:pPr>
        <w:spacing w:line="360" w:lineRule="auto"/>
        <w:contextualSpacing/>
        <w:jc w:val="both"/>
        <w:rPr>
          <w:rFonts w:ascii="Palatino Linotype" w:hAnsi="Palatino Linotype" w:cs="Tahoma"/>
          <w:b/>
          <w:bCs/>
          <w:iCs/>
          <w:sz w:val="22"/>
          <w:szCs w:val="22"/>
          <w:lang w:val="es-ES"/>
        </w:rPr>
      </w:pPr>
      <w:bookmarkStart w:id="16" w:name="_Toc190350690"/>
      <w:r w:rsidRPr="00DC01BC">
        <w:rPr>
          <w:rFonts w:ascii="Palatino Linotype" w:hAnsi="Palatino Linotype" w:cs="Tahoma"/>
          <w:bCs/>
          <w:iCs/>
          <w:sz w:val="22"/>
          <w:szCs w:val="22"/>
          <w:lang w:val="es-ES"/>
        </w:rPr>
        <w:t xml:space="preserve">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w:t>
      </w:r>
      <w:r w:rsidRPr="00DC01BC">
        <w:rPr>
          <w:rFonts w:ascii="Palatino Linotype" w:hAnsi="Palatino Linotype" w:cs="Tahoma"/>
          <w:bCs/>
          <w:iCs/>
          <w:sz w:val="22"/>
          <w:szCs w:val="22"/>
          <w:lang w:val="es-ES"/>
        </w:rPr>
        <w:lastRenderedPageBreak/>
        <w:t>información pública y reservada o confidencial, la Unidad de Transparencia para efectos de atender al requerimiento informativo, deberá elaborar una versión Pública en la que s</w:t>
      </w:r>
      <w:r w:rsidRPr="00DC01BC">
        <w:rPr>
          <w:rFonts w:ascii="Palatino Linotype" w:hAnsi="Palatino Linotype" w:cs="Tahoma"/>
          <w:b/>
          <w:bCs/>
          <w:iCs/>
          <w:sz w:val="22"/>
          <w:szCs w:val="22"/>
          <w:lang w:val="es-ES"/>
        </w:rPr>
        <w:t xml:space="preserve">e </w:t>
      </w:r>
      <w:r w:rsidRPr="00DC01BC">
        <w:rPr>
          <w:rFonts w:ascii="Palatino Linotype" w:hAnsi="Palatino Linotype" w:cs="Tahoma"/>
          <w:bCs/>
          <w:iCs/>
          <w:sz w:val="22"/>
          <w:szCs w:val="22"/>
          <w:lang w:val="es-ES"/>
        </w:rPr>
        <w:t>testen las partes o secciones clasificadas, indicando su contenido de manera genérica y fundando y motivando su clasificación. 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DC01BC">
        <w:rPr>
          <w:rFonts w:ascii="Palatino Linotype" w:hAnsi="Palatino Linotype" w:cs="Tahoma"/>
          <w:b/>
          <w:bCs/>
          <w:iCs/>
          <w:sz w:val="22"/>
          <w:szCs w:val="22"/>
          <w:lang w:val="es-ES"/>
        </w:rPr>
        <w:t>.</w:t>
      </w:r>
    </w:p>
    <w:p w14:paraId="05C43953" w14:textId="77777777" w:rsidR="00B46949" w:rsidRPr="00DC01BC" w:rsidRDefault="00B46949" w:rsidP="00840162">
      <w:pPr>
        <w:pStyle w:val="Ttulo2"/>
        <w:spacing w:before="0" w:after="0" w:line="360" w:lineRule="auto"/>
        <w:contextualSpacing/>
        <w:rPr>
          <w:rFonts w:ascii="Palatino Linotype" w:hAnsi="Palatino Linotype"/>
          <w:b/>
          <w:bCs/>
          <w:color w:val="auto"/>
          <w:sz w:val="22"/>
          <w:szCs w:val="22"/>
        </w:rPr>
      </w:pPr>
    </w:p>
    <w:p w14:paraId="43A0DE2B" w14:textId="477F9D59" w:rsidR="00722A8D" w:rsidRPr="00DC01BC" w:rsidRDefault="00722A8D" w:rsidP="00840162">
      <w:pPr>
        <w:pStyle w:val="Ttulo2"/>
        <w:spacing w:before="0" w:after="0" w:line="360" w:lineRule="auto"/>
        <w:contextualSpacing/>
        <w:rPr>
          <w:rFonts w:ascii="Palatino Linotype" w:hAnsi="Palatino Linotype"/>
          <w:b/>
          <w:bCs/>
          <w:color w:val="auto"/>
          <w:sz w:val="22"/>
          <w:szCs w:val="22"/>
        </w:rPr>
      </w:pPr>
      <w:r w:rsidRPr="00DC01BC">
        <w:rPr>
          <w:rFonts w:ascii="Palatino Linotype" w:hAnsi="Palatino Linotype"/>
          <w:b/>
          <w:bCs/>
          <w:color w:val="auto"/>
          <w:sz w:val="22"/>
          <w:szCs w:val="22"/>
        </w:rPr>
        <w:t>SEXTO. Decisión</w:t>
      </w:r>
      <w:bookmarkEnd w:id="16"/>
      <w:r w:rsidRPr="00DC01BC">
        <w:rPr>
          <w:rFonts w:ascii="Palatino Linotype" w:hAnsi="Palatino Linotype"/>
          <w:b/>
          <w:bCs/>
          <w:color w:val="auto"/>
          <w:sz w:val="22"/>
          <w:szCs w:val="22"/>
        </w:rPr>
        <w:t xml:space="preserve"> </w:t>
      </w:r>
    </w:p>
    <w:p w14:paraId="0D77EA7F" w14:textId="77777777" w:rsidR="00722A8D" w:rsidRPr="00DC01BC" w:rsidRDefault="00722A8D" w:rsidP="00840162">
      <w:pPr>
        <w:spacing w:line="360" w:lineRule="auto"/>
        <w:contextualSpacing/>
        <w:jc w:val="both"/>
        <w:rPr>
          <w:rFonts w:ascii="Palatino Linotype" w:hAnsi="Palatino Linotype" w:cs="Tahoma"/>
          <w:b/>
          <w:sz w:val="22"/>
          <w:szCs w:val="22"/>
        </w:rPr>
      </w:pPr>
      <w:r w:rsidRPr="00DC01BC">
        <w:rPr>
          <w:rFonts w:ascii="Palatino Linotype" w:hAnsi="Palatino Linotype" w:cs="Tahoma"/>
          <w:b/>
          <w:sz w:val="22"/>
          <w:szCs w:val="22"/>
        </w:rPr>
        <w:t xml:space="preserve"> </w:t>
      </w:r>
    </w:p>
    <w:p w14:paraId="4C6BB991" w14:textId="568E6A05" w:rsidR="00722A8D" w:rsidRPr="00DC01BC" w:rsidRDefault="00722A8D" w:rsidP="00840162">
      <w:pPr>
        <w:spacing w:line="360" w:lineRule="auto"/>
        <w:contextualSpacing/>
        <w:jc w:val="both"/>
        <w:rPr>
          <w:rFonts w:ascii="Palatino Linotype" w:eastAsia="Calibri" w:hAnsi="Palatino Linotype" w:cs="Tahoma"/>
          <w:color w:val="000000"/>
          <w:sz w:val="22"/>
          <w:szCs w:val="22"/>
          <w:lang w:eastAsia="en-US"/>
        </w:rPr>
      </w:pPr>
      <w:r w:rsidRPr="00DC01BC">
        <w:rPr>
          <w:rFonts w:ascii="Palatino Linotype" w:eastAsia="Calibri" w:hAnsi="Palatino Linotype" w:cs="Tahoma"/>
          <w:color w:val="000000"/>
          <w:sz w:val="22"/>
          <w:szCs w:val="22"/>
          <w:lang w:eastAsia="en-US"/>
        </w:rPr>
        <w:t xml:space="preserve">De acuerdo con lo expuesto y, con fundamento en el artículo 186, fracción III, de la Ley de Transparencia y Acceso a la Información Pública del Estado de México y Municipios, este Instituto considera procedente </w:t>
      </w:r>
      <w:r w:rsidR="006A4E2A" w:rsidRPr="00DC01BC">
        <w:rPr>
          <w:rFonts w:ascii="Palatino Linotype" w:eastAsia="Calibri" w:hAnsi="Palatino Linotype" w:cs="Tahoma"/>
          <w:b/>
          <w:color w:val="000000"/>
          <w:sz w:val="22"/>
          <w:szCs w:val="22"/>
          <w:lang w:eastAsia="en-US"/>
        </w:rPr>
        <w:t>MODIFI</w:t>
      </w:r>
      <w:r w:rsidRPr="00DC01BC">
        <w:rPr>
          <w:rFonts w:ascii="Palatino Linotype" w:eastAsia="Calibri" w:hAnsi="Palatino Linotype" w:cs="Tahoma"/>
          <w:b/>
          <w:color w:val="000000"/>
          <w:sz w:val="22"/>
          <w:szCs w:val="22"/>
          <w:lang w:eastAsia="en-US"/>
        </w:rPr>
        <w:t xml:space="preserve">CAR </w:t>
      </w:r>
      <w:r w:rsidRPr="00DC01BC">
        <w:rPr>
          <w:rFonts w:ascii="Palatino Linotype" w:eastAsia="Calibri" w:hAnsi="Palatino Linotype" w:cs="Tahoma"/>
          <w:color w:val="000000"/>
          <w:sz w:val="22"/>
          <w:szCs w:val="22"/>
          <w:lang w:eastAsia="en-US"/>
        </w:rPr>
        <w:t xml:space="preserve">la respuesta del </w:t>
      </w:r>
      <w:r w:rsidR="006A4E2A" w:rsidRPr="00DC01BC">
        <w:rPr>
          <w:rFonts w:ascii="Palatino Linotype" w:hAnsi="Palatino Linotype"/>
          <w:color w:val="000000"/>
          <w:sz w:val="22"/>
          <w:szCs w:val="22"/>
        </w:rPr>
        <w:t>Instituto de Políticas Públicas del Estado de México y sus Municipios</w:t>
      </w:r>
      <w:r w:rsidRPr="00DC01BC">
        <w:rPr>
          <w:rFonts w:ascii="Palatino Linotype" w:eastAsia="Calibri" w:hAnsi="Palatino Linotype" w:cs="Tahoma"/>
          <w:color w:val="000000"/>
          <w:sz w:val="22"/>
          <w:szCs w:val="22"/>
          <w:lang w:eastAsia="en-US"/>
        </w:rPr>
        <w:t xml:space="preserve">, a efecto de que entregue </w:t>
      </w:r>
      <w:r w:rsidR="000E2CDB" w:rsidRPr="00DC01BC">
        <w:rPr>
          <w:rFonts w:ascii="Palatino Linotype" w:eastAsia="Calibri" w:hAnsi="Palatino Linotype" w:cs="Tahoma"/>
          <w:color w:val="000000"/>
          <w:sz w:val="22"/>
          <w:szCs w:val="22"/>
          <w:lang w:eastAsia="en-US"/>
        </w:rPr>
        <w:t>la información faltante.</w:t>
      </w:r>
    </w:p>
    <w:p w14:paraId="5BBAC8B0" w14:textId="77777777" w:rsidR="00722A8D" w:rsidRPr="00DC01BC" w:rsidRDefault="00722A8D" w:rsidP="00840162">
      <w:pPr>
        <w:spacing w:line="360" w:lineRule="auto"/>
        <w:contextualSpacing/>
        <w:rPr>
          <w:rFonts w:cs="Tahoma"/>
          <w:iCs/>
        </w:rPr>
      </w:pPr>
    </w:p>
    <w:p w14:paraId="27B2000D"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DC01BC">
        <w:rPr>
          <w:rFonts w:ascii="Palatino Linotype" w:eastAsia="Calibri" w:hAnsi="Palatino Linotype" w:cs="Tahoma"/>
          <w:b/>
          <w:bCs/>
          <w:iCs/>
          <w:color w:val="000000"/>
          <w:sz w:val="22"/>
          <w:szCs w:val="22"/>
          <w:lang w:val="es-ES" w:eastAsia="en-US"/>
        </w:rPr>
        <w:t>Términos de la Resolución para conocimiento del Particular.</w:t>
      </w:r>
    </w:p>
    <w:p w14:paraId="72B8ACB7" w14:textId="77777777" w:rsidR="00722A8D" w:rsidRPr="00DC01BC" w:rsidRDefault="00722A8D" w:rsidP="00840162">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347DAE7B" w14:textId="6FA7C44A" w:rsidR="00722A8D" w:rsidRPr="00DC01BC" w:rsidRDefault="00722A8D" w:rsidP="00840162">
      <w:pPr>
        <w:spacing w:line="360" w:lineRule="auto"/>
        <w:ind w:right="-28"/>
        <w:contextualSpacing/>
        <w:jc w:val="both"/>
        <w:rPr>
          <w:rFonts w:ascii="Palatino Linotype" w:hAnsi="Palatino Linotype" w:cs="Tahoma"/>
          <w:bCs/>
          <w:iCs/>
          <w:sz w:val="22"/>
          <w:szCs w:val="22"/>
        </w:rPr>
      </w:pPr>
      <w:r w:rsidRPr="00DC01BC">
        <w:rPr>
          <w:rFonts w:ascii="Palatino Linotype" w:eastAsia="Calibri" w:hAnsi="Palatino Linotype"/>
          <w:color w:val="000000"/>
          <w:sz w:val="22"/>
          <w:szCs w:val="22"/>
          <w:lang w:eastAsia="es-MX"/>
        </w:rPr>
        <w:t>Se le hace del conocimiento al Particular, que, en el presente caso, se le concede</w:t>
      </w:r>
      <w:r w:rsidR="00B46949" w:rsidRPr="00DC01BC">
        <w:rPr>
          <w:rFonts w:ascii="Palatino Linotype" w:eastAsia="Calibri" w:hAnsi="Palatino Linotype"/>
          <w:color w:val="000000"/>
          <w:sz w:val="22"/>
          <w:szCs w:val="22"/>
          <w:lang w:eastAsia="es-MX"/>
        </w:rPr>
        <w:t xml:space="preserve"> </w:t>
      </w:r>
      <w:r w:rsidRPr="00DC01BC">
        <w:rPr>
          <w:rFonts w:ascii="Palatino Linotype" w:eastAsia="Calibri" w:hAnsi="Palatino Linotype"/>
          <w:color w:val="000000"/>
          <w:sz w:val="22"/>
          <w:szCs w:val="22"/>
          <w:lang w:eastAsia="es-MX"/>
        </w:rPr>
        <w:t xml:space="preserve">la razón, pues el </w:t>
      </w:r>
      <w:r w:rsidRPr="00DC01BC">
        <w:rPr>
          <w:rFonts w:ascii="Palatino Linotype" w:eastAsia="Calibri" w:hAnsi="Palatino Linotype" w:cs="Tahoma"/>
          <w:color w:val="000000"/>
          <w:sz w:val="22"/>
          <w:szCs w:val="22"/>
          <w:lang w:eastAsia="en-US"/>
        </w:rPr>
        <w:t>Sujetó Obligado</w:t>
      </w:r>
      <w:r w:rsidR="000E2CDB" w:rsidRPr="00DC01BC">
        <w:rPr>
          <w:rFonts w:ascii="Palatino Linotype" w:eastAsia="Calibri" w:hAnsi="Palatino Linotype" w:cs="Tahoma"/>
          <w:color w:val="000000"/>
          <w:sz w:val="22"/>
          <w:szCs w:val="22"/>
          <w:lang w:eastAsia="en-US"/>
        </w:rPr>
        <w:t xml:space="preserve"> no se pronunció en respuesta sobre los puntos requeridos y si bien, en Informe Justificado refirió aquellos que daban cuenta de lo peticionado, omitió anexarlos, por lo que deberá </w:t>
      </w:r>
      <w:proofErr w:type="spellStart"/>
      <w:r w:rsidR="000E2CDB" w:rsidRPr="00DC01BC">
        <w:rPr>
          <w:rFonts w:ascii="Palatino Linotype" w:eastAsia="Calibri" w:hAnsi="Palatino Linotype" w:cs="Tahoma"/>
          <w:color w:val="000000"/>
          <w:sz w:val="22"/>
          <w:szCs w:val="22"/>
          <w:lang w:eastAsia="en-US"/>
        </w:rPr>
        <w:t>proporconarselos</w:t>
      </w:r>
      <w:proofErr w:type="spellEnd"/>
      <w:r w:rsidR="000E2CDB" w:rsidRPr="00DC01BC">
        <w:rPr>
          <w:rFonts w:ascii="Palatino Linotype" w:eastAsia="Calibri" w:hAnsi="Palatino Linotype" w:cs="Tahoma"/>
          <w:color w:val="000000"/>
          <w:sz w:val="22"/>
          <w:szCs w:val="22"/>
          <w:lang w:eastAsia="en-US"/>
        </w:rPr>
        <w:t xml:space="preserve">. </w:t>
      </w:r>
      <w:r w:rsidRPr="00DC01BC">
        <w:rPr>
          <w:rFonts w:ascii="Palatino Linotype" w:eastAsia="Calibri" w:hAnsi="Palatino Linotype" w:cs="Tahoma"/>
          <w:bCs/>
          <w:iCs/>
          <w:color w:val="000000" w:themeColor="text1"/>
          <w:sz w:val="22"/>
          <w:szCs w:val="22"/>
          <w:lang w:eastAsia="en-US"/>
        </w:rPr>
        <w:t>La labor del Instituto es apoyar a la población a acceder a la información pública y garantizar la protección de los datos personales.</w:t>
      </w:r>
    </w:p>
    <w:p w14:paraId="549B741B" w14:textId="77777777" w:rsidR="00722A8D" w:rsidRPr="00DC01BC" w:rsidRDefault="00722A8D" w:rsidP="00840162">
      <w:pPr>
        <w:spacing w:line="360" w:lineRule="auto"/>
        <w:ind w:right="-28"/>
        <w:contextualSpacing/>
        <w:jc w:val="both"/>
        <w:rPr>
          <w:rFonts w:ascii="Palatino Linotype" w:hAnsi="Palatino Linotype" w:cs="Tahoma"/>
          <w:bCs/>
          <w:iCs/>
          <w:sz w:val="22"/>
          <w:szCs w:val="22"/>
        </w:rPr>
      </w:pPr>
    </w:p>
    <w:p w14:paraId="6AC21E53" w14:textId="77777777" w:rsidR="00722A8D" w:rsidRPr="00DC01BC" w:rsidRDefault="00722A8D" w:rsidP="00840162">
      <w:pPr>
        <w:spacing w:line="360" w:lineRule="auto"/>
        <w:contextualSpacing/>
        <w:jc w:val="both"/>
        <w:rPr>
          <w:rFonts w:ascii="Palatino Linotype" w:eastAsia="Calibri" w:hAnsi="Palatino Linotype"/>
          <w:sz w:val="22"/>
          <w:szCs w:val="22"/>
        </w:rPr>
      </w:pPr>
      <w:r w:rsidRPr="00DC01BC">
        <w:rPr>
          <w:rFonts w:ascii="Palatino Linotype" w:eastAsia="Calibri" w:hAnsi="Palatino Linotype"/>
          <w:sz w:val="22"/>
          <w:szCs w:val="22"/>
        </w:rPr>
        <w:t>Por lo expuesto y fundado, este Pleno:</w:t>
      </w:r>
    </w:p>
    <w:p w14:paraId="3E11D809" w14:textId="77777777" w:rsidR="00722A8D" w:rsidRPr="00DC01BC" w:rsidRDefault="00722A8D" w:rsidP="00840162">
      <w:pPr>
        <w:pStyle w:val="Ttulo1"/>
        <w:spacing w:before="0" w:after="0" w:line="360" w:lineRule="auto"/>
        <w:contextualSpacing/>
        <w:jc w:val="center"/>
        <w:rPr>
          <w:rFonts w:ascii="Palatino Linotype" w:eastAsia="Calibri" w:hAnsi="Palatino Linotype"/>
          <w:b/>
          <w:bCs/>
          <w:color w:val="auto"/>
          <w:sz w:val="22"/>
          <w:szCs w:val="22"/>
        </w:rPr>
      </w:pPr>
      <w:bookmarkStart w:id="17" w:name="_Toc190350691"/>
      <w:r w:rsidRPr="00DC01BC">
        <w:rPr>
          <w:rFonts w:ascii="Palatino Linotype" w:eastAsia="Calibri" w:hAnsi="Palatino Linotype"/>
          <w:b/>
          <w:bCs/>
          <w:color w:val="auto"/>
          <w:sz w:val="22"/>
          <w:szCs w:val="22"/>
        </w:rPr>
        <w:lastRenderedPageBreak/>
        <w:t>R E S U E L V E</w:t>
      </w:r>
      <w:bookmarkEnd w:id="17"/>
    </w:p>
    <w:p w14:paraId="4D9993CE" w14:textId="77777777" w:rsidR="00722A8D" w:rsidRPr="00DC01BC" w:rsidRDefault="00722A8D" w:rsidP="00840162">
      <w:pPr>
        <w:spacing w:line="360" w:lineRule="auto"/>
        <w:contextualSpacing/>
        <w:jc w:val="both"/>
        <w:rPr>
          <w:rFonts w:ascii="Palatino Linotype" w:eastAsia="Calibri" w:hAnsi="Palatino Linotype"/>
          <w:sz w:val="22"/>
          <w:szCs w:val="22"/>
        </w:rPr>
      </w:pPr>
      <w:r w:rsidRPr="00DC01BC">
        <w:rPr>
          <w:rFonts w:ascii="Palatino Linotype" w:eastAsia="Calibri" w:hAnsi="Palatino Linotype"/>
          <w:sz w:val="22"/>
          <w:szCs w:val="22"/>
        </w:rPr>
        <w:t xml:space="preserve"> </w:t>
      </w:r>
    </w:p>
    <w:p w14:paraId="17C82B11" w14:textId="4E690D7D" w:rsidR="00722A8D" w:rsidRPr="00DC01BC" w:rsidRDefault="00722A8D" w:rsidP="00840162">
      <w:pPr>
        <w:spacing w:line="360" w:lineRule="auto"/>
        <w:contextualSpacing/>
        <w:jc w:val="both"/>
        <w:rPr>
          <w:rFonts w:ascii="Palatino Linotype" w:eastAsia="Calibri" w:hAnsi="Palatino Linotype" w:cs="Tahoma"/>
          <w:bCs/>
          <w:color w:val="000000"/>
          <w:sz w:val="22"/>
          <w:szCs w:val="22"/>
          <w:lang w:eastAsia="en-US"/>
        </w:rPr>
      </w:pPr>
      <w:r w:rsidRPr="00DC01BC">
        <w:rPr>
          <w:rFonts w:ascii="Palatino Linotype" w:eastAsia="Calibri" w:hAnsi="Palatino Linotype" w:cs="Tahoma"/>
          <w:b/>
          <w:bCs/>
          <w:iCs/>
          <w:sz w:val="22"/>
          <w:szCs w:val="22"/>
          <w:lang w:eastAsia="en-US"/>
        </w:rPr>
        <w:t xml:space="preserve">PRIMERO. </w:t>
      </w:r>
      <w:r w:rsidRPr="00DC01BC">
        <w:rPr>
          <w:rFonts w:ascii="Palatino Linotype" w:eastAsia="Calibri" w:hAnsi="Palatino Linotype" w:cs="Tahoma"/>
          <w:bCs/>
          <w:color w:val="000000"/>
          <w:sz w:val="22"/>
          <w:szCs w:val="22"/>
          <w:lang w:eastAsia="en-US"/>
        </w:rPr>
        <w:t xml:space="preserve">Se </w:t>
      </w:r>
      <w:r w:rsidR="00840162" w:rsidRPr="00DC01BC">
        <w:rPr>
          <w:rFonts w:ascii="Palatino Linotype" w:eastAsia="Calibri" w:hAnsi="Palatino Linotype" w:cs="Tahoma"/>
          <w:b/>
          <w:bCs/>
          <w:color w:val="000000"/>
          <w:sz w:val="22"/>
          <w:szCs w:val="22"/>
          <w:lang w:eastAsia="en-US"/>
        </w:rPr>
        <w:t>MODIFI</w:t>
      </w:r>
      <w:r w:rsidRPr="00DC01BC">
        <w:rPr>
          <w:rFonts w:ascii="Palatino Linotype" w:eastAsia="Calibri" w:hAnsi="Palatino Linotype" w:cs="Tahoma"/>
          <w:b/>
          <w:bCs/>
          <w:color w:val="000000"/>
          <w:sz w:val="22"/>
          <w:szCs w:val="22"/>
          <w:lang w:eastAsia="en-US"/>
        </w:rPr>
        <w:t xml:space="preserve">CA </w:t>
      </w:r>
      <w:r w:rsidRPr="00DC01BC">
        <w:rPr>
          <w:rFonts w:ascii="Palatino Linotype" w:eastAsia="Calibri" w:hAnsi="Palatino Linotype" w:cs="Tahoma"/>
          <w:bCs/>
          <w:color w:val="000000"/>
          <w:sz w:val="22"/>
          <w:szCs w:val="22"/>
          <w:lang w:eastAsia="en-US"/>
        </w:rPr>
        <w:t xml:space="preserve">la respuesta entregada por el </w:t>
      </w:r>
      <w:r w:rsidR="00B46949" w:rsidRPr="00DC01BC">
        <w:rPr>
          <w:rFonts w:ascii="Palatino Linotype" w:hAnsi="Palatino Linotype"/>
          <w:color w:val="000000"/>
          <w:sz w:val="22"/>
          <w:szCs w:val="22"/>
        </w:rPr>
        <w:t>Instituto de Políticas Públicas del Estado de México y sus Municipios</w:t>
      </w:r>
      <w:r w:rsidRPr="00DC01BC">
        <w:rPr>
          <w:rFonts w:ascii="Palatino Linotype" w:eastAsia="Calibri" w:hAnsi="Palatino Linotype" w:cs="Tahoma"/>
          <w:bCs/>
          <w:color w:val="000000"/>
          <w:sz w:val="22"/>
          <w:szCs w:val="22"/>
          <w:lang w:eastAsia="en-US"/>
        </w:rPr>
        <w:t xml:space="preserve">, a la solicitud de </w:t>
      </w:r>
      <w:r w:rsidRPr="00DC01BC">
        <w:rPr>
          <w:rFonts w:ascii="Palatino Linotype" w:eastAsia="Calibri" w:hAnsi="Palatino Linotype" w:cs="Tahoma"/>
          <w:color w:val="000000"/>
          <w:sz w:val="22"/>
          <w:szCs w:val="22"/>
          <w:lang w:eastAsia="en-US"/>
        </w:rPr>
        <w:t xml:space="preserve">información </w:t>
      </w:r>
      <w:r w:rsidR="00B46949" w:rsidRPr="00DC01BC">
        <w:rPr>
          <w:rFonts w:ascii="Palatino Linotype" w:hAnsi="Palatino Linotype"/>
          <w:sz w:val="22"/>
          <w:szCs w:val="22"/>
        </w:rPr>
        <w:t>00005/IPPEMM/IP/2025</w:t>
      </w:r>
      <w:r w:rsidRPr="00DC01BC">
        <w:rPr>
          <w:rFonts w:ascii="Palatino Linotype" w:eastAsia="Calibri" w:hAnsi="Palatino Linotype" w:cs="Tahoma"/>
          <w:bCs/>
          <w:color w:val="000000"/>
          <w:sz w:val="22"/>
          <w:szCs w:val="22"/>
          <w:lang w:eastAsia="en-US"/>
        </w:rPr>
        <w:t xml:space="preserve">, </w:t>
      </w:r>
      <w:r w:rsidRPr="00DC01BC">
        <w:rPr>
          <w:rFonts w:ascii="Palatino Linotype" w:eastAsia="Calibri" w:hAnsi="Palatino Linotype"/>
          <w:bCs/>
          <w:color w:val="000000"/>
          <w:sz w:val="22"/>
          <w:szCs w:val="22"/>
          <w:lang w:eastAsia="en-US"/>
        </w:rPr>
        <w:t>por</w:t>
      </w:r>
      <w:r w:rsidRPr="00DC01BC">
        <w:rPr>
          <w:rFonts w:ascii="Palatino Linotype" w:eastAsia="Calibri" w:hAnsi="Palatino Linotype"/>
          <w:color w:val="000000"/>
          <w:sz w:val="22"/>
          <w:szCs w:val="22"/>
          <w:lang w:eastAsia="en-US"/>
        </w:rPr>
        <w:t xml:space="preserve"> resultar parcialmente </w:t>
      </w:r>
      <w:r w:rsidRPr="00DC01BC">
        <w:rPr>
          <w:rFonts w:ascii="Palatino Linotype" w:eastAsia="Calibri" w:hAnsi="Palatino Linotype"/>
          <w:b/>
          <w:color w:val="000000"/>
          <w:sz w:val="22"/>
          <w:szCs w:val="22"/>
          <w:lang w:eastAsia="en-US"/>
        </w:rPr>
        <w:t>FUNDADAS</w:t>
      </w:r>
      <w:r w:rsidRPr="00DC01BC">
        <w:rPr>
          <w:rFonts w:ascii="Palatino Linotype" w:eastAsia="Calibri" w:hAnsi="Palatino Linotype" w:cs="Tahoma"/>
          <w:color w:val="000000"/>
          <w:sz w:val="22"/>
          <w:szCs w:val="22"/>
          <w:lang w:eastAsia="en-US"/>
        </w:rPr>
        <w:t xml:space="preserve"> las razones o motivos de inconformidad hechos valer por la Particular, en</w:t>
      </w:r>
      <w:r w:rsidRPr="00DC01BC">
        <w:rPr>
          <w:rFonts w:ascii="Palatino Linotype" w:eastAsia="Calibri" w:hAnsi="Palatino Linotype" w:cs="Tahoma"/>
          <w:bCs/>
          <w:color w:val="000000"/>
          <w:sz w:val="22"/>
          <w:szCs w:val="22"/>
          <w:lang w:eastAsia="en-US"/>
        </w:rPr>
        <w:t xml:space="preserve"> términos de los considerandos </w:t>
      </w:r>
      <w:r w:rsidRPr="00DC01BC">
        <w:rPr>
          <w:rFonts w:ascii="Palatino Linotype" w:eastAsia="Calibri" w:hAnsi="Palatino Linotype" w:cs="Tahoma"/>
          <w:color w:val="000000"/>
          <w:sz w:val="22"/>
          <w:szCs w:val="22"/>
          <w:lang w:eastAsia="en-US"/>
        </w:rPr>
        <w:t>QUINTO y SEXTO</w:t>
      </w:r>
      <w:r w:rsidRPr="00DC01BC">
        <w:rPr>
          <w:rFonts w:ascii="Palatino Linotype" w:eastAsia="Calibri" w:hAnsi="Palatino Linotype" w:cs="Tahoma"/>
          <w:bCs/>
          <w:color w:val="000000"/>
          <w:sz w:val="22"/>
          <w:szCs w:val="22"/>
          <w:lang w:eastAsia="en-US"/>
        </w:rPr>
        <w:t xml:space="preserve"> de la presente Resolución.</w:t>
      </w:r>
    </w:p>
    <w:p w14:paraId="7528EDDC" w14:textId="77777777" w:rsidR="00722A8D" w:rsidRPr="00DC01BC" w:rsidRDefault="00722A8D" w:rsidP="00840162">
      <w:pPr>
        <w:spacing w:line="360" w:lineRule="auto"/>
        <w:contextualSpacing/>
        <w:jc w:val="both"/>
        <w:rPr>
          <w:rFonts w:ascii="Palatino Linotype" w:eastAsia="Calibri" w:hAnsi="Palatino Linotype" w:cs="Tahoma"/>
          <w:b/>
          <w:bCs/>
          <w:iCs/>
          <w:sz w:val="22"/>
          <w:szCs w:val="22"/>
          <w:lang w:eastAsia="en-US"/>
        </w:rPr>
      </w:pPr>
    </w:p>
    <w:p w14:paraId="3900BEC2" w14:textId="2C5E391D" w:rsidR="00B46949" w:rsidRPr="00DC01BC" w:rsidRDefault="00722A8D" w:rsidP="00840162">
      <w:pPr>
        <w:spacing w:line="360" w:lineRule="auto"/>
        <w:contextualSpacing/>
        <w:jc w:val="both"/>
        <w:rPr>
          <w:rFonts w:ascii="Palatino Linotype" w:hAnsi="Palatino Linotype" w:cs="Tahoma"/>
          <w:sz w:val="22"/>
          <w:szCs w:val="22"/>
        </w:rPr>
      </w:pPr>
      <w:r w:rsidRPr="00DC01BC">
        <w:rPr>
          <w:rFonts w:ascii="Palatino Linotype" w:eastAsia="Calibri" w:hAnsi="Palatino Linotype" w:cs="Tahoma"/>
          <w:b/>
          <w:bCs/>
          <w:iCs/>
          <w:sz w:val="22"/>
          <w:szCs w:val="22"/>
          <w:lang w:eastAsia="en-US"/>
        </w:rPr>
        <w:t xml:space="preserve">SEGUNDO. </w:t>
      </w:r>
      <w:r w:rsidRPr="00DC01BC">
        <w:rPr>
          <w:rFonts w:ascii="Palatino Linotype" w:eastAsia="Calibri" w:hAnsi="Palatino Linotype" w:cs="Tahoma"/>
          <w:bCs/>
          <w:iCs/>
          <w:sz w:val="22"/>
          <w:szCs w:val="22"/>
          <w:lang w:eastAsia="en-US"/>
        </w:rPr>
        <w:t xml:space="preserve">Se </w:t>
      </w:r>
      <w:r w:rsidRPr="00DC01BC">
        <w:rPr>
          <w:rFonts w:ascii="Palatino Linotype" w:eastAsia="Calibri" w:hAnsi="Palatino Linotype" w:cs="Tahoma"/>
          <w:b/>
          <w:bCs/>
          <w:iCs/>
          <w:sz w:val="22"/>
          <w:szCs w:val="22"/>
          <w:lang w:eastAsia="en-US"/>
        </w:rPr>
        <w:t xml:space="preserve">ORDENA </w:t>
      </w:r>
      <w:r w:rsidRPr="00DC01BC">
        <w:rPr>
          <w:rFonts w:ascii="Palatino Linotype" w:eastAsia="Calibri" w:hAnsi="Palatino Linotype" w:cs="Tahoma"/>
          <w:bCs/>
          <w:iCs/>
          <w:sz w:val="22"/>
          <w:szCs w:val="22"/>
          <w:lang w:eastAsia="en-US"/>
        </w:rPr>
        <w:t xml:space="preserve">al Ente Recurrido, </w:t>
      </w:r>
      <w:r w:rsidRPr="00DC01BC">
        <w:rPr>
          <w:rFonts w:ascii="Palatino Linotype" w:hAnsi="Palatino Linotype"/>
          <w:sz w:val="22"/>
          <w:szCs w:val="22"/>
        </w:rPr>
        <w:t xml:space="preserve">a efecto de que entregue a través del Sistema de Acceso a la Información Mexiquense (SAIMEX), </w:t>
      </w:r>
      <w:r w:rsidR="00B46949" w:rsidRPr="00DC01BC">
        <w:rPr>
          <w:rFonts w:ascii="Palatino Linotype" w:hAnsi="Palatino Linotype" w:cs="Tahoma"/>
          <w:sz w:val="22"/>
          <w:szCs w:val="22"/>
        </w:rPr>
        <w:t>respecto de la Maestría en Administración Pública Municipal con Enfoque de Género,</w:t>
      </w:r>
      <w:r w:rsidR="000E2CDB" w:rsidRPr="00DC01BC">
        <w:rPr>
          <w:rFonts w:ascii="Palatino Linotype" w:hAnsi="Palatino Linotype" w:cs="Tahoma"/>
          <w:sz w:val="22"/>
          <w:szCs w:val="22"/>
        </w:rPr>
        <w:t xml:space="preserve"> en su caso, en versión pública</w:t>
      </w:r>
      <w:r w:rsidR="00B46949" w:rsidRPr="00DC01BC">
        <w:rPr>
          <w:rFonts w:ascii="Palatino Linotype" w:hAnsi="Palatino Linotype" w:cs="Tahoma"/>
          <w:sz w:val="22"/>
          <w:szCs w:val="22"/>
        </w:rPr>
        <w:t>, los documentos, señalado</w:t>
      </w:r>
      <w:r w:rsidR="000E2CDB" w:rsidRPr="00DC01BC">
        <w:rPr>
          <w:rFonts w:ascii="Palatino Linotype" w:hAnsi="Palatino Linotype" w:cs="Tahoma"/>
          <w:sz w:val="22"/>
          <w:szCs w:val="22"/>
        </w:rPr>
        <w:t>s en</w:t>
      </w:r>
      <w:r w:rsidR="00B46949" w:rsidRPr="00DC01BC">
        <w:rPr>
          <w:rFonts w:ascii="Palatino Linotype" w:hAnsi="Palatino Linotype" w:cs="Tahoma"/>
          <w:sz w:val="22"/>
          <w:szCs w:val="22"/>
        </w:rPr>
        <w:t xml:space="preserve"> informe justificado</w:t>
      </w:r>
      <w:r w:rsidR="000E2CDB" w:rsidRPr="00DC01BC">
        <w:rPr>
          <w:rFonts w:ascii="Palatino Linotype" w:hAnsi="Palatino Linotype" w:cs="Tahoma"/>
          <w:sz w:val="22"/>
          <w:szCs w:val="22"/>
        </w:rPr>
        <w:t>, consistentes en los siguientes</w:t>
      </w:r>
      <w:r w:rsidR="00B46949" w:rsidRPr="00DC01BC">
        <w:rPr>
          <w:rFonts w:ascii="Palatino Linotype" w:hAnsi="Palatino Linotype" w:cs="Tahoma"/>
          <w:sz w:val="22"/>
          <w:szCs w:val="22"/>
        </w:rPr>
        <w:t>:</w:t>
      </w:r>
    </w:p>
    <w:p w14:paraId="6CA2D7F0" w14:textId="77777777" w:rsidR="00B46949" w:rsidRPr="00DC01BC" w:rsidRDefault="00B46949" w:rsidP="00840162">
      <w:pPr>
        <w:spacing w:line="360" w:lineRule="auto"/>
        <w:contextualSpacing/>
        <w:jc w:val="both"/>
        <w:rPr>
          <w:rFonts w:ascii="Palatino Linotype" w:hAnsi="Palatino Linotype" w:cs="Tahoma"/>
          <w:sz w:val="22"/>
          <w:szCs w:val="22"/>
        </w:rPr>
      </w:pPr>
    </w:p>
    <w:p w14:paraId="487C0C19"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 xml:space="preserve">Análisis de la pertinencia social; </w:t>
      </w:r>
    </w:p>
    <w:p w14:paraId="59E8E735"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Contextualización del grado de estudios;</w:t>
      </w:r>
    </w:p>
    <w:p w14:paraId="56FACB12"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Análisis del contexto educativo;</w:t>
      </w:r>
    </w:p>
    <w:p w14:paraId="6E4D642D"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 xml:space="preserve">Análisis psicopedagógico; </w:t>
      </w:r>
    </w:p>
    <w:p w14:paraId="2A090F1B"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Fundamento filosófico; y</w:t>
      </w:r>
    </w:p>
    <w:p w14:paraId="389542EB" w14:textId="77777777" w:rsidR="000E2CDB" w:rsidRPr="00DC01BC" w:rsidRDefault="000E2CDB" w:rsidP="000E2CDB">
      <w:pPr>
        <w:pStyle w:val="Prrafodelista"/>
        <w:numPr>
          <w:ilvl w:val="0"/>
          <w:numId w:val="4"/>
        </w:numPr>
        <w:spacing w:line="360" w:lineRule="auto"/>
        <w:ind w:right="-28"/>
        <w:jc w:val="both"/>
        <w:rPr>
          <w:rFonts w:ascii="Palatino Linotype" w:eastAsia="Palatino Linotype" w:hAnsi="Palatino Linotype" w:cs="Palatino Linotype"/>
          <w:sz w:val="22"/>
          <w:szCs w:val="22"/>
        </w:rPr>
      </w:pPr>
      <w:r w:rsidRPr="00DC01BC">
        <w:rPr>
          <w:rFonts w:ascii="Palatino Linotype" w:hAnsi="Palatino Linotype" w:cs="Tahoma"/>
          <w:sz w:val="22"/>
          <w:szCs w:val="22"/>
        </w:rPr>
        <w:t>Fuentes de consulta para el reconocimiento de validez oficial.</w:t>
      </w:r>
    </w:p>
    <w:p w14:paraId="52BBA0E0" w14:textId="58346755" w:rsidR="00722A8D" w:rsidRPr="00DC01BC" w:rsidRDefault="00722A8D" w:rsidP="00840162">
      <w:pPr>
        <w:spacing w:line="360" w:lineRule="auto"/>
        <w:contextualSpacing/>
        <w:jc w:val="both"/>
        <w:rPr>
          <w:rFonts w:ascii="Palatino Linotype" w:hAnsi="Palatino Linotype" w:cs="Tahoma"/>
          <w:bCs/>
          <w:iCs/>
          <w:sz w:val="22"/>
          <w:szCs w:val="22"/>
          <w:lang w:val="es-ES"/>
        </w:rPr>
      </w:pPr>
    </w:p>
    <w:p w14:paraId="573909E1" w14:textId="61503EA3" w:rsidR="00B46949" w:rsidRPr="00DC01BC" w:rsidRDefault="00B46949" w:rsidP="00840162">
      <w:pPr>
        <w:spacing w:line="360" w:lineRule="auto"/>
        <w:contextualSpacing/>
        <w:jc w:val="both"/>
        <w:rPr>
          <w:rFonts w:ascii="Palatino Linotype" w:hAnsi="Palatino Linotype"/>
          <w:color w:val="000000"/>
          <w:sz w:val="22"/>
          <w:szCs w:val="22"/>
        </w:rPr>
      </w:pPr>
      <w:r w:rsidRPr="00DC01BC">
        <w:rPr>
          <w:rFonts w:ascii="Palatino Linotype" w:hAnsi="Palatino Linotype"/>
          <w:color w:val="000000"/>
          <w:sz w:val="22"/>
          <w:szCs w:val="22"/>
        </w:rPr>
        <w:t>Además,</w:t>
      </w:r>
      <w:r w:rsidR="000E2CDB" w:rsidRPr="00DC01BC">
        <w:rPr>
          <w:rFonts w:ascii="Palatino Linotype" w:hAnsi="Palatino Linotype"/>
          <w:color w:val="000000"/>
          <w:sz w:val="22"/>
          <w:szCs w:val="22"/>
        </w:rPr>
        <w:t xml:space="preserve"> de ser necesario,</w:t>
      </w:r>
      <w:r w:rsidRPr="00DC01BC">
        <w:rPr>
          <w:rFonts w:ascii="Palatino Linotype" w:hAnsi="Palatino Linotype"/>
          <w:color w:val="000000"/>
          <w:sz w:val="22"/>
          <w:szCs w:val="22"/>
        </w:rPr>
        <w:t xml:space="preserve"> deberá proporcionar el Acuerdo de Clasificación donde el Comité de Transparencia, confirme la eliminación de los datos, en la versión pública, de conformidad con los artículos 49, fracciones II y VIII, y 132, fracción II, de la Ley de Transparencia y Acceso a la Información Pública del Estado de México y Municipios.</w:t>
      </w:r>
    </w:p>
    <w:p w14:paraId="387877D6" w14:textId="77777777" w:rsidR="00722A8D" w:rsidRPr="00DC01BC" w:rsidRDefault="00722A8D" w:rsidP="00840162">
      <w:pPr>
        <w:spacing w:line="360" w:lineRule="auto"/>
        <w:contextualSpacing/>
        <w:jc w:val="both"/>
        <w:rPr>
          <w:rFonts w:ascii="Palatino Linotype" w:eastAsia="Calibri" w:hAnsi="Palatino Linotype" w:cs="Tahoma"/>
          <w:color w:val="000000"/>
          <w:sz w:val="22"/>
          <w:szCs w:val="22"/>
          <w:lang w:eastAsia="en-US"/>
        </w:rPr>
      </w:pPr>
    </w:p>
    <w:p w14:paraId="76C6D4B2" w14:textId="648BF5C7" w:rsidR="00722A8D" w:rsidRPr="00DC01BC" w:rsidRDefault="00722A8D" w:rsidP="000E2CDB">
      <w:pPr>
        <w:spacing w:line="360" w:lineRule="auto"/>
        <w:ind w:right="-28"/>
        <w:contextualSpacing/>
        <w:jc w:val="both"/>
        <w:rPr>
          <w:rFonts w:ascii="Palatino Linotype" w:eastAsia="Palatino Linotype" w:hAnsi="Palatino Linotype" w:cs="Palatino Linotype"/>
          <w:color w:val="000000"/>
          <w:sz w:val="22"/>
          <w:szCs w:val="22"/>
          <w:lang w:eastAsia="en-US"/>
        </w:rPr>
      </w:pPr>
      <w:r w:rsidRPr="00DC01BC">
        <w:rPr>
          <w:rFonts w:ascii="Palatino Linotype" w:hAnsi="Palatino Linotype" w:cs="Tahoma"/>
          <w:b/>
          <w:bCs/>
          <w:iCs/>
          <w:sz w:val="22"/>
          <w:szCs w:val="22"/>
          <w:lang w:val="es-ES"/>
        </w:rPr>
        <w:lastRenderedPageBreak/>
        <w:t>TERCERO</w:t>
      </w:r>
      <w:r w:rsidRPr="00DC01BC">
        <w:rPr>
          <w:rFonts w:ascii="Palatino Linotype" w:hAnsi="Palatino Linotype" w:cs="Tahoma"/>
          <w:b/>
          <w:bCs/>
          <w:iCs/>
          <w:sz w:val="22"/>
          <w:szCs w:val="22"/>
        </w:rPr>
        <w:t xml:space="preserve">. </w:t>
      </w:r>
      <w:r w:rsidRPr="00DC01BC">
        <w:rPr>
          <w:rFonts w:ascii="Palatino Linotype" w:eastAsia="Palatino Linotype" w:hAnsi="Palatino Linotype" w:cs="Palatino Linotype"/>
          <w:b/>
          <w:sz w:val="22"/>
          <w:szCs w:val="22"/>
          <w:lang w:eastAsia="en-US"/>
        </w:rPr>
        <w:t xml:space="preserve">NOTIFÍQUESE POR SAIMEX </w:t>
      </w:r>
      <w:r w:rsidRPr="00DC01BC">
        <w:rPr>
          <w:rFonts w:ascii="Palatino Linotype" w:eastAsia="Palatino Linotype" w:hAnsi="Palatino Linotype" w:cs="Palatino Linotype"/>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r w:rsidR="000E2CDB" w:rsidRPr="00DC01BC">
        <w:rPr>
          <w:rFonts w:ascii="Palatino Linotype" w:eastAsia="Palatino Linotype" w:hAnsi="Palatino Linotype" w:cs="Palatino Linotype"/>
          <w:sz w:val="22"/>
          <w:szCs w:val="22"/>
          <w:lang w:eastAsia="en-US"/>
        </w:rPr>
        <w:t xml:space="preserve"> </w:t>
      </w:r>
      <w:r w:rsidRPr="00DC01BC">
        <w:rPr>
          <w:rFonts w:ascii="Palatino Linotype" w:eastAsia="Palatino Linotype" w:hAnsi="Palatino Linotype" w:cs="Palatino Linotype"/>
          <w:color w:val="000000"/>
          <w:sz w:val="22"/>
          <w:szCs w:val="22"/>
          <w:lang w:eastAsia="en-US"/>
        </w:rPr>
        <w:t xml:space="preserve">De conformidad con el artículo 198 de la </w:t>
      </w:r>
      <w:r w:rsidRPr="00DC01BC">
        <w:rPr>
          <w:rFonts w:ascii="Palatino Linotype" w:eastAsia="Palatino Linotype" w:hAnsi="Palatino Linotype" w:cs="Palatino Linotype"/>
          <w:sz w:val="22"/>
          <w:szCs w:val="22"/>
          <w:lang w:eastAsia="en-US"/>
        </w:rPr>
        <w:t xml:space="preserve">Ley </w:t>
      </w:r>
      <w:r w:rsidR="000E2CDB" w:rsidRPr="00DC01BC">
        <w:rPr>
          <w:rFonts w:ascii="Palatino Linotype" w:eastAsia="Palatino Linotype" w:hAnsi="Palatino Linotype" w:cs="Palatino Linotype"/>
          <w:sz w:val="22"/>
          <w:szCs w:val="22"/>
          <w:lang w:eastAsia="en-US"/>
        </w:rPr>
        <w:t>de la materia</w:t>
      </w:r>
      <w:r w:rsidRPr="00DC01BC">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44DAB480" w14:textId="77777777" w:rsidR="00722A8D" w:rsidRPr="00DC01BC" w:rsidRDefault="00722A8D" w:rsidP="00840162">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154B7017" w14:textId="77777777" w:rsidR="00722A8D" w:rsidRPr="00DC01BC" w:rsidRDefault="00722A8D" w:rsidP="00840162">
      <w:pPr>
        <w:spacing w:line="360" w:lineRule="auto"/>
        <w:contextualSpacing/>
        <w:jc w:val="both"/>
        <w:rPr>
          <w:rFonts w:ascii="Palatino Linotype" w:eastAsia="Palatino Linotype" w:hAnsi="Palatino Linotype" w:cs="Palatino Linotype"/>
          <w:sz w:val="22"/>
          <w:szCs w:val="22"/>
          <w:lang w:eastAsia="en-US"/>
        </w:rPr>
      </w:pPr>
      <w:r w:rsidRPr="00DC01BC">
        <w:rPr>
          <w:rFonts w:ascii="Palatino Linotype" w:eastAsia="Palatino Linotype" w:hAnsi="Palatino Linotype" w:cs="Palatino Linotype"/>
          <w:b/>
          <w:sz w:val="22"/>
          <w:szCs w:val="22"/>
          <w:lang w:eastAsia="en-US"/>
        </w:rPr>
        <w:t>CUARTO. NOTIFÍQUESE POR SAIMEX</w:t>
      </w:r>
      <w:r w:rsidRPr="00DC01BC">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A17D0D1" w14:textId="77777777" w:rsidR="00722A8D" w:rsidRPr="00DC01BC" w:rsidRDefault="00722A8D" w:rsidP="00840162">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4EB286B7" w14:textId="1BAC5939" w:rsidR="00722A8D" w:rsidRPr="0017161F" w:rsidRDefault="00722A8D" w:rsidP="00840162">
      <w:pPr>
        <w:spacing w:line="360" w:lineRule="auto"/>
        <w:contextualSpacing/>
        <w:jc w:val="both"/>
        <w:rPr>
          <w:rFonts w:ascii="Palatino Linotype" w:hAnsi="Palatino Linotype"/>
          <w:sz w:val="22"/>
          <w:szCs w:val="22"/>
        </w:rPr>
      </w:pPr>
      <w:r w:rsidRPr="00DC01BC">
        <w:rPr>
          <w:rFonts w:ascii="Palatino Linotype" w:eastAsia="Calibri" w:hAnsi="Palatino Linotype"/>
          <w:sz w:val="22"/>
          <w:szCs w:val="22"/>
        </w:rPr>
        <w:t xml:space="preserve">ASÍ LO RESUELVE, POR </w:t>
      </w:r>
      <w:r w:rsidRPr="00D82A16">
        <w:rPr>
          <w:rFonts w:ascii="Palatino Linotype" w:eastAsia="Calibri" w:hAnsi="Palatino Linotype"/>
          <w:b/>
          <w:sz w:val="22"/>
          <w:szCs w:val="22"/>
        </w:rPr>
        <w:t>UNANIMIDAD</w:t>
      </w:r>
      <w:r w:rsidRPr="00DC01BC">
        <w:rPr>
          <w:rFonts w:ascii="Palatino Linotype" w:eastAsia="Calibri" w:hAnsi="Palatino Linotype"/>
          <w:sz w:val="22"/>
          <w:szCs w:val="22"/>
        </w:rPr>
        <w:t xml:space="preserve"> DE VOTOS EL PLENO DEL INSTITUTO DE TRANSPARENCIA, ACCESO A LA INFORMACIÓN PÚBLICA Y PROTECCIÓN DE DATOS PERSONALES DEL ESTADO DE MÉXICO Y MU</w:t>
      </w:r>
      <w:bookmarkStart w:id="18" w:name="_GoBack"/>
      <w:bookmarkEnd w:id="18"/>
      <w:r w:rsidRPr="00DC01BC">
        <w:rPr>
          <w:rFonts w:ascii="Palatino Linotype" w:eastAsia="Calibri" w:hAnsi="Palatino Linotype"/>
          <w:sz w:val="22"/>
          <w:szCs w:val="22"/>
        </w:rPr>
        <w:t xml:space="preserve">NICIPIOS, CONFORMADO POR LOS COMISIONADOS JOSÉ MARTÍNEZ VILCHIS, MARÍA DEL ROSARIO MEJÍA AYALA, SHARON CRISTINA MORALES MARTÍNEZ, LUIS GUSTAVO PARRA NORIEGA Y GUADALUPE RAMÍREZ PEÑA, EN LA </w:t>
      </w:r>
      <w:r w:rsidR="00B46949" w:rsidRPr="00DC01BC">
        <w:rPr>
          <w:rFonts w:ascii="Palatino Linotype" w:eastAsia="Calibri" w:hAnsi="Palatino Linotype"/>
          <w:sz w:val="22"/>
          <w:szCs w:val="22"/>
        </w:rPr>
        <w:t>DÉCIM</w:t>
      </w:r>
      <w:r w:rsidRPr="00DC01BC">
        <w:rPr>
          <w:rFonts w:ascii="Palatino Linotype" w:eastAsia="Calibri" w:hAnsi="Palatino Linotype"/>
          <w:sz w:val="22"/>
          <w:szCs w:val="22"/>
        </w:rPr>
        <w:t xml:space="preserve">A SESIÓN ORDINARIA, CELEBRADA EL </w:t>
      </w:r>
      <w:r w:rsidR="00FA53BC" w:rsidRPr="00DC01BC">
        <w:rPr>
          <w:rFonts w:ascii="Palatino Linotype" w:eastAsia="Calibri" w:hAnsi="Palatino Linotype"/>
          <w:sz w:val="22"/>
          <w:szCs w:val="22"/>
        </w:rPr>
        <w:t>VEINTE</w:t>
      </w:r>
      <w:r w:rsidR="00B46949" w:rsidRPr="00DC01BC">
        <w:rPr>
          <w:rFonts w:ascii="Palatino Linotype" w:eastAsia="Calibri" w:hAnsi="Palatino Linotype"/>
          <w:sz w:val="22"/>
          <w:szCs w:val="22"/>
        </w:rPr>
        <w:t xml:space="preserve"> </w:t>
      </w:r>
      <w:r w:rsidRPr="00DC01BC">
        <w:rPr>
          <w:rFonts w:ascii="Palatino Linotype" w:eastAsia="Calibri" w:hAnsi="Palatino Linotype"/>
          <w:sz w:val="22"/>
          <w:szCs w:val="22"/>
        </w:rPr>
        <w:t>DE MARZO DE DOS MIL VEINTICINCO, ANTE EL SECRETARIO TÉCNICO DEL PLENO, ALEXIS TAPIA RAMÍREZ.</w:t>
      </w:r>
    </w:p>
    <w:p w14:paraId="31E6FB70" w14:textId="77777777" w:rsidR="00722A8D" w:rsidRPr="0017161F" w:rsidRDefault="00722A8D" w:rsidP="00840162">
      <w:pPr>
        <w:spacing w:line="360" w:lineRule="auto"/>
        <w:ind w:right="-28"/>
        <w:contextualSpacing/>
        <w:jc w:val="both"/>
        <w:rPr>
          <w:rFonts w:ascii="Palatino Linotype" w:eastAsia="Batang" w:hAnsi="Palatino Linotype" w:cs="Tahoma"/>
          <w:bCs/>
          <w:sz w:val="22"/>
          <w:szCs w:val="22"/>
        </w:rPr>
      </w:pPr>
    </w:p>
    <w:p w14:paraId="0548D32E" w14:textId="77777777" w:rsidR="00722A8D" w:rsidRPr="0017161F" w:rsidRDefault="00722A8D" w:rsidP="00840162">
      <w:pPr>
        <w:spacing w:line="360" w:lineRule="auto"/>
        <w:contextualSpacing/>
        <w:rPr>
          <w:rFonts w:ascii="Palatino Linotype" w:hAnsi="Palatino Linotype"/>
        </w:rPr>
      </w:pPr>
    </w:p>
    <w:p w14:paraId="55DA36DE" w14:textId="77777777" w:rsidR="00722A8D" w:rsidRPr="0017161F" w:rsidRDefault="00722A8D" w:rsidP="00840162">
      <w:pPr>
        <w:spacing w:line="360" w:lineRule="auto"/>
        <w:contextualSpacing/>
        <w:rPr>
          <w:rFonts w:ascii="Palatino Linotype" w:hAnsi="Palatino Linotype"/>
        </w:rPr>
      </w:pPr>
    </w:p>
    <w:p w14:paraId="2F77D477" w14:textId="77777777" w:rsidR="00722A8D" w:rsidRPr="0017161F" w:rsidRDefault="00722A8D" w:rsidP="00840162">
      <w:pPr>
        <w:spacing w:line="360" w:lineRule="auto"/>
        <w:contextualSpacing/>
        <w:rPr>
          <w:rFonts w:ascii="Palatino Linotype" w:hAnsi="Palatino Linotype"/>
        </w:rPr>
      </w:pPr>
    </w:p>
    <w:p w14:paraId="231EAFB3" w14:textId="77777777" w:rsidR="00722A8D" w:rsidRPr="0017161F" w:rsidRDefault="00722A8D" w:rsidP="00840162">
      <w:pPr>
        <w:spacing w:line="360" w:lineRule="auto"/>
        <w:contextualSpacing/>
        <w:rPr>
          <w:rFonts w:ascii="Palatino Linotype" w:hAnsi="Palatino Linotype"/>
        </w:rPr>
      </w:pPr>
    </w:p>
    <w:p w14:paraId="6B473107" w14:textId="77777777" w:rsidR="00722A8D" w:rsidRPr="0017161F" w:rsidRDefault="00722A8D" w:rsidP="00840162">
      <w:pPr>
        <w:spacing w:line="360" w:lineRule="auto"/>
        <w:contextualSpacing/>
        <w:rPr>
          <w:rFonts w:ascii="Palatino Linotype" w:hAnsi="Palatino Linotype"/>
        </w:rPr>
      </w:pPr>
    </w:p>
    <w:p w14:paraId="2530D2EE" w14:textId="77777777" w:rsidR="00722A8D" w:rsidRPr="0017161F" w:rsidRDefault="00722A8D" w:rsidP="00840162">
      <w:pPr>
        <w:spacing w:line="360" w:lineRule="auto"/>
        <w:contextualSpacing/>
        <w:rPr>
          <w:rFonts w:ascii="Palatino Linotype" w:hAnsi="Palatino Linotype"/>
        </w:rPr>
      </w:pPr>
    </w:p>
    <w:p w14:paraId="5D18B1D3" w14:textId="77777777" w:rsidR="00722A8D" w:rsidRPr="0017161F" w:rsidRDefault="00722A8D" w:rsidP="00840162">
      <w:pPr>
        <w:spacing w:line="360" w:lineRule="auto"/>
        <w:contextualSpacing/>
        <w:rPr>
          <w:rFonts w:ascii="Palatino Linotype" w:hAnsi="Palatino Linotype"/>
        </w:rPr>
      </w:pPr>
    </w:p>
    <w:p w14:paraId="176AE2CB" w14:textId="77777777" w:rsidR="00722A8D" w:rsidRPr="0017161F" w:rsidRDefault="00722A8D" w:rsidP="00840162">
      <w:pPr>
        <w:spacing w:line="360" w:lineRule="auto"/>
        <w:contextualSpacing/>
        <w:rPr>
          <w:rFonts w:ascii="Palatino Linotype" w:hAnsi="Palatino Linotype"/>
        </w:rPr>
      </w:pPr>
    </w:p>
    <w:p w14:paraId="7A8B31E0" w14:textId="77777777" w:rsidR="00722A8D" w:rsidRPr="0017161F" w:rsidRDefault="00722A8D" w:rsidP="00840162">
      <w:pPr>
        <w:spacing w:line="360" w:lineRule="auto"/>
        <w:contextualSpacing/>
        <w:rPr>
          <w:rFonts w:ascii="Palatino Linotype" w:hAnsi="Palatino Linotype"/>
        </w:rPr>
      </w:pPr>
    </w:p>
    <w:p w14:paraId="49055E0D" w14:textId="77777777" w:rsidR="00722A8D" w:rsidRPr="0017161F" w:rsidRDefault="00722A8D" w:rsidP="00840162">
      <w:pPr>
        <w:spacing w:line="360" w:lineRule="auto"/>
        <w:contextualSpacing/>
        <w:rPr>
          <w:rFonts w:ascii="Palatino Linotype" w:hAnsi="Palatino Linotype"/>
        </w:rPr>
      </w:pPr>
    </w:p>
    <w:p w14:paraId="6DF60657" w14:textId="77777777" w:rsidR="00722A8D" w:rsidRPr="0017161F" w:rsidRDefault="00722A8D" w:rsidP="00840162">
      <w:pPr>
        <w:spacing w:line="360" w:lineRule="auto"/>
        <w:contextualSpacing/>
        <w:rPr>
          <w:rFonts w:ascii="Palatino Linotype" w:hAnsi="Palatino Linotype"/>
        </w:rPr>
      </w:pPr>
    </w:p>
    <w:p w14:paraId="125E2DD8" w14:textId="77777777" w:rsidR="00722A8D" w:rsidRPr="0017161F" w:rsidRDefault="00722A8D" w:rsidP="00840162">
      <w:pPr>
        <w:spacing w:line="360" w:lineRule="auto"/>
        <w:contextualSpacing/>
        <w:rPr>
          <w:rFonts w:ascii="Palatino Linotype" w:hAnsi="Palatino Linotype"/>
        </w:rPr>
      </w:pPr>
    </w:p>
    <w:p w14:paraId="42118339" w14:textId="77777777" w:rsidR="00722A8D" w:rsidRPr="0017161F" w:rsidRDefault="00722A8D" w:rsidP="00840162">
      <w:pPr>
        <w:spacing w:line="360" w:lineRule="auto"/>
        <w:contextualSpacing/>
        <w:rPr>
          <w:rFonts w:ascii="Palatino Linotype" w:hAnsi="Palatino Linotype"/>
        </w:rPr>
      </w:pPr>
    </w:p>
    <w:p w14:paraId="34E3EDAF" w14:textId="77777777" w:rsidR="00722A8D" w:rsidRPr="0017161F" w:rsidRDefault="00722A8D" w:rsidP="00840162">
      <w:pPr>
        <w:spacing w:line="360" w:lineRule="auto"/>
        <w:contextualSpacing/>
        <w:rPr>
          <w:rFonts w:ascii="Palatino Linotype" w:hAnsi="Palatino Linotype"/>
        </w:rPr>
      </w:pPr>
    </w:p>
    <w:p w14:paraId="27223375" w14:textId="77777777" w:rsidR="00722A8D" w:rsidRPr="0017161F" w:rsidRDefault="00722A8D" w:rsidP="00840162">
      <w:pPr>
        <w:spacing w:line="360" w:lineRule="auto"/>
        <w:contextualSpacing/>
        <w:rPr>
          <w:rFonts w:ascii="Palatino Linotype" w:hAnsi="Palatino Linotype"/>
        </w:rPr>
      </w:pPr>
    </w:p>
    <w:p w14:paraId="661CE405" w14:textId="77777777" w:rsidR="00722A8D" w:rsidRPr="0017161F" w:rsidRDefault="00722A8D" w:rsidP="00840162">
      <w:pPr>
        <w:spacing w:line="360" w:lineRule="auto"/>
        <w:contextualSpacing/>
        <w:rPr>
          <w:rFonts w:ascii="Palatino Linotype" w:hAnsi="Palatino Linotype"/>
        </w:rPr>
      </w:pPr>
    </w:p>
    <w:p w14:paraId="7D648FD2" w14:textId="77777777" w:rsidR="00722A8D" w:rsidRPr="0017161F" w:rsidRDefault="00722A8D" w:rsidP="00840162">
      <w:pPr>
        <w:spacing w:line="360" w:lineRule="auto"/>
        <w:contextualSpacing/>
        <w:rPr>
          <w:rFonts w:ascii="Palatino Linotype" w:hAnsi="Palatino Linotype"/>
        </w:rPr>
      </w:pPr>
    </w:p>
    <w:p w14:paraId="15EE5CBC" w14:textId="77777777" w:rsidR="00722A8D" w:rsidRPr="0017161F" w:rsidRDefault="00722A8D" w:rsidP="00840162">
      <w:pPr>
        <w:spacing w:line="360" w:lineRule="auto"/>
        <w:contextualSpacing/>
        <w:rPr>
          <w:rFonts w:ascii="Palatino Linotype" w:hAnsi="Palatino Linotype"/>
        </w:rPr>
      </w:pPr>
    </w:p>
    <w:p w14:paraId="74684C12" w14:textId="77777777" w:rsidR="00722A8D" w:rsidRPr="0017161F" w:rsidRDefault="00722A8D" w:rsidP="00840162">
      <w:pPr>
        <w:spacing w:line="360" w:lineRule="auto"/>
        <w:contextualSpacing/>
        <w:rPr>
          <w:rFonts w:ascii="Palatino Linotype" w:hAnsi="Palatino Linotype"/>
        </w:rPr>
      </w:pPr>
    </w:p>
    <w:p w14:paraId="603B3C15" w14:textId="77777777" w:rsidR="00722A8D" w:rsidRPr="0017161F" w:rsidRDefault="00722A8D" w:rsidP="00840162">
      <w:pPr>
        <w:spacing w:line="360" w:lineRule="auto"/>
        <w:contextualSpacing/>
        <w:rPr>
          <w:rFonts w:ascii="Palatino Linotype" w:hAnsi="Palatino Linotype"/>
        </w:rPr>
      </w:pPr>
    </w:p>
    <w:p w14:paraId="5B7CE10C" w14:textId="77777777" w:rsidR="00722A8D" w:rsidRPr="0017161F" w:rsidRDefault="00722A8D" w:rsidP="00840162">
      <w:pPr>
        <w:spacing w:line="360" w:lineRule="auto"/>
        <w:contextualSpacing/>
        <w:rPr>
          <w:rFonts w:ascii="Palatino Linotype" w:hAnsi="Palatino Linotype"/>
        </w:rPr>
      </w:pPr>
    </w:p>
    <w:p w14:paraId="60D26705" w14:textId="77777777" w:rsidR="00722A8D" w:rsidRDefault="00722A8D" w:rsidP="00840162">
      <w:pPr>
        <w:spacing w:line="360" w:lineRule="auto"/>
        <w:contextualSpacing/>
      </w:pPr>
    </w:p>
    <w:p w14:paraId="02C7069C" w14:textId="77777777" w:rsidR="00722A8D" w:rsidRDefault="00722A8D" w:rsidP="00840162">
      <w:pPr>
        <w:spacing w:line="360" w:lineRule="auto"/>
        <w:contextualSpacing/>
      </w:pPr>
    </w:p>
    <w:p w14:paraId="28552F58" w14:textId="77777777" w:rsidR="00722A8D" w:rsidRDefault="00722A8D" w:rsidP="00840162">
      <w:pPr>
        <w:spacing w:line="360" w:lineRule="auto"/>
        <w:contextualSpacing/>
      </w:pPr>
    </w:p>
    <w:p w14:paraId="16645AE7" w14:textId="77777777" w:rsidR="00B01980" w:rsidRDefault="00B01980" w:rsidP="00840162">
      <w:pPr>
        <w:spacing w:line="360" w:lineRule="auto"/>
        <w:contextualSpacing/>
      </w:pPr>
    </w:p>
    <w:sectPr w:rsidR="00B01980" w:rsidSect="00722A8D">
      <w:headerReference w:type="even" r:id="rId9"/>
      <w:headerReference w:type="default" r:id="rId10"/>
      <w:footerReference w:type="default" r:id="rId11"/>
      <w:headerReference w:type="first" r:id="rId12"/>
      <w:footerReference w:type="first" r:id="rId13"/>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781A" w14:textId="77777777" w:rsidR="00F15BA7" w:rsidRDefault="00F15BA7" w:rsidP="00722A8D">
      <w:r>
        <w:separator/>
      </w:r>
    </w:p>
  </w:endnote>
  <w:endnote w:type="continuationSeparator" w:id="0">
    <w:p w14:paraId="6A032D5F" w14:textId="77777777" w:rsidR="00F15BA7" w:rsidRDefault="00F15BA7" w:rsidP="0072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633A2521" w14:textId="77777777" w:rsidR="00D730E4" w:rsidRPr="00C13895" w:rsidRDefault="00D730E4">
            <w:pPr>
              <w:pStyle w:val="Piedepgina"/>
              <w:jc w:val="right"/>
              <w:rPr>
                <w:sz w:val="26"/>
                <w:szCs w:val="26"/>
              </w:rPr>
            </w:pPr>
          </w:p>
          <w:p w14:paraId="48AF569A" w14:textId="77777777" w:rsidR="00D730E4" w:rsidRDefault="00017E8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754A">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754A">
              <w:rPr>
                <w:b/>
                <w:bCs/>
                <w:noProof/>
              </w:rPr>
              <w:t>24</w:t>
            </w:r>
            <w:r>
              <w:rPr>
                <w:b/>
                <w:bCs/>
                <w:sz w:val="24"/>
                <w:szCs w:val="24"/>
              </w:rPr>
              <w:fldChar w:fldCharType="end"/>
            </w:r>
          </w:p>
        </w:sdtContent>
      </w:sdt>
    </w:sdtContent>
  </w:sdt>
  <w:p w14:paraId="099A3634" w14:textId="77777777" w:rsidR="00D730E4" w:rsidRDefault="00D730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4BA13DA" w14:textId="77777777" w:rsidR="00D730E4" w:rsidRDefault="00D730E4">
            <w:pPr>
              <w:pStyle w:val="Piedepgina"/>
              <w:jc w:val="right"/>
            </w:pPr>
          </w:p>
          <w:p w14:paraId="01988224" w14:textId="77777777" w:rsidR="00D730E4" w:rsidRDefault="00D730E4">
            <w:pPr>
              <w:pStyle w:val="Piedepgina"/>
              <w:jc w:val="right"/>
            </w:pPr>
          </w:p>
          <w:p w14:paraId="52C560CA" w14:textId="77777777" w:rsidR="00D730E4" w:rsidRDefault="00D730E4">
            <w:pPr>
              <w:pStyle w:val="Piedepgina"/>
              <w:jc w:val="right"/>
            </w:pPr>
          </w:p>
          <w:p w14:paraId="791F0AAF" w14:textId="77777777" w:rsidR="00D730E4" w:rsidRDefault="00017E8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75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754A">
              <w:rPr>
                <w:b/>
                <w:bCs/>
                <w:noProof/>
              </w:rPr>
              <w:t>24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323C" w14:textId="77777777" w:rsidR="00F15BA7" w:rsidRDefault="00F15BA7" w:rsidP="00722A8D">
      <w:r>
        <w:separator/>
      </w:r>
    </w:p>
  </w:footnote>
  <w:footnote w:type="continuationSeparator" w:id="0">
    <w:p w14:paraId="1F67B2A6" w14:textId="77777777" w:rsidR="00F15BA7" w:rsidRDefault="00F15BA7" w:rsidP="00722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FC11" w14:textId="77777777" w:rsidR="00D730E4" w:rsidRDefault="00F15BA7">
    <w:pPr>
      <w:pStyle w:val="Encabezado"/>
    </w:pPr>
    <w:r>
      <w:rPr>
        <w:noProof/>
        <w:lang w:eastAsia="es-MX"/>
      </w:rPr>
      <w:pict w14:anchorId="5B9C1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51" type="#_x0000_t75" alt="marcaaguaINFOEM"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19BB7" w14:textId="77777777" w:rsidR="00D730E4" w:rsidRPr="009E6858" w:rsidRDefault="00F15BA7">
    <w:pPr>
      <w:tabs>
        <w:tab w:val="left" w:pos="3416"/>
      </w:tabs>
      <w:rPr>
        <w:sz w:val="22"/>
        <w:szCs w:val="22"/>
      </w:rPr>
    </w:pPr>
    <w:r>
      <w:rPr>
        <w:noProof/>
        <w:sz w:val="14"/>
        <w:lang w:eastAsia="es-MX"/>
      </w:rPr>
      <w:pict w14:anchorId="0EEF0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94.7pt;margin-top:-137.5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D730E4" w:rsidRPr="005C106F" w14:paraId="01C99FFF" w14:textId="77777777">
      <w:trPr>
        <w:trHeight w:val="70"/>
      </w:trPr>
      <w:tc>
        <w:tcPr>
          <w:tcW w:w="2268" w:type="dxa"/>
          <w:shd w:val="clear" w:color="auto" w:fill="auto"/>
        </w:tcPr>
        <w:p w14:paraId="67FF988A" w14:textId="77777777" w:rsidR="00D730E4" w:rsidRPr="005C106F" w:rsidRDefault="00D730E4">
          <w:pPr>
            <w:tabs>
              <w:tab w:val="right" w:pos="4273"/>
            </w:tabs>
            <w:rPr>
              <w:rFonts w:ascii="Garamond" w:eastAsia="Calibri" w:hAnsi="Garamond"/>
              <w:sz w:val="16"/>
              <w:szCs w:val="16"/>
            </w:rPr>
          </w:pPr>
        </w:p>
      </w:tc>
      <w:tc>
        <w:tcPr>
          <w:tcW w:w="7193" w:type="dxa"/>
          <w:shd w:val="clear" w:color="auto" w:fill="auto"/>
        </w:tcPr>
        <w:tbl>
          <w:tblPr>
            <w:tblStyle w:val="Tablaconcuadrcula"/>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726"/>
            <w:gridCol w:w="4212"/>
          </w:tblGrid>
          <w:tr w:rsidR="00D730E4" w14:paraId="033AAEED" w14:textId="77777777" w:rsidTr="000E2CDB">
            <w:trPr>
              <w:trHeight w:val="128"/>
            </w:trPr>
            <w:tc>
              <w:tcPr>
                <w:tcW w:w="3726" w:type="dxa"/>
                <w:vAlign w:val="bottom"/>
              </w:tcPr>
              <w:p w14:paraId="538BD6E6" w14:textId="77777777" w:rsidR="00D730E4" w:rsidRPr="008B41A2" w:rsidRDefault="00017E8D">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12" w:type="dxa"/>
              </w:tcPr>
              <w:p w14:paraId="36C01D8E" w14:textId="626A750B" w:rsidR="00D730E4" w:rsidRPr="00651A13" w:rsidRDefault="00017E8D">
                <w:pPr>
                  <w:tabs>
                    <w:tab w:val="right" w:pos="8838"/>
                  </w:tabs>
                  <w:ind w:left="-28" w:right="683"/>
                  <w:rPr>
                    <w:rFonts w:ascii="Palatino Linotype" w:eastAsia="Calibri" w:hAnsi="Palatino Linotype" w:cs="Tahoma"/>
                    <w:sz w:val="22"/>
                    <w:szCs w:val="22"/>
                  </w:rPr>
                </w:pPr>
                <w:r>
                  <w:rPr>
                    <w:rFonts w:ascii="Palatino Linotype" w:eastAsia="Calibri" w:hAnsi="Palatino Linotype" w:cs="Tahoma"/>
                    <w:sz w:val="22"/>
                    <w:szCs w:val="22"/>
                    <w:lang w:val="es-MX"/>
                  </w:rPr>
                  <w:t>0</w:t>
                </w:r>
                <w:r w:rsidR="004D5F21">
                  <w:rPr>
                    <w:rFonts w:ascii="Palatino Linotype" w:eastAsia="Calibri" w:hAnsi="Palatino Linotype" w:cs="Tahoma"/>
                    <w:sz w:val="22"/>
                    <w:szCs w:val="22"/>
                    <w:lang w:val="es-MX"/>
                  </w:rPr>
                  <w:t>1121</w:t>
                </w:r>
                <w:r>
                  <w:rPr>
                    <w:rFonts w:ascii="Palatino Linotype" w:eastAsia="Calibri" w:hAnsi="Palatino Linotype" w:cs="Tahoma"/>
                    <w:sz w:val="22"/>
                    <w:szCs w:val="22"/>
                    <w:lang w:val="es-MX"/>
                  </w:rPr>
                  <w:t>/INFOEM/IP/RR/2025</w:t>
                </w:r>
              </w:p>
            </w:tc>
          </w:tr>
          <w:tr w:rsidR="00D730E4" w14:paraId="15319AE7" w14:textId="77777777" w:rsidTr="000E2CDB">
            <w:trPr>
              <w:trHeight w:val="251"/>
            </w:trPr>
            <w:tc>
              <w:tcPr>
                <w:tcW w:w="3726" w:type="dxa"/>
              </w:tcPr>
              <w:p w14:paraId="7D556182" w14:textId="77777777" w:rsidR="00D730E4" w:rsidRPr="008B41A2" w:rsidRDefault="00017E8D">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12" w:type="dxa"/>
              </w:tcPr>
              <w:p w14:paraId="4F8AA6E6" w14:textId="44D85574" w:rsidR="00D730E4" w:rsidRPr="008B41A2" w:rsidRDefault="004D5F21">
                <w:pPr>
                  <w:tabs>
                    <w:tab w:val="right" w:pos="8838"/>
                  </w:tabs>
                  <w:ind w:left="-28" w:right="1008"/>
                  <w:jc w:val="both"/>
                  <w:rPr>
                    <w:rFonts w:ascii="Palatino Linotype" w:eastAsia="Calibri" w:hAnsi="Palatino Linotype" w:cs="Tahoma"/>
                    <w:sz w:val="22"/>
                    <w:szCs w:val="22"/>
                    <w:lang w:val="es-MX"/>
                  </w:rPr>
                </w:pPr>
                <w:r w:rsidRPr="00722A8D">
                  <w:rPr>
                    <w:rFonts w:ascii="Palatino Linotype" w:hAnsi="Palatino Linotype"/>
                    <w:color w:val="000000"/>
                    <w:sz w:val="22"/>
                    <w:szCs w:val="22"/>
                    <w:lang w:val="es-MX"/>
                  </w:rPr>
                  <w:t>Instituto de Políticas Públicas del Estado de México y sus Municipios</w:t>
                </w:r>
              </w:p>
            </w:tc>
          </w:tr>
          <w:tr w:rsidR="00D730E4" w14:paraId="6E669903" w14:textId="77777777" w:rsidTr="000E2CDB">
            <w:trPr>
              <w:trHeight w:val="251"/>
            </w:trPr>
            <w:tc>
              <w:tcPr>
                <w:tcW w:w="3726" w:type="dxa"/>
              </w:tcPr>
              <w:p w14:paraId="2B103F20" w14:textId="77777777" w:rsidR="00D730E4" w:rsidRPr="008B41A2" w:rsidRDefault="00017E8D">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12" w:type="dxa"/>
              </w:tcPr>
              <w:p w14:paraId="295272BD" w14:textId="77777777" w:rsidR="00D730E4" w:rsidRDefault="00017E8D">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5B087468" w14:textId="77777777" w:rsidR="00D730E4" w:rsidRPr="008B41A2" w:rsidRDefault="00D730E4">
                <w:pPr>
                  <w:tabs>
                    <w:tab w:val="right" w:pos="8838"/>
                  </w:tabs>
                  <w:ind w:left="-28" w:right="-32"/>
                  <w:rPr>
                    <w:rFonts w:ascii="Palatino Linotype" w:eastAsia="Calibri" w:hAnsi="Palatino Linotype" w:cs="Tahoma"/>
                    <w:b/>
                    <w:sz w:val="22"/>
                    <w:szCs w:val="22"/>
                    <w:lang w:val="es-MX"/>
                  </w:rPr>
                </w:pPr>
              </w:p>
            </w:tc>
          </w:tr>
        </w:tbl>
        <w:p w14:paraId="7109031F" w14:textId="77777777" w:rsidR="00D730E4" w:rsidRPr="005C106F" w:rsidRDefault="00D730E4">
          <w:pPr>
            <w:tabs>
              <w:tab w:val="right" w:pos="8838"/>
            </w:tabs>
            <w:ind w:left="-28"/>
            <w:rPr>
              <w:rFonts w:ascii="Arial" w:eastAsia="Calibri" w:hAnsi="Arial" w:cs="Arial"/>
              <w:b/>
            </w:rPr>
          </w:pPr>
        </w:p>
      </w:tc>
    </w:tr>
  </w:tbl>
  <w:p w14:paraId="2F0BA41F" w14:textId="77777777" w:rsidR="00D730E4" w:rsidRDefault="00D730E4">
    <w:pPr>
      <w:pStyle w:val="Encabezado"/>
      <w:rPr>
        <w:sz w:val="14"/>
      </w:rPr>
    </w:pPr>
  </w:p>
  <w:p w14:paraId="6CA412BA" w14:textId="77777777" w:rsidR="00D730E4" w:rsidRPr="00443C6B" w:rsidRDefault="00D730E4">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3118"/>
    </w:tblGrid>
    <w:tr w:rsidR="00D730E4" w:rsidRPr="00264223" w14:paraId="4DC4DD16" w14:textId="77777777">
      <w:trPr>
        <w:trHeight w:val="302"/>
      </w:trPr>
      <w:tc>
        <w:tcPr>
          <w:tcW w:w="3828" w:type="dxa"/>
        </w:tcPr>
        <w:p w14:paraId="2A66D17E" w14:textId="77777777" w:rsidR="00D730E4" w:rsidRPr="00D3618F" w:rsidRDefault="00017E8D">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8" w:type="dxa"/>
        </w:tcPr>
        <w:p w14:paraId="457FAAB6" w14:textId="0201FAE7" w:rsidR="00D730E4" w:rsidRPr="00651A13" w:rsidRDefault="00017E8D">
          <w:pPr>
            <w:tabs>
              <w:tab w:val="right" w:pos="8838"/>
            </w:tabs>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722A8D">
            <w:rPr>
              <w:rFonts w:ascii="Palatino Linotype" w:eastAsia="Calibri" w:hAnsi="Palatino Linotype" w:cs="Tahoma"/>
              <w:sz w:val="22"/>
              <w:szCs w:val="22"/>
              <w:lang w:val="es-MX" w:eastAsia="en-US"/>
            </w:rPr>
            <w:t>1121</w:t>
          </w:r>
          <w:r w:rsidRPr="00BE31CC">
            <w:rPr>
              <w:rFonts w:ascii="Palatino Linotype" w:eastAsia="Calibri" w:hAnsi="Palatino Linotype" w:cs="Tahoma"/>
              <w:sz w:val="22"/>
              <w:szCs w:val="22"/>
              <w:lang w:val="es-MX" w:eastAsia="en-US"/>
            </w:rPr>
            <w:t>/INFOEM/IP/RR/202</w:t>
          </w:r>
          <w:r>
            <w:rPr>
              <w:rFonts w:ascii="Palatino Linotype" w:eastAsia="Calibri" w:hAnsi="Palatino Linotype" w:cs="Tahoma"/>
              <w:sz w:val="22"/>
              <w:szCs w:val="22"/>
              <w:lang w:val="es-MX" w:eastAsia="en-US"/>
            </w:rPr>
            <w:t>5</w:t>
          </w:r>
        </w:p>
      </w:tc>
    </w:tr>
    <w:tr w:rsidR="00D730E4" w:rsidRPr="00264223" w14:paraId="0E1BB035" w14:textId="77777777">
      <w:trPr>
        <w:trHeight w:val="110"/>
      </w:trPr>
      <w:tc>
        <w:tcPr>
          <w:tcW w:w="3828" w:type="dxa"/>
        </w:tcPr>
        <w:p w14:paraId="14626E16" w14:textId="77777777" w:rsidR="00D730E4" w:rsidRPr="00D3618F" w:rsidRDefault="00017E8D">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8" w:type="dxa"/>
        </w:tcPr>
        <w:p w14:paraId="1F25F459" w14:textId="77777777" w:rsidR="00D730E4" w:rsidRPr="00E22A9C" w:rsidRDefault="00D730E4">
          <w:pPr>
            <w:jc w:val="both"/>
            <w:rPr>
              <w:rFonts w:ascii="Palatino Linotype" w:hAnsi="Palatino Linotype"/>
              <w:sz w:val="22"/>
              <w:szCs w:val="22"/>
              <w:lang w:eastAsia="es-MX"/>
            </w:rPr>
          </w:pPr>
        </w:p>
      </w:tc>
    </w:tr>
    <w:tr w:rsidR="00D730E4" w:rsidRPr="00264223" w14:paraId="1BA85F22" w14:textId="77777777">
      <w:trPr>
        <w:trHeight w:val="248"/>
      </w:trPr>
      <w:tc>
        <w:tcPr>
          <w:tcW w:w="3828" w:type="dxa"/>
        </w:tcPr>
        <w:p w14:paraId="5743ABBB" w14:textId="77777777" w:rsidR="00D730E4" w:rsidRPr="00D3618F" w:rsidRDefault="00017E8D">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8" w:type="dxa"/>
        </w:tcPr>
        <w:p w14:paraId="5A2013E7" w14:textId="40AE0C90" w:rsidR="00D730E4" w:rsidRPr="00722A8D" w:rsidRDefault="00722A8D">
          <w:pPr>
            <w:tabs>
              <w:tab w:val="right" w:pos="8838"/>
            </w:tabs>
            <w:jc w:val="both"/>
            <w:rPr>
              <w:rFonts w:ascii="Palatino Linotype" w:eastAsia="Calibri" w:hAnsi="Palatino Linotype" w:cs="Tahoma"/>
              <w:sz w:val="22"/>
              <w:szCs w:val="22"/>
              <w:lang w:val="es-MX" w:eastAsia="en-US"/>
            </w:rPr>
          </w:pPr>
          <w:r w:rsidRPr="00722A8D">
            <w:rPr>
              <w:rFonts w:ascii="Palatino Linotype" w:hAnsi="Palatino Linotype"/>
              <w:color w:val="000000"/>
              <w:sz w:val="22"/>
              <w:szCs w:val="22"/>
              <w:lang w:val="es-MX"/>
            </w:rPr>
            <w:t>Instituto de Políticas Públicas del Estado de México y sus Municipios</w:t>
          </w:r>
        </w:p>
      </w:tc>
    </w:tr>
    <w:tr w:rsidR="00D730E4" w:rsidRPr="00264223" w14:paraId="2CE23668" w14:textId="77777777">
      <w:trPr>
        <w:trHeight w:val="248"/>
      </w:trPr>
      <w:tc>
        <w:tcPr>
          <w:tcW w:w="3828" w:type="dxa"/>
        </w:tcPr>
        <w:p w14:paraId="25566981" w14:textId="77777777" w:rsidR="00D730E4" w:rsidRPr="00D3618F" w:rsidRDefault="00017E8D">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8" w:type="dxa"/>
        </w:tcPr>
        <w:p w14:paraId="7F1A3EA5" w14:textId="77777777" w:rsidR="00D730E4" w:rsidRPr="00D3618F" w:rsidRDefault="00017E8D">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D4DEDFF" w14:textId="77777777" w:rsidR="00D730E4" w:rsidRDefault="00F15BA7">
    <w:pPr>
      <w:ind w:right="-312"/>
    </w:pPr>
    <w:r>
      <w:rPr>
        <w:noProof/>
        <w:lang w:eastAsia="es-MX"/>
      </w:rPr>
      <w:pict w14:anchorId="02E41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49" type="#_x0000_t75" alt="marcaaguaINFOEM" style="position:absolute;margin-left:-92.55pt;margin-top:-120.95pt;width:663.5pt;height:12in;z-index:-25165516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95B33"/>
    <w:multiLevelType w:val="hybridMultilevel"/>
    <w:tmpl w:val="13A2AB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5DB6F0D"/>
    <w:multiLevelType w:val="multilevel"/>
    <w:tmpl w:val="3052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3B15E2"/>
    <w:multiLevelType w:val="hybridMultilevel"/>
    <w:tmpl w:val="238ADA4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EE7EE6"/>
    <w:multiLevelType w:val="hybridMultilevel"/>
    <w:tmpl w:val="D326D892"/>
    <w:lvl w:ilvl="0" w:tplc="A0266568">
      <w:start w:val="2"/>
      <w:numFmt w:val="bullet"/>
      <w:lvlText w:val="-"/>
      <w:lvlJc w:val="left"/>
      <w:pPr>
        <w:ind w:left="927" w:hanging="360"/>
      </w:pPr>
      <w:rPr>
        <w:rFonts w:ascii="Palatino Linotype" w:eastAsia="Times New Roman" w:hAnsi="Palatino Linotype" w:cs="Tahoma"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336D0E1E"/>
    <w:multiLevelType w:val="hybridMultilevel"/>
    <w:tmpl w:val="EA9AA894"/>
    <w:lvl w:ilvl="0" w:tplc="3D2E5D04">
      <w:start w:val="1"/>
      <w:numFmt w:val="lowerRoman"/>
      <w:lvlText w:val="%1)"/>
      <w:lvlJc w:val="left"/>
      <w:pPr>
        <w:ind w:left="1080" w:hanging="720"/>
      </w:pPr>
      <w:rPr>
        <w:rFonts w:hint="default"/>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1F3BD5"/>
    <w:multiLevelType w:val="hybridMultilevel"/>
    <w:tmpl w:val="238ADA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9739B8"/>
    <w:multiLevelType w:val="hybridMultilevel"/>
    <w:tmpl w:val="238ADA4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FC12CB"/>
    <w:multiLevelType w:val="hybridMultilevel"/>
    <w:tmpl w:val="DF7637F2"/>
    <w:lvl w:ilvl="0" w:tplc="DE0A9F9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8D"/>
    <w:rsid w:val="00004CB8"/>
    <w:rsid w:val="00006124"/>
    <w:rsid w:val="00017E8D"/>
    <w:rsid w:val="00030352"/>
    <w:rsid w:val="00081BB5"/>
    <w:rsid w:val="000B0821"/>
    <w:rsid w:val="000E2CDB"/>
    <w:rsid w:val="00176C8B"/>
    <w:rsid w:val="00183EE3"/>
    <w:rsid w:val="001A062C"/>
    <w:rsid w:val="0022698D"/>
    <w:rsid w:val="0027121D"/>
    <w:rsid w:val="002A687F"/>
    <w:rsid w:val="00302EC8"/>
    <w:rsid w:val="003615F7"/>
    <w:rsid w:val="0046754A"/>
    <w:rsid w:val="004D5F21"/>
    <w:rsid w:val="004D6DBE"/>
    <w:rsid w:val="00543563"/>
    <w:rsid w:val="00546312"/>
    <w:rsid w:val="00667B22"/>
    <w:rsid w:val="006A4E2A"/>
    <w:rsid w:val="00722A8D"/>
    <w:rsid w:val="00727375"/>
    <w:rsid w:val="00764775"/>
    <w:rsid w:val="007B1761"/>
    <w:rsid w:val="007D557A"/>
    <w:rsid w:val="00826F6B"/>
    <w:rsid w:val="00840162"/>
    <w:rsid w:val="00993C4A"/>
    <w:rsid w:val="00A1007F"/>
    <w:rsid w:val="00A83FDD"/>
    <w:rsid w:val="00AA1AA8"/>
    <w:rsid w:val="00B01980"/>
    <w:rsid w:val="00B05342"/>
    <w:rsid w:val="00B368ED"/>
    <w:rsid w:val="00B46949"/>
    <w:rsid w:val="00C3542C"/>
    <w:rsid w:val="00CE14B7"/>
    <w:rsid w:val="00D730E4"/>
    <w:rsid w:val="00D7394E"/>
    <w:rsid w:val="00D744C4"/>
    <w:rsid w:val="00D82A16"/>
    <w:rsid w:val="00DB17DE"/>
    <w:rsid w:val="00DB4D2B"/>
    <w:rsid w:val="00DC01BC"/>
    <w:rsid w:val="00DF704A"/>
    <w:rsid w:val="00F15BA7"/>
    <w:rsid w:val="00FA53BC"/>
    <w:rsid w:val="00FF5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AA2CF"/>
  <w15:chartTrackingRefBased/>
  <w15:docId w15:val="{41030A26-3187-4AC3-A625-61D73111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8D"/>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722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722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22A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22A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22A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22A8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2A8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2A8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2A8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2A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722A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22A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22A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22A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22A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2A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2A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2A8D"/>
    <w:rPr>
      <w:rFonts w:eastAsiaTheme="majorEastAsia" w:cstheme="majorBidi"/>
      <w:color w:val="272727" w:themeColor="text1" w:themeTint="D8"/>
    </w:rPr>
  </w:style>
  <w:style w:type="paragraph" w:styleId="Puesto">
    <w:name w:val="Title"/>
    <w:basedOn w:val="Normal"/>
    <w:next w:val="Normal"/>
    <w:link w:val="PuestoCar"/>
    <w:uiPriority w:val="10"/>
    <w:qFormat/>
    <w:rsid w:val="00722A8D"/>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22A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2A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2A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2A8D"/>
    <w:pPr>
      <w:spacing w:before="160"/>
      <w:jc w:val="center"/>
    </w:pPr>
    <w:rPr>
      <w:i/>
      <w:iCs/>
      <w:color w:val="404040" w:themeColor="text1" w:themeTint="BF"/>
    </w:rPr>
  </w:style>
  <w:style w:type="character" w:customStyle="1" w:styleId="CitaCar">
    <w:name w:val="Cita Car"/>
    <w:basedOn w:val="Fuentedeprrafopredeter"/>
    <w:link w:val="Cita"/>
    <w:uiPriority w:val="29"/>
    <w:rsid w:val="00722A8D"/>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22A8D"/>
    <w:pPr>
      <w:ind w:left="720"/>
      <w:contextualSpacing/>
    </w:pPr>
  </w:style>
  <w:style w:type="character" w:styleId="nfasisintenso">
    <w:name w:val="Intense Emphasis"/>
    <w:basedOn w:val="Fuentedeprrafopredeter"/>
    <w:uiPriority w:val="21"/>
    <w:qFormat/>
    <w:rsid w:val="00722A8D"/>
    <w:rPr>
      <w:i/>
      <w:iCs/>
      <w:color w:val="2F5496" w:themeColor="accent1" w:themeShade="BF"/>
    </w:rPr>
  </w:style>
  <w:style w:type="paragraph" w:styleId="Citadestacada">
    <w:name w:val="Intense Quote"/>
    <w:basedOn w:val="Normal"/>
    <w:next w:val="Normal"/>
    <w:link w:val="CitadestacadaCar"/>
    <w:uiPriority w:val="30"/>
    <w:qFormat/>
    <w:rsid w:val="00722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22A8D"/>
    <w:rPr>
      <w:i/>
      <w:iCs/>
      <w:color w:val="2F5496" w:themeColor="accent1" w:themeShade="BF"/>
    </w:rPr>
  </w:style>
  <w:style w:type="character" w:styleId="Referenciaintensa">
    <w:name w:val="Intense Reference"/>
    <w:basedOn w:val="Fuentedeprrafopredeter"/>
    <w:uiPriority w:val="32"/>
    <w:qFormat/>
    <w:rsid w:val="00722A8D"/>
    <w:rPr>
      <w:b/>
      <w:bCs/>
      <w:smallCaps/>
      <w:color w:val="2F5496" w:themeColor="accent1" w:themeShade="BF"/>
      <w:spacing w:val="5"/>
    </w:rPr>
  </w:style>
  <w:style w:type="paragraph" w:styleId="Encabezado">
    <w:name w:val="header"/>
    <w:basedOn w:val="Normal"/>
    <w:link w:val="EncabezadoCar"/>
    <w:uiPriority w:val="99"/>
    <w:unhideWhenUsed/>
    <w:rsid w:val="00722A8D"/>
    <w:pPr>
      <w:tabs>
        <w:tab w:val="center" w:pos="4419"/>
        <w:tab w:val="right" w:pos="8838"/>
      </w:tabs>
    </w:pPr>
  </w:style>
  <w:style w:type="character" w:customStyle="1" w:styleId="EncabezadoCar">
    <w:name w:val="Encabezado Car"/>
    <w:basedOn w:val="Fuentedeprrafopredeter"/>
    <w:link w:val="Encabezado"/>
    <w:uiPriority w:val="99"/>
    <w:rsid w:val="00722A8D"/>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722A8D"/>
    <w:pPr>
      <w:tabs>
        <w:tab w:val="center" w:pos="4419"/>
        <w:tab w:val="right" w:pos="8838"/>
      </w:tabs>
    </w:pPr>
  </w:style>
  <w:style w:type="character" w:customStyle="1" w:styleId="PiedepginaCar">
    <w:name w:val="Pie de página Car"/>
    <w:basedOn w:val="Fuentedeprrafopredeter"/>
    <w:link w:val="Piedepgina"/>
    <w:uiPriority w:val="99"/>
    <w:rsid w:val="00722A8D"/>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22A8D"/>
  </w:style>
  <w:style w:type="table" w:styleId="Tablaconcuadrcula">
    <w:name w:val="Table Grid"/>
    <w:basedOn w:val="Tablanormal"/>
    <w:uiPriority w:val="39"/>
    <w:rsid w:val="00722A8D"/>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2A8D"/>
    <w:rPr>
      <w:color w:val="0563C1" w:themeColor="hyperlink"/>
      <w:u w:val="single"/>
    </w:rPr>
  </w:style>
  <w:style w:type="paragraph" w:styleId="TDC1">
    <w:name w:val="toc 1"/>
    <w:basedOn w:val="Normal"/>
    <w:next w:val="Normal"/>
    <w:autoRedefine/>
    <w:uiPriority w:val="39"/>
    <w:unhideWhenUsed/>
    <w:rsid w:val="00722A8D"/>
    <w:pPr>
      <w:spacing w:after="100"/>
    </w:pPr>
  </w:style>
  <w:style w:type="paragraph" w:styleId="TtulodeTDC">
    <w:name w:val="TOC Heading"/>
    <w:basedOn w:val="Ttulo1"/>
    <w:next w:val="Normal"/>
    <w:uiPriority w:val="39"/>
    <w:unhideWhenUsed/>
    <w:qFormat/>
    <w:rsid w:val="00722A8D"/>
    <w:pPr>
      <w:spacing w:before="240" w:after="0"/>
      <w:outlineLvl w:val="9"/>
    </w:pPr>
    <w:rPr>
      <w:sz w:val="32"/>
      <w:szCs w:val="32"/>
      <w:lang w:eastAsia="es-MX"/>
    </w:rPr>
  </w:style>
  <w:style w:type="paragraph" w:styleId="TDC2">
    <w:name w:val="toc 2"/>
    <w:basedOn w:val="Normal"/>
    <w:next w:val="Normal"/>
    <w:autoRedefine/>
    <w:uiPriority w:val="39"/>
    <w:unhideWhenUsed/>
    <w:rsid w:val="00722A8D"/>
    <w:pPr>
      <w:tabs>
        <w:tab w:val="right" w:leader="dot" w:pos="9034"/>
      </w:tabs>
      <w:spacing w:line="360" w:lineRule="auto"/>
      <w:ind w:left="200"/>
      <w:contextualSpacing/>
      <w:jc w:val="both"/>
    </w:pPr>
  </w:style>
  <w:style w:type="character" w:customStyle="1" w:styleId="UnresolvedMention">
    <w:name w:val="Unresolved Mention"/>
    <w:basedOn w:val="Fuentedeprrafopredeter"/>
    <w:uiPriority w:val="99"/>
    <w:semiHidden/>
    <w:unhideWhenUsed/>
    <w:rsid w:val="00B3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52542">
      <w:bodyDiv w:val="1"/>
      <w:marLeft w:val="0"/>
      <w:marRight w:val="0"/>
      <w:marTop w:val="0"/>
      <w:marBottom w:val="0"/>
      <w:divBdr>
        <w:top w:val="none" w:sz="0" w:space="0" w:color="auto"/>
        <w:left w:val="none" w:sz="0" w:space="0" w:color="auto"/>
        <w:bottom w:val="none" w:sz="0" w:space="0" w:color="auto"/>
        <w:right w:val="none" w:sz="0" w:space="0" w:color="auto"/>
      </w:divBdr>
    </w:div>
    <w:div w:id="1451052058">
      <w:bodyDiv w:val="1"/>
      <w:marLeft w:val="0"/>
      <w:marRight w:val="0"/>
      <w:marTop w:val="0"/>
      <w:marBottom w:val="0"/>
      <w:divBdr>
        <w:top w:val="none" w:sz="0" w:space="0" w:color="auto"/>
        <w:left w:val="none" w:sz="0" w:space="0" w:color="auto"/>
        <w:bottom w:val="none" w:sz="0" w:space="0" w:color="auto"/>
        <w:right w:val="none" w:sz="0" w:space="0" w:color="auto"/>
      </w:divBdr>
    </w:div>
    <w:div w:id="1920098606">
      <w:bodyDiv w:val="1"/>
      <w:marLeft w:val="0"/>
      <w:marRight w:val="0"/>
      <w:marTop w:val="0"/>
      <w:marBottom w:val="0"/>
      <w:divBdr>
        <w:top w:val="none" w:sz="0" w:space="0" w:color="auto"/>
        <w:left w:val="none" w:sz="0" w:space="0" w:color="auto"/>
        <w:bottom w:val="none" w:sz="0" w:space="0" w:color="auto"/>
        <w:right w:val="none" w:sz="0" w:space="0" w:color="auto"/>
      </w:divBdr>
    </w:div>
    <w:div w:id="19541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pem.edomex.gob.mx/maestria-administracion-publica-municipal-enfoque-gene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5382</Words>
  <Characters>29601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2025-03-24T16:40:00Z</cp:lastPrinted>
  <dcterms:created xsi:type="dcterms:W3CDTF">2025-03-24T16:40:00Z</dcterms:created>
  <dcterms:modified xsi:type="dcterms:W3CDTF">2025-03-24T16:41:00Z</dcterms:modified>
</cp:coreProperties>
</file>