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bookmarkStart w:id="0" w:name="_GoBack"/>
      <w:bookmarkEnd w:id="0"/>
      <w:r w:rsidRPr="00773EBE">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6C0051">
        <w:rPr>
          <w:rFonts w:ascii="Palatino Linotype" w:eastAsia="Palatino Linotype" w:hAnsi="Palatino Linotype" w:cs="Palatino Linotype"/>
          <w:b/>
          <w:color w:val="000000" w:themeColor="text1"/>
        </w:rPr>
        <w:t>de fecha</w:t>
      </w:r>
      <w:r w:rsidRPr="00773EBE">
        <w:rPr>
          <w:rFonts w:ascii="Palatino Linotype" w:eastAsia="Palatino Linotype" w:hAnsi="Palatino Linotype" w:cs="Palatino Linotype"/>
          <w:b/>
          <w:color w:val="000000" w:themeColor="text1"/>
        </w:rPr>
        <w:t xml:space="preserve"> veinticinco </w:t>
      </w:r>
      <w:r w:rsidR="006C0051">
        <w:rPr>
          <w:rFonts w:ascii="Palatino Linotype" w:eastAsia="Palatino Linotype" w:hAnsi="Palatino Linotype" w:cs="Palatino Linotype"/>
          <w:b/>
          <w:color w:val="000000" w:themeColor="text1"/>
        </w:rPr>
        <w:t xml:space="preserve">(25) </w:t>
      </w:r>
      <w:r w:rsidRPr="00773EBE">
        <w:rPr>
          <w:rFonts w:ascii="Palatino Linotype" w:eastAsia="Palatino Linotype" w:hAnsi="Palatino Linotype" w:cs="Palatino Linotype"/>
          <w:b/>
          <w:color w:val="000000" w:themeColor="text1"/>
        </w:rPr>
        <w:t xml:space="preserve">de noviembre de dos mil veinticinco. </w:t>
      </w:r>
    </w:p>
    <w:p w:rsidR="00AA21CF" w:rsidRPr="00773EBE" w:rsidRDefault="00AA21CF" w:rsidP="00773EB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bookmarkStart w:id="1" w:name="_heading=h.6wn8qh3qjxhg" w:colFirst="0" w:colLast="0"/>
      <w:bookmarkEnd w:id="1"/>
      <w:r w:rsidRPr="006C0051">
        <w:rPr>
          <w:rFonts w:ascii="Palatino Linotype" w:eastAsia="Palatino Linotype" w:hAnsi="Palatino Linotype" w:cs="Palatino Linotype"/>
          <w:b/>
          <w:color w:val="000000" w:themeColor="text1"/>
        </w:rPr>
        <w:t>VISTO</w:t>
      </w:r>
      <w:r w:rsidRPr="00773EBE">
        <w:rPr>
          <w:rFonts w:ascii="Palatino Linotype" w:eastAsia="Palatino Linotype" w:hAnsi="Palatino Linotype" w:cs="Palatino Linotype"/>
          <w:color w:val="000000" w:themeColor="text1"/>
        </w:rPr>
        <w:t xml:space="preserve"> el expediente electrónico formado con motivo del Recurso de Revisión 0</w:t>
      </w:r>
      <w:r w:rsidRPr="00773EBE">
        <w:rPr>
          <w:rFonts w:ascii="Palatino Linotype" w:eastAsia="Palatino Linotype" w:hAnsi="Palatino Linotype" w:cs="Palatino Linotype"/>
          <w:b/>
          <w:bCs/>
          <w:color w:val="000000" w:themeColor="text1"/>
        </w:rPr>
        <w:t>7728/INFOEM/IP/RR/2025</w:t>
      </w:r>
      <w:r w:rsidRPr="00773EBE">
        <w:rPr>
          <w:rFonts w:ascii="Palatino Linotype" w:eastAsia="Palatino Linotype" w:hAnsi="Palatino Linotype" w:cs="Palatino Linotype"/>
          <w:color w:val="000000" w:themeColor="text1"/>
        </w:rPr>
        <w:t>, promovido por</w:t>
      </w:r>
      <w:r w:rsidRPr="00773EBE">
        <w:rPr>
          <w:rFonts w:ascii="Palatino Linotype" w:eastAsia="Palatino Linotype" w:hAnsi="Palatino Linotype" w:cs="Palatino Linotype"/>
          <w:b/>
          <w:bCs/>
          <w:color w:val="000000" w:themeColor="text1"/>
        </w:rPr>
        <w:t xml:space="preserve"> </w:t>
      </w:r>
      <w:r w:rsidR="00200F28">
        <w:rPr>
          <w:rFonts w:ascii="Palatino Linotype" w:eastAsia="Palatino Linotype" w:hAnsi="Palatino Linotype" w:cs="Palatino Linotype"/>
          <w:b/>
          <w:bCs/>
          <w:color w:val="000000" w:themeColor="text1"/>
        </w:rPr>
        <w:t>XXXX</w:t>
      </w:r>
      <w:r w:rsidRPr="00773EBE">
        <w:rPr>
          <w:rFonts w:ascii="Palatino Linotype" w:eastAsia="Palatino Linotype" w:hAnsi="Palatino Linotype" w:cs="Palatino Linotype"/>
          <w:color w:val="000000" w:themeColor="text1"/>
        </w:rPr>
        <w:t xml:space="preserve">, a través del Sistema de Acceso a la Información Mexiquense (SAIMEX), a quien en lo sucesivo se le identificará como </w:t>
      </w:r>
      <w:r w:rsidRPr="00773EBE">
        <w:rPr>
          <w:rFonts w:ascii="Palatino Linotype" w:eastAsia="Palatino Linotype" w:hAnsi="Palatino Linotype" w:cs="Palatino Linotype"/>
          <w:b/>
          <w:bCs/>
          <w:color w:val="000000" w:themeColor="text1"/>
        </w:rPr>
        <w:t>EL RECURRENTE</w:t>
      </w:r>
      <w:r w:rsidRPr="00773EBE">
        <w:rPr>
          <w:rFonts w:ascii="Palatino Linotype" w:eastAsia="Palatino Linotype" w:hAnsi="Palatino Linotype" w:cs="Palatino Linotype"/>
          <w:color w:val="000000" w:themeColor="text1"/>
        </w:rPr>
        <w:t xml:space="preserve">, en contra de la respuesta del </w:t>
      </w:r>
      <w:r w:rsidRPr="00773EBE">
        <w:rPr>
          <w:rFonts w:ascii="Palatino Linotype" w:eastAsia="Palatino Linotype" w:hAnsi="Palatino Linotype" w:cs="Palatino Linotype"/>
          <w:b/>
          <w:bCs/>
          <w:color w:val="000000" w:themeColor="text1"/>
        </w:rPr>
        <w:t>Tecnológico de Estudios Superiores del Oriente del Estado de México</w:t>
      </w:r>
      <w:r w:rsidRPr="00773EBE">
        <w:rPr>
          <w:rFonts w:ascii="Palatino Linotype" w:eastAsia="Palatino Linotype" w:hAnsi="Palatino Linotype" w:cs="Palatino Linotype"/>
          <w:color w:val="000000" w:themeColor="text1"/>
        </w:rPr>
        <w:t xml:space="preserve">, en </w:t>
      </w:r>
      <w:r w:rsidR="006C0051">
        <w:rPr>
          <w:rFonts w:ascii="Palatino Linotype" w:eastAsia="Palatino Linotype" w:hAnsi="Palatino Linotype" w:cs="Palatino Linotype"/>
          <w:color w:val="000000" w:themeColor="text1"/>
        </w:rPr>
        <w:t>adelante</w:t>
      </w:r>
      <w:r w:rsidRPr="00773EBE">
        <w:rPr>
          <w:rFonts w:ascii="Palatino Linotype" w:eastAsia="Palatino Linotype" w:hAnsi="Palatino Linotype" w:cs="Palatino Linotype"/>
          <w:color w:val="000000" w:themeColor="text1"/>
        </w:rPr>
        <w:t xml:space="preserve"> </w:t>
      </w:r>
      <w:r w:rsidRPr="00773EBE">
        <w:rPr>
          <w:rFonts w:ascii="Palatino Linotype" w:eastAsia="Palatino Linotype" w:hAnsi="Palatino Linotype" w:cs="Palatino Linotype"/>
          <w:b/>
          <w:bCs/>
          <w:color w:val="000000" w:themeColor="text1"/>
        </w:rPr>
        <w:t>EL SUJETO OBLIGADO</w:t>
      </w:r>
      <w:r w:rsidRPr="00773EBE">
        <w:rPr>
          <w:rFonts w:ascii="Palatino Linotype" w:eastAsia="Palatino Linotype" w:hAnsi="Palatino Linotype" w:cs="Palatino Linotype"/>
          <w:color w:val="000000" w:themeColor="text1"/>
        </w:rPr>
        <w:t>, se procede a dictar la presente resolución, con base en los siguientes:</w:t>
      </w:r>
    </w:p>
    <w:p w:rsidR="00AA21CF" w:rsidRPr="00773EBE" w:rsidRDefault="00AA21CF" w:rsidP="00773EB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pBdr>
          <w:top w:val="nil"/>
          <w:left w:val="nil"/>
          <w:bottom w:val="nil"/>
          <w:right w:val="nil"/>
          <w:between w:val="nil"/>
        </w:pBdr>
        <w:spacing w:line="360" w:lineRule="auto"/>
        <w:jc w:val="center"/>
        <w:rPr>
          <w:rFonts w:ascii="Palatino Linotype" w:eastAsia="Palatino Linotype" w:hAnsi="Palatino Linotype" w:cs="Palatino Linotype"/>
          <w:b/>
          <w:bCs/>
          <w:color w:val="000000" w:themeColor="text1"/>
        </w:rPr>
      </w:pPr>
      <w:r w:rsidRPr="00773EBE">
        <w:rPr>
          <w:rFonts w:ascii="Palatino Linotype" w:eastAsia="Palatino Linotype" w:hAnsi="Palatino Linotype" w:cs="Palatino Linotype"/>
          <w:b/>
          <w:bCs/>
          <w:color w:val="000000" w:themeColor="text1"/>
        </w:rPr>
        <w:t>A N T E C E D E N T E S</w:t>
      </w:r>
    </w:p>
    <w:p w:rsidR="00AA21CF" w:rsidRPr="00773EBE" w:rsidRDefault="00AA21CF" w:rsidP="00773EBE">
      <w:pPr>
        <w:spacing w:line="360" w:lineRule="auto"/>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El </w:t>
      </w:r>
      <w:r w:rsidRPr="00773EBE">
        <w:rPr>
          <w:rFonts w:ascii="Palatino Linotype" w:eastAsia="Palatino Linotype" w:hAnsi="Palatino Linotype" w:cs="Palatino Linotype"/>
          <w:b/>
          <w:bCs/>
          <w:color w:val="000000" w:themeColor="text1"/>
        </w:rPr>
        <w:t xml:space="preserve">diez de junio de dos mil veinticinco, </w:t>
      </w:r>
      <w:r w:rsidRPr="00773EBE">
        <w:rPr>
          <w:rFonts w:ascii="Palatino Linotype" w:eastAsia="Palatino Linotype" w:hAnsi="Palatino Linotype" w:cs="Palatino Linotype"/>
          <w:color w:val="000000" w:themeColor="text1"/>
        </w:rPr>
        <w:t xml:space="preserve">se presentó ante el </w:t>
      </w:r>
      <w:r w:rsidRPr="00773EBE">
        <w:rPr>
          <w:rFonts w:ascii="Palatino Linotype" w:eastAsia="Palatino Linotype" w:hAnsi="Palatino Linotype" w:cs="Palatino Linotype"/>
          <w:b/>
          <w:bCs/>
          <w:color w:val="000000" w:themeColor="text1"/>
        </w:rPr>
        <w:t>SUJETO OBLIGADO</w:t>
      </w:r>
      <w:r w:rsidRPr="00773EBE">
        <w:rPr>
          <w:rFonts w:ascii="Palatino Linotype" w:eastAsia="Palatino Linotype" w:hAnsi="Palatino Linotype" w:cs="Palatino Linotype"/>
          <w:color w:val="000000" w:themeColor="text1"/>
        </w:rPr>
        <w:t xml:space="preserve"> vía </w:t>
      </w:r>
      <w:r w:rsidRPr="00773EBE">
        <w:rPr>
          <w:rFonts w:ascii="Palatino Linotype" w:eastAsia="Palatino Linotype" w:hAnsi="Palatino Linotype" w:cs="Palatino Linotype"/>
          <w:b/>
          <w:bCs/>
          <w:color w:val="000000" w:themeColor="text1"/>
        </w:rPr>
        <w:t>SAIMEX</w:t>
      </w:r>
      <w:r w:rsidRPr="00773EBE">
        <w:rPr>
          <w:rFonts w:ascii="Palatino Linotype" w:eastAsia="Palatino Linotype" w:hAnsi="Palatino Linotype" w:cs="Palatino Linotype"/>
          <w:color w:val="000000" w:themeColor="text1"/>
        </w:rPr>
        <w:t>, la solicitud de información pública registrada con el número</w:t>
      </w:r>
      <w:r w:rsidRPr="00773EBE">
        <w:rPr>
          <w:rFonts w:ascii="Palatino Linotype" w:eastAsia="Palatino Linotype" w:hAnsi="Palatino Linotype" w:cs="Palatino Linotype"/>
          <w:b/>
          <w:bCs/>
          <w:color w:val="000000" w:themeColor="text1"/>
        </w:rPr>
        <w:t xml:space="preserve"> 00009/TESOEM/IP/2025, </w:t>
      </w:r>
      <w:r w:rsidR="006C0051">
        <w:rPr>
          <w:rFonts w:ascii="Palatino Linotype" w:eastAsia="Palatino Linotype" w:hAnsi="Palatino Linotype" w:cs="Palatino Linotype"/>
          <w:color w:val="000000" w:themeColor="text1"/>
        </w:rPr>
        <w:t>en la que</w:t>
      </w:r>
      <w:r w:rsidRPr="00773EBE">
        <w:rPr>
          <w:rFonts w:ascii="Palatino Linotype" w:eastAsia="Palatino Linotype" w:hAnsi="Palatino Linotype" w:cs="Palatino Linotype"/>
          <w:color w:val="000000" w:themeColor="text1"/>
        </w:rPr>
        <w:t xml:space="preserve"> se solicitó la siguiente información:</w:t>
      </w:r>
    </w:p>
    <w:p w:rsidR="00AA21CF" w:rsidRPr="00773EBE" w:rsidRDefault="00AA21CF" w:rsidP="00773EBE">
      <w:pPr>
        <w:pBdr>
          <w:top w:val="nil"/>
          <w:left w:val="nil"/>
          <w:bottom w:val="nil"/>
          <w:right w:val="nil"/>
          <w:between w:val="nil"/>
        </w:pBdr>
        <w:jc w:val="both"/>
        <w:rPr>
          <w:rFonts w:ascii="Palatino Linotype" w:eastAsia="Palatino Linotype" w:hAnsi="Palatino Linotype" w:cs="Palatino Linotype"/>
          <w:strike/>
          <w:color w:val="000000" w:themeColor="text1"/>
        </w:rPr>
      </w:pPr>
    </w:p>
    <w:p w:rsidR="00AA21CF" w:rsidRPr="00773EBE" w:rsidRDefault="00B333A6" w:rsidP="00773EBE">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“SE SOLICITA RESPETUOSAMENTE CON FUNDAMENTO EN LO DISPUESTO EN LOS ARTÍCULOS 1°, 6° (SEXTO), PÁRRAFOS I, III, V, 8° (OCTAVO) DE LA CONSTITUCIÓN POLÍTICA DE LOS ESTADOS UNIDOS MEXICANOS, 1, 4, Y 6 DE LA LEY GENERAL DE TRANSPARENCIA Y ACCESO A LA INFORMACIÓN PÚBLICA, 1, 3, FRACCIÓN XLI, CAPÍTULO III, 23, FRACCIÓN IV DE LA LEY DE TRANSPARENCIA Y ACCESO A LA INFORMACIÓN PÚBLICA DEL ESTADO DE MÉXICO Y MUNICIPIOS, 05 (CINCO), PÁRRAFOS XIII, XIV, XVIII, XIX, INCISOS I, Y III DE LA CONSTITUCIÓN POLÍTICA DEL ESTADO LIBRE Y SOBERANO DE MÉXICO, 135 DEL CÓDIGO DE PROCEDIMIENTOS ADMINISTRATIVOS DEL ESTADO DE MÉXICO, Y B</w:t>
      </w:r>
      <w:r w:rsidRPr="00773EBE">
        <w:rPr>
          <w:rFonts w:ascii="Palatino Linotype" w:eastAsia="Palatino Linotype" w:hAnsi="Palatino Linotype" w:cs="Palatino Linotype"/>
          <w:i/>
          <w:iCs/>
          <w:color w:val="000000" w:themeColor="text1"/>
          <w:u w:val="single"/>
        </w:rPr>
        <w:t xml:space="preserve">ASADOS EN LAS SOLICITUD DE </w:t>
      </w:r>
      <w:r w:rsidRPr="00773EBE">
        <w:rPr>
          <w:rFonts w:ascii="Palatino Linotype" w:eastAsia="Palatino Linotype" w:hAnsi="Palatino Linotype" w:cs="Palatino Linotype"/>
          <w:i/>
          <w:iCs/>
          <w:color w:val="000000" w:themeColor="text1"/>
          <w:u w:val="single"/>
        </w:rPr>
        <w:lastRenderedPageBreak/>
        <w:t>INFORMACIÓN IDENTIFICADO CON EL FOLIO 00008/TESOEM/IP/2025, PROMOVIDAS POR UN PARTICULAR EL VEINTIUNO DE ABRIL DEL PRESENTE AÑO</w:t>
      </w:r>
      <w:r w:rsidRPr="00773EBE">
        <w:rPr>
          <w:rFonts w:ascii="Palatino Linotype" w:eastAsia="Palatino Linotype" w:hAnsi="Palatino Linotype" w:cs="Palatino Linotype"/>
          <w:i/>
          <w:iCs/>
          <w:color w:val="000000" w:themeColor="text1"/>
        </w:rPr>
        <w:t xml:space="preserve">, SE PIDE LO SIGUIENTE: SOLICITO RESPETUOSAMENTE AL SUJETO OBLIGADO TODA LA INFORMACIÓN QUE CUENTE DISPONIBLE, DESGLOSADA, CLARA, DETALLADA Y EN VERSIÓN PUBLICA, EN TORNO A LOS </w:t>
      </w:r>
      <w:r w:rsidRPr="00773EBE">
        <w:rPr>
          <w:rFonts w:ascii="Palatino Linotype" w:eastAsia="Palatino Linotype" w:hAnsi="Palatino Linotype" w:cs="Palatino Linotype"/>
          <w:i/>
          <w:iCs/>
          <w:color w:val="000000" w:themeColor="text1"/>
          <w:u w:val="single"/>
        </w:rPr>
        <w:t>Contratos de Cafeterias, Centros de Alimentos, Centros de copiado o Papelerias del 1 de enero al 31 de diciembre de 2024; y del 1 de enero a la presente fecha de la solicitud, De que plantel son y cuanta Comunidad Estudiantil atienden</w:t>
      </w:r>
      <w:r w:rsidRPr="00773EBE">
        <w:rPr>
          <w:rFonts w:ascii="Palatino Linotype" w:eastAsia="Palatino Linotype" w:hAnsi="Palatino Linotype" w:cs="Palatino Linotype"/>
          <w:i/>
          <w:iCs/>
          <w:color w:val="000000" w:themeColor="text1"/>
        </w:rPr>
        <w:t>..”. (Sic.)</w:t>
      </w:r>
    </w:p>
    <w:p w:rsidR="00AA21CF" w:rsidRPr="00773EBE" w:rsidRDefault="00AA21CF" w:rsidP="00773EBE">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AA21CF" w:rsidRPr="00773EBE" w:rsidRDefault="00B333A6" w:rsidP="006C0051">
      <w:pPr>
        <w:numPr>
          <w:ilvl w:val="0"/>
          <w:numId w:val="1"/>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color w:val="000000" w:themeColor="text1"/>
        </w:rPr>
        <w:t>Modalidad de entrega</w:t>
      </w:r>
      <w:r w:rsidRPr="00773EBE">
        <w:rPr>
          <w:rFonts w:ascii="Palatino Linotype" w:eastAsia="Palatino Linotype" w:hAnsi="Palatino Linotype" w:cs="Palatino Linotype"/>
          <w:color w:val="000000" w:themeColor="text1"/>
        </w:rPr>
        <w:t>: Vía SAIMEX.</w:t>
      </w:r>
    </w:p>
    <w:p w:rsidR="00AA21CF" w:rsidRDefault="00AA21CF" w:rsidP="00773EBE">
      <w:pPr>
        <w:pBdr>
          <w:top w:val="nil"/>
          <w:left w:val="nil"/>
          <w:bottom w:val="nil"/>
          <w:right w:val="nil"/>
          <w:between w:val="nil"/>
        </w:pBdr>
        <w:jc w:val="both"/>
        <w:rPr>
          <w:rFonts w:ascii="Palatino Linotype" w:eastAsia="Palatino Linotype" w:hAnsi="Palatino Linotype" w:cs="Palatino Linotype"/>
          <w:color w:val="000000" w:themeColor="text1"/>
        </w:rPr>
      </w:pPr>
    </w:p>
    <w:p w:rsidR="006C0051" w:rsidRPr="00773EBE" w:rsidRDefault="006C0051" w:rsidP="00773EBE">
      <w:pPr>
        <w:pBdr>
          <w:top w:val="nil"/>
          <w:left w:val="nil"/>
          <w:bottom w:val="nil"/>
          <w:right w:val="nil"/>
          <w:between w:val="nil"/>
        </w:pBdr>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El </w:t>
      </w:r>
      <w:r w:rsidRPr="00773EBE">
        <w:rPr>
          <w:rFonts w:ascii="Palatino Linotype" w:eastAsia="Palatino Linotype" w:hAnsi="Palatino Linotype" w:cs="Palatino Linotype"/>
          <w:b/>
          <w:bCs/>
          <w:color w:val="000000" w:themeColor="text1"/>
        </w:rPr>
        <w:t xml:space="preserve">dieciocho de junio de dos mil veinticinco, </w:t>
      </w:r>
      <w:r w:rsidRPr="00773EBE">
        <w:rPr>
          <w:rFonts w:ascii="Palatino Linotype" w:eastAsia="Palatino Linotype" w:hAnsi="Palatino Linotype" w:cs="Palatino Linotype"/>
          <w:color w:val="000000" w:themeColor="text1"/>
        </w:rPr>
        <w:t xml:space="preserve">el </w:t>
      </w:r>
      <w:r w:rsidRPr="00773EBE">
        <w:rPr>
          <w:rFonts w:ascii="Palatino Linotype" w:eastAsia="Palatino Linotype" w:hAnsi="Palatino Linotype" w:cs="Palatino Linotype"/>
          <w:b/>
          <w:bCs/>
          <w:color w:val="000000" w:themeColor="text1"/>
        </w:rPr>
        <w:t xml:space="preserve">SUJETO OBLIGADO </w:t>
      </w:r>
      <w:r w:rsidRPr="00773EBE">
        <w:rPr>
          <w:rFonts w:ascii="Palatino Linotype" w:eastAsia="Palatino Linotype" w:hAnsi="Palatino Linotype" w:cs="Palatino Linotype"/>
          <w:color w:val="000000" w:themeColor="text1"/>
        </w:rPr>
        <w:t xml:space="preserve">dio respuesta, en los siguientes términos: </w:t>
      </w:r>
    </w:p>
    <w:p w:rsidR="00AA21CF" w:rsidRPr="00773EBE" w:rsidRDefault="00B333A6" w:rsidP="00773EBE">
      <w:pPr>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A21CF" w:rsidRPr="00773EBE" w:rsidRDefault="00AA21CF" w:rsidP="00773EBE">
      <w:pPr>
        <w:jc w:val="both"/>
        <w:rPr>
          <w:rFonts w:ascii="Palatino Linotype" w:eastAsia="Palatino Linotype" w:hAnsi="Palatino Linotype" w:cs="Palatino Linotype"/>
          <w:i/>
          <w:iCs/>
          <w:color w:val="000000" w:themeColor="text1"/>
        </w:rPr>
      </w:pPr>
    </w:p>
    <w:p w:rsidR="00AA21CF" w:rsidRPr="00773EBE" w:rsidRDefault="00B333A6" w:rsidP="00773EBE">
      <w:pPr>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Una vez analizada su petición, esta se traduce a información con ciertas características y en cierto formato, situación que impide darle contestación en los términos solicitados por ser información ad hoc, tal y como lo señala el siguiente criterio orientador: “No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Sin embargo, usted puede visualizar toda la información de esta institución en los términos que indican los lineamiento emitidos para tal efecto, en el siguiente enlace: https://ipomex.org.mx/ipomex/#/obligaciones/41.” (Sic)</w:t>
      </w:r>
    </w:p>
    <w:p w:rsidR="00AA21CF" w:rsidRPr="00773EBE" w:rsidRDefault="00AA21CF" w:rsidP="00773EBE">
      <w:pPr>
        <w:pBdr>
          <w:top w:val="nil"/>
          <w:left w:val="nil"/>
          <w:bottom w:val="nil"/>
          <w:right w:val="nil"/>
          <w:between w:val="nil"/>
        </w:pBdr>
        <w:jc w:val="both"/>
        <w:rPr>
          <w:rFonts w:ascii="Palatino Linotype" w:eastAsia="Palatino Linotype" w:hAnsi="Palatino Linotype" w:cs="Palatino Linotype"/>
          <w:color w:val="000000" w:themeColor="text1"/>
        </w:rPr>
      </w:pPr>
    </w:p>
    <w:p w:rsidR="00AA21CF"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lastRenderedPageBreak/>
        <w:t xml:space="preserve">El </w:t>
      </w:r>
      <w:r w:rsidRPr="00773EBE">
        <w:rPr>
          <w:rFonts w:ascii="Palatino Linotype" w:eastAsia="Palatino Linotype" w:hAnsi="Palatino Linotype" w:cs="Palatino Linotype"/>
          <w:b/>
          <w:bCs/>
          <w:color w:val="000000" w:themeColor="text1"/>
        </w:rPr>
        <w:t>veinticinco de junio de dos mil veinticinco</w:t>
      </w:r>
      <w:r w:rsidRPr="00773EBE">
        <w:rPr>
          <w:rFonts w:ascii="Palatino Linotype" w:eastAsia="Palatino Linotype" w:hAnsi="Palatino Linotype" w:cs="Palatino Linotype"/>
          <w:color w:val="000000" w:themeColor="text1"/>
        </w:rPr>
        <w:t xml:space="preserve">, el solicitante interpuso </w:t>
      </w:r>
      <w:r w:rsidRPr="00773EBE">
        <w:rPr>
          <w:rFonts w:ascii="Palatino Linotype" w:eastAsia="Palatino Linotype" w:hAnsi="Palatino Linotype" w:cs="Palatino Linotype"/>
          <w:b/>
          <w:bCs/>
          <w:color w:val="000000" w:themeColor="text1"/>
        </w:rPr>
        <w:t xml:space="preserve">RECURSO DE REVISIÓN 7728/INFOEM/IP/RR/2025, </w:t>
      </w:r>
      <w:r w:rsidRPr="00773EBE">
        <w:rPr>
          <w:rFonts w:ascii="Palatino Linotype" w:eastAsia="Palatino Linotype" w:hAnsi="Palatino Linotype" w:cs="Palatino Linotype"/>
          <w:color w:val="000000" w:themeColor="text1"/>
        </w:rPr>
        <w:t xml:space="preserve">en contra de la respuesta emitida por el </w:t>
      </w:r>
      <w:r w:rsidRPr="00773EBE">
        <w:rPr>
          <w:rFonts w:ascii="Palatino Linotype" w:eastAsia="Palatino Linotype" w:hAnsi="Palatino Linotype" w:cs="Palatino Linotype"/>
          <w:b/>
          <w:bCs/>
          <w:color w:val="000000" w:themeColor="text1"/>
        </w:rPr>
        <w:t>SUJETO OBLIGADO</w:t>
      </w:r>
      <w:r w:rsidRPr="00773EBE">
        <w:rPr>
          <w:rFonts w:ascii="Palatino Linotype" w:eastAsia="Palatino Linotype" w:hAnsi="Palatino Linotype" w:cs="Palatino Linotype"/>
          <w:color w:val="000000" w:themeColor="text1"/>
        </w:rPr>
        <w:t>, señalando las siguientes razones o motivos de inconformidad:</w:t>
      </w:r>
    </w:p>
    <w:p w:rsidR="006C0051" w:rsidRPr="00773EBE" w:rsidRDefault="006C0051" w:rsidP="006C005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A21CF" w:rsidRPr="006C0051" w:rsidRDefault="006C0051" w:rsidP="006C0051">
      <w:pPr>
        <w:pStyle w:val="Prrafodelista"/>
        <w:numPr>
          <w:ilvl w:val="0"/>
          <w:numId w:val="9"/>
        </w:numPr>
        <w:pBdr>
          <w:top w:val="nil"/>
          <w:left w:val="nil"/>
          <w:bottom w:val="nil"/>
          <w:right w:val="nil"/>
          <w:between w:val="nil"/>
        </w:pBdr>
        <w:jc w:val="both"/>
        <w:rPr>
          <w:rFonts w:ascii="Palatino Linotype" w:eastAsia="Palatino Linotype" w:hAnsi="Palatino Linotype" w:cs="Palatino Linotype"/>
          <w:b/>
          <w:bCs/>
          <w:color w:val="000000" w:themeColor="text1"/>
          <w:sz w:val="24"/>
        </w:rPr>
      </w:pPr>
      <w:r w:rsidRPr="006C0051">
        <w:rPr>
          <w:rFonts w:ascii="Palatino Linotype" w:eastAsia="Palatino Linotype" w:hAnsi="Palatino Linotype" w:cs="Palatino Linotype"/>
          <w:b/>
          <w:bCs/>
          <w:color w:val="000000" w:themeColor="text1"/>
          <w:sz w:val="24"/>
        </w:rPr>
        <w:t>ACTO IMPUGNADO</w:t>
      </w:r>
    </w:p>
    <w:p w:rsidR="00AA21CF" w:rsidRPr="00773EBE" w:rsidRDefault="00B333A6" w:rsidP="00773EBE">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“Negativa en dar respuesta a la solicitud” (Sic.)</w:t>
      </w:r>
    </w:p>
    <w:p w:rsidR="00AA21CF" w:rsidRPr="00773EBE" w:rsidRDefault="00AA21CF" w:rsidP="00773EBE">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AA21CF" w:rsidRPr="006C0051" w:rsidRDefault="006C0051" w:rsidP="006C0051">
      <w:pPr>
        <w:pStyle w:val="Prrafodelista"/>
        <w:numPr>
          <w:ilvl w:val="0"/>
          <w:numId w:val="9"/>
        </w:numPr>
        <w:pBdr>
          <w:top w:val="nil"/>
          <w:left w:val="nil"/>
          <w:bottom w:val="nil"/>
          <w:right w:val="nil"/>
          <w:between w:val="nil"/>
        </w:pBdr>
        <w:jc w:val="both"/>
        <w:rPr>
          <w:rFonts w:ascii="Palatino Linotype" w:eastAsia="Palatino Linotype" w:hAnsi="Palatino Linotype" w:cs="Palatino Linotype"/>
          <w:b/>
          <w:bCs/>
          <w:color w:val="000000" w:themeColor="text1"/>
          <w:sz w:val="24"/>
        </w:rPr>
      </w:pPr>
      <w:r w:rsidRPr="006C0051">
        <w:rPr>
          <w:rFonts w:ascii="Palatino Linotype" w:eastAsia="Palatino Linotype" w:hAnsi="Palatino Linotype" w:cs="Palatino Linotype"/>
          <w:b/>
          <w:bCs/>
          <w:color w:val="000000" w:themeColor="text1"/>
          <w:sz w:val="24"/>
        </w:rPr>
        <w:t>RAZONES O MOTIVOS DE LA INCONFORMIDAD</w:t>
      </w:r>
    </w:p>
    <w:p w:rsidR="00AA21CF" w:rsidRPr="00773EBE" w:rsidRDefault="00B333A6" w:rsidP="00773EBE">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“SIENDO LAS SEIS HORAS CON TREINTA Y NUEVE MINUTOS DEL LUNES VEINTINUEVE DE NOVIEMBRE DE 2021, PROMUEVO EN TIEMPO Y FORMA EL PRESENTE RECURSO DE REVISIÓN EN VIRTUD DE LAS SIGUIENTES CONSIDERACIONES EL MARTES TRES DE NOVIEMBRE DEL PRESENTE AÑO, PROMOVÍ MEDIANTE PLATAFORMA SAIMEX LO SIGUIENTE QUE REPRODUCIRÉ DE FORMA INTEGRA: “SE SOLICITA RESPETUOSAMENTE CON FUNDAMENTO EN LO DISPUESTO EN LOS ARTÍCULOS 1°, 6° (SEXTO), PÁRRAFOS I, III, V, 8° (OCTAVO) DE LA CONSTITUCIÓN POLÍTICA DE LOS ESTADOS UNIDOS MEXICANOS, 1, 4, Y 6 DE LA LEY GENERAL DE TRANSPARENCIA Y ACCESO A LA INFORMACIÓN PÚBLICA, 1, 3, FRACCIÓN XLI, CAPÍTULO III, 23, FRACCIÓN IV DE LA LEY DE TRANSPARENCIA Y ACCESO A LA INFORMACIÓN PÚBLICA DEL ESTADO DE MÉXICO Y MUNICIPIOS, 05 (CINCO), PÁRRAFOS XIII, XIV, XVIII, XIX, INCISOS I, Y III DE LA CONSTITUCIÓN POLÍTICA DEL ESTADO LIBRE Y SOBERANO DE MÉXICO, 135 DEL CÓDIGO DE PROCEDIMIENTOS ADMINISTRATIVOS DEL ESTADO DE MÉXICO, Y BASADOS EN LAS SOLICITUD DE INFORMACIÓN IDENTIFICADO CON EL FOLIO 00008/TESOEM/IP/2025, PROMOVIDAS POR UN PARTICULAR EL VEINTIUNO DE ABRIL DEL PRESENTE AÑO, SE PIDE LO SIGUIENTE: </w:t>
      </w:r>
      <w:r w:rsidRPr="00773EBE">
        <w:rPr>
          <w:rFonts w:ascii="Palatino Linotype" w:eastAsia="Palatino Linotype" w:hAnsi="Palatino Linotype" w:cs="Palatino Linotype"/>
          <w:b/>
          <w:bCs/>
          <w:i/>
          <w:iCs/>
          <w:color w:val="000000" w:themeColor="text1"/>
        </w:rPr>
        <w:t>SOLICITO RESPETUOSAMENTE AL SUJETO OBLIGADO TODA LA INFORMACIÓN QUE CUENTE DISPONIBLE, DESGLOSADA, CLARA, DETALLADA Y EN VERSIÓN PUBLICA, EN TORNO A LOS Contratos de Cafeterias, Centros de Alimentos, Centros de copiado o Papelerias del 1 de enero al 31 de diciembre de 2024; y del 1 de enero a la presente fecha de la solicitud, De que plantel son y cuanta Comunidad Estudiantil atienden..”</w:t>
      </w:r>
      <w:r w:rsidRPr="00773EBE">
        <w:rPr>
          <w:rFonts w:ascii="Palatino Linotype" w:eastAsia="Palatino Linotype" w:hAnsi="Palatino Linotype" w:cs="Palatino Linotype"/>
          <w:i/>
          <w:iCs/>
          <w:color w:val="000000" w:themeColor="text1"/>
        </w:rPr>
        <w:t xml:space="preserve"> EL DIA DE HOY, AL REVISAR EL ESTADO QUE GUARDA EN LA MISMA, ME PERCATO DEL QUE EL SUJETO OBLIGADO DIO LA SIGUIENTE RESPUESTA: " Metepec, México a 18 de Junio de 2025 Nombre del solicitante: C. Solicitante Folio de la solicitud: 00009/TESOEM/IP/2025 En respuesta a la solicitud </w:t>
      </w:r>
      <w:r w:rsidRPr="00773EBE">
        <w:rPr>
          <w:rFonts w:ascii="Palatino Linotype" w:eastAsia="Palatino Linotype" w:hAnsi="Palatino Linotype" w:cs="Palatino Linotype"/>
          <w:i/>
          <w:iCs/>
          <w:color w:val="000000" w:themeColor="text1"/>
        </w:rPr>
        <w:lastRenderedPageBreak/>
        <w:t>recibida, nos permitimos hacer de su conocimiento que con fundamento en el artículo 53, Fracciones: II, V y VI de la Ley de Transparencia y Acceso a la Información Pública del Estado de México y Municipios, le contestamos que: Una vez analizada su petición, esta se traduce a información con ciertas características y en cierto formato, situación que impide darle contestación en los términos solicitados por ser información ad hoc , tal y como lo señala el siguiente criterio orientador: “No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Sin embargo, usted puede visualizar toda la información de esta institución en los términos que indican los lineamiento emitidos para tal efecto, en el siguiente enlace: https://ipomex.org.mx/ipomex/#/obligaciones/41" POR LO QUE SE CONSTITUYE EN UNA POSIBLE NEGATIVA EN DAR RESPUESTA A LO PLANTEADO EN LA SOLICITUD DE INFORMACIÓN POR LO QUE SE PROMUEVE EL PRESENTE RECURSO DE REVISIÓN” (Sic.)</w:t>
      </w:r>
    </w:p>
    <w:p w:rsidR="00AA21CF" w:rsidRPr="00773EBE" w:rsidRDefault="00AA21CF" w:rsidP="00773EBE">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Consecutivamente</w:t>
      </w:r>
      <w:r w:rsidRPr="00773EBE">
        <w:rPr>
          <w:rFonts w:ascii="Palatino Linotype" w:eastAsia="Palatino Linotype" w:hAnsi="Palatino Linotype" w:cs="Palatino Linotype"/>
          <w:i/>
          <w:iCs/>
          <w:color w:val="000000" w:themeColor="text1"/>
        </w:rPr>
        <w:t xml:space="preserve">, </w:t>
      </w:r>
      <w:r w:rsidRPr="00773EBE">
        <w:rPr>
          <w:rFonts w:ascii="Palatino Linotype" w:eastAsia="Palatino Linotype" w:hAnsi="Palatino Linotype" w:cs="Palatino Linotype"/>
          <w:color w:val="000000" w:themeColor="text1"/>
        </w:rPr>
        <w:t>con fundamento en lo dispuesto por el artículo 185 fracción I de la Ley de Transparencia y Acceso a la Información Pública del Estado de México y Municipios, el recurso de referencia, fue turnado</w:t>
      </w:r>
      <w:r w:rsidRPr="00773EBE">
        <w:rPr>
          <w:rFonts w:ascii="Palatino Linotype" w:eastAsia="Palatino Linotype" w:hAnsi="Palatino Linotype" w:cs="Palatino Linotype"/>
          <w:b/>
          <w:bCs/>
          <w:color w:val="000000" w:themeColor="text1"/>
        </w:rPr>
        <w:t xml:space="preserve"> </w:t>
      </w:r>
      <w:r w:rsidRPr="00773EBE">
        <w:rPr>
          <w:rFonts w:ascii="Palatino Linotype" w:eastAsia="Palatino Linotype" w:hAnsi="Palatino Linotype" w:cs="Palatino Linotype"/>
          <w:color w:val="000000" w:themeColor="text1"/>
        </w:rPr>
        <w:t xml:space="preserve">a la Comisionada </w:t>
      </w:r>
      <w:r w:rsidRPr="00773EBE">
        <w:rPr>
          <w:rFonts w:ascii="Palatino Linotype" w:eastAsia="Palatino Linotype" w:hAnsi="Palatino Linotype" w:cs="Palatino Linotype"/>
          <w:b/>
          <w:bCs/>
          <w:color w:val="000000" w:themeColor="text1"/>
        </w:rPr>
        <w:t>María del Rosario Mejía Ayala,</w:t>
      </w:r>
      <w:r w:rsidRPr="00773EBE">
        <w:rPr>
          <w:rFonts w:ascii="Palatino Linotype" w:eastAsia="Palatino Linotype" w:hAnsi="Palatino Linotype" w:cs="Palatino Linotype"/>
          <w:color w:val="000000" w:themeColor="text1"/>
        </w:rPr>
        <w:t xml:space="preserve"> </w:t>
      </w:r>
      <w:r w:rsidR="006C0051">
        <w:rPr>
          <w:rFonts w:ascii="Palatino Linotype" w:eastAsia="Palatino Linotype" w:hAnsi="Palatino Linotype" w:cs="Palatino Linotype"/>
          <w:color w:val="000000" w:themeColor="text1"/>
        </w:rPr>
        <w:t>para</w:t>
      </w:r>
      <w:r w:rsidRPr="00773EBE">
        <w:rPr>
          <w:rFonts w:ascii="Palatino Linotype" w:eastAsia="Palatino Linotype" w:hAnsi="Palatino Linotype" w:cs="Palatino Linotype"/>
          <w:color w:val="000000" w:themeColor="text1"/>
        </w:rPr>
        <w:t xml:space="preserve"> su análisis.</w:t>
      </w:r>
    </w:p>
    <w:p w:rsidR="00AA21CF" w:rsidRPr="00773EBE" w:rsidRDefault="00AA21CF" w:rsidP="00773EB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A21CF" w:rsidRPr="00773EBE" w:rsidRDefault="006C0051"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La Comisionada p</w:t>
      </w:r>
      <w:r w:rsidR="00B333A6" w:rsidRPr="00773EBE">
        <w:rPr>
          <w:rFonts w:ascii="Palatino Linotype" w:eastAsia="Palatino Linotype" w:hAnsi="Palatino Linotype" w:cs="Palatino Linotype"/>
          <w:color w:val="000000" w:themeColor="text1"/>
        </w:rPr>
        <w:t xml:space="preserve">onente con fundamento en lo dispuesto por el artículo 185 fracción II de la ley de la materia, a través del </w:t>
      </w:r>
      <w:r w:rsidR="00B333A6" w:rsidRPr="00773EBE">
        <w:rPr>
          <w:rFonts w:ascii="Palatino Linotype" w:eastAsia="Palatino Linotype" w:hAnsi="Palatino Linotype" w:cs="Palatino Linotype"/>
          <w:b/>
          <w:bCs/>
          <w:color w:val="000000" w:themeColor="text1"/>
        </w:rPr>
        <w:t xml:space="preserve">acuerdo de admisión </w:t>
      </w:r>
      <w:r w:rsidR="00B333A6" w:rsidRPr="00773EBE">
        <w:rPr>
          <w:rFonts w:ascii="Palatino Linotype" w:eastAsia="Palatino Linotype" w:hAnsi="Palatino Linotype" w:cs="Palatino Linotype"/>
          <w:color w:val="000000" w:themeColor="text1"/>
        </w:rPr>
        <w:t xml:space="preserve">de fecha </w:t>
      </w:r>
      <w:r w:rsidR="00B333A6" w:rsidRPr="00773EBE">
        <w:rPr>
          <w:rFonts w:ascii="Palatino Linotype" w:eastAsia="Palatino Linotype" w:hAnsi="Palatino Linotype" w:cs="Palatino Linotype"/>
          <w:b/>
          <w:bCs/>
          <w:color w:val="000000" w:themeColor="text1"/>
        </w:rPr>
        <w:t>veintiséis de junio de dos mil veinticinco</w:t>
      </w:r>
      <w:r w:rsidR="00B333A6" w:rsidRPr="00773EBE">
        <w:rPr>
          <w:rFonts w:ascii="Palatino Linotype" w:eastAsia="Palatino Linotype" w:hAnsi="Palatino Linotype" w:cs="Palatino Linotype"/>
          <w:color w:val="000000" w:themeColor="text1"/>
        </w:rPr>
        <w:t xml:space="preserve">, puso a disposición de las partes el expediente electrónico vía SAIMEX a efecto de que en un plazo máximo de siete días manifestaran lo que a su derecho </w:t>
      </w:r>
      <w:r w:rsidR="00B333A6" w:rsidRPr="00773EBE">
        <w:rPr>
          <w:rFonts w:ascii="Palatino Linotype" w:eastAsia="Palatino Linotype" w:hAnsi="Palatino Linotype" w:cs="Palatino Linotype"/>
          <w:color w:val="000000" w:themeColor="text1"/>
        </w:rPr>
        <w:lastRenderedPageBreak/>
        <w:t xml:space="preserve">conviniera, ofrecieran pruebas y alegatos según corresponda al caso concreto, de esta forma para que el </w:t>
      </w:r>
      <w:r w:rsidR="00B333A6" w:rsidRPr="00773EBE">
        <w:rPr>
          <w:rFonts w:ascii="Palatino Linotype" w:eastAsia="Palatino Linotype" w:hAnsi="Palatino Linotype" w:cs="Palatino Linotype"/>
          <w:b/>
          <w:bCs/>
          <w:color w:val="000000" w:themeColor="text1"/>
        </w:rPr>
        <w:t xml:space="preserve">SUJETO OBLIGADO </w:t>
      </w:r>
      <w:r w:rsidR="00B333A6" w:rsidRPr="00773EBE">
        <w:rPr>
          <w:rFonts w:ascii="Palatino Linotype" w:eastAsia="Palatino Linotype" w:hAnsi="Palatino Linotype" w:cs="Palatino Linotype"/>
          <w:color w:val="000000" w:themeColor="text1"/>
        </w:rPr>
        <w:t>presentara el Informe Justificado procedente.</w:t>
      </w:r>
    </w:p>
    <w:p w:rsidR="00AA21CF" w:rsidRPr="00773EBE" w:rsidRDefault="00AA21CF" w:rsidP="00773EBE">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bookmarkStart w:id="2" w:name="_heading=h.3znysh7" w:colFirst="0" w:colLast="0"/>
      <w:bookmarkEnd w:id="2"/>
      <w:r w:rsidRPr="00773EBE">
        <w:rPr>
          <w:rFonts w:ascii="Palatino Linotype" w:eastAsia="Palatino Linotype" w:hAnsi="Palatino Linotype" w:cs="Palatino Linotype"/>
          <w:color w:val="000000" w:themeColor="text1"/>
        </w:rPr>
        <w:t xml:space="preserve">El </w:t>
      </w:r>
      <w:r w:rsidRPr="00773EBE">
        <w:rPr>
          <w:rFonts w:ascii="Palatino Linotype" w:eastAsia="Palatino Linotype" w:hAnsi="Palatino Linotype" w:cs="Palatino Linotype"/>
          <w:b/>
          <w:bCs/>
          <w:color w:val="000000" w:themeColor="text1"/>
        </w:rPr>
        <w:t xml:space="preserve">veinticinco de agosto de dos mil veinticinco, </w:t>
      </w:r>
      <w:r w:rsidRPr="00773EBE">
        <w:rPr>
          <w:rFonts w:ascii="Palatino Linotype" w:eastAsia="Palatino Linotype" w:hAnsi="Palatino Linotype" w:cs="Palatino Linotype"/>
          <w:color w:val="000000" w:themeColor="text1"/>
        </w:rPr>
        <w:t xml:space="preserve">el </w:t>
      </w:r>
      <w:r w:rsidRPr="00773EBE">
        <w:rPr>
          <w:rFonts w:ascii="Palatino Linotype" w:eastAsia="Palatino Linotype" w:hAnsi="Palatino Linotype" w:cs="Palatino Linotype"/>
          <w:b/>
          <w:bCs/>
          <w:color w:val="000000" w:themeColor="text1"/>
        </w:rPr>
        <w:t xml:space="preserve">SUJETO OBLIGADO, </w:t>
      </w:r>
      <w:r w:rsidRPr="00773EBE">
        <w:rPr>
          <w:rFonts w:ascii="Palatino Linotype" w:eastAsia="Palatino Linotype" w:hAnsi="Palatino Linotype" w:cs="Palatino Linotype"/>
          <w:color w:val="000000" w:themeColor="text1"/>
        </w:rPr>
        <w:t xml:space="preserve">remitió informe justificado, mediante el cual </w:t>
      </w:r>
      <w:r w:rsidRPr="00773EBE">
        <w:rPr>
          <w:rFonts w:ascii="Palatino Linotype" w:eastAsia="Palatino Linotype" w:hAnsi="Palatino Linotype" w:cs="Palatino Linotype"/>
          <w:b/>
          <w:bCs/>
          <w:color w:val="000000" w:themeColor="text1"/>
        </w:rPr>
        <w:t xml:space="preserve">RATIFICA </w:t>
      </w:r>
      <w:r w:rsidRPr="00773EBE">
        <w:rPr>
          <w:rFonts w:ascii="Palatino Linotype" w:eastAsia="Palatino Linotype" w:hAnsi="Palatino Linotype" w:cs="Palatino Linotype"/>
          <w:color w:val="000000" w:themeColor="text1"/>
        </w:rPr>
        <w:t xml:space="preserve">su respuesta primordial, mismo que se puso a la vista del particular el </w:t>
      </w:r>
      <w:r w:rsidRPr="00773EBE">
        <w:rPr>
          <w:rFonts w:ascii="Palatino Linotype" w:eastAsia="Palatino Linotype" w:hAnsi="Palatino Linotype" w:cs="Palatino Linotype"/>
          <w:b/>
          <w:bCs/>
          <w:color w:val="000000" w:themeColor="text1"/>
        </w:rPr>
        <w:t>diecinueve de noviembre del mismo año.</w:t>
      </w:r>
    </w:p>
    <w:p w:rsidR="00AA21CF" w:rsidRPr="00773EBE" w:rsidRDefault="00AA21CF" w:rsidP="00773EBE">
      <w:pPr>
        <w:pBdr>
          <w:top w:val="nil"/>
          <w:left w:val="nil"/>
          <w:bottom w:val="nil"/>
          <w:right w:val="nil"/>
          <w:between w:val="nil"/>
        </w:pBdr>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En esa línea, tal y como se observa en el expediente electrónico, la parte </w:t>
      </w:r>
      <w:r w:rsidRPr="00773EBE">
        <w:rPr>
          <w:rFonts w:ascii="Palatino Linotype" w:eastAsia="Palatino Linotype" w:hAnsi="Palatino Linotype" w:cs="Palatino Linotype"/>
          <w:b/>
          <w:bCs/>
          <w:color w:val="000000" w:themeColor="text1"/>
        </w:rPr>
        <w:t xml:space="preserve">RECURRENTE no </w:t>
      </w:r>
      <w:r w:rsidRPr="00773EBE">
        <w:rPr>
          <w:rFonts w:ascii="Palatino Linotype" w:eastAsia="Palatino Linotype" w:hAnsi="Palatino Linotype" w:cs="Palatino Linotype"/>
          <w:color w:val="000000" w:themeColor="text1"/>
        </w:rPr>
        <w:t>realizó manifestaciones que a su derecho conviniera.</w:t>
      </w:r>
    </w:p>
    <w:p w:rsidR="00AA21CF" w:rsidRPr="00773EBE" w:rsidRDefault="00AA21CF" w:rsidP="00773EBE">
      <w:pPr>
        <w:pBdr>
          <w:top w:val="nil"/>
          <w:left w:val="nil"/>
          <w:bottom w:val="nil"/>
          <w:right w:val="nil"/>
          <w:between w:val="nil"/>
        </w:pBdr>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bCs/>
          <w:color w:val="000000" w:themeColor="text1"/>
        </w:rPr>
      </w:pPr>
      <w:bookmarkStart w:id="3" w:name="_heading=h.h662ru3bupnt" w:colFirst="0" w:colLast="0"/>
      <w:bookmarkEnd w:id="3"/>
      <w:r w:rsidRPr="00773EBE">
        <w:rPr>
          <w:rFonts w:ascii="Palatino Linotype" w:eastAsia="Palatino Linotype" w:hAnsi="Palatino Linotype" w:cs="Palatino Linotype"/>
          <w:color w:val="000000" w:themeColor="text1"/>
        </w:rPr>
        <w:t xml:space="preserve">El </w:t>
      </w:r>
      <w:r w:rsidRPr="00773EBE">
        <w:rPr>
          <w:rFonts w:ascii="Palatino Linotype" w:eastAsia="Palatino Linotype" w:hAnsi="Palatino Linotype" w:cs="Palatino Linotype"/>
          <w:b/>
          <w:bCs/>
          <w:color w:val="000000" w:themeColor="text1"/>
        </w:rPr>
        <w:t>veinte de noviembre de dos mil veinticinco</w:t>
      </w:r>
      <w:r w:rsidRPr="00773EBE">
        <w:rPr>
          <w:rFonts w:ascii="Palatino Linotype" w:eastAsia="Palatino Linotype" w:hAnsi="Palatino Linotype" w:cs="Palatino Linotype"/>
          <w:color w:val="000000" w:themeColor="text1"/>
        </w:rPr>
        <w:t>, se notificó el acuerdo mediante el cual se amplió el plazo para emitir resolución por un término de 15 días adicionales.</w:t>
      </w:r>
    </w:p>
    <w:p w:rsidR="00AA21CF" w:rsidRPr="00773EBE" w:rsidRDefault="00AA21CF" w:rsidP="00773EBE">
      <w:pPr>
        <w:pBdr>
          <w:top w:val="nil"/>
          <w:left w:val="nil"/>
          <w:bottom w:val="nil"/>
          <w:right w:val="nil"/>
          <w:between w:val="nil"/>
        </w:pBdr>
        <w:rPr>
          <w:rFonts w:ascii="Palatino Linotype" w:eastAsia="Palatino Linotype" w:hAnsi="Palatino Linotype" w:cs="Palatino Linotype"/>
          <w:b/>
          <w:bCs/>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773EBE">
        <w:rPr>
          <w:rFonts w:ascii="Palatino Linotype" w:eastAsia="Palatino Linotype" w:hAnsi="Palatino Linotype" w:cs="Palatino Linotype"/>
          <w:color w:val="000000" w:themeColor="text1"/>
        </w:rPr>
        <w:t xml:space="preserve">La Comisionada Ponente mediante acuerdo del </w:t>
      </w:r>
      <w:r w:rsidRPr="00773EBE">
        <w:rPr>
          <w:rFonts w:ascii="Palatino Linotype" w:eastAsia="Palatino Linotype" w:hAnsi="Palatino Linotype" w:cs="Palatino Linotype"/>
          <w:b/>
          <w:bCs/>
          <w:color w:val="000000" w:themeColor="text1"/>
        </w:rPr>
        <w:t>veinticinco de noviembre de dos mil veinticinco</w:t>
      </w:r>
      <w:r w:rsidRPr="00773EBE">
        <w:rPr>
          <w:rFonts w:ascii="Palatino Linotype" w:eastAsia="Palatino Linotype" w:hAnsi="Palatino Linotype" w:cs="Palatino Linotype"/>
          <w:color w:val="000000" w:themeColor="text1"/>
        </w:rPr>
        <w:t>, decretó el cierre de instrucción del expediente, por lo que no hab</w:t>
      </w:r>
      <w:r w:rsidR="00773EBE">
        <w:rPr>
          <w:rFonts w:ascii="Palatino Linotype" w:eastAsia="Palatino Linotype" w:hAnsi="Palatino Linotype" w:cs="Palatino Linotype"/>
          <w:color w:val="000000" w:themeColor="text1"/>
        </w:rPr>
        <w:t xml:space="preserve">iendo más que hacer constar, y </w:t>
      </w:r>
    </w:p>
    <w:p w:rsidR="00AA21CF" w:rsidRPr="00773EBE" w:rsidRDefault="00AA21CF" w:rsidP="00773EBE">
      <w:pPr>
        <w:spacing w:line="360" w:lineRule="auto"/>
        <w:rPr>
          <w:rFonts w:ascii="Palatino Linotype" w:eastAsia="Palatino Linotype" w:hAnsi="Palatino Linotype" w:cs="Palatino Linotype"/>
          <w:b/>
          <w:bCs/>
          <w:color w:val="000000" w:themeColor="text1"/>
        </w:rPr>
      </w:pPr>
    </w:p>
    <w:p w:rsidR="00AA21CF" w:rsidRPr="00773EBE" w:rsidRDefault="00B333A6" w:rsidP="00773EBE">
      <w:pPr>
        <w:pBdr>
          <w:top w:val="nil"/>
          <w:left w:val="nil"/>
          <w:bottom w:val="nil"/>
          <w:right w:val="nil"/>
          <w:between w:val="nil"/>
        </w:pBdr>
        <w:spacing w:line="360" w:lineRule="auto"/>
        <w:jc w:val="center"/>
        <w:rPr>
          <w:rFonts w:ascii="Palatino Linotype" w:eastAsia="Palatino Linotype" w:hAnsi="Palatino Linotype" w:cs="Palatino Linotype"/>
          <w:b/>
          <w:bCs/>
          <w:color w:val="000000" w:themeColor="text1"/>
        </w:rPr>
      </w:pPr>
      <w:r w:rsidRPr="00773EBE">
        <w:rPr>
          <w:rFonts w:ascii="Palatino Linotype" w:eastAsia="Palatino Linotype" w:hAnsi="Palatino Linotype" w:cs="Palatino Linotype"/>
          <w:b/>
          <w:bCs/>
          <w:color w:val="000000" w:themeColor="text1"/>
        </w:rPr>
        <w:t>C</w:t>
      </w:r>
      <w:r w:rsidR="006C0051">
        <w:rPr>
          <w:rFonts w:ascii="Palatino Linotype" w:eastAsia="Palatino Linotype" w:hAnsi="Palatino Linotype" w:cs="Palatino Linotype"/>
          <w:b/>
          <w:bCs/>
          <w:color w:val="000000" w:themeColor="text1"/>
        </w:rPr>
        <w:t xml:space="preserve"> </w:t>
      </w:r>
      <w:r w:rsidRPr="00773EBE">
        <w:rPr>
          <w:rFonts w:ascii="Palatino Linotype" w:eastAsia="Palatino Linotype" w:hAnsi="Palatino Linotype" w:cs="Palatino Linotype"/>
          <w:b/>
          <w:bCs/>
          <w:color w:val="000000" w:themeColor="text1"/>
        </w:rPr>
        <w:t>O</w:t>
      </w:r>
      <w:r w:rsidR="006C0051">
        <w:rPr>
          <w:rFonts w:ascii="Palatino Linotype" w:eastAsia="Palatino Linotype" w:hAnsi="Palatino Linotype" w:cs="Palatino Linotype"/>
          <w:b/>
          <w:bCs/>
          <w:color w:val="000000" w:themeColor="text1"/>
        </w:rPr>
        <w:t xml:space="preserve"> </w:t>
      </w:r>
      <w:r w:rsidRPr="00773EBE">
        <w:rPr>
          <w:rFonts w:ascii="Palatino Linotype" w:eastAsia="Palatino Linotype" w:hAnsi="Palatino Linotype" w:cs="Palatino Linotype"/>
          <w:b/>
          <w:bCs/>
          <w:color w:val="000000" w:themeColor="text1"/>
        </w:rPr>
        <w:t>N</w:t>
      </w:r>
      <w:r w:rsidR="006C0051">
        <w:rPr>
          <w:rFonts w:ascii="Palatino Linotype" w:eastAsia="Palatino Linotype" w:hAnsi="Palatino Linotype" w:cs="Palatino Linotype"/>
          <w:b/>
          <w:bCs/>
          <w:color w:val="000000" w:themeColor="text1"/>
        </w:rPr>
        <w:t xml:space="preserve"> </w:t>
      </w:r>
      <w:r w:rsidRPr="00773EBE">
        <w:rPr>
          <w:rFonts w:ascii="Palatino Linotype" w:eastAsia="Palatino Linotype" w:hAnsi="Palatino Linotype" w:cs="Palatino Linotype"/>
          <w:b/>
          <w:bCs/>
          <w:color w:val="000000" w:themeColor="text1"/>
        </w:rPr>
        <w:t>S</w:t>
      </w:r>
      <w:r w:rsidR="006C0051">
        <w:rPr>
          <w:rFonts w:ascii="Palatino Linotype" w:eastAsia="Palatino Linotype" w:hAnsi="Palatino Linotype" w:cs="Palatino Linotype"/>
          <w:b/>
          <w:bCs/>
          <w:color w:val="000000" w:themeColor="text1"/>
        </w:rPr>
        <w:t xml:space="preserve"> </w:t>
      </w:r>
      <w:r w:rsidRPr="00773EBE">
        <w:rPr>
          <w:rFonts w:ascii="Palatino Linotype" w:eastAsia="Palatino Linotype" w:hAnsi="Palatino Linotype" w:cs="Palatino Linotype"/>
          <w:b/>
          <w:bCs/>
          <w:color w:val="000000" w:themeColor="text1"/>
        </w:rPr>
        <w:t>I</w:t>
      </w:r>
      <w:r w:rsidR="006C0051">
        <w:rPr>
          <w:rFonts w:ascii="Palatino Linotype" w:eastAsia="Palatino Linotype" w:hAnsi="Palatino Linotype" w:cs="Palatino Linotype"/>
          <w:b/>
          <w:bCs/>
          <w:color w:val="000000" w:themeColor="text1"/>
        </w:rPr>
        <w:t xml:space="preserve"> </w:t>
      </w:r>
      <w:r w:rsidRPr="00773EBE">
        <w:rPr>
          <w:rFonts w:ascii="Palatino Linotype" w:eastAsia="Palatino Linotype" w:hAnsi="Palatino Linotype" w:cs="Palatino Linotype"/>
          <w:b/>
          <w:bCs/>
          <w:color w:val="000000" w:themeColor="text1"/>
        </w:rPr>
        <w:t>D</w:t>
      </w:r>
      <w:r w:rsidR="006C0051">
        <w:rPr>
          <w:rFonts w:ascii="Palatino Linotype" w:eastAsia="Palatino Linotype" w:hAnsi="Palatino Linotype" w:cs="Palatino Linotype"/>
          <w:b/>
          <w:bCs/>
          <w:color w:val="000000" w:themeColor="text1"/>
        </w:rPr>
        <w:t xml:space="preserve"> </w:t>
      </w:r>
      <w:r w:rsidRPr="00773EBE">
        <w:rPr>
          <w:rFonts w:ascii="Palatino Linotype" w:eastAsia="Palatino Linotype" w:hAnsi="Palatino Linotype" w:cs="Palatino Linotype"/>
          <w:b/>
          <w:bCs/>
          <w:color w:val="000000" w:themeColor="text1"/>
        </w:rPr>
        <w:t>E</w:t>
      </w:r>
      <w:r w:rsidR="006C0051">
        <w:rPr>
          <w:rFonts w:ascii="Palatino Linotype" w:eastAsia="Palatino Linotype" w:hAnsi="Palatino Linotype" w:cs="Palatino Linotype"/>
          <w:b/>
          <w:bCs/>
          <w:color w:val="000000" w:themeColor="text1"/>
        </w:rPr>
        <w:t xml:space="preserve"> </w:t>
      </w:r>
      <w:r w:rsidRPr="00773EBE">
        <w:rPr>
          <w:rFonts w:ascii="Palatino Linotype" w:eastAsia="Palatino Linotype" w:hAnsi="Palatino Linotype" w:cs="Palatino Linotype"/>
          <w:b/>
          <w:bCs/>
          <w:color w:val="000000" w:themeColor="text1"/>
        </w:rPr>
        <w:t>R</w:t>
      </w:r>
      <w:r w:rsidR="006C0051">
        <w:rPr>
          <w:rFonts w:ascii="Palatino Linotype" w:eastAsia="Palatino Linotype" w:hAnsi="Palatino Linotype" w:cs="Palatino Linotype"/>
          <w:b/>
          <w:bCs/>
          <w:color w:val="000000" w:themeColor="text1"/>
        </w:rPr>
        <w:t xml:space="preserve"> </w:t>
      </w:r>
      <w:r w:rsidRPr="00773EBE">
        <w:rPr>
          <w:rFonts w:ascii="Palatino Linotype" w:eastAsia="Palatino Linotype" w:hAnsi="Palatino Linotype" w:cs="Palatino Linotype"/>
          <w:b/>
          <w:bCs/>
          <w:color w:val="000000" w:themeColor="text1"/>
        </w:rPr>
        <w:t>A</w:t>
      </w:r>
      <w:r w:rsidR="006C0051">
        <w:rPr>
          <w:rFonts w:ascii="Palatino Linotype" w:eastAsia="Palatino Linotype" w:hAnsi="Palatino Linotype" w:cs="Palatino Linotype"/>
          <w:b/>
          <w:bCs/>
          <w:color w:val="000000" w:themeColor="text1"/>
        </w:rPr>
        <w:t xml:space="preserve"> </w:t>
      </w:r>
      <w:r w:rsidRPr="00773EBE">
        <w:rPr>
          <w:rFonts w:ascii="Palatino Linotype" w:eastAsia="Palatino Linotype" w:hAnsi="Palatino Linotype" w:cs="Palatino Linotype"/>
          <w:b/>
          <w:bCs/>
          <w:color w:val="000000" w:themeColor="text1"/>
        </w:rPr>
        <w:t>N</w:t>
      </w:r>
      <w:r w:rsidR="006C0051">
        <w:rPr>
          <w:rFonts w:ascii="Palatino Linotype" w:eastAsia="Palatino Linotype" w:hAnsi="Palatino Linotype" w:cs="Palatino Linotype"/>
          <w:b/>
          <w:bCs/>
          <w:color w:val="000000" w:themeColor="text1"/>
        </w:rPr>
        <w:t xml:space="preserve"> </w:t>
      </w:r>
      <w:r w:rsidRPr="00773EBE">
        <w:rPr>
          <w:rFonts w:ascii="Palatino Linotype" w:eastAsia="Palatino Linotype" w:hAnsi="Palatino Linotype" w:cs="Palatino Linotype"/>
          <w:b/>
          <w:bCs/>
          <w:color w:val="000000" w:themeColor="text1"/>
        </w:rPr>
        <w:t>D</w:t>
      </w:r>
      <w:r w:rsidR="006C0051">
        <w:rPr>
          <w:rFonts w:ascii="Palatino Linotype" w:eastAsia="Palatino Linotype" w:hAnsi="Palatino Linotype" w:cs="Palatino Linotype"/>
          <w:b/>
          <w:bCs/>
          <w:color w:val="000000" w:themeColor="text1"/>
        </w:rPr>
        <w:t xml:space="preserve"> </w:t>
      </w:r>
      <w:r w:rsidRPr="00773EBE">
        <w:rPr>
          <w:rFonts w:ascii="Palatino Linotype" w:eastAsia="Palatino Linotype" w:hAnsi="Palatino Linotype" w:cs="Palatino Linotype"/>
          <w:b/>
          <w:bCs/>
          <w:color w:val="000000" w:themeColor="text1"/>
        </w:rPr>
        <w:t>O</w:t>
      </w:r>
    </w:p>
    <w:p w:rsidR="00AA21CF" w:rsidRPr="00773EBE" w:rsidRDefault="00B333A6" w:rsidP="00773EBE">
      <w:pPr>
        <w:pStyle w:val="Ttulo2"/>
        <w:spacing w:before="0" w:line="360" w:lineRule="auto"/>
        <w:rPr>
          <w:rFonts w:ascii="Palatino Linotype" w:eastAsia="Palatino Linotype" w:hAnsi="Palatino Linotype" w:cs="Palatino Linotype"/>
          <w:b/>
          <w:bCs/>
          <w:color w:val="000000" w:themeColor="text1"/>
          <w:sz w:val="24"/>
          <w:szCs w:val="24"/>
        </w:rPr>
      </w:pPr>
      <w:bookmarkStart w:id="4" w:name="_heading=h.btsa1tjiz21l" w:colFirst="0" w:colLast="0"/>
      <w:bookmarkEnd w:id="4"/>
      <w:r w:rsidRPr="00773EBE">
        <w:rPr>
          <w:rFonts w:ascii="Palatino Linotype" w:eastAsia="Palatino Linotype" w:hAnsi="Palatino Linotype" w:cs="Palatino Linotype"/>
          <w:b/>
          <w:bCs/>
          <w:color w:val="000000" w:themeColor="text1"/>
          <w:sz w:val="24"/>
          <w:szCs w:val="24"/>
        </w:rPr>
        <w:t>PRIMERO. De la competencia</w:t>
      </w: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highlight w:val="white"/>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Pr="00773EBE">
        <w:rPr>
          <w:rFonts w:ascii="Palatino Linotype" w:eastAsia="Palatino Linotype" w:hAnsi="Palatino Linotype" w:cs="Palatino Linotype"/>
          <w:b/>
          <w:bCs/>
          <w:color w:val="000000" w:themeColor="text1"/>
          <w:highlight w:val="white"/>
        </w:rPr>
        <w:t>Constitución Política de los Estados Unidos Mexicanos</w:t>
      </w:r>
      <w:r w:rsidRPr="00773EBE">
        <w:rPr>
          <w:rFonts w:ascii="Palatino Linotype" w:eastAsia="Palatino Linotype" w:hAnsi="Palatino Linotype" w:cs="Palatino Linotype"/>
          <w:color w:val="000000" w:themeColor="text1"/>
          <w:highlight w:val="white"/>
        </w:rPr>
        <w:t>; 5, párrafos trigésimo segundo, trigésimo tercero y trigésimo cuarto fracciones IV y V de la </w:t>
      </w:r>
      <w:r w:rsidRPr="00773EBE">
        <w:rPr>
          <w:rFonts w:ascii="Palatino Linotype" w:eastAsia="Palatino Linotype" w:hAnsi="Palatino Linotype" w:cs="Palatino Linotype"/>
          <w:b/>
          <w:bCs/>
          <w:color w:val="000000" w:themeColor="text1"/>
          <w:highlight w:val="white"/>
        </w:rPr>
        <w:t xml:space="preserve">Constitución Política del Estado </w:t>
      </w:r>
      <w:r w:rsidRPr="00773EBE">
        <w:rPr>
          <w:rFonts w:ascii="Palatino Linotype" w:eastAsia="Palatino Linotype" w:hAnsi="Palatino Linotype" w:cs="Palatino Linotype"/>
          <w:b/>
          <w:bCs/>
          <w:color w:val="000000" w:themeColor="text1"/>
          <w:highlight w:val="white"/>
        </w:rPr>
        <w:lastRenderedPageBreak/>
        <w:t>Libre y Soberano de México</w:t>
      </w:r>
      <w:r w:rsidRPr="00773EBE">
        <w:rPr>
          <w:rFonts w:ascii="Palatino Linotype" w:eastAsia="Palatino Linotype" w:hAnsi="Palatino Linotype" w:cs="Palatino Linotype"/>
          <w:color w:val="000000" w:themeColor="text1"/>
          <w:highlight w:val="white"/>
        </w:rPr>
        <w:t>; artículos 1, 2 fracción II, 13, 29, 36 fracciones I y II, 176, 178, 179, 181 párrafo tercero y 185 de la </w:t>
      </w:r>
      <w:r w:rsidRPr="00773EBE">
        <w:rPr>
          <w:rFonts w:ascii="Palatino Linotype" w:eastAsia="Palatino Linotype" w:hAnsi="Palatino Linotype" w:cs="Palatino Linotype"/>
          <w:b/>
          <w:bCs/>
          <w:color w:val="000000" w:themeColor="text1"/>
          <w:highlight w:val="white"/>
        </w:rPr>
        <w:t>Ley de Transparencia y Acceso a la Información Pública del Estado de México y Municipios</w:t>
      </w:r>
      <w:r w:rsidRPr="00773EBE">
        <w:rPr>
          <w:rFonts w:ascii="Palatino Linotype" w:eastAsia="Palatino Linotype" w:hAnsi="Palatino Linotype" w:cs="Palatino Linotype"/>
          <w:color w:val="000000" w:themeColor="text1"/>
          <w:highlight w:val="white"/>
        </w:rPr>
        <w:t>; y 7, 9 fracciones I y XXIII, y 11 del </w:t>
      </w:r>
      <w:r w:rsidRPr="00773EBE">
        <w:rPr>
          <w:rFonts w:ascii="Palatino Linotype" w:eastAsia="Palatino Linotype" w:hAnsi="Palatino Linotype" w:cs="Palatino Linotype"/>
          <w:b/>
          <w:bCs/>
          <w:color w:val="000000" w:themeColor="text1"/>
          <w:highlight w:val="white"/>
        </w:rPr>
        <w:t>Reglamento Interior del Instituto de Transparencia, Acceso a la Información Pública y Protección de Datos Personales del Estado de México y Municipios</w:t>
      </w:r>
      <w:r w:rsidRPr="00773EBE">
        <w:rPr>
          <w:rFonts w:ascii="Palatino Linotype" w:eastAsia="Palatino Linotype" w:hAnsi="Palatino Linotype" w:cs="Palatino Linotype"/>
          <w:color w:val="000000" w:themeColor="text1"/>
          <w:highlight w:val="white"/>
        </w:rPr>
        <w:t>.</w:t>
      </w:r>
    </w:p>
    <w:p w:rsidR="00AA21CF" w:rsidRPr="00773EBE" w:rsidRDefault="00AA21CF" w:rsidP="00773EB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themeColor="text1"/>
        </w:rPr>
      </w:pPr>
      <w:bookmarkStart w:id="5" w:name="_heading=h.rgnir2b3gwx4" w:colFirst="0" w:colLast="0"/>
      <w:bookmarkEnd w:id="5"/>
    </w:p>
    <w:p w:rsidR="00AA21CF" w:rsidRPr="00773EBE" w:rsidRDefault="00B333A6" w:rsidP="00773EB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themeColor="text1"/>
        </w:rPr>
      </w:pPr>
      <w:bookmarkStart w:id="6" w:name="_heading=h.nsi3dv3g87iz" w:colFirst="0" w:colLast="0"/>
      <w:bookmarkEnd w:id="6"/>
      <w:r w:rsidRPr="00773EBE">
        <w:rPr>
          <w:rFonts w:ascii="Palatino Linotype" w:eastAsia="Palatino Linotype" w:hAnsi="Palatino Linotype" w:cs="Palatino Linotype"/>
          <w:b/>
          <w:bCs/>
          <w:color w:val="000000" w:themeColor="text1"/>
        </w:rPr>
        <w:t>SEGUNDO. De la oportunidad y procedencia.</w:t>
      </w: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bookmarkStart w:id="7" w:name="_heading=h.lngcki8yq7ws" w:colFirst="0" w:colLast="0"/>
      <w:bookmarkEnd w:id="7"/>
      <w:r w:rsidRPr="00773EBE">
        <w:rPr>
          <w:rFonts w:ascii="Palatino Linotype" w:eastAsia="Palatino Linotype" w:hAnsi="Palatino Linotype" w:cs="Palatino Linotype"/>
          <w:color w:val="000000" w:themeColor="text1"/>
        </w:rPr>
        <w:t xml:space="preserve">Los medios de impugnación fueron presentados a través del </w:t>
      </w:r>
      <w:r w:rsidRPr="00773EBE">
        <w:rPr>
          <w:rFonts w:ascii="Palatino Linotype" w:eastAsia="Palatino Linotype" w:hAnsi="Palatino Linotype" w:cs="Palatino Linotype"/>
          <w:b/>
          <w:bCs/>
          <w:color w:val="000000" w:themeColor="text1"/>
        </w:rPr>
        <w:t>SAIMEX,</w:t>
      </w:r>
      <w:r w:rsidRPr="00773EBE">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773EBE">
        <w:rPr>
          <w:rFonts w:ascii="Palatino Linotype" w:eastAsia="Palatino Linotype" w:hAnsi="Palatino Linotype" w:cs="Palatino Linotype"/>
          <w:b/>
          <w:bCs/>
          <w:color w:val="000000" w:themeColor="text1"/>
        </w:rPr>
        <w:t>SUJETO OBLIGADO</w:t>
      </w:r>
      <w:r w:rsidRPr="00773EBE">
        <w:rPr>
          <w:rFonts w:ascii="Palatino Linotype" w:eastAsia="Palatino Linotype" w:hAnsi="Palatino Linotype" w:cs="Palatino Linotype"/>
          <w:color w:val="000000" w:themeColor="text1"/>
        </w:rPr>
        <w:t xml:space="preserve"> entregó su respuesta el </w:t>
      </w:r>
      <w:r w:rsidRPr="00773EBE">
        <w:rPr>
          <w:rFonts w:ascii="Palatino Linotype" w:eastAsia="Palatino Linotype" w:hAnsi="Palatino Linotype" w:cs="Palatino Linotype"/>
          <w:b/>
          <w:bCs/>
          <w:color w:val="000000" w:themeColor="text1"/>
        </w:rPr>
        <w:t xml:space="preserve">dieciocho de junio de dos mil veinticinco </w:t>
      </w:r>
      <w:r w:rsidRPr="00773EBE">
        <w:rPr>
          <w:rFonts w:ascii="Palatino Linotype" w:eastAsia="Palatino Linotype" w:hAnsi="Palatino Linotype" w:cs="Palatino Linotype"/>
          <w:color w:val="000000" w:themeColor="text1"/>
        </w:rPr>
        <w:t xml:space="preserve">de tal forma que el plazo para interponer el recurso de revisión transcurrió del día </w:t>
      </w:r>
      <w:r w:rsidRPr="00773EBE">
        <w:rPr>
          <w:rFonts w:ascii="Palatino Linotype" w:eastAsia="Palatino Linotype" w:hAnsi="Palatino Linotype" w:cs="Palatino Linotype"/>
          <w:b/>
          <w:bCs/>
          <w:color w:val="000000" w:themeColor="text1"/>
        </w:rPr>
        <w:t>diecinueve de junio al nueve de julio de dos mil veinticinco</w:t>
      </w:r>
      <w:r w:rsidRPr="00773EBE">
        <w:rPr>
          <w:rFonts w:ascii="Palatino Linotype" w:eastAsia="Palatino Linotype" w:hAnsi="Palatino Linotype" w:cs="Palatino Linotype"/>
          <w:color w:val="000000" w:themeColor="text1"/>
        </w:rPr>
        <w:t xml:space="preserve">; en consecuencia, el ahora </w:t>
      </w:r>
      <w:r w:rsidRPr="00773EBE">
        <w:rPr>
          <w:rFonts w:ascii="Palatino Linotype" w:eastAsia="Palatino Linotype" w:hAnsi="Palatino Linotype" w:cs="Palatino Linotype"/>
          <w:b/>
          <w:bCs/>
          <w:color w:val="000000" w:themeColor="text1"/>
        </w:rPr>
        <w:t>RECURRENTE</w:t>
      </w:r>
      <w:r w:rsidRPr="00773EBE">
        <w:rPr>
          <w:rFonts w:ascii="Palatino Linotype" w:eastAsia="Palatino Linotype" w:hAnsi="Palatino Linotype" w:cs="Palatino Linotype"/>
          <w:color w:val="000000" w:themeColor="text1"/>
        </w:rPr>
        <w:t xml:space="preserve"> presentó su inconformidad el </w:t>
      </w:r>
      <w:r w:rsidRPr="00773EBE">
        <w:rPr>
          <w:rFonts w:ascii="Palatino Linotype" w:eastAsia="Palatino Linotype" w:hAnsi="Palatino Linotype" w:cs="Palatino Linotype"/>
          <w:b/>
          <w:bCs/>
          <w:color w:val="000000" w:themeColor="text1"/>
        </w:rPr>
        <w:t>veinticinco de junio de dos mil veinticinco,</w:t>
      </w:r>
      <w:r w:rsidRPr="00773EBE">
        <w:rPr>
          <w:rFonts w:ascii="Palatino Linotype" w:eastAsia="Palatino Linotype" w:hAnsi="Palatino Linotype" w:cs="Palatino Linotype"/>
          <w:color w:val="000000" w:themeColor="text1"/>
        </w:rPr>
        <w:t xml:space="preserve"> es decir dentro del lapso legalmente establecido para tal efecto.</w:t>
      </w:r>
    </w:p>
    <w:p w:rsidR="00AA21CF" w:rsidRPr="00773EBE" w:rsidRDefault="00AA21CF" w:rsidP="00773EB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spacing w:line="360" w:lineRule="auto"/>
        <w:ind w:left="0" w:firstLine="0"/>
        <w:jc w:val="both"/>
        <w:rPr>
          <w:rFonts w:ascii="Palatino Linotype" w:eastAsia="Palatino Linotype" w:hAnsi="Palatino Linotype" w:cs="Palatino Linotype"/>
          <w:b/>
          <w:bCs/>
          <w:color w:val="000000" w:themeColor="text1"/>
        </w:rPr>
      </w:pPr>
      <w:r w:rsidRPr="00773EBE">
        <w:rPr>
          <w:rFonts w:ascii="Palatino Linotype" w:eastAsia="Palatino Linotype" w:hAnsi="Palatino Linotype" w:cs="Palatino Linotype"/>
          <w:color w:val="000000" w:themeColor="text1"/>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AA21CF" w:rsidRPr="00773EBE" w:rsidRDefault="00AA21CF" w:rsidP="00773EBE">
      <w:pPr>
        <w:pBdr>
          <w:top w:val="nil"/>
          <w:left w:val="nil"/>
          <w:bottom w:val="nil"/>
          <w:right w:val="nil"/>
          <w:between w:val="nil"/>
        </w:pBdr>
        <w:rPr>
          <w:rFonts w:ascii="Palatino Linotype" w:eastAsia="Palatino Linotype" w:hAnsi="Palatino Linotype" w:cs="Palatino Linotype"/>
          <w:color w:val="000000" w:themeColor="text1"/>
        </w:rPr>
      </w:pPr>
    </w:p>
    <w:p w:rsidR="00AA21CF" w:rsidRPr="00773EBE" w:rsidRDefault="00B333A6" w:rsidP="00773EBE">
      <w:pPr>
        <w:pStyle w:val="Ttulo1"/>
        <w:spacing w:before="0" w:line="360" w:lineRule="auto"/>
        <w:rPr>
          <w:rFonts w:ascii="Palatino Linotype" w:eastAsia="Palatino Linotype" w:hAnsi="Palatino Linotype" w:cs="Palatino Linotype"/>
          <w:b/>
          <w:bCs/>
          <w:color w:val="000000" w:themeColor="text1"/>
          <w:sz w:val="24"/>
          <w:szCs w:val="24"/>
        </w:rPr>
      </w:pPr>
      <w:bookmarkStart w:id="8" w:name="_heading=h.newmghrq6js6" w:colFirst="0" w:colLast="0"/>
      <w:bookmarkEnd w:id="8"/>
      <w:r w:rsidRPr="00773EBE">
        <w:rPr>
          <w:rFonts w:ascii="Palatino Linotype" w:eastAsia="Palatino Linotype" w:hAnsi="Palatino Linotype" w:cs="Palatino Linotype"/>
          <w:b/>
          <w:bCs/>
          <w:color w:val="000000" w:themeColor="text1"/>
          <w:sz w:val="24"/>
          <w:szCs w:val="24"/>
        </w:rPr>
        <w:t xml:space="preserve">TERCERO. Del planteamiento de la </w:t>
      </w:r>
      <w:r w:rsidRPr="00773EBE">
        <w:rPr>
          <w:rFonts w:ascii="Palatino Linotype" w:eastAsia="Palatino Linotype" w:hAnsi="Palatino Linotype" w:cs="Palatino Linotype"/>
          <w:b/>
          <w:bCs/>
          <w:i/>
          <w:iCs/>
          <w:color w:val="000000" w:themeColor="text1"/>
          <w:sz w:val="24"/>
          <w:szCs w:val="24"/>
        </w:rPr>
        <w:t>Litis</w:t>
      </w:r>
      <w:r w:rsidRPr="00773EBE">
        <w:rPr>
          <w:rFonts w:ascii="Palatino Linotype" w:eastAsia="Palatino Linotype" w:hAnsi="Palatino Linotype" w:cs="Palatino Linotype"/>
          <w:b/>
          <w:bCs/>
          <w:color w:val="000000" w:themeColor="text1"/>
          <w:sz w:val="24"/>
          <w:szCs w:val="24"/>
        </w:rPr>
        <w:t>.</w:t>
      </w: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773EBE">
        <w:rPr>
          <w:rFonts w:ascii="Palatino Linotype" w:eastAsia="Palatino Linotype" w:hAnsi="Palatino Linotype" w:cs="Palatino Linotype"/>
          <w:color w:val="000000" w:themeColor="text1"/>
        </w:rPr>
        <w:t xml:space="preserve">El </w:t>
      </w:r>
      <w:r w:rsidRPr="00773EBE">
        <w:rPr>
          <w:rFonts w:ascii="Palatino Linotype" w:eastAsia="Palatino Linotype" w:hAnsi="Palatino Linotype" w:cs="Palatino Linotype"/>
          <w:b/>
          <w:bCs/>
          <w:color w:val="000000" w:themeColor="text1"/>
        </w:rPr>
        <w:t>RECURRENTE</w:t>
      </w:r>
      <w:r w:rsidRPr="00773EBE">
        <w:rPr>
          <w:rFonts w:ascii="Palatino Linotype" w:eastAsia="Palatino Linotype" w:hAnsi="Palatino Linotype" w:cs="Palatino Linotype"/>
          <w:color w:val="000000" w:themeColor="text1"/>
        </w:rPr>
        <w:t xml:space="preserve"> solicitó toda la información disponible, desglosada, clara, detallada y en versión pública, referente a los contratos de cafeterías, Centro de Alimentos, </w:t>
      </w:r>
      <w:r w:rsidRPr="00773EBE">
        <w:rPr>
          <w:rFonts w:ascii="Palatino Linotype" w:eastAsia="Palatino Linotype" w:hAnsi="Palatino Linotype" w:cs="Palatino Linotype"/>
          <w:color w:val="000000" w:themeColor="text1"/>
        </w:rPr>
        <w:lastRenderedPageBreak/>
        <w:t xml:space="preserve">centros de Copiado o Papelerías del uno de enero al treinta y uno de diciembre de dos mil veinticuatro y del uno de enero al diez de junio de dos mil veinticinco. </w:t>
      </w:r>
    </w:p>
    <w:p w:rsidR="00773EBE" w:rsidRPr="00773EBE" w:rsidRDefault="00773EBE" w:rsidP="00773EBE">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En respuesta, el </w:t>
      </w:r>
      <w:r w:rsidRPr="00773EBE">
        <w:rPr>
          <w:rFonts w:ascii="Palatino Linotype" w:eastAsia="Palatino Linotype" w:hAnsi="Palatino Linotype" w:cs="Palatino Linotype"/>
          <w:b/>
          <w:bCs/>
          <w:color w:val="000000" w:themeColor="text1"/>
        </w:rPr>
        <w:t>SUJETO OBLIGADO,</w:t>
      </w:r>
      <w:r w:rsidRPr="00773EBE">
        <w:rPr>
          <w:rFonts w:ascii="Palatino Linotype" w:eastAsia="Palatino Linotype" w:hAnsi="Palatino Linotype" w:cs="Palatino Linotype"/>
          <w:color w:val="000000" w:themeColor="text1"/>
        </w:rPr>
        <w:t xml:space="preserve"> informó que una vez analizada la petición, se traduce a que solicitó información con ciertas características y en cierto formato, por lo que se encuentra en imposibilitado en dar contestación en los términos solicitados, toda vez que tendría que generar un documento ad hoc, sin embargo no existe obligación de elaborarlos para atender las solicitudes de acceso a la información, no omite mencionar que los Sujetos Obligados deben garantizar el derecho de acceso a la información, proporcionando la información con la que cuenten en el formato en que la misma obre en sus archivos, sin necesidad de elaborar documentos ad hoc para atender las solicitudes; no obstante refiere que toda la información de esta Institución se encuentra en el enlace </w:t>
      </w:r>
      <w:hyperlink r:id="rId9" w:anchor="/obligaciones/41">
        <w:r w:rsidRPr="00773EBE">
          <w:rPr>
            <w:rFonts w:ascii="Palatino Linotype" w:eastAsia="Palatino Linotype" w:hAnsi="Palatino Linotype" w:cs="Palatino Linotype"/>
            <w:color w:val="000000" w:themeColor="text1"/>
            <w:u w:val="single"/>
          </w:rPr>
          <w:t>https://ipomex.org.mx/ipomex/#/obligaciones/41</w:t>
        </w:r>
      </w:hyperlink>
      <w:r w:rsidRPr="00773EBE">
        <w:rPr>
          <w:rFonts w:ascii="Palatino Linotype" w:eastAsia="Palatino Linotype" w:hAnsi="Palatino Linotype" w:cs="Palatino Linotype"/>
          <w:color w:val="000000" w:themeColor="text1"/>
        </w:rPr>
        <w:t>,</w:t>
      </w:r>
      <w:r w:rsidRPr="00773EBE">
        <w:rPr>
          <w:rFonts w:ascii="Palatino Linotype" w:eastAsia="Verdana" w:hAnsi="Palatino Linotype" w:cs="Verdana"/>
          <w:color w:val="000000" w:themeColor="text1"/>
        </w:rPr>
        <w:t xml:space="preserve"> </w:t>
      </w:r>
      <w:r w:rsidRPr="00773EBE">
        <w:rPr>
          <w:rFonts w:ascii="Palatino Linotype" w:eastAsia="Palatino Linotype" w:hAnsi="Palatino Linotype" w:cs="Palatino Linotype"/>
          <w:color w:val="000000" w:themeColor="text1"/>
        </w:rPr>
        <w:t>información que ratifica, mediante informe justificado.</w:t>
      </w:r>
    </w:p>
    <w:p w:rsidR="00AA21CF" w:rsidRPr="00773EBE" w:rsidRDefault="00AA21CF" w:rsidP="00773EB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Derivado de lo anterior el </w:t>
      </w:r>
      <w:r w:rsidRPr="00773EBE">
        <w:rPr>
          <w:rFonts w:ascii="Palatino Linotype" w:eastAsia="Palatino Linotype" w:hAnsi="Palatino Linotype" w:cs="Palatino Linotype"/>
          <w:b/>
          <w:bCs/>
          <w:color w:val="000000" w:themeColor="text1"/>
        </w:rPr>
        <w:t>RECURRENTE</w:t>
      </w:r>
      <w:r w:rsidRPr="00773EBE">
        <w:rPr>
          <w:rFonts w:ascii="Palatino Linotype" w:eastAsia="Palatino Linotype" w:hAnsi="Palatino Linotype" w:cs="Palatino Linotype"/>
          <w:color w:val="000000" w:themeColor="text1"/>
        </w:rPr>
        <w:t xml:space="preserve">, se inconformó por </w:t>
      </w:r>
      <w:r w:rsidRPr="00773EBE">
        <w:rPr>
          <w:rFonts w:ascii="Palatino Linotype" w:eastAsia="Palatino Linotype" w:hAnsi="Palatino Linotype" w:cs="Palatino Linotype"/>
          <w:b/>
          <w:bCs/>
          <w:color w:val="000000" w:themeColor="text1"/>
        </w:rPr>
        <w:t>la negativa a la información solicitada</w:t>
      </w:r>
      <w:r w:rsidRPr="00773EBE">
        <w:rPr>
          <w:rFonts w:ascii="Palatino Linotype" w:eastAsia="Palatino Linotype" w:hAnsi="Palatino Linotype" w:cs="Palatino Linotype"/>
          <w:color w:val="000000" w:themeColor="text1"/>
        </w:rPr>
        <w:t>, en los siguientes términos: “</w:t>
      </w:r>
      <w:r w:rsidRPr="00773EBE">
        <w:rPr>
          <w:rFonts w:ascii="Palatino Linotype" w:eastAsia="Palatino Linotype" w:hAnsi="Palatino Linotype" w:cs="Palatino Linotype"/>
          <w:i/>
          <w:iCs/>
          <w:color w:val="000000" w:themeColor="text1"/>
        </w:rPr>
        <w:t xml:space="preserve">SIENDO LAS SEIS HORAS CON TREINTA Y NUEVE MINUTOS DEL LUNES VEINTINUEVE DE NOVIEMBRE DE 2021, PROMUEVO EN TIEMPO Y FORMA EL PRESENTE RECURSO DE REVISIÓN EN VIRTUD DE LAS SIGUIENTES CONSIDERACIONES EL MARTES TRES DE NOVIEMBRE DEL PRESENTE AÑO, PROMOVÍ MEDIANTE PLATAFORMA SAIMEX LO SIGUIENTE QUE REPRODUCIRÉ DE FORMA INTEGRA: “SE SOLICITA RESPETUOSAMENTE CON FUNDAMENTO EN LO DISPUESTO EN LOS ARTÍCULOS 1°, 6° (SEXTO), PÁRRAFOS I, </w:t>
      </w:r>
      <w:r w:rsidRPr="00773EBE">
        <w:rPr>
          <w:rFonts w:ascii="Palatino Linotype" w:eastAsia="Palatino Linotype" w:hAnsi="Palatino Linotype" w:cs="Palatino Linotype"/>
          <w:i/>
          <w:iCs/>
          <w:color w:val="000000" w:themeColor="text1"/>
        </w:rPr>
        <w:lastRenderedPageBreak/>
        <w:t xml:space="preserve">III, V, 8° (OCTAVO) DE LA CONSTITUCIÓN POLÍTICA DE LOS ESTADOS UNIDOS MEXICANOS, 1, 4, Y 6 DE LA LEY GENERAL DE TRANSPARENCIA Y ACCESO A LA INFORMACIÓN PÚBLICA, 1, 3, FRACCIÓN XLI, CAPÍTULO III, 23, FRACCIÓN IV DE LA LEY DE TRANSPARENCIA Y ACCESO A LA INFORMACIÓN PÚBLICA DEL ESTADO DE MÉXICO Y MUNICIPIOS, 05 (CINCO), PÁRRAFOS XIII, XIV, XVIII, XIX, INCISOS I, Y III DE LA CONSTITUCIÓN POLÍTICA DEL ESTADO LIBRE Y SOBERANO DE MÉXICO, 135 DEL CÓDIGO DE PROCEDIMIENTOS ADMINISTRATIVOS DEL ESTADO DE MÉXICO, Y BASADOS EN LAS SOLICITUD DE INFORMACIÓN IDENTIFICADO CON EL FOLIO 00008/TESOEM/IP/2025, PROMOVIDAS POR UN PARTICULAR EL VEINTIUNO DE ABRIL DEL PRESENTE AÑO, SE PIDE LO SIGUIENTE: SOLICITO RESPETUOSAMENTE AL SUJETO OBLIGADO TODA LA INFORMACIÓN QUE CUENTE DISPONIBLE, DESGLOSADA, CLARA, DETALLADA Y EN VERSIÓN PUBLICA, EN TORNO A LOS Contratos de Cafeterias, Centros de Alimentos, Centros de copiado o Papelerias del 1 de enero al 31 de diciembre de 2024; y del 1 de enero a la presente fecha de la solicitud, De que plantel son y cuanta Comunidad Estudiantil atienden..” EL DIA DE HOY, AL REVISAR EL ESTADO QUE GUARDA EN LA MISMA, ME PERCATO DEL QUE EL SUJETO OBLIGADO DIO LA SIGUIENTE RESPUESTA: " Metepec, México a 18 de Junio de 2025 Nombre del solicitante: C. Solicitante Folio de la solicitud: 00009/TESOEM/IP/2025 En respuesta a la solicitud recibida, nos permitimos hacer de su conocimiento que con fundamento en el artículo 53, Fracciones: II, V y VI de la Ley de Transparencia y Acceso a la Información Pública del Estado de México y Municipios, le contestamos que: Una vez analizada su petición, esta se traduce a información con ciertas características y en cierto formato, situación que impide darle contestación en los términos solicitados por ser información ad hoc , tal y como lo señala el siguiente criterio orientador: “No existe obligación de elaborar </w:t>
      </w:r>
      <w:r w:rsidRPr="00773EBE">
        <w:rPr>
          <w:rFonts w:ascii="Palatino Linotype" w:eastAsia="Palatino Linotype" w:hAnsi="Palatino Linotype" w:cs="Palatino Linotype"/>
          <w:i/>
          <w:iCs/>
          <w:color w:val="000000" w:themeColor="text1"/>
        </w:rPr>
        <w:lastRenderedPageBreak/>
        <w:t xml:space="preserve">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Sin embargo, usted puede visualizar toda la información de esta institución en los términos que indican los lineamiento emitidos para tal efecto, en el siguiente enlace: https://ipomex.org.mx/ipomex/#/obligaciones/41" </w:t>
      </w:r>
      <w:r w:rsidRPr="00773EBE">
        <w:rPr>
          <w:rFonts w:ascii="Palatino Linotype" w:eastAsia="Palatino Linotype" w:hAnsi="Palatino Linotype" w:cs="Palatino Linotype"/>
          <w:b/>
          <w:bCs/>
          <w:i/>
          <w:iCs/>
          <w:color w:val="000000" w:themeColor="text1"/>
        </w:rPr>
        <w:t>POR LO QUE SE CONSTITUYE EN UNA POSIBLE NEGATIVA EN DAR RESPUESTA A LO PLANTEADO EN LA SOLICITUD DE INFORMACIÓN POR LO QUE SE PROMUEVE EL PRESENTE RECURSO DE REVISIÓN.</w:t>
      </w:r>
      <w:r w:rsidRPr="00773EBE">
        <w:rPr>
          <w:rFonts w:ascii="Palatino Linotype" w:eastAsia="Palatino Linotype" w:hAnsi="Palatino Linotype" w:cs="Palatino Linotype"/>
          <w:i/>
          <w:iCs/>
          <w:color w:val="000000" w:themeColor="text1"/>
        </w:rPr>
        <w:t>” (Sic)</w:t>
      </w:r>
    </w:p>
    <w:p w:rsidR="00AA21CF" w:rsidRPr="00773EBE" w:rsidRDefault="00AA21CF" w:rsidP="00773EB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En dichas condiciones, la </w:t>
      </w:r>
      <w:r w:rsidRPr="00773EBE">
        <w:rPr>
          <w:rFonts w:ascii="Palatino Linotype" w:eastAsia="Palatino Linotype" w:hAnsi="Palatino Linotype" w:cs="Palatino Linotype"/>
          <w:i/>
          <w:iCs/>
          <w:color w:val="000000" w:themeColor="text1"/>
        </w:rPr>
        <w:t>Litis</w:t>
      </w:r>
      <w:r w:rsidRPr="00773EBE">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773EBE">
        <w:rPr>
          <w:rFonts w:ascii="Palatino Linotype" w:eastAsia="Palatino Linotype" w:hAnsi="Palatino Linotype" w:cs="Palatino Linotype"/>
          <w:b/>
          <w:bCs/>
          <w:color w:val="000000" w:themeColor="text1"/>
        </w:rPr>
        <w:t xml:space="preserve">fracción I </w:t>
      </w:r>
      <w:r w:rsidRPr="00773EBE">
        <w:rPr>
          <w:rFonts w:ascii="Palatino Linotype" w:eastAsia="Palatino Linotype" w:hAnsi="Palatino Linotype" w:cs="Palatino Linotype"/>
          <w:color w:val="000000" w:themeColor="text1"/>
        </w:rPr>
        <w:t>de la Ley</w:t>
      </w:r>
      <w:r w:rsidRPr="00773EBE">
        <w:rPr>
          <w:rFonts w:ascii="Palatino Linotype" w:eastAsia="Palatino Linotype" w:hAnsi="Palatino Linotype" w:cs="Palatino Linotype"/>
          <w:b/>
          <w:bCs/>
          <w:color w:val="000000" w:themeColor="text1"/>
        </w:rPr>
        <w:t xml:space="preserve"> de Transparencia y Acceso a la Información Pública del Estado de </w:t>
      </w:r>
      <w:r w:rsidRPr="00773EBE">
        <w:rPr>
          <w:rFonts w:ascii="Palatino Linotype" w:eastAsia="Palatino Linotype" w:hAnsi="Palatino Linotype" w:cs="Palatino Linotype"/>
          <w:color w:val="000000" w:themeColor="text1"/>
        </w:rPr>
        <w:t>México</w:t>
      </w:r>
      <w:r w:rsidRPr="00773EBE">
        <w:rPr>
          <w:rFonts w:ascii="Palatino Linotype" w:eastAsia="Palatino Linotype" w:hAnsi="Palatino Linotype" w:cs="Palatino Linotype"/>
          <w:b/>
          <w:bCs/>
          <w:color w:val="000000" w:themeColor="text1"/>
        </w:rPr>
        <w:t xml:space="preserve"> y Municipios</w:t>
      </w:r>
      <w:r w:rsidRPr="00773EBE">
        <w:rPr>
          <w:rFonts w:ascii="Palatino Linotype" w:eastAsia="Palatino Linotype" w:hAnsi="Palatino Linotype" w:cs="Palatino Linotype"/>
          <w:color w:val="000000" w:themeColor="text1"/>
        </w:rPr>
        <w:t xml:space="preserve">; fracción que determina la hipótesis jurídica relativa a </w:t>
      </w:r>
      <w:r w:rsidRPr="00773EBE">
        <w:rPr>
          <w:rFonts w:ascii="Palatino Linotype" w:eastAsia="Palatino Linotype" w:hAnsi="Palatino Linotype" w:cs="Palatino Linotype"/>
          <w:b/>
          <w:bCs/>
          <w:color w:val="000000" w:themeColor="text1"/>
        </w:rPr>
        <w:t xml:space="preserve">la negativa a la información solicitada </w:t>
      </w:r>
      <w:r w:rsidRPr="00773EBE">
        <w:rPr>
          <w:rFonts w:ascii="Palatino Linotype" w:eastAsia="Palatino Linotype" w:hAnsi="Palatino Linotype" w:cs="Palatino Linotype"/>
          <w:color w:val="000000" w:themeColor="text1"/>
        </w:rPr>
        <w:t xml:space="preserve">por el </w:t>
      </w:r>
      <w:r w:rsidRPr="00773EBE">
        <w:rPr>
          <w:rFonts w:ascii="Palatino Linotype" w:eastAsia="Palatino Linotype" w:hAnsi="Palatino Linotype" w:cs="Palatino Linotype"/>
          <w:b/>
          <w:bCs/>
          <w:color w:val="000000" w:themeColor="text1"/>
        </w:rPr>
        <w:t>SUJETO OBLIGADO</w:t>
      </w:r>
      <w:r w:rsidRPr="00773EBE">
        <w:rPr>
          <w:rFonts w:ascii="Palatino Linotype" w:eastAsia="Palatino Linotype" w:hAnsi="Palatino Linotype" w:cs="Palatino Linotype"/>
          <w:color w:val="000000" w:themeColor="text1"/>
        </w:rPr>
        <w:t xml:space="preserve">; contexto del cual se dolió </w:t>
      </w:r>
      <w:r w:rsidRPr="00773EBE">
        <w:rPr>
          <w:rFonts w:ascii="Palatino Linotype" w:eastAsia="Palatino Linotype" w:hAnsi="Palatino Linotype" w:cs="Palatino Linotype"/>
          <w:b/>
          <w:bCs/>
          <w:color w:val="000000" w:themeColor="text1"/>
        </w:rPr>
        <w:t xml:space="preserve">EL RECURRENTE </w:t>
      </w:r>
      <w:r w:rsidRPr="00773EBE">
        <w:rPr>
          <w:rFonts w:ascii="Palatino Linotype" w:eastAsia="Palatino Linotype" w:hAnsi="Palatino Linotype" w:cs="Palatino Linotype"/>
          <w:color w:val="000000" w:themeColor="text1"/>
        </w:rPr>
        <w:t>al momento de interponer su inconformidad.</w:t>
      </w:r>
    </w:p>
    <w:p w:rsidR="00AA21CF" w:rsidRPr="00773EBE" w:rsidRDefault="00AA21CF" w:rsidP="00773EB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lastRenderedPageBreak/>
        <w:t xml:space="preserve">De modo tal que el recurso de revisión se abocara en determinar si el </w:t>
      </w:r>
      <w:r w:rsidRPr="00773EBE">
        <w:rPr>
          <w:rFonts w:ascii="Palatino Linotype" w:eastAsia="Palatino Linotype" w:hAnsi="Palatino Linotype" w:cs="Palatino Linotype"/>
          <w:b/>
          <w:bCs/>
          <w:color w:val="000000" w:themeColor="text1"/>
        </w:rPr>
        <w:t>SUJETO OBLIGADO</w:t>
      </w:r>
      <w:r w:rsidRPr="00773EBE">
        <w:rPr>
          <w:rFonts w:ascii="Palatino Linotype" w:eastAsia="Palatino Linotype" w:hAnsi="Palatino Linotype" w:cs="Palatino Linotype"/>
          <w:color w:val="000000" w:themeColor="text1"/>
        </w:rPr>
        <w:t xml:space="preserve"> con su respuesta ciertamente actualiza la causal de procedencia</w:t>
      </w:r>
      <w:r w:rsidRPr="00773EBE">
        <w:rPr>
          <w:rFonts w:ascii="Palatino Linotype" w:eastAsia="Palatino Linotype" w:hAnsi="Palatino Linotype" w:cs="Palatino Linotype"/>
          <w:b/>
          <w:bCs/>
          <w:color w:val="000000" w:themeColor="text1"/>
        </w:rPr>
        <w:t xml:space="preserve"> </w:t>
      </w:r>
      <w:r w:rsidRPr="00773EBE">
        <w:rPr>
          <w:rFonts w:ascii="Palatino Linotype" w:eastAsia="Palatino Linotype" w:hAnsi="Palatino Linotype" w:cs="Palatino Linotype"/>
          <w:color w:val="000000" w:themeColor="text1"/>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AA21CF" w:rsidRPr="00773EBE" w:rsidRDefault="00AA21CF" w:rsidP="00773EBE">
      <w:pP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keepNext/>
        <w:keepLines/>
        <w:spacing w:line="360" w:lineRule="auto"/>
        <w:rPr>
          <w:rFonts w:ascii="Palatino Linotype" w:eastAsia="Palatino Linotype" w:hAnsi="Palatino Linotype" w:cs="Palatino Linotype"/>
          <w:b/>
          <w:bCs/>
          <w:color w:val="000000" w:themeColor="text1"/>
        </w:rPr>
      </w:pPr>
      <w:r w:rsidRPr="00773EBE">
        <w:rPr>
          <w:rFonts w:ascii="Palatino Linotype" w:eastAsia="Palatino Linotype" w:hAnsi="Palatino Linotype" w:cs="Palatino Linotype"/>
          <w:b/>
          <w:bCs/>
          <w:color w:val="000000" w:themeColor="text1"/>
        </w:rPr>
        <w:t>CUARTO. Del estudio y resolución del asunto</w:t>
      </w:r>
    </w:p>
    <w:p w:rsidR="00AA21CF" w:rsidRPr="00773EBE" w:rsidRDefault="00B333A6" w:rsidP="006C0051">
      <w:pPr>
        <w:keepNext/>
        <w:keepLines/>
        <w:numPr>
          <w:ilvl w:val="0"/>
          <w:numId w:val="2"/>
        </w:numPr>
        <w:spacing w:after="240" w:line="360" w:lineRule="auto"/>
        <w:ind w:left="0" w:firstLine="0"/>
        <w:rPr>
          <w:rFonts w:ascii="Palatino Linotype" w:eastAsia="Palatino Linotype" w:hAnsi="Palatino Linotype" w:cs="Palatino Linotype"/>
          <w:b/>
          <w:bCs/>
          <w:color w:val="000000" w:themeColor="text1"/>
        </w:rPr>
      </w:pPr>
      <w:bookmarkStart w:id="9" w:name="_heading=h.1t3h5sf" w:colFirst="0" w:colLast="0"/>
      <w:bookmarkEnd w:id="9"/>
      <w:r w:rsidRPr="00773EBE">
        <w:rPr>
          <w:rFonts w:ascii="Palatino Linotype" w:eastAsia="Palatino Linotype" w:hAnsi="Palatino Linotype" w:cs="Palatino Linotype"/>
          <w:b/>
          <w:bCs/>
          <w:color w:val="000000" w:themeColor="text1"/>
        </w:rPr>
        <w:t>Del derecho de acceso a la información.</w:t>
      </w: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AA21CF" w:rsidRPr="00773EBE" w:rsidRDefault="00AA21CF" w:rsidP="00773EBE">
      <w:pP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Definiendo el Derecho de Acceso a la Información Pública como: </w:t>
      </w:r>
      <w:r w:rsidRPr="00773EBE">
        <w:rPr>
          <w:rFonts w:ascii="Palatino Linotype" w:eastAsia="Palatino Linotype" w:hAnsi="Palatino Linotype" w:cs="Palatino Linotype"/>
          <w:i/>
          <w:iCs/>
          <w:color w:val="000000" w:themeColor="text1"/>
        </w:rPr>
        <w:t>La igualdad de oportunidades para recibir, buscar e impartir información</w:t>
      </w:r>
      <w:r w:rsidRPr="00773EBE">
        <w:rPr>
          <w:rFonts w:ascii="Palatino Linotype" w:eastAsia="Palatino Linotype" w:hAnsi="Palatino Linotype" w:cs="Palatino Linotype"/>
          <w:i/>
          <w:iCs/>
          <w:color w:val="000000" w:themeColor="text1"/>
          <w:vertAlign w:val="superscript"/>
        </w:rPr>
        <w:footnoteReference w:id="1"/>
      </w:r>
      <w:r w:rsidRPr="00773EBE">
        <w:rPr>
          <w:rFonts w:ascii="Palatino Linotype" w:eastAsia="Palatino Linotype" w:hAnsi="Palatino Linotype" w:cs="Palatino Linotype"/>
          <w:i/>
          <w:iCs/>
          <w:color w:val="000000" w:themeColor="text1"/>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w:t>
      </w:r>
      <w:r w:rsidRPr="00773EBE">
        <w:rPr>
          <w:rFonts w:ascii="Palatino Linotype" w:eastAsia="Palatino Linotype" w:hAnsi="Palatino Linotype" w:cs="Palatino Linotype"/>
          <w:i/>
          <w:iCs/>
          <w:color w:val="000000" w:themeColor="text1"/>
        </w:rPr>
        <w:lastRenderedPageBreak/>
        <w:t>y municipal,</w:t>
      </w:r>
      <w:r w:rsidRPr="00773EBE">
        <w:rPr>
          <w:rFonts w:ascii="Palatino Linotype" w:eastAsia="Palatino Linotype" w:hAnsi="Palatino Linotype" w:cs="Palatino Linotype"/>
          <w:i/>
          <w:iCs/>
          <w:color w:val="000000" w:themeColor="text1"/>
          <w:vertAlign w:val="superscript"/>
        </w:rPr>
        <w:footnoteReference w:id="2"/>
      </w:r>
      <w:r w:rsidRPr="00773EBE">
        <w:rPr>
          <w:rFonts w:ascii="Palatino Linotype" w:eastAsia="Palatino Linotype" w:hAnsi="Palatino Linotype" w:cs="Palatino Linotype"/>
          <w:color w:val="000000" w:themeColor="text1"/>
        </w:rPr>
        <w:t>que se constituye como una herramienta fundamental para ejercer</w:t>
      </w:r>
      <w:r w:rsidRPr="00773EBE">
        <w:rPr>
          <w:rFonts w:ascii="Palatino Linotype" w:eastAsia="Palatino Linotype" w:hAnsi="Palatino Linotype" w:cs="Palatino Linotype"/>
          <w:i/>
          <w:iCs/>
          <w:color w:val="000000" w:themeColor="text1"/>
        </w:rPr>
        <w:t xml:space="preserve"> el control democrático de las gestiones estatales, de forma tal que puedan cuestionar, indagar y considerar si se está dando un adecuado cumplimiento a las funciones públicas,</w:t>
      </w:r>
      <w:r w:rsidRPr="00773EBE">
        <w:rPr>
          <w:rFonts w:ascii="Palatino Linotype" w:eastAsia="Palatino Linotype" w:hAnsi="Palatino Linotype" w:cs="Palatino Linotype"/>
          <w:i/>
          <w:iCs/>
          <w:color w:val="000000" w:themeColor="text1"/>
          <w:vertAlign w:val="superscript"/>
        </w:rPr>
        <w:footnoteReference w:id="3"/>
      </w:r>
      <w:r w:rsidRPr="00773EBE">
        <w:rPr>
          <w:rFonts w:ascii="Palatino Linotype" w:eastAsia="Palatino Linotype" w:hAnsi="Palatino Linotype" w:cs="Palatino Linotype"/>
          <w:color w:val="000000" w:themeColor="text1"/>
        </w:rPr>
        <w:t>fomentando</w:t>
      </w:r>
      <w:r w:rsidRPr="00773EBE">
        <w:rPr>
          <w:rFonts w:ascii="Palatino Linotype" w:eastAsia="Palatino Linotype" w:hAnsi="Palatino Linotype" w:cs="Palatino Linotype"/>
          <w:i/>
          <w:iCs/>
          <w:color w:val="000000" w:themeColor="text1"/>
        </w:rPr>
        <w:t xml:space="preserve"> la transparencia de las actividades estatales y </w:t>
      </w:r>
      <w:r w:rsidRPr="00773EBE">
        <w:rPr>
          <w:rFonts w:ascii="Palatino Linotype" w:eastAsia="Palatino Linotype" w:hAnsi="Palatino Linotype" w:cs="Palatino Linotype"/>
          <w:color w:val="000000" w:themeColor="text1"/>
        </w:rPr>
        <w:t>promoviendo</w:t>
      </w:r>
      <w:r w:rsidRPr="00773EBE">
        <w:rPr>
          <w:rFonts w:ascii="Palatino Linotype" w:eastAsia="Palatino Linotype" w:hAnsi="Palatino Linotype" w:cs="Palatino Linotype"/>
          <w:i/>
          <w:iCs/>
          <w:color w:val="000000" w:themeColor="text1"/>
        </w:rPr>
        <w:t xml:space="preserve"> la responsabilidad de los funcionarios sobre su gestión pública,</w:t>
      </w:r>
      <w:r w:rsidRPr="00773EBE">
        <w:rPr>
          <w:rFonts w:ascii="Palatino Linotype" w:eastAsia="Palatino Linotype" w:hAnsi="Palatino Linotype" w:cs="Palatino Linotype"/>
          <w:i/>
          <w:iCs/>
          <w:color w:val="000000" w:themeColor="text1"/>
          <w:vertAlign w:val="superscript"/>
        </w:rPr>
        <w:footnoteReference w:id="4"/>
      </w:r>
      <w:r w:rsidRPr="00773EBE">
        <w:rPr>
          <w:rFonts w:ascii="Palatino Linotype" w:eastAsia="Palatino Linotype" w:hAnsi="Palatino Linotype" w:cs="Palatino Linotype"/>
          <w:color w:val="000000" w:themeColor="text1"/>
        </w:rPr>
        <w:t>que permite</w:t>
      </w:r>
      <w:r w:rsidRPr="00773EBE">
        <w:rPr>
          <w:rFonts w:ascii="Palatino Linotype" w:eastAsia="Palatino Linotype" w:hAnsi="Palatino Linotype" w:cs="Palatino Linotype"/>
          <w:i/>
          <w:iCs/>
          <w:color w:val="000000" w:themeColor="text1"/>
        </w:rPr>
        <w:t xml:space="preserve"> saber qué están haciendo los gobiernos por sus pueblos, sin lo cual la verdad languidecería y la participación en el gobierno permanecería fragmentada.</w:t>
      </w:r>
    </w:p>
    <w:p w:rsidR="00AA21CF" w:rsidRPr="00773EBE" w:rsidRDefault="00AA21CF" w:rsidP="00773EBE">
      <w:pP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rsidR="00AA21CF" w:rsidRPr="00773EBE" w:rsidRDefault="00B333A6" w:rsidP="00773EBE">
      <w:pPr>
        <w:tabs>
          <w:tab w:val="left" w:pos="7655"/>
        </w:tabs>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w:t>
      </w:r>
      <w:r w:rsidRPr="00773EBE">
        <w:rPr>
          <w:rFonts w:ascii="Palatino Linotype" w:eastAsia="Palatino Linotype" w:hAnsi="Palatino Linotype" w:cs="Palatino Linotype"/>
          <w:b/>
          <w:bCs/>
          <w:i/>
          <w:iCs/>
          <w:color w:val="000000" w:themeColor="text1"/>
        </w:rPr>
        <w:t>Artículo 1.-</w:t>
      </w:r>
      <w:r w:rsidRPr="00773EBE">
        <w:rPr>
          <w:rFonts w:ascii="Palatino Linotype" w:eastAsia="Palatino Linotype" w:hAnsi="Palatino Linotype" w:cs="Palatino Linotype"/>
          <w:i/>
          <w:iCs/>
          <w:color w:val="000000" w:themeColor="text1"/>
        </w:rPr>
        <w:t xml:space="preserve"> </w:t>
      </w:r>
    </w:p>
    <w:p w:rsidR="00AA21CF" w:rsidRPr="00773EBE" w:rsidRDefault="00B333A6" w:rsidP="00773EBE">
      <w:pPr>
        <w:tabs>
          <w:tab w:val="left" w:pos="7655"/>
        </w:tabs>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w:t>
      </w:r>
    </w:p>
    <w:p w:rsidR="00AA21CF" w:rsidRPr="00773EBE" w:rsidRDefault="00B333A6" w:rsidP="00773EBE">
      <w:pPr>
        <w:tabs>
          <w:tab w:val="left" w:pos="7655"/>
        </w:tabs>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Todas las</w:t>
      </w:r>
      <w:r w:rsidRPr="00773EBE">
        <w:rPr>
          <w:rFonts w:ascii="Palatino Linotype" w:eastAsia="Palatino Linotype" w:hAnsi="Palatino Linotype" w:cs="Palatino Linotype"/>
          <w:color w:val="000000" w:themeColor="text1"/>
        </w:rPr>
        <w:t xml:space="preserve"> </w:t>
      </w:r>
      <w:r w:rsidRPr="00773EBE">
        <w:rPr>
          <w:rFonts w:ascii="Palatino Linotype" w:eastAsia="Palatino Linotype" w:hAnsi="Palatino Linotype" w:cs="Palatino Linotype"/>
          <w:i/>
          <w:iCs/>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A21CF" w:rsidRPr="00773EBE" w:rsidRDefault="00B333A6" w:rsidP="00773EBE">
      <w:pPr>
        <w:tabs>
          <w:tab w:val="left" w:pos="7655"/>
        </w:tabs>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i/>
          <w:iCs/>
          <w:color w:val="000000" w:themeColor="text1"/>
        </w:rPr>
        <w:t>(…)</w:t>
      </w:r>
      <w:r w:rsidRPr="00773EBE">
        <w:rPr>
          <w:rFonts w:ascii="Palatino Linotype" w:eastAsia="Palatino Linotype" w:hAnsi="Palatino Linotype" w:cs="Palatino Linotype"/>
          <w:color w:val="000000" w:themeColor="text1"/>
        </w:rPr>
        <w:t>”.</w:t>
      </w:r>
    </w:p>
    <w:p w:rsidR="00AA21CF" w:rsidRDefault="00AA21CF" w:rsidP="00773EBE">
      <w:pPr>
        <w:jc w:val="both"/>
        <w:rPr>
          <w:rFonts w:ascii="Palatino Linotype" w:eastAsia="Palatino Linotype" w:hAnsi="Palatino Linotype" w:cs="Palatino Linotype"/>
          <w:b/>
          <w:bCs/>
          <w:color w:val="000000" w:themeColor="text1"/>
        </w:rPr>
      </w:pPr>
    </w:p>
    <w:p w:rsidR="006C0051" w:rsidRPr="00773EBE" w:rsidRDefault="006C0051" w:rsidP="00773EBE">
      <w:pPr>
        <w:jc w:val="both"/>
        <w:rPr>
          <w:rFonts w:ascii="Palatino Linotype" w:eastAsia="Palatino Linotype" w:hAnsi="Palatino Linotype" w:cs="Palatino Linotype"/>
          <w:b/>
          <w:bCs/>
          <w:color w:val="000000" w:themeColor="text1"/>
        </w:rPr>
      </w:pPr>
    </w:p>
    <w:p w:rsidR="00AA21CF" w:rsidRPr="00773EBE" w:rsidRDefault="00B333A6" w:rsidP="00773EBE">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AA21CF" w:rsidRPr="00773EBE" w:rsidRDefault="00B333A6" w:rsidP="00773EBE">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lastRenderedPageBreak/>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AA21CF" w:rsidRPr="00773EBE" w:rsidRDefault="00B333A6" w:rsidP="00773EBE">
      <w:pPr>
        <w:spacing w:after="240"/>
        <w:jc w:val="both"/>
        <w:rPr>
          <w:rFonts w:ascii="Palatino Linotype" w:eastAsia="Palatino Linotype" w:hAnsi="Palatino Linotype" w:cs="Palatino Linotype"/>
          <w:b/>
          <w:bCs/>
          <w:i/>
          <w:iCs/>
          <w:color w:val="000000" w:themeColor="text1"/>
        </w:rPr>
      </w:pPr>
      <w:r w:rsidRPr="00773EBE">
        <w:rPr>
          <w:rFonts w:ascii="Palatino Linotype" w:eastAsia="Palatino Linotype" w:hAnsi="Palatino Linotype" w:cs="Palatino Linotype"/>
          <w:b/>
          <w:bCs/>
          <w:i/>
          <w:iCs/>
          <w:color w:val="000000" w:themeColor="text1"/>
        </w:rPr>
        <w:t>Constitución Política de los Estados Unidos Mexicanos</w:t>
      </w:r>
    </w:p>
    <w:p w:rsidR="00AA21CF" w:rsidRPr="00773EBE" w:rsidRDefault="00B333A6" w:rsidP="00773EBE">
      <w:pPr>
        <w:spacing w:before="240" w:after="240"/>
        <w:jc w:val="both"/>
        <w:rPr>
          <w:rFonts w:ascii="Palatino Linotype" w:eastAsia="Palatino Linotype" w:hAnsi="Palatino Linotype" w:cs="Palatino Linotype"/>
          <w:b/>
          <w:bCs/>
          <w:i/>
          <w:iCs/>
          <w:color w:val="000000" w:themeColor="text1"/>
        </w:rPr>
      </w:pPr>
      <w:r w:rsidRPr="00773EBE">
        <w:rPr>
          <w:rFonts w:ascii="Palatino Linotype" w:eastAsia="Palatino Linotype" w:hAnsi="Palatino Linotype" w:cs="Palatino Linotype"/>
          <w:b/>
          <w:bCs/>
          <w:i/>
          <w:iCs/>
          <w:color w:val="000000" w:themeColor="text1"/>
        </w:rPr>
        <w:t>“Artículo 6.</w:t>
      </w:r>
    </w:p>
    <w:p w:rsidR="00AA21CF" w:rsidRPr="00773EBE" w:rsidRDefault="00B333A6" w:rsidP="00773EBE">
      <w:pPr>
        <w:spacing w:before="240" w:after="240"/>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w:t>
      </w:r>
    </w:p>
    <w:p w:rsidR="00AA21CF" w:rsidRPr="00773EBE" w:rsidRDefault="00B333A6" w:rsidP="00773EBE">
      <w:pPr>
        <w:spacing w:before="240" w:after="240"/>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Para efectos de lo dispuesto en el presente artículo se observará lo siguiente:</w:t>
      </w:r>
    </w:p>
    <w:p w:rsidR="00AA21CF" w:rsidRPr="00773EBE" w:rsidRDefault="00B333A6" w:rsidP="00773EBE">
      <w:pPr>
        <w:spacing w:before="240" w:after="240"/>
        <w:jc w:val="both"/>
        <w:rPr>
          <w:rFonts w:ascii="Palatino Linotype" w:eastAsia="Palatino Linotype" w:hAnsi="Palatino Linotype" w:cs="Palatino Linotype"/>
          <w:b/>
          <w:bCs/>
          <w:i/>
          <w:iCs/>
          <w:color w:val="000000" w:themeColor="text1"/>
        </w:rPr>
      </w:pPr>
      <w:r w:rsidRPr="00773EBE">
        <w:rPr>
          <w:rFonts w:ascii="Palatino Linotype" w:eastAsia="Palatino Linotype" w:hAnsi="Palatino Linotype" w:cs="Palatino Linotype"/>
          <w:b/>
          <w:bCs/>
          <w:i/>
          <w:iCs/>
          <w:color w:val="000000" w:themeColor="text1"/>
        </w:rPr>
        <w:t>A</w:t>
      </w:r>
      <w:r w:rsidRPr="00773EBE">
        <w:rPr>
          <w:rFonts w:ascii="Palatino Linotype" w:eastAsia="Palatino Linotype" w:hAnsi="Palatino Linotype" w:cs="Palatino Linotype"/>
          <w:i/>
          <w:iCs/>
          <w:color w:val="000000" w:themeColor="text1"/>
        </w:rPr>
        <w:t xml:space="preserve">. </w:t>
      </w:r>
      <w:r w:rsidRPr="00773EBE">
        <w:rPr>
          <w:rFonts w:ascii="Palatino Linotype" w:eastAsia="Palatino Linotype" w:hAnsi="Palatino Linotype" w:cs="Palatino Linotype"/>
          <w:b/>
          <w:bCs/>
          <w:i/>
          <w:iCs/>
          <w:color w:val="000000" w:themeColor="text1"/>
        </w:rPr>
        <w:t>Para el ejercicio del derecho de acceso a la información</w:t>
      </w:r>
      <w:r w:rsidRPr="00773EBE">
        <w:rPr>
          <w:rFonts w:ascii="Palatino Linotype" w:eastAsia="Palatino Linotype" w:hAnsi="Palatino Linotype" w:cs="Palatino Linotype"/>
          <w:i/>
          <w:iCs/>
          <w:color w:val="000000" w:themeColor="text1"/>
        </w:rPr>
        <w:t xml:space="preserve">, la Federación y </w:t>
      </w:r>
      <w:r w:rsidRPr="00773EBE">
        <w:rPr>
          <w:rFonts w:ascii="Palatino Linotype" w:eastAsia="Palatino Linotype" w:hAnsi="Palatino Linotype" w:cs="Palatino Linotype"/>
          <w:b/>
          <w:bCs/>
          <w:i/>
          <w:iCs/>
          <w:color w:val="000000" w:themeColor="text1"/>
        </w:rPr>
        <w:t>las entidades federativas, en el ámbito de sus respectivas competencias, se regirán por los siguientes principios y bases:</w:t>
      </w:r>
    </w:p>
    <w:p w:rsidR="00AA21CF" w:rsidRPr="00773EBE" w:rsidRDefault="00B333A6" w:rsidP="00773EBE">
      <w:pPr>
        <w:spacing w:before="240" w:after="240"/>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I. Toda la información en posesión de cualquier</w:t>
      </w:r>
      <w:r w:rsidRPr="00773EBE">
        <w:rPr>
          <w:rFonts w:ascii="Palatino Linotype" w:eastAsia="Palatino Linotype" w:hAnsi="Palatino Linotype" w:cs="Palatino Linotype"/>
          <w:i/>
          <w:iCs/>
          <w:color w:val="000000" w:themeColor="text1"/>
        </w:rPr>
        <w:t xml:space="preserve"> </w:t>
      </w:r>
      <w:r w:rsidRPr="00773EBE">
        <w:rPr>
          <w:rFonts w:ascii="Palatino Linotype" w:eastAsia="Palatino Linotype" w:hAnsi="Palatino Linotype" w:cs="Palatino Linotype"/>
          <w:b/>
          <w:bCs/>
          <w:i/>
          <w:iCs/>
          <w:color w:val="000000" w:themeColor="text1"/>
        </w:rPr>
        <w:t>autoridad</w:t>
      </w:r>
      <w:r w:rsidRPr="00773EBE">
        <w:rPr>
          <w:rFonts w:ascii="Palatino Linotype" w:eastAsia="Palatino Linotype" w:hAnsi="Palatino Linotype" w:cs="Palatino Linotype"/>
          <w:i/>
          <w:iCs/>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73EBE">
        <w:rPr>
          <w:rFonts w:ascii="Palatino Linotype" w:eastAsia="Palatino Linotype" w:hAnsi="Palatino Linotype" w:cs="Palatino Linotype"/>
          <w:b/>
          <w:bCs/>
          <w:i/>
          <w:iCs/>
          <w:color w:val="000000" w:themeColor="text1"/>
        </w:rPr>
        <w:t>municipal</w:t>
      </w:r>
      <w:r w:rsidRPr="00773EBE">
        <w:rPr>
          <w:rFonts w:ascii="Palatino Linotype" w:eastAsia="Palatino Linotype" w:hAnsi="Palatino Linotype" w:cs="Palatino Linotype"/>
          <w:i/>
          <w:iCs/>
          <w:color w:val="000000" w:themeColor="text1"/>
        </w:rPr>
        <w:t xml:space="preserve">, </w:t>
      </w:r>
      <w:r w:rsidRPr="00773EBE">
        <w:rPr>
          <w:rFonts w:ascii="Palatino Linotype" w:eastAsia="Palatino Linotype" w:hAnsi="Palatino Linotype" w:cs="Palatino Linotype"/>
          <w:b/>
          <w:bCs/>
          <w:i/>
          <w:iCs/>
          <w:color w:val="000000" w:themeColor="text1"/>
        </w:rPr>
        <w:t>es pública</w:t>
      </w:r>
      <w:r w:rsidRPr="00773EBE">
        <w:rPr>
          <w:rFonts w:ascii="Palatino Linotype" w:eastAsia="Palatino Linotype" w:hAnsi="Palatino Linotype" w:cs="Palatino Linotype"/>
          <w:i/>
          <w:iCs/>
          <w:color w:val="000000" w:themeColor="text1"/>
        </w:rPr>
        <w:t xml:space="preserve"> y sólo podrá ser reservada temporalmente por razones de interés público y seguridad nacional, en los términos que fijen las leyes. </w:t>
      </w:r>
      <w:r w:rsidRPr="00773EBE">
        <w:rPr>
          <w:rFonts w:ascii="Palatino Linotype" w:eastAsia="Palatino Linotype" w:hAnsi="Palatino Linotype" w:cs="Palatino Linotype"/>
          <w:b/>
          <w:bCs/>
          <w:i/>
          <w:iCs/>
          <w:color w:val="000000" w:themeColor="text1"/>
        </w:rPr>
        <w:t>En la interpretación de este derecho deberá prevalecer el principio de máxima publicidad. Los sujetos obligados deberán documentar todo acto que derive del ejercicio de sus facultades, competencias o funciones</w:t>
      </w:r>
      <w:r w:rsidRPr="00773EBE">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rsidR="00AA21CF" w:rsidRPr="00773EBE" w:rsidRDefault="00AA21CF" w:rsidP="00773EBE">
      <w:pPr>
        <w:tabs>
          <w:tab w:val="left" w:pos="567"/>
        </w:tabs>
        <w:spacing w:before="240"/>
        <w:jc w:val="both"/>
        <w:rPr>
          <w:rFonts w:ascii="Palatino Linotype" w:eastAsia="Palatino Linotype" w:hAnsi="Palatino Linotype" w:cs="Palatino Linotype"/>
          <w:b/>
          <w:bCs/>
          <w:i/>
          <w:iCs/>
          <w:color w:val="000000" w:themeColor="text1"/>
        </w:rPr>
      </w:pPr>
    </w:p>
    <w:p w:rsidR="00AA21CF" w:rsidRPr="00773EBE" w:rsidRDefault="00B333A6" w:rsidP="00773EBE">
      <w:pPr>
        <w:spacing w:after="240"/>
        <w:jc w:val="both"/>
        <w:rPr>
          <w:rFonts w:ascii="Palatino Linotype" w:eastAsia="Palatino Linotype" w:hAnsi="Palatino Linotype" w:cs="Palatino Linotype"/>
          <w:b/>
          <w:bCs/>
          <w:i/>
          <w:iCs/>
          <w:color w:val="000000" w:themeColor="text1"/>
        </w:rPr>
      </w:pPr>
      <w:r w:rsidRPr="00773EBE">
        <w:rPr>
          <w:rFonts w:ascii="Palatino Linotype" w:eastAsia="Palatino Linotype" w:hAnsi="Palatino Linotype" w:cs="Palatino Linotype"/>
          <w:b/>
          <w:bCs/>
          <w:i/>
          <w:iCs/>
          <w:color w:val="000000" w:themeColor="text1"/>
        </w:rPr>
        <w:t>Constitución Política del Estado Libre y Soberano de México</w:t>
      </w:r>
    </w:p>
    <w:p w:rsidR="00AA21CF" w:rsidRPr="00773EBE" w:rsidRDefault="00B333A6" w:rsidP="00773EBE">
      <w:pPr>
        <w:spacing w:before="240" w:after="240"/>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“Artículo 5</w:t>
      </w:r>
      <w:r w:rsidRPr="00773EBE">
        <w:rPr>
          <w:rFonts w:ascii="Palatino Linotype" w:eastAsia="Palatino Linotype" w:hAnsi="Palatino Linotype" w:cs="Palatino Linotype"/>
          <w:i/>
          <w:iCs/>
          <w:color w:val="000000" w:themeColor="text1"/>
        </w:rPr>
        <w:t xml:space="preserve">.- </w:t>
      </w:r>
    </w:p>
    <w:p w:rsidR="00AA21CF" w:rsidRPr="00773EBE" w:rsidRDefault="00B333A6" w:rsidP="00773EBE">
      <w:pPr>
        <w:spacing w:before="240" w:after="240"/>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w:t>
      </w:r>
    </w:p>
    <w:p w:rsidR="00AA21CF" w:rsidRPr="00773EBE" w:rsidRDefault="00B333A6" w:rsidP="00773EBE">
      <w:pPr>
        <w:spacing w:before="240" w:after="240"/>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lastRenderedPageBreak/>
        <w:t>El derecho a la información será garantizado por el Estado. La ley establecerá las previsiones que permitan asegurar la protección, el respeto y la difusión de este derecho</w:t>
      </w:r>
      <w:r w:rsidRPr="00773EBE">
        <w:rPr>
          <w:rFonts w:ascii="Palatino Linotype" w:eastAsia="Palatino Linotype" w:hAnsi="Palatino Linotype" w:cs="Palatino Linotype"/>
          <w:i/>
          <w:iCs/>
          <w:color w:val="000000" w:themeColor="text1"/>
        </w:rPr>
        <w:t>.</w:t>
      </w:r>
    </w:p>
    <w:p w:rsidR="00AA21CF" w:rsidRPr="00773EBE" w:rsidRDefault="00B333A6" w:rsidP="00773EBE">
      <w:pPr>
        <w:spacing w:before="240" w:after="240"/>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A21CF" w:rsidRPr="00773EBE" w:rsidRDefault="00B333A6" w:rsidP="00773EBE">
      <w:pPr>
        <w:spacing w:before="240" w:after="240"/>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Este derecho se regirá por los principios y bases siguientes</w:t>
      </w:r>
      <w:r w:rsidRPr="00773EBE">
        <w:rPr>
          <w:rFonts w:ascii="Palatino Linotype" w:eastAsia="Palatino Linotype" w:hAnsi="Palatino Linotype" w:cs="Palatino Linotype"/>
          <w:i/>
          <w:iCs/>
          <w:color w:val="000000" w:themeColor="text1"/>
        </w:rPr>
        <w:t>:</w:t>
      </w:r>
    </w:p>
    <w:p w:rsidR="00AA21CF" w:rsidRPr="00773EBE" w:rsidRDefault="00B333A6" w:rsidP="00773EBE">
      <w:pPr>
        <w:spacing w:before="240" w:after="240"/>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I. Toda la información en posesión de cualquier autoridad, entidad, órgano y organismos de los</w:t>
      </w:r>
      <w:r w:rsidRPr="00773EBE">
        <w:rPr>
          <w:rFonts w:ascii="Palatino Linotype" w:eastAsia="Palatino Linotype" w:hAnsi="Palatino Linotype" w:cs="Palatino Linotype"/>
          <w:i/>
          <w:iCs/>
          <w:color w:val="000000" w:themeColor="text1"/>
        </w:rPr>
        <w:t xml:space="preserve"> Poderes Ejecutivo, Legislativo y Judicial, órganos autónomos, partidos políticos, fideicomisos y fondos públicos estatales y </w:t>
      </w:r>
      <w:r w:rsidRPr="00773EBE">
        <w:rPr>
          <w:rFonts w:ascii="Palatino Linotype" w:eastAsia="Palatino Linotype" w:hAnsi="Palatino Linotype" w:cs="Palatino Linotype"/>
          <w:b/>
          <w:bCs/>
          <w:i/>
          <w:iCs/>
          <w:color w:val="000000" w:themeColor="text1"/>
        </w:rPr>
        <w:t>municipales</w:t>
      </w:r>
      <w:r w:rsidRPr="00773EBE">
        <w:rPr>
          <w:rFonts w:ascii="Palatino Linotype" w:eastAsia="Palatino Linotype" w:hAnsi="Palatino Linotype" w:cs="Palatino Linotype"/>
          <w:i/>
          <w:iCs/>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73EBE">
        <w:rPr>
          <w:rFonts w:ascii="Palatino Linotype" w:eastAsia="Palatino Linotype" w:hAnsi="Palatino Linotype" w:cs="Palatino Linotype"/>
          <w:b/>
          <w:bCs/>
          <w:i/>
          <w:iCs/>
          <w:color w:val="000000" w:themeColor="text1"/>
        </w:rPr>
        <w:t>es pública</w:t>
      </w:r>
      <w:r w:rsidRPr="00773EBE">
        <w:rPr>
          <w:rFonts w:ascii="Palatino Linotype" w:eastAsia="Palatino Linotype" w:hAnsi="Palatino Linotype" w:cs="Palatino Linotype"/>
          <w:i/>
          <w:iCs/>
          <w:color w:val="000000" w:themeColor="text1"/>
        </w:rPr>
        <w:t xml:space="preserve"> y sólo podrá ser reservada temporalmente por razones previstas en la Constitución Política de los Estados Unidos Mexicanos de interés público y seguridad, en los términos que fijen las leyes. </w:t>
      </w:r>
      <w:r w:rsidRPr="00773EBE">
        <w:rPr>
          <w:rFonts w:ascii="Palatino Linotype" w:eastAsia="Palatino Linotype" w:hAnsi="Palatino Linotype" w:cs="Palatino Linotype"/>
          <w:b/>
          <w:bCs/>
          <w:i/>
          <w:iCs/>
          <w:color w:val="000000" w:themeColor="text1"/>
        </w:rPr>
        <w:t>En la interpretación de este derecho deberá prevalecer el principio de máxima publicidad</w:t>
      </w:r>
      <w:r w:rsidRPr="00773EBE">
        <w:rPr>
          <w:rFonts w:ascii="Palatino Linotype" w:eastAsia="Palatino Linotype" w:hAnsi="Palatino Linotype" w:cs="Palatino Linotype"/>
          <w:i/>
          <w:iCs/>
          <w:color w:val="000000" w:themeColor="text1"/>
        </w:rPr>
        <w:t xml:space="preserve">. </w:t>
      </w:r>
      <w:r w:rsidRPr="00773EBE">
        <w:rPr>
          <w:rFonts w:ascii="Palatino Linotype" w:eastAsia="Palatino Linotype" w:hAnsi="Palatino Linotype" w:cs="Palatino Linotype"/>
          <w:b/>
          <w:bCs/>
          <w:i/>
          <w:iCs/>
          <w:color w:val="000000" w:themeColor="text1"/>
        </w:rPr>
        <w:t>Los sujetos obligados deberán documentar todo acto que derive del ejercicio de sus facultades, competencias o funciones</w:t>
      </w:r>
      <w:r w:rsidRPr="00773EBE">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rsidR="00AA21CF" w:rsidRPr="00773EBE" w:rsidRDefault="00AA21CF" w:rsidP="00773EBE">
      <w:pPr>
        <w:tabs>
          <w:tab w:val="left" w:pos="567"/>
        </w:tabs>
        <w:spacing w:before="240" w:after="240"/>
        <w:jc w:val="both"/>
        <w:rPr>
          <w:rFonts w:ascii="Palatino Linotype" w:eastAsia="Palatino Linotype" w:hAnsi="Palatino Linotype" w:cs="Palatino Linotype"/>
          <w:b/>
          <w:bCs/>
          <w:i/>
          <w:iCs/>
          <w:color w:val="000000" w:themeColor="text1"/>
        </w:rPr>
      </w:pPr>
    </w:p>
    <w:p w:rsidR="00AA21CF" w:rsidRPr="00773EBE" w:rsidRDefault="00B333A6" w:rsidP="00773EBE">
      <w:pPr>
        <w:numPr>
          <w:ilvl w:val="0"/>
          <w:numId w:val="4"/>
        </w:numPr>
        <w:spacing w:before="240"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773EBE">
        <w:rPr>
          <w:rFonts w:ascii="Palatino Linotype" w:eastAsia="Palatino Linotype" w:hAnsi="Palatino Linotype" w:cs="Palatino Linotype"/>
          <w:i/>
          <w:iCs/>
          <w:color w:val="000000" w:themeColor="text1"/>
        </w:rPr>
        <w:t>por los principios de simplicidad, rapidez gratuidad del procedimiento, auxilio y orientación a los particulares</w:t>
      </w:r>
      <w:r w:rsidRPr="00773EBE">
        <w:rPr>
          <w:rFonts w:ascii="Palatino Linotype" w:eastAsia="Palatino Linotype" w:hAnsi="Palatino Linotype" w:cs="Palatino Linotype"/>
          <w:color w:val="000000" w:themeColor="text1"/>
        </w:rPr>
        <w:t>, contemplando el derecho de las personas con discapacidad y hablantes de lengua indígena.</w:t>
      </w:r>
    </w:p>
    <w:p w:rsidR="00AA21CF" w:rsidRPr="00773EBE" w:rsidRDefault="00AA21CF" w:rsidP="00773EBE">
      <w:pP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773EBE">
        <w:rPr>
          <w:rFonts w:ascii="Palatino Linotype" w:eastAsia="Palatino Linotype" w:hAnsi="Palatino Linotype" w:cs="Palatino Linotype"/>
          <w:i/>
          <w:iCs/>
          <w:color w:val="000000" w:themeColor="text1"/>
        </w:rPr>
        <w:t>solicitudes de acceso a la información</w:t>
      </w:r>
      <w:r w:rsidRPr="00773EBE">
        <w:rPr>
          <w:rFonts w:ascii="Palatino Linotype" w:eastAsia="Palatino Linotype" w:hAnsi="Palatino Linotype" w:cs="Palatino Linotype"/>
          <w:color w:val="000000" w:themeColor="text1"/>
        </w:rPr>
        <w:t>.</w:t>
      </w:r>
    </w:p>
    <w:p w:rsidR="00AA21CF" w:rsidRPr="00773EBE" w:rsidRDefault="00AA21CF" w:rsidP="00773EBE">
      <w:pP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spacing w:line="360" w:lineRule="auto"/>
        <w:ind w:left="0" w:firstLine="0"/>
        <w:jc w:val="both"/>
        <w:rPr>
          <w:rFonts w:ascii="Palatino Linotype" w:eastAsia="Palatino Linotype" w:hAnsi="Palatino Linotype" w:cs="Palatino Linotype"/>
          <w:color w:val="000000" w:themeColor="text1"/>
        </w:rPr>
      </w:pPr>
      <w:bookmarkStart w:id="10" w:name="_heading=h.4d34og8" w:colFirst="0" w:colLast="0"/>
      <w:bookmarkEnd w:id="10"/>
      <w:r w:rsidRPr="00773EBE">
        <w:rPr>
          <w:rFonts w:ascii="Palatino Linotype" w:eastAsia="Palatino Linotype" w:hAnsi="Palatino Linotype" w:cs="Palatino Linotype"/>
          <w:color w:val="000000" w:themeColor="text1"/>
        </w:rPr>
        <w:lastRenderedPageBreak/>
        <w:t xml:space="preserve">Así entonces, se procede analizar, en primer lugar, si el </w:t>
      </w:r>
      <w:r w:rsidRPr="00773EBE">
        <w:rPr>
          <w:rFonts w:ascii="Palatino Linotype" w:eastAsia="Palatino Linotype" w:hAnsi="Palatino Linotype" w:cs="Palatino Linotype"/>
          <w:b/>
          <w:bCs/>
          <w:color w:val="000000" w:themeColor="text1"/>
        </w:rPr>
        <w:t>SUJETO OBLIGADO</w:t>
      </w:r>
      <w:r w:rsidRPr="00773EBE">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AA21CF" w:rsidRPr="00773EBE" w:rsidRDefault="00AA21CF" w:rsidP="00773EBE">
      <w:pP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keepNext/>
        <w:keepLines/>
        <w:spacing w:after="240" w:line="360" w:lineRule="auto"/>
        <w:rPr>
          <w:rFonts w:ascii="Palatino Linotype" w:eastAsia="Palatino Linotype" w:hAnsi="Palatino Linotype" w:cs="Palatino Linotype"/>
          <w:b/>
          <w:bCs/>
          <w:color w:val="000000" w:themeColor="text1"/>
        </w:rPr>
      </w:pPr>
      <w:bookmarkStart w:id="11" w:name="_heading=h.2s8eyo1" w:colFirst="0" w:colLast="0"/>
      <w:bookmarkEnd w:id="11"/>
      <w:r w:rsidRPr="00773EBE">
        <w:rPr>
          <w:rFonts w:ascii="Palatino Linotype" w:eastAsia="Palatino Linotype" w:hAnsi="Palatino Linotype" w:cs="Palatino Linotype"/>
          <w:b/>
          <w:bCs/>
          <w:color w:val="000000" w:themeColor="text1"/>
        </w:rPr>
        <w:t>II. De la información solicitada y la respuesta del SUJETO OBLIGADO</w:t>
      </w:r>
    </w:p>
    <w:p w:rsidR="00AA21CF" w:rsidRPr="00773EBE" w:rsidRDefault="00B333A6" w:rsidP="00773EBE">
      <w:pPr>
        <w:numPr>
          <w:ilvl w:val="0"/>
          <w:numId w:val="4"/>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Precisado lo anterior, se procede al análisis del requerimiento planteado por la persona solicitante y la respuesta proporcionada por el </w:t>
      </w:r>
      <w:r w:rsidRPr="00773EBE">
        <w:rPr>
          <w:rFonts w:ascii="Palatino Linotype" w:eastAsia="Palatino Linotype" w:hAnsi="Palatino Linotype" w:cs="Palatino Linotype"/>
          <w:b/>
          <w:bCs/>
          <w:color w:val="000000" w:themeColor="text1"/>
        </w:rPr>
        <w:t>SUJETO OBLIGADO</w:t>
      </w:r>
      <w:r w:rsidRPr="00773EBE">
        <w:rPr>
          <w:rFonts w:ascii="Palatino Linotype" w:eastAsia="Palatino Linotype" w:hAnsi="Palatino Linotype" w:cs="Palatino Linotype"/>
          <w:color w:val="000000" w:themeColor="text1"/>
        </w:rPr>
        <w:t xml:space="preserve">, a efecto de determinar si el derecho de acceso se satisfizo con las mismas, o en su defecto, señalar los documentos que en el ejercicio de sus atribuciones pudo haber generado, y que, de manera enunciativa más no limitativa, pudieran colmar dicho derecho. </w:t>
      </w:r>
    </w:p>
    <w:p w:rsidR="00AA21CF" w:rsidRPr="00773EBE" w:rsidRDefault="00AA21CF" w:rsidP="00773EBE">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highlight w:val="white"/>
        </w:rPr>
      </w:pPr>
    </w:p>
    <w:p w:rsidR="00AA21CF" w:rsidRPr="00773EBE" w:rsidRDefault="00B333A6" w:rsidP="00773EBE">
      <w:pPr>
        <w:numPr>
          <w:ilvl w:val="0"/>
          <w:numId w:val="4"/>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bCs/>
          <w:color w:val="000000" w:themeColor="text1"/>
          <w:highlight w:val="white"/>
        </w:rPr>
      </w:pPr>
      <w:r w:rsidRPr="00773EBE">
        <w:rPr>
          <w:rFonts w:ascii="Palatino Linotype" w:eastAsia="Palatino Linotype" w:hAnsi="Palatino Linotype" w:cs="Palatino Linotype"/>
          <w:color w:val="000000" w:themeColor="text1"/>
          <w:highlight w:val="white"/>
        </w:rPr>
        <w:t>Ahora bien, recapitulando las constancias que integran el expediente electrónico en que se actúa, se tiene que el particular solicitó</w:t>
      </w:r>
      <w:r w:rsidRPr="00773EBE">
        <w:rPr>
          <w:rFonts w:ascii="Palatino Linotype" w:eastAsia="Palatino Linotype" w:hAnsi="Palatino Linotype" w:cs="Palatino Linotype"/>
          <w:b/>
          <w:bCs/>
          <w:color w:val="000000" w:themeColor="text1"/>
          <w:highlight w:val="white"/>
        </w:rPr>
        <w:t xml:space="preserve"> información disponible, desglosada, clara y detallada del uno de enero al treinta y uno de diciembre de dos mil veinticuatro y del uno de enero al diez de junio de dos mil veinticinco de las: </w:t>
      </w:r>
    </w:p>
    <w:p w:rsidR="00AA21CF" w:rsidRPr="00773EBE" w:rsidRDefault="00B333A6" w:rsidP="006C0051">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bCs/>
          <w:color w:val="000000" w:themeColor="text1"/>
          <w:highlight w:val="white"/>
        </w:rPr>
      </w:pPr>
      <w:r w:rsidRPr="00773EBE">
        <w:rPr>
          <w:rFonts w:ascii="Palatino Linotype" w:eastAsia="Palatino Linotype" w:hAnsi="Palatino Linotype" w:cs="Palatino Linotype"/>
          <w:b/>
          <w:bCs/>
          <w:color w:val="000000" w:themeColor="text1"/>
          <w:highlight w:val="white"/>
        </w:rPr>
        <w:t>Cafeterías</w:t>
      </w:r>
    </w:p>
    <w:p w:rsidR="00AA21CF" w:rsidRPr="00773EBE" w:rsidRDefault="00B333A6" w:rsidP="006C0051">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bCs/>
          <w:color w:val="000000" w:themeColor="text1"/>
          <w:highlight w:val="white"/>
        </w:rPr>
      </w:pPr>
      <w:r w:rsidRPr="00773EBE">
        <w:rPr>
          <w:rFonts w:ascii="Palatino Linotype" w:eastAsia="Palatino Linotype" w:hAnsi="Palatino Linotype" w:cs="Palatino Linotype"/>
          <w:b/>
          <w:bCs/>
          <w:color w:val="000000" w:themeColor="text1"/>
          <w:highlight w:val="white"/>
        </w:rPr>
        <w:t>Centros de Alimentos</w:t>
      </w:r>
    </w:p>
    <w:p w:rsidR="00AA21CF" w:rsidRPr="00773EBE" w:rsidRDefault="00B333A6" w:rsidP="006C0051">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bCs/>
          <w:color w:val="000000" w:themeColor="text1"/>
          <w:highlight w:val="white"/>
        </w:rPr>
      </w:pPr>
      <w:r w:rsidRPr="00773EBE">
        <w:rPr>
          <w:rFonts w:ascii="Palatino Linotype" w:eastAsia="Palatino Linotype" w:hAnsi="Palatino Linotype" w:cs="Palatino Linotype"/>
          <w:b/>
          <w:bCs/>
          <w:color w:val="000000" w:themeColor="text1"/>
          <w:highlight w:val="white"/>
        </w:rPr>
        <w:t xml:space="preserve">Centros de Copiado </w:t>
      </w:r>
    </w:p>
    <w:p w:rsidR="00AA21CF" w:rsidRPr="00773EBE" w:rsidRDefault="00AA21CF" w:rsidP="00773EBE">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lastRenderedPageBreak/>
        <w:t xml:space="preserve">Al respecto el </w:t>
      </w:r>
      <w:r w:rsidRPr="00773EBE">
        <w:rPr>
          <w:rFonts w:ascii="Palatino Linotype" w:eastAsia="Palatino Linotype" w:hAnsi="Palatino Linotype" w:cs="Palatino Linotype"/>
          <w:b/>
          <w:bCs/>
          <w:color w:val="000000" w:themeColor="text1"/>
        </w:rPr>
        <w:t xml:space="preserve">SUJETO OBLIGADO </w:t>
      </w:r>
      <w:r w:rsidRPr="00773EBE">
        <w:rPr>
          <w:rFonts w:ascii="Palatino Linotype" w:eastAsia="Palatino Linotype" w:hAnsi="Palatino Linotype" w:cs="Palatino Linotype"/>
          <w:color w:val="000000" w:themeColor="text1"/>
        </w:rPr>
        <w:t xml:space="preserve">informó, que derivado a que está realizando un requerimiento con ciertas características, se encuentra imposibilitado en brindar contestación en los términos solicitados, toda vez que no existe obligación de elaborar documentos </w:t>
      </w:r>
      <w:r w:rsidRPr="00773EBE">
        <w:rPr>
          <w:rFonts w:ascii="Palatino Linotype" w:eastAsia="Palatino Linotype" w:hAnsi="Palatino Linotype" w:cs="Palatino Linotype"/>
          <w:i/>
          <w:iCs/>
          <w:color w:val="000000" w:themeColor="text1"/>
        </w:rPr>
        <w:t xml:space="preserve">ad hoc, </w:t>
      </w:r>
      <w:r w:rsidRPr="00773EBE">
        <w:rPr>
          <w:rFonts w:ascii="Palatino Linotype" w:eastAsia="Palatino Linotype" w:hAnsi="Palatino Linotype" w:cs="Palatino Linotype"/>
          <w:color w:val="000000" w:themeColor="text1"/>
        </w:rPr>
        <w:t xml:space="preserve">para atender las solicitudes de acceso a la información, ya que los sujeto obligados deben garantizar el derecho de acceso a la información del particular, proporcionando la información con la que cuentan en el formato en que obre en sus archivos, no obstante refiere que toda la información de esa Institución se encuentra disponible en el portal de Información Pública de Oficio Mexiquense (IPOMEX), proporcionando el link, </w:t>
      </w:r>
      <w:hyperlink r:id="rId10" w:anchor="/obligaciones/41">
        <w:r w:rsidRPr="00773EBE">
          <w:rPr>
            <w:rFonts w:ascii="Palatino Linotype" w:eastAsia="Palatino Linotype" w:hAnsi="Palatino Linotype" w:cs="Palatino Linotype"/>
            <w:color w:val="000000" w:themeColor="text1"/>
            <w:u w:val="single"/>
          </w:rPr>
          <w:t>https://ipomex.org.mx/ipomex/#/obligaciones/41</w:t>
        </w:r>
      </w:hyperlink>
      <w:r w:rsidRPr="00773EBE">
        <w:rPr>
          <w:rFonts w:ascii="Palatino Linotype" w:eastAsia="Palatino Linotype" w:hAnsi="Palatino Linotype" w:cs="Palatino Linotype"/>
          <w:color w:val="000000" w:themeColor="text1"/>
        </w:rPr>
        <w:t>.</w:t>
      </w:r>
    </w:p>
    <w:p w:rsidR="00AA21CF" w:rsidRPr="00773EBE" w:rsidRDefault="00AA21CF" w:rsidP="00773EBE">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Derivado de lo anterior, este Organismo Protector se dio a la tarea de ingresar al enlace proporcionado; siendo el resultado lo siguiente:</w:t>
      </w:r>
    </w:p>
    <w:p w:rsidR="00AA21CF" w:rsidRPr="00773EBE" w:rsidRDefault="00AA21CF" w:rsidP="00773EBE">
      <w:pPr>
        <w:pBdr>
          <w:top w:val="nil"/>
          <w:left w:val="nil"/>
          <w:bottom w:val="nil"/>
          <w:right w:val="nil"/>
          <w:between w:val="nil"/>
        </w:pBdr>
        <w:rPr>
          <w:rFonts w:ascii="Palatino Linotype" w:eastAsia="Palatino Linotype" w:hAnsi="Palatino Linotype" w:cs="Palatino Linotype"/>
          <w:color w:val="000000" w:themeColor="text1"/>
        </w:rPr>
      </w:pPr>
    </w:p>
    <w:p w:rsidR="00AA21CF" w:rsidRPr="00773EBE" w:rsidRDefault="00B333A6" w:rsidP="00773EBE">
      <w:pPr>
        <w:spacing w:line="360" w:lineRule="auto"/>
        <w:jc w:val="center"/>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noProof/>
          <w:color w:val="000000" w:themeColor="text1"/>
        </w:rPr>
        <w:drawing>
          <wp:inline distT="0" distB="0" distL="0" distR="0">
            <wp:extent cx="3115415" cy="2494033"/>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115415" cy="2494033"/>
                    </a:xfrm>
                    <a:prstGeom prst="rect">
                      <a:avLst/>
                    </a:prstGeom>
                    <a:ln/>
                  </pic:spPr>
                </pic:pic>
              </a:graphicData>
            </a:graphic>
          </wp:inline>
        </w:drawing>
      </w:r>
    </w:p>
    <w:p w:rsidR="00AA21CF" w:rsidRPr="00773EBE" w:rsidRDefault="00AA21CF" w:rsidP="00773EBE">
      <w:pP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lastRenderedPageBreak/>
        <w:t>Por lo anterior, este Organismo Garante considera que el enlace proporcionado en respuesta no puede tenerse por válido, toda vez que los enlaces electrónicos deben ser precisos y directos, sin embargo, en el caso particular, la información no se encuentra disponible para su consulta.</w:t>
      </w:r>
    </w:p>
    <w:p w:rsidR="00AA21CF" w:rsidRPr="00773EBE" w:rsidRDefault="00AA21CF" w:rsidP="00773EBE">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Al respecto es necesario traer a contexto lo establecido por los artículos 11 y 161 de la Ley de Transparencia y Acceso a la Información Pública del Estado de México y Municipios,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AA21CF" w:rsidRPr="00773EBE" w:rsidRDefault="00B333A6" w:rsidP="00773EBE">
      <w:pPr>
        <w:pBdr>
          <w:top w:val="nil"/>
          <w:left w:val="nil"/>
          <w:bottom w:val="nil"/>
          <w:right w:val="nil"/>
          <w:between w:val="nil"/>
        </w:pBdr>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i/>
          <w:iCs/>
          <w:color w:val="000000" w:themeColor="text1"/>
        </w:rPr>
        <w:t xml:space="preserve">“Artículo 11. </w:t>
      </w:r>
      <w:r w:rsidRPr="00773EBE">
        <w:rPr>
          <w:rFonts w:ascii="Palatino Linotype" w:eastAsia="Palatino Linotype" w:hAnsi="Palatino Linotype" w:cs="Palatino Linotype"/>
          <w:b/>
          <w:bCs/>
          <w:i/>
          <w:iCs/>
          <w:color w:val="000000" w:themeColor="text1"/>
          <w:u w:val="single"/>
        </w:rPr>
        <w:t>En la generación, publicación y entrega de información se deberá garantizar que ésta sea accesible, actualizada, completa, congruente, confiable, verificable, veraz, integral, oportuna y expedita</w:t>
      </w:r>
      <w:r w:rsidRPr="00773EBE">
        <w:rPr>
          <w:rFonts w:ascii="Palatino Linotype" w:eastAsia="Palatino Linotype" w:hAnsi="Palatino Linotype" w:cs="Palatino Linotype"/>
          <w:i/>
          <w:iCs/>
          <w:color w:val="000000" w:themeColor="text1"/>
        </w:rPr>
        <w:t>, sujeta a un claro régimen de excepciones que deberá estar definido y ser además legítima y estrictamente necesaria en una sociedad democrática, por lo que atenderá las necesidades del derecho de acceso a la información de toda persona.</w:t>
      </w:r>
    </w:p>
    <w:p w:rsidR="00AA21CF" w:rsidRPr="00773EBE" w:rsidRDefault="00B333A6" w:rsidP="00773EBE">
      <w:pPr>
        <w:pBdr>
          <w:top w:val="nil"/>
          <w:left w:val="nil"/>
          <w:bottom w:val="nil"/>
          <w:right w:val="nil"/>
          <w:between w:val="nil"/>
        </w:pBdr>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i/>
          <w:iCs/>
          <w:color w:val="000000" w:themeColor="text1"/>
        </w:rPr>
        <w:t>[…]</w:t>
      </w:r>
    </w:p>
    <w:p w:rsidR="00AA21CF" w:rsidRPr="00773EBE" w:rsidRDefault="00AA21CF" w:rsidP="00773EBE">
      <w:pPr>
        <w:pBdr>
          <w:top w:val="nil"/>
          <w:left w:val="nil"/>
          <w:bottom w:val="nil"/>
          <w:right w:val="nil"/>
          <w:between w:val="nil"/>
        </w:pBdr>
        <w:rPr>
          <w:rFonts w:ascii="Palatino Linotype" w:eastAsia="Palatino Linotype" w:hAnsi="Palatino Linotype" w:cs="Palatino Linotype"/>
          <w:color w:val="000000" w:themeColor="text1"/>
        </w:rPr>
      </w:pPr>
    </w:p>
    <w:p w:rsidR="00AA21CF" w:rsidRPr="00773EBE" w:rsidRDefault="00B333A6" w:rsidP="00773EBE">
      <w:pPr>
        <w:pBdr>
          <w:top w:val="nil"/>
          <w:left w:val="nil"/>
          <w:bottom w:val="nil"/>
          <w:right w:val="nil"/>
          <w:between w:val="nil"/>
        </w:pBdr>
        <w:jc w:val="both"/>
        <w:rPr>
          <w:rFonts w:ascii="Palatino Linotype" w:eastAsia="Palatino Linotype" w:hAnsi="Palatino Linotype" w:cs="Palatino Linotype"/>
          <w:b/>
          <w:bCs/>
          <w:color w:val="000000" w:themeColor="text1"/>
        </w:rPr>
      </w:pPr>
      <w:r w:rsidRPr="00773EBE">
        <w:rPr>
          <w:rFonts w:ascii="Palatino Linotype" w:eastAsia="Palatino Linotype" w:hAnsi="Palatino Linotype" w:cs="Palatino Linotype"/>
          <w:i/>
          <w:iCs/>
          <w:color w:val="000000" w:themeColor="text1"/>
        </w:rPr>
        <w:t>Artículo 161</w:t>
      </w:r>
      <w:r w:rsidRPr="00773EBE">
        <w:rPr>
          <w:rFonts w:ascii="Palatino Linotype" w:eastAsia="Palatino Linotype" w:hAnsi="Palatino Linotype" w:cs="Palatino Linotype"/>
          <w:b/>
          <w:bCs/>
          <w:i/>
          <w:iCs/>
          <w:color w:val="000000" w:themeColor="text1"/>
        </w:rPr>
        <w:t xml:space="preserve">. </w:t>
      </w:r>
      <w:r w:rsidRPr="00773EBE">
        <w:rPr>
          <w:rFonts w:ascii="Palatino Linotype" w:eastAsia="Palatino Linotype" w:hAnsi="Palatino Linotype" w:cs="Palatino Linotype"/>
          <w:b/>
          <w:bCs/>
          <w:i/>
          <w:iCs/>
          <w:color w:val="000000" w:themeColor="text1"/>
          <w:u w:val="single"/>
        </w:rPr>
        <w:t>Cuando la información requerida por el solicitante ya esté disponible al público</w:t>
      </w:r>
      <w:r w:rsidRPr="00773EBE">
        <w:rPr>
          <w:rFonts w:ascii="Palatino Linotype" w:eastAsia="Palatino Linotype" w:hAnsi="Palatino Linotype" w:cs="Palatino Linotype"/>
          <w:i/>
          <w:iCs/>
          <w:color w:val="000000" w:themeColor="text1"/>
        </w:rPr>
        <w:t xml:space="preserve"> en medios impresos, tales como libros, compendios, trípticos, registros públicos, </w:t>
      </w:r>
      <w:r w:rsidRPr="00773EBE">
        <w:rPr>
          <w:rFonts w:ascii="Palatino Linotype" w:eastAsia="Palatino Linotype" w:hAnsi="Palatino Linotype" w:cs="Palatino Linotype"/>
          <w:b/>
          <w:bCs/>
          <w:i/>
          <w:iCs/>
          <w:color w:val="000000" w:themeColor="text1"/>
          <w:u w:val="single"/>
        </w:rPr>
        <w:t xml:space="preserve">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p>
    <w:p w:rsidR="00AA21CF" w:rsidRPr="00773EBE" w:rsidRDefault="00AA21CF" w:rsidP="00773EBE">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w:t>
      </w:r>
      <w:r w:rsidRPr="00773EBE">
        <w:rPr>
          <w:rFonts w:ascii="Palatino Linotype" w:eastAsia="Palatino Linotype" w:hAnsi="Palatino Linotype" w:cs="Palatino Linotype"/>
          <w:color w:val="000000" w:themeColor="text1"/>
        </w:rPr>
        <w:lastRenderedPageBreak/>
        <w:t xml:space="preserve">sobre información que se encuentre disponible en libros, compendios, formatos electrónicos, entre otros, haciéndole saber al solicitante como podrá consultar, reproducir o adquirir la información, en un plazo </w:t>
      </w:r>
      <w:r w:rsidRPr="00773EBE">
        <w:rPr>
          <w:rFonts w:ascii="Palatino Linotype" w:eastAsia="Palatino Linotype" w:hAnsi="Palatino Linotype" w:cs="Palatino Linotype"/>
          <w:b/>
          <w:bCs/>
          <w:color w:val="000000" w:themeColor="text1"/>
        </w:rPr>
        <w:t>no mayor a cinco días hábiles</w:t>
      </w:r>
      <w:r w:rsidRPr="00773EBE">
        <w:rPr>
          <w:rFonts w:ascii="Palatino Linotype" w:eastAsia="Palatino Linotype" w:hAnsi="Palatino Linotype" w:cs="Palatino Linotype"/>
          <w:color w:val="000000" w:themeColor="text1"/>
        </w:rPr>
        <w:t>, comprendiendo la fuente, el lugar y la forma. Así mismo se establece que la fuente de la información deberá ser precisa, concreta y no debe de implicar que el solicitante realice una búsqueda en toda la información que se encuentre disponible.</w:t>
      </w:r>
    </w:p>
    <w:p w:rsidR="00AA21CF" w:rsidRPr="00773EBE" w:rsidRDefault="00AA21CF" w:rsidP="00773EBE">
      <w:pP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Imperativos legales que establecen el procedimiento que debe seguir el </w:t>
      </w:r>
      <w:r w:rsidRPr="00773EBE">
        <w:rPr>
          <w:rFonts w:ascii="Palatino Linotype" w:eastAsia="Palatino Linotype" w:hAnsi="Palatino Linotype" w:cs="Palatino Linotype"/>
          <w:b/>
          <w:bCs/>
          <w:color w:val="000000" w:themeColor="text1"/>
        </w:rPr>
        <w:t xml:space="preserve">SUJETO OBLIGADO </w:t>
      </w:r>
      <w:r w:rsidRPr="00773EBE">
        <w:rPr>
          <w:rFonts w:ascii="Palatino Linotype" w:eastAsia="Palatino Linotype" w:hAnsi="Palatino Linotype" w:cs="Palatino Linotype"/>
          <w:color w:val="000000" w:themeColor="text1"/>
        </w:rPr>
        <w:t xml:space="preserve">para que pueda tomarse como válida su orientación sobre la forma en que puede consultar la información requerida, y que, en el caso en concreto, no acontece; ello porque el </w:t>
      </w:r>
      <w:r w:rsidRPr="00773EBE">
        <w:rPr>
          <w:rFonts w:ascii="Palatino Linotype" w:eastAsia="Palatino Linotype" w:hAnsi="Palatino Linotype" w:cs="Palatino Linotype"/>
          <w:b/>
          <w:bCs/>
          <w:color w:val="000000" w:themeColor="text1"/>
        </w:rPr>
        <w:t>SUJETO OBLIGADO</w:t>
      </w:r>
      <w:r w:rsidRPr="00773EBE">
        <w:rPr>
          <w:rFonts w:ascii="Palatino Linotype" w:eastAsia="Palatino Linotype" w:hAnsi="Palatino Linotype" w:cs="Palatino Linotype"/>
          <w:color w:val="000000" w:themeColor="text1"/>
        </w:rPr>
        <w:t xml:space="preserve"> se limitó a proporcionar una dirección electrónica que conducen a la página principal de Información Pública de Oficio (IPOMEX) del Sujeto Obligado, sin que señalara puntualmente los apartados en los que se localiza la información requerida,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rsidR="00AA21CF" w:rsidRPr="00773EBE" w:rsidRDefault="00AA21CF" w:rsidP="00773EBE">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Aunado a lo anterior, cabe señalar que al revisar el expediente electrónico del caso que nos ocupa, se desprende que el </w:t>
      </w:r>
      <w:r w:rsidRPr="00773EBE">
        <w:rPr>
          <w:rFonts w:ascii="Palatino Linotype" w:eastAsia="Palatino Linotype" w:hAnsi="Palatino Linotype" w:cs="Palatino Linotype"/>
          <w:b/>
          <w:bCs/>
          <w:color w:val="000000" w:themeColor="text1"/>
        </w:rPr>
        <w:t xml:space="preserve">SUJETO OBLIGADO, </w:t>
      </w:r>
      <w:r w:rsidRPr="00773EBE">
        <w:rPr>
          <w:rFonts w:ascii="Palatino Linotype" w:eastAsia="Palatino Linotype" w:hAnsi="Palatino Linotype" w:cs="Palatino Linotype"/>
          <w:color w:val="000000" w:themeColor="text1"/>
        </w:rPr>
        <w:t xml:space="preserve">emitió  respuesta a la solicitud por medio del Jefe de la Unidad Jurídica de Igualdad de Género y Erradicación de la Violencia, en fecha </w:t>
      </w:r>
      <w:r w:rsidRPr="00773EBE">
        <w:rPr>
          <w:rFonts w:ascii="Palatino Linotype" w:eastAsia="Palatino Linotype" w:hAnsi="Palatino Linotype" w:cs="Palatino Linotype"/>
          <w:b/>
          <w:bCs/>
          <w:color w:val="000000" w:themeColor="text1"/>
        </w:rPr>
        <w:t>dieciocho de junio de dos mil veinticinco</w:t>
      </w:r>
      <w:r w:rsidRPr="00773EBE">
        <w:rPr>
          <w:rFonts w:ascii="Palatino Linotype" w:eastAsia="Palatino Linotype" w:hAnsi="Palatino Linotype" w:cs="Palatino Linotype"/>
          <w:color w:val="000000" w:themeColor="text1"/>
        </w:rPr>
        <w:t xml:space="preserve">, es decir </w:t>
      </w:r>
      <w:r w:rsidRPr="00773EBE">
        <w:rPr>
          <w:rFonts w:ascii="Palatino Linotype" w:eastAsia="Palatino Linotype" w:hAnsi="Palatino Linotype" w:cs="Palatino Linotype"/>
          <w:b/>
          <w:bCs/>
          <w:color w:val="000000" w:themeColor="text1"/>
        </w:rPr>
        <w:t>cinco días hábiles</w:t>
      </w:r>
      <w:r w:rsidRPr="00773EBE">
        <w:rPr>
          <w:rFonts w:ascii="Palatino Linotype" w:eastAsia="Palatino Linotype" w:hAnsi="Palatino Linotype" w:cs="Palatino Linotype"/>
          <w:color w:val="000000" w:themeColor="text1"/>
        </w:rPr>
        <w:t xml:space="preserve"> </w:t>
      </w:r>
      <w:r w:rsidRPr="00773EBE">
        <w:rPr>
          <w:rFonts w:ascii="Palatino Linotype" w:eastAsia="Palatino Linotype" w:hAnsi="Palatino Linotype" w:cs="Palatino Linotype"/>
          <w:color w:val="000000" w:themeColor="text1"/>
        </w:rPr>
        <w:lastRenderedPageBreak/>
        <w:t>posteriores a la solicitud de información, que si bien se da cumplimiento con el término, esta información garantiza el derecho de acceso a la información del particular.</w:t>
      </w:r>
    </w:p>
    <w:p w:rsidR="00AA21CF" w:rsidRPr="00773EBE" w:rsidRDefault="00AA21CF" w:rsidP="00773EBE">
      <w:pPr>
        <w:pBdr>
          <w:top w:val="nil"/>
          <w:left w:val="nil"/>
          <w:bottom w:val="nil"/>
          <w:right w:val="nil"/>
          <w:between w:val="nil"/>
        </w:pBdr>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Debemos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773EBE">
        <w:rPr>
          <w:rFonts w:ascii="Palatino Linotype" w:eastAsia="Palatino Linotype" w:hAnsi="Palatino Linotype" w:cs="Palatino Linotype"/>
          <w:i/>
          <w:iCs/>
          <w:color w:val="000000" w:themeColor="text1"/>
        </w:rPr>
        <w:t xml:space="preserve">en el ámbito de sus atribuciones, de promover, respetar, proteger y </w:t>
      </w:r>
      <w:r w:rsidRPr="00773EBE">
        <w:rPr>
          <w:rFonts w:ascii="Palatino Linotype" w:eastAsia="Palatino Linotype" w:hAnsi="Palatino Linotype" w:cs="Palatino Linotype"/>
          <w:b/>
          <w:bCs/>
          <w:i/>
          <w:iCs/>
          <w:color w:val="000000" w:themeColor="text1"/>
        </w:rPr>
        <w:t>garantizar</w:t>
      </w:r>
      <w:r w:rsidRPr="00773EBE">
        <w:rPr>
          <w:rFonts w:ascii="Palatino Linotype" w:eastAsia="Palatino Linotype" w:hAnsi="Palatino Linotype" w:cs="Palatino Linotype"/>
          <w:i/>
          <w:iCs/>
          <w:color w:val="000000" w:themeColor="text1"/>
        </w:rPr>
        <w:t xml:space="preserve"> los derechos humanos. </w:t>
      </w:r>
      <w:r w:rsidRPr="00773EBE">
        <w:rPr>
          <w:rFonts w:ascii="Palatino Linotype" w:eastAsia="Palatino Linotype" w:hAnsi="Palatino Linotype" w:cs="Palatino Linotype"/>
          <w:b/>
          <w:bCs/>
          <w:i/>
          <w:iCs/>
          <w:color w:val="000000" w:themeColor="text1"/>
        </w:rPr>
        <w:t>En cuanto al derecho de acceso a la información, la Ley de Transparencia y Acceso a la Información Pública del Estado de México y Municipios prevé establece que e</w:t>
      </w:r>
      <w:r w:rsidRPr="00773EBE">
        <w:rPr>
          <w:rFonts w:ascii="Palatino Linotype" w:eastAsia="Palatino Linotype" w:hAnsi="Palatino Linotype" w:cs="Palatino Linotype"/>
          <w:i/>
          <w:iCs/>
          <w:color w:val="000000" w:themeColor="text1"/>
        </w:rPr>
        <w:t>l procedimiento de acceso a la información es la garantía primaria del derecho en cuestión y se rige por los principios de simplicidad, rapidez y gratuidad del procedimiento, auxilio y orientación a los particulares</w:t>
      </w:r>
      <w:r w:rsidRPr="00773EBE">
        <w:rPr>
          <w:rFonts w:ascii="Palatino Linotype" w:hAnsi="Palatino Linotype"/>
          <w:i/>
          <w:iCs/>
          <w:color w:val="000000" w:themeColor="text1"/>
          <w:vertAlign w:val="superscript"/>
        </w:rPr>
        <w:footnoteReference w:id="5"/>
      </w:r>
      <w:r w:rsidRPr="00773EBE">
        <w:rPr>
          <w:rFonts w:ascii="Palatino Linotype" w:eastAsia="Palatino Linotype" w:hAnsi="Palatino Linotype" w:cs="Palatino Linotype"/>
          <w:i/>
          <w:iCs/>
          <w:color w:val="000000" w:themeColor="text1"/>
        </w:rPr>
        <w:t xml:space="preserve">, </w:t>
      </w:r>
      <w:r w:rsidRPr="00773EBE">
        <w:rPr>
          <w:rFonts w:ascii="Palatino Linotype" w:eastAsia="Palatino Linotype" w:hAnsi="Palatino Linotype" w:cs="Palatino Linotype"/>
          <w:color w:val="000000" w:themeColor="text1"/>
        </w:rPr>
        <w:t>asimismo establece</w:t>
      </w:r>
      <w:r w:rsidRPr="00773EBE">
        <w:rPr>
          <w:rFonts w:ascii="Palatino Linotype" w:eastAsia="Palatino Linotype" w:hAnsi="Palatino Linotype" w:cs="Palatino Linotype"/>
          <w:i/>
          <w:iCs/>
          <w:color w:val="000000" w:themeColor="text1"/>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AA21CF" w:rsidRPr="00773EBE" w:rsidRDefault="00AA21CF" w:rsidP="00773EBE">
      <w:pPr>
        <w:pBdr>
          <w:top w:val="nil"/>
          <w:left w:val="nil"/>
          <w:bottom w:val="nil"/>
          <w:right w:val="nil"/>
          <w:between w:val="nil"/>
        </w:pBdr>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w:t>
      </w:r>
      <w:r w:rsidRPr="00773EBE">
        <w:rPr>
          <w:rFonts w:ascii="Palatino Linotype" w:eastAsia="Palatino Linotype" w:hAnsi="Palatino Linotype" w:cs="Palatino Linotype"/>
          <w:color w:val="000000" w:themeColor="text1"/>
        </w:rPr>
        <w:lastRenderedPageBreak/>
        <w:t>manera rápida los documentos que se soliciten o bien, simplemente para el desarrollo de sus facultades, competencias y atribuciones que a diario desempeñan.</w:t>
      </w:r>
    </w:p>
    <w:p w:rsidR="00AA21CF" w:rsidRPr="00773EBE" w:rsidRDefault="00AA21CF" w:rsidP="00773EBE">
      <w:pPr>
        <w:pBdr>
          <w:top w:val="nil"/>
          <w:left w:val="nil"/>
          <w:bottom w:val="nil"/>
          <w:right w:val="nil"/>
          <w:between w:val="nil"/>
        </w:pBdr>
        <w:rPr>
          <w:rFonts w:ascii="Palatino Linotype" w:eastAsia="Palatino Linotype" w:hAnsi="Palatino Linotype" w:cs="Palatino Linotype"/>
          <w:color w:val="000000" w:themeColor="text1"/>
        </w:rPr>
      </w:pPr>
    </w:p>
    <w:p w:rsidR="00AA21CF"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Es así que, su obligación es </w:t>
      </w:r>
      <w:r w:rsidRPr="00773EBE">
        <w:rPr>
          <w:rFonts w:ascii="Palatino Linotype" w:eastAsia="Palatino Linotype" w:hAnsi="Palatino Linotype" w:cs="Palatino Linotype"/>
          <w:i/>
          <w:iCs/>
          <w:color w:val="000000" w:themeColor="text1"/>
        </w:rPr>
        <w:t>realizar, con efectividad, los trámites internos necesarios para la atención de las solicitudes de información</w:t>
      </w:r>
      <w:r w:rsidRPr="00773EBE">
        <w:rPr>
          <w:rFonts w:ascii="Palatino Linotype" w:hAnsi="Palatino Linotype"/>
          <w:color w:val="000000" w:themeColor="text1"/>
          <w:vertAlign w:val="superscript"/>
        </w:rPr>
        <w:footnoteReference w:id="6"/>
      </w:r>
      <w:r w:rsidRPr="00773EBE">
        <w:rPr>
          <w:rFonts w:ascii="Palatino Linotype" w:eastAsia="Palatino Linotype" w:hAnsi="Palatino Linotype" w:cs="Palatino Linotype"/>
          <w:color w:val="000000" w:themeColor="text1"/>
        </w:rPr>
        <w:t>, es decir, deben otorgar respuestas concisas, contundentes y sobre todo que den la certeza de los actos que realizan.</w:t>
      </w:r>
    </w:p>
    <w:p w:rsidR="00773EBE" w:rsidRPr="00773EBE" w:rsidRDefault="00773EBE" w:rsidP="00773EB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Al respecto, es menester hacer referencia a lo establecido en los artículos 50, 53 fracciones II, IV y V, 58, 59 fracciones I y II, y 162 de la Ley de Transparencia y Acceso a la Información del Estado de México y Municipios, que a la letra estipulan lo siguiente:</w:t>
      </w:r>
    </w:p>
    <w:p w:rsidR="00AA21CF" w:rsidRPr="00773EBE" w:rsidRDefault="00B333A6" w:rsidP="00773EBE">
      <w:pPr>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Artículo 50. Los sujetos obligados contarán con un área responsable para la atención de las solicitudes de información, a la que se le denominará Unidad de Transparencia.</w:t>
      </w:r>
    </w:p>
    <w:p w:rsidR="00AA21CF" w:rsidRPr="00773EBE" w:rsidRDefault="00AA21CF" w:rsidP="00773EBE">
      <w:pPr>
        <w:jc w:val="both"/>
        <w:rPr>
          <w:rFonts w:ascii="Palatino Linotype" w:eastAsia="Palatino Linotype" w:hAnsi="Palatino Linotype" w:cs="Palatino Linotype"/>
          <w:i/>
          <w:iCs/>
          <w:color w:val="000000" w:themeColor="text1"/>
        </w:rPr>
      </w:pPr>
    </w:p>
    <w:p w:rsidR="00AA21CF" w:rsidRPr="00773EBE" w:rsidRDefault="00B333A6" w:rsidP="00773EBE">
      <w:pPr>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 xml:space="preserve">Artículo 53. </w:t>
      </w:r>
      <w:r w:rsidRPr="00773EBE">
        <w:rPr>
          <w:rFonts w:ascii="Palatino Linotype" w:eastAsia="Palatino Linotype" w:hAnsi="Palatino Linotype" w:cs="Palatino Linotype"/>
          <w:i/>
          <w:iCs/>
          <w:color w:val="000000" w:themeColor="text1"/>
        </w:rPr>
        <w:t>Las Unidades de Transparencia tendrán las siguientes funciones:</w:t>
      </w:r>
    </w:p>
    <w:p w:rsidR="00AA21CF" w:rsidRPr="00773EBE" w:rsidRDefault="00B333A6" w:rsidP="00773EBE">
      <w:pPr>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w:t>
      </w:r>
    </w:p>
    <w:p w:rsidR="00AA21CF" w:rsidRPr="00773EBE" w:rsidRDefault="00B333A6" w:rsidP="00773EBE">
      <w:pPr>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II.</w:t>
      </w:r>
      <w:r w:rsidRPr="00773EBE">
        <w:rPr>
          <w:rFonts w:ascii="Palatino Linotype" w:eastAsia="Palatino Linotype" w:hAnsi="Palatino Linotype" w:cs="Palatino Linotype"/>
          <w:i/>
          <w:iCs/>
          <w:color w:val="000000" w:themeColor="text1"/>
        </w:rPr>
        <w:t xml:space="preserve"> Recibir, tramitar y dar respuesta a las solicitudes de acceso a la información;</w:t>
      </w:r>
    </w:p>
    <w:p w:rsidR="00AA21CF" w:rsidRPr="00773EBE" w:rsidRDefault="00B333A6" w:rsidP="00773EBE">
      <w:pPr>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w:t>
      </w:r>
    </w:p>
    <w:p w:rsidR="00AA21CF" w:rsidRPr="00773EBE" w:rsidRDefault="00B333A6" w:rsidP="00773EBE">
      <w:pPr>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IV.</w:t>
      </w:r>
      <w:r w:rsidRPr="00773EBE">
        <w:rPr>
          <w:rFonts w:ascii="Palatino Linotype" w:eastAsia="Palatino Linotype" w:hAnsi="Palatino Linotype" w:cs="Palatino Linotype"/>
          <w:i/>
          <w:iCs/>
          <w:color w:val="000000" w:themeColor="text1"/>
        </w:rPr>
        <w:t xml:space="preserve"> Realizar, con efectividad, los trámites internos necesarios para la atención de las solicitudes de acceso a la información;</w:t>
      </w:r>
    </w:p>
    <w:p w:rsidR="00AA21CF" w:rsidRPr="00773EBE" w:rsidRDefault="00B333A6" w:rsidP="00773EBE">
      <w:pPr>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V.</w:t>
      </w:r>
      <w:r w:rsidRPr="00773EBE">
        <w:rPr>
          <w:rFonts w:ascii="Palatino Linotype" w:eastAsia="Palatino Linotype" w:hAnsi="Palatino Linotype" w:cs="Palatino Linotype"/>
          <w:i/>
          <w:iCs/>
          <w:color w:val="000000" w:themeColor="text1"/>
        </w:rPr>
        <w:t xml:space="preserve"> Entregar, en su caso, a los particulares la información solicitada;</w:t>
      </w:r>
    </w:p>
    <w:p w:rsidR="00AA21CF" w:rsidRPr="00773EBE" w:rsidRDefault="00B333A6" w:rsidP="00773EBE">
      <w:pPr>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w:t>
      </w:r>
    </w:p>
    <w:p w:rsidR="00AA21CF" w:rsidRPr="00773EBE" w:rsidRDefault="00AA21CF" w:rsidP="00773EBE">
      <w:pPr>
        <w:jc w:val="both"/>
        <w:rPr>
          <w:rFonts w:ascii="Palatino Linotype" w:eastAsia="Palatino Linotype" w:hAnsi="Palatino Linotype" w:cs="Palatino Linotype"/>
          <w:i/>
          <w:iCs/>
          <w:color w:val="000000" w:themeColor="text1"/>
        </w:rPr>
      </w:pPr>
    </w:p>
    <w:p w:rsidR="00AA21CF" w:rsidRPr="00773EBE" w:rsidRDefault="00B333A6" w:rsidP="00773EBE">
      <w:pPr>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 xml:space="preserve">Artículo 58. </w:t>
      </w:r>
      <w:r w:rsidRPr="00773EBE">
        <w:rPr>
          <w:rFonts w:ascii="Palatino Linotype" w:eastAsia="Palatino Linotype" w:hAnsi="Palatino Linotype" w:cs="Palatino Linotype"/>
          <w:i/>
          <w:iCs/>
          <w:color w:val="000000" w:themeColor="text1"/>
        </w:rPr>
        <w:t>Los servidores públicos habilitados serán designados por el titular del sujeto obligado a propuesta del responsable de la Unidad de Transparencia.</w:t>
      </w:r>
    </w:p>
    <w:p w:rsidR="00AA21CF" w:rsidRPr="00773EBE" w:rsidRDefault="00AA21CF" w:rsidP="00773EBE">
      <w:pPr>
        <w:jc w:val="both"/>
        <w:rPr>
          <w:rFonts w:ascii="Palatino Linotype" w:eastAsia="Palatino Linotype" w:hAnsi="Palatino Linotype" w:cs="Palatino Linotype"/>
          <w:i/>
          <w:iCs/>
          <w:color w:val="000000" w:themeColor="text1"/>
        </w:rPr>
      </w:pPr>
    </w:p>
    <w:p w:rsidR="00AA21CF" w:rsidRPr="00773EBE" w:rsidRDefault="00B333A6" w:rsidP="00773EBE">
      <w:pPr>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 xml:space="preserve">Artículo 59. </w:t>
      </w:r>
      <w:r w:rsidRPr="00773EBE">
        <w:rPr>
          <w:rFonts w:ascii="Palatino Linotype" w:eastAsia="Palatino Linotype" w:hAnsi="Palatino Linotype" w:cs="Palatino Linotype"/>
          <w:i/>
          <w:iCs/>
          <w:color w:val="000000" w:themeColor="text1"/>
        </w:rPr>
        <w:t>Los servidores públicos habilitados tendrán las funciones siguientes:</w:t>
      </w:r>
    </w:p>
    <w:p w:rsidR="00AA21CF" w:rsidRPr="00773EBE" w:rsidRDefault="00AA21CF" w:rsidP="00773EBE">
      <w:pPr>
        <w:jc w:val="both"/>
        <w:rPr>
          <w:rFonts w:ascii="Palatino Linotype" w:eastAsia="Palatino Linotype" w:hAnsi="Palatino Linotype" w:cs="Palatino Linotype"/>
          <w:i/>
          <w:iCs/>
          <w:color w:val="000000" w:themeColor="text1"/>
        </w:rPr>
      </w:pPr>
    </w:p>
    <w:p w:rsidR="00AA21CF" w:rsidRPr="00773EBE" w:rsidRDefault="00B333A6" w:rsidP="00773EBE">
      <w:pPr>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I.</w:t>
      </w:r>
      <w:r w:rsidRPr="00773EBE">
        <w:rPr>
          <w:rFonts w:ascii="Palatino Linotype" w:eastAsia="Palatino Linotype" w:hAnsi="Palatino Linotype" w:cs="Palatino Linotype"/>
          <w:i/>
          <w:iCs/>
          <w:color w:val="000000" w:themeColor="text1"/>
        </w:rPr>
        <w:t xml:space="preserve"> Localizar la información que le solicite la Unidad de Transparencia;</w:t>
      </w:r>
    </w:p>
    <w:p w:rsidR="00AA21CF" w:rsidRPr="00773EBE" w:rsidRDefault="00B333A6" w:rsidP="00773EBE">
      <w:pPr>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lastRenderedPageBreak/>
        <w:t>II.</w:t>
      </w:r>
      <w:r w:rsidRPr="00773EBE">
        <w:rPr>
          <w:rFonts w:ascii="Palatino Linotype" w:eastAsia="Palatino Linotype" w:hAnsi="Palatino Linotype" w:cs="Palatino Linotype"/>
          <w:i/>
          <w:iCs/>
          <w:color w:val="000000" w:themeColor="text1"/>
        </w:rPr>
        <w:t xml:space="preserve"> Proporcionar la información que obre en los archivos y que le sea solicitada por la Unidad de Transparencia;</w:t>
      </w:r>
    </w:p>
    <w:p w:rsidR="00AA21CF" w:rsidRPr="00773EBE" w:rsidRDefault="00B333A6" w:rsidP="00773EBE">
      <w:pPr>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w:t>
      </w:r>
    </w:p>
    <w:p w:rsidR="00AA21CF" w:rsidRPr="00773EBE" w:rsidRDefault="00AA21CF" w:rsidP="00773EBE">
      <w:pPr>
        <w:jc w:val="both"/>
        <w:rPr>
          <w:rFonts w:ascii="Palatino Linotype" w:eastAsia="Palatino Linotype" w:hAnsi="Palatino Linotype" w:cs="Palatino Linotype"/>
          <w:i/>
          <w:iCs/>
          <w:color w:val="000000" w:themeColor="text1"/>
        </w:rPr>
      </w:pPr>
    </w:p>
    <w:p w:rsidR="00AA21CF" w:rsidRPr="00773EBE" w:rsidRDefault="00B333A6" w:rsidP="00773EBE">
      <w:pPr>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 xml:space="preserve">Artículo 162. </w:t>
      </w:r>
      <w:r w:rsidRPr="00773EBE">
        <w:rPr>
          <w:rFonts w:ascii="Palatino Linotype" w:eastAsia="Palatino Linotype" w:hAnsi="Palatino Linotype" w:cs="Palatino Linotype"/>
          <w:i/>
          <w:iCs/>
          <w:color w:val="000000" w:themeColor="text1"/>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AA21CF" w:rsidRPr="00773EBE" w:rsidRDefault="00AA21CF" w:rsidP="00773EBE">
      <w:pP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De los artículos citados se desprende que las Unidades de Transparencia de los sujetos obligados son las encargadas de tramitar internamente 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Por su parte, los servidores públicos habilitados auxiliarán a las Unidades de Transparencia localizando la información solicitada y proporcionando la misma que obre en sus archivos. Asimismo, es una obligación de las Unidades de Transparencia turnar a todas las áreas que se consideren competentes para que realicen una búsqueda exhaustiva y razonable de la información solicitada a fin de que ésta sea entregada a los solicitantes.</w:t>
      </w:r>
    </w:p>
    <w:p w:rsidR="00AA21CF" w:rsidRPr="00773EBE" w:rsidRDefault="00AA21CF" w:rsidP="00773EB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w:t>
      </w:r>
    </w:p>
    <w:p w:rsidR="00AA21CF" w:rsidRPr="00773EBE" w:rsidRDefault="00AA21CF" w:rsidP="00773EBE">
      <w:pPr>
        <w:pBdr>
          <w:top w:val="nil"/>
          <w:left w:val="nil"/>
          <w:bottom w:val="nil"/>
          <w:right w:val="nil"/>
          <w:between w:val="nil"/>
        </w:pBdr>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lastRenderedPageBreak/>
        <w:t xml:space="preserve">En el caso que se resuelve, la respuesta fue emitida por el Jefe de la Unidad Jurídica de Igualdad de Género y Erradicación de la Violencia, no se omite mencionar que del expediente electrónico en el que se actúa no se advierte que la solicitud se hubiera turnado a las diversas áreas que de acuerdo a sus facultades o atribuciones pudieran generar, poseer y administrar la información solicitada. </w:t>
      </w:r>
    </w:p>
    <w:p w:rsidR="00AA21CF" w:rsidRPr="00773EBE" w:rsidRDefault="00AA21CF" w:rsidP="00773EBE">
      <w:pPr>
        <w:pBdr>
          <w:top w:val="nil"/>
          <w:left w:val="nil"/>
          <w:bottom w:val="nil"/>
          <w:right w:val="nil"/>
          <w:between w:val="nil"/>
        </w:pBdr>
        <w:rPr>
          <w:rFonts w:ascii="Palatino Linotype" w:eastAsia="Palatino Linotype" w:hAnsi="Palatino Linotype" w:cs="Palatino Linotype"/>
          <w:color w:val="000000" w:themeColor="text1"/>
        </w:rPr>
      </w:pPr>
    </w:p>
    <w:p w:rsidR="00AA21CF" w:rsidRPr="00773EBE" w:rsidRDefault="00B333A6" w:rsidP="00773EBE">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Ahora bien, la solicitud no se turnó a las áreas que de acuerdo a sus facultades pudieran tener en sus archivos la información solicitada, sin embargo, el Jefe de la Unidad Jurídica de Igualdad de Género y Erradicación de la Violencia, se limitó a indicar que toda la información de esa Institución se encuentra en la página de IPOMEX, proporcionado liga electrónica de consulta, que no cumple con lo establecido en los preceptos legales antes descritos. </w:t>
      </w:r>
    </w:p>
    <w:p w:rsidR="00AA21CF" w:rsidRPr="00773EBE" w:rsidRDefault="00AA21CF" w:rsidP="00773EBE">
      <w:pPr>
        <w:pBdr>
          <w:top w:val="nil"/>
          <w:left w:val="nil"/>
          <w:bottom w:val="nil"/>
          <w:right w:val="nil"/>
          <w:between w:val="nil"/>
        </w:pBdr>
        <w:rPr>
          <w:rFonts w:ascii="Palatino Linotype" w:eastAsia="Palatino Linotype" w:hAnsi="Palatino Linotype" w:cs="Palatino Linotype"/>
          <w:color w:val="000000" w:themeColor="text1"/>
        </w:rPr>
      </w:pPr>
    </w:p>
    <w:p w:rsidR="00AA21CF" w:rsidRPr="00773EBE" w:rsidRDefault="00B333A6" w:rsidP="00773EBE">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Por otro lado, como ya fue referido en párrafos anteriores, no se realizó una búsqueda exhaustiva de la información, es decir, que no se dio seguimiento al proceso de búsqueda establecido por la Ley, en ese sentido, conviene señalar lo establecido en el Reglamento Interior del Tecnológico de Estudios Superiores del Oriente del Estado de México:</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Artículo 12.-</w:t>
      </w:r>
      <w:r w:rsidRPr="00773EBE">
        <w:rPr>
          <w:rFonts w:ascii="Palatino Linotype" w:eastAsia="Palatino Linotype" w:hAnsi="Palatino Linotype" w:cs="Palatino Linotype"/>
          <w:i/>
          <w:iCs/>
          <w:color w:val="000000" w:themeColor="text1"/>
        </w:rPr>
        <w:t xml:space="preserve"> Para el estudio, planeación y despacho de los asuntos de su competencia, el Director contará con las siguientes unidades administrativas.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I. División de Ingeniería Industrial y Licenciatura en Contaduría;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II. Departamento de Control Escolar;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b/>
          <w:bCs/>
          <w:i/>
          <w:iCs/>
          <w:color w:val="000000" w:themeColor="text1"/>
        </w:rPr>
      </w:pPr>
      <w:r w:rsidRPr="00773EBE">
        <w:rPr>
          <w:rFonts w:ascii="Palatino Linotype" w:eastAsia="Palatino Linotype" w:hAnsi="Palatino Linotype" w:cs="Palatino Linotype"/>
          <w:b/>
          <w:bCs/>
          <w:i/>
          <w:iCs/>
          <w:color w:val="000000" w:themeColor="text1"/>
        </w:rPr>
        <w:t xml:space="preserve">III. Departamento de Planeación y Evaluación;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IV. Departamento de Vinculación; y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b/>
          <w:bCs/>
          <w:i/>
          <w:iCs/>
          <w:color w:val="000000" w:themeColor="text1"/>
        </w:rPr>
      </w:pPr>
      <w:r w:rsidRPr="00773EBE">
        <w:rPr>
          <w:rFonts w:ascii="Palatino Linotype" w:eastAsia="Palatino Linotype" w:hAnsi="Palatino Linotype" w:cs="Palatino Linotype"/>
          <w:b/>
          <w:bCs/>
          <w:i/>
          <w:iCs/>
          <w:color w:val="000000" w:themeColor="text1"/>
        </w:rPr>
        <w:t xml:space="preserve">V. Departamento de Servicios Administrativos.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lastRenderedPageBreak/>
        <w:t>El Director General contará con el número de servidores públicos y unidades administrativas necesarias para el cumplimiento de sus atribuciones, de conformidad con la normatividad establecida y de acuerdo al presupuesto respectivo.</w:t>
      </w:r>
    </w:p>
    <w:p w:rsidR="00AA21CF" w:rsidRPr="00773EBE" w:rsidRDefault="00AA21CF"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Artículo 17.-</w:t>
      </w:r>
      <w:r w:rsidRPr="00773EBE">
        <w:rPr>
          <w:rFonts w:ascii="Palatino Linotype" w:eastAsia="Palatino Linotype" w:hAnsi="Palatino Linotype" w:cs="Palatino Linotype"/>
          <w:i/>
          <w:iCs/>
          <w:color w:val="000000" w:themeColor="text1"/>
        </w:rPr>
        <w:t xml:space="preserve"> Corresponde </w:t>
      </w:r>
      <w:r w:rsidRPr="00773EBE">
        <w:rPr>
          <w:rFonts w:ascii="Palatino Linotype" w:eastAsia="Palatino Linotype" w:hAnsi="Palatino Linotype" w:cs="Palatino Linotype"/>
          <w:b/>
          <w:bCs/>
          <w:i/>
          <w:iCs/>
          <w:color w:val="000000" w:themeColor="text1"/>
        </w:rPr>
        <w:t>al Departamento de Planeación y Evaluación</w:t>
      </w:r>
      <w:r w:rsidRPr="00773EBE">
        <w:rPr>
          <w:rFonts w:ascii="Palatino Linotype" w:eastAsia="Palatino Linotype" w:hAnsi="Palatino Linotype" w:cs="Palatino Linotype"/>
          <w:i/>
          <w:iCs/>
          <w:color w:val="000000" w:themeColor="text1"/>
        </w:rPr>
        <w:t>:</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 I. Proyectar la planeación de la institución a corto, mediano y largo plazos, con la participación de las instancias que deban concurrir a la misma;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II. Proponer los modelos de planeación global procurando la congruencia de acciones entre las diversas instancias y los objetivos de los programas;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III. Proponer al Director el establecimiento de normas, lineamientos y políticas en materia de administración y remuneraciones;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V. </w:t>
      </w:r>
      <w:r w:rsidRPr="00773EBE">
        <w:rPr>
          <w:rFonts w:ascii="Palatino Linotype" w:eastAsia="Palatino Linotype" w:hAnsi="Palatino Linotype" w:cs="Palatino Linotype"/>
          <w:b/>
          <w:bCs/>
          <w:i/>
          <w:iCs/>
          <w:color w:val="000000" w:themeColor="text1"/>
        </w:rPr>
        <w:t>Desarrollar estudios que posibiliten definir y priorizar las necesidades</w:t>
      </w:r>
      <w:r w:rsidRPr="00773EBE">
        <w:rPr>
          <w:rFonts w:ascii="Palatino Linotype" w:eastAsia="Palatino Linotype" w:hAnsi="Palatino Linotype" w:cs="Palatino Linotype"/>
          <w:i/>
          <w:iCs/>
          <w:color w:val="000000" w:themeColor="text1"/>
        </w:rPr>
        <w:t xml:space="preserve"> a mediano y largo plazos en materia de recursos humanos, físicos, </w:t>
      </w:r>
      <w:r w:rsidRPr="00773EBE">
        <w:rPr>
          <w:rFonts w:ascii="Palatino Linotype" w:eastAsia="Palatino Linotype" w:hAnsi="Palatino Linotype" w:cs="Palatino Linotype"/>
          <w:b/>
          <w:bCs/>
          <w:i/>
          <w:iCs/>
          <w:color w:val="000000" w:themeColor="text1"/>
        </w:rPr>
        <w:t>materiales,</w:t>
      </w:r>
      <w:r w:rsidRPr="00773EBE">
        <w:rPr>
          <w:rFonts w:ascii="Palatino Linotype" w:eastAsia="Palatino Linotype" w:hAnsi="Palatino Linotype" w:cs="Palatino Linotype"/>
          <w:i/>
          <w:iCs/>
          <w:color w:val="000000" w:themeColor="text1"/>
        </w:rPr>
        <w:t xml:space="preserve"> técnicos y </w:t>
      </w:r>
      <w:r w:rsidRPr="00773EBE">
        <w:rPr>
          <w:rFonts w:ascii="Palatino Linotype" w:eastAsia="Palatino Linotype" w:hAnsi="Palatino Linotype" w:cs="Palatino Linotype"/>
          <w:b/>
          <w:bCs/>
          <w:i/>
          <w:iCs/>
          <w:color w:val="000000" w:themeColor="text1"/>
        </w:rPr>
        <w:t>financieros;</w:t>
      </w:r>
      <w:r w:rsidRPr="00773EBE">
        <w:rPr>
          <w:rFonts w:ascii="Palatino Linotype" w:eastAsia="Palatino Linotype" w:hAnsi="Palatino Linotype" w:cs="Palatino Linotype"/>
          <w:i/>
          <w:iCs/>
          <w:color w:val="000000" w:themeColor="text1"/>
        </w:rPr>
        <w:t xml:space="preserve">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VI. (…)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VII. Asesorar y opinar sobre los convenios de planeación que suscriba el Tecnológico;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VIII. Integrar y coordinar los informes de actividades del Director;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IX. Elaborar el plan de desarrollo institucional del Tecnológico;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b/>
          <w:bCs/>
          <w:i/>
          <w:iCs/>
          <w:color w:val="000000" w:themeColor="text1"/>
        </w:rPr>
      </w:pPr>
      <w:r w:rsidRPr="00773EBE">
        <w:rPr>
          <w:rFonts w:ascii="Palatino Linotype" w:eastAsia="Palatino Linotype" w:hAnsi="Palatino Linotype" w:cs="Palatino Linotype"/>
          <w:i/>
          <w:iCs/>
          <w:color w:val="000000" w:themeColor="text1"/>
        </w:rPr>
        <w:t xml:space="preserve">X. </w:t>
      </w:r>
      <w:r w:rsidRPr="00773EBE">
        <w:rPr>
          <w:rFonts w:ascii="Palatino Linotype" w:eastAsia="Palatino Linotype" w:hAnsi="Palatino Linotype" w:cs="Palatino Linotype"/>
          <w:b/>
          <w:bCs/>
          <w:i/>
          <w:iCs/>
          <w:color w:val="000000" w:themeColor="text1"/>
        </w:rPr>
        <w:t xml:space="preserve">Proponer los mecanismos para coordinar y controlar los procesos de planeación, presupuestación, organización y evaluación del Tecnológico;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XI. (…)</w:t>
      </w:r>
    </w:p>
    <w:p w:rsidR="00AA21CF" w:rsidRPr="00773EBE" w:rsidRDefault="00AA21CF" w:rsidP="00773EB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Artículo 19.-</w:t>
      </w:r>
      <w:r w:rsidRPr="00773EBE">
        <w:rPr>
          <w:rFonts w:ascii="Palatino Linotype" w:eastAsia="Palatino Linotype" w:hAnsi="Palatino Linotype" w:cs="Palatino Linotype"/>
          <w:i/>
          <w:iCs/>
          <w:color w:val="000000" w:themeColor="text1"/>
        </w:rPr>
        <w:t xml:space="preserve"> </w:t>
      </w:r>
      <w:r w:rsidRPr="00773EBE">
        <w:rPr>
          <w:rFonts w:ascii="Palatino Linotype" w:eastAsia="Palatino Linotype" w:hAnsi="Palatino Linotype" w:cs="Palatino Linotype"/>
          <w:b/>
          <w:bCs/>
          <w:i/>
          <w:iCs/>
          <w:color w:val="000000" w:themeColor="text1"/>
        </w:rPr>
        <w:t>Corresponde al Departamento de Servicios Administrativos</w:t>
      </w:r>
      <w:r w:rsidRPr="00773EBE">
        <w:rPr>
          <w:rFonts w:ascii="Palatino Linotype" w:eastAsia="Palatino Linotype" w:hAnsi="Palatino Linotype" w:cs="Palatino Linotype"/>
          <w:i/>
          <w:iCs/>
          <w:color w:val="000000" w:themeColor="text1"/>
        </w:rPr>
        <w:t xml:space="preserve">: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lastRenderedPageBreak/>
        <w:t xml:space="preserve">I. </w:t>
      </w:r>
      <w:r w:rsidRPr="00773EBE">
        <w:rPr>
          <w:rFonts w:ascii="Palatino Linotype" w:eastAsia="Palatino Linotype" w:hAnsi="Palatino Linotype" w:cs="Palatino Linotype"/>
          <w:b/>
          <w:bCs/>
          <w:i/>
          <w:iCs/>
          <w:color w:val="000000" w:themeColor="text1"/>
        </w:rPr>
        <w:t>Proponer las políticas y procedimientos para la administración de los recursos</w:t>
      </w:r>
      <w:r w:rsidRPr="00773EBE">
        <w:rPr>
          <w:rFonts w:ascii="Palatino Linotype" w:eastAsia="Palatino Linotype" w:hAnsi="Palatino Linotype" w:cs="Palatino Linotype"/>
          <w:i/>
          <w:iCs/>
          <w:color w:val="000000" w:themeColor="text1"/>
        </w:rPr>
        <w:t xml:space="preserve"> humanos, </w:t>
      </w:r>
      <w:r w:rsidRPr="00773EBE">
        <w:rPr>
          <w:rFonts w:ascii="Palatino Linotype" w:eastAsia="Palatino Linotype" w:hAnsi="Palatino Linotype" w:cs="Palatino Linotype"/>
          <w:b/>
          <w:bCs/>
          <w:i/>
          <w:iCs/>
          <w:color w:val="000000" w:themeColor="text1"/>
        </w:rPr>
        <w:t>materiales,</w:t>
      </w:r>
      <w:r w:rsidRPr="00773EBE">
        <w:rPr>
          <w:rFonts w:ascii="Palatino Linotype" w:eastAsia="Palatino Linotype" w:hAnsi="Palatino Linotype" w:cs="Palatino Linotype"/>
          <w:i/>
          <w:iCs/>
          <w:color w:val="000000" w:themeColor="text1"/>
        </w:rPr>
        <w:t xml:space="preserve"> físicos </w:t>
      </w:r>
      <w:r w:rsidRPr="00773EBE">
        <w:rPr>
          <w:rFonts w:ascii="Palatino Linotype" w:eastAsia="Palatino Linotype" w:hAnsi="Palatino Linotype" w:cs="Palatino Linotype"/>
          <w:b/>
          <w:bCs/>
          <w:i/>
          <w:iCs/>
          <w:color w:val="000000" w:themeColor="text1"/>
          <w:u w:val="single"/>
        </w:rPr>
        <w:t>y de servicios que se brinden a la comunidad tecnológica, vigilando su correcta aplicación;</w:t>
      </w:r>
      <w:r w:rsidRPr="00773EBE">
        <w:rPr>
          <w:rFonts w:ascii="Palatino Linotype" w:eastAsia="Palatino Linotype" w:hAnsi="Palatino Linotype" w:cs="Palatino Linotype"/>
          <w:i/>
          <w:iCs/>
          <w:color w:val="000000" w:themeColor="text1"/>
        </w:rPr>
        <w:t xml:space="preserve">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II. Formular el proyecto de presupuesto de ingresos y egresos del Tecnológico, considerando los programas académico-administrativos autorizados;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III. Elaborar el programa anual de adquisiciones, mantenimiento, arrendamientos y servicios generales de los bienes muebles e inmuebles en los términos de la legislación de la materia</w:t>
      </w:r>
      <w:r w:rsidRPr="00773EBE">
        <w:rPr>
          <w:rFonts w:ascii="Palatino Linotype" w:eastAsia="Palatino Linotype" w:hAnsi="Palatino Linotype" w:cs="Palatino Linotype"/>
          <w:i/>
          <w:iCs/>
          <w:color w:val="000000" w:themeColor="text1"/>
        </w:rPr>
        <w:t xml:space="preserve">;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IV. Proponer al Director programas para salvaguardar la integridad del patrimonio del Tecnológico, estableciendo medidas de seguridad y de protección civil;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V. Someter a la aprobación del Director mecanismos de coordinación con los gobiernos federal y estatal que permitan obtener en tiempo la liberación de los recursos asignados al Tecnológico;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VI. Elaborar los movimientos presupuestases para llevar un óptimo manejo de los recursos financieros asignados al Tecnológico;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VII. Informar al Director sobre los estados financieros del Tecnológico;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b/>
          <w:bCs/>
          <w:i/>
          <w:iCs/>
          <w:color w:val="000000" w:themeColor="text1"/>
        </w:rPr>
      </w:pPr>
      <w:r w:rsidRPr="00773EBE">
        <w:rPr>
          <w:rFonts w:ascii="Palatino Linotype" w:eastAsia="Palatino Linotype" w:hAnsi="Palatino Linotype" w:cs="Palatino Linotype"/>
          <w:b/>
          <w:bCs/>
          <w:i/>
          <w:iCs/>
          <w:color w:val="000000" w:themeColor="text1"/>
        </w:rPr>
        <w:t>VIII. Llevar las cuentas bancarias para el depósito y manejo de los recursos financieros del Tecnológico;</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IX. Registrar y suministrar los bienes destinados a satisfacer las necesidades del Tecnológico, así como verificar y controlar la recepción para su almacenamiento y de los que se entreguen directamente a las unidades administrativas;</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X. Vigilar el control de los vehículos propiedad del Tecnológico y fijar el procedimiento administrativo para su asignación, reparación, suministro de combustible y lubricantes, así como tramitar los documentos necesarios para su circulación;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lastRenderedPageBreak/>
        <w:t>XI. Formular los manuales administrativos y demás disposiciones relativas que regulen el funcionamiento del Tecnológico</w:t>
      </w:r>
      <w:r w:rsidRPr="00773EBE">
        <w:rPr>
          <w:rFonts w:ascii="Palatino Linotype" w:eastAsia="Palatino Linotype" w:hAnsi="Palatino Linotype" w:cs="Palatino Linotype"/>
          <w:i/>
          <w:iCs/>
          <w:color w:val="000000" w:themeColor="text1"/>
        </w:rPr>
        <w:t xml:space="preserve">;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XII. Coordinar las actividades relacionadas con la contratación, capacitación, evaluación y rescisión de contratos del personal académico y administrativo del Tecnológico; y </w:t>
      </w:r>
    </w:p>
    <w:p w:rsidR="00AA21CF" w:rsidRPr="00773EBE" w:rsidRDefault="00B333A6" w:rsidP="00773EB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XIII. Las demás que le confieran las disposiciones legales aplicables y aquellas que le encomiende el Director.</w:t>
      </w:r>
    </w:p>
    <w:p w:rsidR="00AA21CF" w:rsidRPr="00773EBE" w:rsidRDefault="00AA21CF" w:rsidP="00773EBE">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Con lo antes descrito, se advierte que </w:t>
      </w:r>
      <w:r w:rsidRPr="00773EBE">
        <w:rPr>
          <w:rFonts w:ascii="Palatino Linotype" w:eastAsia="Palatino Linotype" w:hAnsi="Palatino Linotype" w:cs="Palatino Linotype"/>
          <w:b/>
          <w:bCs/>
          <w:color w:val="000000" w:themeColor="text1"/>
        </w:rPr>
        <w:t>SUJETO OBLIGADO</w:t>
      </w:r>
      <w:r w:rsidRPr="00773EBE">
        <w:rPr>
          <w:rFonts w:ascii="Palatino Linotype" w:eastAsia="Palatino Linotype" w:hAnsi="Palatino Linotype" w:cs="Palatino Linotype"/>
          <w:color w:val="000000" w:themeColor="text1"/>
        </w:rPr>
        <w:t>, tiene atribución de vigilar la correcta aplicación de los servicios que se brindan dentro de la Institución; así como elaborar el programa de adquisiciones, arrendamientos y servicios generales de los bienes inmuebles; además de manejar los recursos financieros del Tecnológico, informando en todo momento al Director.</w:t>
      </w:r>
    </w:p>
    <w:p w:rsidR="00AA21CF" w:rsidRPr="00773EBE" w:rsidRDefault="00AA21CF" w:rsidP="00773EB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Por lo antes descrito y tomando en consideración que la respuesta fue emitida por el Jefe de la Unidad Jurídica de Igualdad de Género y Erradicación de la Violencia; se evidencia que el sujeto obligado no cumplimentó la búsqueda exhaustiva exigida por la Ley de la Materia; además de que dicho servidor público se limitó a informar que se encontraban imposibilitados para brindar la información, considerando que la respuesta a la solicitud los obligaría generar un documento </w:t>
      </w:r>
      <w:r w:rsidRPr="00773EBE">
        <w:rPr>
          <w:rFonts w:ascii="Palatino Linotype" w:eastAsia="Palatino Linotype" w:hAnsi="Palatino Linotype" w:cs="Palatino Linotype"/>
          <w:i/>
          <w:iCs/>
          <w:color w:val="000000" w:themeColor="text1"/>
        </w:rPr>
        <w:t xml:space="preserve">ad hoc; </w:t>
      </w:r>
      <w:r w:rsidRPr="00773EBE">
        <w:rPr>
          <w:rFonts w:ascii="Palatino Linotype" w:eastAsia="Palatino Linotype" w:hAnsi="Palatino Linotype" w:cs="Palatino Linotype"/>
          <w:color w:val="000000" w:themeColor="text1"/>
        </w:rPr>
        <w:t xml:space="preserve">además de precisar que toda la información del Instituto podría ser consultado a través de la plataforma de Información Pública de Oficio Mexiquense (IPOMEX), proporcionando el enlace </w:t>
      </w:r>
      <w:hyperlink r:id="rId12" w:anchor="/obligaciones/41">
        <w:r w:rsidRPr="00773EBE">
          <w:rPr>
            <w:rFonts w:ascii="Palatino Linotype" w:eastAsia="Palatino Linotype" w:hAnsi="Palatino Linotype" w:cs="Palatino Linotype"/>
            <w:color w:val="000000" w:themeColor="text1"/>
            <w:u w:val="single"/>
          </w:rPr>
          <w:t>https://ipomex.org.mx/ipomex/#/obligaciones/41</w:t>
        </w:r>
      </w:hyperlink>
      <w:r w:rsidRPr="00773EBE">
        <w:rPr>
          <w:rFonts w:ascii="Palatino Linotype" w:eastAsia="Palatino Linotype" w:hAnsi="Palatino Linotype" w:cs="Palatino Linotype"/>
          <w:color w:val="000000" w:themeColor="text1"/>
        </w:rPr>
        <w:t>.</w:t>
      </w:r>
    </w:p>
    <w:p w:rsidR="00AA21CF" w:rsidRPr="00773EBE" w:rsidRDefault="00AA21CF" w:rsidP="00773EBE">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bCs/>
          <w:color w:val="000000" w:themeColor="text1"/>
        </w:rPr>
      </w:pPr>
      <w:bookmarkStart w:id="12" w:name="_heading=h.iqcos1dk4hfk" w:colFirst="0" w:colLast="0"/>
      <w:bookmarkEnd w:id="12"/>
      <w:r w:rsidRPr="00773EBE">
        <w:rPr>
          <w:rFonts w:ascii="Palatino Linotype" w:eastAsia="Palatino Linotype" w:hAnsi="Palatino Linotype" w:cs="Palatino Linotype"/>
          <w:color w:val="000000" w:themeColor="text1"/>
        </w:rPr>
        <w:lastRenderedPageBreak/>
        <w:t xml:space="preserve">En este sentido, se reitera que, el </w:t>
      </w:r>
      <w:r w:rsidRPr="00773EBE">
        <w:rPr>
          <w:rFonts w:ascii="Palatino Linotype" w:eastAsia="Palatino Linotype" w:hAnsi="Palatino Linotype" w:cs="Palatino Linotype"/>
          <w:b/>
          <w:bCs/>
          <w:color w:val="000000" w:themeColor="text1"/>
        </w:rPr>
        <w:t>SUJETO OBLIGADO</w:t>
      </w:r>
      <w:r w:rsidRPr="00773EBE">
        <w:rPr>
          <w:rFonts w:ascii="Palatino Linotype" w:eastAsia="Palatino Linotype" w:hAnsi="Palatino Linotype" w:cs="Palatino Linotype"/>
          <w:color w:val="000000" w:themeColor="text1"/>
        </w:rPr>
        <w:t xml:space="preserve"> no cumplió con el procedimiento de búsqueda exhaustiva y razonable, pues no gestionó la solicitud de información en la unidad en donde </w:t>
      </w:r>
      <w:r w:rsidRPr="00773EBE">
        <w:rPr>
          <w:rFonts w:ascii="Palatino Linotype" w:eastAsia="Palatino Linotype" w:hAnsi="Palatino Linotype" w:cs="Palatino Linotype"/>
          <w:color w:val="000000" w:themeColor="text1"/>
          <w:u w:val="single"/>
        </w:rPr>
        <w:t>pudiera</w:t>
      </w:r>
      <w:r w:rsidRPr="00773EBE">
        <w:rPr>
          <w:rFonts w:ascii="Palatino Linotype" w:eastAsia="Palatino Linotype" w:hAnsi="Palatino Linotype" w:cs="Palatino Linotype"/>
          <w:color w:val="000000" w:themeColor="text1"/>
        </w:rPr>
        <w:t xml:space="preserve"> obrar la citada información, siendo estas: </w:t>
      </w:r>
      <w:r w:rsidRPr="00773EBE">
        <w:rPr>
          <w:rFonts w:ascii="Palatino Linotype" w:eastAsia="Palatino Linotype" w:hAnsi="Palatino Linotype" w:cs="Palatino Linotype"/>
          <w:b/>
          <w:bCs/>
          <w:color w:val="000000" w:themeColor="text1"/>
        </w:rPr>
        <w:t>la Dirección de Servicios Administrativos</w:t>
      </w:r>
      <w:r w:rsidR="007B16B9" w:rsidRPr="00773EBE">
        <w:rPr>
          <w:rFonts w:ascii="Palatino Linotype" w:eastAsia="Palatino Linotype" w:hAnsi="Palatino Linotype" w:cs="Palatino Linotype"/>
          <w:b/>
          <w:bCs/>
          <w:color w:val="000000" w:themeColor="text1"/>
        </w:rPr>
        <w:t xml:space="preserve"> y el Departamento de Planeación y Evaluación</w:t>
      </w:r>
      <w:r w:rsidRPr="00773EBE">
        <w:rPr>
          <w:rFonts w:ascii="Palatino Linotype" w:eastAsia="Palatino Linotype" w:hAnsi="Palatino Linotype" w:cs="Palatino Linotype"/>
          <w:color w:val="000000" w:themeColor="text1"/>
        </w:rPr>
        <w:t>.</w:t>
      </w:r>
    </w:p>
    <w:p w:rsidR="00AA21CF" w:rsidRPr="00773EBE" w:rsidRDefault="00AA21CF" w:rsidP="00773EBE">
      <w:pPr>
        <w:pBdr>
          <w:top w:val="nil"/>
          <w:left w:val="nil"/>
          <w:bottom w:val="nil"/>
          <w:right w:val="nil"/>
          <w:between w:val="nil"/>
        </w:pBdr>
        <w:rPr>
          <w:rFonts w:ascii="Palatino Linotype" w:eastAsia="Palatino Linotype" w:hAnsi="Palatino Linotype" w:cs="Palatino Linotype"/>
          <w:b/>
          <w:bCs/>
          <w:color w:val="000000" w:themeColor="text1"/>
        </w:rPr>
      </w:pPr>
    </w:p>
    <w:p w:rsidR="00AA21CF" w:rsidRPr="00773EBE" w:rsidRDefault="00B333A6" w:rsidP="00773EBE">
      <w:pPr>
        <w:numPr>
          <w:ilvl w:val="0"/>
          <w:numId w:val="4"/>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bCs/>
          <w:color w:val="000000" w:themeColor="text1"/>
        </w:rPr>
      </w:pPr>
      <w:r w:rsidRPr="00773EBE">
        <w:rPr>
          <w:rFonts w:ascii="Palatino Linotype" w:eastAsia="Palatino Linotype" w:hAnsi="Palatino Linotype" w:cs="Palatino Linotype"/>
          <w:color w:val="000000" w:themeColor="text1"/>
          <w:highlight w:val="white"/>
        </w:rPr>
        <w:t xml:space="preserve">Es así que, </w:t>
      </w:r>
      <w:r w:rsidRPr="00773EBE">
        <w:rPr>
          <w:rFonts w:ascii="Palatino Linotype" w:eastAsia="Palatino Linotype" w:hAnsi="Palatino Linotype" w:cs="Palatino Linotype"/>
          <w:b/>
          <w:bCs/>
          <w:color w:val="000000" w:themeColor="text1"/>
        </w:rPr>
        <w:t>EL SUJETO OBLIGADO</w:t>
      </w:r>
      <w:r w:rsidRPr="00773EBE">
        <w:rPr>
          <w:rFonts w:ascii="Palatino Linotype" w:eastAsia="Palatino Linotype" w:hAnsi="Palatino Linotype" w:cs="Palatino Linotype"/>
          <w:color w:val="000000" w:themeColor="text1"/>
        </w:rPr>
        <w:t xml:space="preserve"> debe contar con la información pública solicitada, en ejercicio de sus funciones de derecho público, motivo por el cual se actualiza el supuesto jurídico, previsto en el artículo 12 de la Ley de Transparencia y Acceso a la Información Pública del Estado de México y Municipios.</w:t>
      </w:r>
    </w:p>
    <w:p w:rsidR="00AA21CF" w:rsidRPr="00773EBE" w:rsidRDefault="00B333A6" w:rsidP="00773EBE">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w:t>
      </w:r>
      <w:r w:rsidRPr="00773EBE">
        <w:rPr>
          <w:rFonts w:ascii="Palatino Linotype" w:eastAsia="Palatino Linotype" w:hAnsi="Palatino Linotype" w:cs="Palatino Linotype"/>
          <w:b/>
          <w:bCs/>
          <w:i/>
          <w:iCs/>
          <w:color w:val="000000" w:themeColor="text1"/>
        </w:rPr>
        <w:t>Artículo 12.</w:t>
      </w:r>
      <w:r w:rsidRPr="00773EBE">
        <w:rPr>
          <w:rFonts w:ascii="Palatino Linotype" w:eastAsia="Palatino Linotype" w:hAnsi="Palatino Linotype" w:cs="Palatino Linotype"/>
          <w:i/>
          <w:iCs/>
          <w:color w:val="000000" w:themeColor="text1"/>
        </w:rPr>
        <w:t> Quienes generen, recopilen, administren, manejen, procesen, archiven o conserven información pública serán responsables de la misma en los términos de las disposiciones jurídicas aplicables.</w:t>
      </w:r>
    </w:p>
    <w:p w:rsidR="00AA21CF" w:rsidRPr="00773EBE" w:rsidRDefault="00AA21CF" w:rsidP="00773EBE">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AA21CF" w:rsidRPr="00773EBE" w:rsidRDefault="00B333A6" w:rsidP="00773EBE">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A21CF" w:rsidRPr="00773EBE" w:rsidRDefault="00AA21CF" w:rsidP="00773EBE">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AA21CF" w:rsidRPr="00773EBE" w:rsidRDefault="00B333A6" w:rsidP="00773EBE">
      <w:pPr>
        <w:numPr>
          <w:ilvl w:val="0"/>
          <w:numId w:val="4"/>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No obstante, como ya fue señalado en párrafos anteriores, el Sujeto Obligado tiene el deber de documentar todos los actos que deriven del ejercicio de sus funciones y al mismo tiempo hacer pública la información que se les requiera y que obre en sus archivos.</w:t>
      </w:r>
    </w:p>
    <w:p w:rsidR="00AA21CF" w:rsidRPr="00773EBE" w:rsidRDefault="00AA21CF" w:rsidP="00773EBE">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AA21CF" w:rsidRPr="00773EBE" w:rsidRDefault="00AA21CF" w:rsidP="00773EBE">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lastRenderedPageBreak/>
        <w:t>Establecido lo anterior, conviene traer a contexto que las erogaciones que realizan los Sujetos Obligados, deben estar soportados en documentos que amparen dicha erogación como lo es factura o póliza. Primeramente conocer a que nos referimos por “</w:t>
      </w:r>
      <w:r w:rsidRPr="00773EBE">
        <w:rPr>
          <w:rFonts w:ascii="Palatino Linotype" w:eastAsia="Palatino Linotype" w:hAnsi="Palatino Linotype" w:cs="Palatino Linotype"/>
          <w:i/>
          <w:iCs/>
          <w:color w:val="000000" w:themeColor="text1"/>
        </w:rPr>
        <w:t>factura</w:t>
      </w:r>
      <w:r w:rsidRPr="00773EBE">
        <w:rPr>
          <w:rFonts w:ascii="Palatino Linotype" w:eastAsia="Palatino Linotype" w:hAnsi="Palatino Linotype" w:cs="Palatino Linotype"/>
          <w:color w:val="000000" w:themeColor="text1"/>
        </w:rPr>
        <w:t>”; al respecto, nos referiremos a éste concepto aunque sea sucintamente de acuerdo a lo que dispone el Glosario de Términos Hacendarios que emite el Instituto Hacendario del Estado de México, mismo que expresa lo siguiente:</w:t>
      </w:r>
    </w:p>
    <w:p w:rsidR="00AA21CF" w:rsidRPr="00773EBE" w:rsidRDefault="00B333A6" w:rsidP="00773EBE">
      <w:pPr>
        <w:pBdr>
          <w:top w:val="nil"/>
          <w:left w:val="nil"/>
          <w:bottom w:val="nil"/>
          <w:right w:val="nil"/>
          <w:between w:val="nil"/>
        </w:pBdr>
        <w:spacing w:before="240" w:after="240" w:line="360" w:lineRule="auto"/>
        <w:jc w:val="both"/>
        <w:rPr>
          <w:rFonts w:ascii="Palatino Linotype" w:eastAsia="Palatino Linotype" w:hAnsi="Palatino Linotype" w:cs="Palatino Linotype"/>
          <w:b/>
          <w:bCs/>
          <w:i/>
          <w:iCs/>
          <w:color w:val="000000" w:themeColor="text1"/>
        </w:rPr>
      </w:pPr>
      <w:r w:rsidRPr="00773EBE">
        <w:rPr>
          <w:rFonts w:ascii="Palatino Linotype" w:eastAsia="Palatino Linotype" w:hAnsi="Palatino Linotype" w:cs="Palatino Linotype"/>
          <w:i/>
          <w:iCs/>
          <w:color w:val="000000" w:themeColor="text1"/>
        </w:rPr>
        <w:t>“</w:t>
      </w:r>
      <w:r w:rsidRPr="00773EBE">
        <w:rPr>
          <w:rFonts w:ascii="Palatino Linotype" w:eastAsia="Palatino Linotype" w:hAnsi="Palatino Linotype" w:cs="Palatino Linotype"/>
          <w:b/>
          <w:bCs/>
          <w:i/>
          <w:iCs/>
          <w:color w:val="000000" w:themeColor="text1"/>
        </w:rPr>
        <w:t>FACTURA:</w:t>
      </w:r>
    </w:p>
    <w:p w:rsidR="00AA21CF" w:rsidRPr="00773EBE" w:rsidRDefault="00B333A6" w:rsidP="00773EBE">
      <w:pPr>
        <w:pBdr>
          <w:top w:val="nil"/>
          <w:left w:val="nil"/>
          <w:bottom w:val="nil"/>
          <w:right w:val="nil"/>
          <w:between w:val="nil"/>
        </w:pBdr>
        <w:spacing w:before="240" w:after="240"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Es el documento fiscal que emite la persona física o moral para comprobar la venta o adquisición de un bien y/o servicio.”</w:t>
      </w:r>
    </w:p>
    <w:p w:rsidR="00AA21CF" w:rsidRPr="00773EBE" w:rsidRDefault="00B333A6" w:rsidP="00773EBE">
      <w:pPr>
        <w:numPr>
          <w:ilvl w:val="0"/>
          <w:numId w:val="4"/>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Una vez precisado lo anterior, se procede a analizar si las facturas solicitadas son de acceso público; por lo que es de señalarse que </w:t>
      </w:r>
      <w:r w:rsidRPr="00773EBE">
        <w:rPr>
          <w:rFonts w:ascii="Palatino Linotype" w:eastAsia="Palatino Linotype" w:hAnsi="Palatino Linotype" w:cs="Palatino Linotype"/>
          <w:b/>
          <w:bCs/>
          <w:color w:val="000000" w:themeColor="text1"/>
        </w:rPr>
        <w:t xml:space="preserve">las facturas </w:t>
      </w:r>
      <w:r w:rsidRPr="00773EBE">
        <w:rPr>
          <w:rFonts w:ascii="Palatino Linotype" w:eastAsia="Palatino Linotype" w:hAnsi="Palatino Linotype" w:cs="Palatino Linotype"/>
          <w:color w:val="000000" w:themeColor="text1"/>
        </w:rPr>
        <w:t xml:space="preserve">o comprobantes que amparan las erogaciones que se realizan con erario público tienen naturaleza análoga, pues </w:t>
      </w:r>
      <w:r w:rsidRPr="00773EBE">
        <w:rPr>
          <w:rFonts w:ascii="Palatino Linotype" w:eastAsia="Palatino Linotype" w:hAnsi="Palatino Linotype" w:cs="Palatino Linotype"/>
          <w:b/>
          <w:bCs/>
          <w:color w:val="000000" w:themeColor="text1"/>
        </w:rPr>
        <w:t>constituyen los medios idóneos de evidencia del gasto realizado con recursos públicos</w:t>
      </w:r>
      <w:r w:rsidRPr="00773EBE">
        <w:rPr>
          <w:rFonts w:ascii="Palatino Linotype" w:eastAsia="Palatino Linotype" w:hAnsi="Palatino Linotype" w:cs="Palatino Linotype"/>
          <w:color w:val="000000" w:themeColor="text1"/>
        </w:rPr>
        <w:t>.</w:t>
      </w:r>
    </w:p>
    <w:p w:rsidR="00773EBE" w:rsidRDefault="00773EBE" w:rsidP="00773EB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Asimismo, señala que todos los pagos se harán mediante orden escrita en la que se expresará la partida del presupuesto a cargo de la cual se realizan.</w:t>
      </w:r>
    </w:p>
    <w:p w:rsidR="00AA21CF" w:rsidRPr="00773EBE" w:rsidRDefault="00B333A6" w:rsidP="00773EBE">
      <w:pPr>
        <w:numPr>
          <w:ilvl w:val="0"/>
          <w:numId w:val="4"/>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lastRenderedPageBreak/>
        <w:t>Como se ha dicho anteriormente, es atribución de la Dirección de Servicios Administrativos, llevar los registros contables, financieros y administrativos de los ingresos, egresos e inventarios. En ese sentido, los artículos 342, 343, 344 y 345 del Código Financiero del Estado de México y Municipios disponen el sistema y las políticas que deben seguirse para llevar el registro contable y presupuestal de las operaciones financieras, en los siguientes términos:</w:t>
      </w:r>
    </w:p>
    <w:p w:rsidR="00AA21CF" w:rsidRPr="00773EBE" w:rsidRDefault="00B333A6" w:rsidP="00773EBE">
      <w:pPr>
        <w:pBdr>
          <w:top w:val="nil"/>
          <w:left w:val="nil"/>
          <w:bottom w:val="nil"/>
          <w:right w:val="nil"/>
          <w:between w:val="nil"/>
        </w:pBdr>
        <w:tabs>
          <w:tab w:val="left" w:pos="426"/>
        </w:tabs>
        <w:spacing w:before="240" w:after="240"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w:t>
      </w:r>
      <w:r w:rsidRPr="00773EBE">
        <w:rPr>
          <w:rFonts w:ascii="Palatino Linotype" w:eastAsia="Palatino Linotype" w:hAnsi="Palatino Linotype" w:cs="Palatino Linotype"/>
          <w:b/>
          <w:bCs/>
          <w:i/>
          <w:iCs/>
          <w:color w:val="000000" w:themeColor="text1"/>
        </w:rPr>
        <w:t>Artículo 342.-</w:t>
      </w:r>
      <w:r w:rsidRPr="00773EBE">
        <w:rPr>
          <w:rFonts w:ascii="Palatino Linotype" w:eastAsia="Palatino Linotype" w:hAnsi="Palatino Linotype" w:cs="Palatino Linotype"/>
          <w:i/>
          <w:iCs/>
          <w:color w:val="000000" w:themeColor="text1"/>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rsidR="00AA21CF" w:rsidRPr="00773EBE" w:rsidRDefault="00B333A6" w:rsidP="00773EBE">
      <w:pPr>
        <w:pBdr>
          <w:top w:val="nil"/>
          <w:left w:val="nil"/>
          <w:bottom w:val="nil"/>
          <w:right w:val="nil"/>
          <w:between w:val="nil"/>
        </w:pBdr>
        <w:tabs>
          <w:tab w:val="left" w:pos="426"/>
        </w:tabs>
        <w:spacing w:before="240" w:after="240"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w:t>
      </w:r>
    </w:p>
    <w:p w:rsidR="00AA21CF" w:rsidRPr="00773EBE" w:rsidRDefault="00B333A6" w:rsidP="00773EBE">
      <w:pPr>
        <w:pBdr>
          <w:top w:val="nil"/>
          <w:left w:val="nil"/>
          <w:bottom w:val="nil"/>
          <w:right w:val="nil"/>
          <w:between w:val="nil"/>
        </w:pBdr>
        <w:tabs>
          <w:tab w:val="left" w:pos="567"/>
        </w:tabs>
        <w:spacing w:before="240" w:after="240"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“Artículo 343.-</w:t>
      </w:r>
      <w:r w:rsidRPr="00773EBE">
        <w:rPr>
          <w:rFonts w:ascii="Palatino Linotype" w:eastAsia="Palatino Linotype" w:hAnsi="Palatino Linotype" w:cs="Palatino Linotype"/>
          <w:i/>
          <w:iCs/>
          <w:color w:val="000000" w:themeColor="text1"/>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AA21CF" w:rsidRPr="00773EBE" w:rsidRDefault="00B333A6" w:rsidP="00773EBE">
      <w:pPr>
        <w:pBdr>
          <w:top w:val="nil"/>
          <w:left w:val="nil"/>
          <w:bottom w:val="nil"/>
          <w:right w:val="nil"/>
          <w:between w:val="nil"/>
        </w:pBdr>
        <w:tabs>
          <w:tab w:val="left" w:pos="567"/>
        </w:tabs>
        <w:spacing w:before="240" w:after="240"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El sistema de contabilidad sobre base acumulativa total se sustentará en los postulados básicos y el marco conceptual de la contabilidad gubernamental.”</w:t>
      </w:r>
    </w:p>
    <w:p w:rsidR="00AA21CF" w:rsidRPr="00773EBE" w:rsidRDefault="00B333A6" w:rsidP="00773EBE">
      <w:pPr>
        <w:pBdr>
          <w:top w:val="nil"/>
          <w:left w:val="nil"/>
          <w:bottom w:val="nil"/>
          <w:right w:val="nil"/>
          <w:between w:val="nil"/>
        </w:pBdr>
        <w:tabs>
          <w:tab w:val="left" w:pos="567"/>
        </w:tabs>
        <w:spacing w:before="240" w:after="240"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w:t>
      </w:r>
      <w:r w:rsidRPr="00773EBE">
        <w:rPr>
          <w:rFonts w:ascii="Palatino Linotype" w:eastAsia="Palatino Linotype" w:hAnsi="Palatino Linotype" w:cs="Palatino Linotype"/>
          <w:b/>
          <w:bCs/>
          <w:i/>
          <w:iCs/>
          <w:color w:val="000000" w:themeColor="text1"/>
        </w:rPr>
        <w:t>Artículo 344.-</w:t>
      </w:r>
      <w:r w:rsidRPr="00773EBE">
        <w:rPr>
          <w:rFonts w:ascii="Palatino Linotype" w:eastAsia="Palatino Linotype" w:hAnsi="Palatino Linotype" w:cs="Palatino Linotype"/>
          <w:i/>
          <w:iCs/>
          <w:color w:val="000000" w:themeColor="text1"/>
        </w:rPr>
        <w:t xml:space="preserv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w:t>
      </w:r>
    </w:p>
    <w:p w:rsidR="00AA21CF" w:rsidRPr="00773EBE" w:rsidRDefault="00B333A6" w:rsidP="00773EBE">
      <w:pPr>
        <w:pBdr>
          <w:top w:val="nil"/>
          <w:left w:val="nil"/>
          <w:bottom w:val="nil"/>
          <w:right w:val="nil"/>
          <w:between w:val="nil"/>
        </w:pBdr>
        <w:tabs>
          <w:tab w:val="left" w:pos="567"/>
        </w:tabs>
        <w:spacing w:before="240" w:after="240"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lastRenderedPageBreak/>
        <w:t xml:space="preserve">Derogado. </w:t>
      </w:r>
    </w:p>
    <w:p w:rsidR="00AA21CF" w:rsidRPr="00773EBE" w:rsidRDefault="00B333A6" w:rsidP="00773EBE">
      <w:pPr>
        <w:pBdr>
          <w:top w:val="nil"/>
          <w:left w:val="nil"/>
          <w:bottom w:val="nil"/>
          <w:right w:val="nil"/>
          <w:between w:val="nil"/>
        </w:pBdr>
        <w:tabs>
          <w:tab w:val="left" w:pos="567"/>
        </w:tabs>
        <w:spacing w:before="240" w:after="240"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rsidR="00AA21CF" w:rsidRPr="00773EBE" w:rsidRDefault="00B333A6" w:rsidP="00773EBE">
      <w:pPr>
        <w:pBdr>
          <w:top w:val="nil"/>
          <w:left w:val="nil"/>
          <w:bottom w:val="nil"/>
          <w:right w:val="nil"/>
          <w:between w:val="nil"/>
        </w:pBdr>
        <w:tabs>
          <w:tab w:val="left" w:pos="567"/>
        </w:tabs>
        <w:spacing w:before="240" w:after="240"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w:t>
      </w:r>
    </w:p>
    <w:p w:rsidR="00AA21CF" w:rsidRPr="00773EBE" w:rsidRDefault="00B333A6" w:rsidP="00773EBE">
      <w:pPr>
        <w:pBdr>
          <w:top w:val="nil"/>
          <w:left w:val="nil"/>
          <w:bottom w:val="nil"/>
          <w:right w:val="nil"/>
          <w:between w:val="nil"/>
        </w:pBdr>
        <w:tabs>
          <w:tab w:val="left" w:pos="567"/>
        </w:tabs>
        <w:spacing w:before="240" w:after="240"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w:t>
      </w:r>
      <w:r w:rsidRPr="00773EBE">
        <w:rPr>
          <w:rFonts w:ascii="Palatino Linotype" w:eastAsia="Palatino Linotype" w:hAnsi="Palatino Linotype" w:cs="Palatino Linotype"/>
          <w:b/>
          <w:bCs/>
          <w:i/>
          <w:iCs/>
          <w:color w:val="000000" w:themeColor="text1"/>
        </w:rPr>
        <w:t>Artículo 345.-</w:t>
      </w:r>
      <w:r w:rsidRPr="00773EBE">
        <w:rPr>
          <w:rFonts w:ascii="Palatino Linotype" w:eastAsia="Palatino Linotype" w:hAnsi="Palatino Linotype" w:cs="Palatino Linotype"/>
          <w:i/>
          <w:iCs/>
          <w:color w:val="000000" w:themeColor="text1"/>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rsidR="00AA21CF" w:rsidRPr="00773EBE" w:rsidRDefault="00B333A6" w:rsidP="00773EBE">
      <w:pPr>
        <w:pBdr>
          <w:top w:val="nil"/>
          <w:left w:val="nil"/>
          <w:bottom w:val="nil"/>
          <w:right w:val="nil"/>
          <w:between w:val="nil"/>
        </w:pBdr>
        <w:tabs>
          <w:tab w:val="left" w:pos="567"/>
        </w:tabs>
        <w:spacing w:before="240" w:after="240"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El plazo señalado en el párrafo anterior, empezará a contar a partir de la publicación en el Periódico Oficial, del decreto correspondiente. “</w:t>
      </w:r>
    </w:p>
    <w:p w:rsidR="00AA21CF" w:rsidRPr="00773EBE" w:rsidRDefault="00B333A6" w:rsidP="00773EBE">
      <w:pPr>
        <w:numPr>
          <w:ilvl w:val="0"/>
          <w:numId w:val="4"/>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AA21CF" w:rsidRPr="00773EBE" w:rsidRDefault="00AA21CF" w:rsidP="00773EB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lastRenderedPageBreak/>
        <w:t>Al respecto, si bien es cierto que el Código Financiero del Estado de México y Municipios establece la obligación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rsidR="00AA21CF" w:rsidRPr="00773EBE" w:rsidRDefault="00B333A6" w:rsidP="00773EBE">
      <w:pPr>
        <w:pBdr>
          <w:top w:val="nil"/>
          <w:left w:val="nil"/>
          <w:bottom w:val="nil"/>
          <w:right w:val="nil"/>
          <w:between w:val="nil"/>
        </w:pBdr>
        <w:tabs>
          <w:tab w:val="left" w:pos="709"/>
          <w:tab w:val="left" w:pos="8222"/>
        </w:tabs>
        <w:spacing w:after="240" w:line="276" w:lineRule="auto"/>
        <w:jc w:val="both"/>
        <w:rPr>
          <w:rFonts w:ascii="Palatino Linotype" w:eastAsia="Palatino Linotype" w:hAnsi="Palatino Linotype" w:cs="Palatino Linotype"/>
          <w:b/>
          <w:bCs/>
          <w:i/>
          <w:iCs/>
          <w:color w:val="000000" w:themeColor="text1"/>
        </w:rPr>
      </w:pPr>
      <w:r w:rsidRPr="00773EBE">
        <w:rPr>
          <w:rFonts w:ascii="Palatino Linotype" w:eastAsia="Palatino Linotype" w:hAnsi="Palatino Linotype" w:cs="Palatino Linotype"/>
          <w:i/>
          <w:iCs/>
          <w:color w:val="000000" w:themeColor="text1"/>
        </w:rPr>
        <w:t>“</w:t>
      </w:r>
      <w:r w:rsidRPr="00773EBE">
        <w:rPr>
          <w:rFonts w:ascii="Palatino Linotype" w:eastAsia="Palatino Linotype" w:hAnsi="Palatino Linotype" w:cs="Palatino Linotype"/>
          <w:b/>
          <w:bCs/>
          <w:i/>
          <w:iCs/>
          <w:color w:val="000000" w:themeColor="text1"/>
        </w:rPr>
        <w:t>REGISTRO CONTABLE:</w:t>
      </w:r>
    </w:p>
    <w:p w:rsidR="00AA21CF" w:rsidRPr="00773EBE" w:rsidRDefault="00B333A6" w:rsidP="00773EBE">
      <w:pPr>
        <w:pBdr>
          <w:top w:val="nil"/>
          <w:left w:val="nil"/>
          <w:bottom w:val="nil"/>
          <w:right w:val="nil"/>
          <w:between w:val="nil"/>
        </w:pBdr>
        <w:tabs>
          <w:tab w:val="left" w:pos="709"/>
          <w:tab w:val="left" w:pos="8222"/>
        </w:tabs>
        <w:spacing w:before="240" w:after="240" w:line="276"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Asiento que se realiza en los libros de contabilidad de las actividades relacionadas con el ingreso y egresos de un ente económico.” </w:t>
      </w:r>
    </w:p>
    <w:p w:rsidR="00AA21CF" w:rsidRPr="00773EBE" w:rsidRDefault="00B333A6" w:rsidP="00773EBE">
      <w:pPr>
        <w:pBdr>
          <w:top w:val="nil"/>
          <w:left w:val="nil"/>
          <w:bottom w:val="nil"/>
          <w:right w:val="nil"/>
          <w:between w:val="nil"/>
        </w:pBdr>
        <w:tabs>
          <w:tab w:val="left" w:pos="709"/>
          <w:tab w:val="left" w:pos="8222"/>
        </w:tabs>
        <w:spacing w:before="240" w:after="240" w:line="276" w:lineRule="auto"/>
        <w:jc w:val="both"/>
        <w:rPr>
          <w:rFonts w:ascii="Palatino Linotype" w:eastAsia="Palatino Linotype" w:hAnsi="Palatino Linotype" w:cs="Palatino Linotype"/>
          <w:b/>
          <w:bCs/>
          <w:i/>
          <w:iCs/>
          <w:color w:val="000000" w:themeColor="text1"/>
        </w:rPr>
      </w:pPr>
      <w:r w:rsidRPr="00773EBE">
        <w:rPr>
          <w:rFonts w:ascii="Palatino Linotype" w:eastAsia="Palatino Linotype" w:hAnsi="Palatino Linotype" w:cs="Palatino Linotype"/>
          <w:i/>
          <w:iCs/>
          <w:color w:val="000000" w:themeColor="text1"/>
        </w:rPr>
        <w:t>“</w:t>
      </w:r>
      <w:r w:rsidRPr="00773EBE">
        <w:rPr>
          <w:rFonts w:ascii="Palatino Linotype" w:eastAsia="Palatino Linotype" w:hAnsi="Palatino Linotype" w:cs="Palatino Linotype"/>
          <w:b/>
          <w:bCs/>
          <w:i/>
          <w:iCs/>
          <w:color w:val="000000" w:themeColor="text1"/>
        </w:rPr>
        <w:t>REGISTRO PRESUPUESTARIO:</w:t>
      </w:r>
    </w:p>
    <w:p w:rsidR="00AA21CF" w:rsidRDefault="00B333A6" w:rsidP="00773EBE">
      <w:pPr>
        <w:pBdr>
          <w:top w:val="nil"/>
          <w:left w:val="nil"/>
          <w:bottom w:val="nil"/>
          <w:right w:val="nil"/>
          <w:between w:val="nil"/>
        </w:pBdr>
        <w:tabs>
          <w:tab w:val="left" w:pos="709"/>
          <w:tab w:val="left" w:pos="8222"/>
        </w:tabs>
        <w:spacing w:before="240" w:after="240" w:line="276"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Asiento contable de las erogaciones realizadas por las dependencias y entidades con relación a la asignación, modificación y ejercicio de los recursos presupuestarios que se les hayan autorizado.”</w:t>
      </w:r>
    </w:p>
    <w:p w:rsidR="00773EBE" w:rsidRPr="00773EBE" w:rsidRDefault="00773EBE" w:rsidP="00773EBE">
      <w:pPr>
        <w:pBdr>
          <w:top w:val="nil"/>
          <w:left w:val="nil"/>
          <w:bottom w:val="nil"/>
          <w:right w:val="nil"/>
          <w:between w:val="nil"/>
        </w:pBdr>
        <w:tabs>
          <w:tab w:val="left" w:pos="709"/>
          <w:tab w:val="left" w:pos="8222"/>
        </w:tabs>
        <w:spacing w:before="240" w:after="240" w:line="276" w:lineRule="auto"/>
        <w:jc w:val="both"/>
        <w:rPr>
          <w:rFonts w:ascii="Palatino Linotype" w:eastAsia="Palatino Linotype" w:hAnsi="Palatino Linotype" w:cs="Palatino Linotype"/>
          <w:i/>
          <w:iCs/>
          <w:color w:val="000000" w:themeColor="text1"/>
        </w:rPr>
      </w:pPr>
    </w:p>
    <w:p w:rsidR="00AA21CF" w:rsidRPr="00773EBE" w:rsidRDefault="00B333A6" w:rsidP="00773EBE">
      <w:pPr>
        <w:numPr>
          <w:ilvl w:val="0"/>
          <w:numId w:val="4"/>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Por otra parte, se establece que el sistema de contabilidad sobre base acumulativa total se sustentará en los principios de contabilidad gubernamental. 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AA21CF" w:rsidRPr="00773EBE" w:rsidRDefault="00B333A6" w:rsidP="00773EBE">
      <w:pPr>
        <w:numPr>
          <w:ilvl w:val="0"/>
          <w:numId w:val="4"/>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lastRenderedPageBreak/>
        <w:t>Correlativo a lo anterior, es preciso referir una definición de póliza contable, la cual, primeramente, no está definida en el Código Financiero del Estado de México y Municipios; no obstante, los ya mencionados Glosarios la definen como:</w:t>
      </w:r>
    </w:p>
    <w:p w:rsidR="00AA21CF" w:rsidRPr="00773EBE" w:rsidRDefault="00B333A6" w:rsidP="00773EBE">
      <w:pPr>
        <w:pBdr>
          <w:top w:val="nil"/>
          <w:left w:val="nil"/>
          <w:bottom w:val="nil"/>
          <w:right w:val="nil"/>
          <w:between w:val="nil"/>
        </w:pBdr>
        <w:spacing w:before="240" w:after="240" w:line="276" w:lineRule="auto"/>
        <w:jc w:val="both"/>
        <w:rPr>
          <w:rFonts w:ascii="Palatino Linotype" w:eastAsia="Palatino Linotype" w:hAnsi="Palatino Linotype" w:cs="Palatino Linotype"/>
          <w:b/>
          <w:bCs/>
          <w:i/>
          <w:iCs/>
          <w:color w:val="000000" w:themeColor="text1"/>
        </w:rPr>
      </w:pPr>
      <w:r w:rsidRPr="00773EBE">
        <w:rPr>
          <w:rFonts w:ascii="Palatino Linotype" w:eastAsia="Palatino Linotype" w:hAnsi="Palatino Linotype" w:cs="Palatino Linotype"/>
          <w:i/>
          <w:iCs/>
          <w:color w:val="000000" w:themeColor="text1"/>
        </w:rPr>
        <w:t>“</w:t>
      </w:r>
      <w:r w:rsidRPr="00773EBE">
        <w:rPr>
          <w:rFonts w:ascii="Palatino Linotype" w:eastAsia="Palatino Linotype" w:hAnsi="Palatino Linotype" w:cs="Palatino Linotype"/>
          <w:b/>
          <w:bCs/>
          <w:i/>
          <w:iCs/>
          <w:color w:val="000000" w:themeColor="text1"/>
        </w:rPr>
        <w:t>PÓLIZA CONTABLE:</w:t>
      </w:r>
    </w:p>
    <w:p w:rsidR="00AA21CF" w:rsidRPr="00773EBE" w:rsidRDefault="00B333A6" w:rsidP="00773EBE">
      <w:pPr>
        <w:pBdr>
          <w:top w:val="nil"/>
          <w:left w:val="nil"/>
          <w:bottom w:val="nil"/>
          <w:right w:val="nil"/>
          <w:between w:val="nil"/>
        </w:pBdr>
        <w:spacing w:before="240" w:after="240" w:line="276"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Documento en el cual se asientan en forma individual todas y cada una de las operaciones desarrolladas por una institución, así como la información necesaria para la identificación de dichas operaciones.”</w:t>
      </w:r>
    </w:p>
    <w:p w:rsidR="00AA21CF" w:rsidRPr="00773EBE" w:rsidRDefault="00B333A6" w:rsidP="00773EBE">
      <w:pPr>
        <w:numPr>
          <w:ilvl w:val="0"/>
          <w:numId w:val="4"/>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Luego entonces, se advierte que la póliza contable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AA21CF" w:rsidRPr="00773EBE" w:rsidRDefault="00AA21CF" w:rsidP="00773EBE">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Al respecto, existen diversos tipos de pólizas contables de acuerdo a las operaciones realizadas, dentro de las cuales, encontramos las llamadas pólizas de egresos e ingresos, en las cuales se anotan diariamente las operaciones que representan egresos e ingresos, es decir, salidas y entradas de dinero para, la cual además, debe encontrarse acompañada de las documentales que sirven de soporte de dicho movimiento.</w:t>
      </w:r>
    </w:p>
    <w:p w:rsidR="00AA21CF" w:rsidRPr="00773EBE" w:rsidRDefault="00AA21CF" w:rsidP="00773EBE">
      <w:pPr>
        <w:pBdr>
          <w:top w:val="nil"/>
          <w:left w:val="nil"/>
          <w:bottom w:val="nil"/>
          <w:right w:val="nil"/>
          <w:between w:val="nil"/>
        </w:pBdr>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Asimismo, se refuerza que al tener que documentar cada egreso e ingreso que se realiza de manera diaria, queda claro que el Sujeto Obligado debe generar, administrar y poseer la información que solicitó el particular. Por ello, se manera enunciativa más no limitativa, la información solicitada puede colmarse con la entrega de la póliza de egresos e ingresos. </w:t>
      </w: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lastRenderedPageBreak/>
        <w:t xml:space="preserve">Ahora bien, derivado de la información solicitada, también es necesario traer a contexto lo dispuesto en la Ley de la Contratación Pública del Estado de México y Municipios, la cual tiene por objeto regular los actos relativos a la planeación, programación, presupuestación, ejecución y control de </w:t>
      </w:r>
      <w:r w:rsidRPr="00773EBE">
        <w:rPr>
          <w:rFonts w:ascii="Palatino Linotype" w:eastAsia="Palatino Linotype" w:hAnsi="Palatino Linotype" w:cs="Palatino Linotype"/>
          <w:b/>
          <w:bCs/>
          <w:color w:val="000000" w:themeColor="text1"/>
        </w:rPr>
        <w:t>la adquisición</w:t>
      </w:r>
      <w:r w:rsidRPr="00773EBE">
        <w:rPr>
          <w:rFonts w:ascii="Palatino Linotype" w:eastAsia="Palatino Linotype" w:hAnsi="Palatino Linotype" w:cs="Palatino Linotype"/>
          <w:color w:val="000000" w:themeColor="text1"/>
        </w:rPr>
        <w:t xml:space="preserve">, enajenación y </w:t>
      </w:r>
      <w:r w:rsidRPr="00773EBE">
        <w:rPr>
          <w:rFonts w:ascii="Palatino Linotype" w:eastAsia="Palatino Linotype" w:hAnsi="Palatino Linotype" w:cs="Palatino Linotype"/>
          <w:b/>
          <w:bCs/>
          <w:color w:val="000000" w:themeColor="text1"/>
        </w:rPr>
        <w:t>arrendamiento de bienes</w:t>
      </w:r>
      <w:r w:rsidRPr="00773EBE">
        <w:rPr>
          <w:rFonts w:ascii="Palatino Linotype" w:eastAsia="Palatino Linotype" w:hAnsi="Palatino Linotype" w:cs="Palatino Linotype"/>
          <w:color w:val="000000" w:themeColor="text1"/>
        </w:rPr>
        <w:t xml:space="preserve">, </w:t>
      </w:r>
      <w:r w:rsidRPr="00773EBE">
        <w:rPr>
          <w:rFonts w:ascii="Palatino Linotype" w:eastAsia="Palatino Linotype" w:hAnsi="Palatino Linotype" w:cs="Palatino Linotype"/>
          <w:b/>
          <w:bCs/>
          <w:color w:val="000000" w:themeColor="text1"/>
        </w:rPr>
        <w:t>y la contratación de servicios de cualquier naturaleza</w:t>
      </w:r>
      <w:r w:rsidRPr="00773EBE">
        <w:rPr>
          <w:rFonts w:ascii="Palatino Linotype" w:eastAsia="Palatino Linotype" w:hAnsi="Palatino Linotype" w:cs="Palatino Linotype"/>
          <w:color w:val="000000" w:themeColor="text1"/>
        </w:rPr>
        <w:t>, que se realicen; los cuales se adjudicarán a través de licitaciones públicas, invitación restringida o adjudicación directa, mediante convocatoria pública, tal y como lo establecen los artículos 4, 26 y 27 de dicha Ley, los cuales son del tenor siguiente:</w:t>
      </w:r>
    </w:p>
    <w:p w:rsidR="00AA21CF" w:rsidRPr="00773EBE" w:rsidRDefault="00B333A6" w:rsidP="00773EBE">
      <w:pP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w:t>
      </w:r>
      <w:r w:rsidRPr="00773EBE">
        <w:rPr>
          <w:rFonts w:ascii="Palatino Linotype" w:eastAsia="Palatino Linotype" w:hAnsi="Palatino Linotype" w:cs="Palatino Linotype"/>
          <w:b/>
          <w:bCs/>
          <w:i/>
          <w:iCs/>
          <w:color w:val="000000" w:themeColor="text1"/>
        </w:rPr>
        <w:t>Artículo 4.-</w:t>
      </w:r>
      <w:r w:rsidRPr="00773EBE">
        <w:rPr>
          <w:rFonts w:ascii="Palatino Linotype" w:eastAsia="Palatino Linotype" w:hAnsi="Palatino Linotype" w:cs="Palatino Linotype"/>
          <w:i/>
          <w:iCs/>
          <w:color w:val="000000" w:themeColor="text1"/>
        </w:rPr>
        <w:t xml:space="preserve"> Para los efectos de esta Ley, en las adquisiciones, enajenaciones, arrendamientos y servicios, quedan comprendidos: </w:t>
      </w:r>
    </w:p>
    <w:p w:rsidR="00AA21CF" w:rsidRPr="00773EBE" w:rsidRDefault="00B333A6" w:rsidP="00773EBE">
      <w:pPr>
        <w:spacing w:line="360" w:lineRule="auto"/>
        <w:jc w:val="both"/>
        <w:rPr>
          <w:rFonts w:ascii="Palatino Linotype" w:eastAsia="Palatino Linotype" w:hAnsi="Palatino Linotype" w:cs="Palatino Linotype"/>
          <w:b/>
          <w:bCs/>
          <w:i/>
          <w:iCs/>
          <w:color w:val="000000" w:themeColor="text1"/>
        </w:rPr>
      </w:pPr>
      <w:r w:rsidRPr="00773EBE">
        <w:rPr>
          <w:rFonts w:ascii="Palatino Linotype" w:eastAsia="Palatino Linotype" w:hAnsi="Palatino Linotype" w:cs="Palatino Linotype"/>
          <w:b/>
          <w:bCs/>
          <w:i/>
          <w:iCs/>
          <w:color w:val="000000" w:themeColor="text1"/>
        </w:rPr>
        <w:t xml:space="preserve">I. La adquisición de bienes muebles. </w:t>
      </w:r>
    </w:p>
    <w:p w:rsidR="00AA21CF" w:rsidRPr="00773EBE" w:rsidRDefault="00B333A6" w:rsidP="00773EBE">
      <w:pP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II. La adquisición de bienes inmuebles, a través de compraventa. </w:t>
      </w:r>
    </w:p>
    <w:p w:rsidR="00AA21CF" w:rsidRPr="00773EBE" w:rsidRDefault="00B333A6" w:rsidP="00773EBE">
      <w:pP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III. La enajenación de bienes muebles e inmuebles. </w:t>
      </w:r>
    </w:p>
    <w:p w:rsidR="00AA21CF" w:rsidRPr="00773EBE" w:rsidRDefault="00B333A6" w:rsidP="00773EBE">
      <w:pPr>
        <w:spacing w:line="360" w:lineRule="auto"/>
        <w:jc w:val="both"/>
        <w:rPr>
          <w:rFonts w:ascii="Palatino Linotype" w:eastAsia="Palatino Linotype" w:hAnsi="Palatino Linotype" w:cs="Palatino Linotype"/>
          <w:b/>
          <w:bCs/>
          <w:i/>
          <w:iCs/>
          <w:color w:val="000000" w:themeColor="text1"/>
        </w:rPr>
      </w:pPr>
      <w:r w:rsidRPr="00773EBE">
        <w:rPr>
          <w:rFonts w:ascii="Palatino Linotype" w:eastAsia="Palatino Linotype" w:hAnsi="Palatino Linotype" w:cs="Palatino Linotype"/>
          <w:b/>
          <w:bCs/>
          <w:i/>
          <w:iCs/>
          <w:color w:val="000000" w:themeColor="text1"/>
        </w:rPr>
        <w:t xml:space="preserve">IV. El arrendamiento de bienes muebles e inmuebles. </w:t>
      </w:r>
    </w:p>
    <w:p w:rsidR="00AA21CF" w:rsidRPr="00773EBE" w:rsidRDefault="00B333A6" w:rsidP="00773EBE">
      <w:pPr>
        <w:spacing w:line="360" w:lineRule="auto"/>
        <w:jc w:val="both"/>
        <w:rPr>
          <w:rFonts w:ascii="Palatino Linotype" w:eastAsia="Palatino Linotype" w:hAnsi="Palatino Linotype" w:cs="Palatino Linotype"/>
          <w:b/>
          <w:bCs/>
          <w:i/>
          <w:iCs/>
          <w:color w:val="000000" w:themeColor="text1"/>
        </w:rPr>
      </w:pPr>
      <w:r w:rsidRPr="00773EBE">
        <w:rPr>
          <w:rFonts w:ascii="Palatino Linotype" w:eastAsia="Palatino Linotype" w:hAnsi="Palatino Linotype" w:cs="Palatino Linotype"/>
          <w:b/>
          <w:bCs/>
          <w:i/>
          <w:iCs/>
          <w:color w:val="000000" w:themeColor="text1"/>
        </w:rPr>
        <w:t xml:space="preserve">V. La contratación de los servicios, relacionados con bienes muebles que se encuentran incorporados o adheridos a bienes inmuebles, cuya instalación o mantenimiento no implique modificación al bien inmueble. </w:t>
      </w:r>
    </w:p>
    <w:p w:rsidR="00AA21CF" w:rsidRPr="00773EBE" w:rsidRDefault="00B333A6" w:rsidP="00773EBE">
      <w:pP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VI. La contratación de los servicios de reconstrucción y mantenimiento de bienes muebles. </w:t>
      </w:r>
    </w:p>
    <w:p w:rsidR="00AA21CF" w:rsidRPr="00773EBE" w:rsidRDefault="00B333A6" w:rsidP="00773EBE">
      <w:pP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 xml:space="preserve">VII. La contratación de los servicios </w:t>
      </w:r>
      <w:r w:rsidRPr="00773EBE">
        <w:rPr>
          <w:rFonts w:ascii="Palatino Linotype" w:eastAsia="Palatino Linotype" w:hAnsi="Palatino Linotype" w:cs="Palatino Linotype"/>
          <w:i/>
          <w:iCs/>
          <w:color w:val="000000" w:themeColor="text1"/>
        </w:rPr>
        <w:t>de maquila, seguros y transportación, así como de los de limpieza y vigilancia de bienes inmuebles</w:t>
      </w:r>
    </w:p>
    <w:p w:rsidR="00AA21CF" w:rsidRPr="00773EBE" w:rsidRDefault="00B333A6" w:rsidP="00773EBE">
      <w:pP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VIII. La prestación de servicios profesionales, la contratación de consultorías, asesorías y estudios e investigaciones, excepto la contratación de servicios personales de personas físicas bajo el régimen de honorarios. </w:t>
      </w:r>
    </w:p>
    <w:p w:rsidR="00AA21CF" w:rsidRPr="00773EBE" w:rsidRDefault="00B333A6" w:rsidP="00773EBE">
      <w:pPr>
        <w:spacing w:line="360" w:lineRule="auto"/>
        <w:jc w:val="both"/>
        <w:rPr>
          <w:rFonts w:ascii="Palatino Linotype" w:eastAsia="Palatino Linotype" w:hAnsi="Palatino Linotype" w:cs="Palatino Linotype"/>
          <w:b/>
          <w:bCs/>
          <w:i/>
          <w:iCs/>
          <w:color w:val="000000" w:themeColor="text1"/>
          <w:u w:val="single"/>
        </w:rPr>
      </w:pPr>
      <w:r w:rsidRPr="00773EBE">
        <w:rPr>
          <w:rFonts w:ascii="Palatino Linotype" w:eastAsia="Palatino Linotype" w:hAnsi="Palatino Linotype" w:cs="Palatino Linotype"/>
          <w:b/>
          <w:bCs/>
          <w:i/>
          <w:iCs/>
          <w:color w:val="000000" w:themeColor="text1"/>
          <w:u w:val="single"/>
        </w:rPr>
        <w:lastRenderedPageBreak/>
        <w:t>En general, otros actos que impliquen la contratación de servicios de cualquier naturaleza.</w:t>
      </w:r>
    </w:p>
    <w:p w:rsidR="00AA21CF" w:rsidRPr="00773EBE" w:rsidRDefault="00B333A6" w:rsidP="00773EBE">
      <w:pPr>
        <w:spacing w:line="360" w:lineRule="auto"/>
        <w:jc w:val="both"/>
        <w:rPr>
          <w:rFonts w:ascii="Palatino Linotype" w:eastAsia="Palatino Linotype" w:hAnsi="Palatino Linotype" w:cs="Palatino Linotype"/>
          <w:b/>
          <w:bCs/>
          <w:i/>
          <w:iCs/>
          <w:color w:val="000000" w:themeColor="text1"/>
        </w:rPr>
      </w:pPr>
      <w:r w:rsidRPr="00773EBE">
        <w:rPr>
          <w:rFonts w:ascii="Palatino Linotype" w:eastAsia="Palatino Linotype" w:hAnsi="Palatino Linotype" w:cs="Palatino Linotype"/>
          <w:b/>
          <w:bCs/>
          <w:i/>
          <w:iCs/>
          <w:color w:val="000000" w:themeColor="text1"/>
        </w:rPr>
        <w:t>Artículo 26.- Las adquisiciones, arrendamientos y servicios se adjudicarán a través de licitaciones públicas, mediante convocatoria pública.</w:t>
      </w:r>
    </w:p>
    <w:p w:rsidR="00AA21CF" w:rsidRPr="00773EBE" w:rsidRDefault="00AA21CF" w:rsidP="00773EBE">
      <w:pPr>
        <w:spacing w:line="360" w:lineRule="auto"/>
        <w:jc w:val="both"/>
        <w:rPr>
          <w:rFonts w:ascii="Palatino Linotype" w:eastAsia="Palatino Linotype" w:hAnsi="Palatino Linotype" w:cs="Palatino Linotype"/>
          <w:b/>
          <w:bCs/>
          <w:i/>
          <w:iCs/>
          <w:color w:val="000000" w:themeColor="text1"/>
        </w:rPr>
      </w:pPr>
    </w:p>
    <w:p w:rsidR="00AA21CF" w:rsidRPr="00773EBE" w:rsidRDefault="00B333A6" w:rsidP="00773EBE">
      <w:pP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 xml:space="preserve">Artículo 27.- </w:t>
      </w:r>
      <w:r w:rsidRPr="00773EBE">
        <w:rPr>
          <w:rFonts w:ascii="Palatino Linotype" w:eastAsia="Palatino Linotype" w:hAnsi="Palatino Linotype" w:cs="Palatino Linotype"/>
          <w:i/>
          <w:iCs/>
          <w:color w:val="000000" w:themeColor="text1"/>
        </w:rPr>
        <w:t xml:space="preserve">La Secretaría, las entidades, los tribunales administrativos y los ayuntamientos podrán adjudicar adquisiciones, arrendamientos y servicios, mediante las excepciones al procedimiento de licitación que a continuación se señalan: </w:t>
      </w:r>
    </w:p>
    <w:p w:rsidR="00AA21CF" w:rsidRPr="00773EBE" w:rsidRDefault="00B333A6" w:rsidP="00773EBE">
      <w:pPr>
        <w:spacing w:line="360" w:lineRule="auto"/>
        <w:jc w:val="both"/>
        <w:rPr>
          <w:rFonts w:ascii="Palatino Linotype" w:eastAsia="Palatino Linotype" w:hAnsi="Palatino Linotype" w:cs="Palatino Linotype"/>
          <w:b/>
          <w:bCs/>
          <w:i/>
          <w:iCs/>
          <w:color w:val="000000" w:themeColor="text1"/>
        </w:rPr>
      </w:pPr>
      <w:r w:rsidRPr="00773EBE">
        <w:rPr>
          <w:rFonts w:ascii="Palatino Linotype" w:eastAsia="Palatino Linotype" w:hAnsi="Palatino Linotype" w:cs="Palatino Linotype"/>
          <w:b/>
          <w:bCs/>
          <w:i/>
          <w:iCs/>
          <w:color w:val="000000" w:themeColor="text1"/>
        </w:rPr>
        <w:t xml:space="preserve">I. Invitación restringida. </w:t>
      </w:r>
    </w:p>
    <w:p w:rsidR="00AA21CF" w:rsidRPr="00773EBE" w:rsidRDefault="00B333A6" w:rsidP="00773EBE">
      <w:pPr>
        <w:spacing w:line="360" w:lineRule="auto"/>
        <w:jc w:val="both"/>
        <w:rPr>
          <w:rFonts w:ascii="Palatino Linotype" w:eastAsia="Palatino Linotype" w:hAnsi="Palatino Linotype" w:cs="Palatino Linotype"/>
          <w:b/>
          <w:bCs/>
          <w:i/>
          <w:iCs/>
          <w:color w:val="000000" w:themeColor="text1"/>
        </w:rPr>
      </w:pPr>
      <w:r w:rsidRPr="00773EBE">
        <w:rPr>
          <w:rFonts w:ascii="Palatino Linotype" w:eastAsia="Palatino Linotype" w:hAnsi="Palatino Linotype" w:cs="Palatino Linotype"/>
          <w:b/>
          <w:bCs/>
          <w:i/>
          <w:iCs/>
          <w:color w:val="000000" w:themeColor="text1"/>
        </w:rPr>
        <w:t>II. Adjudicación directa.”</w:t>
      </w:r>
    </w:p>
    <w:p w:rsidR="00AA21CF" w:rsidRPr="00773EBE" w:rsidRDefault="00B333A6" w:rsidP="00773EBE">
      <w:pPr>
        <w:jc w:val="right"/>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(Énfasis añadido) </w:t>
      </w:r>
    </w:p>
    <w:p w:rsidR="00AA21CF" w:rsidRPr="00773EBE" w:rsidRDefault="00AA21CF" w:rsidP="00773EBE">
      <w:pP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AA21CF" w:rsidRPr="00773EBE" w:rsidRDefault="00AA21CF" w:rsidP="00773EB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rsidR="00AA21CF" w:rsidRPr="00773EBE" w:rsidRDefault="00AA21CF" w:rsidP="00773EBE">
      <w:pPr>
        <w:pBdr>
          <w:top w:val="nil"/>
          <w:left w:val="nil"/>
          <w:bottom w:val="nil"/>
          <w:right w:val="nil"/>
          <w:between w:val="nil"/>
        </w:pBdr>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lastRenderedPageBreak/>
        <w:t>Por lo que, en las licitaciones se debe seguir el procedimiento marcado en el artículo 35 del precitado ordenamiento, que literalmente establece:</w:t>
      </w:r>
    </w:p>
    <w:p w:rsidR="00AA21CF" w:rsidRPr="00773EBE" w:rsidRDefault="00B333A6" w:rsidP="00773EBE">
      <w:pP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“Artículo 35</w:t>
      </w:r>
      <w:r w:rsidRPr="00773EBE">
        <w:rPr>
          <w:rFonts w:ascii="Palatino Linotype" w:eastAsia="Palatino Linotype" w:hAnsi="Palatino Linotype" w:cs="Palatino Linotype"/>
          <w:i/>
          <w:iCs/>
          <w:color w:val="000000" w:themeColor="text1"/>
        </w:rPr>
        <w:t>.- En los procedimientos de licitación pública se observará lo siguiente:</w:t>
      </w:r>
    </w:p>
    <w:p w:rsidR="00AA21CF" w:rsidRPr="00773EBE" w:rsidRDefault="00B333A6" w:rsidP="00773EBE">
      <w:pP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I. El acto de presentación y apertura de propuestas se llevará a cabo por el servidor público que designe la convocante, conforme al procedimiento que se establezca en el reglamento de esta Ley.</w:t>
      </w:r>
    </w:p>
    <w:p w:rsidR="00AA21CF" w:rsidRPr="00773EBE" w:rsidRDefault="00B333A6" w:rsidP="00773EBE">
      <w:pP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II. El comité de adquisiciones y servicios evaluará y analizará las propuestas técnicas y económicas presentadas por los licitantes en el ámbito de las respectivas competencias de sus integrantes, y emitirá el dictamen de adjudicación.</w:t>
      </w:r>
    </w:p>
    <w:p w:rsidR="00AA21CF" w:rsidRPr="00773EBE" w:rsidRDefault="00B333A6" w:rsidP="00773EBE">
      <w:pP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III. Las bases de licitación se pondrán a la venta a partir de la fecha de publicación de la convocatoria y hasta el día hábil anterior a la fecha de celebración </w:t>
      </w:r>
      <w:r w:rsidRPr="00773EBE">
        <w:rPr>
          <w:rFonts w:ascii="Palatino Linotype" w:eastAsia="Palatino Linotype" w:hAnsi="Palatino Linotype" w:cs="Palatino Linotype"/>
          <w:b/>
          <w:bCs/>
          <w:i/>
          <w:iCs/>
          <w:color w:val="000000" w:themeColor="text1"/>
        </w:rPr>
        <w:t>de la junta de aclaraciones</w:t>
      </w:r>
      <w:r w:rsidRPr="00773EBE">
        <w:rPr>
          <w:rFonts w:ascii="Palatino Linotype" w:eastAsia="Palatino Linotype" w:hAnsi="Palatino Linotype" w:cs="Palatino Linotype"/>
          <w:i/>
          <w:iCs/>
          <w:color w:val="000000" w:themeColor="text1"/>
        </w:rPr>
        <w:t xml:space="preserve"> o, en su defecto, del acto de presentación y apertura de propuestas.</w:t>
      </w:r>
    </w:p>
    <w:p w:rsidR="00AA21CF" w:rsidRPr="00773EBE" w:rsidRDefault="00B333A6" w:rsidP="00773EBE">
      <w:pP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IV. Las convocantes podrán modificar los plazos y términos establecidos en la convocatoria o en las bases de licitación, hasta cinco días hábiles anteriores a la fecha de la celebración del acto de presentación y apertura de propuestas.</w:t>
      </w:r>
    </w:p>
    <w:p w:rsidR="00AA21CF" w:rsidRPr="00773EBE" w:rsidRDefault="00B333A6" w:rsidP="00773EBE">
      <w:pP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V. Las modificaciones no podrán limitar el número de licitantes, sustituir o variar sustancialmente los bienes o servicios convocados originalmente, ni adicionar otros  distintos.</w:t>
      </w:r>
    </w:p>
    <w:p w:rsidR="00AA21CF" w:rsidRPr="00773EBE" w:rsidRDefault="00B333A6" w:rsidP="00773EBE">
      <w:pP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VI. Las modificaciones a la convocatoria o a las bases se harán del conocimiento de los interesados hasta tres días hábiles antes de la fecha señalada para el acto de presentación y apertura de propuestas.</w:t>
      </w:r>
    </w:p>
    <w:p w:rsidR="00AA21CF" w:rsidRPr="00773EBE" w:rsidRDefault="00B333A6" w:rsidP="00773EBE">
      <w:pP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VII. Se emitirá el fallo dentro de los 15 días hábiles siguientes a la publicación de la convocatoria.</w:t>
      </w:r>
    </w:p>
    <w:p w:rsidR="00AA21CF" w:rsidRPr="00773EBE" w:rsidRDefault="00B333A6" w:rsidP="00773EBE">
      <w:pP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VIII. Los licitantes se podrán registrar hasta el día y la hora fijados para el acto de presentación y apertura de propuestas.</w:t>
      </w:r>
      <w:r w:rsidRPr="00773EBE">
        <w:rPr>
          <w:rFonts w:ascii="Palatino Linotype" w:eastAsia="Palatino Linotype" w:hAnsi="Palatino Linotype" w:cs="Palatino Linotype"/>
          <w:b/>
          <w:bCs/>
          <w:i/>
          <w:iCs/>
          <w:color w:val="000000" w:themeColor="text1"/>
        </w:rPr>
        <w:t>”</w:t>
      </w:r>
    </w:p>
    <w:p w:rsidR="00AA21CF" w:rsidRPr="00773EBE" w:rsidRDefault="00B333A6" w:rsidP="00773EBE">
      <w:pP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(Énfasis añadido)</w:t>
      </w:r>
    </w:p>
    <w:p w:rsidR="00AA21CF" w:rsidRPr="00773EBE" w:rsidRDefault="00AA21CF" w:rsidP="00773EBE">
      <w:pPr>
        <w:spacing w:line="360" w:lineRule="auto"/>
        <w:jc w:val="both"/>
        <w:rPr>
          <w:rFonts w:ascii="Palatino Linotype" w:eastAsia="Palatino Linotype" w:hAnsi="Palatino Linotype" w:cs="Palatino Linotype"/>
          <w:i/>
          <w:iCs/>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lastRenderedPageBreak/>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AA21CF" w:rsidRPr="00773EBE" w:rsidRDefault="00AA21CF" w:rsidP="00773EB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Además, respecto al dictamen y el fallo de la adjudicación, es de señalar que la Ley en mención indica lo siguiente:</w:t>
      </w:r>
    </w:p>
    <w:p w:rsidR="00AA21CF" w:rsidRPr="00773EBE" w:rsidRDefault="00B333A6" w:rsidP="00773EBE">
      <w:pP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“Artículo 37.-</w:t>
      </w:r>
      <w:r w:rsidRPr="00773EBE">
        <w:rPr>
          <w:rFonts w:ascii="Palatino Linotype" w:eastAsia="Palatino Linotype" w:hAnsi="Palatino Linotype" w:cs="Palatino Linotype"/>
          <w:i/>
          <w:iCs/>
          <w:color w:val="000000" w:themeColor="text1"/>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rsidR="00AA21CF" w:rsidRPr="00773EBE" w:rsidRDefault="00AA21CF" w:rsidP="00773EBE">
      <w:pPr>
        <w:spacing w:line="360" w:lineRule="auto"/>
        <w:jc w:val="both"/>
        <w:rPr>
          <w:rFonts w:ascii="Palatino Linotype" w:eastAsia="Palatino Linotype" w:hAnsi="Palatino Linotype" w:cs="Palatino Linotype"/>
          <w:b/>
          <w:bCs/>
          <w:i/>
          <w:iCs/>
          <w:color w:val="000000" w:themeColor="text1"/>
        </w:rPr>
      </w:pPr>
    </w:p>
    <w:p w:rsidR="00AA21CF" w:rsidRPr="00773EBE" w:rsidRDefault="00B333A6" w:rsidP="00773EBE">
      <w:pP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Artículo 38.-</w:t>
      </w:r>
      <w:r w:rsidRPr="00773EBE">
        <w:rPr>
          <w:rFonts w:ascii="Palatino Linotype" w:eastAsia="Palatino Linotype" w:hAnsi="Palatino Linotype" w:cs="Palatino Linotype"/>
          <w:i/>
          <w:iCs/>
          <w:color w:val="000000" w:themeColor="text1"/>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AA21CF" w:rsidRPr="00773EBE" w:rsidRDefault="00B333A6" w:rsidP="00773EBE">
      <w:pP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 xml:space="preserve">El fallo de adjudicación surtirá efectos desde la emisión, siendo responsabilidad de los licitantes enterarse de su contenido, por lo que a partir de ese momento, las obligaciones derivadas de éste serán </w:t>
      </w:r>
      <w:r w:rsidRPr="00773EBE">
        <w:rPr>
          <w:rFonts w:ascii="Palatino Linotype" w:eastAsia="Palatino Linotype" w:hAnsi="Palatino Linotype" w:cs="Palatino Linotype"/>
          <w:i/>
          <w:iCs/>
          <w:color w:val="000000" w:themeColor="text1"/>
        </w:rPr>
        <w:lastRenderedPageBreak/>
        <w:t>exigibles sin perjuicio de la formalización del contrato respectivo, en los términos señalados en el fallo.</w:t>
      </w:r>
      <w:r w:rsidRPr="00773EBE">
        <w:rPr>
          <w:rFonts w:ascii="Palatino Linotype" w:eastAsia="Palatino Linotype" w:hAnsi="Palatino Linotype" w:cs="Palatino Linotype"/>
          <w:b/>
          <w:bCs/>
          <w:i/>
          <w:iCs/>
          <w:color w:val="000000" w:themeColor="text1"/>
        </w:rPr>
        <w:t>”</w:t>
      </w:r>
      <w:r w:rsidRPr="00773EBE">
        <w:rPr>
          <w:rFonts w:ascii="Palatino Linotype" w:eastAsia="Palatino Linotype" w:hAnsi="Palatino Linotype" w:cs="Palatino Linotype"/>
          <w:i/>
          <w:iCs/>
          <w:color w:val="000000" w:themeColor="text1"/>
        </w:rPr>
        <w:t xml:space="preserve"> </w:t>
      </w:r>
    </w:p>
    <w:p w:rsidR="00AA21CF" w:rsidRPr="00773EBE" w:rsidRDefault="00AA21CF" w:rsidP="00773EBE">
      <w:pPr>
        <w:spacing w:line="360" w:lineRule="auto"/>
        <w:jc w:val="both"/>
        <w:rPr>
          <w:rFonts w:ascii="Palatino Linotype" w:eastAsia="Palatino Linotype" w:hAnsi="Palatino Linotype" w:cs="Palatino Linotype"/>
          <w:i/>
          <w:iCs/>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rsidR="00AA21CF" w:rsidRPr="00773EBE" w:rsidRDefault="00AA21CF" w:rsidP="00773EB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Además, es oportuno señalar que, las disposiciones respecto a las bases, dictámenes, fallos y fianzas, se realizan con similitud al procedimiento de licitación pública, tal como lo señalan los artículos 46 y 90 de la misma Ley, que literalmente establecen:</w:t>
      </w:r>
    </w:p>
    <w:p w:rsidR="00AA21CF" w:rsidRPr="00773EBE" w:rsidRDefault="00B333A6" w:rsidP="00773EBE">
      <w:pPr>
        <w:spacing w:line="276"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“Artículo 46.-</w:t>
      </w:r>
      <w:r w:rsidRPr="00773EBE">
        <w:rPr>
          <w:rFonts w:ascii="Palatino Linotype" w:eastAsia="Palatino Linotype" w:hAnsi="Palatino Linotype" w:cs="Palatino Linotype"/>
          <w:i/>
          <w:iCs/>
          <w:color w:val="000000" w:themeColor="text1"/>
        </w:rPr>
        <w:t xml:space="preserve"> El procedimiento de invitación restringida se desarrollará en los términos de la licitación pública, a excepción de la publicación de la convocatoria.” (Sic)</w:t>
      </w:r>
    </w:p>
    <w:p w:rsidR="00AA21CF" w:rsidRPr="00773EBE" w:rsidRDefault="00B333A6" w:rsidP="00773EBE">
      <w:pPr>
        <w:spacing w:line="276"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Por ello, el Reglamento de la Ley en comento, en su artículo 90, indica cuales son los supuestos que deberán observarse para llevar a cabo dicho procedimiento:</w:t>
      </w:r>
    </w:p>
    <w:p w:rsidR="00AA21CF" w:rsidRPr="00773EBE" w:rsidRDefault="00AA21CF" w:rsidP="00773EBE">
      <w:pPr>
        <w:spacing w:line="276" w:lineRule="auto"/>
        <w:jc w:val="both"/>
        <w:rPr>
          <w:rFonts w:ascii="Palatino Linotype" w:eastAsia="Palatino Linotype" w:hAnsi="Palatino Linotype" w:cs="Palatino Linotype"/>
          <w:b/>
          <w:bCs/>
          <w:i/>
          <w:iCs/>
          <w:color w:val="000000" w:themeColor="text1"/>
        </w:rPr>
      </w:pPr>
    </w:p>
    <w:p w:rsidR="00AA21CF" w:rsidRPr="00773EBE" w:rsidRDefault="00B333A6" w:rsidP="00773EBE">
      <w:pPr>
        <w:spacing w:line="276"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b/>
          <w:bCs/>
          <w:i/>
          <w:iCs/>
          <w:color w:val="000000" w:themeColor="text1"/>
        </w:rPr>
        <w:t>Artículo 90.-</w:t>
      </w:r>
      <w:r w:rsidRPr="00773EBE">
        <w:rPr>
          <w:rFonts w:ascii="Palatino Linotype" w:eastAsia="Palatino Linotype" w:hAnsi="Palatino Linotype" w:cs="Palatino Linotype"/>
          <w:i/>
          <w:iCs/>
          <w:color w:val="000000" w:themeColor="text1"/>
        </w:rPr>
        <w:t xml:space="preserve"> En el procedimiento de invitación restringida se deberá observar lo siguiente:</w:t>
      </w:r>
    </w:p>
    <w:p w:rsidR="00AA21CF" w:rsidRPr="00773EBE" w:rsidRDefault="00AA21CF" w:rsidP="00773EBE">
      <w:pPr>
        <w:spacing w:line="276" w:lineRule="auto"/>
        <w:jc w:val="both"/>
        <w:rPr>
          <w:rFonts w:ascii="Palatino Linotype" w:eastAsia="Palatino Linotype" w:hAnsi="Palatino Linotype" w:cs="Palatino Linotype"/>
          <w:i/>
          <w:iCs/>
          <w:color w:val="000000" w:themeColor="text1"/>
        </w:rPr>
      </w:pPr>
    </w:p>
    <w:p w:rsidR="00AA21CF" w:rsidRPr="00773EBE" w:rsidRDefault="00B333A6" w:rsidP="00773EBE">
      <w:pPr>
        <w:spacing w:line="276"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I. Se invitará a un mínimo de tres personas seleccionadas de entre las que se encuentren inscritas en el catálogo de proveedores y de prestadores de servicios.</w:t>
      </w:r>
    </w:p>
    <w:p w:rsidR="00AA21CF" w:rsidRPr="00773EBE" w:rsidRDefault="00B333A6" w:rsidP="00773EBE">
      <w:pPr>
        <w:spacing w:line="276"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Se podrá invitar a personas que no se encuentren inscritas, cuando en el giro correspondiente del catálogo de proveedores y prestadores de servicios no exista el registro mínimo de personas requeridas para tal modalidad;</w:t>
      </w:r>
    </w:p>
    <w:p w:rsidR="00AA21CF" w:rsidRPr="00773EBE" w:rsidRDefault="00B333A6" w:rsidP="00773EBE">
      <w:pPr>
        <w:spacing w:line="276"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II. Las bases de la invitación restringida indicarán los aspectos de la adquisición o contratación; y</w:t>
      </w:r>
    </w:p>
    <w:p w:rsidR="00AA21CF" w:rsidRPr="00773EBE" w:rsidRDefault="00B333A6" w:rsidP="00773EBE">
      <w:pPr>
        <w:spacing w:line="276" w:lineRule="auto"/>
        <w:jc w:val="both"/>
        <w:rPr>
          <w:rFonts w:ascii="Palatino Linotype" w:eastAsia="Palatino Linotype" w:hAnsi="Palatino Linotype" w:cs="Palatino Linotype"/>
          <w:b/>
          <w:bCs/>
          <w:i/>
          <w:iCs/>
          <w:color w:val="000000" w:themeColor="text1"/>
        </w:rPr>
      </w:pPr>
      <w:r w:rsidRPr="00773EBE">
        <w:rPr>
          <w:rFonts w:ascii="Palatino Linotype" w:eastAsia="Palatino Linotype" w:hAnsi="Palatino Linotype" w:cs="Palatino Linotype"/>
          <w:i/>
          <w:iCs/>
          <w:color w:val="000000" w:themeColor="text1"/>
        </w:rPr>
        <w:t>III. Serán aplicables, en lo conducente, las disposiciones de la licitación pública.</w:t>
      </w:r>
      <w:r w:rsidRPr="00773EBE">
        <w:rPr>
          <w:rFonts w:ascii="Palatino Linotype" w:eastAsia="Palatino Linotype" w:hAnsi="Palatino Linotype" w:cs="Palatino Linotype"/>
          <w:b/>
          <w:bCs/>
          <w:i/>
          <w:iCs/>
          <w:color w:val="000000" w:themeColor="text1"/>
        </w:rPr>
        <w:t>”</w:t>
      </w:r>
    </w:p>
    <w:p w:rsidR="00AA21CF" w:rsidRPr="00773EBE" w:rsidRDefault="00AA21CF" w:rsidP="00773EBE">
      <w:pPr>
        <w:spacing w:line="360" w:lineRule="auto"/>
        <w:jc w:val="both"/>
        <w:rPr>
          <w:rFonts w:ascii="Palatino Linotype" w:eastAsia="Palatino Linotype" w:hAnsi="Palatino Linotype" w:cs="Palatino Linotype"/>
          <w:i/>
          <w:iCs/>
          <w:color w:val="000000" w:themeColor="text1"/>
        </w:rPr>
      </w:pPr>
    </w:p>
    <w:p w:rsidR="003E07E5"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lastRenderedPageBreak/>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rsidR="003E07E5" w:rsidRPr="00773EBE" w:rsidRDefault="003E07E5" w:rsidP="00773EB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E07E5" w:rsidRPr="00401F3B" w:rsidRDefault="003E07E5"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01F3B">
        <w:rPr>
          <w:rFonts w:ascii="Palatino Linotype" w:eastAsia="Palatino Linotype" w:hAnsi="Palatino Linotype" w:cs="Palatino Linotype"/>
          <w:color w:val="000000" w:themeColor="text1"/>
        </w:rPr>
        <w:t>Al respecto, el Reglamento de la Ley de Contratación Pública nos establece lo siguiente:</w:t>
      </w:r>
    </w:p>
    <w:p w:rsidR="003E07E5" w:rsidRPr="00401F3B" w:rsidRDefault="003E07E5" w:rsidP="00773EBE">
      <w:pPr>
        <w:pBdr>
          <w:top w:val="nil"/>
          <w:left w:val="nil"/>
          <w:bottom w:val="nil"/>
          <w:right w:val="nil"/>
          <w:between w:val="nil"/>
        </w:pBdr>
        <w:spacing w:line="360" w:lineRule="auto"/>
        <w:jc w:val="both"/>
        <w:rPr>
          <w:rFonts w:ascii="Palatino Linotype" w:hAnsi="Palatino Linotype"/>
          <w:i/>
          <w:color w:val="000000" w:themeColor="text1"/>
        </w:rPr>
      </w:pPr>
      <w:r w:rsidRPr="00401F3B">
        <w:rPr>
          <w:rFonts w:ascii="Palatino Linotype" w:hAnsi="Palatino Linotype"/>
          <w:b/>
          <w:i/>
          <w:color w:val="000000" w:themeColor="text1"/>
        </w:rPr>
        <w:t>Artículo 54.-</w:t>
      </w:r>
      <w:r w:rsidRPr="00401F3B">
        <w:rPr>
          <w:rFonts w:ascii="Palatino Linotype" w:hAnsi="Palatino Linotype"/>
          <w:i/>
          <w:color w:val="000000" w:themeColor="text1"/>
        </w:rPr>
        <w:t xml:space="preserve"> Además de las establecidas en la Ley, el Comité de Arrendamientos, Adquisiciones de Inmuebles y Enajenaciones tendrá las siguientes funciones: </w:t>
      </w:r>
    </w:p>
    <w:p w:rsidR="003E07E5" w:rsidRPr="00401F3B" w:rsidRDefault="003E07E5" w:rsidP="00773EBE">
      <w:pPr>
        <w:pBdr>
          <w:top w:val="nil"/>
          <w:left w:val="nil"/>
          <w:bottom w:val="nil"/>
          <w:right w:val="nil"/>
          <w:between w:val="nil"/>
        </w:pBdr>
        <w:spacing w:line="360" w:lineRule="auto"/>
        <w:jc w:val="both"/>
        <w:rPr>
          <w:rFonts w:ascii="Palatino Linotype" w:hAnsi="Palatino Linotype"/>
          <w:i/>
          <w:color w:val="000000" w:themeColor="text1"/>
        </w:rPr>
      </w:pPr>
      <w:r w:rsidRPr="00401F3B">
        <w:rPr>
          <w:rFonts w:ascii="Palatino Linotype" w:hAnsi="Palatino Linotype"/>
          <w:i/>
          <w:color w:val="000000" w:themeColor="text1"/>
        </w:rPr>
        <w:t xml:space="preserve">I. Expedir su manual de operación; </w:t>
      </w:r>
    </w:p>
    <w:p w:rsidR="003E07E5" w:rsidRPr="00401F3B" w:rsidRDefault="003E07E5" w:rsidP="00773EBE">
      <w:pPr>
        <w:pBdr>
          <w:top w:val="nil"/>
          <w:left w:val="nil"/>
          <w:bottom w:val="nil"/>
          <w:right w:val="nil"/>
          <w:between w:val="nil"/>
        </w:pBdr>
        <w:spacing w:line="360" w:lineRule="auto"/>
        <w:jc w:val="both"/>
        <w:rPr>
          <w:rFonts w:ascii="Palatino Linotype" w:hAnsi="Palatino Linotype"/>
          <w:i/>
          <w:color w:val="000000" w:themeColor="text1"/>
        </w:rPr>
      </w:pPr>
      <w:r w:rsidRPr="00401F3B">
        <w:rPr>
          <w:rFonts w:ascii="Palatino Linotype" w:hAnsi="Palatino Linotype"/>
          <w:i/>
          <w:color w:val="000000" w:themeColor="text1"/>
        </w:rPr>
        <w:t xml:space="preserve">II. Revisar y validar el programa anual de arrendamiento; así como formular las observaciones y recomendaciones que estimen convenientes; </w:t>
      </w:r>
    </w:p>
    <w:p w:rsidR="003E07E5" w:rsidRPr="00401F3B" w:rsidRDefault="003E07E5" w:rsidP="00773EBE">
      <w:pPr>
        <w:pBdr>
          <w:top w:val="nil"/>
          <w:left w:val="nil"/>
          <w:bottom w:val="nil"/>
          <w:right w:val="nil"/>
          <w:between w:val="nil"/>
        </w:pBdr>
        <w:spacing w:line="360" w:lineRule="auto"/>
        <w:jc w:val="both"/>
        <w:rPr>
          <w:rFonts w:ascii="Palatino Linotype" w:hAnsi="Palatino Linotype"/>
          <w:b/>
          <w:i/>
          <w:color w:val="000000" w:themeColor="text1"/>
        </w:rPr>
      </w:pPr>
      <w:r w:rsidRPr="00401F3B">
        <w:rPr>
          <w:rFonts w:ascii="Palatino Linotype" w:hAnsi="Palatino Linotype"/>
          <w:b/>
          <w:i/>
          <w:color w:val="000000" w:themeColor="text1"/>
        </w:rPr>
        <w:t xml:space="preserve">III. </w:t>
      </w:r>
      <w:r w:rsidRPr="00401F3B">
        <w:rPr>
          <w:rFonts w:ascii="Palatino Linotype" w:hAnsi="Palatino Linotype"/>
          <w:b/>
          <w:i/>
          <w:color w:val="000000" w:themeColor="text1"/>
          <w:u w:val="single"/>
        </w:rPr>
        <w:t>Analizar la documentación de los actos relacionados</w:t>
      </w:r>
      <w:r w:rsidRPr="00401F3B">
        <w:rPr>
          <w:rFonts w:ascii="Palatino Linotype" w:hAnsi="Palatino Linotype"/>
          <w:b/>
          <w:i/>
          <w:color w:val="000000" w:themeColor="text1"/>
        </w:rPr>
        <w:t xml:space="preserve"> con </w:t>
      </w:r>
      <w:r w:rsidRPr="00401F3B">
        <w:rPr>
          <w:rFonts w:ascii="Palatino Linotype" w:hAnsi="Palatino Linotype"/>
          <w:b/>
          <w:i/>
          <w:color w:val="000000" w:themeColor="text1"/>
          <w:u w:val="single"/>
        </w:rPr>
        <w:t>arrendamiento,</w:t>
      </w:r>
      <w:r w:rsidRPr="00401F3B">
        <w:rPr>
          <w:rFonts w:ascii="Palatino Linotype" w:hAnsi="Palatino Linotype"/>
          <w:b/>
          <w:i/>
          <w:color w:val="000000" w:themeColor="text1"/>
        </w:rPr>
        <w:t xml:space="preserve"> adquisiciones de inmuebles y enajenaciones de muebles e inmuebles, y emitir la opinión correspondiente; </w:t>
      </w:r>
    </w:p>
    <w:p w:rsidR="003E07E5" w:rsidRPr="00401F3B" w:rsidRDefault="003E07E5" w:rsidP="00773EBE">
      <w:pPr>
        <w:pBdr>
          <w:top w:val="nil"/>
          <w:left w:val="nil"/>
          <w:bottom w:val="nil"/>
          <w:right w:val="nil"/>
          <w:between w:val="nil"/>
        </w:pBdr>
        <w:spacing w:line="360" w:lineRule="auto"/>
        <w:jc w:val="both"/>
        <w:rPr>
          <w:rFonts w:ascii="Palatino Linotype" w:hAnsi="Palatino Linotype"/>
          <w:i/>
          <w:color w:val="000000" w:themeColor="text1"/>
        </w:rPr>
      </w:pPr>
      <w:r w:rsidRPr="00401F3B">
        <w:rPr>
          <w:rFonts w:ascii="Palatino Linotype" w:hAnsi="Palatino Linotype"/>
          <w:i/>
          <w:color w:val="000000" w:themeColor="text1"/>
        </w:rPr>
        <w:t xml:space="preserve">IV. Dictaminar sobre las solicitudes para adquirir inmuebles, arrendamientos y subarrendamientos; </w:t>
      </w:r>
    </w:p>
    <w:p w:rsidR="003E07E5" w:rsidRPr="00401F3B" w:rsidRDefault="003E07E5" w:rsidP="00773EBE">
      <w:pPr>
        <w:pBdr>
          <w:top w:val="nil"/>
          <w:left w:val="nil"/>
          <w:bottom w:val="nil"/>
          <w:right w:val="nil"/>
          <w:between w:val="nil"/>
        </w:pBdr>
        <w:spacing w:line="360" w:lineRule="auto"/>
        <w:jc w:val="both"/>
        <w:rPr>
          <w:rFonts w:ascii="Palatino Linotype" w:hAnsi="Palatino Linotype"/>
          <w:i/>
          <w:color w:val="000000" w:themeColor="text1"/>
        </w:rPr>
      </w:pPr>
      <w:r w:rsidRPr="00401F3B">
        <w:rPr>
          <w:rFonts w:ascii="Palatino Linotype" w:hAnsi="Palatino Linotype"/>
          <w:i/>
          <w:color w:val="000000" w:themeColor="text1"/>
        </w:rPr>
        <w:t xml:space="preserve">V. Dictaminar sobre las propuestas de enajenación de bienes muebles e inmuebles; </w:t>
      </w:r>
    </w:p>
    <w:p w:rsidR="003E07E5" w:rsidRPr="00401F3B" w:rsidRDefault="003E07E5" w:rsidP="00773EBE">
      <w:pPr>
        <w:pBdr>
          <w:top w:val="nil"/>
          <w:left w:val="nil"/>
          <w:bottom w:val="nil"/>
          <w:right w:val="nil"/>
          <w:between w:val="nil"/>
        </w:pBdr>
        <w:spacing w:line="360" w:lineRule="auto"/>
        <w:jc w:val="both"/>
        <w:rPr>
          <w:rFonts w:ascii="Palatino Linotype" w:hAnsi="Palatino Linotype"/>
          <w:i/>
          <w:color w:val="000000" w:themeColor="text1"/>
        </w:rPr>
      </w:pPr>
      <w:r w:rsidRPr="00401F3B">
        <w:rPr>
          <w:rFonts w:ascii="Palatino Linotype" w:hAnsi="Palatino Linotype"/>
          <w:i/>
          <w:color w:val="000000" w:themeColor="text1"/>
        </w:rPr>
        <w:t>(…)</w:t>
      </w:r>
    </w:p>
    <w:p w:rsidR="003E07E5" w:rsidRPr="00401F3B" w:rsidRDefault="003E07E5" w:rsidP="00773EBE">
      <w:pPr>
        <w:pBdr>
          <w:top w:val="nil"/>
          <w:left w:val="nil"/>
          <w:bottom w:val="nil"/>
          <w:right w:val="nil"/>
          <w:between w:val="nil"/>
        </w:pBdr>
        <w:spacing w:line="360" w:lineRule="auto"/>
        <w:jc w:val="both"/>
        <w:rPr>
          <w:rFonts w:ascii="Palatino Linotype" w:hAnsi="Palatino Linotype"/>
          <w:i/>
          <w:color w:val="000000" w:themeColor="text1"/>
        </w:rPr>
      </w:pPr>
      <w:r w:rsidRPr="00401F3B">
        <w:rPr>
          <w:rFonts w:ascii="Palatino Linotype" w:hAnsi="Palatino Linotype"/>
          <w:i/>
          <w:color w:val="000000" w:themeColor="text1"/>
        </w:rPr>
        <w:t xml:space="preserve">VIII. Evaluar las propuestas o posturas que se presenten en los procedimientos de licitación pública, subasta pública, invitación restringida o adjudicación directa; </w:t>
      </w:r>
    </w:p>
    <w:p w:rsidR="003E07E5" w:rsidRPr="00401F3B" w:rsidRDefault="003E07E5" w:rsidP="00773EBE">
      <w:pPr>
        <w:pBdr>
          <w:top w:val="nil"/>
          <w:left w:val="nil"/>
          <w:bottom w:val="nil"/>
          <w:right w:val="nil"/>
          <w:between w:val="nil"/>
        </w:pBdr>
        <w:spacing w:line="360" w:lineRule="auto"/>
        <w:jc w:val="both"/>
        <w:rPr>
          <w:rFonts w:ascii="Palatino Linotype" w:hAnsi="Palatino Linotype"/>
          <w:i/>
          <w:color w:val="000000" w:themeColor="text1"/>
        </w:rPr>
      </w:pPr>
      <w:r w:rsidRPr="00401F3B">
        <w:rPr>
          <w:rFonts w:ascii="Palatino Linotype" w:hAnsi="Palatino Linotype"/>
          <w:i/>
          <w:color w:val="000000" w:themeColor="text1"/>
        </w:rPr>
        <w:t xml:space="preserve">IX. Emitir los dictámenes de adjudicación, que servirán para la emisión del fallo en los arrendamientos, adquisiciones de inmuebles y enajenaciones; </w:t>
      </w:r>
    </w:p>
    <w:p w:rsidR="003E07E5" w:rsidRPr="00401F3B" w:rsidRDefault="003E07E5" w:rsidP="00773EBE">
      <w:pPr>
        <w:pBdr>
          <w:top w:val="nil"/>
          <w:left w:val="nil"/>
          <w:bottom w:val="nil"/>
          <w:right w:val="nil"/>
          <w:between w:val="nil"/>
        </w:pBdr>
        <w:spacing w:line="360" w:lineRule="auto"/>
        <w:jc w:val="both"/>
        <w:rPr>
          <w:rFonts w:ascii="Palatino Linotype" w:hAnsi="Palatino Linotype"/>
          <w:i/>
          <w:color w:val="000000" w:themeColor="text1"/>
        </w:rPr>
      </w:pPr>
      <w:r w:rsidRPr="00401F3B">
        <w:rPr>
          <w:rFonts w:ascii="Palatino Linotype" w:hAnsi="Palatino Linotype"/>
          <w:i/>
          <w:color w:val="000000" w:themeColor="text1"/>
        </w:rPr>
        <w:t xml:space="preserve">X. Crear subcomités y grupos de trabajo de orden administrativo y técnico que considere necesarios para el desarrollo de sus funciones; y </w:t>
      </w:r>
    </w:p>
    <w:p w:rsidR="003E07E5" w:rsidRPr="00401F3B" w:rsidRDefault="003E07E5" w:rsidP="00773EBE">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401F3B">
        <w:rPr>
          <w:rFonts w:ascii="Palatino Linotype" w:hAnsi="Palatino Linotype"/>
          <w:i/>
          <w:color w:val="000000" w:themeColor="text1"/>
        </w:rPr>
        <w:lastRenderedPageBreak/>
        <w:t>XI. Las demás que sean necesarias para el cumplimiento de sus funciones.</w:t>
      </w:r>
    </w:p>
    <w:p w:rsidR="003E07E5" w:rsidRPr="00401F3B" w:rsidRDefault="003E07E5" w:rsidP="00773EB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E07E5" w:rsidRPr="00401F3B" w:rsidRDefault="003E07E5" w:rsidP="00773EBE">
      <w:pPr>
        <w:pBdr>
          <w:top w:val="nil"/>
          <w:left w:val="nil"/>
          <w:bottom w:val="nil"/>
          <w:right w:val="nil"/>
          <w:between w:val="nil"/>
        </w:pBdr>
        <w:spacing w:line="360" w:lineRule="auto"/>
        <w:jc w:val="both"/>
        <w:rPr>
          <w:rFonts w:ascii="Palatino Linotype" w:hAnsi="Palatino Linotype"/>
          <w:i/>
          <w:color w:val="000000" w:themeColor="text1"/>
        </w:rPr>
      </w:pPr>
      <w:r w:rsidRPr="00401F3B">
        <w:rPr>
          <w:rFonts w:ascii="Palatino Linotype" w:hAnsi="Palatino Linotype"/>
          <w:b/>
          <w:i/>
          <w:color w:val="000000" w:themeColor="text1"/>
        </w:rPr>
        <w:t>Artículo 67.-</w:t>
      </w:r>
      <w:r w:rsidRPr="00401F3B">
        <w:rPr>
          <w:rFonts w:ascii="Palatino Linotype" w:hAnsi="Palatino Linotype"/>
          <w:i/>
          <w:color w:val="000000" w:themeColor="text1"/>
        </w:rPr>
        <w:t xml:space="preserve"> El procedimiento de licitación pública comprende las siguientes fases: </w:t>
      </w:r>
    </w:p>
    <w:p w:rsidR="003E07E5" w:rsidRPr="00401F3B" w:rsidRDefault="003E07E5" w:rsidP="00773EBE">
      <w:pPr>
        <w:pBdr>
          <w:top w:val="nil"/>
          <w:left w:val="nil"/>
          <w:bottom w:val="nil"/>
          <w:right w:val="nil"/>
          <w:between w:val="nil"/>
        </w:pBdr>
        <w:spacing w:line="360" w:lineRule="auto"/>
        <w:jc w:val="both"/>
        <w:rPr>
          <w:rFonts w:ascii="Palatino Linotype" w:hAnsi="Palatino Linotype"/>
          <w:i/>
          <w:color w:val="000000" w:themeColor="text1"/>
        </w:rPr>
      </w:pPr>
      <w:r w:rsidRPr="00401F3B">
        <w:rPr>
          <w:rFonts w:ascii="Palatino Linotype" w:hAnsi="Palatino Linotype"/>
          <w:i/>
          <w:color w:val="000000" w:themeColor="text1"/>
        </w:rPr>
        <w:t>I. Publicación de la convocatoria;</w:t>
      </w:r>
    </w:p>
    <w:p w:rsidR="003E07E5" w:rsidRPr="00401F3B" w:rsidRDefault="003E07E5" w:rsidP="00773EBE">
      <w:pPr>
        <w:pBdr>
          <w:top w:val="nil"/>
          <w:left w:val="nil"/>
          <w:bottom w:val="nil"/>
          <w:right w:val="nil"/>
          <w:between w:val="nil"/>
        </w:pBdr>
        <w:spacing w:line="360" w:lineRule="auto"/>
        <w:jc w:val="both"/>
        <w:rPr>
          <w:rFonts w:ascii="Palatino Linotype" w:hAnsi="Palatino Linotype"/>
          <w:i/>
          <w:color w:val="000000" w:themeColor="text1"/>
        </w:rPr>
      </w:pPr>
      <w:r w:rsidRPr="00401F3B">
        <w:rPr>
          <w:rFonts w:ascii="Palatino Linotype" w:hAnsi="Palatino Linotype"/>
          <w:i/>
          <w:color w:val="000000" w:themeColor="text1"/>
        </w:rPr>
        <w:t xml:space="preserve">II. Venta de las bases de licitación; </w:t>
      </w:r>
    </w:p>
    <w:p w:rsidR="003E07E5" w:rsidRPr="00401F3B" w:rsidRDefault="003E07E5" w:rsidP="00773EBE">
      <w:pPr>
        <w:pBdr>
          <w:top w:val="nil"/>
          <w:left w:val="nil"/>
          <w:bottom w:val="nil"/>
          <w:right w:val="nil"/>
          <w:between w:val="nil"/>
        </w:pBdr>
        <w:spacing w:line="360" w:lineRule="auto"/>
        <w:jc w:val="both"/>
        <w:rPr>
          <w:rFonts w:ascii="Palatino Linotype" w:hAnsi="Palatino Linotype"/>
          <w:i/>
          <w:color w:val="000000" w:themeColor="text1"/>
        </w:rPr>
      </w:pPr>
      <w:r w:rsidRPr="00401F3B">
        <w:rPr>
          <w:rFonts w:ascii="Palatino Linotype" w:hAnsi="Palatino Linotype"/>
          <w:i/>
          <w:color w:val="000000" w:themeColor="text1"/>
        </w:rPr>
        <w:t xml:space="preserve">III. Visita, en su caso, al sitio donde se vayan a suministrar los bienes o a prestar los servicios; </w:t>
      </w:r>
    </w:p>
    <w:p w:rsidR="003E07E5" w:rsidRPr="00401F3B" w:rsidRDefault="003E07E5" w:rsidP="00773EBE">
      <w:pPr>
        <w:pBdr>
          <w:top w:val="nil"/>
          <w:left w:val="nil"/>
          <w:bottom w:val="nil"/>
          <w:right w:val="nil"/>
          <w:between w:val="nil"/>
        </w:pBdr>
        <w:spacing w:line="360" w:lineRule="auto"/>
        <w:jc w:val="both"/>
        <w:rPr>
          <w:rFonts w:ascii="Palatino Linotype" w:hAnsi="Palatino Linotype"/>
          <w:i/>
          <w:color w:val="000000" w:themeColor="text1"/>
        </w:rPr>
      </w:pPr>
      <w:r w:rsidRPr="00401F3B">
        <w:rPr>
          <w:rFonts w:ascii="Palatino Linotype" w:hAnsi="Palatino Linotype"/>
          <w:i/>
          <w:color w:val="000000" w:themeColor="text1"/>
        </w:rPr>
        <w:t xml:space="preserve">IV. Junta de aclaraciones, en su caso; </w:t>
      </w:r>
    </w:p>
    <w:p w:rsidR="003E07E5" w:rsidRPr="00401F3B" w:rsidRDefault="003E07E5" w:rsidP="00773EBE">
      <w:pPr>
        <w:pBdr>
          <w:top w:val="nil"/>
          <w:left w:val="nil"/>
          <w:bottom w:val="nil"/>
          <w:right w:val="nil"/>
          <w:between w:val="nil"/>
        </w:pBdr>
        <w:spacing w:line="360" w:lineRule="auto"/>
        <w:jc w:val="both"/>
        <w:rPr>
          <w:rFonts w:ascii="Palatino Linotype" w:hAnsi="Palatino Linotype"/>
          <w:i/>
          <w:color w:val="000000" w:themeColor="text1"/>
        </w:rPr>
      </w:pPr>
      <w:r w:rsidRPr="00401F3B">
        <w:rPr>
          <w:rFonts w:ascii="Palatino Linotype" w:hAnsi="Palatino Linotype"/>
          <w:i/>
          <w:color w:val="000000" w:themeColor="text1"/>
        </w:rPr>
        <w:t xml:space="preserve">V. Acto de presentación y apertura de propuestas; </w:t>
      </w:r>
    </w:p>
    <w:p w:rsidR="003E07E5" w:rsidRPr="00401F3B" w:rsidRDefault="003E07E5" w:rsidP="00773EBE">
      <w:pPr>
        <w:pBdr>
          <w:top w:val="nil"/>
          <w:left w:val="nil"/>
          <w:bottom w:val="nil"/>
          <w:right w:val="nil"/>
          <w:between w:val="nil"/>
        </w:pBdr>
        <w:spacing w:line="360" w:lineRule="auto"/>
        <w:jc w:val="both"/>
        <w:rPr>
          <w:rFonts w:ascii="Palatino Linotype" w:hAnsi="Palatino Linotype"/>
          <w:i/>
          <w:color w:val="000000" w:themeColor="text1"/>
        </w:rPr>
      </w:pPr>
      <w:r w:rsidRPr="00401F3B">
        <w:rPr>
          <w:rFonts w:ascii="Palatino Linotype" w:hAnsi="Palatino Linotype"/>
          <w:i/>
          <w:color w:val="000000" w:themeColor="text1"/>
        </w:rPr>
        <w:t xml:space="preserve">VI. Análisis y evaluación de propuestas; </w:t>
      </w:r>
    </w:p>
    <w:p w:rsidR="003E07E5" w:rsidRPr="00401F3B" w:rsidRDefault="003E07E5" w:rsidP="00773EBE">
      <w:pPr>
        <w:pBdr>
          <w:top w:val="nil"/>
          <w:left w:val="nil"/>
          <w:bottom w:val="nil"/>
          <w:right w:val="nil"/>
          <w:between w:val="nil"/>
        </w:pBdr>
        <w:spacing w:line="360" w:lineRule="auto"/>
        <w:jc w:val="both"/>
        <w:rPr>
          <w:rFonts w:ascii="Palatino Linotype" w:hAnsi="Palatino Linotype"/>
          <w:i/>
          <w:color w:val="000000" w:themeColor="text1"/>
        </w:rPr>
      </w:pPr>
      <w:r w:rsidRPr="00401F3B">
        <w:rPr>
          <w:rFonts w:ascii="Palatino Linotype" w:hAnsi="Palatino Linotype"/>
          <w:i/>
          <w:color w:val="000000" w:themeColor="text1"/>
        </w:rPr>
        <w:t xml:space="preserve">VII. Dictamen de adjudicación; </w:t>
      </w:r>
    </w:p>
    <w:p w:rsidR="003E07E5" w:rsidRPr="00401F3B" w:rsidRDefault="003E07E5" w:rsidP="00773EBE">
      <w:pPr>
        <w:pBdr>
          <w:top w:val="nil"/>
          <w:left w:val="nil"/>
          <w:bottom w:val="nil"/>
          <w:right w:val="nil"/>
          <w:between w:val="nil"/>
        </w:pBdr>
        <w:spacing w:line="360" w:lineRule="auto"/>
        <w:jc w:val="both"/>
        <w:rPr>
          <w:rFonts w:ascii="Palatino Linotype" w:hAnsi="Palatino Linotype"/>
          <w:i/>
          <w:color w:val="000000" w:themeColor="text1"/>
        </w:rPr>
      </w:pPr>
      <w:r w:rsidRPr="00401F3B">
        <w:rPr>
          <w:rFonts w:ascii="Palatino Linotype" w:hAnsi="Palatino Linotype"/>
          <w:i/>
          <w:color w:val="000000" w:themeColor="text1"/>
        </w:rPr>
        <w:t xml:space="preserve">VIII. Fallo; </w:t>
      </w:r>
    </w:p>
    <w:p w:rsidR="003E07E5" w:rsidRPr="00401F3B" w:rsidRDefault="003E07E5" w:rsidP="00773EBE">
      <w:pPr>
        <w:pBdr>
          <w:top w:val="nil"/>
          <w:left w:val="nil"/>
          <w:bottom w:val="nil"/>
          <w:right w:val="nil"/>
          <w:between w:val="nil"/>
        </w:pBdr>
        <w:spacing w:line="360" w:lineRule="auto"/>
        <w:jc w:val="both"/>
        <w:rPr>
          <w:rFonts w:ascii="Palatino Linotype" w:hAnsi="Palatino Linotype"/>
          <w:b/>
          <w:i/>
          <w:color w:val="000000" w:themeColor="text1"/>
          <w:u w:val="single"/>
        </w:rPr>
      </w:pPr>
      <w:r w:rsidRPr="00401F3B">
        <w:rPr>
          <w:rFonts w:ascii="Palatino Linotype" w:hAnsi="Palatino Linotype"/>
          <w:b/>
          <w:i/>
          <w:color w:val="000000" w:themeColor="text1"/>
          <w:u w:val="single"/>
        </w:rPr>
        <w:t xml:space="preserve">IX. Suscripción del contrato; y </w:t>
      </w:r>
    </w:p>
    <w:p w:rsidR="003E07E5" w:rsidRPr="00401F3B" w:rsidRDefault="003E07E5" w:rsidP="00773EBE">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401F3B">
        <w:rPr>
          <w:rFonts w:ascii="Palatino Linotype" w:hAnsi="Palatino Linotype"/>
          <w:i/>
          <w:color w:val="000000" w:themeColor="text1"/>
        </w:rPr>
        <w:t>X. Suministro de los bienes o inicio de la prestación del servicio.</w:t>
      </w:r>
    </w:p>
    <w:p w:rsidR="003E07E5" w:rsidRPr="00401F3B" w:rsidRDefault="003E07E5" w:rsidP="00773EB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E07E5" w:rsidRPr="00401F3B" w:rsidRDefault="003E07E5"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01F3B">
        <w:rPr>
          <w:rFonts w:ascii="Palatino Linotype" w:eastAsia="Palatino Linotype" w:hAnsi="Palatino Linotype" w:cs="Palatino Linotype"/>
          <w:color w:val="000000" w:themeColor="text1"/>
        </w:rPr>
        <w:t>De lo anterior se advierte que a fin de dar formalidad al procedimiento de licitación, es de suma importancia celebrar un contrato, lo vislumbra que el Sujeto Obligado posee la información requerida por el particular.</w:t>
      </w:r>
    </w:p>
    <w:p w:rsidR="003E07E5" w:rsidRPr="00773EBE" w:rsidRDefault="003E07E5" w:rsidP="00773EBE">
      <w:pPr>
        <w:pStyle w:val="Prrafodelista"/>
        <w:ind w:left="0"/>
        <w:rPr>
          <w:rFonts w:ascii="Palatino Linotype" w:eastAsia="Palatino Linotype" w:hAnsi="Palatino Linotype" w:cs="Palatino Linotype"/>
          <w:color w:val="000000" w:themeColor="text1"/>
          <w:sz w:val="24"/>
          <w:szCs w:val="24"/>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Por último, y en cuanto hace a la adjudicación directa, el artículo 48 de la Ley de la Contratación Pública del Estado de México y Municipios y 91 del Reglamento de dicha Ley, indican en qué supuestos puede llevarse a cabo este procedimiento.</w:t>
      </w:r>
    </w:p>
    <w:p w:rsidR="00AA21CF" w:rsidRPr="00773EBE" w:rsidRDefault="00AA21CF" w:rsidP="00773EBE">
      <w:pPr>
        <w:pBdr>
          <w:top w:val="nil"/>
          <w:left w:val="nil"/>
          <w:bottom w:val="nil"/>
          <w:right w:val="nil"/>
          <w:between w:val="nil"/>
        </w:pBdr>
        <w:rPr>
          <w:rFonts w:ascii="Palatino Linotype" w:eastAsia="Palatino Linotype" w:hAnsi="Palatino Linotype" w:cs="Palatino Linotype"/>
          <w:color w:val="000000" w:themeColor="text1"/>
        </w:rPr>
      </w:pPr>
    </w:p>
    <w:p w:rsidR="00B333A6"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En este sentido, el convocante debe solicitar a su comité el dictamen correspondiente del procedimiento de adjudicación directa, en el que se acredite previamente la descripción </w:t>
      </w:r>
      <w:r w:rsidRPr="00773EBE">
        <w:rPr>
          <w:rFonts w:ascii="Palatino Linotype" w:eastAsia="Palatino Linotype" w:hAnsi="Palatino Linotype" w:cs="Palatino Linotype"/>
          <w:color w:val="000000" w:themeColor="text1"/>
        </w:rPr>
        <w:lastRenderedPageBreak/>
        <w:t>general de los bienes a adquirir; la justificación o conveniencia de llevar a cabo la adjudicación directa; y la certificación de suficiencia presupuestaria.</w:t>
      </w:r>
    </w:p>
    <w:p w:rsidR="00B333A6" w:rsidRPr="00773EBE" w:rsidRDefault="00B333A6" w:rsidP="00773EBE">
      <w:pPr>
        <w:pStyle w:val="Prrafodelista"/>
        <w:ind w:left="0"/>
        <w:rPr>
          <w:rFonts w:ascii="Palatino Linotype" w:eastAsia="Palatino Linotype" w:hAnsi="Palatino Linotype" w:cs="Palatino Linotype"/>
          <w:color w:val="000000" w:themeColor="text1"/>
          <w:sz w:val="24"/>
          <w:szCs w:val="24"/>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En este sentido, debe decirse que los </w:t>
      </w:r>
      <w:r w:rsidRPr="00773EBE">
        <w:rPr>
          <w:rFonts w:ascii="Palatino Linotype" w:eastAsia="Palatino Linotype" w:hAnsi="Palatino Linotype" w:cs="Palatino Linotype"/>
          <w:b/>
          <w:bCs/>
          <w:color w:val="000000" w:themeColor="text1"/>
        </w:rPr>
        <w:t>contratos,</w:t>
      </w:r>
      <w:r w:rsidRPr="00773EBE">
        <w:rPr>
          <w:rFonts w:ascii="Palatino Linotype" w:eastAsia="Palatino Linotype" w:hAnsi="Palatino Linotype" w:cs="Palatino Linotype"/>
          <w:color w:val="000000" w:themeColor="text1"/>
        </w:rPr>
        <w:t xml:space="preserve"> </w:t>
      </w:r>
      <w:r w:rsidRPr="00773EBE">
        <w:rPr>
          <w:rFonts w:ascii="Palatino Linotype" w:eastAsia="Palatino Linotype" w:hAnsi="Palatino Linotype" w:cs="Palatino Linotype"/>
          <w:b/>
          <w:bCs/>
          <w:color w:val="000000" w:themeColor="text1"/>
        </w:rPr>
        <w:t>expedientes de las adquisiciones, arrendamientos, enajenaciones y servicios</w:t>
      </w:r>
      <w:r w:rsidRPr="00773EBE">
        <w:rPr>
          <w:rFonts w:ascii="Palatino Linotype" w:eastAsia="Palatino Linotype" w:hAnsi="Palatino Linotype" w:cs="Palatino Linotype"/>
          <w:color w:val="000000" w:themeColor="text1"/>
        </w:rPr>
        <w:t>, se encuentra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i/>
          <w:iCs/>
          <w:color w:val="000000" w:themeColor="text1"/>
        </w:rPr>
        <w:t>“Artículo 92. </w:t>
      </w:r>
      <w:r w:rsidRPr="00773EBE">
        <w:rPr>
          <w:rFonts w:ascii="Palatino Linotype" w:eastAsia="Palatino Linotype" w:hAnsi="Palatino Linotype" w:cs="Palatino Linotype"/>
          <w:i/>
          <w:iCs/>
          <w:color w:val="000000" w:themeColor="text1"/>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i/>
          <w:iCs/>
          <w:color w:val="000000" w:themeColor="text1"/>
        </w:rPr>
        <w:t>(…)</w:t>
      </w:r>
    </w:p>
    <w:p w:rsidR="00AA21CF" w:rsidRPr="00773EBE" w:rsidRDefault="00AA21CF" w:rsidP="00773EBE">
      <w:pPr>
        <w:spacing w:line="360" w:lineRule="auto"/>
        <w:jc w:val="both"/>
        <w:rPr>
          <w:rFonts w:ascii="Palatino Linotype" w:eastAsia="Palatino Linotype" w:hAnsi="Palatino Linotype" w:cs="Palatino Linotype"/>
          <w:b/>
          <w:bCs/>
          <w:i/>
          <w:iCs/>
          <w:color w:val="000000" w:themeColor="text1"/>
        </w:rPr>
      </w:pP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i/>
          <w:iCs/>
          <w:color w:val="000000" w:themeColor="text1"/>
        </w:rPr>
        <w:t>XXIX. </w:t>
      </w:r>
      <w:r w:rsidRPr="00773EBE">
        <w:rPr>
          <w:rFonts w:ascii="Palatino Linotype" w:eastAsia="Palatino Linotype" w:hAnsi="Palatino Linotype" w:cs="Palatino Linotype"/>
          <w:i/>
          <w:iCs/>
          <w:color w:val="000000" w:themeColor="text1"/>
        </w:rPr>
        <w:t>La información sobre los procesos y resultados sobre procedimientos de adjudicación directa, invitación restringida y licitación de cualquier naturaleza, </w:t>
      </w:r>
      <w:r w:rsidRPr="00773EBE">
        <w:rPr>
          <w:rFonts w:ascii="Palatino Linotype" w:eastAsia="Palatino Linotype" w:hAnsi="Palatino Linotype" w:cs="Palatino Linotype"/>
          <w:b/>
          <w:bCs/>
          <w:i/>
          <w:iCs/>
          <w:color w:val="000000" w:themeColor="text1"/>
        </w:rPr>
        <w:t>incluyendo la versión pública del expediente respectivo y de los contratos</w:t>
      </w:r>
      <w:r w:rsidRPr="00773EBE">
        <w:rPr>
          <w:rFonts w:ascii="Palatino Linotype" w:eastAsia="Palatino Linotype" w:hAnsi="Palatino Linotype" w:cs="Palatino Linotype"/>
          <w:i/>
          <w:iCs/>
          <w:color w:val="000000" w:themeColor="text1"/>
        </w:rPr>
        <w:t> celebrados, que deberán contener, por los menos, lo siguiente:</w:t>
      </w: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i/>
          <w:iCs/>
          <w:color w:val="000000" w:themeColor="text1"/>
        </w:rPr>
        <w:t>a) </w:t>
      </w:r>
      <w:r w:rsidRPr="00773EBE">
        <w:rPr>
          <w:rFonts w:ascii="Palatino Linotype" w:eastAsia="Palatino Linotype" w:hAnsi="Palatino Linotype" w:cs="Palatino Linotype"/>
          <w:i/>
          <w:iCs/>
          <w:color w:val="000000" w:themeColor="text1"/>
        </w:rPr>
        <w:t>De licitaciones públicas o procedimientos de invitación restringida:</w:t>
      </w: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i/>
          <w:iCs/>
          <w:color w:val="000000" w:themeColor="text1"/>
        </w:rPr>
        <w:t>1)</w:t>
      </w:r>
      <w:r w:rsidRPr="00773EBE">
        <w:rPr>
          <w:rFonts w:ascii="Palatino Linotype" w:eastAsia="Palatino Linotype" w:hAnsi="Palatino Linotype" w:cs="Palatino Linotype"/>
          <w:i/>
          <w:iCs/>
          <w:color w:val="000000" w:themeColor="text1"/>
        </w:rPr>
        <w:t> La convocatoria o invitación emitida, así como los fundamentos legales aplicados para llevarla a cabo;</w:t>
      </w: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i/>
          <w:iCs/>
          <w:color w:val="000000" w:themeColor="text1"/>
        </w:rPr>
        <w:lastRenderedPageBreak/>
        <w:t>2) </w:t>
      </w:r>
      <w:r w:rsidRPr="00773EBE">
        <w:rPr>
          <w:rFonts w:ascii="Palatino Linotype" w:eastAsia="Palatino Linotype" w:hAnsi="Palatino Linotype" w:cs="Palatino Linotype"/>
          <w:i/>
          <w:iCs/>
          <w:color w:val="000000" w:themeColor="text1"/>
        </w:rPr>
        <w:t>Los nombres de los participantes o invitados;</w:t>
      </w: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i/>
          <w:iCs/>
          <w:color w:val="000000" w:themeColor="text1"/>
        </w:rPr>
        <w:t>3)</w:t>
      </w:r>
      <w:r w:rsidRPr="00773EBE">
        <w:rPr>
          <w:rFonts w:ascii="Palatino Linotype" w:eastAsia="Palatino Linotype" w:hAnsi="Palatino Linotype" w:cs="Palatino Linotype"/>
          <w:i/>
          <w:iCs/>
          <w:color w:val="000000" w:themeColor="text1"/>
        </w:rPr>
        <w:t> El nombre del ganador y las razones que lo justifican;</w:t>
      </w: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i/>
          <w:iCs/>
          <w:color w:val="000000" w:themeColor="text1"/>
        </w:rPr>
        <w:t>4) </w:t>
      </w:r>
      <w:r w:rsidRPr="00773EBE">
        <w:rPr>
          <w:rFonts w:ascii="Palatino Linotype" w:eastAsia="Palatino Linotype" w:hAnsi="Palatino Linotype" w:cs="Palatino Linotype"/>
          <w:i/>
          <w:iCs/>
          <w:color w:val="000000" w:themeColor="text1"/>
        </w:rPr>
        <w:t>El área solicitante y la responsable de su ejecución;</w:t>
      </w: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i/>
          <w:iCs/>
          <w:color w:val="000000" w:themeColor="text1"/>
        </w:rPr>
        <w:t>5) </w:t>
      </w:r>
      <w:r w:rsidRPr="00773EBE">
        <w:rPr>
          <w:rFonts w:ascii="Palatino Linotype" w:eastAsia="Palatino Linotype" w:hAnsi="Palatino Linotype" w:cs="Palatino Linotype"/>
          <w:i/>
          <w:iCs/>
          <w:color w:val="000000" w:themeColor="text1"/>
        </w:rPr>
        <w:t>Las convocatorias e invitaciones emitidas;</w:t>
      </w:r>
    </w:p>
    <w:p w:rsidR="00AA21CF" w:rsidRPr="00773EBE" w:rsidRDefault="00B333A6" w:rsidP="00773EBE">
      <w:pP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6) Los dictámenes y fallo de adjudicación;</w:t>
      </w:r>
    </w:p>
    <w:p w:rsidR="00AA21CF" w:rsidRPr="00773EBE" w:rsidRDefault="00B333A6" w:rsidP="00773EBE">
      <w:pP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7) El contrato y, en su caso, sus anexos;</w:t>
      </w:r>
    </w:p>
    <w:p w:rsidR="00AA21CF" w:rsidRPr="00773EBE" w:rsidRDefault="00B333A6" w:rsidP="00773EBE">
      <w:pPr>
        <w:spacing w:line="360" w:lineRule="auto"/>
        <w:jc w:val="both"/>
        <w:rPr>
          <w:rFonts w:ascii="Palatino Linotype" w:eastAsia="Palatino Linotype" w:hAnsi="Palatino Linotype" w:cs="Palatino Linotype"/>
          <w:i/>
          <w:iCs/>
          <w:color w:val="000000" w:themeColor="text1"/>
        </w:rPr>
      </w:pPr>
      <w:r w:rsidRPr="00773EBE">
        <w:rPr>
          <w:rFonts w:ascii="Palatino Linotype" w:eastAsia="Palatino Linotype" w:hAnsi="Palatino Linotype" w:cs="Palatino Linotype"/>
          <w:i/>
          <w:iCs/>
          <w:color w:val="000000" w:themeColor="text1"/>
        </w:rPr>
        <w:t>8) Los mecanismos de vigilancia y supervisión, incluyendo en su caso, los estudios de impacto urbano y ambiental, según corresponda;</w:t>
      </w: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i/>
          <w:iCs/>
          <w:color w:val="000000" w:themeColor="text1"/>
        </w:rPr>
        <w:t>9) </w:t>
      </w:r>
      <w:r w:rsidRPr="00773EBE">
        <w:rPr>
          <w:rFonts w:ascii="Palatino Linotype" w:eastAsia="Palatino Linotype" w:hAnsi="Palatino Linotype" w:cs="Palatino Linotype"/>
          <w:i/>
          <w:iCs/>
          <w:color w:val="000000" w:themeColor="text1"/>
        </w:rPr>
        <w:t>La partida presupuestal, de conformidad con el clasificador por objeto del gasto, en el caso de ser aplicable;</w:t>
      </w: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i/>
          <w:iCs/>
          <w:color w:val="000000" w:themeColor="text1"/>
        </w:rPr>
        <w:t>10) Origen de los recursos especificando si son federales, estatales o municipales, así como el tipo de fondo de participación o aportación respectiva;</w:t>
      </w: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i/>
          <w:iCs/>
          <w:color w:val="000000" w:themeColor="text1"/>
        </w:rPr>
        <w:t>11) </w:t>
      </w:r>
      <w:r w:rsidRPr="00773EBE">
        <w:rPr>
          <w:rFonts w:ascii="Palatino Linotype" w:eastAsia="Palatino Linotype" w:hAnsi="Palatino Linotype" w:cs="Palatino Linotype"/>
          <w:i/>
          <w:iCs/>
          <w:color w:val="000000" w:themeColor="text1"/>
        </w:rPr>
        <w:t>Los convenios modificatorios que, en su caso, sean firmados, precisando el objeto y la fecha de celebración;</w:t>
      </w: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i/>
          <w:iCs/>
          <w:color w:val="000000" w:themeColor="text1"/>
        </w:rPr>
        <w:t>12) </w:t>
      </w:r>
      <w:r w:rsidRPr="00773EBE">
        <w:rPr>
          <w:rFonts w:ascii="Palatino Linotype" w:eastAsia="Palatino Linotype" w:hAnsi="Palatino Linotype" w:cs="Palatino Linotype"/>
          <w:i/>
          <w:iCs/>
          <w:color w:val="000000" w:themeColor="text1"/>
        </w:rPr>
        <w:t>Los informes de avance físico y financiero sobre las obras o servicios contratados;</w:t>
      </w: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i/>
          <w:iCs/>
          <w:color w:val="000000" w:themeColor="text1"/>
        </w:rPr>
        <w:t>13) </w:t>
      </w:r>
      <w:r w:rsidRPr="00773EBE">
        <w:rPr>
          <w:rFonts w:ascii="Palatino Linotype" w:eastAsia="Palatino Linotype" w:hAnsi="Palatino Linotype" w:cs="Palatino Linotype"/>
          <w:i/>
          <w:iCs/>
          <w:color w:val="000000" w:themeColor="text1"/>
        </w:rPr>
        <w:t>El convenio de terminación; y</w:t>
      </w: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i/>
          <w:iCs/>
          <w:color w:val="000000" w:themeColor="text1"/>
        </w:rPr>
        <w:t>14) </w:t>
      </w:r>
      <w:r w:rsidRPr="00773EBE">
        <w:rPr>
          <w:rFonts w:ascii="Palatino Linotype" w:eastAsia="Palatino Linotype" w:hAnsi="Palatino Linotype" w:cs="Palatino Linotype"/>
          <w:i/>
          <w:iCs/>
          <w:color w:val="000000" w:themeColor="text1"/>
        </w:rPr>
        <w:t>El finiquito.</w:t>
      </w:r>
    </w:p>
    <w:p w:rsidR="00AA21CF" w:rsidRPr="00773EBE" w:rsidRDefault="00B333A6" w:rsidP="00773EBE">
      <w:pPr>
        <w:spacing w:line="360" w:lineRule="auto"/>
        <w:jc w:val="both"/>
        <w:rPr>
          <w:rFonts w:ascii="Palatino Linotype" w:eastAsia="Palatino Linotype" w:hAnsi="Palatino Linotype" w:cs="Palatino Linotype"/>
          <w:b/>
          <w:bCs/>
          <w:color w:val="000000" w:themeColor="text1"/>
        </w:rPr>
      </w:pPr>
      <w:r w:rsidRPr="00773EBE">
        <w:rPr>
          <w:rFonts w:ascii="Palatino Linotype" w:eastAsia="Palatino Linotype" w:hAnsi="Palatino Linotype" w:cs="Palatino Linotype"/>
          <w:b/>
          <w:bCs/>
          <w:i/>
          <w:iCs/>
          <w:color w:val="000000" w:themeColor="text1"/>
        </w:rPr>
        <w:t>b) De las adjudicaciones directas:</w:t>
      </w: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i/>
          <w:iCs/>
          <w:color w:val="000000" w:themeColor="text1"/>
        </w:rPr>
        <w:t>1) </w:t>
      </w:r>
      <w:r w:rsidRPr="00773EBE">
        <w:rPr>
          <w:rFonts w:ascii="Palatino Linotype" w:eastAsia="Palatino Linotype" w:hAnsi="Palatino Linotype" w:cs="Palatino Linotype"/>
          <w:i/>
          <w:iCs/>
          <w:color w:val="000000" w:themeColor="text1"/>
        </w:rPr>
        <w:t>La propuesta enviada por el participante;</w:t>
      </w: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i/>
          <w:iCs/>
          <w:color w:val="000000" w:themeColor="text1"/>
        </w:rPr>
        <w:t>2) </w:t>
      </w:r>
      <w:r w:rsidRPr="00773EBE">
        <w:rPr>
          <w:rFonts w:ascii="Palatino Linotype" w:eastAsia="Palatino Linotype" w:hAnsi="Palatino Linotype" w:cs="Palatino Linotype"/>
          <w:i/>
          <w:iCs/>
          <w:color w:val="000000" w:themeColor="text1"/>
        </w:rPr>
        <w:t>Los motivos y fundamentos legales aplicados para llevarla a cabo;</w:t>
      </w: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i/>
          <w:iCs/>
          <w:color w:val="000000" w:themeColor="text1"/>
        </w:rPr>
        <w:t>3) </w:t>
      </w:r>
      <w:r w:rsidRPr="00773EBE">
        <w:rPr>
          <w:rFonts w:ascii="Palatino Linotype" w:eastAsia="Palatino Linotype" w:hAnsi="Palatino Linotype" w:cs="Palatino Linotype"/>
          <w:i/>
          <w:iCs/>
          <w:color w:val="000000" w:themeColor="text1"/>
        </w:rPr>
        <w:t>La autorización del ejercicio de la opción;</w:t>
      </w: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i/>
          <w:iCs/>
          <w:color w:val="000000" w:themeColor="text1"/>
        </w:rPr>
        <w:t>4) En su caso, las cotizaciones consideradas, especificando los nombres de los proveedores y sus montos;</w:t>
      </w: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i/>
          <w:iCs/>
          <w:color w:val="000000" w:themeColor="text1"/>
        </w:rPr>
        <w:lastRenderedPageBreak/>
        <w:t>5) </w:t>
      </w:r>
      <w:r w:rsidRPr="00773EBE">
        <w:rPr>
          <w:rFonts w:ascii="Palatino Linotype" w:eastAsia="Palatino Linotype" w:hAnsi="Palatino Linotype" w:cs="Palatino Linotype"/>
          <w:i/>
          <w:iCs/>
          <w:color w:val="000000" w:themeColor="text1"/>
        </w:rPr>
        <w:t>El nombre de la persona física o jurídica colectiva adjudicada;</w:t>
      </w: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i/>
          <w:iCs/>
          <w:color w:val="000000" w:themeColor="text1"/>
        </w:rPr>
        <w:t>6) </w:t>
      </w:r>
      <w:r w:rsidRPr="00773EBE">
        <w:rPr>
          <w:rFonts w:ascii="Palatino Linotype" w:eastAsia="Palatino Linotype" w:hAnsi="Palatino Linotype" w:cs="Palatino Linotype"/>
          <w:i/>
          <w:iCs/>
          <w:color w:val="000000" w:themeColor="text1"/>
        </w:rPr>
        <w:t>La unidad administrativa solicitante y la responsable de su ejecución;</w:t>
      </w: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i/>
          <w:iCs/>
          <w:color w:val="000000" w:themeColor="text1"/>
        </w:rPr>
        <w:t>7)</w:t>
      </w:r>
      <w:r w:rsidRPr="00773EBE">
        <w:rPr>
          <w:rFonts w:ascii="Palatino Linotype" w:eastAsia="Palatino Linotype" w:hAnsi="Palatino Linotype" w:cs="Palatino Linotype"/>
          <w:i/>
          <w:iCs/>
          <w:color w:val="000000" w:themeColor="text1"/>
        </w:rPr>
        <w:t> El número, fecha, el monto del contrato y el plazo de entrega o de ejecución de los servicios u obra;</w:t>
      </w: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i/>
          <w:iCs/>
          <w:color w:val="000000" w:themeColor="text1"/>
        </w:rPr>
        <w:t>8) </w:t>
      </w:r>
      <w:r w:rsidRPr="00773EBE">
        <w:rPr>
          <w:rFonts w:ascii="Palatino Linotype" w:eastAsia="Palatino Linotype" w:hAnsi="Palatino Linotype" w:cs="Palatino Linotype"/>
          <w:i/>
          <w:iCs/>
          <w:color w:val="000000" w:themeColor="text1"/>
        </w:rPr>
        <w:t>Los mecanismos de vigilancia y supervisión, incluyendo, en su caso, los estudios de impacto urbano y ambiental, según corresponda;</w:t>
      </w: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i/>
          <w:iCs/>
          <w:color w:val="000000" w:themeColor="text1"/>
        </w:rPr>
        <w:t>9) </w:t>
      </w:r>
      <w:r w:rsidRPr="00773EBE">
        <w:rPr>
          <w:rFonts w:ascii="Palatino Linotype" w:eastAsia="Palatino Linotype" w:hAnsi="Palatino Linotype" w:cs="Palatino Linotype"/>
          <w:i/>
          <w:iCs/>
          <w:color w:val="000000" w:themeColor="text1"/>
        </w:rPr>
        <w:t>Los informes de avance sobre las obras o servicios contratados;</w:t>
      </w: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i/>
          <w:iCs/>
          <w:color w:val="000000" w:themeColor="text1"/>
        </w:rPr>
        <w:t>10) </w:t>
      </w:r>
      <w:r w:rsidRPr="00773EBE">
        <w:rPr>
          <w:rFonts w:ascii="Palatino Linotype" w:eastAsia="Palatino Linotype" w:hAnsi="Palatino Linotype" w:cs="Palatino Linotype"/>
          <w:i/>
          <w:iCs/>
          <w:color w:val="000000" w:themeColor="text1"/>
        </w:rPr>
        <w:t>El convenio de terminación; y</w:t>
      </w:r>
    </w:p>
    <w:p w:rsidR="00AA21CF" w:rsidRPr="00773EBE" w:rsidRDefault="00B333A6" w:rsidP="00773EBE">
      <w:pPr>
        <w:spacing w:line="360" w:lineRule="auto"/>
        <w:jc w:val="both"/>
        <w:rPr>
          <w:rFonts w:ascii="Palatino Linotype" w:eastAsia="Palatino Linotype" w:hAnsi="Palatino Linotype" w:cs="Palatino Linotype"/>
          <w:b/>
          <w:bCs/>
          <w:i/>
          <w:iCs/>
          <w:color w:val="000000" w:themeColor="text1"/>
        </w:rPr>
      </w:pPr>
      <w:r w:rsidRPr="00773EBE">
        <w:rPr>
          <w:rFonts w:ascii="Palatino Linotype" w:eastAsia="Palatino Linotype" w:hAnsi="Palatino Linotype" w:cs="Palatino Linotype"/>
          <w:b/>
          <w:bCs/>
          <w:i/>
          <w:iCs/>
          <w:color w:val="000000" w:themeColor="text1"/>
        </w:rPr>
        <w:t>11) </w:t>
      </w:r>
      <w:r w:rsidRPr="00773EBE">
        <w:rPr>
          <w:rFonts w:ascii="Palatino Linotype" w:eastAsia="Palatino Linotype" w:hAnsi="Palatino Linotype" w:cs="Palatino Linotype"/>
          <w:i/>
          <w:iCs/>
          <w:color w:val="000000" w:themeColor="text1"/>
        </w:rPr>
        <w:t>El finiquito.</w:t>
      </w:r>
      <w:r w:rsidRPr="00773EBE">
        <w:rPr>
          <w:rFonts w:ascii="Palatino Linotype" w:eastAsia="Palatino Linotype" w:hAnsi="Palatino Linotype" w:cs="Palatino Linotype"/>
          <w:b/>
          <w:bCs/>
          <w:i/>
          <w:iCs/>
          <w:color w:val="000000" w:themeColor="text1"/>
        </w:rPr>
        <w:t>”</w:t>
      </w:r>
    </w:p>
    <w:p w:rsidR="00AA21CF" w:rsidRPr="00773EBE" w:rsidRDefault="00AA21CF" w:rsidP="00773EBE">
      <w:pPr>
        <w:jc w:val="both"/>
        <w:rPr>
          <w:rFonts w:ascii="Palatino Linotype" w:eastAsia="Palatino Linotype" w:hAnsi="Palatino Linotype" w:cs="Palatino Linotype"/>
          <w:color w:val="000000" w:themeColor="text1"/>
        </w:rPr>
      </w:pPr>
    </w:p>
    <w:p w:rsidR="003E07E5"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En consecuencia, se determina que existe fuente obligacional para celebrar contratos relacionados con la adquisición de bienes y servicios, a través de procedimientos de licitación, invitación restringida o adjudicación directa, en todos los casos, existe la obligación de hacer pública la información relacionada con las mismas, de acuerdo al artículo 92 de la Ley de Transparencia Local, ya que existe un interés colectivo de conocer el uso y destino de los recursos públicos.</w:t>
      </w:r>
    </w:p>
    <w:p w:rsidR="00773EBE" w:rsidRPr="00773EBE" w:rsidRDefault="00773EBE" w:rsidP="00773EB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E07E5" w:rsidRPr="00401F3B" w:rsidRDefault="003E07E5"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01F3B">
        <w:rPr>
          <w:rFonts w:ascii="Palatino Linotype" w:hAnsi="Palatino Linotype" w:cs="Arial"/>
          <w:color w:val="000000" w:themeColor="text1"/>
        </w:rPr>
        <w:t>Descrito lo anterior y considerando que dentro de los documentos que de manera enunciativa mas no limitativa podrían colmar la pretensión del particular, serían los contratos, facturas, pólizas, es menester referir que dentro de estas documentales se plasma la figura de un representante legal, por tanto es de suma importancia</w:t>
      </w:r>
      <w:r w:rsidR="00EE5E9C" w:rsidRPr="00401F3B">
        <w:rPr>
          <w:rFonts w:ascii="Palatino Linotype" w:hAnsi="Palatino Linotype" w:cs="Arial"/>
          <w:color w:val="000000" w:themeColor="text1"/>
        </w:rPr>
        <w:t xml:space="preserve"> referir </w:t>
      </w:r>
      <w:r w:rsidRPr="00401F3B">
        <w:rPr>
          <w:rFonts w:ascii="Palatino Linotype" w:hAnsi="Palatino Linotype" w:cs="Arial"/>
          <w:color w:val="000000" w:themeColor="text1"/>
        </w:rPr>
        <w:t xml:space="preserve">que la </w:t>
      </w:r>
      <w:r w:rsidRPr="00401F3B">
        <w:rPr>
          <w:rFonts w:ascii="Palatino Linotype" w:hAnsi="Palatino Linotype" w:cs="Arial"/>
          <w:b/>
          <w:bCs/>
          <w:color w:val="000000" w:themeColor="text1"/>
        </w:rPr>
        <w:t xml:space="preserve">representación </w:t>
      </w:r>
      <w:r w:rsidRPr="00401F3B">
        <w:rPr>
          <w:rFonts w:ascii="Palatino Linotype" w:hAnsi="Palatino Linotype" w:cs="Arial"/>
          <w:color w:val="000000" w:themeColor="text1"/>
        </w:rPr>
        <w:t xml:space="preserve">de manera genérica es una figura jurídica por medio de la cual se permite alterar la esfera jurídica de una persona por medio de la actuación de otra capaz. Sánchez Medal define la representación como </w:t>
      </w:r>
      <w:r w:rsidRPr="00401F3B">
        <w:rPr>
          <w:rFonts w:ascii="Palatino Linotype" w:hAnsi="Palatino Linotype" w:cs="Arial"/>
          <w:i/>
          <w:color w:val="000000" w:themeColor="text1"/>
        </w:rPr>
        <w:t xml:space="preserve">“acción de representar, o sea el acto por virtud del cual una </w:t>
      </w:r>
      <w:r w:rsidRPr="00401F3B">
        <w:rPr>
          <w:rFonts w:ascii="Palatino Linotype" w:hAnsi="Palatino Linotype" w:cs="Arial"/>
          <w:i/>
          <w:color w:val="000000" w:themeColor="text1"/>
        </w:rPr>
        <w:lastRenderedPageBreak/>
        <w:t xml:space="preserve">persona dotada de poder, llamada representante, obra a nombre y por cuenta de otra llamada representada”. </w:t>
      </w:r>
    </w:p>
    <w:p w:rsidR="003E07E5" w:rsidRPr="00401F3B" w:rsidRDefault="003E07E5" w:rsidP="00773EB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E07E5" w:rsidRPr="00401F3B" w:rsidRDefault="003E07E5"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01F3B">
        <w:rPr>
          <w:rFonts w:ascii="Palatino Linotype" w:hAnsi="Palatino Linotype" w:cs="Arial"/>
          <w:color w:val="000000" w:themeColor="text1"/>
        </w:rPr>
        <w:t xml:space="preserve">Ahora bien, existen diversas clases de representación como lo son la legal, la voluntaria y la estatutaria. </w:t>
      </w:r>
    </w:p>
    <w:p w:rsidR="003E07E5" w:rsidRPr="00401F3B" w:rsidRDefault="003E07E5" w:rsidP="006C0051">
      <w:pPr>
        <w:pStyle w:val="Prrafodelista"/>
        <w:numPr>
          <w:ilvl w:val="0"/>
          <w:numId w:val="7"/>
        </w:numPr>
        <w:spacing w:line="360" w:lineRule="auto"/>
        <w:ind w:left="0" w:firstLine="0"/>
        <w:contextualSpacing/>
        <w:jc w:val="both"/>
        <w:rPr>
          <w:rFonts w:ascii="Palatino Linotype" w:hAnsi="Palatino Linotype" w:cs="Arial"/>
          <w:i/>
          <w:color w:val="000000" w:themeColor="text1"/>
          <w:sz w:val="24"/>
          <w:szCs w:val="24"/>
        </w:rPr>
      </w:pPr>
      <w:r w:rsidRPr="00401F3B">
        <w:rPr>
          <w:rFonts w:ascii="Palatino Linotype" w:hAnsi="Palatino Linotype" w:cs="Arial"/>
          <w:b/>
          <w:bCs/>
          <w:i/>
          <w:color w:val="000000" w:themeColor="text1"/>
          <w:sz w:val="24"/>
          <w:szCs w:val="24"/>
        </w:rPr>
        <w:t xml:space="preserve">Representación Legal. </w:t>
      </w:r>
      <w:r w:rsidRPr="00401F3B">
        <w:rPr>
          <w:rFonts w:ascii="Palatino Linotype" w:hAnsi="Palatino Linotype" w:cs="Arial"/>
          <w:i/>
          <w:color w:val="000000" w:themeColor="text1"/>
          <w:sz w:val="24"/>
          <w:szCs w:val="24"/>
        </w:rPr>
        <w:t xml:space="preserve">La que se establece en la ley positiva para que determinadas personas, fundamentalmente aquellas a quienes se les ha negado la capacidad de ejercicio, puedan hacer valer sus derechos o puedan cumplir con sus obligaciones mediante la actuación de otra capaz. </w:t>
      </w:r>
    </w:p>
    <w:p w:rsidR="003E07E5" w:rsidRPr="00401F3B" w:rsidRDefault="003E07E5" w:rsidP="006C0051">
      <w:pPr>
        <w:pStyle w:val="Prrafodelista"/>
        <w:numPr>
          <w:ilvl w:val="0"/>
          <w:numId w:val="7"/>
        </w:numPr>
        <w:spacing w:line="360" w:lineRule="auto"/>
        <w:ind w:left="0" w:firstLine="0"/>
        <w:contextualSpacing/>
        <w:jc w:val="both"/>
        <w:rPr>
          <w:rFonts w:ascii="Palatino Linotype" w:hAnsi="Palatino Linotype" w:cs="Arial"/>
          <w:i/>
          <w:color w:val="000000" w:themeColor="text1"/>
          <w:sz w:val="24"/>
          <w:szCs w:val="24"/>
        </w:rPr>
      </w:pPr>
      <w:r w:rsidRPr="00401F3B">
        <w:rPr>
          <w:rFonts w:ascii="Palatino Linotype" w:hAnsi="Palatino Linotype" w:cs="Arial"/>
          <w:b/>
          <w:bCs/>
          <w:i/>
          <w:color w:val="000000" w:themeColor="text1"/>
          <w:sz w:val="24"/>
          <w:szCs w:val="24"/>
        </w:rPr>
        <w:t xml:space="preserve">Representación Voluntaria. </w:t>
      </w:r>
      <w:r w:rsidRPr="00401F3B">
        <w:rPr>
          <w:rFonts w:ascii="Palatino Linotype" w:hAnsi="Palatino Linotype" w:cs="Arial"/>
          <w:i/>
          <w:color w:val="000000" w:themeColor="text1"/>
          <w:sz w:val="24"/>
          <w:szCs w:val="24"/>
        </w:rPr>
        <w:t xml:space="preserve">La que permite que una persona altere la esfera jurídica de otra quien ha recibido la autorización correspondiente en forma expresa y determinada.  </w:t>
      </w:r>
    </w:p>
    <w:p w:rsidR="003E07E5" w:rsidRPr="00401F3B" w:rsidRDefault="003E07E5" w:rsidP="006C0051">
      <w:pPr>
        <w:pStyle w:val="Prrafodelista"/>
        <w:numPr>
          <w:ilvl w:val="0"/>
          <w:numId w:val="7"/>
        </w:numPr>
        <w:spacing w:line="360" w:lineRule="auto"/>
        <w:ind w:left="0" w:firstLine="0"/>
        <w:contextualSpacing/>
        <w:jc w:val="both"/>
        <w:rPr>
          <w:rFonts w:ascii="Palatino Linotype" w:hAnsi="Palatino Linotype" w:cs="Arial"/>
          <w:i/>
          <w:color w:val="000000" w:themeColor="text1"/>
          <w:sz w:val="24"/>
          <w:szCs w:val="24"/>
        </w:rPr>
      </w:pPr>
      <w:r w:rsidRPr="00401F3B">
        <w:rPr>
          <w:rFonts w:ascii="Palatino Linotype" w:hAnsi="Palatino Linotype" w:cs="Arial"/>
          <w:b/>
          <w:bCs/>
          <w:i/>
          <w:color w:val="000000" w:themeColor="text1"/>
          <w:sz w:val="24"/>
          <w:szCs w:val="24"/>
        </w:rPr>
        <w:t xml:space="preserve">Representación Estatutaria. </w:t>
      </w:r>
      <w:r w:rsidRPr="00401F3B">
        <w:rPr>
          <w:rFonts w:ascii="Palatino Linotype" w:hAnsi="Palatino Linotype" w:cs="Arial"/>
          <w:bCs/>
          <w:i/>
          <w:color w:val="000000" w:themeColor="text1"/>
          <w:sz w:val="24"/>
          <w:szCs w:val="24"/>
        </w:rPr>
        <w:t>La que permite a los entes jurídicos o personas morales exteriorizarse en una sociedad y que por virtud de la cual una persona física u otra persona moral quien a su vez se encuentra</w:t>
      </w:r>
      <w:r w:rsidRPr="00401F3B">
        <w:rPr>
          <w:rFonts w:ascii="Palatino Linotype" w:hAnsi="Palatino Linotype" w:cs="Arial"/>
          <w:bCs/>
          <w:color w:val="000000" w:themeColor="text1"/>
          <w:sz w:val="24"/>
          <w:szCs w:val="24"/>
        </w:rPr>
        <w:t xml:space="preserve"> </w:t>
      </w:r>
      <w:r w:rsidRPr="00401F3B">
        <w:rPr>
          <w:rFonts w:ascii="Palatino Linotype" w:hAnsi="Palatino Linotype" w:cs="Arial"/>
          <w:bCs/>
          <w:i/>
          <w:color w:val="000000" w:themeColor="text1"/>
          <w:sz w:val="24"/>
          <w:szCs w:val="24"/>
        </w:rPr>
        <w:t>representada en último término por una persona física, altera con su actuación la esfera jurídica o jurídica económica de aquella para hacer posible valer sus derechos o cumplir con sus obligaciones.</w:t>
      </w:r>
      <w:r w:rsidRPr="00401F3B">
        <w:rPr>
          <w:rFonts w:ascii="Palatino Linotype" w:hAnsi="Palatino Linotype" w:cs="Arial"/>
          <w:i/>
          <w:color w:val="000000" w:themeColor="text1"/>
          <w:sz w:val="24"/>
          <w:szCs w:val="24"/>
        </w:rPr>
        <w:t xml:space="preserve"> […] En la representación estatutaria, la ley no señala quién o quiénes pueden o deben ser los representantes legales de las personas morales, sino que deja a libre arbitrio de otras personas o de otros órganos, quiénes deben de representar a esas personas. […] La representación estatutaria puede conferirse mediante un poder, pero generalmente no es este el medio formal de su constitución, sino un medio diferente que </w:t>
      </w:r>
      <w:r w:rsidRPr="00401F3B">
        <w:rPr>
          <w:rFonts w:ascii="Palatino Linotype" w:hAnsi="Palatino Linotype" w:cs="Arial"/>
          <w:b/>
          <w:i/>
          <w:color w:val="000000" w:themeColor="text1"/>
          <w:sz w:val="24"/>
          <w:szCs w:val="24"/>
        </w:rPr>
        <w:t>consiste en un acto de simple designación de la persona para el desempeño de determinado cargo.</w:t>
      </w:r>
    </w:p>
    <w:p w:rsidR="003E07E5" w:rsidRPr="00401F3B" w:rsidRDefault="00B46F85" w:rsidP="00773EBE">
      <w:pPr>
        <w:pStyle w:val="Prrafodelista"/>
        <w:spacing w:line="360" w:lineRule="auto"/>
        <w:ind w:left="0"/>
        <w:jc w:val="both"/>
        <w:rPr>
          <w:rFonts w:ascii="Palatino Linotype" w:hAnsi="Palatino Linotype" w:cs="Arial"/>
          <w:i/>
          <w:color w:val="000000" w:themeColor="text1"/>
          <w:sz w:val="24"/>
          <w:szCs w:val="24"/>
        </w:rPr>
      </w:pPr>
      <w:sdt>
        <w:sdtPr>
          <w:rPr>
            <w:rFonts w:ascii="Palatino Linotype" w:hAnsi="Palatino Linotype" w:cs="Arial"/>
            <w:i/>
            <w:color w:val="000000" w:themeColor="text1"/>
            <w:sz w:val="24"/>
            <w:szCs w:val="24"/>
          </w:rPr>
          <w:id w:val="-1383091241"/>
          <w:citation/>
        </w:sdtPr>
        <w:sdtEndPr/>
        <w:sdtContent>
          <w:r w:rsidR="003E07E5" w:rsidRPr="00401F3B">
            <w:rPr>
              <w:rFonts w:ascii="Palatino Linotype" w:hAnsi="Palatino Linotype" w:cs="Arial"/>
              <w:i/>
              <w:color w:val="000000" w:themeColor="text1"/>
              <w:sz w:val="24"/>
              <w:szCs w:val="24"/>
            </w:rPr>
            <w:fldChar w:fldCharType="begin"/>
          </w:r>
          <w:r w:rsidR="003E07E5" w:rsidRPr="00401F3B">
            <w:rPr>
              <w:rFonts w:ascii="Palatino Linotype" w:hAnsi="Palatino Linotype" w:cs="Arial"/>
              <w:b/>
              <w:i/>
              <w:color w:val="000000" w:themeColor="text1"/>
              <w:sz w:val="24"/>
              <w:szCs w:val="24"/>
            </w:rPr>
            <w:instrText xml:space="preserve"> CITATION Raf17 \l 2058 </w:instrText>
          </w:r>
          <w:r w:rsidR="003E07E5" w:rsidRPr="00401F3B">
            <w:rPr>
              <w:rFonts w:ascii="Palatino Linotype" w:hAnsi="Palatino Linotype" w:cs="Arial"/>
              <w:i/>
              <w:color w:val="000000" w:themeColor="text1"/>
              <w:sz w:val="24"/>
              <w:szCs w:val="24"/>
            </w:rPr>
            <w:fldChar w:fldCharType="separate"/>
          </w:r>
          <w:r w:rsidR="003E07E5" w:rsidRPr="00401F3B">
            <w:rPr>
              <w:rFonts w:ascii="Palatino Linotype" w:hAnsi="Palatino Linotype" w:cs="Arial"/>
              <w:i/>
              <w:noProof/>
              <w:color w:val="000000" w:themeColor="text1"/>
              <w:sz w:val="24"/>
              <w:szCs w:val="24"/>
            </w:rPr>
            <w:t>(Lara, 2017)</w:t>
          </w:r>
          <w:r w:rsidR="003E07E5" w:rsidRPr="00401F3B">
            <w:rPr>
              <w:rFonts w:ascii="Palatino Linotype" w:hAnsi="Palatino Linotype" w:cs="Arial"/>
              <w:i/>
              <w:color w:val="000000" w:themeColor="text1"/>
              <w:sz w:val="24"/>
              <w:szCs w:val="24"/>
            </w:rPr>
            <w:fldChar w:fldCharType="end"/>
          </w:r>
        </w:sdtContent>
      </w:sdt>
    </w:p>
    <w:p w:rsidR="00EE5E9C" w:rsidRPr="00401F3B" w:rsidRDefault="00EE5E9C" w:rsidP="00773EBE">
      <w:pPr>
        <w:pStyle w:val="Prrafodelista"/>
        <w:spacing w:line="360" w:lineRule="auto"/>
        <w:ind w:left="0"/>
        <w:contextualSpacing/>
        <w:jc w:val="both"/>
        <w:rPr>
          <w:rFonts w:ascii="Palatino Linotype" w:hAnsi="Palatino Linotype" w:cs="Arial"/>
          <w:color w:val="000000" w:themeColor="text1"/>
          <w:sz w:val="24"/>
          <w:szCs w:val="24"/>
        </w:rPr>
      </w:pPr>
    </w:p>
    <w:p w:rsidR="003E07E5" w:rsidRPr="00401F3B" w:rsidRDefault="003E07E5" w:rsidP="00773EBE">
      <w:pPr>
        <w:pStyle w:val="Prrafodelista"/>
        <w:numPr>
          <w:ilvl w:val="0"/>
          <w:numId w:val="4"/>
        </w:numPr>
        <w:spacing w:line="360" w:lineRule="auto"/>
        <w:ind w:left="0" w:firstLine="0"/>
        <w:contextualSpacing/>
        <w:jc w:val="both"/>
        <w:rPr>
          <w:rFonts w:ascii="Palatino Linotype" w:hAnsi="Palatino Linotype" w:cs="Arial"/>
          <w:color w:val="000000" w:themeColor="text1"/>
          <w:sz w:val="24"/>
          <w:szCs w:val="24"/>
        </w:rPr>
      </w:pPr>
      <w:r w:rsidRPr="00401F3B">
        <w:rPr>
          <w:rFonts w:ascii="Palatino Linotype" w:hAnsi="Palatino Linotype" w:cs="Arial"/>
          <w:color w:val="000000" w:themeColor="text1"/>
          <w:sz w:val="24"/>
          <w:szCs w:val="24"/>
        </w:rPr>
        <w:lastRenderedPageBreak/>
        <w:t xml:space="preserve">De lo anterior tenemos que la </w:t>
      </w:r>
      <w:r w:rsidRPr="00401F3B">
        <w:rPr>
          <w:rFonts w:ascii="Palatino Linotype" w:hAnsi="Palatino Linotype" w:cs="Arial"/>
          <w:b/>
          <w:color w:val="000000" w:themeColor="text1"/>
          <w:sz w:val="24"/>
          <w:szCs w:val="24"/>
        </w:rPr>
        <w:t xml:space="preserve">representación </w:t>
      </w:r>
      <w:r w:rsidRPr="00401F3B">
        <w:rPr>
          <w:rFonts w:ascii="Palatino Linotype" w:hAnsi="Palatino Linotype" w:cs="Arial"/>
          <w:color w:val="000000" w:themeColor="text1"/>
          <w:sz w:val="24"/>
          <w:szCs w:val="24"/>
        </w:rPr>
        <w:t xml:space="preserve">se traduce al acto de manifestarse a nombre de otra persona, quién en el caso concreto, el representante es elegido por terceros a través de una designación. </w:t>
      </w:r>
    </w:p>
    <w:p w:rsidR="003E07E5" w:rsidRPr="00401F3B" w:rsidRDefault="003E07E5" w:rsidP="00773EBE">
      <w:pPr>
        <w:spacing w:line="360" w:lineRule="auto"/>
        <w:jc w:val="both"/>
        <w:rPr>
          <w:rFonts w:ascii="Palatino Linotype" w:hAnsi="Palatino Linotype" w:cs="Arial"/>
          <w:color w:val="000000" w:themeColor="text1"/>
        </w:rPr>
      </w:pPr>
    </w:p>
    <w:p w:rsidR="003E07E5" w:rsidRPr="00401F3B" w:rsidRDefault="003E07E5" w:rsidP="00773EBE">
      <w:pPr>
        <w:pStyle w:val="Prrafodelista"/>
        <w:numPr>
          <w:ilvl w:val="0"/>
          <w:numId w:val="4"/>
        </w:numPr>
        <w:spacing w:line="360" w:lineRule="auto"/>
        <w:ind w:left="0" w:firstLine="0"/>
        <w:contextualSpacing/>
        <w:jc w:val="both"/>
        <w:rPr>
          <w:rFonts w:ascii="Palatino Linotype" w:hAnsi="Palatino Linotype" w:cs="Arial"/>
          <w:color w:val="000000" w:themeColor="text1"/>
          <w:sz w:val="24"/>
          <w:szCs w:val="24"/>
        </w:rPr>
      </w:pPr>
      <w:r w:rsidRPr="00401F3B">
        <w:rPr>
          <w:rFonts w:ascii="Palatino Linotype" w:hAnsi="Palatino Linotype" w:cs="Arial"/>
          <w:color w:val="000000" w:themeColor="text1"/>
          <w:sz w:val="24"/>
          <w:szCs w:val="24"/>
        </w:rPr>
        <w:t xml:space="preserve">Por su parte, atendiendo a lo que establece la Ley General de Sociedades Mercantiles, se obtiene que en su artículo 10 menciona que </w:t>
      </w:r>
      <w:r w:rsidRPr="00401F3B">
        <w:rPr>
          <w:rFonts w:ascii="Palatino Linotype" w:hAnsi="Palatino Linotype" w:cs="Arial"/>
          <w:b/>
          <w:color w:val="000000" w:themeColor="text1"/>
          <w:sz w:val="24"/>
          <w:szCs w:val="24"/>
        </w:rPr>
        <w:t>la representación de toda sociedad mercantil corresponderá a su administrador o administradores</w:t>
      </w:r>
      <w:r w:rsidRPr="00401F3B">
        <w:rPr>
          <w:rFonts w:ascii="Palatino Linotype" w:hAnsi="Palatino Linotype" w:cs="Arial"/>
          <w:color w:val="000000" w:themeColor="text1"/>
          <w:sz w:val="24"/>
          <w:szCs w:val="24"/>
        </w:rPr>
        <w:t>, quienes podrán realizar todas las operaciones inherentes al objeto de la sociedad.</w:t>
      </w:r>
    </w:p>
    <w:p w:rsidR="003E07E5" w:rsidRPr="00401F3B" w:rsidRDefault="003E07E5" w:rsidP="00773EBE">
      <w:pPr>
        <w:pStyle w:val="Prrafodelista"/>
        <w:spacing w:line="360" w:lineRule="auto"/>
        <w:ind w:left="0"/>
        <w:jc w:val="both"/>
        <w:rPr>
          <w:rFonts w:ascii="Palatino Linotype" w:hAnsi="Palatino Linotype" w:cs="Arial"/>
          <w:color w:val="000000" w:themeColor="text1"/>
          <w:sz w:val="24"/>
          <w:szCs w:val="24"/>
        </w:rPr>
      </w:pPr>
    </w:p>
    <w:p w:rsidR="003E07E5" w:rsidRPr="00401F3B" w:rsidRDefault="003E07E5" w:rsidP="00773EBE">
      <w:pPr>
        <w:pStyle w:val="Prrafodelista"/>
        <w:numPr>
          <w:ilvl w:val="0"/>
          <w:numId w:val="4"/>
        </w:numPr>
        <w:spacing w:line="360" w:lineRule="auto"/>
        <w:ind w:left="0" w:firstLine="0"/>
        <w:contextualSpacing/>
        <w:jc w:val="both"/>
        <w:rPr>
          <w:rFonts w:ascii="Palatino Linotype" w:hAnsi="Palatino Linotype" w:cs="Arial"/>
          <w:color w:val="000000" w:themeColor="text1"/>
          <w:sz w:val="24"/>
          <w:szCs w:val="24"/>
        </w:rPr>
      </w:pPr>
      <w:r w:rsidRPr="00401F3B">
        <w:rPr>
          <w:rFonts w:ascii="Palatino Linotype" w:hAnsi="Palatino Linotype" w:cs="Arial"/>
          <w:color w:val="000000" w:themeColor="text1"/>
          <w:sz w:val="24"/>
          <w:szCs w:val="24"/>
        </w:rPr>
        <w:t xml:space="preserve">Con la anterior explicación, se pretende llegar a que las figuras de representante legal, administrador único y apoderado legal, medularmente juegan el papel de representación legal de las personas morales, y poseen la facultad de tomar cualquier tipo de decisiones y tiene plenos poderes para ello. </w:t>
      </w:r>
    </w:p>
    <w:p w:rsidR="003E07E5" w:rsidRPr="00401F3B" w:rsidRDefault="003E07E5" w:rsidP="00773EBE">
      <w:pPr>
        <w:pStyle w:val="Prrafodelista"/>
        <w:spacing w:line="360" w:lineRule="auto"/>
        <w:ind w:left="0"/>
        <w:jc w:val="both"/>
        <w:rPr>
          <w:rFonts w:ascii="Palatino Linotype" w:hAnsi="Palatino Linotype" w:cs="Arial"/>
          <w:color w:val="000000" w:themeColor="text1"/>
          <w:sz w:val="24"/>
          <w:szCs w:val="24"/>
        </w:rPr>
      </w:pPr>
    </w:p>
    <w:p w:rsidR="003E07E5" w:rsidRPr="00401F3B" w:rsidRDefault="003E07E5" w:rsidP="00773EBE">
      <w:pPr>
        <w:pStyle w:val="Prrafodelista"/>
        <w:numPr>
          <w:ilvl w:val="0"/>
          <w:numId w:val="4"/>
        </w:numPr>
        <w:spacing w:line="360" w:lineRule="auto"/>
        <w:ind w:left="0" w:firstLine="0"/>
        <w:contextualSpacing/>
        <w:jc w:val="both"/>
        <w:rPr>
          <w:rFonts w:ascii="Palatino Linotype" w:hAnsi="Palatino Linotype" w:cs="Arial"/>
          <w:color w:val="000000" w:themeColor="text1"/>
          <w:sz w:val="24"/>
          <w:szCs w:val="24"/>
        </w:rPr>
      </w:pPr>
      <w:r w:rsidRPr="00401F3B">
        <w:rPr>
          <w:rFonts w:ascii="Palatino Linotype" w:hAnsi="Palatino Linotype" w:cs="Arial"/>
          <w:color w:val="000000" w:themeColor="text1"/>
          <w:sz w:val="24"/>
          <w:szCs w:val="24"/>
        </w:rPr>
        <w:t xml:space="preserve">En razón de lo anterior, cabe mencionar que el Instituto Nacional de Acceso a la Información y Protección de Datos Personales, ha precisado en diversas ocasiones que la </w:t>
      </w:r>
      <w:r w:rsidRPr="00401F3B">
        <w:rPr>
          <w:rFonts w:ascii="Palatino Linotype" w:hAnsi="Palatino Linotype" w:cs="Arial"/>
          <w:b/>
          <w:color w:val="000000" w:themeColor="text1"/>
          <w:sz w:val="24"/>
          <w:szCs w:val="24"/>
        </w:rPr>
        <w:t>firma y el nombre del representante legal de una persona moral</w:t>
      </w:r>
      <w:r w:rsidRPr="00401F3B">
        <w:rPr>
          <w:rFonts w:ascii="Palatino Linotype" w:hAnsi="Palatino Linotype" w:cs="Arial"/>
          <w:color w:val="000000" w:themeColor="text1"/>
          <w:sz w:val="24"/>
          <w:szCs w:val="24"/>
        </w:rPr>
        <w:t xml:space="preserve">, no podría ser objeto de clasificación, ya que si bien el nombre y la firma corresponden a una persona física, esta actuó en nombre y representación de una persona moral, no a nombre propio; en consecuencia, el nombre y la firma, al haber sido objeto de dar cumplimiento a la normatividad y otorgar validez al acto jurídico celebrado, deben ser considerados como públicos, análisis aplicable al presente caso. </w:t>
      </w:r>
    </w:p>
    <w:p w:rsidR="003E07E5" w:rsidRPr="00401F3B" w:rsidRDefault="003E07E5" w:rsidP="00773EBE">
      <w:pPr>
        <w:pStyle w:val="Prrafodelista"/>
        <w:spacing w:line="360" w:lineRule="auto"/>
        <w:ind w:left="0"/>
        <w:jc w:val="both"/>
        <w:rPr>
          <w:rFonts w:ascii="Palatino Linotype" w:hAnsi="Palatino Linotype" w:cs="Arial"/>
          <w:color w:val="000000" w:themeColor="text1"/>
          <w:sz w:val="24"/>
          <w:szCs w:val="24"/>
        </w:rPr>
      </w:pPr>
    </w:p>
    <w:p w:rsidR="003E07E5" w:rsidRPr="00401F3B" w:rsidRDefault="003E07E5" w:rsidP="00773EBE">
      <w:pPr>
        <w:pStyle w:val="Prrafodelista"/>
        <w:numPr>
          <w:ilvl w:val="0"/>
          <w:numId w:val="4"/>
        </w:numPr>
        <w:spacing w:line="360" w:lineRule="auto"/>
        <w:ind w:left="0" w:firstLine="0"/>
        <w:contextualSpacing/>
        <w:jc w:val="both"/>
        <w:rPr>
          <w:rFonts w:ascii="Palatino Linotype" w:hAnsi="Palatino Linotype" w:cs="Arial"/>
          <w:color w:val="000000" w:themeColor="text1"/>
          <w:sz w:val="24"/>
          <w:szCs w:val="24"/>
        </w:rPr>
      </w:pPr>
      <w:r w:rsidRPr="00401F3B">
        <w:rPr>
          <w:rFonts w:ascii="Palatino Linotype" w:hAnsi="Palatino Linotype" w:cs="Arial"/>
          <w:color w:val="000000" w:themeColor="text1"/>
          <w:sz w:val="24"/>
          <w:szCs w:val="24"/>
        </w:rPr>
        <w:lastRenderedPageBreak/>
        <w:t xml:space="preserve">Derivado de ello, es imprescindible traer a colación lo que establece el Criterio del Instituto Nacional de Transparencia, Acceso a la Información y Protección de Datos, el cual menciona lo siguiente: </w:t>
      </w:r>
    </w:p>
    <w:p w:rsidR="003E07E5" w:rsidRPr="00401F3B" w:rsidRDefault="003E07E5" w:rsidP="00773EBE">
      <w:pPr>
        <w:pStyle w:val="Prrafodelista"/>
        <w:spacing w:line="360" w:lineRule="auto"/>
        <w:ind w:left="0"/>
        <w:jc w:val="both"/>
        <w:rPr>
          <w:rFonts w:ascii="Palatino Linotype" w:hAnsi="Palatino Linotype" w:cs="Arial"/>
          <w:i/>
          <w:color w:val="000000" w:themeColor="text1"/>
          <w:sz w:val="24"/>
          <w:szCs w:val="24"/>
        </w:rPr>
      </w:pPr>
      <w:r w:rsidRPr="00401F3B">
        <w:rPr>
          <w:rFonts w:ascii="Palatino Linotype" w:hAnsi="Palatino Linotype" w:cs="Arial"/>
          <w:b/>
          <w:i/>
          <w:color w:val="000000" w:themeColor="text1"/>
          <w:sz w:val="24"/>
          <w:szCs w:val="24"/>
        </w:rPr>
        <w:t>Datos de identificación del representante o apoderado legal. Naturaleza jurídica.</w:t>
      </w:r>
      <w:r w:rsidRPr="00401F3B">
        <w:rPr>
          <w:rFonts w:ascii="Palatino Linotype" w:hAnsi="Palatino Linotype" w:cs="Arial"/>
          <w:i/>
          <w:color w:val="000000" w:themeColor="text1"/>
          <w:sz w:val="24"/>
          <w:szCs w:val="24"/>
        </w:rPr>
        <w:t xml:space="preserve"> El nombre, la firma y la rúbrica de una persona física, que actúe como representante o apoderado legal de un tercero que haya celebrado un acto jurídico, con algún sujeto obligado, </w:t>
      </w:r>
      <w:r w:rsidRPr="00401F3B">
        <w:rPr>
          <w:rFonts w:ascii="Palatino Linotype" w:hAnsi="Palatino Linotype" w:cs="Arial"/>
          <w:b/>
          <w:i/>
          <w:color w:val="000000" w:themeColor="text1"/>
          <w:sz w:val="24"/>
          <w:szCs w:val="24"/>
        </w:rPr>
        <w:t>es información pública</w:t>
      </w:r>
      <w:r w:rsidRPr="00401F3B">
        <w:rPr>
          <w:rFonts w:ascii="Palatino Linotype" w:hAnsi="Palatino Linotype" w:cs="Arial"/>
          <w:i/>
          <w:color w:val="000000" w:themeColor="text1"/>
          <w:sz w:val="24"/>
          <w:szCs w:val="24"/>
        </w:rPr>
        <w:t>, en razón de que tales datos fueron proporcionados con el objeto de expresar el consentimiento obligacional del tercero y otorgar validez a dicho instrumento jurídico.</w:t>
      </w:r>
    </w:p>
    <w:p w:rsidR="003E07E5" w:rsidRPr="00401F3B" w:rsidRDefault="003E07E5" w:rsidP="00773EBE">
      <w:pPr>
        <w:pStyle w:val="Prrafodelista"/>
        <w:spacing w:line="360" w:lineRule="auto"/>
        <w:ind w:left="0"/>
        <w:jc w:val="both"/>
        <w:rPr>
          <w:rFonts w:ascii="Palatino Linotype" w:hAnsi="Palatino Linotype" w:cs="Arial"/>
          <w:i/>
          <w:color w:val="000000" w:themeColor="text1"/>
          <w:sz w:val="24"/>
          <w:szCs w:val="24"/>
        </w:rPr>
      </w:pPr>
    </w:p>
    <w:p w:rsidR="003E07E5" w:rsidRPr="00401F3B" w:rsidRDefault="003E07E5" w:rsidP="00773EBE">
      <w:pPr>
        <w:pStyle w:val="Prrafodelista"/>
        <w:spacing w:line="360" w:lineRule="auto"/>
        <w:ind w:left="0"/>
        <w:jc w:val="both"/>
        <w:rPr>
          <w:rFonts w:ascii="Palatino Linotype" w:hAnsi="Palatino Linotype" w:cs="Arial"/>
          <w:i/>
          <w:color w:val="000000" w:themeColor="text1"/>
          <w:sz w:val="24"/>
          <w:szCs w:val="24"/>
        </w:rPr>
      </w:pPr>
      <w:r w:rsidRPr="00401F3B">
        <w:rPr>
          <w:rFonts w:ascii="Palatino Linotype" w:hAnsi="Palatino Linotype" w:cs="Arial"/>
          <w:i/>
          <w:color w:val="000000" w:themeColor="text1"/>
          <w:sz w:val="24"/>
          <w:szCs w:val="24"/>
        </w:rPr>
        <w:t xml:space="preserve">Resoluciones: RRA 3104/16. Secretaría de la Defensa Nacional. 01 de noviembre del 2016. Por unanimidad. Comisionado Ponente Oscar Mauricio Guerra Ford. RRA 2923/16. Administración Portuaria Integral de Lázaro Cárdenas, S.A. de C.V. 13 de diciembre de 2016. Por unanimidad. Comisionada Ponente María Patricia Kurczyn Villalobos. RRA 2855/17. Comisión Nacional de Hidrocarburos. 14 de junio de 2017. Por unanimidad con los votos particulares de los Comisionados Areli Cano Guadiana y Oscar Mauricio Guerra Ford. Comisionada Ponente Ximena Puente de la Mora. </w:t>
      </w:r>
    </w:p>
    <w:p w:rsidR="003E07E5" w:rsidRPr="00401F3B" w:rsidRDefault="003E07E5" w:rsidP="00773EBE">
      <w:pPr>
        <w:pStyle w:val="Prrafodelista"/>
        <w:spacing w:line="360" w:lineRule="auto"/>
        <w:ind w:left="0"/>
        <w:jc w:val="both"/>
        <w:rPr>
          <w:rFonts w:ascii="Palatino Linotype" w:hAnsi="Palatino Linotype" w:cs="Arial"/>
          <w:i/>
          <w:color w:val="000000" w:themeColor="text1"/>
          <w:sz w:val="24"/>
          <w:szCs w:val="24"/>
        </w:rPr>
      </w:pPr>
    </w:p>
    <w:p w:rsidR="003E07E5" w:rsidRPr="00401F3B" w:rsidRDefault="003E07E5" w:rsidP="00773EBE">
      <w:pPr>
        <w:spacing w:line="360" w:lineRule="auto"/>
        <w:contextualSpacing/>
        <w:jc w:val="both"/>
        <w:rPr>
          <w:rFonts w:ascii="Palatino Linotype" w:hAnsi="Palatino Linotype" w:cs="Tahoma"/>
          <w:b/>
          <w:bCs/>
          <w:noProof/>
          <w:color w:val="000000" w:themeColor="text1"/>
        </w:rPr>
      </w:pPr>
      <w:r w:rsidRPr="00401F3B">
        <w:rPr>
          <w:rFonts w:ascii="Palatino Linotype" w:hAnsi="Palatino Linotype" w:cs="Tahoma"/>
          <w:b/>
          <w:bCs/>
          <w:noProof/>
          <w:color w:val="000000" w:themeColor="text1"/>
        </w:rPr>
        <w:t xml:space="preserve">Denominación o razón Social </w:t>
      </w:r>
    </w:p>
    <w:p w:rsidR="003E07E5" w:rsidRPr="00401F3B" w:rsidRDefault="003E07E5" w:rsidP="00773EBE">
      <w:pPr>
        <w:pStyle w:val="Prrafodelista"/>
        <w:numPr>
          <w:ilvl w:val="0"/>
          <w:numId w:val="4"/>
        </w:numPr>
        <w:spacing w:line="360" w:lineRule="auto"/>
        <w:ind w:left="0" w:firstLine="0"/>
        <w:contextualSpacing/>
        <w:jc w:val="both"/>
        <w:rPr>
          <w:rFonts w:ascii="Palatino Linotype" w:hAnsi="Palatino Linotype" w:cs="Tahoma"/>
          <w:bCs/>
          <w:noProof/>
          <w:color w:val="000000" w:themeColor="text1"/>
          <w:sz w:val="24"/>
          <w:szCs w:val="24"/>
        </w:rPr>
      </w:pPr>
      <w:r w:rsidRPr="00401F3B">
        <w:rPr>
          <w:rFonts w:ascii="Palatino Linotype" w:hAnsi="Palatino Linotype" w:cs="Tahoma"/>
          <w:b/>
          <w:bCs/>
          <w:noProof/>
          <w:color w:val="000000" w:themeColor="text1"/>
          <w:sz w:val="24"/>
          <w:szCs w:val="24"/>
        </w:rPr>
        <w:t xml:space="preserve"> </w:t>
      </w:r>
      <w:r w:rsidRPr="00401F3B">
        <w:rPr>
          <w:rFonts w:ascii="Palatino Linotype" w:hAnsi="Palatino Linotype" w:cs="Tahoma"/>
          <w:bCs/>
          <w:noProof/>
          <w:color w:val="000000" w:themeColor="text1"/>
          <w:sz w:val="24"/>
          <w:szCs w:val="24"/>
        </w:rPr>
        <w:t>Al respecto, se considera que la denominación o razón social de una persona moral, es pública, pues dichos datos se encuentran inscritos en el Registro Público del Comercio; lo anterior, toma sustento en el Criterio de Interpretación, de la Segunda Época, con número de registro SO/008/2019, emitido por el Instituto Nacional de Transparencia, Acceso a la Información y Protección de Datos Personales, que precisa lo siguiente:</w:t>
      </w:r>
    </w:p>
    <w:p w:rsidR="003E07E5" w:rsidRPr="00401F3B" w:rsidRDefault="003E07E5" w:rsidP="006C0051">
      <w:pPr>
        <w:spacing w:line="360" w:lineRule="auto"/>
        <w:contextualSpacing/>
        <w:jc w:val="both"/>
        <w:rPr>
          <w:rFonts w:ascii="Palatino Linotype" w:hAnsi="Palatino Linotype" w:cs="Tahoma"/>
          <w:bCs/>
          <w:i/>
          <w:noProof/>
          <w:color w:val="000000" w:themeColor="text1"/>
        </w:rPr>
      </w:pPr>
      <w:r w:rsidRPr="00401F3B">
        <w:rPr>
          <w:rFonts w:ascii="Palatino Linotype" w:hAnsi="Palatino Linotype" w:cs="Tahoma"/>
          <w:bCs/>
          <w:noProof/>
          <w:color w:val="000000" w:themeColor="text1"/>
        </w:rPr>
        <w:lastRenderedPageBreak/>
        <w:t xml:space="preserve"> </w:t>
      </w:r>
      <w:r w:rsidRPr="00401F3B">
        <w:rPr>
          <w:rFonts w:ascii="Palatino Linotype" w:hAnsi="Palatino Linotype" w:cs="Tahoma"/>
          <w:b/>
          <w:bCs/>
          <w:i/>
          <w:noProof/>
          <w:color w:val="000000" w:themeColor="text1"/>
        </w:rPr>
        <w:t xml:space="preserve">“Razón social y RFC de personas morales. </w:t>
      </w:r>
      <w:r w:rsidRPr="00401F3B">
        <w:rPr>
          <w:rFonts w:ascii="Palatino Linotype" w:hAnsi="Palatino Linotype" w:cs="Tahoma"/>
          <w:bCs/>
          <w:i/>
          <w:noProof/>
          <w:color w:val="000000" w:themeColor="text1"/>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rsidR="003E07E5" w:rsidRPr="00401F3B" w:rsidRDefault="003E07E5" w:rsidP="00773EBE">
      <w:pPr>
        <w:spacing w:line="360" w:lineRule="auto"/>
        <w:contextualSpacing/>
        <w:jc w:val="both"/>
        <w:rPr>
          <w:rFonts w:ascii="Palatino Linotype" w:hAnsi="Palatino Linotype" w:cs="Tahoma"/>
          <w:b/>
          <w:bCs/>
          <w:noProof/>
          <w:color w:val="000000" w:themeColor="text1"/>
        </w:rPr>
      </w:pPr>
      <w:r w:rsidRPr="00401F3B">
        <w:rPr>
          <w:rFonts w:ascii="Palatino Linotype" w:hAnsi="Palatino Linotype" w:cs="Tahoma"/>
          <w:b/>
          <w:bCs/>
          <w:noProof/>
          <w:color w:val="000000" w:themeColor="text1"/>
        </w:rPr>
        <w:t xml:space="preserve"> </w:t>
      </w:r>
    </w:p>
    <w:p w:rsidR="003E07E5" w:rsidRPr="00401F3B" w:rsidRDefault="003E07E5" w:rsidP="00773EBE">
      <w:pPr>
        <w:pStyle w:val="Prrafodelista"/>
        <w:numPr>
          <w:ilvl w:val="0"/>
          <w:numId w:val="4"/>
        </w:numPr>
        <w:spacing w:line="360" w:lineRule="auto"/>
        <w:ind w:left="0" w:firstLine="0"/>
        <w:contextualSpacing/>
        <w:jc w:val="both"/>
        <w:rPr>
          <w:rFonts w:ascii="Palatino Linotype" w:hAnsi="Palatino Linotype" w:cs="Tahoma"/>
          <w:bCs/>
          <w:noProof/>
          <w:color w:val="000000" w:themeColor="text1"/>
          <w:sz w:val="24"/>
          <w:szCs w:val="24"/>
        </w:rPr>
      </w:pPr>
      <w:r w:rsidRPr="00401F3B">
        <w:rPr>
          <w:rFonts w:ascii="Palatino Linotype" w:hAnsi="Palatino Linotype" w:cs="Tahoma"/>
          <w:bCs/>
          <w:noProof/>
          <w:color w:val="000000" w:themeColor="text1"/>
          <w:sz w:val="24"/>
          <w:szCs w:val="24"/>
        </w:rPr>
        <w:t>Por lo tanto, no procede la clasificación de la denominación o razón social y RFC de personas morales, en términos del artículo 143, fracción I de la Ley de Transparencia y Acceso a la Información Pública del Estado de México y Municipios.</w:t>
      </w:r>
    </w:p>
    <w:p w:rsidR="003E07E5" w:rsidRPr="00401F3B" w:rsidRDefault="003E07E5" w:rsidP="00773EBE">
      <w:pPr>
        <w:spacing w:line="360" w:lineRule="auto"/>
        <w:contextualSpacing/>
        <w:jc w:val="both"/>
        <w:rPr>
          <w:rFonts w:ascii="Palatino Linotype" w:hAnsi="Palatino Linotype" w:cs="Tahoma"/>
          <w:bCs/>
          <w:noProof/>
          <w:color w:val="000000" w:themeColor="text1"/>
        </w:rPr>
      </w:pPr>
      <w:r w:rsidRPr="00401F3B">
        <w:rPr>
          <w:rFonts w:ascii="Palatino Linotype" w:hAnsi="Palatino Linotype" w:cs="Tahoma"/>
          <w:bCs/>
          <w:noProof/>
          <w:color w:val="000000" w:themeColor="text1"/>
        </w:rPr>
        <w:t xml:space="preserve"> </w:t>
      </w:r>
    </w:p>
    <w:p w:rsidR="003E07E5" w:rsidRPr="00401F3B" w:rsidRDefault="003E07E5" w:rsidP="00773EBE">
      <w:pPr>
        <w:pStyle w:val="Prrafodelista"/>
        <w:numPr>
          <w:ilvl w:val="0"/>
          <w:numId w:val="4"/>
        </w:numPr>
        <w:spacing w:line="360" w:lineRule="auto"/>
        <w:ind w:left="0" w:firstLine="0"/>
        <w:contextualSpacing/>
        <w:jc w:val="both"/>
        <w:rPr>
          <w:rFonts w:ascii="Palatino Linotype" w:hAnsi="Palatino Linotype" w:cs="Tahoma"/>
          <w:bCs/>
          <w:noProof/>
          <w:color w:val="000000" w:themeColor="text1"/>
          <w:sz w:val="24"/>
          <w:szCs w:val="24"/>
        </w:rPr>
      </w:pPr>
      <w:r w:rsidRPr="00401F3B">
        <w:rPr>
          <w:rFonts w:ascii="Palatino Linotype" w:hAnsi="Palatino Linotype" w:cs="Tahoma"/>
          <w:bCs/>
          <w:noProof/>
          <w:color w:val="000000" w:themeColor="text1"/>
          <w:sz w:val="24"/>
          <w:szCs w:val="24"/>
        </w:rPr>
        <w:t>Al respecto, el Registro Federal de Contribuyentes, inicia con una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rsidR="003E07E5" w:rsidRPr="00401F3B" w:rsidRDefault="003E07E5" w:rsidP="00773EBE">
      <w:pPr>
        <w:spacing w:line="360" w:lineRule="auto"/>
        <w:contextualSpacing/>
        <w:jc w:val="both"/>
        <w:rPr>
          <w:rFonts w:ascii="Palatino Linotype" w:hAnsi="Palatino Linotype" w:cs="Tahoma"/>
          <w:bCs/>
          <w:noProof/>
          <w:color w:val="000000" w:themeColor="text1"/>
        </w:rPr>
      </w:pPr>
      <w:r w:rsidRPr="00401F3B">
        <w:rPr>
          <w:rFonts w:ascii="Palatino Linotype" w:hAnsi="Palatino Linotype" w:cs="Tahoma"/>
          <w:bCs/>
          <w:noProof/>
          <w:color w:val="000000" w:themeColor="text1"/>
        </w:rPr>
        <w:t xml:space="preserve"> </w:t>
      </w:r>
    </w:p>
    <w:p w:rsidR="003E07E5" w:rsidRPr="00401F3B" w:rsidRDefault="003E07E5" w:rsidP="00773EBE">
      <w:pPr>
        <w:pStyle w:val="Prrafodelista"/>
        <w:numPr>
          <w:ilvl w:val="0"/>
          <w:numId w:val="4"/>
        </w:numPr>
        <w:spacing w:line="360" w:lineRule="auto"/>
        <w:ind w:left="0" w:firstLine="0"/>
        <w:contextualSpacing/>
        <w:jc w:val="both"/>
        <w:rPr>
          <w:rFonts w:ascii="Palatino Linotype" w:hAnsi="Palatino Linotype" w:cs="Tahoma"/>
          <w:bCs/>
          <w:noProof/>
          <w:color w:val="000000" w:themeColor="text1"/>
          <w:sz w:val="24"/>
          <w:szCs w:val="24"/>
        </w:rPr>
      </w:pPr>
      <w:r w:rsidRPr="00401F3B">
        <w:rPr>
          <w:rFonts w:ascii="Palatino Linotype" w:hAnsi="Palatino Linotype" w:cs="Tahoma"/>
          <w:bCs/>
          <w:noProof/>
          <w:color w:val="000000" w:themeColor="text1"/>
          <w:sz w:val="24"/>
          <w:szCs w:val="24"/>
        </w:rPr>
        <w:lastRenderedPageBreak/>
        <w:t>Por ende, la información correspondiente al Registro Federal de Contribuyentes de una persona moral da cuenta del cumplimiento o no en sus obligaciones fiscales; por tanto, no se actualiza su clasificación como confidencial; además, resulta aplicable por analogía el Criterio de Interpretación, de la Segunda Época, con número de registro SO/008/2019, emitido por el Instituto Nacional de Transparencia, Acceso a la Información y Protección de Datos Personales, que precisa que el Registro Federal de Contribuyentes de personas morales, es público, al no referir a hechos o actos de carácter económico, contable, jurídico o administrativo que sean útiles o representen una ventaja a sus competidores; por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rsidR="003E07E5" w:rsidRPr="00401F3B" w:rsidRDefault="003E07E5" w:rsidP="00773EBE">
      <w:pPr>
        <w:pStyle w:val="Prrafodelista"/>
        <w:ind w:left="0"/>
        <w:rPr>
          <w:rFonts w:ascii="Palatino Linotype" w:hAnsi="Palatino Linotype" w:cs="Tahoma"/>
          <w:bCs/>
          <w:noProof/>
          <w:color w:val="000000" w:themeColor="text1"/>
          <w:sz w:val="24"/>
          <w:szCs w:val="24"/>
        </w:rPr>
      </w:pPr>
    </w:p>
    <w:p w:rsidR="003E07E5" w:rsidRPr="00401F3B" w:rsidRDefault="003E07E5" w:rsidP="00773EBE">
      <w:pPr>
        <w:spacing w:line="360" w:lineRule="auto"/>
        <w:contextualSpacing/>
        <w:jc w:val="both"/>
        <w:rPr>
          <w:rFonts w:ascii="Palatino Linotype" w:hAnsi="Palatino Linotype" w:cs="Tahoma"/>
          <w:b/>
          <w:bCs/>
          <w:noProof/>
          <w:color w:val="000000" w:themeColor="text1"/>
        </w:rPr>
      </w:pPr>
      <w:r w:rsidRPr="00401F3B">
        <w:rPr>
          <w:rFonts w:ascii="Palatino Linotype" w:hAnsi="Palatino Linotype" w:cs="Tahoma"/>
          <w:b/>
          <w:bCs/>
          <w:noProof/>
          <w:color w:val="000000" w:themeColor="text1"/>
        </w:rPr>
        <w:t xml:space="preserve">Domicilio Fiscal o legal para recibir y oír notificaciones </w:t>
      </w:r>
    </w:p>
    <w:p w:rsidR="003E07E5" w:rsidRPr="00401F3B" w:rsidRDefault="003E07E5" w:rsidP="00773EBE">
      <w:pPr>
        <w:pStyle w:val="Prrafodelista"/>
        <w:numPr>
          <w:ilvl w:val="0"/>
          <w:numId w:val="4"/>
        </w:numPr>
        <w:spacing w:line="360" w:lineRule="auto"/>
        <w:ind w:left="0" w:firstLine="0"/>
        <w:contextualSpacing/>
        <w:jc w:val="both"/>
        <w:rPr>
          <w:rFonts w:ascii="Palatino Linotype" w:hAnsi="Palatino Linotype" w:cs="Tahoma"/>
          <w:bCs/>
          <w:noProof/>
          <w:color w:val="000000" w:themeColor="text1"/>
          <w:sz w:val="24"/>
          <w:szCs w:val="24"/>
        </w:rPr>
      </w:pPr>
      <w:r w:rsidRPr="00401F3B">
        <w:rPr>
          <w:rFonts w:ascii="Palatino Linotype" w:hAnsi="Palatino Linotype" w:cs="Tahoma"/>
          <w:bCs/>
          <w:noProof/>
          <w:color w:val="000000" w:themeColor="text1"/>
          <w:sz w:val="24"/>
          <w:szCs w:val="24"/>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 de esta manera, lo establece los diversos 29 y 33 del Código Civil Federal, al precisar que el domicilio de personas físicas</w:t>
      </w:r>
      <w:r w:rsidRPr="00401F3B">
        <w:rPr>
          <w:rFonts w:ascii="Palatino Linotype" w:hAnsi="Palatino Linotype" w:cs="Tahoma"/>
          <w:b/>
          <w:bCs/>
          <w:noProof/>
          <w:color w:val="000000" w:themeColor="text1"/>
          <w:sz w:val="24"/>
          <w:szCs w:val="24"/>
        </w:rPr>
        <w:t xml:space="preserve">, es el lugar donde residen habitualmente, el lugar del centro principal de sus negocios, donde residan o el lugar donde se encuentren; </w:t>
      </w:r>
      <w:r w:rsidRPr="00401F3B">
        <w:rPr>
          <w:rFonts w:ascii="Palatino Linotype" w:hAnsi="Palatino Linotype" w:cs="Tahoma"/>
          <w:bCs/>
          <w:noProof/>
          <w:color w:val="000000" w:themeColor="text1"/>
          <w:sz w:val="24"/>
          <w:szCs w:val="24"/>
        </w:rPr>
        <w:t>mientras que, de las personas morales, aquel donde se halle su administración.</w:t>
      </w:r>
    </w:p>
    <w:p w:rsidR="003E07E5" w:rsidRPr="00401F3B" w:rsidRDefault="003E07E5" w:rsidP="00773EBE">
      <w:pPr>
        <w:spacing w:line="360" w:lineRule="auto"/>
        <w:contextualSpacing/>
        <w:jc w:val="both"/>
        <w:rPr>
          <w:rFonts w:ascii="Palatino Linotype" w:hAnsi="Palatino Linotype" w:cs="Tahoma"/>
          <w:b/>
          <w:bCs/>
          <w:iCs/>
          <w:noProof/>
          <w:color w:val="000000" w:themeColor="text1"/>
        </w:rPr>
      </w:pPr>
      <w:r w:rsidRPr="00401F3B">
        <w:rPr>
          <w:rFonts w:ascii="Palatino Linotype" w:hAnsi="Palatino Linotype" w:cs="Tahoma"/>
          <w:b/>
          <w:bCs/>
          <w:iCs/>
          <w:noProof/>
          <w:color w:val="000000" w:themeColor="text1"/>
        </w:rPr>
        <w:t xml:space="preserve"> </w:t>
      </w:r>
    </w:p>
    <w:p w:rsidR="003E07E5" w:rsidRPr="006C0051" w:rsidRDefault="003E07E5" w:rsidP="00773EBE">
      <w:pPr>
        <w:pStyle w:val="Prrafodelista"/>
        <w:numPr>
          <w:ilvl w:val="0"/>
          <w:numId w:val="4"/>
        </w:numPr>
        <w:spacing w:line="360" w:lineRule="auto"/>
        <w:ind w:left="0" w:firstLine="0"/>
        <w:contextualSpacing/>
        <w:jc w:val="both"/>
        <w:rPr>
          <w:rFonts w:ascii="Palatino Linotype" w:hAnsi="Palatino Linotype" w:cs="Tahoma"/>
          <w:bCs/>
          <w:noProof/>
          <w:color w:val="000000" w:themeColor="text1"/>
          <w:sz w:val="24"/>
          <w:szCs w:val="24"/>
        </w:rPr>
      </w:pPr>
      <w:r w:rsidRPr="00401F3B">
        <w:rPr>
          <w:rFonts w:ascii="Palatino Linotype" w:hAnsi="Palatino Linotype" w:cs="Tahoma"/>
          <w:bCs/>
          <w:noProof/>
          <w:color w:val="000000" w:themeColor="text1"/>
          <w:sz w:val="24"/>
          <w:szCs w:val="24"/>
        </w:rPr>
        <w:lastRenderedPageBreak/>
        <w:t>Respecto al domicilio fiscal, resulta necesario traer el artículo 10 del Código Fiscal de la Federación, que establece que, tratándose de personas físicas, corresponderá dicho dato:</w:t>
      </w:r>
    </w:p>
    <w:p w:rsidR="003E07E5" w:rsidRPr="00401F3B" w:rsidRDefault="003E07E5" w:rsidP="00773EBE">
      <w:pPr>
        <w:numPr>
          <w:ilvl w:val="0"/>
          <w:numId w:val="8"/>
        </w:numPr>
        <w:spacing w:line="360" w:lineRule="auto"/>
        <w:ind w:left="0" w:firstLine="0"/>
        <w:contextualSpacing/>
        <w:jc w:val="both"/>
        <w:rPr>
          <w:rFonts w:ascii="Palatino Linotype" w:hAnsi="Palatino Linotype" w:cs="Tahoma"/>
          <w:bCs/>
          <w:i/>
          <w:noProof/>
          <w:color w:val="000000" w:themeColor="text1"/>
        </w:rPr>
      </w:pPr>
      <w:r w:rsidRPr="00401F3B">
        <w:rPr>
          <w:rFonts w:ascii="Palatino Linotype" w:hAnsi="Palatino Linotype" w:cs="Tahoma"/>
          <w:bCs/>
          <w:i/>
          <w:noProof/>
          <w:color w:val="000000" w:themeColor="text1"/>
        </w:rPr>
        <w:t>El lugar donde realizan actividades empresariales, el local, en que se encuentre el principal asiente de sus negocios, y</w:t>
      </w:r>
    </w:p>
    <w:p w:rsidR="003E07E5" w:rsidRPr="00401F3B" w:rsidRDefault="003E07E5" w:rsidP="00773EBE">
      <w:pPr>
        <w:numPr>
          <w:ilvl w:val="0"/>
          <w:numId w:val="8"/>
        </w:numPr>
        <w:spacing w:line="360" w:lineRule="auto"/>
        <w:ind w:left="0" w:firstLine="0"/>
        <w:contextualSpacing/>
        <w:jc w:val="both"/>
        <w:rPr>
          <w:rFonts w:ascii="Palatino Linotype" w:hAnsi="Palatino Linotype" w:cs="Tahoma"/>
          <w:bCs/>
          <w:i/>
          <w:noProof/>
          <w:color w:val="000000" w:themeColor="text1"/>
        </w:rPr>
      </w:pPr>
      <w:r w:rsidRPr="00401F3B">
        <w:rPr>
          <w:rFonts w:ascii="Palatino Linotype" w:hAnsi="Palatino Linotype" w:cs="Tahoma"/>
          <w:bCs/>
          <w:i/>
          <w:noProof/>
          <w:color w:val="000000" w:themeColor="text1"/>
        </w:rPr>
        <w:t>La casa habitación, cuando no cuenta con un local o lugar donde realice las acciones previamente señaladas.</w:t>
      </w:r>
    </w:p>
    <w:p w:rsidR="003E07E5" w:rsidRPr="00401F3B" w:rsidRDefault="003E07E5" w:rsidP="00773EBE">
      <w:pPr>
        <w:spacing w:line="360" w:lineRule="auto"/>
        <w:contextualSpacing/>
        <w:jc w:val="both"/>
        <w:rPr>
          <w:rFonts w:ascii="Palatino Linotype" w:hAnsi="Palatino Linotype" w:cs="Tahoma"/>
          <w:bCs/>
          <w:noProof/>
          <w:color w:val="000000" w:themeColor="text1"/>
        </w:rPr>
      </w:pPr>
      <w:r w:rsidRPr="00401F3B">
        <w:rPr>
          <w:rFonts w:ascii="Palatino Linotype" w:hAnsi="Palatino Linotype" w:cs="Tahoma"/>
          <w:bCs/>
          <w:noProof/>
          <w:color w:val="000000" w:themeColor="text1"/>
        </w:rPr>
        <w:t xml:space="preserve"> </w:t>
      </w:r>
    </w:p>
    <w:p w:rsidR="00EE5E9C" w:rsidRPr="00401F3B" w:rsidRDefault="003E07E5" w:rsidP="00773EBE">
      <w:pPr>
        <w:pStyle w:val="Prrafodelista"/>
        <w:numPr>
          <w:ilvl w:val="0"/>
          <w:numId w:val="4"/>
        </w:numPr>
        <w:spacing w:line="360" w:lineRule="auto"/>
        <w:ind w:left="0" w:firstLine="0"/>
        <w:contextualSpacing/>
        <w:jc w:val="both"/>
        <w:rPr>
          <w:rFonts w:ascii="Palatino Linotype" w:hAnsi="Palatino Linotype" w:cs="Tahoma"/>
          <w:bCs/>
          <w:noProof/>
          <w:color w:val="000000" w:themeColor="text1"/>
          <w:sz w:val="24"/>
          <w:szCs w:val="24"/>
        </w:rPr>
      </w:pPr>
      <w:r w:rsidRPr="00401F3B">
        <w:rPr>
          <w:rFonts w:ascii="Palatino Linotype" w:hAnsi="Palatino Linotype" w:cs="Tahoma"/>
          <w:bCs/>
          <w:noProof/>
          <w:color w:val="000000" w:themeColor="text1"/>
          <w:sz w:val="24"/>
          <w:szCs w:val="24"/>
        </w:rPr>
        <w:t>Mientras que, en el caso de personas morales, el domicilio fiscal, corresponderá al local donde se encuentra la administración principal del negocio. Como se logra observar, el domicilio fiscal de los proveedores personas físicas, se encuentra en dos supuestos, por lo que, se procede a su análisis.</w:t>
      </w:r>
    </w:p>
    <w:p w:rsidR="00EE5E9C" w:rsidRPr="00401F3B" w:rsidRDefault="00EE5E9C" w:rsidP="00773EBE">
      <w:pPr>
        <w:pStyle w:val="Prrafodelista"/>
        <w:spacing w:line="360" w:lineRule="auto"/>
        <w:ind w:left="0"/>
        <w:contextualSpacing/>
        <w:jc w:val="both"/>
        <w:rPr>
          <w:rFonts w:ascii="Palatino Linotype" w:hAnsi="Palatino Linotype" w:cs="Tahoma"/>
          <w:bCs/>
          <w:noProof/>
          <w:color w:val="000000" w:themeColor="text1"/>
          <w:sz w:val="24"/>
          <w:szCs w:val="24"/>
        </w:rPr>
      </w:pPr>
    </w:p>
    <w:p w:rsidR="00EE5E9C" w:rsidRPr="00401F3B" w:rsidRDefault="003E07E5" w:rsidP="00773EBE">
      <w:pPr>
        <w:pStyle w:val="Prrafodelista"/>
        <w:numPr>
          <w:ilvl w:val="0"/>
          <w:numId w:val="4"/>
        </w:numPr>
        <w:spacing w:line="360" w:lineRule="auto"/>
        <w:ind w:left="0" w:firstLine="0"/>
        <w:contextualSpacing/>
        <w:jc w:val="both"/>
        <w:rPr>
          <w:rFonts w:ascii="Palatino Linotype" w:hAnsi="Palatino Linotype" w:cs="Tahoma"/>
          <w:bCs/>
          <w:noProof/>
          <w:color w:val="000000" w:themeColor="text1"/>
          <w:sz w:val="24"/>
          <w:szCs w:val="24"/>
        </w:rPr>
      </w:pPr>
      <w:r w:rsidRPr="00401F3B">
        <w:rPr>
          <w:rFonts w:ascii="Palatino Linotype" w:hAnsi="Palatino Linotype" w:cs="Tahoma"/>
          <w:bCs/>
          <w:noProof/>
          <w:color w:val="000000" w:themeColor="text1"/>
          <w:sz w:val="24"/>
          <w:szCs w:val="24"/>
        </w:rPr>
        <w:t>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privada del individuo identificado, no debe dejarse de lado que, aquellas personas que deciden tener relaciones jurídicas o de beneficio de cualquier orbe con las instituciones públicas, tienen una expectativa de privacidad menor, respecto del resto de las personas,  situación que debe ser transparentada.</w:t>
      </w:r>
    </w:p>
    <w:p w:rsidR="00EE5E9C" w:rsidRPr="00401F3B" w:rsidRDefault="00EE5E9C" w:rsidP="00773EBE">
      <w:pPr>
        <w:pStyle w:val="Prrafodelista"/>
        <w:ind w:left="0"/>
        <w:rPr>
          <w:rFonts w:ascii="Palatino Linotype" w:hAnsi="Palatino Linotype" w:cs="Tahoma"/>
          <w:bCs/>
          <w:iCs/>
          <w:noProof/>
          <w:color w:val="000000" w:themeColor="text1"/>
          <w:sz w:val="24"/>
          <w:szCs w:val="24"/>
        </w:rPr>
      </w:pPr>
    </w:p>
    <w:p w:rsidR="00EE5E9C" w:rsidRPr="00401F3B" w:rsidRDefault="003E07E5" w:rsidP="00773EBE">
      <w:pPr>
        <w:pStyle w:val="Prrafodelista"/>
        <w:numPr>
          <w:ilvl w:val="0"/>
          <w:numId w:val="4"/>
        </w:numPr>
        <w:spacing w:line="360" w:lineRule="auto"/>
        <w:ind w:left="0" w:firstLine="0"/>
        <w:contextualSpacing/>
        <w:jc w:val="both"/>
        <w:rPr>
          <w:rFonts w:ascii="Palatino Linotype" w:hAnsi="Palatino Linotype" w:cs="Tahoma"/>
          <w:bCs/>
          <w:noProof/>
          <w:color w:val="000000" w:themeColor="text1"/>
          <w:sz w:val="24"/>
          <w:szCs w:val="24"/>
        </w:rPr>
      </w:pPr>
      <w:r w:rsidRPr="00401F3B">
        <w:rPr>
          <w:rFonts w:ascii="Palatino Linotype" w:hAnsi="Palatino Linotype" w:cs="Tahoma"/>
          <w:bCs/>
          <w:iCs/>
          <w:noProof/>
          <w:color w:val="000000" w:themeColor="text1"/>
          <w:sz w:val="24"/>
          <w:szCs w:val="24"/>
        </w:rPr>
        <w:t xml:space="preserve">Ahora bien, en el caso de que el domicilio corresponda al lugar donde realiza sus actividades empresariales, como es el caso de las personas morales, se considera necesario </w:t>
      </w:r>
      <w:r w:rsidRPr="00401F3B">
        <w:rPr>
          <w:rFonts w:ascii="Palatino Linotype" w:hAnsi="Palatino Linotype" w:cs="Tahoma"/>
          <w:bCs/>
          <w:iCs/>
          <w:noProof/>
          <w:color w:val="000000" w:themeColor="text1"/>
          <w:sz w:val="24"/>
          <w:szCs w:val="24"/>
        </w:rPr>
        <w:lastRenderedPageBreak/>
        <w:t xml:space="preserve">traer a colación, </w:t>
      </w:r>
      <w:r w:rsidRPr="00401F3B">
        <w:rPr>
          <w:rFonts w:ascii="Palatino Linotype" w:hAnsi="Palatino Linotype" w:cs="Tahoma"/>
          <w:bCs/>
          <w:noProof/>
          <w:color w:val="000000" w:themeColor="text1"/>
          <w:sz w:val="24"/>
          <w:szCs w:val="24"/>
        </w:rPr>
        <w:t>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por lo que, es obligación de transparencia proporcionar el domicilio fiscal de los proveedores, por lo que, se considera que, en el caso, de que dicho dato, corresponda a un local o lugar donde realice sus actividades empresariales, se debe entregar.</w:t>
      </w:r>
    </w:p>
    <w:p w:rsidR="00EE5E9C" w:rsidRPr="00401F3B" w:rsidRDefault="00EE5E9C" w:rsidP="00773EBE">
      <w:pPr>
        <w:pStyle w:val="Prrafodelista"/>
        <w:ind w:left="0"/>
        <w:rPr>
          <w:rFonts w:ascii="Palatino Linotype" w:hAnsi="Palatino Linotype"/>
          <w:color w:val="000000" w:themeColor="text1"/>
          <w:sz w:val="24"/>
          <w:szCs w:val="24"/>
        </w:rPr>
      </w:pPr>
    </w:p>
    <w:p w:rsidR="00EE5E9C" w:rsidRPr="00401F3B" w:rsidRDefault="003E07E5" w:rsidP="00773EBE">
      <w:pPr>
        <w:pStyle w:val="Prrafodelista"/>
        <w:numPr>
          <w:ilvl w:val="0"/>
          <w:numId w:val="4"/>
        </w:numPr>
        <w:spacing w:line="360" w:lineRule="auto"/>
        <w:ind w:left="0" w:firstLine="0"/>
        <w:contextualSpacing/>
        <w:jc w:val="both"/>
        <w:rPr>
          <w:rFonts w:ascii="Palatino Linotype" w:hAnsi="Palatino Linotype" w:cs="Tahoma"/>
          <w:bCs/>
          <w:noProof/>
          <w:color w:val="000000" w:themeColor="text1"/>
          <w:sz w:val="24"/>
          <w:szCs w:val="24"/>
        </w:rPr>
      </w:pPr>
      <w:r w:rsidRPr="00401F3B">
        <w:rPr>
          <w:rFonts w:ascii="Palatino Linotype" w:hAnsi="Palatino Linotype"/>
          <w:color w:val="000000" w:themeColor="text1"/>
          <w:sz w:val="24"/>
          <w:szCs w:val="24"/>
        </w:rPr>
        <w:t xml:space="preserve">Por cuanto hace al </w:t>
      </w:r>
      <w:r w:rsidRPr="00401F3B">
        <w:rPr>
          <w:rFonts w:ascii="Palatino Linotype" w:hAnsi="Palatino Linotype"/>
          <w:b/>
          <w:color w:val="000000" w:themeColor="text1"/>
          <w:sz w:val="24"/>
          <w:szCs w:val="24"/>
        </w:rPr>
        <w:t>Número de Cédula Profesional</w:t>
      </w:r>
      <w:r w:rsidRPr="00401F3B">
        <w:rPr>
          <w:rFonts w:ascii="Palatino Linotype" w:hAnsi="Palatino Linotype"/>
          <w:color w:val="000000" w:themeColor="text1"/>
          <w:sz w:val="24"/>
          <w:szCs w:val="24"/>
        </w:rPr>
        <w:t>, es un dato que es susceptible de consulta en el Registro Nacional de Profesiones que se localiza en la página electrónica de la Secretaría de Educación Pública y/o equivalente de las entidades federativas, es decir, es un dato que obra en registros públicos</w:t>
      </w:r>
      <w:r w:rsidRPr="00401F3B">
        <w:rPr>
          <w:rFonts w:ascii="Palatino Linotype" w:hAnsi="Palatino Linotype"/>
          <w:b/>
          <w:color w:val="000000" w:themeColor="text1"/>
          <w:sz w:val="24"/>
          <w:szCs w:val="24"/>
        </w:rPr>
        <w:t xml:space="preserve">, no susceptible de actualizar causal alguna de clasificación, </w:t>
      </w:r>
      <w:r w:rsidRPr="00401F3B">
        <w:rPr>
          <w:rFonts w:ascii="Palatino Linotype" w:hAnsi="Palatino Linotype"/>
          <w:color w:val="000000" w:themeColor="text1"/>
          <w:sz w:val="24"/>
          <w:szCs w:val="24"/>
        </w:rPr>
        <w:t xml:space="preserve"> por lo que de dicha consulta es posible conocer también el nombre del profesionista relacionado a tal número de cédula;  constituye por tanto dentro del contrato de compra de los bienes adquiridos por el ayuntamiento un medio de dar certeza respecto a que los estados financieros presentados como requisito para la celebración del contrato hayan sido procesados por un profesional en la materia.</w:t>
      </w:r>
    </w:p>
    <w:p w:rsidR="00EE5E9C" w:rsidRPr="00401F3B" w:rsidRDefault="00EE5E9C" w:rsidP="00773EBE">
      <w:pPr>
        <w:pStyle w:val="Prrafodelista"/>
        <w:ind w:left="0"/>
        <w:rPr>
          <w:rFonts w:ascii="Palatino Linotype" w:hAnsi="Palatino Linotype" w:cs="Arial"/>
          <w:color w:val="000000" w:themeColor="text1"/>
          <w:sz w:val="24"/>
          <w:szCs w:val="24"/>
        </w:rPr>
      </w:pPr>
    </w:p>
    <w:p w:rsidR="003E07E5" w:rsidRPr="00401F3B" w:rsidRDefault="003E07E5" w:rsidP="00773EBE">
      <w:pPr>
        <w:pStyle w:val="Prrafodelista"/>
        <w:numPr>
          <w:ilvl w:val="0"/>
          <w:numId w:val="4"/>
        </w:numPr>
        <w:spacing w:line="360" w:lineRule="auto"/>
        <w:ind w:left="0" w:firstLine="0"/>
        <w:contextualSpacing/>
        <w:jc w:val="both"/>
        <w:rPr>
          <w:rFonts w:ascii="Palatino Linotype" w:hAnsi="Palatino Linotype" w:cs="Tahoma"/>
          <w:bCs/>
          <w:noProof/>
          <w:color w:val="000000" w:themeColor="text1"/>
          <w:sz w:val="24"/>
          <w:szCs w:val="24"/>
        </w:rPr>
      </w:pPr>
      <w:r w:rsidRPr="00401F3B">
        <w:rPr>
          <w:rFonts w:ascii="Palatino Linotype" w:hAnsi="Palatino Linotype" w:cs="Arial"/>
          <w:color w:val="000000" w:themeColor="text1"/>
          <w:sz w:val="24"/>
          <w:szCs w:val="24"/>
        </w:rPr>
        <w:t xml:space="preserve">La Credencial para Votar constituyen datos personales el nombre, domicilio, huella digital, fotografía del elector, clave de registro o elector, Clave Única del Registro de Población y firma, tal como se refiere en el artículo 156 numeral 1, incisos d), g) e i) de la Ley General de Instituciones y Procedimientos Electorales que enlista los datos que, cuando menos, debe contener la credencial para votar, como son: </w:t>
      </w:r>
    </w:p>
    <w:p w:rsidR="003E07E5" w:rsidRPr="00401F3B" w:rsidRDefault="003E07E5" w:rsidP="00773EBE">
      <w:pPr>
        <w:tabs>
          <w:tab w:val="left" w:pos="8222"/>
        </w:tabs>
        <w:jc w:val="both"/>
        <w:rPr>
          <w:rFonts w:ascii="Palatino Linotype" w:hAnsi="Palatino Linotype" w:cs="Arial"/>
          <w:i/>
          <w:color w:val="000000" w:themeColor="text1"/>
        </w:rPr>
      </w:pPr>
      <w:r w:rsidRPr="00401F3B">
        <w:rPr>
          <w:rFonts w:ascii="Palatino Linotype" w:hAnsi="Palatino Linotype" w:cs="Arial"/>
          <w:i/>
          <w:color w:val="000000" w:themeColor="text1"/>
        </w:rPr>
        <w:lastRenderedPageBreak/>
        <w:t>“</w:t>
      </w:r>
      <w:r w:rsidRPr="00401F3B">
        <w:rPr>
          <w:rFonts w:ascii="Palatino Linotype" w:hAnsi="Palatino Linotype" w:cs="Arial"/>
          <w:b/>
          <w:i/>
          <w:color w:val="000000" w:themeColor="text1"/>
        </w:rPr>
        <w:t>Artículo 156</w:t>
      </w:r>
      <w:r w:rsidRPr="00401F3B">
        <w:rPr>
          <w:rFonts w:ascii="Palatino Linotype" w:hAnsi="Palatino Linotype" w:cs="Arial"/>
          <w:i/>
          <w:color w:val="000000" w:themeColor="text1"/>
        </w:rPr>
        <w:t>.</w:t>
      </w:r>
    </w:p>
    <w:p w:rsidR="003E07E5" w:rsidRPr="00401F3B" w:rsidRDefault="003E07E5" w:rsidP="00773EBE">
      <w:pPr>
        <w:tabs>
          <w:tab w:val="left" w:pos="8222"/>
        </w:tabs>
        <w:jc w:val="both"/>
        <w:rPr>
          <w:rFonts w:ascii="Palatino Linotype" w:hAnsi="Palatino Linotype" w:cs="Arial"/>
          <w:i/>
          <w:color w:val="000000" w:themeColor="text1"/>
        </w:rPr>
      </w:pPr>
      <w:r w:rsidRPr="00401F3B">
        <w:rPr>
          <w:rFonts w:ascii="Palatino Linotype" w:hAnsi="Palatino Linotype" w:cs="Arial"/>
          <w:b/>
          <w:i/>
          <w:color w:val="000000" w:themeColor="text1"/>
        </w:rPr>
        <w:t>1.</w:t>
      </w:r>
      <w:r w:rsidRPr="00401F3B">
        <w:rPr>
          <w:rFonts w:ascii="Palatino Linotype" w:hAnsi="Palatino Linotype" w:cs="Arial"/>
          <w:i/>
          <w:color w:val="000000" w:themeColor="text1"/>
        </w:rPr>
        <w:t xml:space="preserve"> </w:t>
      </w:r>
      <w:r w:rsidRPr="00401F3B">
        <w:rPr>
          <w:rFonts w:ascii="Palatino Linotype" w:hAnsi="Palatino Linotype" w:cs="Arial"/>
          <w:b/>
          <w:i/>
          <w:color w:val="000000" w:themeColor="text1"/>
          <w:u w:val="single"/>
        </w:rPr>
        <w:t>La credencial para votar deberá contener, cuando menos, los siguientes datos del elector</w:t>
      </w:r>
      <w:r w:rsidRPr="00401F3B">
        <w:rPr>
          <w:rFonts w:ascii="Palatino Linotype" w:hAnsi="Palatino Linotype" w:cs="Arial"/>
          <w:i/>
          <w:color w:val="000000" w:themeColor="text1"/>
        </w:rPr>
        <w:t>:</w:t>
      </w:r>
    </w:p>
    <w:p w:rsidR="003E07E5" w:rsidRPr="00401F3B" w:rsidRDefault="003E07E5" w:rsidP="00773EBE">
      <w:pPr>
        <w:tabs>
          <w:tab w:val="left" w:pos="8222"/>
        </w:tabs>
        <w:jc w:val="both"/>
        <w:rPr>
          <w:rFonts w:ascii="Palatino Linotype" w:hAnsi="Palatino Linotype" w:cs="Arial"/>
          <w:i/>
          <w:color w:val="000000" w:themeColor="text1"/>
        </w:rPr>
      </w:pPr>
      <w:r w:rsidRPr="00401F3B">
        <w:rPr>
          <w:rFonts w:ascii="Palatino Linotype" w:hAnsi="Palatino Linotype" w:cs="Arial"/>
          <w:i/>
          <w:color w:val="000000" w:themeColor="text1"/>
        </w:rPr>
        <w:t>…</w:t>
      </w:r>
    </w:p>
    <w:p w:rsidR="003E07E5" w:rsidRPr="00401F3B" w:rsidRDefault="003E07E5" w:rsidP="00773EBE">
      <w:pPr>
        <w:tabs>
          <w:tab w:val="left" w:pos="8222"/>
        </w:tabs>
        <w:jc w:val="both"/>
        <w:rPr>
          <w:rFonts w:ascii="Palatino Linotype" w:hAnsi="Palatino Linotype" w:cs="Arial"/>
          <w:i/>
          <w:color w:val="000000" w:themeColor="text1"/>
        </w:rPr>
      </w:pPr>
      <w:r w:rsidRPr="00401F3B">
        <w:rPr>
          <w:rFonts w:ascii="Palatino Linotype" w:hAnsi="Palatino Linotype" w:cs="Arial"/>
          <w:i/>
          <w:color w:val="000000" w:themeColor="text1"/>
        </w:rPr>
        <w:t xml:space="preserve">d) </w:t>
      </w:r>
      <w:r w:rsidRPr="00401F3B">
        <w:rPr>
          <w:rFonts w:ascii="Palatino Linotype" w:hAnsi="Palatino Linotype" w:cs="Arial"/>
          <w:b/>
          <w:i/>
          <w:color w:val="000000" w:themeColor="text1"/>
          <w:u w:val="single"/>
        </w:rPr>
        <w:t>Domicilio</w:t>
      </w:r>
      <w:r w:rsidRPr="00401F3B">
        <w:rPr>
          <w:rFonts w:ascii="Palatino Linotype" w:hAnsi="Palatino Linotype" w:cs="Arial"/>
          <w:i/>
          <w:color w:val="000000" w:themeColor="text1"/>
        </w:rPr>
        <w:t>;</w:t>
      </w:r>
    </w:p>
    <w:p w:rsidR="003E07E5" w:rsidRPr="00401F3B" w:rsidRDefault="003E07E5" w:rsidP="00773EBE">
      <w:pPr>
        <w:tabs>
          <w:tab w:val="left" w:pos="8222"/>
        </w:tabs>
        <w:jc w:val="both"/>
        <w:rPr>
          <w:rFonts w:ascii="Palatino Linotype" w:hAnsi="Palatino Linotype" w:cs="Arial"/>
          <w:i/>
          <w:color w:val="000000" w:themeColor="text1"/>
        </w:rPr>
      </w:pPr>
      <w:r w:rsidRPr="00401F3B">
        <w:rPr>
          <w:rFonts w:ascii="Palatino Linotype" w:hAnsi="Palatino Linotype" w:cs="Arial"/>
          <w:i/>
          <w:color w:val="000000" w:themeColor="text1"/>
        </w:rPr>
        <w:t>…</w:t>
      </w:r>
    </w:p>
    <w:p w:rsidR="003E07E5" w:rsidRPr="00401F3B" w:rsidRDefault="003E07E5" w:rsidP="00773EBE">
      <w:pPr>
        <w:tabs>
          <w:tab w:val="left" w:pos="8222"/>
        </w:tabs>
        <w:jc w:val="both"/>
        <w:rPr>
          <w:rFonts w:ascii="Palatino Linotype" w:hAnsi="Palatino Linotype" w:cs="Arial"/>
          <w:i/>
          <w:color w:val="000000" w:themeColor="text1"/>
        </w:rPr>
      </w:pPr>
      <w:r w:rsidRPr="00401F3B">
        <w:rPr>
          <w:rFonts w:ascii="Palatino Linotype" w:hAnsi="Palatino Linotype" w:cs="Arial"/>
          <w:i/>
          <w:color w:val="000000" w:themeColor="text1"/>
        </w:rPr>
        <w:t xml:space="preserve">g) </w:t>
      </w:r>
      <w:r w:rsidRPr="00401F3B">
        <w:rPr>
          <w:rFonts w:ascii="Palatino Linotype" w:hAnsi="Palatino Linotype" w:cs="Arial"/>
          <w:b/>
          <w:i/>
          <w:color w:val="000000" w:themeColor="text1"/>
        </w:rPr>
        <w:t>Firma</w:t>
      </w:r>
      <w:r w:rsidRPr="00401F3B">
        <w:rPr>
          <w:rFonts w:ascii="Palatino Linotype" w:hAnsi="Palatino Linotype" w:cs="Arial"/>
          <w:i/>
          <w:color w:val="000000" w:themeColor="text1"/>
        </w:rPr>
        <w:t xml:space="preserve">, </w:t>
      </w:r>
      <w:r w:rsidRPr="00401F3B">
        <w:rPr>
          <w:rFonts w:ascii="Palatino Linotype" w:hAnsi="Palatino Linotype" w:cs="Arial"/>
          <w:b/>
          <w:i/>
          <w:color w:val="000000" w:themeColor="text1"/>
          <w:u w:val="single"/>
        </w:rPr>
        <w:t>huella digital</w:t>
      </w:r>
      <w:r w:rsidRPr="00401F3B">
        <w:rPr>
          <w:rFonts w:ascii="Palatino Linotype" w:hAnsi="Palatino Linotype" w:cs="Arial"/>
          <w:i/>
          <w:color w:val="000000" w:themeColor="text1"/>
        </w:rPr>
        <w:t xml:space="preserve"> y </w:t>
      </w:r>
      <w:r w:rsidRPr="00401F3B">
        <w:rPr>
          <w:rFonts w:ascii="Palatino Linotype" w:hAnsi="Palatino Linotype" w:cs="Arial"/>
          <w:b/>
          <w:i/>
          <w:color w:val="000000" w:themeColor="text1"/>
          <w:u w:val="single"/>
        </w:rPr>
        <w:t>fotografía del elector</w:t>
      </w:r>
      <w:r w:rsidRPr="00401F3B">
        <w:rPr>
          <w:rFonts w:ascii="Palatino Linotype" w:hAnsi="Palatino Linotype" w:cs="Arial"/>
          <w:i/>
          <w:color w:val="000000" w:themeColor="text1"/>
        </w:rPr>
        <w:t>;</w:t>
      </w:r>
    </w:p>
    <w:p w:rsidR="003E07E5" w:rsidRPr="00401F3B" w:rsidRDefault="003E07E5" w:rsidP="00773EBE">
      <w:pPr>
        <w:tabs>
          <w:tab w:val="left" w:pos="8222"/>
        </w:tabs>
        <w:jc w:val="both"/>
        <w:rPr>
          <w:rFonts w:ascii="Palatino Linotype" w:hAnsi="Palatino Linotype" w:cs="Arial"/>
          <w:i/>
          <w:color w:val="000000" w:themeColor="text1"/>
        </w:rPr>
      </w:pPr>
      <w:r w:rsidRPr="00401F3B">
        <w:rPr>
          <w:rFonts w:ascii="Palatino Linotype" w:hAnsi="Palatino Linotype" w:cs="Arial"/>
          <w:i/>
          <w:color w:val="000000" w:themeColor="text1"/>
        </w:rPr>
        <w:t>…</w:t>
      </w:r>
    </w:p>
    <w:p w:rsidR="003E07E5" w:rsidRPr="00401F3B" w:rsidRDefault="003E07E5" w:rsidP="00773EBE">
      <w:pPr>
        <w:tabs>
          <w:tab w:val="left" w:pos="8222"/>
        </w:tabs>
        <w:jc w:val="both"/>
        <w:rPr>
          <w:rFonts w:ascii="Palatino Linotype" w:hAnsi="Palatino Linotype" w:cs="Arial"/>
          <w:i/>
          <w:color w:val="000000" w:themeColor="text1"/>
        </w:rPr>
      </w:pPr>
      <w:r w:rsidRPr="00401F3B">
        <w:rPr>
          <w:rFonts w:ascii="Palatino Linotype" w:hAnsi="Palatino Linotype" w:cs="Arial"/>
          <w:i/>
          <w:color w:val="000000" w:themeColor="text1"/>
        </w:rPr>
        <w:t xml:space="preserve">i) </w:t>
      </w:r>
      <w:r w:rsidRPr="00401F3B">
        <w:rPr>
          <w:rFonts w:ascii="Palatino Linotype" w:hAnsi="Palatino Linotype" w:cs="Arial"/>
          <w:b/>
          <w:i/>
          <w:color w:val="000000" w:themeColor="text1"/>
          <w:u w:val="single"/>
        </w:rPr>
        <w:t>Clave Única del Registro de Población</w:t>
      </w:r>
      <w:r w:rsidRPr="00401F3B">
        <w:rPr>
          <w:rFonts w:ascii="Palatino Linotype" w:hAnsi="Palatino Linotype" w:cs="Arial"/>
          <w:i/>
          <w:color w:val="000000" w:themeColor="text1"/>
        </w:rPr>
        <w:t>. ” (Sic)</w:t>
      </w:r>
    </w:p>
    <w:p w:rsidR="003E07E5" w:rsidRPr="00401F3B" w:rsidRDefault="003E07E5" w:rsidP="00773EBE">
      <w:pPr>
        <w:tabs>
          <w:tab w:val="left" w:pos="8222"/>
        </w:tabs>
        <w:jc w:val="both"/>
        <w:rPr>
          <w:rFonts w:ascii="Palatino Linotype" w:hAnsi="Palatino Linotype" w:cs="Arial"/>
          <w:i/>
          <w:color w:val="000000" w:themeColor="text1"/>
        </w:rPr>
      </w:pPr>
    </w:p>
    <w:p w:rsidR="003E07E5" w:rsidRPr="00401F3B" w:rsidRDefault="003E07E5" w:rsidP="00773EBE">
      <w:pPr>
        <w:tabs>
          <w:tab w:val="left" w:pos="8222"/>
        </w:tabs>
        <w:jc w:val="both"/>
        <w:rPr>
          <w:rFonts w:ascii="Palatino Linotype" w:hAnsi="Palatino Linotype" w:cs="Arial"/>
          <w:i/>
          <w:color w:val="000000" w:themeColor="text1"/>
        </w:rPr>
      </w:pPr>
      <w:r w:rsidRPr="00401F3B">
        <w:rPr>
          <w:rFonts w:ascii="Palatino Linotype" w:hAnsi="Palatino Linotype" w:cs="Arial"/>
          <w:i/>
          <w:color w:val="000000" w:themeColor="text1"/>
        </w:rPr>
        <w:t>Énfasis añadido.</w:t>
      </w:r>
    </w:p>
    <w:p w:rsidR="003E07E5" w:rsidRPr="00401F3B" w:rsidRDefault="003E07E5" w:rsidP="00773EBE">
      <w:pPr>
        <w:tabs>
          <w:tab w:val="left" w:pos="8222"/>
        </w:tabs>
        <w:jc w:val="both"/>
        <w:rPr>
          <w:rFonts w:ascii="Palatino Linotype" w:hAnsi="Palatino Linotype" w:cs="Arial"/>
          <w:i/>
          <w:color w:val="000000" w:themeColor="text1"/>
        </w:rPr>
      </w:pPr>
    </w:p>
    <w:p w:rsidR="003E07E5" w:rsidRPr="00401F3B" w:rsidRDefault="003E07E5" w:rsidP="00773EBE">
      <w:pPr>
        <w:pStyle w:val="Prrafodelista"/>
        <w:numPr>
          <w:ilvl w:val="0"/>
          <w:numId w:val="4"/>
        </w:numPr>
        <w:spacing w:before="240" w:after="240" w:line="360" w:lineRule="auto"/>
        <w:ind w:left="0" w:firstLine="0"/>
        <w:contextualSpacing/>
        <w:jc w:val="both"/>
        <w:rPr>
          <w:rFonts w:ascii="Palatino Linotype" w:hAnsi="Palatino Linotype" w:cs="Arial"/>
          <w:color w:val="000000" w:themeColor="text1"/>
          <w:sz w:val="24"/>
          <w:szCs w:val="24"/>
        </w:rPr>
      </w:pPr>
      <w:r w:rsidRPr="00401F3B">
        <w:rPr>
          <w:rFonts w:ascii="Palatino Linotype" w:hAnsi="Palatino Linotype" w:cs="Arial"/>
          <w:color w:val="000000" w:themeColor="text1"/>
          <w:sz w:val="24"/>
          <w:szCs w:val="24"/>
        </w:rPr>
        <w:t>Así, el conocimiento de dichos datos afecta la esfera más íntima de su Titular, en razón de que su utilización indebida pueda dar origen a un riesgo grave para éste.</w:t>
      </w:r>
    </w:p>
    <w:p w:rsidR="003E07E5" w:rsidRPr="00401F3B" w:rsidRDefault="003E07E5" w:rsidP="00773EBE">
      <w:pPr>
        <w:spacing w:before="240" w:after="240"/>
        <w:jc w:val="both"/>
        <w:rPr>
          <w:rFonts w:ascii="Palatino Linotype" w:hAnsi="Palatino Linotype" w:cs="Arial"/>
          <w:color w:val="000000" w:themeColor="text1"/>
        </w:rPr>
      </w:pPr>
    </w:p>
    <w:p w:rsidR="003E07E5" w:rsidRPr="00401F3B" w:rsidRDefault="003E07E5" w:rsidP="00773EBE">
      <w:pPr>
        <w:pStyle w:val="Prrafodelista"/>
        <w:numPr>
          <w:ilvl w:val="0"/>
          <w:numId w:val="4"/>
        </w:numPr>
        <w:spacing w:before="240" w:after="240" w:line="360" w:lineRule="auto"/>
        <w:ind w:left="0" w:firstLine="0"/>
        <w:contextualSpacing/>
        <w:jc w:val="both"/>
        <w:rPr>
          <w:rFonts w:ascii="Palatino Linotype" w:hAnsi="Palatino Linotype" w:cs="Arial"/>
          <w:color w:val="000000" w:themeColor="text1"/>
          <w:sz w:val="24"/>
          <w:szCs w:val="24"/>
        </w:rPr>
      </w:pPr>
      <w:r w:rsidRPr="00401F3B">
        <w:rPr>
          <w:rFonts w:ascii="Palatino Linotype" w:hAnsi="Palatino Linotype" w:cs="Arial"/>
          <w:color w:val="000000" w:themeColor="text1"/>
          <w:sz w:val="24"/>
          <w:szCs w:val="24"/>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3E07E5" w:rsidRPr="00401F3B" w:rsidRDefault="003E07E5" w:rsidP="00773EBE">
      <w:pPr>
        <w:spacing w:before="240" w:after="240" w:line="360" w:lineRule="auto"/>
        <w:jc w:val="center"/>
        <w:rPr>
          <w:rFonts w:ascii="Palatino Linotype" w:hAnsi="Palatino Linotype" w:cs="Arial"/>
          <w:color w:val="000000" w:themeColor="text1"/>
        </w:rPr>
      </w:pPr>
      <w:r w:rsidRPr="00401F3B">
        <w:rPr>
          <w:rFonts w:ascii="Palatino Linotype" w:hAnsi="Palatino Linotype"/>
          <w:noProof/>
          <w:color w:val="000000" w:themeColor="text1"/>
        </w:rPr>
        <w:lastRenderedPageBreak/>
        <mc:AlternateContent>
          <mc:Choice Requires="wps">
            <w:drawing>
              <wp:anchor distT="0" distB="0" distL="114300" distR="114300" simplePos="0" relativeHeight="251664384" behindDoc="0" locked="0" layoutInCell="1" allowOverlap="1" wp14:anchorId="75A2A1E9" wp14:editId="7B2A6512">
                <wp:simplePos x="0" y="0"/>
                <wp:positionH relativeFrom="column">
                  <wp:posOffset>978611</wp:posOffset>
                </wp:positionH>
                <wp:positionV relativeFrom="paragraph">
                  <wp:posOffset>1639443</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8F30A2" id="Conector recto 3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05pt,129.1pt" to="343.6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" strokecolor="red" strokeweight="1pt">
                <v:stroke joinstyle="miter"/>
              </v:line>
            </w:pict>
          </mc:Fallback>
        </mc:AlternateContent>
      </w:r>
      <w:r w:rsidRPr="00401F3B">
        <w:rPr>
          <w:rFonts w:ascii="Palatino Linotype" w:hAnsi="Palatino Linotype"/>
          <w:noProof/>
          <w:color w:val="000000" w:themeColor="text1"/>
        </w:rPr>
        <w:drawing>
          <wp:inline distT="0" distB="0" distL="0" distR="0" wp14:anchorId="24746671" wp14:editId="208ABD1E">
            <wp:extent cx="3802079" cy="1890065"/>
            <wp:effectExtent l="19050" t="19050" r="27305" b="152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760"/>
                    <a:stretch/>
                  </pic:blipFill>
                  <pic:spPr bwMode="auto">
                    <a:xfrm>
                      <a:off x="0" y="0"/>
                      <a:ext cx="3880778" cy="192918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3E07E5" w:rsidRPr="00401F3B" w:rsidRDefault="003E07E5" w:rsidP="00773EBE">
      <w:pPr>
        <w:pStyle w:val="Prrafodelista"/>
        <w:numPr>
          <w:ilvl w:val="0"/>
          <w:numId w:val="4"/>
        </w:numPr>
        <w:spacing w:before="240" w:after="240" w:line="360" w:lineRule="auto"/>
        <w:ind w:left="0" w:firstLine="0"/>
        <w:contextualSpacing/>
        <w:jc w:val="both"/>
        <w:rPr>
          <w:rFonts w:ascii="Palatino Linotype" w:hAnsi="Palatino Linotype" w:cs="Arial"/>
          <w:color w:val="000000" w:themeColor="text1"/>
          <w:sz w:val="24"/>
          <w:szCs w:val="24"/>
        </w:rPr>
      </w:pPr>
      <w:r w:rsidRPr="00401F3B">
        <w:rPr>
          <w:rFonts w:ascii="Palatino Linotype" w:hAnsi="Palatino Linotype" w:cs="Arial"/>
          <w:color w:val="000000" w:themeColor="text1"/>
          <w:sz w:val="24"/>
          <w:szCs w:val="24"/>
        </w:rPr>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http://portalanterior.ine.mx/archivos2/portal/credencial/pdf-credencial/ABC_credenciales_ INE_2015.pdf, como se muestra a continuación, en su parte medular: </w:t>
      </w:r>
    </w:p>
    <w:p w:rsidR="003E07E5" w:rsidRPr="00401F3B" w:rsidRDefault="003E07E5" w:rsidP="00773EBE">
      <w:pPr>
        <w:spacing w:before="240" w:after="240" w:line="360" w:lineRule="auto"/>
        <w:jc w:val="center"/>
        <w:rPr>
          <w:rFonts w:ascii="Palatino Linotype" w:hAnsi="Palatino Linotype" w:cs="Arial"/>
          <w:color w:val="000000" w:themeColor="text1"/>
        </w:rPr>
      </w:pPr>
      <w:r w:rsidRPr="00401F3B">
        <w:rPr>
          <w:rFonts w:ascii="Palatino Linotype" w:hAnsi="Palatino Linotype"/>
          <w:noProof/>
          <w:color w:val="000000" w:themeColor="text1"/>
        </w:rPr>
        <mc:AlternateContent>
          <mc:Choice Requires="wps">
            <w:drawing>
              <wp:anchor distT="0" distB="0" distL="114300" distR="114300" simplePos="0" relativeHeight="251663360" behindDoc="0" locked="0" layoutInCell="1" allowOverlap="1" wp14:anchorId="0585E6FE" wp14:editId="7CFB4F7F">
                <wp:simplePos x="0" y="0"/>
                <wp:positionH relativeFrom="margin">
                  <wp:posOffset>529662</wp:posOffset>
                </wp:positionH>
                <wp:positionV relativeFrom="paragraph">
                  <wp:posOffset>821690</wp:posOffset>
                </wp:positionV>
                <wp:extent cx="764274" cy="525439"/>
                <wp:effectExtent l="57150" t="38100" r="74295" b="103505"/>
                <wp:wrapNone/>
                <wp:docPr id="36" name="Rectángulo 36"/>
                <wp:cNvGraphicFramePr/>
                <a:graphic xmlns:a="http://schemas.openxmlformats.org/drawingml/2006/main">
                  <a:graphicData uri="http://schemas.microsoft.com/office/word/2010/wordprocessingShape">
                    <wps:wsp>
                      <wps:cNvSpPr/>
                      <wps:spPr>
                        <a:xfrm>
                          <a:off x="0" y="0"/>
                          <a:ext cx="764274" cy="52543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CDBBF" id="Rectángulo 36" o:spid="_x0000_s1026" style="position:absolute;margin-left:41.7pt;margin-top:64.7pt;width:60.2pt;height:41.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" filled="f" strokecolor="red" strokeweight="1.5pt">
                <w10:wrap anchorx="margin"/>
              </v:rect>
            </w:pict>
          </mc:Fallback>
        </mc:AlternateContent>
      </w:r>
      <w:r w:rsidRPr="00401F3B">
        <w:rPr>
          <w:rFonts w:ascii="Palatino Linotype" w:hAnsi="Palatino Linotype"/>
          <w:noProof/>
          <w:color w:val="000000" w:themeColor="text1"/>
        </w:rPr>
        <mc:AlternateContent>
          <mc:Choice Requires="wps">
            <w:drawing>
              <wp:anchor distT="0" distB="0" distL="114300" distR="114300" simplePos="0" relativeHeight="251662336" behindDoc="0" locked="0" layoutInCell="1" allowOverlap="1" wp14:anchorId="5025C84D" wp14:editId="548213E7">
                <wp:simplePos x="0" y="0"/>
                <wp:positionH relativeFrom="margin">
                  <wp:posOffset>1299845</wp:posOffset>
                </wp:positionH>
                <wp:positionV relativeFrom="paragraph">
                  <wp:posOffset>307315</wp:posOffset>
                </wp:positionV>
                <wp:extent cx="2688609" cy="298450"/>
                <wp:effectExtent l="0" t="0" r="16510" b="25400"/>
                <wp:wrapNone/>
                <wp:docPr id="13" name="Rectángulo 13"/>
                <wp:cNvGraphicFramePr/>
                <a:graphic xmlns:a="http://schemas.openxmlformats.org/drawingml/2006/main">
                  <a:graphicData uri="http://schemas.microsoft.com/office/word/2010/wordprocessingShape">
                    <wps:wsp>
                      <wps:cNvSpPr/>
                      <wps:spPr>
                        <a:xfrm>
                          <a:off x="0" y="0"/>
                          <a:ext cx="2688609" cy="2984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50BBD" id="Rectángulo 13" o:spid="_x0000_s1026" style="position:absolute;margin-left:102.35pt;margin-top:24.2pt;width:211.7pt;height: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" filled="f" strokecolor="red" strokeweight="1.5pt">
                <w10:wrap anchorx="margin"/>
              </v:rect>
            </w:pict>
          </mc:Fallback>
        </mc:AlternateContent>
      </w:r>
      <w:r w:rsidRPr="00401F3B">
        <w:rPr>
          <w:rFonts w:ascii="Palatino Linotype" w:hAnsi="Palatino Linotype"/>
          <w:noProof/>
          <w:color w:val="000000" w:themeColor="text1"/>
        </w:rPr>
        <w:drawing>
          <wp:inline distT="0" distB="0" distL="0" distR="0" wp14:anchorId="1D426E45" wp14:editId="188D0F61">
            <wp:extent cx="5353050" cy="19619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86320" cy="1974159"/>
                    </a:xfrm>
                    <a:prstGeom prst="rect">
                      <a:avLst/>
                    </a:prstGeom>
                  </pic:spPr>
                </pic:pic>
              </a:graphicData>
            </a:graphic>
          </wp:inline>
        </w:drawing>
      </w:r>
    </w:p>
    <w:p w:rsidR="003E07E5" w:rsidRPr="00401F3B" w:rsidRDefault="006C0051" w:rsidP="00773EBE">
      <w:pPr>
        <w:widowControl w:val="0"/>
        <w:autoSpaceDE w:val="0"/>
        <w:autoSpaceDN w:val="0"/>
        <w:adjustRightInd w:val="0"/>
        <w:spacing w:before="240" w:after="240" w:line="360" w:lineRule="auto"/>
        <w:jc w:val="center"/>
        <w:rPr>
          <w:rFonts w:ascii="Palatino Linotype" w:hAnsi="Palatino Linotype" w:cs="Arial"/>
          <w:color w:val="000000" w:themeColor="text1"/>
        </w:rPr>
      </w:pPr>
      <w:r w:rsidRPr="00401F3B">
        <w:rPr>
          <w:rFonts w:ascii="Palatino Linotype" w:hAnsi="Palatino Linotype"/>
          <w:noProof/>
          <w:color w:val="000000" w:themeColor="text1"/>
        </w:rPr>
        <w:lastRenderedPageBreak/>
        <mc:AlternateContent>
          <mc:Choice Requires="wps">
            <w:drawing>
              <wp:anchor distT="0" distB="0" distL="114300" distR="114300" simplePos="0" relativeHeight="251659264" behindDoc="0" locked="0" layoutInCell="1" allowOverlap="1" wp14:anchorId="7693CC8F" wp14:editId="1F1B7F5D">
                <wp:simplePos x="0" y="0"/>
                <wp:positionH relativeFrom="margin">
                  <wp:posOffset>1382898</wp:posOffset>
                </wp:positionH>
                <wp:positionV relativeFrom="paragraph">
                  <wp:posOffset>275387</wp:posOffset>
                </wp:positionV>
                <wp:extent cx="2504364" cy="450376"/>
                <wp:effectExtent l="57150" t="38100" r="67945" b="102235"/>
                <wp:wrapNone/>
                <wp:docPr id="31" name="Rectángulo 31"/>
                <wp:cNvGraphicFramePr/>
                <a:graphic xmlns:a="http://schemas.openxmlformats.org/drawingml/2006/main">
                  <a:graphicData uri="http://schemas.microsoft.com/office/word/2010/wordprocessingShape">
                    <wps:wsp>
                      <wps:cNvSpPr/>
                      <wps:spPr>
                        <a:xfrm>
                          <a:off x="0" y="0"/>
                          <a:ext cx="2504364" cy="45037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F533E" id="Rectángulo 31" o:spid="_x0000_s1026" style="position:absolute;margin-left:108.9pt;margin-top:21.7pt;width:197.2pt;height:35.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" filled="f" strokecolor="red" strokeweight="1.5pt">
                <w10:wrap anchorx="margin"/>
              </v:rect>
            </w:pict>
          </mc:Fallback>
        </mc:AlternateContent>
      </w:r>
      <w:r w:rsidRPr="00401F3B">
        <w:rPr>
          <w:rFonts w:ascii="Palatino Linotype" w:hAnsi="Palatino Linotype"/>
          <w:noProof/>
          <w:color w:val="000000" w:themeColor="text1"/>
        </w:rPr>
        <mc:AlternateContent>
          <mc:Choice Requires="wps">
            <w:drawing>
              <wp:anchor distT="0" distB="0" distL="114300" distR="114300" simplePos="0" relativeHeight="251660288" behindDoc="0" locked="0" layoutInCell="1" allowOverlap="1" wp14:anchorId="7CF1DE89" wp14:editId="65F3201C">
                <wp:simplePos x="0" y="0"/>
                <wp:positionH relativeFrom="margin">
                  <wp:posOffset>1381628</wp:posOffset>
                </wp:positionH>
                <wp:positionV relativeFrom="paragraph">
                  <wp:posOffset>1250686</wp:posOffset>
                </wp:positionV>
                <wp:extent cx="2504364" cy="336550"/>
                <wp:effectExtent l="0" t="0" r="10795" b="25400"/>
                <wp:wrapNone/>
                <wp:docPr id="1" name="Rectángulo 1"/>
                <wp:cNvGraphicFramePr/>
                <a:graphic xmlns:a="http://schemas.openxmlformats.org/drawingml/2006/main">
                  <a:graphicData uri="http://schemas.microsoft.com/office/word/2010/wordprocessingShape">
                    <wps:wsp>
                      <wps:cNvSpPr/>
                      <wps:spPr>
                        <a:xfrm>
                          <a:off x="0" y="0"/>
                          <a:ext cx="2504364" cy="3365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AB020" id="Rectángulo 1" o:spid="_x0000_s1026" style="position:absolute;margin-left:108.8pt;margin-top:98.5pt;width:197.2pt;height:2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" filled="f" strokecolor="red" strokeweight="1.5pt">
                <w10:wrap anchorx="margin"/>
              </v:rect>
            </w:pict>
          </mc:Fallback>
        </mc:AlternateContent>
      </w:r>
      <w:r w:rsidRPr="00401F3B">
        <w:rPr>
          <w:rFonts w:ascii="Palatino Linotype" w:hAnsi="Palatino Linotype"/>
          <w:noProof/>
          <w:color w:val="000000" w:themeColor="text1"/>
        </w:rPr>
        <mc:AlternateContent>
          <mc:Choice Requires="wps">
            <w:drawing>
              <wp:anchor distT="0" distB="0" distL="114300" distR="114300" simplePos="0" relativeHeight="251661312" behindDoc="0" locked="0" layoutInCell="1" allowOverlap="1" wp14:anchorId="3B23B334" wp14:editId="639EB458">
                <wp:simplePos x="0" y="0"/>
                <wp:positionH relativeFrom="margin">
                  <wp:posOffset>700177</wp:posOffset>
                </wp:positionH>
                <wp:positionV relativeFrom="paragraph">
                  <wp:posOffset>354485</wp:posOffset>
                </wp:positionV>
                <wp:extent cx="375314" cy="1856095"/>
                <wp:effectExtent l="57150" t="38100" r="81915" b="87630"/>
                <wp:wrapNone/>
                <wp:docPr id="2" name="Rectángulo 2"/>
                <wp:cNvGraphicFramePr/>
                <a:graphic xmlns:a="http://schemas.openxmlformats.org/drawingml/2006/main">
                  <a:graphicData uri="http://schemas.microsoft.com/office/word/2010/wordprocessingShape">
                    <wps:wsp>
                      <wps:cNvSpPr/>
                      <wps:spPr>
                        <a:xfrm>
                          <a:off x="0" y="0"/>
                          <a:ext cx="375314" cy="185609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9A712" id="Rectángulo 2" o:spid="_x0000_s1026" style="position:absolute;margin-left:55.15pt;margin-top:27.9pt;width:29.55pt;height:146.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" filled="f" strokecolor="red" strokeweight="1.5pt">
                <w10:wrap anchorx="margin"/>
              </v:rect>
            </w:pict>
          </mc:Fallback>
        </mc:AlternateContent>
      </w:r>
      <w:r w:rsidR="003E07E5" w:rsidRPr="00401F3B">
        <w:rPr>
          <w:rFonts w:ascii="Palatino Linotype" w:hAnsi="Palatino Linotype"/>
          <w:noProof/>
          <w:color w:val="000000" w:themeColor="text1"/>
        </w:rPr>
        <w:drawing>
          <wp:inline distT="0" distB="0" distL="0" distR="0" wp14:anchorId="5A7987BB" wp14:editId="03590321">
            <wp:extent cx="5295900" cy="2590620"/>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03310" cy="2594245"/>
                    </a:xfrm>
                    <a:prstGeom prst="rect">
                      <a:avLst/>
                    </a:prstGeom>
                  </pic:spPr>
                </pic:pic>
              </a:graphicData>
            </a:graphic>
          </wp:inline>
        </w:drawing>
      </w:r>
    </w:p>
    <w:p w:rsidR="003E07E5" w:rsidRPr="00401F3B" w:rsidRDefault="003E07E5" w:rsidP="00773EBE">
      <w:pPr>
        <w:pStyle w:val="Prrafodelista"/>
        <w:widowControl w:val="0"/>
        <w:numPr>
          <w:ilvl w:val="0"/>
          <w:numId w:val="4"/>
        </w:numPr>
        <w:autoSpaceDE w:val="0"/>
        <w:autoSpaceDN w:val="0"/>
        <w:adjustRightInd w:val="0"/>
        <w:spacing w:before="240" w:after="240" w:line="360" w:lineRule="auto"/>
        <w:ind w:left="0" w:firstLine="0"/>
        <w:contextualSpacing/>
        <w:jc w:val="both"/>
        <w:rPr>
          <w:rFonts w:ascii="Palatino Linotype" w:hAnsi="Palatino Linotype" w:cs="Arial"/>
          <w:color w:val="000000" w:themeColor="text1"/>
          <w:sz w:val="24"/>
          <w:szCs w:val="24"/>
        </w:rPr>
      </w:pPr>
      <w:r w:rsidRPr="00401F3B">
        <w:rPr>
          <w:rFonts w:ascii="Palatino Linotype" w:hAnsi="Palatino Linotype" w:cs="Arial"/>
          <w:color w:val="000000" w:themeColor="text1"/>
          <w:sz w:val="24"/>
          <w:szCs w:val="24"/>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rsidR="00AA21CF" w:rsidRPr="00773EBE" w:rsidRDefault="00AA21CF" w:rsidP="00773EB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Por lo anteriormente expuesto, este Órgano Garante considera fundadas las razones o motivos de inconformidad que plantea el</w:t>
      </w:r>
      <w:r w:rsidRPr="00773EBE">
        <w:rPr>
          <w:rFonts w:ascii="Palatino Linotype" w:eastAsia="Palatino Linotype" w:hAnsi="Palatino Linotype" w:cs="Palatino Linotype"/>
          <w:b/>
          <w:bCs/>
          <w:color w:val="000000" w:themeColor="text1"/>
        </w:rPr>
        <w:t xml:space="preserve"> RECURRENTE</w:t>
      </w:r>
      <w:r w:rsidRPr="00773EBE">
        <w:rPr>
          <w:rFonts w:ascii="Palatino Linotype" w:eastAsia="Palatino Linotype" w:hAnsi="Palatino Linotype" w:cs="Palatino Linotype"/>
          <w:color w:val="000000" w:themeColor="text1"/>
        </w:rPr>
        <w:t xml:space="preserve">, determinando </w:t>
      </w:r>
      <w:r w:rsidRPr="00773EBE">
        <w:rPr>
          <w:rFonts w:ascii="Palatino Linotype" w:eastAsia="Palatino Linotype" w:hAnsi="Palatino Linotype" w:cs="Palatino Linotype"/>
          <w:b/>
          <w:bCs/>
          <w:color w:val="000000" w:themeColor="text1"/>
        </w:rPr>
        <w:t xml:space="preserve">REVOCAR </w:t>
      </w:r>
      <w:r w:rsidRPr="00773EBE">
        <w:rPr>
          <w:rFonts w:ascii="Palatino Linotype" w:eastAsia="Palatino Linotype" w:hAnsi="Palatino Linotype" w:cs="Palatino Linotype"/>
          <w:color w:val="000000" w:themeColor="text1"/>
        </w:rPr>
        <w:t xml:space="preserve">la respuesta del </w:t>
      </w:r>
      <w:r w:rsidRPr="00773EBE">
        <w:rPr>
          <w:rFonts w:ascii="Palatino Linotype" w:eastAsia="Palatino Linotype" w:hAnsi="Palatino Linotype" w:cs="Palatino Linotype"/>
          <w:b/>
          <w:bCs/>
          <w:color w:val="000000" w:themeColor="text1"/>
        </w:rPr>
        <w:t>SUJETO OBLIGADO</w:t>
      </w:r>
      <w:r w:rsidRPr="00773EBE">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773EBE">
        <w:rPr>
          <w:rFonts w:ascii="Palatino Linotype" w:eastAsia="Palatino Linotype" w:hAnsi="Palatino Linotype" w:cs="Palatino Linotype"/>
          <w:b/>
          <w:bCs/>
          <w:color w:val="000000" w:themeColor="text1"/>
        </w:rPr>
        <w:t>ÓRGANO GARANTE</w:t>
      </w:r>
      <w:r w:rsidRPr="00773EBE">
        <w:rPr>
          <w:rFonts w:ascii="Palatino Linotype" w:eastAsia="Palatino Linotype" w:hAnsi="Palatino Linotype" w:cs="Palatino Linotype"/>
          <w:color w:val="000000" w:themeColor="text1"/>
        </w:rPr>
        <w:t xml:space="preserve"> emite los siguientes.</w:t>
      </w:r>
    </w:p>
    <w:p w:rsidR="00AA21CF" w:rsidRPr="00773EBE" w:rsidRDefault="00B333A6" w:rsidP="00773EB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themeColor="text1"/>
        </w:rPr>
      </w:pPr>
      <w:bookmarkStart w:id="13" w:name="_heading=h.lnxbz9" w:colFirst="0" w:colLast="0"/>
      <w:bookmarkEnd w:id="13"/>
      <w:r w:rsidRPr="00773EBE">
        <w:rPr>
          <w:rFonts w:ascii="Palatino Linotype" w:eastAsia="Palatino Linotype" w:hAnsi="Palatino Linotype" w:cs="Palatino Linotype"/>
          <w:b/>
          <w:bCs/>
          <w:color w:val="000000" w:themeColor="text1"/>
        </w:rPr>
        <w:t>QUINTO. De la versión pública.</w:t>
      </w:r>
    </w:p>
    <w:p w:rsidR="00AA21CF" w:rsidRPr="00773EBE" w:rsidRDefault="00AA21CF" w:rsidP="00773EB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lastRenderedPageBreak/>
        <w:t>Debe destacarse que, debido a la naturaleza de la información solicitada</w:t>
      </w:r>
      <w:r w:rsidRPr="00773EBE">
        <w:rPr>
          <w:rFonts w:ascii="Palatino Linotype" w:eastAsia="Palatino Linotype" w:hAnsi="Palatino Linotype" w:cs="Palatino Linotype"/>
          <w:b/>
          <w:bCs/>
          <w:color w:val="000000" w:themeColor="text1"/>
        </w:rPr>
        <w:t xml:space="preserve"> </w:t>
      </w:r>
      <w:r w:rsidRPr="00773EBE">
        <w:rPr>
          <w:rFonts w:ascii="Palatino Linotype" w:eastAsia="Palatino Linotype" w:hAnsi="Palatino Linotype" w:cs="Palatino Linotype"/>
          <w:color w:val="000000" w:themeColor="text1"/>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AA21CF" w:rsidRPr="00773EBE" w:rsidRDefault="00AA21CF" w:rsidP="00773EB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La clasificación total o parcial de la información requerida, mediante solicitud de acceso a la información pública, constituye una restricción al derecho humano de acceso a la información, por lo que es menester reiterar los mismos:</w:t>
      </w:r>
    </w:p>
    <w:p w:rsidR="00AA21CF" w:rsidRPr="00773EBE" w:rsidRDefault="00AA21CF" w:rsidP="00773EB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tbl>
      <w:tblPr>
        <w:tblStyle w:val="a5"/>
        <w:tblW w:w="9491"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7"/>
        <w:gridCol w:w="6944"/>
      </w:tblGrid>
      <w:tr w:rsidR="00773EBE" w:rsidRPr="00773EBE" w:rsidTr="006C0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AA21CF" w:rsidRPr="00773EBE" w:rsidRDefault="00B333A6" w:rsidP="00773EBE">
            <w:pPr>
              <w:spacing w:line="276" w:lineRule="auto"/>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val="0"/>
                <w:bCs w:val="0"/>
                <w:color w:val="000000" w:themeColor="text1"/>
              </w:rPr>
              <w:t>a) Requisitos previos.</w:t>
            </w:r>
          </w:p>
        </w:tc>
        <w:tc>
          <w:tcPr>
            <w:tcW w:w="6944" w:type="dxa"/>
          </w:tcPr>
          <w:p w:rsidR="00AA21CF" w:rsidRPr="00773EBE" w:rsidRDefault="00B333A6" w:rsidP="00773EBE">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Los artículos 100 y 122 de la Ley Estatal y de la Ley General, respectivamente, señalan que si los </w:t>
            </w:r>
            <w:r w:rsidRPr="00773EBE">
              <w:rPr>
                <w:rFonts w:ascii="Palatino Linotype" w:eastAsia="Palatino Linotype" w:hAnsi="Palatino Linotype" w:cs="Palatino Linotype"/>
                <w:b w:val="0"/>
                <w:bCs w:val="0"/>
                <w:color w:val="000000" w:themeColor="text1"/>
              </w:rPr>
              <w:t>Sujetos Obligados</w:t>
            </w:r>
            <w:r w:rsidRPr="00773EBE">
              <w:rPr>
                <w:rFonts w:ascii="Palatino Linotype" w:eastAsia="Palatino Linotype" w:hAnsi="Palatino Linotype" w:cs="Palatino Linotype"/>
                <w:color w:val="000000" w:themeColor="text1"/>
              </w:rPr>
              <w:t xml:space="preserve"> determinan que la información actualiza alguno de los supuestos de clasificación, es deber de los titulares de las áreas proponer su clasificación y no del Comité de Transparencia. </w:t>
            </w:r>
          </w:p>
          <w:p w:rsidR="00AA21CF" w:rsidRPr="00773EBE" w:rsidRDefault="00B333A6" w:rsidP="00773EBE">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rsidR="00AA21CF" w:rsidRPr="00773EBE" w:rsidRDefault="00B333A6" w:rsidP="00773EBE">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rsidR="00AA21CF" w:rsidRPr="00773EBE" w:rsidRDefault="00B333A6" w:rsidP="00773EBE">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773EBE">
              <w:rPr>
                <w:rFonts w:ascii="Palatino Linotype" w:eastAsia="Palatino Linotype" w:hAnsi="Palatino Linotype" w:cs="Palatino Linotype"/>
                <w:b w:val="0"/>
                <w:bCs w:val="0"/>
                <w:color w:val="000000" w:themeColor="text1"/>
                <w:u w:val="single"/>
              </w:rPr>
              <w:t xml:space="preserve">no se puede hacer un acuerdo para clasificar de manera general todos los documentos de un expediente o área,  </w:t>
            </w:r>
            <w:r w:rsidRPr="00773EBE">
              <w:rPr>
                <w:rFonts w:ascii="Palatino Linotype" w:eastAsia="Palatino Linotype" w:hAnsi="Palatino Linotype" w:cs="Palatino Linotype"/>
                <w:color w:val="000000" w:themeColor="text1"/>
              </w:rPr>
              <w:t xml:space="preserve">sin individualizar su análisis y tampoco se puede hacer un </w:t>
            </w:r>
            <w:r w:rsidRPr="00773EBE">
              <w:rPr>
                <w:rFonts w:ascii="Palatino Linotype" w:eastAsia="Palatino Linotype" w:hAnsi="Palatino Linotype" w:cs="Palatino Linotype"/>
                <w:color w:val="000000" w:themeColor="text1"/>
              </w:rPr>
              <w:lastRenderedPageBreak/>
              <w:t>acuerdo por cada dato que se vaya a clasificar dentro de un documento con diez datos, por ejemplo, susceptibles de ser clasificados.</w:t>
            </w:r>
          </w:p>
        </w:tc>
      </w:tr>
      <w:tr w:rsidR="00773EBE" w:rsidRPr="00773EBE" w:rsidTr="006C0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AA21CF" w:rsidRPr="00773EBE" w:rsidRDefault="00B333A6" w:rsidP="00773EBE">
            <w:pPr>
              <w:spacing w:line="276" w:lineRule="auto"/>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val="0"/>
                <w:bCs w:val="0"/>
                <w:color w:val="000000" w:themeColor="text1"/>
              </w:rPr>
              <w:lastRenderedPageBreak/>
              <w:t>b) Supuestos de clasificación.</w:t>
            </w:r>
          </w:p>
        </w:tc>
        <w:tc>
          <w:tcPr>
            <w:tcW w:w="6944" w:type="dxa"/>
          </w:tcPr>
          <w:p w:rsidR="00AA21CF" w:rsidRPr="00773EBE" w:rsidRDefault="00B333A6" w:rsidP="00773EBE">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AA21CF" w:rsidRPr="00773EBE" w:rsidRDefault="00B333A6" w:rsidP="00773EBE">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AA21CF" w:rsidRPr="00773EBE" w:rsidRDefault="00B333A6" w:rsidP="00773EBE">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El </w:t>
            </w:r>
            <w:r w:rsidRPr="00773EBE">
              <w:rPr>
                <w:rFonts w:ascii="Palatino Linotype" w:eastAsia="Palatino Linotype" w:hAnsi="Palatino Linotype" w:cs="Palatino Linotype"/>
                <w:b/>
                <w:bCs/>
                <w:color w:val="000000" w:themeColor="text1"/>
              </w:rPr>
              <w:t>SUJETO OBLIGADO</w:t>
            </w:r>
            <w:r w:rsidRPr="00773EBE">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773EBE" w:rsidRPr="00773EBE" w:rsidTr="006C0051">
        <w:tc>
          <w:tcPr>
            <w:cnfStyle w:val="001000000000" w:firstRow="0" w:lastRow="0" w:firstColumn="1" w:lastColumn="0" w:oddVBand="0" w:evenVBand="0" w:oddHBand="0" w:evenHBand="0" w:firstRowFirstColumn="0" w:firstRowLastColumn="0" w:lastRowFirstColumn="0" w:lastRowLastColumn="0"/>
            <w:tcW w:w="2547" w:type="dxa"/>
          </w:tcPr>
          <w:p w:rsidR="00AA21CF" w:rsidRPr="00773EBE" w:rsidRDefault="00B333A6" w:rsidP="00773EBE">
            <w:pPr>
              <w:spacing w:line="276" w:lineRule="auto"/>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val="0"/>
                <w:bCs w:val="0"/>
                <w:color w:val="000000" w:themeColor="text1"/>
              </w:rPr>
              <w:t>c) Formalidades para emitir el acuerdo de clasificación.</w:t>
            </w:r>
          </w:p>
        </w:tc>
        <w:tc>
          <w:tcPr>
            <w:tcW w:w="6944" w:type="dxa"/>
          </w:tcPr>
          <w:p w:rsidR="00AA21CF" w:rsidRPr="00773EBE" w:rsidRDefault="00B333A6" w:rsidP="00773EB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AA21CF" w:rsidRPr="00773EBE" w:rsidRDefault="00B333A6" w:rsidP="00773EB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Es necesario que </w:t>
            </w:r>
            <w:r w:rsidRPr="00773EBE">
              <w:rPr>
                <w:rFonts w:ascii="Palatino Linotype" w:eastAsia="Palatino Linotype" w:hAnsi="Palatino Linotype" w:cs="Palatino Linotype"/>
                <w:b/>
                <w:bCs/>
                <w:color w:val="000000" w:themeColor="text1"/>
                <w:u w:val="single"/>
              </w:rPr>
              <w:t>el acto reúna con los requisitos elementales</w:t>
            </w:r>
            <w:r w:rsidRPr="00773EBE">
              <w:rPr>
                <w:rFonts w:ascii="Palatino Linotype" w:eastAsia="Palatino Linotype" w:hAnsi="Palatino Linotype" w:cs="Palatino Linotype"/>
                <w:color w:val="000000" w:themeColor="text1"/>
              </w:rPr>
              <w:t>, entre ellos, que la autoridad que va a emitir el acto de autoridad sea la legalmente facultada para ello.</w:t>
            </w:r>
          </w:p>
          <w:p w:rsidR="00AA21CF" w:rsidRPr="00773EBE" w:rsidRDefault="00B333A6" w:rsidP="00773EB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La decisión de aprobar, modificar o revocar la clasificación deberá de asentarse en un documento que registre la determinación a la que se llegue después de un análisis </w:t>
            </w:r>
            <w:r w:rsidRPr="00773EBE">
              <w:rPr>
                <w:rFonts w:ascii="Palatino Linotype" w:eastAsia="Palatino Linotype" w:hAnsi="Palatino Linotype" w:cs="Palatino Linotype"/>
                <w:color w:val="000000" w:themeColor="text1"/>
              </w:rPr>
              <w:lastRenderedPageBreak/>
              <w:t>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73EBE" w:rsidRPr="00773EBE" w:rsidTr="006C0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AA21CF" w:rsidRPr="00773EBE" w:rsidRDefault="00AA21CF" w:rsidP="00773EBE">
            <w:pPr>
              <w:spacing w:line="276" w:lineRule="auto"/>
              <w:rPr>
                <w:rFonts w:ascii="Palatino Linotype" w:eastAsia="Palatino Linotype" w:hAnsi="Palatino Linotype" w:cs="Palatino Linotype"/>
                <w:color w:val="000000" w:themeColor="text1"/>
              </w:rPr>
            </w:pPr>
          </w:p>
          <w:p w:rsidR="00AA21CF" w:rsidRPr="00773EBE" w:rsidRDefault="00B333A6" w:rsidP="00773EBE">
            <w:pPr>
              <w:spacing w:line="276"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val="0"/>
                <w:bCs w:val="0"/>
                <w:color w:val="000000" w:themeColor="text1"/>
              </w:rPr>
              <w:t xml:space="preserve">d) Requisitos de fondo del acuerdo de clasificación. </w:t>
            </w:r>
          </w:p>
        </w:tc>
        <w:tc>
          <w:tcPr>
            <w:tcW w:w="6944" w:type="dxa"/>
          </w:tcPr>
          <w:p w:rsidR="00AA21CF" w:rsidRPr="00773EBE" w:rsidRDefault="00B333A6" w:rsidP="00773EBE">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773EBE">
              <w:rPr>
                <w:rFonts w:ascii="Palatino Linotype" w:eastAsia="Palatino Linotype" w:hAnsi="Palatino Linotype" w:cs="Palatino Linotype"/>
                <w:b/>
                <w:bCs/>
                <w:color w:val="000000" w:themeColor="text1"/>
              </w:rPr>
              <w:t>Sujetos Obligados</w:t>
            </w:r>
            <w:r w:rsidRPr="00773EBE">
              <w:rPr>
                <w:rFonts w:ascii="Palatino Linotype" w:eastAsia="Palatino Linotype" w:hAnsi="Palatino Linotype" w:cs="Palatino Linotype"/>
                <w:color w:val="000000" w:themeColor="text1"/>
              </w:rPr>
              <w:t xml:space="preserve">, por lo que deberán fundar y motivar debidamente la clasificación. </w:t>
            </w:r>
          </w:p>
          <w:p w:rsidR="00AA21CF" w:rsidRPr="00773EBE" w:rsidRDefault="00B333A6" w:rsidP="00773EBE">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De lo anterior, se desprende que para una correcta </w:t>
            </w:r>
            <w:r w:rsidRPr="00773EBE">
              <w:rPr>
                <w:rFonts w:ascii="Palatino Linotype" w:eastAsia="Palatino Linotype" w:hAnsi="Palatino Linotype" w:cs="Palatino Linotype"/>
                <w:b/>
                <w:bCs/>
                <w:color w:val="000000" w:themeColor="text1"/>
              </w:rPr>
              <w:t>clasificación total o parcial</w:t>
            </w:r>
            <w:r w:rsidRPr="00773EBE">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AA21CF" w:rsidRPr="00773EBE" w:rsidRDefault="00B333A6" w:rsidP="00773EBE">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AA21CF" w:rsidRPr="00773EBE" w:rsidRDefault="00B333A6" w:rsidP="00773EBE">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lastRenderedPageBreak/>
              <w:t>En ese mismo sentido, el numeral trigésimo tercero fracción V de los Lineamientos Generales, precisa que para motivar la clasificación se deben acreditar las circunstancias de tiempo, modo y lugar.</w:t>
            </w:r>
          </w:p>
          <w:p w:rsidR="00AA21CF" w:rsidRPr="00773EBE" w:rsidRDefault="00B333A6" w:rsidP="00773EBE">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Ahora bien, </w:t>
            </w:r>
            <w:r w:rsidRPr="00773EBE">
              <w:rPr>
                <w:rFonts w:ascii="Palatino Linotype" w:eastAsia="Palatino Linotype" w:hAnsi="Palatino Linotype" w:cs="Palatino Linotype"/>
                <w:b/>
                <w:bCs/>
                <w:color w:val="000000" w:themeColor="text1"/>
                <w:u w:val="single"/>
              </w:rPr>
              <w:t>para cada caso además de fundar y motivar</w:t>
            </w:r>
            <w:r w:rsidRPr="00773EBE">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73EBE" w:rsidRPr="00773EBE" w:rsidTr="006C0051">
        <w:tc>
          <w:tcPr>
            <w:cnfStyle w:val="001000000000" w:firstRow="0" w:lastRow="0" w:firstColumn="1" w:lastColumn="0" w:oddVBand="0" w:evenVBand="0" w:oddHBand="0" w:evenHBand="0" w:firstRowFirstColumn="0" w:firstRowLastColumn="0" w:lastRowFirstColumn="0" w:lastRowLastColumn="0"/>
            <w:tcW w:w="2547" w:type="dxa"/>
          </w:tcPr>
          <w:p w:rsidR="00AA21CF" w:rsidRPr="00773EBE" w:rsidRDefault="00B333A6" w:rsidP="00773EBE">
            <w:pPr>
              <w:spacing w:line="276"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val="0"/>
                <w:bCs w:val="0"/>
                <w:color w:val="000000" w:themeColor="text1"/>
              </w:rPr>
              <w:lastRenderedPageBreak/>
              <w:t xml:space="preserve">e) Condiciones especiales de la clasificación de la información como confidencial. </w:t>
            </w:r>
          </w:p>
          <w:p w:rsidR="00AA21CF" w:rsidRPr="00773EBE" w:rsidRDefault="00AA21CF" w:rsidP="00773EBE">
            <w:pPr>
              <w:spacing w:line="276" w:lineRule="auto"/>
              <w:rPr>
                <w:rFonts w:ascii="Palatino Linotype" w:eastAsia="Palatino Linotype" w:hAnsi="Palatino Linotype" w:cs="Palatino Linotype"/>
                <w:color w:val="000000" w:themeColor="text1"/>
              </w:rPr>
            </w:pPr>
          </w:p>
        </w:tc>
        <w:tc>
          <w:tcPr>
            <w:tcW w:w="6944" w:type="dxa"/>
          </w:tcPr>
          <w:p w:rsidR="00AA21CF" w:rsidRPr="00773EBE" w:rsidRDefault="00B333A6" w:rsidP="00773EB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AA21CF" w:rsidRPr="00773EBE" w:rsidRDefault="00B333A6" w:rsidP="00773EB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AA21CF" w:rsidRPr="00773EBE" w:rsidRDefault="00B333A6" w:rsidP="00773EBE">
            <w:pPr>
              <w:spacing w:line="276"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AA21CF" w:rsidRPr="00773EBE" w:rsidRDefault="00AA21CF" w:rsidP="00773EBE">
      <w:pPr>
        <w:tabs>
          <w:tab w:val="left" w:pos="284"/>
        </w:tabs>
        <w:spacing w:before="240"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lastRenderedPageBreak/>
        <w:t xml:space="preserve">Por lo anteriormente expuesto y fundado, este </w:t>
      </w:r>
      <w:r w:rsidRPr="00773EBE">
        <w:rPr>
          <w:rFonts w:ascii="Palatino Linotype" w:eastAsia="Palatino Linotype" w:hAnsi="Palatino Linotype" w:cs="Palatino Linotype"/>
          <w:b/>
          <w:bCs/>
          <w:color w:val="000000" w:themeColor="text1"/>
        </w:rPr>
        <w:t>ÓRGANO GARANTE</w:t>
      </w:r>
      <w:r w:rsidRPr="00773EBE">
        <w:rPr>
          <w:rFonts w:ascii="Palatino Linotype" w:eastAsia="Palatino Linotype" w:hAnsi="Palatino Linotype" w:cs="Palatino Linotype"/>
          <w:color w:val="000000" w:themeColor="text1"/>
        </w:rPr>
        <w:t xml:space="preserve"> emite los siguientes:</w:t>
      </w:r>
    </w:p>
    <w:p w:rsidR="00AA21CF" w:rsidRPr="00773EBE" w:rsidRDefault="00B333A6" w:rsidP="00773EBE">
      <w:pPr>
        <w:keepNext/>
        <w:keepLines/>
        <w:spacing w:line="360" w:lineRule="auto"/>
        <w:jc w:val="center"/>
        <w:rPr>
          <w:rFonts w:ascii="Palatino Linotype" w:eastAsia="Palatino Linotype" w:hAnsi="Palatino Linotype" w:cs="Palatino Linotype"/>
          <w:b/>
          <w:bCs/>
          <w:color w:val="000000" w:themeColor="text1"/>
        </w:rPr>
      </w:pPr>
      <w:bookmarkStart w:id="14" w:name="_heading=h.35nkun2" w:colFirst="0" w:colLast="0"/>
      <w:bookmarkEnd w:id="14"/>
      <w:r w:rsidRPr="00773EBE">
        <w:rPr>
          <w:rFonts w:ascii="Palatino Linotype" w:eastAsia="Palatino Linotype" w:hAnsi="Palatino Linotype" w:cs="Palatino Linotype"/>
          <w:b/>
          <w:bCs/>
          <w:color w:val="000000" w:themeColor="text1"/>
        </w:rPr>
        <w:t xml:space="preserve">R E S O L U T I V O S </w:t>
      </w:r>
    </w:p>
    <w:p w:rsidR="00AA21CF" w:rsidRPr="00773EBE" w:rsidRDefault="00AA21CF" w:rsidP="00773EBE">
      <w:pPr>
        <w:spacing w:line="360" w:lineRule="auto"/>
        <w:rPr>
          <w:rFonts w:ascii="Palatino Linotype" w:eastAsia="Palatino Linotype" w:hAnsi="Palatino Linotype" w:cs="Palatino Linotype"/>
          <w:color w:val="000000" w:themeColor="text1"/>
        </w:rPr>
      </w:pP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bookmarkStart w:id="15" w:name="_heading=h.1ksv4uv" w:colFirst="0" w:colLast="0"/>
      <w:bookmarkEnd w:id="15"/>
      <w:r w:rsidRPr="00773EBE">
        <w:rPr>
          <w:rFonts w:ascii="Palatino Linotype" w:eastAsia="Palatino Linotype" w:hAnsi="Palatino Linotype" w:cs="Palatino Linotype"/>
          <w:b/>
          <w:bCs/>
          <w:color w:val="000000" w:themeColor="text1"/>
        </w:rPr>
        <w:t>PRIMERO</w:t>
      </w:r>
      <w:r w:rsidRPr="00773EBE">
        <w:rPr>
          <w:rFonts w:ascii="Palatino Linotype" w:eastAsia="Palatino Linotype" w:hAnsi="Palatino Linotype" w:cs="Palatino Linotype"/>
          <w:color w:val="000000" w:themeColor="text1"/>
        </w:rPr>
        <w:t>. Resultan fundadas las razones o motivos de inconformidad hechos valer en el recurso de revisión 0</w:t>
      </w:r>
      <w:r w:rsidRPr="00773EBE">
        <w:rPr>
          <w:rFonts w:ascii="Palatino Linotype" w:eastAsia="Palatino Linotype" w:hAnsi="Palatino Linotype" w:cs="Palatino Linotype"/>
          <w:b/>
          <w:bCs/>
          <w:color w:val="000000" w:themeColor="text1"/>
        </w:rPr>
        <w:t>7728/INFOEM/IP/RR/2025</w:t>
      </w:r>
      <w:r w:rsidRPr="00773EBE">
        <w:rPr>
          <w:rFonts w:ascii="Palatino Linotype" w:eastAsia="Palatino Linotype" w:hAnsi="Palatino Linotype" w:cs="Palatino Linotype"/>
          <w:color w:val="000000" w:themeColor="text1"/>
        </w:rPr>
        <w:t xml:space="preserve"> en términos de los Considerandos </w:t>
      </w:r>
      <w:r w:rsidRPr="00773EBE">
        <w:rPr>
          <w:rFonts w:ascii="Palatino Linotype" w:eastAsia="Palatino Linotype" w:hAnsi="Palatino Linotype" w:cs="Palatino Linotype"/>
          <w:b/>
          <w:bCs/>
          <w:color w:val="000000" w:themeColor="text1"/>
        </w:rPr>
        <w:t>CUARTO</w:t>
      </w:r>
      <w:r w:rsidRPr="00773EBE">
        <w:rPr>
          <w:rFonts w:ascii="Palatino Linotype" w:eastAsia="Palatino Linotype" w:hAnsi="Palatino Linotype" w:cs="Palatino Linotype"/>
          <w:color w:val="000000" w:themeColor="text1"/>
        </w:rPr>
        <w:t xml:space="preserve"> de la presente resolución.</w:t>
      </w:r>
    </w:p>
    <w:p w:rsidR="00AA21CF" w:rsidRPr="00773EBE" w:rsidRDefault="00AA21CF" w:rsidP="00773EBE">
      <w:pPr>
        <w:spacing w:line="360" w:lineRule="auto"/>
        <w:jc w:val="both"/>
        <w:rPr>
          <w:rFonts w:ascii="Palatino Linotype" w:eastAsia="Palatino Linotype" w:hAnsi="Palatino Linotype" w:cs="Palatino Linotype"/>
          <w:b/>
          <w:bCs/>
          <w:color w:val="000000" w:themeColor="text1"/>
        </w:rPr>
      </w:pP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color w:val="000000" w:themeColor="text1"/>
        </w:rPr>
        <w:t xml:space="preserve">SEGUNDO. </w:t>
      </w:r>
      <w:r w:rsidRPr="00773EBE">
        <w:rPr>
          <w:rFonts w:ascii="Palatino Linotype" w:eastAsia="Palatino Linotype" w:hAnsi="Palatino Linotype" w:cs="Palatino Linotype"/>
          <w:color w:val="000000" w:themeColor="text1"/>
        </w:rPr>
        <w:t xml:space="preserve">Se </w:t>
      </w:r>
      <w:r w:rsidRPr="00773EBE">
        <w:rPr>
          <w:rFonts w:ascii="Palatino Linotype" w:eastAsia="Palatino Linotype" w:hAnsi="Palatino Linotype" w:cs="Palatino Linotype"/>
          <w:b/>
          <w:bCs/>
          <w:color w:val="000000" w:themeColor="text1"/>
        </w:rPr>
        <w:t xml:space="preserve">REVOCA </w:t>
      </w:r>
      <w:r w:rsidRPr="00773EBE">
        <w:rPr>
          <w:rFonts w:ascii="Palatino Linotype" w:eastAsia="Palatino Linotype" w:hAnsi="Palatino Linotype" w:cs="Palatino Linotype"/>
          <w:color w:val="000000" w:themeColor="text1"/>
        </w:rPr>
        <w:t xml:space="preserve">la respuesta del </w:t>
      </w:r>
      <w:r w:rsidRPr="00773EBE">
        <w:rPr>
          <w:rFonts w:ascii="Palatino Linotype" w:eastAsia="Palatino Linotype" w:hAnsi="Palatino Linotype" w:cs="Palatino Linotype"/>
          <w:b/>
          <w:bCs/>
          <w:color w:val="000000" w:themeColor="text1"/>
        </w:rPr>
        <w:t>Tecnológico de Estudios Superiores del Oriente del Estado de México</w:t>
      </w:r>
      <w:r w:rsidRPr="00773EBE">
        <w:rPr>
          <w:rFonts w:ascii="Palatino Linotype" w:eastAsia="Palatino Linotype" w:hAnsi="Palatino Linotype" w:cs="Palatino Linotype"/>
          <w:color w:val="000000" w:themeColor="text1"/>
        </w:rPr>
        <w:t>, a la solicitud de información</w:t>
      </w:r>
      <w:r w:rsidRPr="00773EBE">
        <w:rPr>
          <w:rFonts w:ascii="Palatino Linotype" w:eastAsia="Palatino Linotype" w:hAnsi="Palatino Linotype" w:cs="Palatino Linotype"/>
          <w:b/>
          <w:bCs/>
          <w:color w:val="000000" w:themeColor="text1"/>
        </w:rPr>
        <w:t xml:space="preserve"> 00009/TESOEM/IP/2025 </w:t>
      </w:r>
      <w:r w:rsidRPr="00773EBE">
        <w:rPr>
          <w:rFonts w:ascii="Palatino Linotype" w:eastAsia="Palatino Linotype" w:hAnsi="Palatino Linotype" w:cs="Palatino Linotype"/>
          <w:color w:val="000000" w:themeColor="text1"/>
        </w:rPr>
        <w:t>y</w:t>
      </w:r>
      <w:r w:rsidRPr="00773EBE">
        <w:rPr>
          <w:rFonts w:ascii="Palatino Linotype" w:eastAsia="Palatino Linotype" w:hAnsi="Palatino Linotype" w:cs="Palatino Linotype"/>
          <w:b/>
          <w:bCs/>
          <w:color w:val="000000" w:themeColor="text1"/>
        </w:rPr>
        <w:t xml:space="preserve"> </w:t>
      </w:r>
      <w:r w:rsidRPr="00773EBE">
        <w:rPr>
          <w:rFonts w:ascii="Palatino Linotype" w:eastAsia="Palatino Linotype" w:hAnsi="Palatino Linotype" w:cs="Palatino Linotype"/>
          <w:color w:val="000000" w:themeColor="text1"/>
        </w:rPr>
        <w:t xml:space="preserve">se </w:t>
      </w:r>
      <w:r w:rsidRPr="00773EBE">
        <w:rPr>
          <w:rFonts w:ascii="Palatino Linotype" w:eastAsia="Palatino Linotype" w:hAnsi="Palatino Linotype" w:cs="Palatino Linotype"/>
          <w:b/>
          <w:bCs/>
          <w:color w:val="000000" w:themeColor="text1"/>
        </w:rPr>
        <w:t>ORDENA</w:t>
      </w:r>
      <w:r w:rsidRPr="00773EBE">
        <w:rPr>
          <w:rFonts w:ascii="Palatino Linotype" w:eastAsia="Palatino Linotype" w:hAnsi="Palatino Linotype" w:cs="Palatino Linotype"/>
          <w:color w:val="000000" w:themeColor="text1"/>
        </w:rPr>
        <w:t xml:space="preserve"> entregar vía Sistema de Acceso a la Información Mexiquense </w:t>
      </w:r>
      <w:r w:rsidRPr="00773EBE">
        <w:rPr>
          <w:rFonts w:ascii="Palatino Linotype" w:eastAsia="Palatino Linotype" w:hAnsi="Palatino Linotype" w:cs="Palatino Linotype"/>
          <w:b/>
          <w:bCs/>
          <w:color w:val="000000" w:themeColor="text1"/>
        </w:rPr>
        <w:t>(SAIMEX)</w:t>
      </w:r>
      <w:r w:rsidRPr="00773EBE">
        <w:rPr>
          <w:rFonts w:ascii="Palatino Linotype" w:eastAsia="Palatino Linotype" w:hAnsi="Palatino Linotype" w:cs="Palatino Linotype"/>
          <w:color w:val="000000" w:themeColor="text1"/>
        </w:rPr>
        <w:t>, de ser procedente en versión pública, lo siguiente:</w:t>
      </w:r>
    </w:p>
    <w:p w:rsidR="00AA21CF" w:rsidRPr="00773EBE" w:rsidRDefault="00AA21CF" w:rsidP="00773EBE">
      <w:pP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numPr>
          <w:ilvl w:val="2"/>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773EBE">
        <w:rPr>
          <w:rFonts w:ascii="Palatino Linotype" w:eastAsia="Palatino Linotype" w:hAnsi="Palatino Linotype" w:cs="Palatino Linotype"/>
          <w:b/>
          <w:bCs/>
          <w:color w:val="000000" w:themeColor="text1"/>
        </w:rPr>
        <w:t>Contratos</w:t>
      </w:r>
      <w:r w:rsidRPr="00773EBE">
        <w:rPr>
          <w:rFonts w:ascii="Palatino Linotype" w:eastAsia="Palatino Linotype" w:hAnsi="Palatino Linotype" w:cs="Palatino Linotype"/>
          <w:color w:val="000000" w:themeColor="text1"/>
        </w:rPr>
        <w:t xml:space="preserve"> </w:t>
      </w:r>
      <w:r w:rsidRPr="00773EBE">
        <w:rPr>
          <w:rFonts w:ascii="Palatino Linotype" w:eastAsia="Palatino Linotype" w:hAnsi="Palatino Linotype" w:cs="Palatino Linotype"/>
          <w:b/>
          <w:bCs/>
          <w:color w:val="000000" w:themeColor="text1"/>
        </w:rPr>
        <w:t xml:space="preserve">del uno de enero al treinta y uno de diciembre de dos mil veinticuatro y del uno de enero al diez de junio de dos mil veinticinco de las </w:t>
      </w:r>
      <w:r w:rsidRPr="00773EBE">
        <w:rPr>
          <w:rFonts w:ascii="Palatino Linotype" w:eastAsia="Palatino Linotype" w:hAnsi="Palatino Linotype" w:cs="Palatino Linotype"/>
          <w:color w:val="000000" w:themeColor="text1"/>
        </w:rPr>
        <w:t>C</w:t>
      </w:r>
      <w:r w:rsidRPr="00773EBE">
        <w:rPr>
          <w:rFonts w:ascii="Palatino Linotype" w:eastAsia="Palatino Linotype" w:hAnsi="Palatino Linotype" w:cs="Palatino Linotype"/>
          <w:b/>
          <w:bCs/>
          <w:color w:val="000000" w:themeColor="text1"/>
        </w:rPr>
        <w:t>afeterías, Centros de Alimentos y Centros de Copiado; así como toda la información generada, en torno a dichos contratos.</w:t>
      </w:r>
    </w:p>
    <w:p w:rsidR="00AA21CF" w:rsidRPr="00773EBE" w:rsidRDefault="00AA21CF" w:rsidP="00773EBE">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bookmarkStart w:id="16" w:name="_heading=h.y6rxh341jc6k" w:colFirst="0" w:colLast="0"/>
      <w:bookmarkEnd w:id="16"/>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w:t>
      </w:r>
      <w:r w:rsidRPr="00773EBE">
        <w:rPr>
          <w:rFonts w:ascii="Palatino Linotype" w:eastAsia="Palatino Linotype" w:hAnsi="Palatino Linotype" w:cs="Palatino Linotype"/>
          <w:color w:val="000000" w:themeColor="text1"/>
        </w:rPr>
        <w:lastRenderedPageBreak/>
        <w:t xml:space="preserve">documental respectivo objeto de las versiones públicas que se formulen y se pongan a disposición </w:t>
      </w:r>
      <w:r w:rsidRPr="00773EBE">
        <w:rPr>
          <w:rFonts w:ascii="Palatino Linotype" w:eastAsia="Palatino Linotype" w:hAnsi="Palatino Linotype" w:cs="Palatino Linotype"/>
          <w:b/>
          <w:bCs/>
          <w:color w:val="000000" w:themeColor="text1"/>
        </w:rPr>
        <w:t>del RECURRENTE</w:t>
      </w:r>
      <w:r w:rsidRPr="00773EBE">
        <w:rPr>
          <w:rFonts w:ascii="Palatino Linotype" w:eastAsia="Palatino Linotype" w:hAnsi="Palatino Linotype" w:cs="Palatino Linotype"/>
          <w:color w:val="000000" w:themeColor="text1"/>
        </w:rPr>
        <w:t>.</w:t>
      </w:r>
    </w:p>
    <w:p w:rsidR="00AA21CF" w:rsidRPr="00773EBE" w:rsidRDefault="00AA21CF" w:rsidP="00773EBE">
      <w:pPr>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bookmarkStart w:id="17" w:name="_heading=h.m2bjbkdo60ex" w:colFirst="0" w:colLast="0"/>
      <w:bookmarkEnd w:id="17"/>
      <w:r w:rsidRPr="00773EBE">
        <w:rPr>
          <w:rFonts w:ascii="Palatino Linotype" w:eastAsia="Palatino Linotype" w:hAnsi="Palatino Linotype" w:cs="Palatino Linotype"/>
          <w:b/>
          <w:bCs/>
          <w:color w:val="000000" w:themeColor="text1"/>
        </w:rPr>
        <w:t xml:space="preserve">TERCERO. </w:t>
      </w:r>
      <w:r w:rsidRPr="00773EBE">
        <w:rPr>
          <w:rFonts w:ascii="Palatino Linotype" w:eastAsia="Palatino Linotype" w:hAnsi="Palatino Linotype" w:cs="Palatino Linotype"/>
          <w:color w:val="000000" w:themeColor="text1"/>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773EBE">
        <w:rPr>
          <w:rFonts w:ascii="Palatino Linotype" w:eastAsia="Palatino Linotype" w:hAnsi="Palatino Linotype" w:cs="Palatino Linotype"/>
          <w:b/>
          <w:bCs/>
          <w:color w:val="000000" w:themeColor="text1"/>
        </w:rPr>
        <w:t xml:space="preserve">dé cumplimiento a lo ordenado dentro del plazo de diez días hábiles, </w:t>
      </w:r>
      <w:r w:rsidRPr="00773EBE">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AA21CF" w:rsidRPr="00773EBE" w:rsidRDefault="00AA21CF" w:rsidP="00773EBE">
      <w:pPr>
        <w:tabs>
          <w:tab w:val="left" w:pos="284"/>
          <w:tab w:val="left" w:pos="8080"/>
        </w:tabs>
        <w:spacing w:line="360" w:lineRule="auto"/>
        <w:jc w:val="both"/>
        <w:rPr>
          <w:rFonts w:ascii="Palatino Linotype" w:eastAsia="Palatino Linotype" w:hAnsi="Palatino Linotype" w:cs="Palatino Linotype"/>
          <w:b/>
          <w:bCs/>
          <w:color w:val="000000" w:themeColor="text1"/>
        </w:rPr>
      </w:pPr>
    </w:p>
    <w:p w:rsidR="00AA21CF" w:rsidRPr="00773EBE" w:rsidRDefault="00B333A6" w:rsidP="00773EBE">
      <w:pPr>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color w:val="000000" w:themeColor="text1"/>
        </w:rPr>
        <w:t xml:space="preserve">CUARTO. </w:t>
      </w:r>
      <w:r w:rsidRPr="00773EBE">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773EBE">
        <w:rPr>
          <w:rFonts w:ascii="Palatino Linotype" w:eastAsia="Palatino Linotype" w:hAnsi="Palatino Linotype" w:cs="Palatino Linotype"/>
          <w:b/>
          <w:bCs/>
          <w:color w:val="000000" w:themeColor="text1"/>
        </w:rPr>
        <w:t>SUJETO OBLIGADO</w:t>
      </w:r>
      <w:r w:rsidRPr="00773EBE">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AA21CF" w:rsidRPr="00773EBE" w:rsidRDefault="00AA21CF" w:rsidP="00773EBE">
      <w:pPr>
        <w:shd w:val="clear" w:color="auto" w:fill="FFFFFF"/>
        <w:tabs>
          <w:tab w:val="left" w:pos="284"/>
        </w:tabs>
        <w:spacing w:line="360" w:lineRule="auto"/>
        <w:jc w:val="both"/>
        <w:rPr>
          <w:rFonts w:ascii="Palatino Linotype" w:eastAsia="Palatino Linotype" w:hAnsi="Palatino Linotype" w:cs="Palatino Linotype"/>
          <w:b/>
          <w:bCs/>
          <w:color w:val="000000" w:themeColor="text1"/>
        </w:rPr>
      </w:pPr>
    </w:p>
    <w:p w:rsidR="00AA21CF" w:rsidRPr="00773EBE" w:rsidRDefault="00B333A6" w:rsidP="00773EBE">
      <w:pPr>
        <w:shd w:val="clear" w:color="auto" w:fill="FFFFFF"/>
        <w:tabs>
          <w:tab w:val="left" w:pos="284"/>
        </w:tabs>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color w:val="000000" w:themeColor="text1"/>
        </w:rPr>
        <w:t xml:space="preserve">QUINTO. Notifíquese </w:t>
      </w:r>
      <w:r w:rsidRPr="00773EBE">
        <w:rPr>
          <w:rFonts w:ascii="Palatino Linotype" w:eastAsia="Palatino Linotype" w:hAnsi="Palatino Linotype" w:cs="Palatino Linotype"/>
          <w:color w:val="000000" w:themeColor="text1"/>
        </w:rPr>
        <w:t xml:space="preserve">al </w:t>
      </w:r>
      <w:r w:rsidRPr="00773EBE">
        <w:rPr>
          <w:rFonts w:ascii="Palatino Linotype" w:eastAsia="Palatino Linotype" w:hAnsi="Palatino Linotype" w:cs="Palatino Linotype"/>
          <w:b/>
          <w:bCs/>
          <w:color w:val="000000" w:themeColor="text1"/>
        </w:rPr>
        <w:t xml:space="preserve">RECURRENTE </w:t>
      </w:r>
      <w:r w:rsidRPr="00773EBE">
        <w:rPr>
          <w:rFonts w:ascii="Palatino Linotype" w:eastAsia="Palatino Linotype" w:hAnsi="Palatino Linotype" w:cs="Palatino Linotype"/>
          <w:color w:val="000000" w:themeColor="text1"/>
        </w:rPr>
        <w:t>la presente resolución a través del Sistema de Acceso a la Información Mexiquense (SAIMEX).</w:t>
      </w:r>
    </w:p>
    <w:p w:rsidR="00AA21CF" w:rsidRPr="00773EBE" w:rsidRDefault="00AA21CF" w:rsidP="00773EBE">
      <w:pPr>
        <w:shd w:val="clear" w:color="auto" w:fill="FFFFFF"/>
        <w:tabs>
          <w:tab w:val="left" w:pos="284"/>
        </w:tabs>
        <w:spacing w:line="360" w:lineRule="auto"/>
        <w:jc w:val="both"/>
        <w:rPr>
          <w:rFonts w:ascii="Palatino Linotype" w:eastAsia="Palatino Linotype" w:hAnsi="Palatino Linotype" w:cs="Palatino Linotype"/>
          <w:color w:val="000000" w:themeColor="text1"/>
        </w:rPr>
      </w:pPr>
    </w:p>
    <w:p w:rsidR="00AA21CF" w:rsidRPr="00773EBE" w:rsidRDefault="00B333A6" w:rsidP="00773EBE">
      <w:pPr>
        <w:shd w:val="clear" w:color="auto" w:fill="FFFFFF"/>
        <w:tabs>
          <w:tab w:val="left" w:pos="284"/>
        </w:tabs>
        <w:spacing w:line="360" w:lineRule="auto"/>
        <w:jc w:val="both"/>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
          <w:bCs/>
          <w:color w:val="000000" w:themeColor="text1"/>
        </w:rPr>
        <w:t xml:space="preserve">SEXTO. </w:t>
      </w:r>
      <w:r w:rsidRPr="00773EBE">
        <w:rPr>
          <w:rFonts w:ascii="Palatino Linotype" w:eastAsia="Palatino Linotype" w:hAnsi="Palatino Linotype" w:cs="Palatino Linotype"/>
          <w:color w:val="000000" w:themeColor="text1"/>
        </w:rPr>
        <w:t xml:space="preserve"> Se hace del conocimiento del</w:t>
      </w:r>
      <w:r w:rsidRPr="00773EBE">
        <w:rPr>
          <w:rFonts w:ascii="Palatino Linotype" w:eastAsia="Palatino Linotype" w:hAnsi="Palatino Linotype" w:cs="Palatino Linotype"/>
          <w:b/>
          <w:bCs/>
          <w:color w:val="000000" w:themeColor="text1"/>
        </w:rPr>
        <w:t xml:space="preserve"> RECURRENTE </w:t>
      </w:r>
      <w:r w:rsidRPr="00773EBE">
        <w:rPr>
          <w:rFonts w:ascii="Palatino Linotype" w:eastAsia="Palatino Linotype" w:hAnsi="Palatino Linotype" w:cs="Palatino Linotype"/>
          <w:color w:val="000000" w:themeColor="text1"/>
        </w:rPr>
        <w:t xml:space="preserve">que, de conformidad con lo establecido en el artículo 196 de la Ley de Transparencia y Acceso a la Información Pública </w:t>
      </w:r>
      <w:r w:rsidRPr="00773EBE">
        <w:rPr>
          <w:rFonts w:ascii="Palatino Linotype" w:eastAsia="Palatino Linotype" w:hAnsi="Palatino Linotype" w:cs="Palatino Linotype"/>
          <w:color w:val="000000" w:themeColor="text1"/>
        </w:rPr>
        <w:lastRenderedPageBreak/>
        <w:t>del Estado de México y Municipios, en caso de que considere que la resolución le cause algún perjuicio podrá impugnarla vía juicio de amparo en los términos de las leyes aplicables.</w:t>
      </w:r>
    </w:p>
    <w:p w:rsidR="00AA21CF" w:rsidRDefault="00AA21CF" w:rsidP="00773EBE">
      <w:pPr>
        <w:shd w:val="clear" w:color="auto" w:fill="FFFFFF"/>
        <w:tabs>
          <w:tab w:val="left" w:pos="284"/>
        </w:tabs>
        <w:spacing w:line="360" w:lineRule="auto"/>
        <w:jc w:val="both"/>
        <w:rPr>
          <w:rFonts w:ascii="Palatino Linotype" w:eastAsia="Palatino Linotype" w:hAnsi="Palatino Linotype" w:cs="Palatino Linotype"/>
          <w:color w:val="000000" w:themeColor="text1"/>
        </w:rPr>
      </w:pPr>
    </w:p>
    <w:p w:rsidR="00773EBE" w:rsidRPr="00444783" w:rsidRDefault="00773EBE" w:rsidP="00773EBE">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CUADRAGÉSIMA SEGUNDA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VEINTICINCO (25)</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NOVIEMBRE </w:t>
      </w:r>
      <w:r w:rsidRPr="00575AE2">
        <w:rPr>
          <w:rFonts w:ascii="Palatino Linotype" w:eastAsia="Palatino Linotype" w:hAnsi="Palatino Linotype" w:cs="Palatino Linotype"/>
        </w:rPr>
        <w:t>DE DOS MIL VEINTICINCO, ANTE EL SECRETARIO TÉCNICO DEL PLENO ALEXIS TAPIA RAMÍREZ.</w:t>
      </w:r>
    </w:p>
    <w:p w:rsidR="00AA21CF" w:rsidRPr="00773EBE" w:rsidRDefault="00AA21CF" w:rsidP="00773EBE">
      <w:pPr>
        <w:spacing w:line="360" w:lineRule="auto"/>
        <w:jc w:val="both"/>
        <w:rPr>
          <w:rFonts w:ascii="Palatino Linotype" w:eastAsia="Palatino Linotype" w:hAnsi="Palatino Linotype" w:cs="Palatino Linotype"/>
          <w:color w:val="000000" w:themeColor="text1"/>
        </w:rPr>
      </w:pPr>
    </w:p>
    <w:p w:rsidR="00AA21CF" w:rsidRPr="00773EBE" w:rsidRDefault="00AA21CF" w:rsidP="00773EBE">
      <w:pPr>
        <w:spacing w:line="360" w:lineRule="auto"/>
        <w:jc w:val="both"/>
        <w:rPr>
          <w:rFonts w:ascii="Palatino Linotype" w:eastAsia="Palatino Linotype" w:hAnsi="Palatino Linotype" w:cs="Palatino Linotype"/>
          <w:color w:val="000000" w:themeColor="text1"/>
        </w:rPr>
      </w:pPr>
    </w:p>
    <w:p w:rsidR="00AA21CF" w:rsidRPr="00773EBE" w:rsidRDefault="00AA21CF" w:rsidP="00773EBE">
      <w:pPr>
        <w:spacing w:line="360" w:lineRule="auto"/>
        <w:rPr>
          <w:rFonts w:ascii="Palatino Linotype" w:eastAsia="Palatino Linotype" w:hAnsi="Palatino Linotype" w:cs="Palatino Linotype"/>
          <w:color w:val="000000" w:themeColor="text1"/>
        </w:rPr>
      </w:pPr>
    </w:p>
    <w:p w:rsidR="00AA21CF" w:rsidRPr="00773EBE" w:rsidRDefault="00AA21CF" w:rsidP="00773EBE">
      <w:pPr>
        <w:spacing w:line="360" w:lineRule="auto"/>
        <w:rPr>
          <w:rFonts w:ascii="Palatino Linotype" w:eastAsia="Palatino Linotype" w:hAnsi="Palatino Linotype" w:cs="Palatino Linotype"/>
          <w:color w:val="000000" w:themeColor="text1"/>
        </w:rPr>
      </w:pPr>
    </w:p>
    <w:p w:rsidR="00AA21CF" w:rsidRPr="00773EBE" w:rsidRDefault="00AA21CF" w:rsidP="00773EBE">
      <w:pPr>
        <w:spacing w:line="360" w:lineRule="auto"/>
        <w:rPr>
          <w:rFonts w:ascii="Palatino Linotype" w:eastAsia="Palatino Linotype" w:hAnsi="Palatino Linotype" w:cs="Palatino Linotype"/>
          <w:color w:val="000000" w:themeColor="text1"/>
        </w:rPr>
      </w:pPr>
    </w:p>
    <w:p w:rsidR="00AA21CF" w:rsidRPr="00773EBE" w:rsidRDefault="00AA21CF" w:rsidP="00773EBE">
      <w:pPr>
        <w:spacing w:line="360" w:lineRule="auto"/>
        <w:rPr>
          <w:rFonts w:ascii="Palatino Linotype" w:eastAsia="Palatino Linotype" w:hAnsi="Palatino Linotype" w:cs="Palatino Linotype"/>
          <w:color w:val="000000" w:themeColor="text1"/>
        </w:rPr>
      </w:pPr>
    </w:p>
    <w:p w:rsidR="00AA21CF" w:rsidRPr="00773EBE" w:rsidRDefault="00AA21CF" w:rsidP="00773EBE">
      <w:pPr>
        <w:spacing w:line="360" w:lineRule="auto"/>
        <w:rPr>
          <w:rFonts w:ascii="Palatino Linotype" w:eastAsia="Palatino Linotype" w:hAnsi="Palatino Linotype" w:cs="Palatino Linotype"/>
          <w:color w:val="000000" w:themeColor="text1"/>
        </w:rPr>
      </w:pPr>
    </w:p>
    <w:p w:rsidR="00AA21CF" w:rsidRPr="00773EBE" w:rsidRDefault="00AA21CF" w:rsidP="00773EBE">
      <w:pPr>
        <w:spacing w:line="360" w:lineRule="auto"/>
        <w:rPr>
          <w:rFonts w:ascii="Palatino Linotype" w:eastAsia="Palatino Linotype" w:hAnsi="Palatino Linotype" w:cs="Palatino Linotype"/>
          <w:color w:val="000000" w:themeColor="text1"/>
        </w:rPr>
      </w:pPr>
    </w:p>
    <w:p w:rsidR="00AA21CF" w:rsidRPr="00773EBE" w:rsidRDefault="00AA21CF" w:rsidP="00773EBE">
      <w:pPr>
        <w:spacing w:line="360" w:lineRule="auto"/>
        <w:rPr>
          <w:rFonts w:ascii="Palatino Linotype" w:eastAsia="Palatino Linotype" w:hAnsi="Palatino Linotype" w:cs="Palatino Linotype"/>
          <w:color w:val="000000" w:themeColor="text1"/>
        </w:rPr>
      </w:pPr>
    </w:p>
    <w:p w:rsidR="00AA21CF" w:rsidRPr="00773EBE" w:rsidRDefault="00AA21CF" w:rsidP="00773EBE">
      <w:pPr>
        <w:spacing w:line="360" w:lineRule="auto"/>
        <w:rPr>
          <w:rFonts w:ascii="Palatino Linotype" w:eastAsia="Palatino Linotype" w:hAnsi="Palatino Linotype" w:cs="Palatino Linotype"/>
          <w:color w:val="000000" w:themeColor="text1"/>
        </w:rPr>
      </w:pPr>
    </w:p>
    <w:p w:rsidR="00AA21CF" w:rsidRPr="00773EBE" w:rsidRDefault="00AA21CF" w:rsidP="00773EBE">
      <w:pPr>
        <w:spacing w:line="360" w:lineRule="auto"/>
        <w:rPr>
          <w:rFonts w:ascii="Palatino Linotype" w:eastAsia="Palatino Linotype" w:hAnsi="Palatino Linotype" w:cs="Palatino Linotype"/>
          <w:color w:val="000000" w:themeColor="text1"/>
        </w:rPr>
      </w:pPr>
    </w:p>
    <w:p w:rsidR="00AA21CF" w:rsidRDefault="00AA21CF" w:rsidP="00773EBE">
      <w:pPr>
        <w:spacing w:line="360" w:lineRule="auto"/>
        <w:rPr>
          <w:rFonts w:ascii="Palatino Linotype" w:eastAsia="Palatino Linotype" w:hAnsi="Palatino Linotype" w:cs="Palatino Linotype"/>
          <w:color w:val="000000" w:themeColor="text1"/>
        </w:rPr>
      </w:pPr>
    </w:p>
    <w:p w:rsidR="00773EBE" w:rsidRDefault="00773EBE" w:rsidP="00773EBE">
      <w:pPr>
        <w:spacing w:line="360" w:lineRule="auto"/>
        <w:rPr>
          <w:rFonts w:ascii="Palatino Linotype" w:eastAsia="Palatino Linotype" w:hAnsi="Palatino Linotype" w:cs="Palatino Linotype"/>
          <w:color w:val="000000" w:themeColor="text1"/>
        </w:rPr>
      </w:pPr>
    </w:p>
    <w:p w:rsidR="00773EBE" w:rsidRDefault="00773EBE" w:rsidP="00773EBE">
      <w:pPr>
        <w:spacing w:line="360" w:lineRule="auto"/>
        <w:rPr>
          <w:rFonts w:ascii="Palatino Linotype" w:eastAsia="Palatino Linotype" w:hAnsi="Palatino Linotype" w:cs="Palatino Linotype"/>
          <w:color w:val="000000" w:themeColor="text1"/>
        </w:rPr>
      </w:pPr>
    </w:p>
    <w:p w:rsidR="00773EBE" w:rsidRDefault="00773EBE" w:rsidP="00773EBE">
      <w:pPr>
        <w:spacing w:line="360" w:lineRule="auto"/>
        <w:rPr>
          <w:rFonts w:ascii="Palatino Linotype" w:eastAsia="Palatino Linotype" w:hAnsi="Palatino Linotype" w:cs="Palatino Linotype"/>
          <w:color w:val="000000" w:themeColor="text1"/>
        </w:rPr>
      </w:pPr>
    </w:p>
    <w:p w:rsidR="00773EBE" w:rsidRDefault="00773EBE" w:rsidP="00773EBE">
      <w:pPr>
        <w:spacing w:line="360" w:lineRule="auto"/>
        <w:rPr>
          <w:rFonts w:ascii="Palatino Linotype" w:eastAsia="Palatino Linotype" w:hAnsi="Palatino Linotype" w:cs="Palatino Linotype"/>
          <w:color w:val="000000" w:themeColor="text1"/>
        </w:rPr>
      </w:pPr>
    </w:p>
    <w:p w:rsidR="00773EBE" w:rsidRDefault="00773EBE" w:rsidP="00773EBE">
      <w:pPr>
        <w:spacing w:line="360" w:lineRule="auto"/>
        <w:rPr>
          <w:rFonts w:ascii="Palatino Linotype" w:eastAsia="Palatino Linotype" w:hAnsi="Palatino Linotype" w:cs="Palatino Linotype"/>
          <w:color w:val="000000" w:themeColor="text1"/>
        </w:rPr>
      </w:pPr>
    </w:p>
    <w:p w:rsidR="00773EBE" w:rsidRPr="00773EBE" w:rsidRDefault="00773EBE" w:rsidP="00773EBE">
      <w:pPr>
        <w:spacing w:line="360" w:lineRule="auto"/>
        <w:rPr>
          <w:rFonts w:ascii="Palatino Linotype" w:eastAsia="Palatino Linotype" w:hAnsi="Palatino Linotype" w:cs="Palatino Linotype"/>
          <w:color w:val="000000" w:themeColor="text1"/>
        </w:rPr>
      </w:pPr>
    </w:p>
    <w:sectPr w:rsidR="00773EBE" w:rsidRPr="00773EBE" w:rsidSect="006C0051">
      <w:headerReference w:type="default" r:id="rId16"/>
      <w:footerReference w:type="default" r:id="rId17"/>
      <w:headerReference w:type="first" r:id="rId18"/>
      <w:footerReference w:type="first" r:id="rId19"/>
      <w:pgSz w:w="12240" w:h="15840"/>
      <w:pgMar w:top="2410" w:right="900"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F85" w:rsidRDefault="00B46F85">
      <w:r>
        <w:separator/>
      </w:r>
    </w:p>
  </w:endnote>
  <w:endnote w:type="continuationSeparator" w:id="0">
    <w:p w:rsidR="00B46F85" w:rsidRDefault="00B46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EBFE892D-AE6F-4033-AA29-5C948DF2568E}"/>
    <w:embedBold r:id="rId2" w:fontKey="{18A7E0AC-F16B-4896-BD8F-92A53CA821E8}"/>
    <w:embedItalic r:id="rId3" w:fontKey="{CC43697D-094A-48F2-B44D-22623797DFEE}"/>
    <w:embedBoldItalic r:id="rId4" w:fontKey="{E93614CA-5328-4595-8677-B3202082C14C}"/>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5" w:fontKey="{2A71E73A-7667-4D5D-96A6-43C4C2C05BB9}"/>
  </w:font>
  <w:font w:name="Calibri">
    <w:panose1 w:val="020F0502020204030204"/>
    <w:charset w:val="00"/>
    <w:family w:val="swiss"/>
    <w:pitch w:val="variable"/>
    <w:sig w:usb0="E4002EFF" w:usb1="C200247B" w:usb2="00000009" w:usb3="00000000" w:csb0="000001FF" w:csb1="00000000"/>
    <w:embedRegular r:id="rId6" w:fontKey="{7DDC64A2-1958-42AF-ACBC-D7219BB7AC01}"/>
    <w:embedItalic r:id="rId7" w:fontKey="{46D50CA7-C060-4140-B079-F8AE0DB7655E}"/>
  </w:font>
  <w:font w:name="Calibri Light">
    <w:panose1 w:val="020F0302020204030204"/>
    <w:charset w:val="00"/>
    <w:family w:val="swiss"/>
    <w:pitch w:val="variable"/>
    <w:sig w:usb0="E4002EFF" w:usb1="C200247B" w:usb2="00000009" w:usb3="00000000" w:csb0="000001FF" w:csb1="00000000"/>
    <w:embedRegular r:id="rId8" w:fontKey="{D593514A-BEC3-4A04-97D3-60BAE923A744}"/>
  </w:font>
  <w:font w:name="Segoe UI">
    <w:panose1 w:val="020B0502040204020203"/>
    <w:charset w:val="00"/>
    <w:family w:val="swiss"/>
    <w:pitch w:val="variable"/>
    <w:sig w:usb0="E4002EFF" w:usb1="C000E47F" w:usb2="00000009" w:usb3="00000000" w:csb0="000001FF" w:csb1="00000000"/>
    <w:embedRegular r:id="rId9" w:fontKey="{55DFC381-DB24-4518-9432-D26BF84707F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5F4C78D8-979C-4AC8-9ADE-7150308113F6}"/>
  </w:font>
  <w:font w:name="Verdana">
    <w:panose1 w:val="020B0604030504040204"/>
    <w:charset w:val="00"/>
    <w:family w:val="swiss"/>
    <w:pitch w:val="variable"/>
    <w:sig w:usb0="A00006FF" w:usb1="4000205B" w:usb2="00000010" w:usb3="00000000" w:csb0="0000019F" w:csb1="00000000"/>
    <w:embedRegular r:id="rId11" w:fontKey="{762343E8-92B1-4336-BBF7-1E8B70CD56D4}"/>
  </w:font>
  <w:font w:name="Tahoma">
    <w:panose1 w:val="020B0604030504040204"/>
    <w:charset w:val="00"/>
    <w:family w:val="swiss"/>
    <w:pitch w:val="variable"/>
    <w:sig w:usb0="E1002EFF" w:usb1="C000605B" w:usb2="00000029" w:usb3="00000000" w:csb0="000101FF" w:csb1="00000000"/>
    <w:embedBold r:id="rId12" w:fontKey="{0BD82355-1B8E-4416-A370-2A5B0367AE5F}"/>
    <w:embedBoldItalic r:id="rId13" w:fontKey="{75707D5B-9CF2-4EC4-BCD0-2F1088506E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3A6" w:rsidRPr="006C0051" w:rsidRDefault="00B333A6">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0"/>
        <w:szCs w:val="20"/>
      </w:rPr>
    </w:pPr>
    <w:r w:rsidRPr="006C0051">
      <w:rPr>
        <w:rFonts w:ascii="Palatino Linotype" w:eastAsia="Arial" w:hAnsi="Palatino Linotype" w:cs="Arial"/>
        <w:b/>
        <w:bCs/>
        <w:color w:val="000000"/>
        <w:sz w:val="20"/>
        <w:szCs w:val="20"/>
      </w:rPr>
      <w:t xml:space="preserve">Página </w:t>
    </w:r>
    <w:r w:rsidRPr="006C0051">
      <w:rPr>
        <w:rFonts w:ascii="Palatino Linotype" w:eastAsia="Arial" w:hAnsi="Palatino Linotype" w:cs="Arial"/>
        <w:b/>
        <w:bCs/>
        <w:color w:val="000000"/>
        <w:sz w:val="20"/>
        <w:szCs w:val="20"/>
      </w:rPr>
      <w:fldChar w:fldCharType="begin"/>
    </w:r>
    <w:r w:rsidRPr="006C0051">
      <w:rPr>
        <w:rFonts w:ascii="Palatino Linotype" w:eastAsia="Arial" w:hAnsi="Palatino Linotype" w:cs="Arial"/>
        <w:b/>
        <w:bCs/>
        <w:color w:val="000000"/>
        <w:sz w:val="20"/>
        <w:szCs w:val="20"/>
      </w:rPr>
      <w:instrText>PAGE</w:instrText>
    </w:r>
    <w:r w:rsidRPr="006C0051">
      <w:rPr>
        <w:rFonts w:ascii="Palatino Linotype" w:eastAsia="Arial" w:hAnsi="Palatino Linotype" w:cs="Arial"/>
        <w:b/>
        <w:bCs/>
        <w:color w:val="000000"/>
        <w:sz w:val="20"/>
        <w:szCs w:val="20"/>
      </w:rPr>
      <w:fldChar w:fldCharType="separate"/>
    </w:r>
    <w:r w:rsidR="00200F28">
      <w:rPr>
        <w:rFonts w:ascii="Palatino Linotype" w:eastAsia="Arial" w:hAnsi="Palatino Linotype" w:cs="Arial"/>
        <w:b/>
        <w:bCs/>
        <w:noProof/>
        <w:color w:val="000000"/>
        <w:sz w:val="20"/>
        <w:szCs w:val="20"/>
      </w:rPr>
      <w:t>21</w:t>
    </w:r>
    <w:r w:rsidRPr="006C0051">
      <w:rPr>
        <w:rFonts w:ascii="Palatino Linotype" w:eastAsia="Arial" w:hAnsi="Palatino Linotype" w:cs="Arial"/>
        <w:b/>
        <w:bCs/>
        <w:color w:val="000000"/>
        <w:sz w:val="20"/>
        <w:szCs w:val="20"/>
      </w:rPr>
      <w:fldChar w:fldCharType="end"/>
    </w:r>
    <w:r w:rsidRPr="006C0051">
      <w:rPr>
        <w:rFonts w:ascii="Palatino Linotype" w:eastAsia="Arial" w:hAnsi="Palatino Linotype" w:cs="Arial"/>
        <w:color w:val="000000"/>
        <w:sz w:val="20"/>
        <w:szCs w:val="20"/>
      </w:rPr>
      <w:t xml:space="preserve"> de </w:t>
    </w:r>
    <w:r w:rsidRPr="006C0051">
      <w:rPr>
        <w:rFonts w:ascii="Palatino Linotype" w:eastAsia="Arial" w:hAnsi="Palatino Linotype" w:cs="Arial"/>
        <w:b/>
        <w:bCs/>
        <w:color w:val="000000"/>
        <w:sz w:val="20"/>
        <w:szCs w:val="20"/>
      </w:rPr>
      <w:fldChar w:fldCharType="begin"/>
    </w:r>
    <w:r w:rsidRPr="006C0051">
      <w:rPr>
        <w:rFonts w:ascii="Palatino Linotype" w:eastAsia="Arial" w:hAnsi="Palatino Linotype" w:cs="Arial"/>
        <w:b/>
        <w:bCs/>
        <w:color w:val="000000"/>
        <w:sz w:val="20"/>
        <w:szCs w:val="20"/>
      </w:rPr>
      <w:instrText>NUMPAGES</w:instrText>
    </w:r>
    <w:r w:rsidRPr="006C0051">
      <w:rPr>
        <w:rFonts w:ascii="Palatino Linotype" w:eastAsia="Arial" w:hAnsi="Palatino Linotype" w:cs="Arial"/>
        <w:b/>
        <w:bCs/>
        <w:color w:val="000000"/>
        <w:sz w:val="20"/>
        <w:szCs w:val="20"/>
      </w:rPr>
      <w:fldChar w:fldCharType="separate"/>
    </w:r>
    <w:r w:rsidR="00200F28">
      <w:rPr>
        <w:rFonts w:ascii="Palatino Linotype" w:eastAsia="Arial" w:hAnsi="Palatino Linotype" w:cs="Arial"/>
        <w:b/>
        <w:bCs/>
        <w:noProof/>
        <w:color w:val="000000"/>
        <w:sz w:val="20"/>
        <w:szCs w:val="20"/>
      </w:rPr>
      <w:t>58</w:t>
    </w:r>
    <w:r w:rsidRPr="006C0051">
      <w:rPr>
        <w:rFonts w:ascii="Palatino Linotype" w:eastAsia="Arial" w:hAnsi="Palatino Linotype" w:cs="Arial"/>
        <w:b/>
        <w:bCs/>
        <w:color w:val="000000"/>
        <w:sz w:val="20"/>
        <w:szCs w:val="20"/>
      </w:rPr>
      <w:fldChar w:fldCharType="end"/>
    </w:r>
  </w:p>
  <w:p w:rsidR="00B333A6" w:rsidRDefault="00B333A6">
    <w:pPr>
      <w:pBdr>
        <w:top w:val="nil"/>
        <w:left w:val="nil"/>
        <w:bottom w:val="nil"/>
        <w:right w:val="nil"/>
        <w:between w:val="nil"/>
      </w:pBdr>
      <w:tabs>
        <w:tab w:val="center" w:pos="4252"/>
        <w:tab w:val="right" w:pos="8504"/>
      </w:tabs>
      <w:rPr>
        <w:color w:val="000000"/>
      </w:rPr>
    </w:pPr>
  </w:p>
  <w:p w:rsidR="00B333A6" w:rsidRDefault="00B333A6">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3A6" w:rsidRPr="006C0051" w:rsidRDefault="00B333A6">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0"/>
        <w:szCs w:val="20"/>
      </w:rPr>
    </w:pPr>
    <w:r w:rsidRPr="006C0051">
      <w:rPr>
        <w:rFonts w:ascii="Palatino Linotype" w:eastAsia="Arial" w:hAnsi="Palatino Linotype" w:cs="Arial"/>
        <w:b/>
        <w:bCs/>
        <w:color w:val="000000"/>
        <w:sz w:val="20"/>
        <w:szCs w:val="20"/>
      </w:rPr>
      <w:t xml:space="preserve">Página </w:t>
    </w:r>
    <w:r w:rsidRPr="006C0051">
      <w:rPr>
        <w:rFonts w:ascii="Palatino Linotype" w:eastAsia="Arial" w:hAnsi="Palatino Linotype" w:cs="Arial"/>
        <w:b/>
        <w:bCs/>
        <w:color w:val="000000"/>
        <w:sz w:val="20"/>
        <w:szCs w:val="20"/>
      </w:rPr>
      <w:fldChar w:fldCharType="begin"/>
    </w:r>
    <w:r w:rsidRPr="006C0051">
      <w:rPr>
        <w:rFonts w:ascii="Palatino Linotype" w:eastAsia="Arial" w:hAnsi="Palatino Linotype" w:cs="Arial"/>
        <w:b/>
        <w:bCs/>
        <w:color w:val="000000"/>
        <w:sz w:val="20"/>
        <w:szCs w:val="20"/>
      </w:rPr>
      <w:instrText>PAGE</w:instrText>
    </w:r>
    <w:r w:rsidRPr="006C0051">
      <w:rPr>
        <w:rFonts w:ascii="Palatino Linotype" w:eastAsia="Arial" w:hAnsi="Palatino Linotype" w:cs="Arial"/>
        <w:b/>
        <w:bCs/>
        <w:color w:val="000000"/>
        <w:sz w:val="20"/>
        <w:szCs w:val="20"/>
      </w:rPr>
      <w:fldChar w:fldCharType="separate"/>
    </w:r>
    <w:r w:rsidR="00200F28">
      <w:rPr>
        <w:rFonts w:ascii="Palatino Linotype" w:eastAsia="Arial" w:hAnsi="Palatino Linotype" w:cs="Arial"/>
        <w:b/>
        <w:bCs/>
        <w:noProof/>
        <w:color w:val="000000"/>
        <w:sz w:val="20"/>
        <w:szCs w:val="20"/>
      </w:rPr>
      <w:t>1</w:t>
    </w:r>
    <w:r w:rsidRPr="006C0051">
      <w:rPr>
        <w:rFonts w:ascii="Palatino Linotype" w:eastAsia="Arial" w:hAnsi="Palatino Linotype" w:cs="Arial"/>
        <w:b/>
        <w:bCs/>
        <w:color w:val="000000"/>
        <w:sz w:val="20"/>
        <w:szCs w:val="20"/>
      </w:rPr>
      <w:fldChar w:fldCharType="end"/>
    </w:r>
    <w:r w:rsidRPr="006C0051">
      <w:rPr>
        <w:rFonts w:ascii="Palatino Linotype" w:eastAsia="Arial" w:hAnsi="Palatino Linotype" w:cs="Arial"/>
        <w:color w:val="000000"/>
        <w:sz w:val="20"/>
        <w:szCs w:val="20"/>
      </w:rPr>
      <w:t xml:space="preserve"> de </w:t>
    </w:r>
    <w:r w:rsidRPr="006C0051">
      <w:rPr>
        <w:rFonts w:ascii="Palatino Linotype" w:eastAsia="Arial" w:hAnsi="Palatino Linotype" w:cs="Arial"/>
        <w:b/>
        <w:bCs/>
        <w:color w:val="000000"/>
        <w:sz w:val="20"/>
        <w:szCs w:val="20"/>
      </w:rPr>
      <w:fldChar w:fldCharType="begin"/>
    </w:r>
    <w:r w:rsidRPr="006C0051">
      <w:rPr>
        <w:rFonts w:ascii="Palatino Linotype" w:eastAsia="Arial" w:hAnsi="Palatino Linotype" w:cs="Arial"/>
        <w:b/>
        <w:bCs/>
        <w:color w:val="000000"/>
        <w:sz w:val="20"/>
        <w:szCs w:val="20"/>
      </w:rPr>
      <w:instrText>NUMPAGES</w:instrText>
    </w:r>
    <w:r w:rsidRPr="006C0051">
      <w:rPr>
        <w:rFonts w:ascii="Palatino Linotype" w:eastAsia="Arial" w:hAnsi="Palatino Linotype" w:cs="Arial"/>
        <w:b/>
        <w:bCs/>
        <w:color w:val="000000"/>
        <w:sz w:val="20"/>
        <w:szCs w:val="20"/>
      </w:rPr>
      <w:fldChar w:fldCharType="separate"/>
    </w:r>
    <w:r w:rsidR="00200F28">
      <w:rPr>
        <w:rFonts w:ascii="Palatino Linotype" w:eastAsia="Arial" w:hAnsi="Palatino Linotype" w:cs="Arial"/>
        <w:b/>
        <w:bCs/>
        <w:noProof/>
        <w:color w:val="000000"/>
        <w:sz w:val="20"/>
        <w:szCs w:val="20"/>
      </w:rPr>
      <w:t>58</w:t>
    </w:r>
    <w:r w:rsidRPr="006C0051">
      <w:rPr>
        <w:rFonts w:ascii="Palatino Linotype" w:eastAsia="Arial" w:hAnsi="Palatino Linotype" w:cs="Arial"/>
        <w:b/>
        <w:bCs/>
        <w:color w:val="000000"/>
        <w:sz w:val="20"/>
        <w:szCs w:val="20"/>
      </w:rPr>
      <w:fldChar w:fldCharType="end"/>
    </w:r>
  </w:p>
  <w:p w:rsidR="00B333A6" w:rsidRDefault="00B333A6">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F85" w:rsidRDefault="00B46F85">
      <w:r>
        <w:separator/>
      </w:r>
    </w:p>
  </w:footnote>
  <w:footnote w:type="continuationSeparator" w:id="0">
    <w:p w:rsidR="00B46F85" w:rsidRDefault="00B46F85">
      <w:r>
        <w:continuationSeparator/>
      </w:r>
    </w:p>
  </w:footnote>
  <w:footnote w:id="1">
    <w:p w:rsidR="00B333A6" w:rsidRDefault="00B333A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B333A6" w:rsidRDefault="00B333A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B333A6" w:rsidRDefault="00B333A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B333A6" w:rsidRDefault="00B333A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rsidR="00B333A6" w:rsidRDefault="00B333A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Ley de Transparencia y Acceso a la Información Pública del Estado de México y Municipios.</w:t>
      </w:r>
    </w:p>
    <w:p w:rsidR="00B333A6" w:rsidRDefault="00B333A6">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Artículo 151. Ibídem.</w:t>
      </w:r>
    </w:p>
  </w:footnote>
  <w:footnote w:id="6">
    <w:p w:rsidR="00B333A6" w:rsidRDefault="00B333A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Fracción IV. Artículo 53.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7229" w:type="dxa"/>
      <w:tblInd w:w="2977" w:type="dxa"/>
      <w:tblLayout w:type="fixed"/>
      <w:tblLook w:val="0400" w:firstRow="0" w:lastRow="0" w:firstColumn="0" w:lastColumn="0" w:noHBand="0" w:noVBand="1"/>
    </w:tblPr>
    <w:tblGrid>
      <w:gridCol w:w="2693"/>
      <w:gridCol w:w="4536"/>
    </w:tblGrid>
    <w:tr w:rsidR="00B333A6" w:rsidTr="00773EBE">
      <w:tc>
        <w:tcPr>
          <w:tcW w:w="2693" w:type="dxa"/>
          <w:vAlign w:val="center"/>
        </w:tcPr>
        <w:p w:rsidR="00B333A6" w:rsidRPr="00773EBE" w:rsidRDefault="00B333A6" w:rsidP="00773EBE">
          <w:pPr>
            <w:ind w:right="-115"/>
            <w:rPr>
              <w:rFonts w:ascii="Palatino Linotype" w:eastAsia="Palatino Linotype" w:hAnsi="Palatino Linotype" w:cs="Palatino Linotype"/>
              <w:b/>
              <w:bCs/>
              <w:color w:val="000000" w:themeColor="text1"/>
            </w:rPr>
          </w:pPr>
          <w:r w:rsidRPr="00773EBE">
            <w:rPr>
              <w:rFonts w:ascii="Palatino Linotype" w:eastAsia="Palatino Linotype" w:hAnsi="Palatino Linotype" w:cs="Palatino Linotype"/>
              <w:b/>
              <w:bCs/>
              <w:color w:val="000000" w:themeColor="text1"/>
            </w:rPr>
            <w:t>Recurso de Revisión:</w:t>
          </w:r>
        </w:p>
      </w:tc>
      <w:tc>
        <w:tcPr>
          <w:tcW w:w="4536" w:type="dxa"/>
          <w:vAlign w:val="center"/>
        </w:tcPr>
        <w:p w:rsidR="00B333A6" w:rsidRPr="00773EBE" w:rsidRDefault="00B333A6" w:rsidP="006C0051">
          <w:pPr>
            <w:ind w:left="-115"/>
            <w:rPr>
              <w:rFonts w:ascii="Palatino Linotype" w:eastAsia="Palatino Linotype" w:hAnsi="Palatino Linotype" w:cs="Palatino Linotype"/>
              <w:bCs/>
              <w:color w:val="000000" w:themeColor="text1"/>
            </w:rPr>
          </w:pPr>
          <w:r w:rsidRPr="00773EBE">
            <w:rPr>
              <w:rFonts w:ascii="Palatino Linotype" w:eastAsia="Palatino Linotype" w:hAnsi="Palatino Linotype" w:cs="Palatino Linotype"/>
              <w:bCs/>
              <w:color w:val="000000" w:themeColor="text1"/>
            </w:rPr>
            <w:t>07728/INFOEM/IP/RR/2025</w:t>
          </w:r>
        </w:p>
      </w:tc>
    </w:tr>
    <w:tr w:rsidR="00B333A6" w:rsidTr="00773EBE">
      <w:trPr>
        <w:trHeight w:val="228"/>
      </w:trPr>
      <w:tc>
        <w:tcPr>
          <w:tcW w:w="2693" w:type="dxa"/>
          <w:vAlign w:val="center"/>
        </w:tcPr>
        <w:p w:rsidR="00B333A6" w:rsidRDefault="00B333A6" w:rsidP="00773EBE">
          <w:pPr>
            <w:ind w:right="-115"/>
            <w:rPr>
              <w:rFonts w:ascii="Palatino Linotype" w:eastAsia="Palatino Linotype" w:hAnsi="Palatino Linotype" w:cs="Palatino Linotype"/>
              <w:b/>
              <w:bCs/>
              <w:color w:val="000000" w:themeColor="text1"/>
            </w:rPr>
          </w:pPr>
          <w:r w:rsidRPr="00773EBE">
            <w:rPr>
              <w:rFonts w:ascii="Palatino Linotype" w:eastAsia="Palatino Linotype" w:hAnsi="Palatino Linotype" w:cs="Palatino Linotype"/>
              <w:b/>
              <w:bCs/>
              <w:color w:val="000000" w:themeColor="text1"/>
            </w:rPr>
            <w:t>Sujeto Obligado:</w:t>
          </w:r>
        </w:p>
        <w:p w:rsidR="00773EBE" w:rsidRPr="00773EBE" w:rsidRDefault="00773EBE" w:rsidP="00773EBE">
          <w:pPr>
            <w:ind w:right="-115"/>
            <w:rPr>
              <w:rFonts w:ascii="Palatino Linotype" w:eastAsia="Palatino Linotype" w:hAnsi="Palatino Linotype" w:cs="Palatino Linotype"/>
              <w:b/>
              <w:bCs/>
              <w:color w:val="000000" w:themeColor="text1"/>
            </w:rPr>
          </w:pPr>
        </w:p>
      </w:tc>
      <w:tc>
        <w:tcPr>
          <w:tcW w:w="4536" w:type="dxa"/>
          <w:vAlign w:val="center"/>
        </w:tcPr>
        <w:p w:rsidR="00B333A6" w:rsidRPr="00773EBE" w:rsidRDefault="00B333A6" w:rsidP="006C0051">
          <w:pPr>
            <w:ind w:left="-115"/>
            <w:rPr>
              <w:rFonts w:ascii="Palatino Linotype" w:eastAsia="Palatino Linotype" w:hAnsi="Palatino Linotype" w:cs="Palatino Linotype"/>
              <w:bCs/>
              <w:color w:val="000000" w:themeColor="text1"/>
            </w:rPr>
          </w:pPr>
          <w:r w:rsidRPr="00773EBE">
            <w:rPr>
              <w:rFonts w:ascii="Palatino Linotype" w:eastAsia="Palatino Linotype" w:hAnsi="Palatino Linotype" w:cs="Palatino Linotype"/>
              <w:bCs/>
              <w:color w:val="000000" w:themeColor="text1"/>
            </w:rPr>
            <w:t>Tecnológico de Estudios Superiores del Oriente del Estado de México</w:t>
          </w:r>
        </w:p>
      </w:tc>
    </w:tr>
    <w:tr w:rsidR="00B333A6" w:rsidTr="00773EBE">
      <w:tc>
        <w:tcPr>
          <w:tcW w:w="2693" w:type="dxa"/>
          <w:vAlign w:val="center"/>
        </w:tcPr>
        <w:p w:rsidR="00B333A6" w:rsidRPr="00773EBE" w:rsidRDefault="00B333A6" w:rsidP="00773EBE">
          <w:pPr>
            <w:ind w:right="-115"/>
            <w:rPr>
              <w:rFonts w:ascii="Palatino Linotype" w:eastAsia="Palatino Linotype" w:hAnsi="Palatino Linotype" w:cs="Palatino Linotype"/>
              <w:b/>
              <w:bCs/>
              <w:color w:val="000000" w:themeColor="text1"/>
            </w:rPr>
          </w:pPr>
          <w:r w:rsidRPr="00773EBE">
            <w:rPr>
              <w:rFonts w:ascii="Palatino Linotype" w:eastAsia="Palatino Linotype" w:hAnsi="Palatino Linotype" w:cs="Palatino Linotype"/>
              <w:b/>
              <w:bCs/>
              <w:color w:val="000000" w:themeColor="text1"/>
            </w:rPr>
            <w:t>Comisionada Ponente:</w:t>
          </w:r>
        </w:p>
      </w:tc>
      <w:tc>
        <w:tcPr>
          <w:tcW w:w="4536" w:type="dxa"/>
          <w:vAlign w:val="center"/>
        </w:tcPr>
        <w:p w:rsidR="00B333A6" w:rsidRPr="00773EBE" w:rsidRDefault="00B333A6" w:rsidP="006C0051">
          <w:pPr>
            <w:ind w:left="-115"/>
            <w:rPr>
              <w:rFonts w:ascii="Palatino Linotype" w:eastAsia="Palatino Linotype" w:hAnsi="Palatino Linotype" w:cs="Palatino Linotype"/>
              <w:bCs/>
              <w:color w:val="000000" w:themeColor="text1"/>
            </w:rPr>
          </w:pPr>
          <w:r w:rsidRPr="00773EBE">
            <w:rPr>
              <w:rFonts w:ascii="Palatino Linotype" w:eastAsia="Palatino Linotype" w:hAnsi="Palatino Linotype" w:cs="Palatino Linotype"/>
              <w:bCs/>
              <w:color w:val="000000" w:themeColor="text1"/>
            </w:rPr>
            <w:t>María del Rosario Mejía Ayala</w:t>
          </w:r>
        </w:p>
      </w:tc>
    </w:tr>
  </w:tbl>
  <w:p w:rsidR="00B333A6" w:rsidRDefault="006C0051">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noProof/>
      </w:rPr>
      <w:drawing>
        <wp:anchor distT="0" distB="0" distL="0" distR="0" simplePos="0" relativeHeight="251660288" behindDoc="1" locked="0" layoutInCell="1" hidden="0" allowOverlap="1" wp14:anchorId="1BBD7B7D" wp14:editId="4F372ED2">
          <wp:simplePos x="0" y="0"/>
          <wp:positionH relativeFrom="page">
            <wp:align>left</wp:align>
          </wp:positionH>
          <wp:positionV relativeFrom="paragraph">
            <wp:posOffset>-1207555</wp:posOffset>
          </wp:positionV>
          <wp:extent cx="7813085" cy="10170000"/>
          <wp:effectExtent l="0" t="0" r="0" b="3175"/>
          <wp:wrapNone/>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r w:rsidR="00B333A6">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7087" w:type="dxa"/>
      <w:tblInd w:w="2835" w:type="dxa"/>
      <w:tblLayout w:type="fixed"/>
      <w:tblLook w:val="0400" w:firstRow="0" w:lastRow="0" w:firstColumn="0" w:lastColumn="0" w:noHBand="0" w:noVBand="1"/>
    </w:tblPr>
    <w:tblGrid>
      <w:gridCol w:w="2693"/>
      <w:gridCol w:w="4394"/>
    </w:tblGrid>
    <w:tr w:rsidR="00773EBE" w:rsidRPr="00773EBE" w:rsidTr="006C0051">
      <w:tc>
        <w:tcPr>
          <w:tcW w:w="2693" w:type="dxa"/>
          <w:vAlign w:val="center"/>
        </w:tcPr>
        <w:p w:rsidR="00B333A6" w:rsidRPr="00773EBE" w:rsidRDefault="00B333A6" w:rsidP="00773EBE">
          <w:pPr>
            <w:ind w:right="-115"/>
            <w:rPr>
              <w:rFonts w:ascii="Palatino Linotype" w:eastAsia="Palatino Linotype" w:hAnsi="Palatino Linotype" w:cs="Palatino Linotype"/>
              <w:b/>
              <w:bCs/>
              <w:color w:val="000000" w:themeColor="text1"/>
            </w:rPr>
          </w:pPr>
          <w:r w:rsidRPr="00773EBE">
            <w:rPr>
              <w:rFonts w:ascii="Palatino Linotype" w:eastAsia="Palatino Linotype" w:hAnsi="Palatino Linotype" w:cs="Palatino Linotype"/>
              <w:b/>
              <w:bCs/>
              <w:color w:val="000000" w:themeColor="text1"/>
            </w:rPr>
            <w:t>Recurso de Revisión:</w:t>
          </w:r>
        </w:p>
      </w:tc>
      <w:tc>
        <w:tcPr>
          <w:tcW w:w="4394" w:type="dxa"/>
          <w:vAlign w:val="center"/>
        </w:tcPr>
        <w:p w:rsidR="00B333A6" w:rsidRPr="00773EBE" w:rsidRDefault="00B333A6" w:rsidP="006C0051">
          <w:pPr>
            <w:rPr>
              <w:rFonts w:ascii="Palatino Linotype" w:eastAsia="Palatino Linotype" w:hAnsi="Palatino Linotype" w:cs="Palatino Linotype"/>
              <w:bCs/>
              <w:color w:val="000000" w:themeColor="text1"/>
            </w:rPr>
          </w:pPr>
          <w:r w:rsidRPr="00773EBE">
            <w:rPr>
              <w:rFonts w:ascii="Palatino Linotype" w:eastAsia="Palatino Linotype" w:hAnsi="Palatino Linotype" w:cs="Palatino Linotype"/>
              <w:bCs/>
              <w:color w:val="000000" w:themeColor="text1"/>
            </w:rPr>
            <w:t xml:space="preserve">07728/INFOEM/IP/RR/2025 </w:t>
          </w:r>
        </w:p>
      </w:tc>
    </w:tr>
    <w:tr w:rsidR="00773EBE" w:rsidRPr="00773EBE" w:rsidTr="006C0051">
      <w:tc>
        <w:tcPr>
          <w:tcW w:w="2693" w:type="dxa"/>
          <w:vAlign w:val="center"/>
        </w:tcPr>
        <w:p w:rsidR="00B333A6" w:rsidRPr="00773EBE" w:rsidRDefault="00B333A6" w:rsidP="00773EBE">
          <w:pPr>
            <w:ind w:left="35" w:right="-115" w:hanging="35"/>
            <w:rPr>
              <w:rFonts w:ascii="Palatino Linotype" w:eastAsia="Palatino Linotype" w:hAnsi="Palatino Linotype" w:cs="Palatino Linotype"/>
              <w:b/>
              <w:bCs/>
              <w:color w:val="000000" w:themeColor="text1"/>
            </w:rPr>
          </w:pPr>
          <w:r w:rsidRPr="00773EBE">
            <w:rPr>
              <w:rFonts w:ascii="Palatino Linotype" w:eastAsia="Palatino Linotype" w:hAnsi="Palatino Linotype" w:cs="Palatino Linotype"/>
              <w:b/>
              <w:bCs/>
              <w:color w:val="000000" w:themeColor="text1"/>
            </w:rPr>
            <w:t>Recurrente:</w:t>
          </w:r>
        </w:p>
      </w:tc>
      <w:tc>
        <w:tcPr>
          <w:tcW w:w="4394" w:type="dxa"/>
          <w:vAlign w:val="center"/>
        </w:tcPr>
        <w:p w:rsidR="00B333A6" w:rsidRPr="00773EBE" w:rsidRDefault="00200F28" w:rsidP="006C0051">
          <w:pPr>
            <w:rPr>
              <w:rFonts w:ascii="Palatino Linotype" w:eastAsia="Palatino Linotype" w:hAnsi="Palatino Linotype" w:cs="Palatino Linotype"/>
              <w:bCs/>
              <w:color w:val="000000" w:themeColor="text1"/>
            </w:rPr>
          </w:pPr>
          <w:r>
            <w:rPr>
              <w:rFonts w:ascii="Palatino Linotype" w:eastAsia="Palatino Linotype" w:hAnsi="Palatino Linotype" w:cs="Palatino Linotype"/>
              <w:bCs/>
              <w:color w:val="000000" w:themeColor="text1"/>
            </w:rPr>
            <w:t>XXXX</w:t>
          </w:r>
        </w:p>
      </w:tc>
    </w:tr>
    <w:tr w:rsidR="00773EBE" w:rsidRPr="00773EBE" w:rsidTr="006C0051">
      <w:trPr>
        <w:trHeight w:val="228"/>
      </w:trPr>
      <w:tc>
        <w:tcPr>
          <w:tcW w:w="2693" w:type="dxa"/>
          <w:vAlign w:val="center"/>
        </w:tcPr>
        <w:p w:rsidR="00B333A6" w:rsidRDefault="00B333A6" w:rsidP="00773EBE">
          <w:pPr>
            <w:ind w:right="-115"/>
            <w:rPr>
              <w:rFonts w:ascii="Palatino Linotype" w:eastAsia="Palatino Linotype" w:hAnsi="Palatino Linotype" w:cs="Palatino Linotype"/>
              <w:b/>
              <w:bCs/>
              <w:color w:val="000000" w:themeColor="text1"/>
            </w:rPr>
          </w:pPr>
          <w:r w:rsidRPr="00773EBE">
            <w:rPr>
              <w:rFonts w:ascii="Palatino Linotype" w:eastAsia="Palatino Linotype" w:hAnsi="Palatino Linotype" w:cs="Palatino Linotype"/>
              <w:b/>
              <w:bCs/>
              <w:color w:val="000000" w:themeColor="text1"/>
            </w:rPr>
            <w:t>Sujeto Obligado:</w:t>
          </w:r>
        </w:p>
        <w:p w:rsidR="00773EBE" w:rsidRPr="00773EBE" w:rsidRDefault="00773EBE" w:rsidP="00773EBE">
          <w:pPr>
            <w:ind w:right="-115"/>
            <w:rPr>
              <w:rFonts w:ascii="Palatino Linotype" w:eastAsia="Palatino Linotype" w:hAnsi="Palatino Linotype" w:cs="Palatino Linotype"/>
              <w:b/>
              <w:bCs/>
              <w:color w:val="000000" w:themeColor="text1"/>
            </w:rPr>
          </w:pPr>
        </w:p>
      </w:tc>
      <w:tc>
        <w:tcPr>
          <w:tcW w:w="4394" w:type="dxa"/>
          <w:vAlign w:val="center"/>
        </w:tcPr>
        <w:p w:rsidR="00B333A6" w:rsidRPr="00773EBE" w:rsidRDefault="00B333A6" w:rsidP="006C0051">
          <w:pPr>
            <w:ind w:hanging="35"/>
            <w:rPr>
              <w:rFonts w:ascii="Palatino Linotype" w:eastAsia="Palatino Linotype" w:hAnsi="Palatino Linotype" w:cs="Palatino Linotype"/>
              <w:color w:val="000000" w:themeColor="text1"/>
            </w:rPr>
          </w:pPr>
          <w:r w:rsidRPr="00773EBE">
            <w:rPr>
              <w:rFonts w:ascii="Palatino Linotype" w:eastAsia="Palatino Linotype" w:hAnsi="Palatino Linotype" w:cs="Palatino Linotype"/>
              <w:bCs/>
              <w:color w:val="000000" w:themeColor="text1"/>
            </w:rPr>
            <w:t>Tecnológico de Estudios Superiores del Oriente del Estado de México</w:t>
          </w:r>
        </w:p>
      </w:tc>
    </w:tr>
    <w:tr w:rsidR="00773EBE" w:rsidRPr="00773EBE" w:rsidTr="006C0051">
      <w:tc>
        <w:tcPr>
          <w:tcW w:w="2693" w:type="dxa"/>
          <w:vAlign w:val="center"/>
        </w:tcPr>
        <w:p w:rsidR="00B333A6" w:rsidRPr="00773EBE" w:rsidRDefault="00B333A6" w:rsidP="00773EBE">
          <w:pPr>
            <w:ind w:right="-115"/>
            <w:rPr>
              <w:rFonts w:ascii="Palatino Linotype" w:eastAsia="Palatino Linotype" w:hAnsi="Palatino Linotype" w:cs="Palatino Linotype"/>
              <w:b/>
              <w:bCs/>
              <w:color w:val="000000" w:themeColor="text1"/>
            </w:rPr>
          </w:pPr>
          <w:r w:rsidRPr="00773EBE">
            <w:rPr>
              <w:rFonts w:ascii="Palatino Linotype" w:eastAsia="Palatino Linotype" w:hAnsi="Palatino Linotype" w:cs="Palatino Linotype"/>
              <w:b/>
              <w:bCs/>
              <w:color w:val="000000" w:themeColor="text1"/>
            </w:rPr>
            <w:t>Comisionada Ponente:</w:t>
          </w:r>
        </w:p>
      </w:tc>
      <w:tc>
        <w:tcPr>
          <w:tcW w:w="4394" w:type="dxa"/>
          <w:vAlign w:val="center"/>
        </w:tcPr>
        <w:p w:rsidR="00B333A6" w:rsidRPr="00773EBE" w:rsidRDefault="00B333A6" w:rsidP="006C0051">
          <w:pPr>
            <w:rPr>
              <w:rFonts w:ascii="Palatino Linotype" w:eastAsia="Palatino Linotype" w:hAnsi="Palatino Linotype" w:cs="Palatino Linotype"/>
              <w:bCs/>
              <w:color w:val="000000" w:themeColor="text1"/>
            </w:rPr>
          </w:pPr>
          <w:r w:rsidRPr="00773EBE">
            <w:rPr>
              <w:rFonts w:ascii="Palatino Linotype" w:eastAsia="Palatino Linotype" w:hAnsi="Palatino Linotype" w:cs="Palatino Linotype"/>
              <w:bCs/>
              <w:color w:val="000000" w:themeColor="text1"/>
            </w:rPr>
            <w:t>María del Rosario Mejía Ayala</w:t>
          </w:r>
        </w:p>
      </w:tc>
    </w:tr>
  </w:tbl>
  <w:p w:rsidR="00B333A6" w:rsidRDefault="006C0051">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0" distR="0" simplePos="0" relativeHeight="251658240" behindDoc="1" locked="0" layoutInCell="1" hidden="0" allowOverlap="1">
          <wp:simplePos x="0" y="0"/>
          <wp:positionH relativeFrom="page">
            <wp:align>right</wp:align>
          </wp:positionH>
          <wp:positionV relativeFrom="paragraph">
            <wp:posOffset>-1559680</wp:posOffset>
          </wp:positionV>
          <wp:extent cx="7813085" cy="10170000"/>
          <wp:effectExtent l="0" t="0" r="0" b="3175"/>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D3641C"/>
    <w:multiLevelType w:val="multilevel"/>
    <w:tmpl w:val="963E6730"/>
    <w:lvl w:ilvl="0">
      <w:start w:val="1"/>
      <w:numFmt w:val="decimal"/>
      <w:lvlText w:val="%1."/>
      <w:lvlJc w:val="left"/>
      <w:pPr>
        <w:ind w:left="1495" w:hanging="360"/>
      </w:pPr>
      <w:rPr>
        <w:b/>
        <w:bCs/>
        <w:i w:val="0"/>
        <w:iCs w:val="0"/>
        <w:color w:val="000000"/>
        <w:sz w:val="24"/>
        <w:szCs w:val="24"/>
      </w:rPr>
    </w:lvl>
    <w:lvl w:ilvl="1">
      <w:start w:val="1"/>
      <w:numFmt w:val="lowerLetter"/>
      <w:lvlText w:val="%2."/>
      <w:lvlJc w:val="left"/>
      <w:pPr>
        <w:ind w:left="1440" w:hanging="360"/>
      </w:pPr>
    </w:lvl>
    <w:lvl w:ilvl="2">
      <w:numFmt w:val="bullet"/>
      <w:lvlText w:val="•"/>
      <w:lvlJc w:val="left"/>
      <w:pPr>
        <w:ind w:left="2340" w:hanging="360"/>
      </w:pPr>
      <w:rPr>
        <w:rFonts w:ascii="Palatino Linotype" w:eastAsia="Palatino Linotype" w:hAnsi="Palatino Linotype" w:cs="Palatino Linotype"/>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8391BAA"/>
    <w:multiLevelType w:val="hybridMultilevel"/>
    <w:tmpl w:val="989E8E4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A560DE"/>
    <w:multiLevelType w:val="multilevel"/>
    <w:tmpl w:val="F042B21C"/>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 w15:restartNumberingAfterBreak="0">
    <w:nsid w:val="3C9D06D7"/>
    <w:multiLevelType w:val="multilevel"/>
    <w:tmpl w:val="320EBEB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4" w15:restartNumberingAfterBreak="0">
    <w:nsid w:val="435C5243"/>
    <w:multiLevelType w:val="multilevel"/>
    <w:tmpl w:val="21809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92A036E"/>
    <w:multiLevelType w:val="multilevel"/>
    <w:tmpl w:val="817CF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lowerLetter"/>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20118B"/>
    <w:multiLevelType w:val="multilevel"/>
    <w:tmpl w:val="8E84CA52"/>
    <w:lvl w:ilvl="0">
      <w:start w:val="50"/>
      <w:numFmt w:val="decimal"/>
      <w:lvlText w:val="%1."/>
      <w:lvlJc w:val="left"/>
      <w:pPr>
        <w:ind w:left="142" w:firstLine="0"/>
      </w:pPr>
      <w:rPr>
        <w:rFonts w:ascii="Palatino Linotype" w:eastAsia="Palatino Linotype" w:hAnsi="Palatino Linotype" w:cs="Palatino Linotype" w:hint="default"/>
        <w:b/>
        <w:i w:val="0"/>
        <w:sz w:val="24"/>
        <w:szCs w:val="24"/>
      </w:rPr>
    </w:lvl>
    <w:lvl w:ilvl="1">
      <w:start w:val="1"/>
      <w:numFmt w:val="lowerLetter"/>
      <w:lvlText w:val="%2)"/>
      <w:lvlJc w:val="left"/>
      <w:pPr>
        <w:ind w:left="1582" w:hanging="360"/>
      </w:pPr>
      <w:rPr>
        <w:rFonts w:hint="default"/>
        <w:b/>
        <w:i w:val="0"/>
      </w:rPr>
    </w:lvl>
    <w:lvl w:ilvl="2">
      <w:start w:val="1"/>
      <w:numFmt w:val="bullet"/>
      <w:lvlText w:val="⮚"/>
      <w:lvlJc w:val="left"/>
      <w:pPr>
        <w:ind w:left="2482" w:hanging="360"/>
      </w:pPr>
      <w:rPr>
        <w:rFonts w:ascii="Noto Sans Symbols" w:eastAsia="Noto Sans Symbols" w:hAnsi="Noto Sans Symbols" w:cs="Noto Sans Symbols" w:hint="default"/>
        <w:strike w:val="0"/>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7" w15:restartNumberingAfterBreak="0">
    <w:nsid w:val="58656813"/>
    <w:multiLevelType w:val="hybridMultilevel"/>
    <w:tmpl w:val="38F80C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48553ED"/>
    <w:multiLevelType w:val="multilevel"/>
    <w:tmpl w:val="EC981E1A"/>
    <w:lvl w:ilvl="0">
      <w:start w:val="35"/>
      <w:numFmt w:val="decimal"/>
      <w:lvlText w:val="%1."/>
      <w:lvlJc w:val="left"/>
      <w:pPr>
        <w:ind w:left="1211" w:hanging="360"/>
      </w:pPr>
      <w:rPr>
        <w:rFonts w:hint="default"/>
        <w:b/>
        <w:i w:val="0"/>
        <w:color w:val="000000"/>
        <w:sz w:val="24"/>
        <w:szCs w:val="24"/>
      </w:rPr>
    </w:lvl>
    <w:lvl w:ilvl="1">
      <w:start w:val="1"/>
      <w:numFmt w:val="lowerLetter"/>
      <w:lvlText w:val="%2."/>
      <w:lvlJc w:val="left"/>
      <w:pPr>
        <w:ind w:left="1440" w:hanging="360"/>
      </w:pPr>
      <w:rPr>
        <w:rFonts w:hint="default"/>
      </w:rPr>
    </w:lvl>
    <w:lvl w:ilvl="2">
      <w:numFmt w:val="bullet"/>
      <w:lvlText w:val="•"/>
      <w:lvlJc w:val="left"/>
      <w:pPr>
        <w:ind w:left="2340" w:hanging="360"/>
      </w:pPr>
      <w:rPr>
        <w:rFonts w:ascii="Palatino Linotype" w:eastAsia="Palatino Linotype" w:hAnsi="Palatino Linotype" w:cs="Palatino Linotype"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
  </w:num>
  <w:num w:numId="2">
    <w:abstractNumId w:val="2"/>
  </w:num>
  <w:num w:numId="3">
    <w:abstractNumId w:val="5"/>
  </w:num>
  <w:num w:numId="4">
    <w:abstractNumId w:val="0"/>
  </w:num>
  <w:num w:numId="5">
    <w:abstractNumId w:val="8"/>
  </w:num>
  <w:num w:numId="6">
    <w:abstractNumId w:val="6"/>
  </w:num>
  <w:num w:numId="7">
    <w:abstractNumId w:val="1"/>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1CF"/>
    <w:rsid w:val="00200F28"/>
    <w:rsid w:val="00363287"/>
    <w:rsid w:val="003E07E5"/>
    <w:rsid w:val="00401F3B"/>
    <w:rsid w:val="005D6190"/>
    <w:rsid w:val="006612D9"/>
    <w:rsid w:val="006C0051"/>
    <w:rsid w:val="006C10F6"/>
    <w:rsid w:val="00711208"/>
    <w:rsid w:val="00773EBE"/>
    <w:rsid w:val="007B16B9"/>
    <w:rsid w:val="00AA21CF"/>
    <w:rsid w:val="00B333A6"/>
    <w:rsid w:val="00B46F85"/>
    <w:rsid w:val="00C51825"/>
    <w:rsid w:val="00CA404D"/>
    <w:rsid w:val="00EE5E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72E1CA-D17A-4A28-B65A-7CBDA8750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40"/>
      <w:outlineLvl w:val="2"/>
    </w:pPr>
    <w:rPr>
      <w:rFonts w:ascii="Calibri" w:eastAsia="Calibri" w:hAnsi="Calibri" w:cs="Calibri"/>
      <w:color w:val="1E4D7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463FE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463FE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463FE7"/>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463FE7"/>
    <w:rPr>
      <w:rFonts w:eastAsiaTheme="minorEastAsia"/>
      <w:sz w:val="24"/>
      <w:szCs w:val="24"/>
      <w:lang w:val="es-ES_tradnl" w:eastAsia="es-ES"/>
    </w:rPr>
  </w:style>
  <w:style w:type="paragraph" w:styleId="Piedepgina">
    <w:name w:val="footer"/>
    <w:basedOn w:val="Normal"/>
    <w:link w:val="PiedepginaCar"/>
    <w:uiPriority w:val="99"/>
    <w:unhideWhenUsed/>
    <w:rsid w:val="00463FE7"/>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463FE7"/>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63FE7"/>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63FE7"/>
    <w:pPr>
      <w:ind w:left="708"/>
    </w:pPr>
    <w:rPr>
      <w:sz w:val="22"/>
      <w:szCs w:val="22"/>
      <w:lang w:val="es-ES" w:eastAsia="en-US"/>
    </w:rPr>
  </w:style>
  <w:style w:type="table" w:styleId="Tablaconcuadrcula">
    <w:name w:val="Table Grid"/>
    <w:basedOn w:val="Tablanormal"/>
    <w:uiPriority w:val="59"/>
    <w:rsid w:val="00463FE7"/>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63FE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63FE7"/>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63FE7"/>
    <w:rPr>
      <w:vertAlign w:val="superscript"/>
    </w:rPr>
  </w:style>
  <w:style w:type="paragraph" w:styleId="Continuarlista">
    <w:name w:val="List Continue"/>
    <w:basedOn w:val="Normal"/>
    <w:uiPriority w:val="99"/>
    <w:unhideWhenUsed/>
    <w:rsid w:val="00463FE7"/>
    <w:pPr>
      <w:spacing w:after="120"/>
      <w:ind w:left="283"/>
      <w:contextualSpacing/>
    </w:pPr>
  </w:style>
  <w:style w:type="paragraph" w:styleId="Sangradetextonormal">
    <w:name w:val="Body Text Indent"/>
    <w:basedOn w:val="Normal"/>
    <w:link w:val="SangradetextonormalCar"/>
    <w:uiPriority w:val="99"/>
    <w:unhideWhenUsed/>
    <w:rsid w:val="00463FE7"/>
    <w:pPr>
      <w:spacing w:after="120"/>
      <w:ind w:left="283"/>
    </w:pPr>
  </w:style>
  <w:style w:type="character" w:customStyle="1" w:styleId="SangradetextonormalCar">
    <w:name w:val="Sangría de texto normal Car"/>
    <w:basedOn w:val="Fuentedeprrafopredeter"/>
    <w:link w:val="Sangradetextonormal"/>
    <w:uiPriority w:val="99"/>
    <w:rsid w:val="00463FE7"/>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463F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63FE7"/>
    <w:rPr>
      <w:rFonts w:ascii="Times New Roman" w:eastAsia="Times New Roman" w:hAnsi="Times New Roman" w:cs="Times New Roman"/>
      <w:sz w:val="24"/>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qFormat/>
    <w:rsid w:val="00463FE7"/>
    <w:rPr>
      <w:color w:val="0563C1" w:themeColor="hyperlink"/>
      <w:u w:val="single"/>
    </w:rPr>
  </w:style>
  <w:style w:type="character" w:styleId="Hipervnculovisitado">
    <w:name w:val="FollowedHyperlink"/>
    <w:basedOn w:val="Fuentedeprrafopredeter"/>
    <w:uiPriority w:val="99"/>
    <w:semiHidden/>
    <w:unhideWhenUsed/>
    <w:rsid w:val="000116CD"/>
    <w:rPr>
      <w:color w:val="954F72" w:themeColor="followedHyperlink"/>
      <w:u w:val="single"/>
    </w:rPr>
  </w:style>
  <w:style w:type="paragraph" w:styleId="NormalWeb">
    <w:name w:val="Normal (Web)"/>
    <w:basedOn w:val="Normal"/>
    <w:uiPriority w:val="99"/>
    <w:semiHidden/>
    <w:unhideWhenUsed/>
    <w:rsid w:val="000D6A77"/>
    <w:pPr>
      <w:spacing w:before="100" w:beforeAutospacing="1" w:after="100" w:afterAutospacing="1"/>
    </w:pPr>
  </w:style>
  <w:style w:type="character" w:styleId="Refdecomentario">
    <w:name w:val="annotation reference"/>
    <w:basedOn w:val="Fuentedeprrafopredeter"/>
    <w:uiPriority w:val="99"/>
    <w:semiHidden/>
    <w:unhideWhenUsed/>
    <w:rsid w:val="00B861F3"/>
    <w:rPr>
      <w:sz w:val="16"/>
      <w:szCs w:val="16"/>
    </w:rPr>
  </w:style>
  <w:style w:type="paragraph" w:styleId="Textocomentario">
    <w:name w:val="annotation text"/>
    <w:basedOn w:val="Normal"/>
    <w:link w:val="TextocomentarioCar"/>
    <w:uiPriority w:val="99"/>
    <w:semiHidden/>
    <w:unhideWhenUsed/>
    <w:rsid w:val="00B861F3"/>
    <w:rPr>
      <w:sz w:val="20"/>
      <w:szCs w:val="20"/>
    </w:rPr>
  </w:style>
  <w:style w:type="character" w:customStyle="1" w:styleId="TextocomentarioCar">
    <w:name w:val="Texto comentario Car"/>
    <w:basedOn w:val="Fuentedeprrafopredeter"/>
    <w:link w:val="Textocomentario"/>
    <w:uiPriority w:val="99"/>
    <w:semiHidden/>
    <w:rsid w:val="00B861F3"/>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861F3"/>
    <w:rPr>
      <w:b/>
      <w:bCs/>
    </w:rPr>
  </w:style>
  <w:style w:type="character" w:customStyle="1" w:styleId="AsuntodelcomentarioCar">
    <w:name w:val="Asunto del comentario Car"/>
    <w:basedOn w:val="TextocomentarioCar"/>
    <w:link w:val="Asuntodelcomentario"/>
    <w:uiPriority w:val="99"/>
    <w:semiHidden/>
    <w:rsid w:val="00B861F3"/>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B861F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61F3"/>
    <w:rPr>
      <w:rFonts w:ascii="Segoe UI" w:eastAsia="Times New Roman" w:hAnsi="Segoe UI" w:cs="Segoe UI"/>
      <w:sz w:val="18"/>
      <w:szCs w:val="18"/>
      <w:lang w:eastAsia="es-MX"/>
    </w:rPr>
  </w:style>
  <w:style w:type="character" w:customStyle="1" w:styleId="Ttulo3Car">
    <w:name w:val="Título 3 Car"/>
    <w:basedOn w:val="Fuentedeprrafopredeter"/>
    <w:uiPriority w:val="9"/>
    <w:rsid w:val="00813849"/>
    <w:rPr>
      <w:rFonts w:asciiTheme="majorHAnsi" w:eastAsiaTheme="majorEastAsia" w:hAnsiTheme="majorHAnsi" w:cstheme="majorBidi"/>
      <w:color w:val="1F4D78" w:themeColor="accent1" w:themeShade="7F"/>
      <w:sz w:val="24"/>
      <w:szCs w:val="24"/>
      <w:lang w:val="es-ES_tradnl" w:eastAsia="es-ES"/>
    </w:rPr>
  </w:style>
  <w:style w:type="character" w:customStyle="1" w:styleId="normaltextrun">
    <w:name w:val="normaltextrun"/>
    <w:basedOn w:val="Fuentedeprrafopredeter"/>
    <w:rsid w:val="004E7676"/>
  </w:style>
  <w:style w:type="character" w:customStyle="1" w:styleId="eop">
    <w:name w:val="eop"/>
    <w:basedOn w:val="Fuentedeprrafopredeter"/>
    <w:rsid w:val="004E7676"/>
  </w:style>
  <w:style w:type="table" w:styleId="Tabladecuadrcula6concolores">
    <w:name w:val="Grid Table 6 Colorful"/>
    <w:basedOn w:val="Tablanormal"/>
    <w:uiPriority w:val="51"/>
    <w:rsid w:val="008A542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
    <w:basedOn w:val="TableNormal1"/>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paragraph" w:customStyle="1" w:styleId="Citas">
    <w:name w:val="Citas"/>
    <w:basedOn w:val="Normal"/>
    <w:qFormat/>
    <w:rsid w:val="003C6000"/>
    <w:pPr>
      <w:spacing w:before="240" w:after="160" w:line="360" w:lineRule="auto"/>
      <w:ind w:left="851" w:right="851"/>
      <w:jc w:val="both"/>
    </w:pPr>
    <w:rPr>
      <w:rFonts w:ascii="Palatino Linotype" w:eastAsiaTheme="minorHAnsi" w:hAnsi="Palatino Linotype" w:cs="Arial"/>
      <w:i/>
      <w:sz w:val="22"/>
      <w:szCs w:val="22"/>
      <w:lang w:eastAsia="en-US"/>
    </w:rPr>
  </w:style>
  <w:style w:type="paragraph" w:styleId="Textoindependiente">
    <w:name w:val="Body Text"/>
    <w:basedOn w:val="Normal"/>
    <w:link w:val="TextoindependienteCar"/>
    <w:uiPriority w:val="99"/>
    <w:semiHidden/>
    <w:unhideWhenUsed/>
    <w:rsid w:val="009A77F2"/>
    <w:pPr>
      <w:spacing w:after="120"/>
    </w:pPr>
  </w:style>
  <w:style w:type="character" w:customStyle="1" w:styleId="TextoindependienteCar">
    <w:name w:val="Texto independiente Car"/>
    <w:basedOn w:val="Fuentedeprrafopredeter"/>
    <w:link w:val="Textoindependiente"/>
    <w:uiPriority w:val="99"/>
    <w:semiHidden/>
    <w:rsid w:val="009A77F2"/>
  </w:style>
  <w:style w:type="table" w:customStyle="1" w:styleId="a2">
    <w:basedOn w:val="TableNormal1"/>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paragraph" w:customStyle="1" w:styleId="Default">
    <w:name w:val="Default"/>
    <w:rsid w:val="008E1A41"/>
    <w:pPr>
      <w:autoSpaceDE w:val="0"/>
      <w:autoSpaceDN w:val="0"/>
      <w:adjustRightInd w:val="0"/>
    </w:pPr>
    <w:rPr>
      <w:rFonts w:ascii="Arial" w:eastAsiaTheme="minorHAnsi" w:hAnsi="Arial" w:cs="Arial"/>
      <w:color w:val="000000"/>
      <w:lang w:eastAsia="en-US"/>
    </w:rPr>
  </w:style>
  <w:style w:type="paragraph" w:customStyle="1" w:styleId="CitasINFOEM">
    <w:name w:val="Citas INFOEM"/>
    <w:basedOn w:val="Normal"/>
    <w:qFormat/>
    <w:rsid w:val="008E1A41"/>
    <w:pPr>
      <w:spacing w:before="240" w:after="160" w:line="360" w:lineRule="auto"/>
      <w:ind w:left="851" w:right="851"/>
      <w:jc w:val="both"/>
    </w:pPr>
    <w:rPr>
      <w:rFonts w:ascii="Palatino Linotype" w:hAnsi="Palatino Linotype"/>
      <w:i/>
      <w:sz w:val="22"/>
      <w:lang w:eastAsia="en-U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5">
    <w:basedOn w:val="TableNormal0"/>
    <w:rPr>
      <w:color w:val="000000"/>
    </w:rPr>
    <w:tblPr>
      <w:tblStyleRowBandSize w:val="1"/>
      <w:tblStyleColBandSize w:val="1"/>
      <w:tblCellMar>
        <w:left w:w="108"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ipomex.org.mx/ipome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ipomex.org.mx/ipomex/"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ipomex.org.mx/ipomex/"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yxekgzV9PcNf6PCuk9oZ0EN7eg==">CgMxLjAyDmguNnduOHFoM3FqeGhnMgloLjN6bnlzaDcyDmguaDY2MnJ1M2J1cG50Mg5oLmJ0c2ExdGppejIxbDIOaC5yZ25pcjJiM2d3eDQyDmgubnNpM2R2M2c4N2l6Mg5oLmxuZ2NraTh5cTd3czIOaC5uZXdtZ2hycTZqczYyCWguMXQzaDVzZjIJaC40ZDM0b2c4MgloLjJzOGV5bzEyDmguaXFjb3MxZGs0aGZrMghoLmxueGJ6OTIJaC4zNW5rdW4yMgloLjFrc3Y0dXYyDmgueTZyeGgzNDFqYzZrMg5oLm0yYmpia2RvNjBleDgAciExZnh0ZWZMdWc3bzM3VU5PcUdDT01OTXo3eWFTQ1M2M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Raf17</b:Tag>
    <b:SourceType>Book</b:SourceType>
    <b:Guid>{6671441E-0838-46B0-8875-EF0F8E49C395}</b:Guid>
    <b:Author>
      <b:Author>
        <b:NameList>
          <b:Person>
            <b:Last>Lara</b:Last>
            <b:First>Rafael</b:First>
            <b:Middle>Manuel Oliveros</b:Middle>
          </b:Person>
        </b:NameList>
      </b:Author>
    </b:Author>
    <b:Title>Poder, Representación y Mandato</b:Title>
    <b:Year>2017</b:Year>
    <b:City>México</b:City>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646746-3701-4043-B287-29D977C76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58</Pages>
  <Words>13875</Words>
  <Characters>76317</Characters>
  <Application>Microsoft Office Word</Application>
  <DocSecurity>0</DocSecurity>
  <Lines>635</Lines>
  <Paragraphs>180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90012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6</cp:revision>
  <dcterms:created xsi:type="dcterms:W3CDTF">2025-11-20T17:41:00Z</dcterms:created>
  <dcterms:modified xsi:type="dcterms:W3CDTF">2025-12-08T23:21:00Z</dcterms:modified>
</cp:coreProperties>
</file>