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E544" w14:textId="77777777" w:rsidR="00286EFA" w:rsidRPr="00CE1621" w:rsidRDefault="00286EFA" w:rsidP="0069079A">
      <w:pPr>
        <w:widowControl w:val="0"/>
        <w:pBdr>
          <w:top w:val="nil"/>
          <w:left w:val="nil"/>
          <w:bottom w:val="nil"/>
          <w:right w:val="nil"/>
          <w:between w:val="nil"/>
        </w:pBdr>
        <w:spacing w:line="360" w:lineRule="auto"/>
        <w:rPr>
          <w:color w:val="FF0000"/>
        </w:rPr>
      </w:pPr>
    </w:p>
    <w:p w14:paraId="2FE347D5" w14:textId="77777777" w:rsidR="00286EFA" w:rsidRPr="00CE1621" w:rsidRDefault="00286EFA" w:rsidP="0069079A">
      <w:pPr>
        <w:spacing w:line="360" w:lineRule="auto"/>
        <w:ind w:right="-28"/>
        <w:jc w:val="both"/>
        <w:rPr>
          <w:rFonts w:ascii="Palatino Linotype" w:eastAsia="Palatino Linotype" w:hAnsi="Palatino Linotype" w:cs="Palatino Linotype"/>
          <w:color w:val="FF0000"/>
          <w:sz w:val="22"/>
          <w:szCs w:val="22"/>
        </w:rPr>
      </w:pPr>
    </w:p>
    <w:p w14:paraId="3D477FF5" w14:textId="2D9ACD61" w:rsidR="00286EFA" w:rsidRPr="000F41A3" w:rsidRDefault="00FA61F8" w:rsidP="0069079A">
      <w:pPr>
        <w:keepNext/>
        <w:keepLines/>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RESOLUCIÓN DEL RECURSO DE REVISIÓN 0</w:t>
      </w:r>
      <w:r w:rsidR="002C4894" w:rsidRPr="000F41A3">
        <w:rPr>
          <w:rFonts w:ascii="Palatino Linotype" w:eastAsia="Palatino Linotype" w:hAnsi="Palatino Linotype" w:cs="Palatino Linotype"/>
          <w:sz w:val="22"/>
          <w:szCs w:val="22"/>
        </w:rPr>
        <w:t>0741</w:t>
      </w:r>
      <w:r w:rsidRPr="000F41A3">
        <w:rPr>
          <w:rFonts w:ascii="Palatino Linotype" w:eastAsia="Palatino Linotype" w:hAnsi="Palatino Linotype" w:cs="Palatino Linotype"/>
          <w:sz w:val="22"/>
          <w:szCs w:val="22"/>
        </w:rPr>
        <w:t>/INFOEM/IP/RR/2025</w:t>
      </w:r>
    </w:p>
    <w:sdt>
      <w:sdtPr>
        <w:rPr>
          <w:rFonts w:ascii="Palatino Linotype" w:hAnsi="Palatino Linotype"/>
          <w:sz w:val="22"/>
          <w:szCs w:val="22"/>
          <w:lang w:val="es-ES"/>
        </w:rPr>
        <w:id w:val="-1016007691"/>
        <w:docPartObj>
          <w:docPartGallery w:val="Table of Contents"/>
          <w:docPartUnique/>
        </w:docPartObj>
      </w:sdtPr>
      <w:sdtEndPr>
        <w:rPr>
          <w:b/>
          <w:bCs/>
        </w:rPr>
      </w:sdtEndPr>
      <w:sdtContent>
        <w:p w14:paraId="22618945" w14:textId="77777777" w:rsidR="00FE773D" w:rsidRPr="000F41A3" w:rsidRDefault="002C4894">
          <w:pPr>
            <w:pStyle w:val="TDC1"/>
            <w:tabs>
              <w:tab w:val="right" w:leader="dot" w:pos="9034"/>
            </w:tabs>
            <w:rPr>
              <w:rFonts w:asciiTheme="minorHAnsi" w:eastAsiaTheme="minorEastAsia" w:hAnsiTheme="minorHAnsi" w:cstheme="minorBidi"/>
              <w:noProof/>
              <w:sz w:val="22"/>
              <w:szCs w:val="22"/>
              <w:lang w:eastAsia="es-MX"/>
            </w:rPr>
          </w:pPr>
          <w:r w:rsidRPr="000F41A3">
            <w:rPr>
              <w:rFonts w:ascii="Palatino Linotype" w:hAnsi="Palatino Linotype"/>
              <w:sz w:val="22"/>
              <w:szCs w:val="22"/>
            </w:rPr>
            <w:fldChar w:fldCharType="begin"/>
          </w:r>
          <w:r w:rsidRPr="000F41A3">
            <w:rPr>
              <w:rFonts w:ascii="Palatino Linotype" w:hAnsi="Palatino Linotype"/>
              <w:sz w:val="22"/>
              <w:szCs w:val="22"/>
            </w:rPr>
            <w:instrText xml:space="preserve"> TOC \o "1-3" \h \z \u </w:instrText>
          </w:r>
          <w:r w:rsidRPr="000F41A3">
            <w:rPr>
              <w:rFonts w:ascii="Palatino Linotype" w:hAnsi="Palatino Linotype"/>
              <w:sz w:val="22"/>
              <w:szCs w:val="22"/>
            </w:rPr>
            <w:fldChar w:fldCharType="separate"/>
          </w:r>
          <w:hyperlink w:anchor="_Toc191569657" w:history="1">
            <w:r w:rsidR="00FE773D" w:rsidRPr="000F41A3">
              <w:rPr>
                <w:rStyle w:val="Hipervnculo"/>
                <w:rFonts w:ascii="Palatino Linotype" w:eastAsia="Palatino Linotype" w:hAnsi="Palatino Linotype"/>
                <w:bCs/>
                <w:noProof/>
              </w:rPr>
              <w:t>A N T E C E D E N T E S</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_Toc191569657 \h </w:instrText>
            </w:r>
            <w:r w:rsidR="00FE773D" w:rsidRPr="000F41A3">
              <w:rPr>
                <w:noProof/>
                <w:webHidden/>
              </w:rPr>
            </w:r>
            <w:r w:rsidR="00FE773D" w:rsidRPr="000F41A3">
              <w:rPr>
                <w:noProof/>
                <w:webHidden/>
              </w:rPr>
              <w:fldChar w:fldCharType="separate"/>
            </w:r>
            <w:r w:rsidR="00B96126">
              <w:rPr>
                <w:noProof/>
                <w:webHidden/>
              </w:rPr>
              <w:t>2</w:t>
            </w:r>
            <w:r w:rsidR="00FE773D" w:rsidRPr="000F41A3">
              <w:rPr>
                <w:noProof/>
                <w:webHidden/>
              </w:rPr>
              <w:fldChar w:fldCharType="end"/>
            </w:r>
          </w:hyperlink>
        </w:p>
        <w:p w14:paraId="12DBF156"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58" w:history="1">
            <w:r w:rsidR="00FE773D" w:rsidRPr="000F41A3">
              <w:rPr>
                <w:rStyle w:val="Hipervnculo"/>
                <w:rFonts w:ascii="Palatino Linotype" w:eastAsia="Palatino Linotype" w:hAnsi="Palatino Linotype"/>
                <w:bCs/>
                <w:noProof/>
              </w:rPr>
              <w:t>I. Presentación de la solicitud de información</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_Toc191569658 \h </w:instrText>
            </w:r>
            <w:r w:rsidR="00FE773D" w:rsidRPr="000F41A3">
              <w:rPr>
                <w:noProof/>
                <w:webHidden/>
              </w:rPr>
            </w:r>
            <w:r w:rsidR="00FE773D" w:rsidRPr="000F41A3">
              <w:rPr>
                <w:noProof/>
                <w:webHidden/>
              </w:rPr>
              <w:fldChar w:fldCharType="separate"/>
            </w:r>
            <w:r w:rsidR="00B96126">
              <w:rPr>
                <w:noProof/>
                <w:webHidden/>
              </w:rPr>
              <w:t>2</w:t>
            </w:r>
            <w:r w:rsidR="00FE773D" w:rsidRPr="000F41A3">
              <w:rPr>
                <w:noProof/>
                <w:webHidden/>
              </w:rPr>
              <w:fldChar w:fldCharType="end"/>
            </w:r>
          </w:hyperlink>
        </w:p>
        <w:p w14:paraId="1AC63ED8"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59" w:history="1">
            <w:r w:rsidR="00FE773D" w:rsidRPr="000F41A3">
              <w:rPr>
                <w:rStyle w:val="Hipervnculo"/>
                <w:rFonts w:ascii="Palatino Linotype" w:eastAsia="Palatino Linotype" w:hAnsi="Palatino Linotype"/>
                <w:bCs/>
                <w:noProof/>
              </w:rPr>
              <w:t>II. Respuesta del Sujeto Obligado</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_Toc191569659 \h </w:instrText>
            </w:r>
            <w:r w:rsidR="00FE773D" w:rsidRPr="000F41A3">
              <w:rPr>
                <w:noProof/>
                <w:webHidden/>
              </w:rPr>
            </w:r>
            <w:r w:rsidR="00FE773D" w:rsidRPr="000F41A3">
              <w:rPr>
                <w:noProof/>
                <w:webHidden/>
              </w:rPr>
              <w:fldChar w:fldCharType="separate"/>
            </w:r>
            <w:r w:rsidR="00B96126">
              <w:rPr>
                <w:noProof/>
                <w:webHidden/>
              </w:rPr>
              <w:t>3</w:t>
            </w:r>
            <w:r w:rsidR="00FE773D" w:rsidRPr="000F41A3">
              <w:rPr>
                <w:noProof/>
                <w:webHidden/>
              </w:rPr>
              <w:fldChar w:fldCharType="end"/>
            </w:r>
          </w:hyperlink>
        </w:p>
        <w:p w14:paraId="4265ACB3"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60" w:history="1">
            <w:r w:rsidR="00FE773D" w:rsidRPr="000F41A3">
              <w:rPr>
                <w:rStyle w:val="Hipervnculo"/>
                <w:rFonts w:ascii="Palatino Linotype" w:eastAsia="Palatino Linotype" w:hAnsi="Palatino Linotype"/>
                <w:bCs/>
                <w:noProof/>
              </w:rPr>
              <w:t>III. Interposición del Recurso de Revisión</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_Toc191569660 \h </w:instrText>
            </w:r>
            <w:r w:rsidR="00FE773D" w:rsidRPr="000F41A3">
              <w:rPr>
                <w:noProof/>
                <w:webHidden/>
              </w:rPr>
            </w:r>
            <w:r w:rsidR="00FE773D" w:rsidRPr="000F41A3">
              <w:rPr>
                <w:noProof/>
                <w:webHidden/>
              </w:rPr>
              <w:fldChar w:fldCharType="separate"/>
            </w:r>
            <w:r w:rsidR="00B96126">
              <w:rPr>
                <w:noProof/>
                <w:webHidden/>
              </w:rPr>
              <w:t>3</w:t>
            </w:r>
            <w:r w:rsidR="00FE773D" w:rsidRPr="000F41A3">
              <w:rPr>
                <w:noProof/>
                <w:webHidden/>
              </w:rPr>
              <w:fldChar w:fldCharType="end"/>
            </w:r>
          </w:hyperlink>
        </w:p>
        <w:p w14:paraId="519F2CC3"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61" w:history="1">
            <w:r w:rsidR="00FE773D" w:rsidRPr="000F41A3">
              <w:rPr>
                <w:rStyle w:val="Hipervnculo"/>
                <w:rFonts w:ascii="Palatino Linotype" w:eastAsia="Palatino Linotype" w:hAnsi="Palatino Linotype"/>
                <w:bCs/>
                <w:noProof/>
              </w:rPr>
              <w:t>IV. Trámite del Recurso de Revisión ante el Instituto</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_Toc191569661 \h </w:instrText>
            </w:r>
            <w:r w:rsidR="00FE773D" w:rsidRPr="000F41A3">
              <w:rPr>
                <w:noProof/>
                <w:webHidden/>
              </w:rPr>
            </w:r>
            <w:r w:rsidR="00FE773D" w:rsidRPr="000F41A3">
              <w:rPr>
                <w:noProof/>
                <w:webHidden/>
              </w:rPr>
              <w:fldChar w:fldCharType="separate"/>
            </w:r>
            <w:r w:rsidR="00B96126">
              <w:rPr>
                <w:noProof/>
                <w:webHidden/>
              </w:rPr>
              <w:t>4</w:t>
            </w:r>
            <w:r w:rsidR="00FE773D" w:rsidRPr="000F41A3">
              <w:rPr>
                <w:noProof/>
                <w:webHidden/>
              </w:rPr>
              <w:fldChar w:fldCharType="end"/>
            </w:r>
          </w:hyperlink>
        </w:p>
        <w:p w14:paraId="62851798" w14:textId="77777777" w:rsidR="00FE773D" w:rsidRPr="000F41A3" w:rsidRDefault="00397FE3">
          <w:pPr>
            <w:pStyle w:val="TDC2"/>
            <w:tabs>
              <w:tab w:val="right" w:leader="dot" w:pos="9034"/>
            </w:tabs>
            <w:rPr>
              <w:rFonts w:asciiTheme="minorHAnsi" w:eastAsiaTheme="minorEastAsia" w:hAnsiTheme="minorHAnsi" w:cstheme="minorBidi"/>
              <w:noProof/>
              <w:sz w:val="22"/>
              <w:szCs w:val="22"/>
              <w:lang w:eastAsia="es-MX"/>
            </w:rPr>
          </w:pPr>
          <w:hyperlink w:anchor="_Toc191569662" w:history="1">
            <w:r w:rsidR="00FE773D" w:rsidRPr="000F41A3">
              <w:rPr>
                <w:rStyle w:val="Hipervnculo"/>
                <w:rFonts w:ascii="Palatino Linotype" w:eastAsiaTheme="majorEastAsia" w:hAnsi="Palatino Linotype"/>
                <w:bCs/>
                <w:noProof/>
              </w:rPr>
              <w:t>a) Turno del Recurso de Revisión.</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_Toc191569662 \h </w:instrText>
            </w:r>
            <w:r w:rsidR="00FE773D" w:rsidRPr="000F41A3">
              <w:rPr>
                <w:noProof/>
                <w:webHidden/>
              </w:rPr>
            </w:r>
            <w:r w:rsidR="00FE773D" w:rsidRPr="000F41A3">
              <w:rPr>
                <w:noProof/>
                <w:webHidden/>
              </w:rPr>
              <w:fldChar w:fldCharType="separate"/>
            </w:r>
            <w:r w:rsidR="00B96126">
              <w:rPr>
                <w:noProof/>
                <w:webHidden/>
              </w:rPr>
              <w:t>4</w:t>
            </w:r>
            <w:r w:rsidR="00FE773D" w:rsidRPr="000F41A3">
              <w:rPr>
                <w:noProof/>
                <w:webHidden/>
              </w:rPr>
              <w:fldChar w:fldCharType="end"/>
            </w:r>
          </w:hyperlink>
        </w:p>
        <w:p w14:paraId="26E70B7F" w14:textId="77777777" w:rsidR="00FE773D" w:rsidRPr="000F41A3" w:rsidRDefault="00397FE3">
          <w:pPr>
            <w:pStyle w:val="TDC2"/>
            <w:tabs>
              <w:tab w:val="right" w:leader="dot" w:pos="9034"/>
            </w:tabs>
            <w:rPr>
              <w:rFonts w:asciiTheme="minorHAnsi" w:eastAsiaTheme="minorEastAsia" w:hAnsiTheme="minorHAnsi" w:cstheme="minorBidi"/>
              <w:noProof/>
              <w:sz w:val="22"/>
              <w:szCs w:val="22"/>
              <w:lang w:eastAsia="es-MX"/>
            </w:rPr>
          </w:pPr>
          <w:hyperlink w:anchor="_Toc191569663" w:history="1">
            <w:r w:rsidR="00FE773D" w:rsidRPr="000F41A3">
              <w:rPr>
                <w:rStyle w:val="Hipervnculo"/>
                <w:rFonts w:ascii="Palatino Linotype" w:eastAsiaTheme="majorEastAsia" w:hAnsi="Palatino Linotype"/>
                <w:bCs/>
                <w:noProof/>
              </w:rPr>
              <w:t>b) Admisión del Recurso de Revisión.</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_Toc191569663 \h </w:instrText>
            </w:r>
            <w:r w:rsidR="00FE773D" w:rsidRPr="000F41A3">
              <w:rPr>
                <w:noProof/>
                <w:webHidden/>
              </w:rPr>
            </w:r>
            <w:r w:rsidR="00FE773D" w:rsidRPr="000F41A3">
              <w:rPr>
                <w:noProof/>
                <w:webHidden/>
              </w:rPr>
              <w:fldChar w:fldCharType="separate"/>
            </w:r>
            <w:r w:rsidR="00B96126">
              <w:rPr>
                <w:noProof/>
                <w:webHidden/>
              </w:rPr>
              <w:t>4</w:t>
            </w:r>
            <w:r w:rsidR="00FE773D" w:rsidRPr="000F41A3">
              <w:rPr>
                <w:noProof/>
                <w:webHidden/>
              </w:rPr>
              <w:fldChar w:fldCharType="end"/>
            </w:r>
          </w:hyperlink>
        </w:p>
        <w:p w14:paraId="08B0C27C" w14:textId="77777777" w:rsidR="00FE773D" w:rsidRPr="000F41A3" w:rsidRDefault="00397FE3">
          <w:pPr>
            <w:pStyle w:val="TDC2"/>
            <w:tabs>
              <w:tab w:val="right" w:leader="dot" w:pos="9034"/>
            </w:tabs>
            <w:rPr>
              <w:rFonts w:asciiTheme="minorHAnsi" w:eastAsiaTheme="minorEastAsia" w:hAnsiTheme="minorHAnsi" w:cstheme="minorBidi"/>
              <w:noProof/>
              <w:sz w:val="22"/>
              <w:szCs w:val="22"/>
              <w:lang w:eastAsia="es-MX"/>
            </w:rPr>
          </w:pPr>
          <w:hyperlink w:anchor="_Toc191569664" w:history="1">
            <w:r w:rsidR="00FE773D" w:rsidRPr="000F41A3">
              <w:rPr>
                <w:rStyle w:val="Hipervnculo"/>
                <w:rFonts w:ascii="Palatino Linotype" w:eastAsiaTheme="majorEastAsia" w:hAnsi="Palatino Linotype"/>
                <w:bCs/>
                <w:noProof/>
              </w:rPr>
              <w:t>c) Informe Justificado.</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_Toc191569664 \h </w:instrText>
            </w:r>
            <w:r w:rsidR="00FE773D" w:rsidRPr="000F41A3">
              <w:rPr>
                <w:noProof/>
                <w:webHidden/>
              </w:rPr>
            </w:r>
            <w:r w:rsidR="00FE773D" w:rsidRPr="000F41A3">
              <w:rPr>
                <w:noProof/>
                <w:webHidden/>
              </w:rPr>
              <w:fldChar w:fldCharType="separate"/>
            </w:r>
            <w:r w:rsidR="00B96126">
              <w:rPr>
                <w:noProof/>
                <w:webHidden/>
              </w:rPr>
              <w:t>5</w:t>
            </w:r>
            <w:r w:rsidR="00FE773D" w:rsidRPr="000F41A3">
              <w:rPr>
                <w:noProof/>
                <w:webHidden/>
              </w:rPr>
              <w:fldChar w:fldCharType="end"/>
            </w:r>
          </w:hyperlink>
        </w:p>
        <w:p w14:paraId="0021BD22" w14:textId="77777777" w:rsidR="00FE773D" w:rsidRPr="000F41A3" w:rsidRDefault="00397FE3">
          <w:pPr>
            <w:pStyle w:val="TDC2"/>
            <w:tabs>
              <w:tab w:val="right" w:leader="dot" w:pos="9034"/>
            </w:tabs>
            <w:rPr>
              <w:rFonts w:asciiTheme="minorHAnsi" w:eastAsiaTheme="minorEastAsia" w:hAnsiTheme="minorHAnsi" w:cstheme="minorBidi"/>
              <w:noProof/>
              <w:sz w:val="22"/>
              <w:szCs w:val="22"/>
              <w:lang w:eastAsia="es-MX"/>
            </w:rPr>
          </w:pPr>
          <w:hyperlink w:anchor="_Toc191569665" w:history="1">
            <w:r w:rsidR="00FE773D" w:rsidRPr="000F41A3">
              <w:rPr>
                <w:rStyle w:val="Hipervnculo"/>
                <w:rFonts w:ascii="Palatino Linotype" w:eastAsiaTheme="majorEastAsia" w:hAnsi="Palatino Linotype"/>
                <w:bCs/>
                <w:noProof/>
                <w:lang w:eastAsia="en-US"/>
              </w:rPr>
              <w:t>d) Vista al Informe Justificado.</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_Toc191569665 \h </w:instrText>
            </w:r>
            <w:r w:rsidR="00FE773D" w:rsidRPr="000F41A3">
              <w:rPr>
                <w:noProof/>
                <w:webHidden/>
              </w:rPr>
            </w:r>
            <w:r w:rsidR="00FE773D" w:rsidRPr="000F41A3">
              <w:rPr>
                <w:noProof/>
                <w:webHidden/>
              </w:rPr>
              <w:fldChar w:fldCharType="separate"/>
            </w:r>
            <w:r w:rsidR="00B96126">
              <w:rPr>
                <w:noProof/>
                <w:webHidden/>
              </w:rPr>
              <w:t>5</w:t>
            </w:r>
            <w:r w:rsidR="00FE773D" w:rsidRPr="000F41A3">
              <w:rPr>
                <w:noProof/>
                <w:webHidden/>
              </w:rPr>
              <w:fldChar w:fldCharType="end"/>
            </w:r>
          </w:hyperlink>
        </w:p>
        <w:p w14:paraId="296169AA" w14:textId="77777777" w:rsidR="00FE773D" w:rsidRPr="000F41A3" w:rsidRDefault="00397FE3">
          <w:pPr>
            <w:pStyle w:val="TDC2"/>
            <w:tabs>
              <w:tab w:val="right" w:leader="dot" w:pos="9034"/>
            </w:tabs>
            <w:rPr>
              <w:rFonts w:asciiTheme="minorHAnsi" w:eastAsiaTheme="minorEastAsia" w:hAnsiTheme="minorHAnsi" w:cstheme="minorBidi"/>
              <w:noProof/>
              <w:sz w:val="22"/>
              <w:szCs w:val="22"/>
              <w:lang w:eastAsia="es-MX"/>
            </w:rPr>
          </w:pPr>
          <w:hyperlink w:anchor="_Toc191569666" w:history="1">
            <w:r w:rsidR="00FE773D" w:rsidRPr="000F41A3">
              <w:rPr>
                <w:rStyle w:val="Hipervnculo"/>
                <w:rFonts w:ascii="Palatino Linotype" w:eastAsiaTheme="majorEastAsia" w:hAnsi="Palatino Linotype"/>
                <w:bCs/>
                <w:noProof/>
              </w:rPr>
              <w:t>e) Cierre de instrucción.</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_Toc191569666 \h </w:instrText>
            </w:r>
            <w:r w:rsidR="00FE773D" w:rsidRPr="000F41A3">
              <w:rPr>
                <w:noProof/>
                <w:webHidden/>
              </w:rPr>
            </w:r>
            <w:r w:rsidR="00FE773D" w:rsidRPr="000F41A3">
              <w:rPr>
                <w:noProof/>
                <w:webHidden/>
              </w:rPr>
              <w:fldChar w:fldCharType="separate"/>
            </w:r>
            <w:r w:rsidR="00B96126">
              <w:rPr>
                <w:noProof/>
                <w:webHidden/>
              </w:rPr>
              <w:t>5</w:t>
            </w:r>
            <w:r w:rsidR="00FE773D" w:rsidRPr="000F41A3">
              <w:rPr>
                <w:noProof/>
                <w:webHidden/>
              </w:rPr>
              <w:fldChar w:fldCharType="end"/>
            </w:r>
          </w:hyperlink>
        </w:p>
        <w:p w14:paraId="191F6DF6"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67" w:history="1">
            <w:r w:rsidR="00FE773D" w:rsidRPr="000F41A3">
              <w:rPr>
                <w:rStyle w:val="Hipervnculo"/>
                <w:rFonts w:ascii="Palatino Linotype" w:eastAsia="Palatino Linotype" w:hAnsi="Palatino Linotype"/>
                <w:bCs/>
                <w:noProof/>
              </w:rPr>
              <w:t>C O N S I D E R A N D O S</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_Toc191569667 \h </w:instrText>
            </w:r>
            <w:r w:rsidR="00FE773D" w:rsidRPr="000F41A3">
              <w:rPr>
                <w:noProof/>
                <w:webHidden/>
              </w:rPr>
            </w:r>
            <w:r w:rsidR="00FE773D" w:rsidRPr="000F41A3">
              <w:rPr>
                <w:noProof/>
                <w:webHidden/>
              </w:rPr>
              <w:fldChar w:fldCharType="separate"/>
            </w:r>
            <w:r w:rsidR="00B96126">
              <w:rPr>
                <w:noProof/>
                <w:webHidden/>
              </w:rPr>
              <w:t>6</w:t>
            </w:r>
            <w:r w:rsidR="00FE773D" w:rsidRPr="000F41A3">
              <w:rPr>
                <w:noProof/>
                <w:webHidden/>
              </w:rPr>
              <w:fldChar w:fldCharType="end"/>
            </w:r>
          </w:hyperlink>
        </w:p>
        <w:p w14:paraId="65CA3801"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68" w:history="1">
            <w:r w:rsidR="00FE773D" w:rsidRPr="000F41A3">
              <w:rPr>
                <w:rStyle w:val="Hipervnculo"/>
                <w:rFonts w:ascii="Palatino Linotype" w:eastAsia="Palatino Linotype" w:hAnsi="Palatino Linotype"/>
                <w:bCs/>
                <w:noProof/>
              </w:rPr>
              <w:t>PRIMERO. Competencia</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_Toc191569668 \h </w:instrText>
            </w:r>
            <w:r w:rsidR="00FE773D" w:rsidRPr="000F41A3">
              <w:rPr>
                <w:noProof/>
                <w:webHidden/>
              </w:rPr>
            </w:r>
            <w:r w:rsidR="00FE773D" w:rsidRPr="000F41A3">
              <w:rPr>
                <w:noProof/>
                <w:webHidden/>
              </w:rPr>
              <w:fldChar w:fldCharType="separate"/>
            </w:r>
            <w:r w:rsidR="00B96126">
              <w:rPr>
                <w:noProof/>
                <w:webHidden/>
              </w:rPr>
              <w:t>6</w:t>
            </w:r>
            <w:r w:rsidR="00FE773D" w:rsidRPr="000F41A3">
              <w:rPr>
                <w:noProof/>
                <w:webHidden/>
              </w:rPr>
              <w:fldChar w:fldCharType="end"/>
            </w:r>
          </w:hyperlink>
        </w:p>
        <w:p w14:paraId="19D35CB3" w14:textId="77777777" w:rsidR="00FE773D" w:rsidRPr="000F41A3" w:rsidRDefault="00397FE3">
          <w:pPr>
            <w:pStyle w:val="TDC2"/>
            <w:tabs>
              <w:tab w:val="right" w:leader="dot" w:pos="9034"/>
            </w:tabs>
            <w:rPr>
              <w:rFonts w:asciiTheme="minorHAnsi" w:eastAsiaTheme="minorEastAsia" w:hAnsiTheme="minorHAnsi" w:cstheme="minorBidi"/>
              <w:noProof/>
              <w:sz w:val="22"/>
              <w:szCs w:val="22"/>
              <w:lang w:eastAsia="es-MX"/>
            </w:rPr>
          </w:pPr>
          <w:hyperlink w:anchor="_Toc191569669" w:history="1">
            <w:r w:rsidR="00FE773D" w:rsidRPr="000F41A3">
              <w:rPr>
                <w:rStyle w:val="Hipervnculo"/>
                <w:rFonts w:ascii="Palatino Linotype" w:eastAsia="Palatino Linotype" w:hAnsi="Palatino Linotype"/>
                <w:bCs/>
                <w:noProof/>
              </w:rPr>
              <w:t>SEGUNDO. Causales de improcedencia y sobreseimiento</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_Toc191569669 \h </w:instrText>
            </w:r>
            <w:r w:rsidR="00FE773D" w:rsidRPr="000F41A3">
              <w:rPr>
                <w:noProof/>
                <w:webHidden/>
              </w:rPr>
            </w:r>
            <w:r w:rsidR="00FE773D" w:rsidRPr="000F41A3">
              <w:rPr>
                <w:noProof/>
                <w:webHidden/>
              </w:rPr>
              <w:fldChar w:fldCharType="separate"/>
            </w:r>
            <w:r w:rsidR="00B96126">
              <w:rPr>
                <w:noProof/>
                <w:webHidden/>
              </w:rPr>
              <w:t>6</w:t>
            </w:r>
            <w:r w:rsidR="00FE773D" w:rsidRPr="000F41A3">
              <w:rPr>
                <w:noProof/>
                <w:webHidden/>
              </w:rPr>
              <w:fldChar w:fldCharType="end"/>
            </w:r>
          </w:hyperlink>
        </w:p>
        <w:p w14:paraId="5C980CCD"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70" w:history="1">
            <w:r w:rsidR="00FE773D" w:rsidRPr="000F41A3">
              <w:rPr>
                <w:rStyle w:val="Hipervnculo"/>
                <w:rFonts w:ascii="Palatino Linotype" w:eastAsia="Palatino Linotype" w:hAnsi="Palatino Linotype"/>
                <w:bCs/>
                <w:noProof/>
              </w:rPr>
              <w:t>TERCERO. Determinación de la Controversia</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_Toc191569670 \h </w:instrText>
            </w:r>
            <w:r w:rsidR="00FE773D" w:rsidRPr="000F41A3">
              <w:rPr>
                <w:noProof/>
                <w:webHidden/>
              </w:rPr>
            </w:r>
            <w:r w:rsidR="00FE773D" w:rsidRPr="000F41A3">
              <w:rPr>
                <w:noProof/>
                <w:webHidden/>
              </w:rPr>
              <w:fldChar w:fldCharType="separate"/>
            </w:r>
            <w:r w:rsidR="00B96126">
              <w:rPr>
                <w:noProof/>
                <w:webHidden/>
              </w:rPr>
              <w:t>8</w:t>
            </w:r>
            <w:r w:rsidR="00FE773D" w:rsidRPr="000F41A3">
              <w:rPr>
                <w:noProof/>
                <w:webHidden/>
              </w:rPr>
              <w:fldChar w:fldCharType="end"/>
            </w:r>
          </w:hyperlink>
        </w:p>
        <w:p w14:paraId="50300324"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71" w:history="1">
            <w:r w:rsidR="00FE773D" w:rsidRPr="000F41A3">
              <w:rPr>
                <w:rStyle w:val="Hipervnculo"/>
                <w:rFonts w:ascii="Palatino Linotype" w:eastAsia="Palatino Linotype" w:hAnsi="Palatino Linotype"/>
                <w:bCs/>
                <w:noProof/>
              </w:rPr>
              <w:t>CUARTO. Marco normativo aplicable en materia de transparencia y acceso a la información pública</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_Toc191569671 \h </w:instrText>
            </w:r>
            <w:r w:rsidR="00FE773D" w:rsidRPr="000F41A3">
              <w:rPr>
                <w:noProof/>
                <w:webHidden/>
              </w:rPr>
            </w:r>
            <w:r w:rsidR="00FE773D" w:rsidRPr="000F41A3">
              <w:rPr>
                <w:noProof/>
                <w:webHidden/>
              </w:rPr>
              <w:fldChar w:fldCharType="separate"/>
            </w:r>
            <w:r w:rsidR="00B96126">
              <w:rPr>
                <w:noProof/>
                <w:webHidden/>
              </w:rPr>
              <w:t>9</w:t>
            </w:r>
            <w:r w:rsidR="00FE773D" w:rsidRPr="000F41A3">
              <w:rPr>
                <w:noProof/>
                <w:webHidden/>
              </w:rPr>
              <w:fldChar w:fldCharType="end"/>
            </w:r>
          </w:hyperlink>
        </w:p>
        <w:p w14:paraId="5CF560C8"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72" w:history="1">
            <w:r w:rsidR="00FE773D" w:rsidRPr="000F41A3">
              <w:rPr>
                <w:rStyle w:val="Hipervnculo"/>
                <w:rFonts w:ascii="Palatino Linotype" w:eastAsia="Palatino Linotype" w:hAnsi="Palatino Linotype"/>
                <w:bCs/>
                <w:noProof/>
              </w:rPr>
              <w:t>QUINTO. Estudio de Fondo</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_Toc191569672 \h </w:instrText>
            </w:r>
            <w:r w:rsidR="00FE773D" w:rsidRPr="000F41A3">
              <w:rPr>
                <w:noProof/>
                <w:webHidden/>
              </w:rPr>
            </w:r>
            <w:r w:rsidR="00FE773D" w:rsidRPr="000F41A3">
              <w:rPr>
                <w:noProof/>
                <w:webHidden/>
              </w:rPr>
              <w:fldChar w:fldCharType="separate"/>
            </w:r>
            <w:r w:rsidR="00B96126">
              <w:rPr>
                <w:noProof/>
                <w:webHidden/>
              </w:rPr>
              <w:t>10</w:t>
            </w:r>
            <w:r w:rsidR="00FE773D" w:rsidRPr="000F41A3">
              <w:rPr>
                <w:noProof/>
                <w:webHidden/>
              </w:rPr>
              <w:fldChar w:fldCharType="end"/>
            </w:r>
          </w:hyperlink>
        </w:p>
        <w:p w14:paraId="4C8EB74A"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73" w:history="1">
            <w:r w:rsidR="00FE773D" w:rsidRPr="000F41A3">
              <w:rPr>
                <w:rStyle w:val="Hipervnculo"/>
                <w:rFonts w:ascii="Palatino Linotype" w:eastAsia="Palatino Linotype" w:hAnsi="Palatino Linotype"/>
                <w:bCs/>
                <w:noProof/>
              </w:rPr>
              <w:t>SEXTO. Decisión</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_Toc191569673 \h </w:instrText>
            </w:r>
            <w:r w:rsidR="00FE773D" w:rsidRPr="000F41A3">
              <w:rPr>
                <w:noProof/>
                <w:webHidden/>
              </w:rPr>
            </w:r>
            <w:r w:rsidR="00FE773D" w:rsidRPr="000F41A3">
              <w:rPr>
                <w:noProof/>
                <w:webHidden/>
              </w:rPr>
              <w:fldChar w:fldCharType="separate"/>
            </w:r>
            <w:r w:rsidR="00B96126">
              <w:rPr>
                <w:noProof/>
                <w:webHidden/>
              </w:rPr>
              <w:t>25</w:t>
            </w:r>
            <w:r w:rsidR="00FE773D" w:rsidRPr="000F41A3">
              <w:rPr>
                <w:noProof/>
                <w:webHidden/>
              </w:rPr>
              <w:fldChar w:fldCharType="end"/>
            </w:r>
          </w:hyperlink>
        </w:p>
        <w:p w14:paraId="1A1A7B89" w14:textId="77777777" w:rsidR="00FE773D" w:rsidRPr="000F41A3" w:rsidRDefault="00397FE3">
          <w:pPr>
            <w:pStyle w:val="TDC1"/>
            <w:tabs>
              <w:tab w:val="right" w:leader="dot" w:pos="9034"/>
            </w:tabs>
            <w:rPr>
              <w:rFonts w:asciiTheme="minorHAnsi" w:eastAsiaTheme="minorEastAsia" w:hAnsiTheme="minorHAnsi" w:cstheme="minorBidi"/>
              <w:noProof/>
              <w:sz w:val="22"/>
              <w:szCs w:val="22"/>
              <w:lang w:eastAsia="es-MX"/>
            </w:rPr>
          </w:pPr>
          <w:hyperlink w:anchor="_Toc191569674" w:history="1">
            <w:r w:rsidR="00FE773D" w:rsidRPr="000F41A3">
              <w:rPr>
                <w:rStyle w:val="Hipervnculo"/>
                <w:rFonts w:ascii="Palatino Linotype" w:eastAsia="Palatino Linotype" w:hAnsi="Palatino Linotype"/>
                <w:noProof/>
              </w:rPr>
              <w:t>R E S U E L V E</w:t>
            </w:r>
            <w:r w:rsidR="00FE773D" w:rsidRPr="000F41A3">
              <w:rPr>
                <w:noProof/>
                <w:webHidden/>
              </w:rPr>
              <w:tab/>
            </w:r>
            <w:r w:rsidR="00FE773D" w:rsidRPr="000F41A3">
              <w:rPr>
                <w:noProof/>
                <w:webHidden/>
              </w:rPr>
              <w:fldChar w:fldCharType="begin"/>
            </w:r>
            <w:r w:rsidR="00FE773D" w:rsidRPr="000F41A3">
              <w:rPr>
                <w:noProof/>
                <w:webHidden/>
              </w:rPr>
              <w:instrText xml:space="preserve"> PAGEREF _Toc191569674 \h </w:instrText>
            </w:r>
            <w:r w:rsidR="00FE773D" w:rsidRPr="000F41A3">
              <w:rPr>
                <w:noProof/>
                <w:webHidden/>
              </w:rPr>
            </w:r>
            <w:r w:rsidR="00FE773D" w:rsidRPr="000F41A3">
              <w:rPr>
                <w:noProof/>
                <w:webHidden/>
              </w:rPr>
              <w:fldChar w:fldCharType="separate"/>
            </w:r>
            <w:r w:rsidR="00B96126">
              <w:rPr>
                <w:noProof/>
                <w:webHidden/>
              </w:rPr>
              <w:t>26</w:t>
            </w:r>
            <w:r w:rsidR="00FE773D" w:rsidRPr="000F41A3">
              <w:rPr>
                <w:noProof/>
                <w:webHidden/>
              </w:rPr>
              <w:fldChar w:fldCharType="end"/>
            </w:r>
          </w:hyperlink>
        </w:p>
        <w:p w14:paraId="4E5C8733" w14:textId="6EB2F469" w:rsidR="002C4894" w:rsidRPr="000F41A3" w:rsidRDefault="002C4894" w:rsidP="0069079A">
          <w:pPr>
            <w:spacing w:line="360" w:lineRule="auto"/>
          </w:pPr>
          <w:r w:rsidRPr="000F41A3">
            <w:rPr>
              <w:rFonts w:ascii="Palatino Linotype" w:hAnsi="Palatino Linotype"/>
              <w:sz w:val="22"/>
              <w:szCs w:val="22"/>
              <w:lang w:val="es-ES"/>
            </w:rPr>
            <w:fldChar w:fldCharType="end"/>
          </w:r>
        </w:p>
      </w:sdtContent>
    </w:sdt>
    <w:p w14:paraId="7A0DCC7F" w14:textId="2A1F6C1F" w:rsidR="00286EFA" w:rsidRPr="000F41A3" w:rsidRDefault="00FA61F8" w:rsidP="0069079A">
      <w:pPr>
        <w:spacing w:line="360" w:lineRule="auto"/>
        <w:ind w:right="-28"/>
        <w:jc w:val="both"/>
        <w:rPr>
          <w:rFonts w:ascii="Palatino Linotype" w:eastAsia="Palatino Linotype" w:hAnsi="Palatino Linotype" w:cs="Palatino Linotype"/>
          <w:color w:val="FF0000"/>
          <w:sz w:val="22"/>
          <w:szCs w:val="22"/>
        </w:rPr>
      </w:pPr>
      <w:r w:rsidRPr="000F41A3">
        <w:rPr>
          <w:color w:val="FF0000"/>
        </w:rPr>
        <w:br w:type="column"/>
      </w:r>
      <w:r w:rsidRPr="000F41A3">
        <w:rPr>
          <w:rFonts w:ascii="Palatino Linotype" w:eastAsia="Palatino Linotype" w:hAnsi="Palatino Linotype" w:cs="Palatino Linotype"/>
          <w:color w:val="000000" w:themeColor="text1"/>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C00E78" w:rsidRPr="000F41A3">
        <w:rPr>
          <w:rFonts w:ascii="Palatino Linotype" w:eastAsia="Palatino Linotype" w:hAnsi="Palatino Linotype" w:cs="Palatino Linotype"/>
          <w:color w:val="000000" w:themeColor="text1"/>
          <w:sz w:val="22"/>
          <w:szCs w:val="22"/>
        </w:rPr>
        <w:t>veintiséis</w:t>
      </w:r>
      <w:r w:rsidRPr="000F41A3">
        <w:rPr>
          <w:rFonts w:ascii="Palatino Linotype" w:eastAsia="Palatino Linotype" w:hAnsi="Palatino Linotype" w:cs="Palatino Linotype"/>
          <w:color w:val="000000" w:themeColor="text1"/>
          <w:sz w:val="22"/>
          <w:szCs w:val="22"/>
        </w:rPr>
        <w:t xml:space="preserve"> de febrero de dos mil veinticinco.</w:t>
      </w:r>
    </w:p>
    <w:p w14:paraId="449A9C01" w14:textId="77777777" w:rsidR="00B94085" w:rsidRPr="000F41A3" w:rsidRDefault="00B94085" w:rsidP="0069079A">
      <w:pPr>
        <w:spacing w:line="360" w:lineRule="auto"/>
        <w:ind w:right="-28"/>
        <w:jc w:val="both"/>
        <w:rPr>
          <w:rFonts w:ascii="Palatino Linotype" w:eastAsia="Palatino Linotype" w:hAnsi="Palatino Linotype" w:cs="Palatino Linotype"/>
          <w:color w:val="FF0000"/>
          <w:sz w:val="22"/>
          <w:szCs w:val="22"/>
        </w:rPr>
      </w:pPr>
    </w:p>
    <w:p w14:paraId="7E6B13A0" w14:textId="0CA82757" w:rsidR="00286EFA" w:rsidRPr="000F41A3" w:rsidRDefault="00FA61F8" w:rsidP="0069079A">
      <w:pPr>
        <w:spacing w:line="360" w:lineRule="auto"/>
        <w:ind w:right="-28"/>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b/>
          <w:color w:val="000000" w:themeColor="text1"/>
          <w:sz w:val="22"/>
          <w:szCs w:val="22"/>
        </w:rPr>
        <w:t xml:space="preserve">VISTO </w:t>
      </w:r>
      <w:r w:rsidRPr="000F41A3">
        <w:rPr>
          <w:rFonts w:ascii="Palatino Linotype" w:eastAsia="Palatino Linotype" w:hAnsi="Palatino Linotype" w:cs="Palatino Linotype"/>
          <w:color w:val="000000" w:themeColor="text1"/>
          <w:sz w:val="22"/>
          <w:szCs w:val="22"/>
        </w:rPr>
        <w:t xml:space="preserve">el expediente conformado con motivo del Recurso de Revisión </w:t>
      </w:r>
      <w:r w:rsidR="00C00E78" w:rsidRPr="00334ACC">
        <w:rPr>
          <w:rFonts w:ascii="Palatino Linotype" w:eastAsia="Palatino Linotype" w:hAnsi="Palatino Linotype" w:cs="Palatino Linotype"/>
          <w:b/>
          <w:color w:val="000000" w:themeColor="text1"/>
          <w:sz w:val="22"/>
          <w:szCs w:val="22"/>
        </w:rPr>
        <w:t>00741</w:t>
      </w:r>
      <w:r w:rsidRPr="00334ACC">
        <w:rPr>
          <w:rFonts w:ascii="Palatino Linotype" w:eastAsia="Palatino Linotype" w:hAnsi="Palatino Linotype" w:cs="Palatino Linotype"/>
          <w:b/>
          <w:color w:val="000000" w:themeColor="text1"/>
          <w:sz w:val="22"/>
          <w:szCs w:val="22"/>
        </w:rPr>
        <w:t>/INFOEM/IP/RR/2025</w:t>
      </w:r>
      <w:r w:rsidRPr="000F41A3">
        <w:rPr>
          <w:rFonts w:ascii="Palatino Linotype" w:eastAsia="Palatino Linotype" w:hAnsi="Palatino Linotype" w:cs="Palatino Linotype"/>
          <w:color w:val="000000" w:themeColor="text1"/>
          <w:sz w:val="22"/>
          <w:szCs w:val="22"/>
        </w:rPr>
        <w:t xml:space="preserve">, interpuesto por </w:t>
      </w:r>
      <w:r w:rsidR="00B4242F" w:rsidRPr="005070B3">
        <w:rPr>
          <w:bCs/>
          <w:highlight w:val="black"/>
        </w:rPr>
        <w:t>XX</w:t>
      </w:r>
      <w:r w:rsidR="00B4242F">
        <w:rPr>
          <w:bCs/>
          <w:highlight w:val="black"/>
        </w:rPr>
        <w:t>XXXXXXXXX</w:t>
      </w:r>
      <w:bookmarkStart w:id="0" w:name="_GoBack"/>
      <w:bookmarkEnd w:id="0"/>
      <w:r w:rsidRPr="000F41A3">
        <w:rPr>
          <w:rFonts w:ascii="Palatino Linotype" w:eastAsia="Palatino Linotype" w:hAnsi="Palatino Linotype" w:cs="Palatino Linotype"/>
          <w:color w:val="000000" w:themeColor="text1"/>
          <w:sz w:val="22"/>
          <w:szCs w:val="22"/>
        </w:rPr>
        <w:t xml:space="preserve"> en lo sucesivo el Recurrente o Particular, en contra de la respuesta del Sujeto Obligado, </w:t>
      </w:r>
      <w:r w:rsidR="0069079A" w:rsidRPr="00334ACC">
        <w:rPr>
          <w:rFonts w:ascii="Palatino Linotype" w:eastAsia="Palatino Linotype" w:hAnsi="Palatino Linotype" w:cs="Palatino Linotype"/>
          <w:b/>
          <w:color w:val="000000" w:themeColor="text1"/>
          <w:sz w:val="22"/>
          <w:szCs w:val="22"/>
        </w:rPr>
        <w:t>Sistema Municipal para el Desarrollo Integral de la Familia de Toluca</w:t>
      </w:r>
      <w:r w:rsidRPr="00334ACC">
        <w:rPr>
          <w:rFonts w:ascii="Palatino Linotype" w:eastAsia="Palatino Linotype" w:hAnsi="Palatino Linotype" w:cs="Palatino Linotype"/>
          <w:b/>
          <w:color w:val="000000" w:themeColor="text1"/>
          <w:sz w:val="22"/>
          <w:szCs w:val="22"/>
        </w:rPr>
        <w:t xml:space="preserve">, </w:t>
      </w:r>
      <w:r w:rsidRPr="000F41A3">
        <w:rPr>
          <w:rFonts w:ascii="Palatino Linotype" w:eastAsia="Palatino Linotype" w:hAnsi="Palatino Linotype" w:cs="Palatino Linotype"/>
          <w:color w:val="000000" w:themeColor="text1"/>
          <w:sz w:val="22"/>
          <w:szCs w:val="22"/>
        </w:rPr>
        <w:t xml:space="preserve">a la solicitud de acceso a la información pública con número de folio </w:t>
      </w:r>
      <w:r w:rsidR="00C00E78" w:rsidRPr="000F41A3">
        <w:rPr>
          <w:rFonts w:ascii="Palatino Linotype" w:eastAsia="Palatino Linotype" w:hAnsi="Palatino Linotype" w:cs="Palatino Linotype"/>
          <w:color w:val="000000" w:themeColor="text1"/>
          <w:sz w:val="22"/>
          <w:szCs w:val="22"/>
        </w:rPr>
        <w:t>00062/DIFTOLUCA/IP/2025</w:t>
      </w:r>
      <w:r w:rsidRPr="000F41A3">
        <w:rPr>
          <w:rFonts w:ascii="Palatino Linotype" w:eastAsia="Palatino Linotype" w:hAnsi="Palatino Linotype" w:cs="Palatino Linotype"/>
          <w:color w:val="000000" w:themeColor="text1"/>
          <w:sz w:val="22"/>
          <w:szCs w:val="22"/>
        </w:rPr>
        <w:t>, se emite la presente Resolución, con base en los Antecedentes y Considerandos que se exponen a continuación:</w:t>
      </w:r>
    </w:p>
    <w:p w14:paraId="6CDCEC1D" w14:textId="77777777" w:rsidR="00286EFA" w:rsidRPr="000F41A3" w:rsidRDefault="00286EFA" w:rsidP="0069079A">
      <w:pPr>
        <w:spacing w:line="360" w:lineRule="auto"/>
        <w:ind w:right="-28"/>
        <w:jc w:val="both"/>
        <w:rPr>
          <w:rFonts w:ascii="Palatino Linotype" w:eastAsia="Palatino Linotype" w:hAnsi="Palatino Linotype" w:cs="Palatino Linotype"/>
          <w:b/>
          <w:color w:val="FF0000"/>
          <w:sz w:val="22"/>
          <w:szCs w:val="22"/>
        </w:rPr>
      </w:pPr>
    </w:p>
    <w:p w14:paraId="725B12A3" w14:textId="77777777" w:rsidR="00286EFA" w:rsidRPr="000F41A3" w:rsidRDefault="00FA61F8" w:rsidP="0069079A">
      <w:pPr>
        <w:pStyle w:val="Ttulo1"/>
        <w:spacing w:before="0" w:after="0" w:line="360" w:lineRule="auto"/>
        <w:jc w:val="center"/>
        <w:rPr>
          <w:rFonts w:ascii="Palatino Linotype" w:eastAsia="Palatino Linotype" w:hAnsi="Palatino Linotype"/>
          <w:b/>
          <w:bCs/>
          <w:color w:val="auto"/>
          <w:sz w:val="22"/>
          <w:szCs w:val="22"/>
        </w:rPr>
      </w:pPr>
      <w:bookmarkStart w:id="1" w:name="_Toc190893340"/>
      <w:bookmarkStart w:id="2" w:name="_Toc191569657"/>
      <w:r w:rsidRPr="000F41A3">
        <w:rPr>
          <w:rFonts w:ascii="Palatino Linotype" w:eastAsia="Palatino Linotype" w:hAnsi="Palatino Linotype"/>
          <w:b/>
          <w:bCs/>
          <w:color w:val="auto"/>
          <w:sz w:val="22"/>
          <w:szCs w:val="22"/>
        </w:rPr>
        <w:t>A N T E C E D E N T E S</w:t>
      </w:r>
      <w:bookmarkEnd w:id="1"/>
      <w:bookmarkEnd w:id="2"/>
    </w:p>
    <w:p w14:paraId="2AE6EC08" w14:textId="77777777" w:rsidR="00286EFA" w:rsidRPr="000F41A3" w:rsidRDefault="00286EFA" w:rsidP="0069079A">
      <w:pPr>
        <w:pStyle w:val="Ttulo1"/>
        <w:spacing w:before="0" w:after="0" w:line="360" w:lineRule="auto"/>
        <w:rPr>
          <w:rFonts w:ascii="Palatino Linotype" w:eastAsia="Palatino Linotype" w:hAnsi="Palatino Linotype"/>
          <w:b/>
          <w:bCs/>
          <w:sz w:val="22"/>
          <w:szCs w:val="22"/>
        </w:rPr>
      </w:pPr>
    </w:p>
    <w:p w14:paraId="77F9A946" w14:textId="77777777" w:rsidR="00286EFA" w:rsidRPr="000F41A3" w:rsidRDefault="00FA61F8" w:rsidP="0069079A">
      <w:pPr>
        <w:pStyle w:val="Ttulo1"/>
        <w:spacing w:before="0" w:after="0" w:line="360" w:lineRule="auto"/>
        <w:rPr>
          <w:rFonts w:ascii="Palatino Linotype" w:eastAsia="Palatino Linotype" w:hAnsi="Palatino Linotype"/>
          <w:b/>
          <w:bCs/>
          <w:color w:val="000000" w:themeColor="text1"/>
          <w:sz w:val="22"/>
          <w:szCs w:val="22"/>
        </w:rPr>
      </w:pPr>
      <w:bookmarkStart w:id="3" w:name="_Toc191569658"/>
      <w:r w:rsidRPr="000F41A3">
        <w:rPr>
          <w:rFonts w:ascii="Palatino Linotype" w:eastAsia="Palatino Linotype" w:hAnsi="Palatino Linotype"/>
          <w:b/>
          <w:bCs/>
          <w:color w:val="000000" w:themeColor="text1"/>
          <w:sz w:val="22"/>
          <w:szCs w:val="22"/>
        </w:rPr>
        <w:t>I. Presentación de la solicitud de información</w:t>
      </w:r>
      <w:bookmarkEnd w:id="3"/>
    </w:p>
    <w:p w14:paraId="3FDFCF60"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082373EA" w14:textId="77777777" w:rsidR="00286EFA" w:rsidRPr="000F41A3" w:rsidRDefault="00C00E7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Con fecha veinte</w:t>
      </w:r>
      <w:r w:rsidR="00FA61F8" w:rsidRPr="000F41A3">
        <w:rPr>
          <w:rFonts w:ascii="Palatino Linotype" w:eastAsia="Palatino Linotype" w:hAnsi="Palatino Linotype" w:cs="Palatino Linotype"/>
          <w:color w:val="000000" w:themeColor="text1"/>
          <w:sz w:val="22"/>
          <w:szCs w:val="22"/>
        </w:rPr>
        <w:t xml:space="preserve"> de enero de dos mil veinticinco, el Particular presentó una solicitud de acceso a la información pública, a través del Sistema de Acceso a la Información Mexiquense (SAIMEX), ante el Ayuntamiento de Tenancingo</w:t>
      </w:r>
      <w:r w:rsidR="00FA61F8" w:rsidRPr="000F41A3">
        <w:rPr>
          <w:rFonts w:ascii="Palatino Linotype" w:eastAsia="Palatino Linotype" w:hAnsi="Palatino Linotype" w:cs="Palatino Linotype"/>
          <w:b/>
          <w:color w:val="000000" w:themeColor="text1"/>
          <w:sz w:val="22"/>
          <w:szCs w:val="22"/>
        </w:rPr>
        <w:t xml:space="preserve">, </w:t>
      </w:r>
      <w:r w:rsidR="00FA61F8" w:rsidRPr="000F41A3">
        <w:rPr>
          <w:rFonts w:ascii="Palatino Linotype" w:eastAsia="Palatino Linotype" w:hAnsi="Palatino Linotype" w:cs="Palatino Linotype"/>
          <w:color w:val="000000" w:themeColor="text1"/>
          <w:sz w:val="22"/>
          <w:szCs w:val="22"/>
        </w:rPr>
        <w:t>mediante la cual requirió lo siguiente:</w:t>
      </w:r>
    </w:p>
    <w:p w14:paraId="532289E9" w14:textId="77777777" w:rsidR="00286EFA" w:rsidRPr="000F41A3" w:rsidRDefault="00286EFA" w:rsidP="0069079A">
      <w:pPr>
        <w:tabs>
          <w:tab w:val="left" w:pos="4667"/>
        </w:tabs>
        <w:spacing w:line="360" w:lineRule="auto"/>
        <w:ind w:right="567"/>
        <w:jc w:val="both"/>
        <w:rPr>
          <w:rFonts w:ascii="Palatino Linotype" w:eastAsia="Palatino Linotype" w:hAnsi="Palatino Linotype" w:cs="Palatino Linotype"/>
          <w:b/>
          <w:i/>
          <w:color w:val="FF0000"/>
        </w:rPr>
      </w:pPr>
    </w:p>
    <w:p w14:paraId="6F11886F" w14:textId="77777777" w:rsidR="00286EFA" w:rsidRPr="000F41A3" w:rsidRDefault="00FA61F8" w:rsidP="0069079A">
      <w:pPr>
        <w:tabs>
          <w:tab w:val="left" w:pos="4667"/>
        </w:tabs>
        <w:spacing w:line="360" w:lineRule="auto"/>
        <w:ind w:left="567" w:right="567"/>
        <w:jc w:val="both"/>
        <w:rPr>
          <w:rFonts w:ascii="Palatino Linotype" w:eastAsia="Palatino Linotype" w:hAnsi="Palatino Linotype" w:cs="Palatino Linotype"/>
          <w:b/>
          <w:i/>
          <w:color w:val="000000" w:themeColor="text1"/>
        </w:rPr>
      </w:pPr>
      <w:bookmarkStart w:id="4" w:name="_heading=h.gjdgxs" w:colFirst="0" w:colLast="0"/>
      <w:bookmarkEnd w:id="4"/>
      <w:r w:rsidRPr="000F41A3">
        <w:rPr>
          <w:rFonts w:ascii="Palatino Linotype" w:eastAsia="Palatino Linotype" w:hAnsi="Palatino Linotype" w:cs="Palatino Linotype"/>
          <w:b/>
          <w:i/>
          <w:color w:val="000000" w:themeColor="text1"/>
        </w:rPr>
        <w:t>“DESCRIPCIÓN CLARA Y PRECISA DE LA INFORMACIÓN SOLICITADA:</w:t>
      </w:r>
    </w:p>
    <w:p w14:paraId="0EABED88" w14:textId="77777777" w:rsidR="00286EFA" w:rsidRPr="000F41A3" w:rsidRDefault="00C00E78" w:rsidP="0069079A">
      <w:pPr>
        <w:spacing w:line="360" w:lineRule="auto"/>
        <w:ind w:left="567" w:right="567"/>
        <w:jc w:val="both"/>
        <w:rPr>
          <w:rFonts w:ascii="Palatino Linotype" w:eastAsia="Palatino Linotype" w:hAnsi="Palatino Linotype" w:cs="Palatino Linotype"/>
          <w:i/>
          <w:color w:val="000000" w:themeColor="text1"/>
        </w:rPr>
      </w:pPr>
      <w:r w:rsidRPr="000F41A3">
        <w:rPr>
          <w:rFonts w:ascii="Palatino Linotype" w:eastAsia="Palatino Linotype" w:hAnsi="Palatino Linotype" w:cs="Palatino Linotype"/>
          <w:i/>
          <w:color w:val="000000" w:themeColor="text1"/>
        </w:rPr>
        <w:t>Requiero un listado de las inasistencias de los trabajadores del DIF municipal desglosando fecha, motivo y anexando documento de justificación de falta</w:t>
      </w:r>
      <w:r w:rsidR="00FA61F8" w:rsidRPr="000F41A3">
        <w:rPr>
          <w:rFonts w:ascii="Palatino Linotype" w:eastAsia="Palatino Linotype" w:hAnsi="Palatino Linotype" w:cs="Palatino Linotype"/>
          <w:i/>
          <w:color w:val="000000" w:themeColor="text1"/>
        </w:rPr>
        <w:t>” (Sic)</w:t>
      </w:r>
    </w:p>
    <w:p w14:paraId="74C440C3" w14:textId="77777777" w:rsidR="00286EFA" w:rsidRPr="000F41A3" w:rsidRDefault="00286EFA" w:rsidP="0069079A">
      <w:pPr>
        <w:tabs>
          <w:tab w:val="left" w:pos="4667"/>
        </w:tabs>
        <w:spacing w:line="360" w:lineRule="auto"/>
        <w:ind w:left="567" w:right="567"/>
        <w:jc w:val="both"/>
        <w:rPr>
          <w:rFonts w:ascii="Palatino Linotype" w:eastAsia="Palatino Linotype" w:hAnsi="Palatino Linotype" w:cs="Palatino Linotype"/>
          <w:i/>
          <w:color w:val="000000" w:themeColor="text1"/>
        </w:rPr>
      </w:pPr>
    </w:p>
    <w:p w14:paraId="27F5682F" w14:textId="77777777" w:rsidR="00286EFA" w:rsidRPr="000F41A3" w:rsidRDefault="00FA61F8" w:rsidP="0069079A">
      <w:pPr>
        <w:tabs>
          <w:tab w:val="left" w:pos="4667"/>
        </w:tabs>
        <w:spacing w:line="360" w:lineRule="auto"/>
        <w:ind w:left="567" w:right="567"/>
        <w:jc w:val="both"/>
        <w:rPr>
          <w:rFonts w:ascii="Palatino Linotype" w:eastAsia="Palatino Linotype" w:hAnsi="Palatino Linotype" w:cs="Palatino Linotype"/>
          <w:b/>
          <w:i/>
          <w:color w:val="000000" w:themeColor="text1"/>
        </w:rPr>
      </w:pPr>
      <w:r w:rsidRPr="000F41A3">
        <w:rPr>
          <w:rFonts w:ascii="Palatino Linotype" w:eastAsia="Palatino Linotype" w:hAnsi="Palatino Linotype" w:cs="Palatino Linotype"/>
          <w:b/>
          <w:i/>
          <w:color w:val="000000" w:themeColor="text1"/>
        </w:rPr>
        <w:t xml:space="preserve">“Modalidad de Entrega: </w:t>
      </w:r>
    </w:p>
    <w:p w14:paraId="0CAAA9EB" w14:textId="77777777" w:rsidR="00286EFA" w:rsidRPr="000F41A3" w:rsidRDefault="00FA61F8" w:rsidP="0069079A">
      <w:pPr>
        <w:tabs>
          <w:tab w:val="left" w:pos="567"/>
        </w:tabs>
        <w:spacing w:line="360" w:lineRule="auto"/>
        <w:ind w:left="567" w:right="567"/>
        <w:jc w:val="both"/>
        <w:rPr>
          <w:rFonts w:ascii="Palatino Linotype" w:eastAsia="Palatino Linotype" w:hAnsi="Palatino Linotype" w:cs="Palatino Linotype"/>
          <w:i/>
          <w:color w:val="000000" w:themeColor="text1"/>
        </w:rPr>
      </w:pPr>
      <w:r w:rsidRPr="000F41A3">
        <w:rPr>
          <w:rFonts w:ascii="Palatino Linotype" w:eastAsia="Palatino Linotype" w:hAnsi="Palatino Linotype" w:cs="Palatino Linotype"/>
          <w:b/>
          <w:i/>
          <w:color w:val="000000" w:themeColor="text1"/>
        </w:rPr>
        <w:t xml:space="preserve"> </w:t>
      </w:r>
      <w:r w:rsidRPr="000F41A3">
        <w:rPr>
          <w:rFonts w:ascii="Palatino Linotype" w:eastAsia="Palatino Linotype" w:hAnsi="Palatino Linotype" w:cs="Palatino Linotype"/>
          <w:i/>
          <w:color w:val="000000" w:themeColor="text1"/>
        </w:rPr>
        <w:t xml:space="preserve">A través de SAIMEX”  </w:t>
      </w:r>
    </w:p>
    <w:p w14:paraId="0A4563DB" w14:textId="77777777" w:rsidR="00286EFA" w:rsidRPr="000F41A3" w:rsidRDefault="00286EFA" w:rsidP="0069079A">
      <w:pPr>
        <w:spacing w:line="360" w:lineRule="auto"/>
        <w:rPr>
          <w:rFonts w:ascii="Palatino Linotype" w:eastAsia="Palatino Linotype" w:hAnsi="Palatino Linotype" w:cs="Palatino Linotype"/>
          <w:b/>
          <w:color w:val="FF0000"/>
          <w:sz w:val="22"/>
          <w:szCs w:val="22"/>
        </w:rPr>
      </w:pPr>
      <w:bookmarkStart w:id="5" w:name="_heading=h.30j0zll" w:colFirst="0" w:colLast="0"/>
      <w:bookmarkEnd w:id="5"/>
    </w:p>
    <w:p w14:paraId="231486FA" w14:textId="77777777" w:rsidR="00286EFA" w:rsidRPr="000F41A3" w:rsidRDefault="00FA61F8" w:rsidP="0069079A">
      <w:pPr>
        <w:pStyle w:val="Ttulo1"/>
        <w:spacing w:before="0" w:after="0" w:line="360" w:lineRule="auto"/>
        <w:rPr>
          <w:rFonts w:ascii="Palatino Linotype" w:eastAsia="Palatino Linotype" w:hAnsi="Palatino Linotype"/>
          <w:b/>
          <w:bCs/>
          <w:sz w:val="22"/>
          <w:szCs w:val="22"/>
        </w:rPr>
      </w:pPr>
      <w:bookmarkStart w:id="6" w:name="_Toc191569659"/>
      <w:r w:rsidRPr="000F41A3">
        <w:rPr>
          <w:rFonts w:ascii="Palatino Linotype" w:eastAsia="Palatino Linotype" w:hAnsi="Palatino Linotype"/>
          <w:b/>
          <w:bCs/>
          <w:color w:val="auto"/>
          <w:sz w:val="22"/>
          <w:szCs w:val="22"/>
        </w:rPr>
        <w:lastRenderedPageBreak/>
        <w:t>II. Respuesta del Sujeto Obligado</w:t>
      </w:r>
      <w:bookmarkEnd w:id="6"/>
    </w:p>
    <w:p w14:paraId="658AE40F" w14:textId="77777777" w:rsidR="00286EFA" w:rsidRPr="000F41A3" w:rsidRDefault="00286EFA" w:rsidP="0069079A">
      <w:pPr>
        <w:tabs>
          <w:tab w:val="left" w:pos="4667"/>
        </w:tabs>
        <w:spacing w:line="360" w:lineRule="auto"/>
        <w:ind w:right="567"/>
        <w:jc w:val="both"/>
        <w:rPr>
          <w:rFonts w:ascii="Palatino Linotype" w:eastAsia="Palatino Linotype" w:hAnsi="Palatino Linotype" w:cs="Palatino Linotype"/>
          <w:b/>
          <w:color w:val="FF0000"/>
          <w:sz w:val="22"/>
          <w:szCs w:val="22"/>
        </w:rPr>
      </w:pPr>
    </w:p>
    <w:p w14:paraId="1C5BF8FB" w14:textId="77777777" w:rsidR="00C00E78"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Con fecha </w:t>
      </w:r>
      <w:r w:rsidR="00C00E78" w:rsidRPr="000F41A3">
        <w:rPr>
          <w:rFonts w:ascii="Palatino Linotype" w:eastAsia="Palatino Linotype" w:hAnsi="Palatino Linotype" w:cs="Palatino Linotype"/>
          <w:color w:val="000000" w:themeColor="text1"/>
          <w:sz w:val="22"/>
          <w:szCs w:val="22"/>
        </w:rPr>
        <w:t xml:space="preserve">cuatro de febrero de dos mil veinticinco, </w:t>
      </w:r>
      <w:r w:rsidRPr="000F41A3">
        <w:rPr>
          <w:rFonts w:ascii="Palatino Linotype" w:eastAsia="Palatino Linotype" w:hAnsi="Palatino Linotype" w:cs="Palatino Linotype"/>
          <w:color w:val="000000" w:themeColor="text1"/>
          <w:sz w:val="22"/>
          <w:szCs w:val="22"/>
        </w:rPr>
        <w:t>el</w:t>
      </w:r>
      <w:r w:rsidRPr="000F41A3">
        <w:rPr>
          <w:rFonts w:ascii="Palatino Linotype" w:eastAsia="Palatino Linotype" w:hAnsi="Palatino Linotype" w:cs="Palatino Linotype"/>
          <w:b/>
          <w:color w:val="000000" w:themeColor="text1"/>
          <w:sz w:val="22"/>
          <w:szCs w:val="22"/>
        </w:rPr>
        <w:t xml:space="preserve"> </w:t>
      </w:r>
      <w:r w:rsidRPr="000F41A3">
        <w:rPr>
          <w:rFonts w:ascii="Palatino Linotype" w:eastAsia="Palatino Linotype" w:hAnsi="Palatino Linotype" w:cs="Palatino Linotype"/>
          <w:color w:val="000000" w:themeColor="text1"/>
          <w:sz w:val="22"/>
          <w:szCs w:val="22"/>
        </w:rPr>
        <w:t xml:space="preserve">Sujeto Obligado dio respuesta a la solicitud de acceso a la información a través del Sistema de Acceso a la Información Mexiquense (SAIMEX), por medio de la digitalización </w:t>
      </w:r>
      <w:r w:rsidR="00C00E78" w:rsidRPr="000F41A3">
        <w:rPr>
          <w:rFonts w:ascii="Palatino Linotype" w:eastAsia="Palatino Linotype" w:hAnsi="Palatino Linotype" w:cs="Palatino Linotype"/>
          <w:color w:val="000000" w:themeColor="text1"/>
          <w:sz w:val="22"/>
          <w:szCs w:val="22"/>
        </w:rPr>
        <w:t xml:space="preserve"> de los siguientes documentos:</w:t>
      </w:r>
    </w:p>
    <w:p w14:paraId="0F6B6D62"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275004EC" w14:textId="7E88BF28" w:rsidR="00C00E78" w:rsidRPr="000F41A3" w:rsidRDefault="0069079A"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i) </w:t>
      </w:r>
      <w:r w:rsidR="00C00E78" w:rsidRPr="000F41A3">
        <w:rPr>
          <w:rFonts w:ascii="Palatino Linotype" w:eastAsia="Palatino Linotype" w:hAnsi="Palatino Linotype" w:cs="Palatino Linotype"/>
          <w:color w:val="000000" w:themeColor="text1"/>
          <w:sz w:val="22"/>
          <w:szCs w:val="22"/>
        </w:rPr>
        <w:t xml:space="preserve">Oficio 200B10100/179/2025 del </w:t>
      </w:r>
      <w:r w:rsidR="00C07D69" w:rsidRPr="000F41A3">
        <w:rPr>
          <w:rFonts w:ascii="Palatino Linotype" w:eastAsia="Palatino Linotype" w:hAnsi="Palatino Linotype" w:cs="Palatino Linotype"/>
          <w:color w:val="000000" w:themeColor="text1"/>
          <w:sz w:val="22"/>
          <w:szCs w:val="22"/>
        </w:rPr>
        <w:t xml:space="preserve">treinta y uno de enero de dos mil veinticinco, suscrito por la Titular de la Unidad de Información, Planeación, Programación y Evaluación del Sistema Municipal de Toluca, dirigido al Solicitante, por medio del cual refiere que anexa la respuesta de la Dirección de Administración y Tesorería del </w:t>
      </w:r>
      <w:r w:rsidRPr="000F41A3">
        <w:rPr>
          <w:rFonts w:ascii="Palatino Linotype" w:eastAsia="Palatino Linotype" w:hAnsi="Palatino Linotype" w:cs="Palatino Linotype"/>
          <w:color w:val="000000" w:themeColor="text1"/>
          <w:sz w:val="22"/>
          <w:szCs w:val="22"/>
        </w:rPr>
        <w:t>Sistema Municipal para el Desarrollo Integral de la Familia de Toluca</w:t>
      </w:r>
      <w:r w:rsidR="00C07D69" w:rsidRPr="000F41A3">
        <w:rPr>
          <w:rFonts w:ascii="Palatino Linotype" w:eastAsia="Palatino Linotype" w:hAnsi="Palatino Linotype" w:cs="Palatino Linotype"/>
          <w:color w:val="000000" w:themeColor="text1"/>
          <w:sz w:val="22"/>
          <w:szCs w:val="22"/>
        </w:rPr>
        <w:t>.</w:t>
      </w:r>
    </w:p>
    <w:p w14:paraId="43D98DAD" w14:textId="77777777" w:rsidR="00B83CBC" w:rsidRPr="000F41A3" w:rsidRDefault="00B83CBC" w:rsidP="0069079A">
      <w:pPr>
        <w:pStyle w:val="Prrafodelista"/>
        <w:spacing w:line="360" w:lineRule="auto"/>
        <w:jc w:val="both"/>
        <w:rPr>
          <w:rFonts w:ascii="Palatino Linotype" w:eastAsia="Palatino Linotype" w:hAnsi="Palatino Linotype" w:cs="Palatino Linotype"/>
          <w:color w:val="000000" w:themeColor="text1"/>
          <w:sz w:val="22"/>
          <w:szCs w:val="22"/>
        </w:rPr>
      </w:pPr>
    </w:p>
    <w:p w14:paraId="0C1D0BAE" w14:textId="62D48CAF" w:rsidR="00B83CBC" w:rsidRPr="000F41A3" w:rsidRDefault="0069079A"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ii) </w:t>
      </w:r>
      <w:r w:rsidR="000C674F" w:rsidRPr="000F41A3">
        <w:rPr>
          <w:rFonts w:ascii="Palatino Linotype" w:eastAsia="Palatino Linotype" w:hAnsi="Palatino Linotype" w:cs="Palatino Linotype"/>
          <w:color w:val="000000" w:themeColor="text1"/>
          <w:sz w:val="22"/>
          <w:szCs w:val="22"/>
        </w:rPr>
        <w:t>Oficio 200B10900/113/2025 del veintinueve de enero de dos mil veinticinco, dirigido a la Titular de la Unidad de Información, Planeación, Programación y Evaluación, por medio del cual se menciona lo siguiente:</w:t>
      </w:r>
    </w:p>
    <w:p w14:paraId="61B06C91" w14:textId="77777777" w:rsidR="003F7BDC" w:rsidRPr="000F41A3" w:rsidRDefault="003F7BDC" w:rsidP="0069079A">
      <w:pPr>
        <w:pStyle w:val="Prrafodelista"/>
        <w:spacing w:line="360" w:lineRule="auto"/>
        <w:jc w:val="both"/>
        <w:rPr>
          <w:rFonts w:ascii="Palatino Linotype" w:eastAsia="Palatino Linotype" w:hAnsi="Palatino Linotype" w:cs="Palatino Linotype"/>
          <w:color w:val="000000" w:themeColor="text1"/>
          <w:sz w:val="22"/>
          <w:szCs w:val="22"/>
        </w:rPr>
      </w:pPr>
    </w:p>
    <w:p w14:paraId="4841DA7B" w14:textId="77777777" w:rsidR="00286EFA" w:rsidRPr="000F41A3" w:rsidRDefault="00FA61F8" w:rsidP="0069079A">
      <w:pPr>
        <w:spacing w:line="360" w:lineRule="auto"/>
        <w:ind w:left="567" w:right="567"/>
        <w:jc w:val="both"/>
        <w:rPr>
          <w:rFonts w:ascii="Palatino Linotype" w:eastAsia="Palatino Linotype" w:hAnsi="Palatino Linotype" w:cs="Palatino Linotype"/>
          <w:i/>
          <w:color w:val="000000" w:themeColor="text1"/>
        </w:rPr>
      </w:pPr>
      <w:r w:rsidRPr="000F41A3">
        <w:rPr>
          <w:rFonts w:ascii="Palatino Linotype" w:eastAsia="Palatino Linotype" w:hAnsi="Palatino Linotype" w:cs="Palatino Linotype"/>
          <w:i/>
          <w:color w:val="000000" w:themeColor="text1"/>
        </w:rPr>
        <w:t>“…</w:t>
      </w:r>
      <w:r w:rsidR="003F7BDC" w:rsidRPr="000F41A3">
        <w:rPr>
          <w:rFonts w:ascii="Palatino Linotype" w:eastAsia="Palatino Linotype" w:hAnsi="Palatino Linotype" w:cs="Palatino Linotype"/>
          <w:i/>
          <w:color w:val="000000" w:themeColor="text1"/>
        </w:rPr>
        <w:t xml:space="preserve">le comunico que la información objeto de su solicitud, se encuentra publicada en el artículo </w:t>
      </w:r>
      <w:r w:rsidR="00EC79FC" w:rsidRPr="000F41A3">
        <w:rPr>
          <w:rFonts w:ascii="Palatino Linotype" w:eastAsia="Palatino Linotype" w:hAnsi="Palatino Linotype" w:cs="Palatino Linotype"/>
          <w:i/>
          <w:color w:val="000000" w:themeColor="text1"/>
        </w:rPr>
        <w:t>92, fracción XX A denominada “Normatividad Laboral” del Sistema de Información Pública de Oficio Mexiquense (IPOMEX) de este Sujeto Obligado; la cual puede ser consultada en la siguiente dirección electrónica:</w:t>
      </w:r>
    </w:p>
    <w:p w14:paraId="2167786D" w14:textId="77777777" w:rsidR="00EC79FC" w:rsidRPr="000F41A3" w:rsidRDefault="00EC79FC" w:rsidP="0069079A">
      <w:pPr>
        <w:spacing w:line="360" w:lineRule="auto"/>
        <w:ind w:left="567" w:right="567"/>
        <w:jc w:val="both"/>
        <w:rPr>
          <w:rFonts w:ascii="Palatino Linotype" w:eastAsia="Palatino Linotype" w:hAnsi="Palatino Linotype" w:cs="Palatino Linotype"/>
          <w:i/>
          <w:color w:val="000000" w:themeColor="text1"/>
        </w:rPr>
      </w:pPr>
    </w:p>
    <w:p w14:paraId="1983BBFA" w14:textId="77777777" w:rsidR="00EC79FC" w:rsidRPr="000F41A3" w:rsidRDefault="00397FE3" w:rsidP="0069079A">
      <w:pPr>
        <w:spacing w:line="360" w:lineRule="auto"/>
        <w:ind w:left="567" w:right="567"/>
        <w:jc w:val="both"/>
        <w:rPr>
          <w:rFonts w:ascii="Palatino Linotype" w:eastAsia="Palatino Linotype" w:hAnsi="Palatino Linotype" w:cs="Palatino Linotype"/>
          <w:i/>
          <w:color w:val="000000" w:themeColor="text1"/>
        </w:rPr>
      </w:pPr>
      <w:hyperlink r:id="rId8" w:anchor="/info-fraccion/26/340/15" w:history="1">
        <w:r w:rsidR="00EC79FC" w:rsidRPr="000F41A3">
          <w:rPr>
            <w:rStyle w:val="Hipervnculo"/>
            <w:rFonts w:ascii="Palatino Linotype" w:eastAsia="Palatino Linotype" w:hAnsi="Palatino Linotype" w:cs="Palatino Linotype"/>
            <w:i/>
          </w:rPr>
          <w:t>https://infoem2.ipomex.org.mx/ipomex/#/info-fraccion/26/340/15</w:t>
        </w:r>
      </w:hyperlink>
      <w:r w:rsidR="00EC79FC" w:rsidRPr="000F41A3">
        <w:rPr>
          <w:rFonts w:ascii="Palatino Linotype" w:eastAsia="Palatino Linotype" w:hAnsi="Palatino Linotype" w:cs="Palatino Linotype"/>
          <w:i/>
          <w:color w:val="000000" w:themeColor="text1"/>
        </w:rPr>
        <w:t xml:space="preserve"> ...” </w:t>
      </w:r>
    </w:p>
    <w:p w14:paraId="6DCF1925"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3D048A8A" w14:textId="77777777" w:rsidR="00286EFA" w:rsidRPr="000F41A3" w:rsidRDefault="00FA61F8" w:rsidP="0069079A">
      <w:pPr>
        <w:pStyle w:val="Ttulo1"/>
        <w:spacing w:before="0" w:after="0" w:line="360" w:lineRule="auto"/>
        <w:rPr>
          <w:rFonts w:ascii="Palatino Linotype" w:eastAsia="Palatino Linotype" w:hAnsi="Palatino Linotype"/>
          <w:b/>
          <w:bCs/>
          <w:color w:val="auto"/>
          <w:sz w:val="22"/>
          <w:szCs w:val="22"/>
        </w:rPr>
      </w:pPr>
      <w:bookmarkStart w:id="7" w:name="_Toc191569660"/>
      <w:r w:rsidRPr="000F41A3">
        <w:rPr>
          <w:rFonts w:ascii="Palatino Linotype" w:eastAsia="Palatino Linotype" w:hAnsi="Palatino Linotype"/>
          <w:b/>
          <w:bCs/>
          <w:color w:val="auto"/>
          <w:sz w:val="22"/>
          <w:szCs w:val="22"/>
        </w:rPr>
        <w:t>III. Interposición del Recurso de Revisión</w:t>
      </w:r>
      <w:bookmarkEnd w:id="7"/>
    </w:p>
    <w:p w14:paraId="7243B1C3" w14:textId="77777777" w:rsidR="00286EFA" w:rsidRPr="000F41A3" w:rsidRDefault="00286EFA" w:rsidP="0069079A">
      <w:pPr>
        <w:spacing w:line="360" w:lineRule="auto"/>
        <w:ind w:right="-28"/>
        <w:jc w:val="both"/>
        <w:rPr>
          <w:rFonts w:ascii="Palatino Linotype" w:eastAsia="Palatino Linotype" w:hAnsi="Palatino Linotype" w:cs="Palatino Linotype"/>
          <w:color w:val="FF0000"/>
          <w:sz w:val="22"/>
          <w:szCs w:val="22"/>
        </w:rPr>
      </w:pPr>
    </w:p>
    <w:p w14:paraId="2A0779AE"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lastRenderedPageBreak/>
        <w:t xml:space="preserve">Con fecha </w:t>
      </w:r>
      <w:r w:rsidR="00697A8F" w:rsidRPr="000F41A3">
        <w:rPr>
          <w:rFonts w:ascii="Palatino Linotype" w:eastAsia="Palatino Linotype" w:hAnsi="Palatino Linotype" w:cs="Palatino Linotype"/>
          <w:color w:val="000000" w:themeColor="text1"/>
          <w:sz w:val="22"/>
          <w:szCs w:val="22"/>
        </w:rPr>
        <w:t xml:space="preserve">seis de febrero de dos mil veinticinco, </w:t>
      </w:r>
      <w:r w:rsidRPr="000F41A3">
        <w:rPr>
          <w:rFonts w:ascii="Palatino Linotype" w:eastAsia="Palatino Linotype" w:hAnsi="Palatino Linotype" w:cs="Palatino Linotype"/>
          <w:color w:val="000000" w:themeColor="text1"/>
          <w:sz w:val="22"/>
          <w:szCs w:val="22"/>
        </w:rPr>
        <w:t>se recibió en este Instituto, a través del Sistema de Acceso a la Información Mexiquense (SAIMEX), el Recurso de Revisión interpuesto por la parte Recurrente, en contra de la respuesta del Sujeto Obligado</w:t>
      </w:r>
      <w:r w:rsidRPr="000F41A3">
        <w:rPr>
          <w:rFonts w:ascii="Palatino Linotype" w:eastAsia="Palatino Linotype" w:hAnsi="Palatino Linotype" w:cs="Palatino Linotype"/>
          <w:b/>
          <w:color w:val="000000" w:themeColor="text1"/>
          <w:sz w:val="22"/>
          <w:szCs w:val="22"/>
        </w:rPr>
        <w:t xml:space="preserve">, </w:t>
      </w:r>
      <w:r w:rsidRPr="000F41A3">
        <w:rPr>
          <w:rFonts w:ascii="Palatino Linotype" w:eastAsia="Palatino Linotype" w:hAnsi="Palatino Linotype" w:cs="Palatino Linotype"/>
          <w:color w:val="000000" w:themeColor="text1"/>
          <w:sz w:val="22"/>
          <w:szCs w:val="22"/>
        </w:rPr>
        <w:t>en los siguientes términos:</w:t>
      </w:r>
    </w:p>
    <w:p w14:paraId="7BD3DB27" w14:textId="77777777" w:rsidR="00286EFA" w:rsidRPr="000F41A3" w:rsidRDefault="00286EFA" w:rsidP="0069079A">
      <w:pPr>
        <w:spacing w:line="360" w:lineRule="auto"/>
        <w:ind w:right="-28"/>
        <w:jc w:val="both"/>
        <w:rPr>
          <w:rFonts w:ascii="Palatino Linotype" w:eastAsia="Palatino Linotype" w:hAnsi="Palatino Linotype" w:cs="Palatino Linotype"/>
          <w:i/>
          <w:color w:val="000000" w:themeColor="text1"/>
        </w:rPr>
      </w:pPr>
    </w:p>
    <w:p w14:paraId="098B6A4C" w14:textId="77777777" w:rsidR="00286EFA" w:rsidRPr="000F41A3" w:rsidRDefault="00FA61F8" w:rsidP="0069079A">
      <w:pPr>
        <w:tabs>
          <w:tab w:val="left" w:pos="4667"/>
        </w:tabs>
        <w:spacing w:line="360" w:lineRule="auto"/>
        <w:ind w:left="567" w:right="567"/>
        <w:jc w:val="both"/>
        <w:rPr>
          <w:rFonts w:ascii="Palatino Linotype" w:eastAsia="Palatino Linotype" w:hAnsi="Palatino Linotype" w:cs="Palatino Linotype"/>
          <w:b/>
          <w:i/>
          <w:color w:val="000000" w:themeColor="text1"/>
        </w:rPr>
      </w:pPr>
      <w:r w:rsidRPr="000F41A3">
        <w:rPr>
          <w:rFonts w:ascii="Palatino Linotype" w:eastAsia="Palatino Linotype" w:hAnsi="Palatino Linotype" w:cs="Palatino Linotype"/>
          <w:b/>
          <w:i/>
          <w:color w:val="000000" w:themeColor="text1"/>
        </w:rPr>
        <w:t>“ACTO IMPUGNADO</w:t>
      </w:r>
    </w:p>
    <w:p w14:paraId="4479944A" w14:textId="77777777" w:rsidR="00286EFA" w:rsidRPr="000F41A3" w:rsidRDefault="00697A8F" w:rsidP="0069079A">
      <w:pPr>
        <w:spacing w:line="360" w:lineRule="auto"/>
        <w:ind w:left="567" w:right="567"/>
        <w:jc w:val="both"/>
        <w:rPr>
          <w:rFonts w:ascii="Palatino Linotype" w:eastAsia="Palatino Linotype" w:hAnsi="Palatino Linotype" w:cs="Palatino Linotype"/>
          <w:i/>
          <w:color w:val="000000" w:themeColor="text1"/>
        </w:rPr>
      </w:pPr>
      <w:r w:rsidRPr="000F41A3">
        <w:rPr>
          <w:rFonts w:ascii="Palatino Linotype" w:eastAsia="Palatino Linotype" w:hAnsi="Palatino Linotype" w:cs="Palatino Linotype"/>
          <w:i/>
          <w:color w:val="000000" w:themeColor="text1"/>
        </w:rPr>
        <w:t>no se entrega la información</w:t>
      </w:r>
      <w:r w:rsidR="00FA61F8" w:rsidRPr="000F41A3">
        <w:rPr>
          <w:rFonts w:ascii="Palatino Linotype" w:eastAsia="Palatino Linotype" w:hAnsi="Palatino Linotype" w:cs="Palatino Linotype"/>
          <w:i/>
          <w:color w:val="000000" w:themeColor="text1"/>
        </w:rPr>
        <w:t>” (Sic.)</w:t>
      </w:r>
    </w:p>
    <w:p w14:paraId="073ABAF2" w14:textId="77777777" w:rsidR="00286EFA" w:rsidRPr="000F41A3" w:rsidRDefault="00286EFA" w:rsidP="0069079A">
      <w:pPr>
        <w:tabs>
          <w:tab w:val="left" w:pos="4667"/>
        </w:tabs>
        <w:spacing w:line="360" w:lineRule="auto"/>
        <w:ind w:right="567"/>
        <w:jc w:val="both"/>
        <w:rPr>
          <w:rFonts w:ascii="Palatino Linotype" w:eastAsia="Palatino Linotype" w:hAnsi="Palatino Linotype" w:cs="Palatino Linotype"/>
          <w:i/>
          <w:color w:val="000000" w:themeColor="text1"/>
        </w:rPr>
      </w:pPr>
    </w:p>
    <w:p w14:paraId="73228424" w14:textId="77777777" w:rsidR="00286EFA" w:rsidRPr="000F41A3" w:rsidRDefault="00FA61F8" w:rsidP="0069079A">
      <w:pPr>
        <w:tabs>
          <w:tab w:val="left" w:pos="4667"/>
        </w:tabs>
        <w:spacing w:line="360" w:lineRule="auto"/>
        <w:ind w:left="567" w:right="567"/>
        <w:jc w:val="both"/>
        <w:rPr>
          <w:rFonts w:ascii="Palatino Linotype" w:eastAsia="Palatino Linotype" w:hAnsi="Palatino Linotype" w:cs="Palatino Linotype"/>
          <w:b/>
          <w:i/>
          <w:color w:val="000000" w:themeColor="text1"/>
        </w:rPr>
      </w:pPr>
      <w:r w:rsidRPr="000F41A3">
        <w:rPr>
          <w:rFonts w:ascii="Palatino Linotype" w:eastAsia="Palatino Linotype" w:hAnsi="Palatino Linotype" w:cs="Palatino Linotype"/>
          <w:b/>
          <w:i/>
          <w:color w:val="000000" w:themeColor="text1"/>
        </w:rPr>
        <w:t>“RAZONES O MOTIVOS DE LA INCONFORMIDAD</w:t>
      </w:r>
    </w:p>
    <w:p w14:paraId="0E345C0E" w14:textId="77777777" w:rsidR="00286EFA" w:rsidRPr="000F41A3" w:rsidRDefault="00697A8F" w:rsidP="0069079A">
      <w:pPr>
        <w:spacing w:line="360" w:lineRule="auto"/>
        <w:ind w:left="567" w:right="567"/>
        <w:jc w:val="both"/>
        <w:rPr>
          <w:rFonts w:ascii="Palatino Linotype" w:eastAsia="Palatino Linotype" w:hAnsi="Palatino Linotype" w:cs="Palatino Linotype"/>
          <w:i/>
          <w:color w:val="000000" w:themeColor="text1"/>
        </w:rPr>
      </w:pPr>
      <w:r w:rsidRPr="000F41A3">
        <w:rPr>
          <w:rFonts w:ascii="Palatino Linotype" w:eastAsia="Palatino Linotype" w:hAnsi="Palatino Linotype" w:cs="Palatino Linotype"/>
          <w:i/>
          <w:color w:val="000000" w:themeColor="text1"/>
        </w:rPr>
        <w:t>no se esta entregando la información solicitada, se pide se conteste como es solicitado”</w:t>
      </w:r>
      <w:r w:rsidR="00FA61F8" w:rsidRPr="000F41A3">
        <w:rPr>
          <w:rFonts w:ascii="Palatino Linotype" w:eastAsia="Palatino Linotype" w:hAnsi="Palatino Linotype" w:cs="Palatino Linotype"/>
          <w:i/>
          <w:color w:val="000000" w:themeColor="text1"/>
        </w:rPr>
        <w:t xml:space="preserve"> (Sic)</w:t>
      </w:r>
    </w:p>
    <w:p w14:paraId="09BC4C0C" w14:textId="77777777" w:rsidR="00286EFA" w:rsidRPr="000F41A3" w:rsidRDefault="00286EFA" w:rsidP="0069079A">
      <w:pPr>
        <w:spacing w:line="360" w:lineRule="auto"/>
        <w:ind w:right="-28"/>
        <w:jc w:val="both"/>
        <w:rPr>
          <w:rFonts w:ascii="Palatino Linotype" w:eastAsia="Palatino Linotype" w:hAnsi="Palatino Linotype" w:cs="Palatino Linotype"/>
          <w:b/>
          <w:color w:val="000000" w:themeColor="text1"/>
          <w:sz w:val="22"/>
          <w:szCs w:val="22"/>
        </w:rPr>
      </w:pPr>
    </w:p>
    <w:p w14:paraId="17BE1C5D" w14:textId="77777777" w:rsidR="00286EFA" w:rsidRPr="000F41A3" w:rsidRDefault="00FA61F8" w:rsidP="0069079A">
      <w:pPr>
        <w:pStyle w:val="Ttulo1"/>
        <w:spacing w:before="0" w:after="0" w:line="360" w:lineRule="auto"/>
        <w:rPr>
          <w:rFonts w:ascii="Palatino Linotype" w:eastAsia="Palatino Linotype" w:hAnsi="Palatino Linotype"/>
          <w:b/>
          <w:bCs/>
          <w:color w:val="auto"/>
          <w:sz w:val="22"/>
          <w:szCs w:val="22"/>
        </w:rPr>
      </w:pPr>
      <w:bookmarkStart w:id="8" w:name="_Toc191569661"/>
      <w:r w:rsidRPr="000F41A3">
        <w:rPr>
          <w:rFonts w:ascii="Palatino Linotype" w:eastAsia="Palatino Linotype" w:hAnsi="Palatino Linotype"/>
          <w:b/>
          <w:bCs/>
          <w:color w:val="auto"/>
          <w:sz w:val="22"/>
          <w:szCs w:val="22"/>
        </w:rPr>
        <w:t>IV. Trámite del Recurso de Revisión ante el Instituto</w:t>
      </w:r>
      <w:bookmarkEnd w:id="8"/>
    </w:p>
    <w:p w14:paraId="7352D182" w14:textId="77777777" w:rsidR="00286EFA" w:rsidRPr="000F41A3" w:rsidRDefault="00286EFA" w:rsidP="0069079A">
      <w:pPr>
        <w:spacing w:line="360" w:lineRule="auto"/>
        <w:ind w:right="-28"/>
        <w:jc w:val="both"/>
        <w:rPr>
          <w:rFonts w:ascii="Palatino Linotype" w:eastAsia="Palatino Linotype" w:hAnsi="Palatino Linotype" w:cs="Palatino Linotype"/>
          <w:b/>
          <w:color w:val="000000" w:themeColor="text1"/>
          <w:sz w:val="22"/>
          <w:szCs w:val="22"/>
        </w:rPr>
      </w:pPr>
    </w:p>
    <w:p w14:paraId="4B3C4B22" w14:textId="77777777" w:rsidR="00286EFA" w:rsidRPr="000F41A3" w:rsidRDefault="00FA61F8" w:rsidP="0069079A">
      <w:pPr>
        <w:spacing w:line="360" w:lineRule="auto"/>
        <w:ind w:right="-28"/>
        <w:jc w:val="both"/>
        <w:rPr>
          <w:rFonts w:ascii="Palatino Linotype" w:eastAsia="Palatino Linotype" w:hAnsi="Palatino Linotype" w:cs="Palatino Linotype"/>
          <w:color w:val="000000" w:themeColor="text1"/>
          <w:sz w:val="22"/>
          <w:szCs w:val="22"/>
        </w:rPr>
      </w:pPr>
      <w:bookmarkStart w:id="9" w:name="_Toc191569662"/>
      <w:r w:rsidRPr="000F41A3">
        <w:rPr>
          <w:rStyle w:val="Ttulo2Car"/>
          <w:rFonts w:ascii="Palatino Linotype" w:hAnsi="Palatino Linotype"/>
          <w:b/>
          <w:bCs/>
          <w:color w:val="auto"/>
          <w:sz w:val="22"/>
          <w:szCs w:val="22"/>
        </w:rPr>
        <w:t>a) Turno del Recurso de Revisión.</w:t>
      </w:r>
      <w:bookmarkEnd w:id="9"/>
      <w:r w:rsidRPr="000F41A3">
        <w:rPr>
          <w:rFonts w:ascii="Palatino Linotype" w:eastAsia="Palatino Linotype" w:hAnsi="Palatino Linotype" w:cs="Palatino Linotype"/>
          <w:b/>
          <w:sz w:val="22"/>
          <w:szCs w:val="22"/>
        </w:rPr>
        <w:t xml:space="preserve"> </w:t>
      </w:r>
      <w:r w:rsidRPr="000F41A3">
        <w:rPr>
          <w:rFonts w:ascii="Palatino Linotype" w:eastAsia="Palatino Linotype" w:hAnsi="Palatino Linotype" w:cs="Palatino Linotype"/>
          <w:color w:val="000000" w:themeColor="text1"/>
          <w:sz w:val="22"/>
          <w:szCs w:val="22"/>
        </w:rPr>
        <w:t xml:space="preserve">El </w:t>
      </w:r>
      <w:r w:rsidR="00697A8F" w:rsidRPr="000F41A3">
        <w:rPr>
          <w:rFonts w:ascii="Palatino Linotype" w:eastAsia="Palatino Linotype" w:hAnsi="Palatino Linotype" w:cs="Palatino Linotype"/>
          <w:color w:val="000000" w:themeColor="text1"/>
          <w:sz w:val="22"/>
          <w:szCs w:val="22"/>
        </w:rPr>
        <w:t xml:space="preserve">seis de febrero de dos mil veinticinco, </w:t>
      </w:r>
      <w:r w:rsidRPr="000F41A3">
        <w:rPr>
          <w:rFonts w:ascii="Palatino Linotype" w:eastAsia="Palatino Linotype" w:hAnsi="Palatino Linotype" w:cs="Palatino Linotype"/>
          <w:color w:val="000000" w:themeColor="text1"/>
          <w:sz w:val="22"/>
          <w:szCs w:val="22"/>
        </w:rPr>
        <w:t xml:space="preserve">el Sistema de Acceso a la Información Mexiquense (SAIMEX), asignó el número de expediente </w:t>
      </w:r>
      <w:r w:rsidR="00697A8F" w:rsidRPr="000F41A3">
        <w:rPr>
          <w:rFonts w:ascii="Palatino Linotype" w:eastAsia="Palatino Linotype" w:hAnsi="Palatino Linotype" w:cs="Palatino Linotype"/>
          <w:b/>
          <w:color w:val="000000" w:themeColor="text1"/>
          <w:sz w:val="22"/>
          <w:szCs w:val="22"/>
        </w:rPr>
        <w:t>00741</w:t>
      </w:r>
      <w:r w:rsidRPr="000F41A3">
        <w:rPr>
          <w:rFonts w:ascii="Palatino Linotype" w:eastAsia="Palatino Linotype" w:hAnsi="Palatino Linotype" w:cs="Palatino Linotype"/>
          <w:b/>
          <w:color w:val="000000" w:themeColor="text1"/>
          <w:sz w:val="22"/>
          <w:szCs w:val="22"/>
        </w:rPr>
        <w:t xml:space="preserve">/INFOEM/IP/RR/2025, </w:t>
      </w:r>
      <w:r w:rsidRPr="000F41A3">
        <w:rPr>
          <w:rFonts w:ascii="Palatino Linotype" w:eastAsia="Palatino Linotype" w:hAnsi="Palatino Linotype" w:cs="Palatino Linotype"/>
          <w:color w:val="000000" w:themeColor="text1"/>
          <w:sz w:val="22"/>
          <w:szCs w:val="22"/>
        </w:rPr>
        <w:t xml:space="preserve">al Recurso de Revisión y lo turnó al Comisionado Ponente </w:t>
      </w:r>
      <w:r w:rsidRPr="000F41A3">
        <w:rPr>
          <w:rFonts w:ascii="Palatino Linotype" w:eastAsia="Palatino Linotype" w:hAnsi="Palatino Linotype" w:cs="Palatino Linotype"/>
          <w:b/>
          <w:color w:val="000000" w:themeColor="text1"/>
          <w:sz w:val="22"/>
          <w:szCs w:val="22"/>
        </w:rPr>
        <w:t>Luis Gustavo Parra Noriega</w:t>
      </w:r>
      <w:r w:rsidRPr="000F41A3">
        <w:rPr>
          <w:rFonts w:ascii="Palatino Linotype" w:eastAsia="Palatino Linotype" w:hAnsi="Palatino Linotype" w:cs="Palatino Linotype"/>
          <w:color w:val="000000" w:themeColor="text1"/>
          <w:sz w:val="22"/>
          <w:szCs w:val="22"/>
        </w:rPr>
        <w:t>, para los efectos del artículo 185, fracción I, de la Ley de Transparencia y Acceso a la Información Pública del Estado de México y Municipios.</w:t>
      </w:r>
    </w:p>
    <w:p w14:paraId="631B2833" w14:textId="77777777" w:rsidR="00286EFA" w:rsidRPr="000F41A3" w:rsidRDefault="00286EFA" w:rsidP="0069079A">
      <w:pPr>
        <w:spacing w:line="360" w:lineRule="auto"/>
        <w:ind w:right="-28"/>
        <w:jc w:val="both"/>
        <w:rPr>
          <w:rFonts w:ascii="Palatino Linotype" w:eastAsia="Palatino Linotype" w:hAnsi="Palatino Linotype" w:cs="Palatino Linotype"/>
          <w:color w:val="000000" w:themeColor="text1"/>
          <w:sz w:val="22"/>
          <w:szCs w:val="22"/>
        </w:rPr>
      </w:pPr>
    </w:p>
    <w:p w14:paraId="23E205FE"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bookmarkStart w:id="10" w:name="_Toc191569663"/>
      <w:r w:rsidRPr="000F41A3">
        <w:rPr>
          <w:rStyle w:val="Ttulo2Car"/>
          <w:rFonts w:ascii="Palatino Linotype" w:hAnsi="Palatino Linotype"/>
          <w:b/>
          <w:bCs/>
          <w:color w:val="auto"/>
          <w:sz w:val="22"/>
          <w:szCs w:val="22"/>
        </w:rPr>
        <w:t>b) Admisión del Recurso de Revisión.</w:t>
      </w:r>
      <w:bookmarkEnd w:id="10"/>
      <w:r w:rsidRPr="000F41A3">
        <w:rPr>
          <w:rFonts w:ascii="Palatino Linotype" w:eastAsia="Palatino Linotype" w:hAnsi="Palatino Linotype" w:cs="Palatino Linotype"/>
          <w:b/>
          <w:sz w:val="22"/>
          <w:szCs w:val="22"/>
        </w:rPr>
        <w:t xml:space="preserve"> </w:t>
      </w:r>
      <w:r w:rsidRPr="000F41A3">
        <w:rPr>
          <w:rFonts w:ascii="Palatino Linotype" w:eastAsia="Palatino Linotype" w:hAnsi="Palatino Linotype" w:cs="Palatino Linotype"/>
          <w:color w:val="000000" w:themeColor="text1"/>
          <w:sz w:val="22"/>
          <w:szCs w:val="22"/>
        </w:rPr>
        <w:t xml:space="preserve">El </w:t>
      </w:r>
      <w:r w:rsidR="00697A8F" w:rsidRPr="000F41A3">
        <w:rPr>
          <w:rFonts w:ascii="Palatino Linotype" w:eastAsia="Palatino Linotype" w:hAnsi="Palatino Linotype" w:cs="Palatino Linotype"/>
          <w:color w:val="000000" w:themeColor="text1"/>
          <w:sz w:val="22"/>
          <w:szCs w:val="22"/>
        </w:rPr>
        <w:t xml:space="preserve">once de febrero de dos mil veinticinco, </w:t>
      </w:r>
      <w:r w:rsidRPr="000F41A3">
        <w:rPr>
          <w:rFonts w:ascii="Palatino Linotype" w:eastAsia="Palatino Linotype" w:hAnsi="Palatino Linotype" w:cs="Palatino Linotype"/>
          <w:color w:val="000000" w:themeColor="text1"/>
          <w:sz w:val="22"/>
          <w:szCs w:val="22"/>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697A8F" w:rsidRPr="000F41A3">
        <w:rPr>
          <w:rFonts w:ascii="Palatino Linotype" w:eastAsia="Palatino Linotype" w:hAnsi="Palatino Linotype" w:cs="Palatino Linotype"/>
          <w:color w:val="000000" w:themeColor="text1"/>
          <w:sz w:val="22"/>
          <w:szCs w:val="22"/>
        </w:rPr>
        <w:t xml:space="preserve"> mismo día</w:t>
      </w:r>
      <w:r w:rsidRPr="000F41A3">
        <w:rPr>
          <w:rFonts w:ascii="Palatino Linotype" w:eastAsia="Palatino Linotype" w:hAnsi="Palatino Linotype" w:cs="Palatino Linotype"/>
          <w:color w:val="000000" w:themeColor="text1"/>
          <w:sz w:val="22"/>
          <w:szCs w:val="22"/>
        </w:rPr>
        <w:t>, a través del Sistema de Acceso a la Información Mexiquense (SAIMEX), en el que se les otorgó un plazo de siete días hábiles posteriores a la misma, para que manifestaran lo que a su derecho conviniera y formularan alegatos.</w:t>
      </w:r>
    </w:p>
    <w:p w14:paraId="05795EE5" w14:textId="147FAA00" w:rsidR="00373E7C" w:rsidRPr="000F41A3" w:rsidRDefault="00FA61F8" w:rsidP="0069079A">
      <w:pPr>
        <w:spacing w:line="360" w:lineRule="auto"/>
        <w:jc w:val="both"/>
        <w:rPr>
          <w:rFonts w:ascii="Palatino Linotype" w:eastAsia="Calibri" w:hAnsi="Palatino Linotype"/>
          <w:sz w:val="22"/>
          <w:szCs w:val="22"/>
          <w:lang w:eastAsia="en-US"/>
        </w:rPr>
      </w:pPr>
      <w:bookmarkStart w:id="11" w:name="_Toc191569664"/>
      <w:r w:rsidRPr="000F41A3">
        <w:rPr>
          <w:rStyle w:val="Ttulo2Car"/>
          <w:rFonts w:ascii="Palatino Linotype" w:hAnsi="Palatino Linotype"/>
          <w:b/>
          <w:bCs/>
          <w:color w:val="auto"/>
          <w:sz w:val="22"/>
          <w:szCs w:val="22"/>
        </w:rPr>
        <w:lastRenderedPageBreak/>
        <w:t>c) Informe Justificado</w:t>
      </w:r>
      <w:r w:rsidR="00697A8F" w:rsidRPr="000F41A3">
        <w:rPr>
          <w:rStyle w:val="Ttulo2Car"/>
          <w:rFonts w:ascii="Palatino Linotype" w:hAnsi="Palatino Linotype"/>
          <w:b/>
          <w:bCs/>
          <w:color w:val="auto"/>
          <w:sz w:val="22"/>
          <w:szCs w:val="22"/>
        </w:rPr>
        <w:t>.</w:t>
      </w:r>
      <w:bookmarkEnd w:id="11"/>
      <w:r w:rsidR="00697A8F" w:rsidRPr="000F41A3">
        <w:rPr>
          <w:rFonts w:ascii="Palatino Linotype" w:eastAsia="Palatino Linotype" w:hAnsi="Palatino Linotype" w:cs="Palatino Linotype"/>
          <w:sz w:val="22"/>
          <w:szCs w:val="22"/>
        </w:rPr>
        <w:t xml:space="preserve"> </w:t>
      </w:r>
      <w:r w:rsidR="00373E7C" w:rsidRPr="000F41A3">
        <w:rPr>
          <w:rFonts w:ascii="Palatino Linotype" w:eastAsia="Calibri" w:hAnsi="Palatino Linotype"/>
          <w:sz w:val="22"/>
          <w:szCs w:val="22"/>
          <w:lang w:eastAsia="en-US"/>
        </w:rPr>
        <w:t>En fecha diecinueve de febrero de dos mil veinticinco, el Sujeto Obligado a través del SAIMEX, presentó en el apartado de Informe Justificado, el oficio 200B10100/407/2025 del dieciocho de febrero de dos mil veinticinco, suscrito por la Titular de la Unidad de Información, Planeación, Programación y Evaluación, dirigido al Comisionado Ponente, por medio del cual confirmo su respuesta.</w:t>
      </w:r>
    </w:p>
    <w:p w14:paraId="1C3A3A54" w14:textId="77777777" w:rsidR="00373E7C" w:rsidRPr="000F41A3" w:rsidRDefault="00373E7C" w:rsidP="0069079A">
      <w:pPr>
        <w:spacing w:line="360" w:lineRule="auto"/>
        <w:jc w:val="both"/>
        <w:rPr>
          <w:rFonts w:ascii="Palatino Linotype" w:eastAsia="Calibri" w:hAnsi="Palatino Linotype"/>
          <w:sz w:val="22"/>
          <w:szCs w:val="22"/>
          <w:lang w:eastAsia="en-US"/>
        </w:rPr>
      </w:pPr>
    </w:p>
    <w:p w14:paraId="00DC78C5" w14:textId="4EA94883" w:rsidR="00373E7C" w:rsidRPr="000F41A3" w:rsidRDefault="00373E7C" w:rsidP="0069079A">
      <w:pPr>
        <w:spacing w:line="360" w:lineRule="auto"/>
        <w:jc w:val="both"/>
        <w:rPr>
          <w:rFonts w:ascii="Palatino Linotype" w:eastAsia="Calibri" w:hAnsi="Palatino Linotype"/>
          <w:sz w:val="22"/>
          <w:szCs w:val="22"/>
          <w:lang w:eastAsia="en-US"/>
        </w:rPr>
      </w:pPr>
      <w:bookmarkStart w:id="12" w:name="_Toc191569665"/>
      <w:r w:rsidRPr="000F41A3">
        <w:rPr>
          <w:rStyle w:val="Ttulo2Car"/>
          <w:rFonts w:ascii="Palatino Linotype" w:hAnsi="Palatino Linotype"/>
          <w:b/>
          <w:bCs/>
          <w:color w:val="auto"/>
          <w:sz w:val="22"/>
          <w:szCs w:val="22"/>
          <w:lang w:eastAsia="en-US"/>
        </w:rPr>
        <w:t>d) Vista al Informe Justificado.</w:t>
      </w:r>
      <w:bookmarkEnd w:id="12"/>
      <w:r w:rsidRPr="000F41A3">
        <w:rPr>
          <w:rFonts w:ascii="Palatino Linotype" w:eastAsia="Calibri" w:hAnsi="Palatino Linotype"/>
          <w:b/>
          <w:sz w:val="22"/>
          <w:szCs w:val="22"/>
          <w:lang w:eastAsia="en-US"/>
        </w:rPr>
        <w:t xml:space="preserve"> </w:t>
      </w:r>
      <w:r w:rsidR="002D797C" w:rsidRPr="000F41A3">
        <w:rPr>
          <w:rFonts w:ascii="Palatino Linotype" w:eastAsia="Calibri" w:hAnsi="Palatino Linotype"/>
          <w:sz w:val="22"/>
          <w:szCs w:val="22"/>
          <w:lang w:eastAsia="en-US"/>
        </w:rPr>
        <w:t>El diecinueve</w:t>
      </w:r>
      <w:r w:rsidRPr="000F41A3">
        <w:rPr>
          <w:rFonts w:ascii="Palatino Linotype" w:eastAsia="Calibri" w:hAnsi="Palatino Linotype"/>
          <w:sz w:val="22"/>
          <w:szCs w:val="22"/>
          <w:lang w:eastAsia="en-US"/>
        </w:rPr>
        <w:t xml:space="preserve">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r w:rsidRPr="000F41A3">
        <w:rPr>
          <w:rFonts w:ascii="Calibri" w:eastAsia="Calibri" w:hAnsi="Calibri"/>
          <w:sz w:val="22"/>
          <w:szCs w:val="22"/>
          <w:lang w:eastAsia="en-US"/>
        </w:rPr>
        <w:t xml:space="preserve"> </w:t>
      </w:r>
      <w:r w:rsidRPr="000F41A3">
        <w:rPr>
          <w:rFonts w:ascii="Palatino Linotype" w:eastAsia="Calibri" w:hAnsi="Palatino Linotype"/>
          <w:b/>
          <w:sz w:val="22"/>
          <w:szCs w:val="22"/>
          <w:lang w:eastAsia="en-US"/>
        </w:rPr>
        <w:t>No obstante, lo anterior, transcurrido el término de ley, el Recurrente fue omiso en emitir pronunciamiento alguno que conviniera a sus intereses, respecto al alcance del Informe Justificado.</w:t>
      </w:r>
    </w:p>
    <w:p w14:paraId="358D3A6C" w14:textId="77777777" w:rsidR="00286EFA" w:rsidRPr="000F41A3" w:rsidRDefault="00286EFA" w:rsidP="0069079A">
      <w:pPr>
        <w:spacing w:line="360" w:lineRule="auto"/>
        <w:jc w:val="both"/>
        <w:rPr>
          <w:rFonts w:ascii="Palatino Linotype" w:eastAsia="Palatino Linotype" w:hAnsi="Palatino Linotype" w:cs="Palatino Linotype"/>
          <w:b/>
          <w:color w:val="000000" w:themeColor="text1"/>
          <w:sz w:val="22"/>
          <w:szCs w:val="22"/>
        </w:rPr>
      </w:pPr>
    </w:p>
    <w:p w14:paraId="06071E99" w14:textId="204DD5DC" w:rsidR="00286EFA" w:rsidRPr="000F41A3" w:rsidRDefault="00373E7C" w:rsidP="0069079A">
      <w:pPr>
        <w:spacing w:line="360" w:lineRule="auto"/>
        <w:jc w:val="both"/>
        <w:rPr>
          <w:rFonts w:ascii="Palatino Linotype" w:eastAsia="Palatino Linotype" w:hAnsi="Palatino Linotype" w:cs="Palatino Linotype"/>
          <w:b/>
          <w:color w:val="000000" w:themeColor="text1"/>
          <w:sz w:val="22"/>
          <w:szCs w:val="22"/>
        </w:rPr>
      </w:pPr>
      <w:bookmarkStart w:id="13" w:name="_Toc191569666"/>
      <w:r w:rsidRPr="000F41A3">
        <w:rPr>
          <w:rStyle w:val="Ttulo2Car"/>
          <w:rFonts w:ascii="Palatino Linotype" w:hAnsi="Palatino Linotype"/>
          <w:b/>
          <w:bCs/>
          <w:color w:val="auto"/>
          <w:sz w:val="22"/>
          <w:szCs w:val="22"/>
        </w:rPr>
        <w:t>e</w:t>
      </w:r>
      <w:r w:rsidR="00FA61F8" w:rsidRPr="000F41A3">
        <w:rPr>
          <w:rStyle w:val="Ttulo2Car"/>
          <w:rFonts w:ascii="Palatino Linotype" w:hAnsi="Palatino Linotype"/>
          <w:b/>
          <w:bCs/>
          <w:color w:val="auto"/>
          <w:sz w:val="22"/>
          <w:szCs w:val="22"/>
        </w:rPr>
        <w:t>) Cierre de instrucción.</w:t>
      </w:r>
      <w:bookmarkEnd w:id="13"/>
      <w:r w:rsidR="00FA61F8" w:rsidRPr="000F41A3">
        <w:rPr>
          <w:rFonts w:ascii="Palatino Linotype" w:eastAsia="Palatino Linotype" w:hAnsi="Palatino Linotype" w:cs="Palatino Linotype"/>
          <w:b/>
          <w:sz w:val="22"/>
          <w:szCs w:val="22"/>
        </w:rPr>
        <w:t xml:space="preserve"> </w:t>
      </w:r>
      <w:r w:rsidR="00F55BB0" w:rsidRPr="000F41A3">
        <w:rPr>
          <w:rFonts w:ascii="Palatino Linotype" w:eastAsia="Palatino Linotype" w:hAnsi="Palatino Linotype" w:cs="Palatino Linotype"/>
          <w:color w:val="000000" w:themeColor="text1"/>
          <w:sz w:val="22"/>
          <w:szCs w:val="22"/>
        </w:rPr>
        <w:t>El veinticinco</w:t>
      </w:r>
      <w:r w:rsidR="00FA61F8" w:rsidRPr="000F41A3">
        <w:rPr>
          <w:rFonts w:ascii="Palatino Linotype" w:eastAsia="Palatino Linotype" w:hAnsi="Palatino Linotype" w:cs="Palatino Linotype"/>
          <w:color w:val="000000" w:themeColor="text1"/>
          <w:sz w:val="22"/>
          <w:szCs w:val="22"/>
        </w:rPr>
        <w:t xml:space="preserve">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w:t>
      </w:r>
      <w:r w:rsidR="00697A8F" w:rsidRPr="000F41A3">
        <w:rPr>
          <w:rFonts w:ascii="Palatino Linotype" w:eastAsia="Palatino Linotype" w:hAnsi="Palatino Linotype" w:cs="Palatino Linotype"/>
          <w:color w:val="000000" w:themeColor="text1"/>
          <w:sz w:val="22"/>
          <w:szCs w:val="22"/>
        </w:rPr>
        <w:t xml:space="preserve"> mismo día</w:t>
      </w:r>
      <w:r w:rsidR="00FA61F8" w:rsidRPr="000F41A3">
        <w:rPr>
          <w:rFonts w:ascii="Palatino Linotype" w:eastAsia="Palatino Linotype" w:hAnsi="Palatino Linotype" w:cs="Palatino Linotype"/>
          <w:color w:val="000000" w:themeColor="text1"/>
          <w:sz w:val="22"/>
          <w:szCs w:val="22"/>
        </w:rPr>
        <w:t>, a través del Sistema de Acceso a la Información Mexiquense (SAIMEX).</w:t>
      </w:r>
    </w:p>
    <w:p w14:paraId="5A2D937F" w14:textId="77777777" w:rsidR="00286EFA" w:rsidRPr="000F41A3" w:rsidRDefault="00286EFA" w:rsidP="0069079A">
      <w:pPr>
        <w:spacing w:line="360" w:lineRule="auto"/>
        <w:ind w:right="-28"/>
        <w:jc w:val="both"/>
        <w:rPr>
          <w:rFonts w:ascii="Palatino Linotype" w:eastAsia="Palatino Linotype" w:hAnsi="Palatino Linotype" w:cs="Palatino Linotype"/>
          <w:color w:val="FF0000"/>
          <w:sz w:val="22"/>
          <w:szCs w:val="22"/>
        </w:rPr>
      </w:pPr>
    </w:p>
    <w:p w14:paraId="218046A8" w14:textId="77777777" w:rsidR="00286EFA" w:rsidRPr="000F41A3" w:rsidRDefault="00FA61F8" w:rsidP="0069079A">
      <w:pPr>
        <w:spacing w:line="360" w:lineRule="auto"/>
        <w:ind w:right="-28"/>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En razón de que fue debidamente sustanciado el expediente electrónico y no existe diligencia pendiente de desahogo, se emite la resolución que conforme a Derecho proceda, de acuerdo a los siguientes:</w:t>
      </w:r>
    </w:p>
    <w:p w14:paraId="51235480" w14:textId="77777777" w:rsidR="00286EFA" w:rsidRPr="000F41A3" w:rsidRDefault="00286EFA" w:rsidP="0069079A">
      <w:pPr>
        <w:spacing w:line="360" w:lineRule="auto"/>
        <w:ind w:right="-28"/>
        <w:jc w:val="both"/>
        <w:rPr>
          <w:rFonts w:ascii="Palatino Linotype" w:eastAsia="Palatino Linotype" w:hAnsi="Palatino Linotype" w:cs="Palatino Linotype"/>
          <w:color w:val="000000" w:themeColor="text1"/>
          <w:sz w:val="22"/>
          <w:szCs w:val="22"/>
        </w:rPr>
      </w:pPr>
    </w:p>
    <w:p w14:paraId="536D988D" w14:textId="77777777" w:rsidR="00286EFA" w:rsidRPr="000F41A3" w:rsidRDefault="00FA61F8" w:rsidP="0069079A">
      <w:pPr>
        <w:pStyle w:val="Ttulo1"/>
        <w:spacing w:before="0" w:after="0" w:line="360" w:lineRule="auto"/>
        <w:jc w:val="center"/>
        <w:rPr>
          <w:rFonts w:ascii="Palatino Linotype" w:eastAsia="Palatino Linotype" w:hAnsi="Palatino Linotype"/>
          <w:b/>
          <w:bCs/>
          <w:color w:val="auto"/>
          <w:sz w:val="22"/>
          <w:szCs w:val="22"/>
        </w:rPr>
      </w:pPr>
      <w:bookmarkStart w:id="14" w:name="_Toc191569667"/>
      <w:r w:rsidRPr="000F41A3">
        <w:rPr>
          <w:rFonts w:ascii="Palatino Linotype" w:eastAsia="Palatino Linotype" w:hAnsi="Palatino Linotype"/>
          <w:b/>
          <w:bCs/>
          <w:color w:val="auto"/>
          <w:sz w:val="22"/>
          <w:szCs w:val="22"/>
        </w:rPr>
        <w:lastRenderedPageBreak/>
        <w:t>C O N S I D E R A N D O S</w:t>
      </w:r>
      <w:bookmarkEnd w:id="14"/>
    </w:p>
    <w:p w14:paraId="2E824233" w14:textId="77777777" w:rsidR="00286EFA" w:rsidRPr="000F41A3" w:rsidRDefault="00286EFA" w:rsidP="0069079A">
      <w:pPr>
        <w:spacing w:line="360" w:lineRule="auto"/>
        <w:ind w:right="-28"/>
        <w:jc w:val="center"/>
        <w:rPr>
          <w:rFonts w:ascii="Palatino Linotype" w:eastAsia="Palatino Linotype" w:hAnsi="Palatino Linotype" w:cs="Palatino Linotype"/>
          <w:b/>
          <w:color w:val="000000" w:themeColor="text1"/>
          <w:sz w:val="22"/>
          <w:szCs w:val="22"/>
        </w:rPr>
      </w:pPr>
    </w:p>
    <w:p w14:paraId="5632645C" w14:textId="77777777" w:rsidR="00286EFA" w:rsidRPr="000F41A3" w:rsidRDefault="00FA61F8" w:rsidP="0069079A">
      <w:pPr>
        <w:pStyle w:val="Ttulo1"/>
        <w:spacing w:before="0" w:after="0" w:line="360" w:lineRule="auto"/>
        <w:rPr>
          <w:rFonts w:ascii="Palatino Linotype" w:eastAsia="Palatino Linotype" w:hAnsi="Palatino Linotype"/>
          <w:b/>
          <w:bCs/>
          <w:color w:val="auto"/>
          <w:sz w:val="22"/>
          <w:szCs w:val="22"/>
        </w:rPr>
      </w:pPr>
      <w:bookmarkStart w:id="15" w:name="_Toc191569668"/>
      <w:r w:rsidRPr="000F41A3">
        <w:rPr>
          <w:rFonts w:ascii="Palatino Linotype" w:eastAsia="Palatino Linotype" w:hAnsi="Palatino Linotype"/>
          <w:b/>
          <w:bCs/>
          <w:color w:val="auto"/>
          <w:sz w:val="22"/>
          <w:szCs w:val="22"/>
        </w:rPr>
        <w:t>PRIMERO. Competencia</w:t>
      </w:r>
      <w:bookmarkEnd w:id="15"/>
    </w:p>
    <w:p w14:paraId="66410259" w14:textId="77777777" w:rsidR="00286EFA" w:rsidRPr="000F41A3" w:rsidRDefault="00286EFA" w:rsidP="0069079A">
      <w:pPr>
        <w:spacing w:line="360" w:lineRule="auto"/>
        <w:ind w:right="-28"/>
        <w:jc w:val="both"/>
        <w:rPr>
          <w:rFonts w:ascii="Palatino Linotype" w:eastAsia="Palatino Linotype" w:hAnsi="Palatino Linotype" w:cs="Palatino Linotype"/>
          <w:b/>
          <w:color w:val="FF0000"/>
          <w:sz w:val="22"/>
          <w:szCs w:val="22"/>
        </w:rPr>
      </w:pPr>
    </w:p>
    <w:p w14:paraId="670403DF" w14:textId="77777777" w:rsidR="00286EFA" w:rsidRPr="000F41A3" w:rsidRDefault="00FA61F8" w:rsidP="0069079A">
      <w:pPr>
        <w:spacing w:line="360" w:lineRule="auto"/>
        <w:ind w:right="-28"/>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F41A3">
        <w:rPr>
          <w:rFonts w:ascii="Palatino Linotype" w:eastAsia="Palatino Linotype" w:hAnsi="Palatino Linotype" w:cs="Palatino Linotype"/>
          <w:color w:val="000000" w:themeColor="text1"/>
        </w:rPr>
        <w:t xml:space="preserve"> 7°, </w:t>
      </w:r>
      <w:r w:rsidRPr="000F41A3">
        <w:rPr>
          <w:rFonts w:ascii="Palatino Linotype" w:eastAsia="Palatino Linotype" w:hAnsi="Palatino Linotype" w:cs="Palatino Linotype"/>
          <w:color w:val="000000" w:themeColor="text1"/>
          <w:sz w:val="22"/>
          <w:szCs w:val="22"/>
        </w:rPr>
        <w:t>9°, fracciones I y XXIII y 11 del Reglamento Interior del Instituto de Transparencia, Acceso a la Información Pública y Protección de Datos Personales del Estado de México y Municipios.</w:t>
      </w:r>
    </w:p>
    <w:p w14:paraId="20155F4D" w14:textId="77777777" w:rsidR="00286EFA" w:rsidRPr="000F41A3" w:rsidRDefault="00286EFA" w:rsidP="0069079A">
      <w:pPr>
        <w:spacing w:line="360" w:lineRule="auto"/>
        <w:ind w:right="-28"/>
        <w:jc w:val="both"/>
        <w:rPr>
          <w:rFonts w:ascii="Palatino Linotype" w:eastAsia="Palatino Linotype" w:hAnsi="Palatino Linotype" w:cs="Palatino Linotype"/>
          <w:color w:val="000000" w:themeColor="text1"/>
          <w:sz w:val="22"/>
          <w:szCs w:val="22"/>
        </w:rPr>
      </w:pPr>
    </w:p>
    <w:p w14:paraId="6EF5C5EA" w14:textId="77777777" w:rsidR="00286EFA" w:rsidRPr="000F41A3" w:rsidRDefault="00FA61F8" w:rsidP="0069079A">
      <w:pPr>
        <w:pStyle w:val="Ttulo2"/>
        <w:spacing w:before="0" w:after="0" w:line="360" w:lineRule="auto"/>
        <w:rPr>
          <w:rFonts w:ascii="Palatino Linotype" w:eastAsia="Palatino Linotype" w:hAnsi="Palatino Linotype"/>
          <w:b/>
          <w:bCs/>
          <w:color w:val="auto"/>
          <w:sz w:val="22"/>
          <w:szCs w:val="22"/>
        </w:rPr>
      </w:pPr>
      <w:bookmarkStart w:id="16" w:name="_Toc191569669"/>
      <w:r w:rsidRPr="000F41A3">
        <w:rPr>
          <w:rFonts w:ascii="Palatino Linotype" w:eastAsia="Palatino Linotype" w:hAnsi="Palatino Linotype"/>
          <w:b/>
          <w:bCs/>
          <w:color w:val="auto"/>
          <w:sz w:val="22"/>
          <w:szCs w:val="22"/>
        </w:rPr>
        <w:t>SEGUNDO. Causales de improcedencia y sobreseimiento</w:t>
      </w:r>
      <w:bookmarkEnd w:id="16"/>
    </w:p>
    <w:p w14:paraId="65B6A402"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2ABEC043"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De las constancias que forma parte del Recurso de Revisión que se analiza, se advierte que previo al estudio del fondo de la </w:t>
      </w:r>
      <w:r w:rsidRPr="000F41A3">
        <w:rPr>
          <w:rFonts w:ascii="Palatino Linotype" w:eastAsia="Palatino Linotype" w:hAnsi="Palatino Linotype" w:cs="Palatino Linotype"/>
          <w:i/>
          <w:color w:val="000000" w:themeColor="text1"/>
          <w:sz w:val="22"/>
          <w:szCs w:val="22"/>
        </w:rPr>
        <w:t>litis</w:t>
      </w:r>
      <w:r w:rsidRPr="000F41A3">
        <w:rPr>
          <w:rFonts w:ascii="Palatino Linotype" w:eastAsia="Palatino Linotype" w:hAnsi="Palatino Linotype" w:cs="Palatino Linotype"/>
          <w:color w:val="000000" w:themeColor="text1"/>
          <w:sz w:val="22"/>
          <w:szCs w:val="22"/>
        </w:rPr>
        <w:t>, es necesario estudiar las causales de improcedencia, para determinar lo que en Derecho proceda.</w:t>
      </w:r>
    </w:p>
    <w:p w14:paraId="72E29484" w14:textId="77777777" w:rsidR="00286EFA" w:rsidRPr="000F41A3" w:rsidRDefault="00286EFA" w:rsidP="0069079A">
      <w:pPr>
        <w:spacing w:line="360" w:lineRule="auto"/>
        <w:jc w:val="both"/>
        <w:rPr>
          <w:rFonts w:ascii="Palatino Linotype" w:eastAsia="Palatino Linotype" w:hAnsi="Palatino Linotype" w:cs="Palatino Linotype"/>
          <w:b/>
          <w:color w:val="000000" w:themeColor="text1"/>
          <w:sz w:val="22"/>
          <w:szCs w:val="22"/>
        </w:rPr>
      </w:pPr>
    </w:p>
    <w:p w14:paraId="79688569" w14:textId="77777777" w:rsidR="00286EFA" w:rsidRPr="000F41A3" w:rsidRDefault="00FA61F8" w:rsidP="0069079A">
      <w:pPr>
        <w:spacing w:line="360" w:lineRule="auto"/>
        <w:jc w:val="both"/>
        <w:rPr>
          <w:rFonts w:ascii="Palatino Linotype" w:eastAsia="Palatino Linotype" w:hAnsi="Palatino Linotype" w:cs="Palatino Linotype"/>
          <w:b/>
          <w:color w:val="000000" w:themeColor="text1"/>
          <w:sz w:val="22"/>
          <w:szCs w:val="22"/>
        </w:rPr>
      </w:pPr>
      <w:r w:rsidRPr="000F41A3">
        <w:rPr>
          <w:rFonts w:ascii="Palatino Linotype" w:eastAsia="Palatino Linotype" w:hAnsi="Palatino Linotype" w:cs="Palatino Linotype"/>
          <w:b/>
          <w:color w:val="000000" w:themeColor="text1"/>
          <w:sz w:val="22"/>
          <w:szCs w:val="22"/>
        </w:rPr>
        <w:t>Causales de improcedencia</w:t>
      </w:r>
    </w:p>
    <w:p w14:paraId="39D2F7EB"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6D7DC610" w14:textId="77777777" w:rsidR="00286EFA" w:rsidRPr="000F41A3" w:rsidRDefault="00FA61F8" w:rsidP="0069079A">
      <w:pPr>
        <w:spacing w:line="360" w:lineRule="auto"/>
        <w:ind w:right="-28"/>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Este Instituto realizará el estudio oficioso de las causales de improcedencia, por tratarse de una cuestión de orden público y de estudio preferente (acorde con el Criterio orientador en la </w:t>
      </w:r>
      <w:r w:rsidRPr="000F41A3">
        <w:rPr>
          <w:rFonts w:ascii="Palatino Linotype" w:eastAsia="Palatino Linotype" w:hAnsi="Palatino Linotype" w:cs="Palatino Linotype"/>
          <w:color w:val="000000" w:themeColor="text1"/>
          <w:sz w:val="22"/>
          <w:szCs w:val="22"/>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D244FE6" w14:textId="77777777" w:rsidR="00286EFA" w:rsidRPr="000F41A3" w:rsidRDefault="00286EFA" w:rsidP="0069079A">
      <w:pPr>
        <w:spacing w:line="360" w:lineRule="auto"/>
        <w:ind w:right="-28"/>
        <w:jc w:val="both"/>
        <w:rPr>
          <w:rFonts w:ascii="Palatino Linotype" w:eastAsia="Palatino Linotype" w:hAnsi="Palatino Linotype" w:cs="Palatino Linotype"/>
          <w:color w:val="000000" w:themeColor="text1"/>
          <w:sz w:val="22"/>
          <w:szCs w:val="22"/>
        </w:rPr>
      </w:pPr>
    </w:p>
    <w:p w14:paraId="4519D63D"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En el presente caso, </w:t>
      </w:r>
      <w:r w:rsidRPr="000F41A3">
        <w:rPr>
          <w:rFonts w:ascii="Palatino Linotype" w:eastAsia="Palatino Linotype" w:hAnsi="Palatino Linotype" w:cs="Palatino Linotype"/>
          <w:b/>
          <w:color w:val="000000" w:themeColor="text1"/>
          <w:sz w:val="22"/>
          <w:szCs w:val="22"/>
        </w:rPr>
        <w:t>no se actualiza ninguna de las causales de improcedencia</w:t>
      </w:r>
      <w:r w:rsidRPr="000F41A3">
        <w:rPr>
          <w:rFonts w:ascii="Palatino Linotype" w:eastAsia="Palatino Linotype" w:hAnsi="Palatino Linotype" w:cs="Palatino Linotype"/>
          <w:color w:val="000000" w:themeColor="text1"/>
          <w:sz w:val="22"/>
          <w:szCs w:val="22"/>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14:paraId="0B3CB808"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336CC487" w14:textId="77777777" w:rsidR="00286EFA" w:rsidRPr="000F41A3" w:rsidRDefault="00FA61F8" w:rsidP="0069079A">
      <w:pPr>
        <w:widowControl w:val="0"/>
        <w:spacing w:line="360" w:lineRule="auto"/>
        <w:jc w:val="both"/>
        <w:rPr>
          <w:rFonts w:ascii="Palatino Linotype" w:eastAsia="Palatino Linotype" w:hAnsi="Palatino Linotype" w:cs="Palatino Linotype"/>
          <w:color w:val="000000" w:themeColor="text1"/>
          <w:sz w:val="22"/>
          <w:szCs w:val="22"/>
        </w:rPr>
      </w:pPr>
      <w:bookmarkStart w:id="17" w:name="_heading=h.1fob9te" w:colFirst="0" w:colLast="0"/>
      <w:bookmarkEnd w:id="17"/>
      <w:r w:rsidRPr="000F41A3">
        <w:rPr>
          <w:rFonts w:ascii="Palatino Linotype" w:eastAsia="Palatino Linotype" w:hAnsi="Palatino Linotype" w:cs="Palatino Linotype"/>
          <w:color w:val="000000" w:themeColor="text1"/>
          <w:sz w:val="22"/>
          <w:szCs w:val="22"/>
        </w:rPr>
        <w:t>Asimismo, se actualiza la causal de procedencia del Recurso de Revisión señalada</w:t>
      </w:r>
      <w:r w:rsidR="00977F4B" w:rsidRPr="000F41A3">
        <w:rPr>
          <w:rFonts w:ascii="Palatino Linotype" w:eastAsia="Palatino Linotype" w:hAnsi="Palatino Linotype" w:cs="Palatino Linotype"/>
          <w:color w:val="000000" w:themeColor="text1"/>
          <w:sz w:val="22"/>
          <w:szCs w:val="22"/>
        </w:rPr>
        <w:t xml:space="preserve"> en el artículo 179, fracción VI</w:t>
      </w:r>
      <w:r w:rsidRPr="000F41A3">
        <w:rPr>
          <w:rFonts w:ascii="Palatino Linotype" w:eastAsia="Palatino Linotype" w:hAnsi="Palatino Linotype" w:cs="Palatino Linotype"/>
          <w:color w:val="000000" w:themeColor="text1"/>
          <w:sz w:val="22"/>
          <w:szCs w:val="22"/>
        </w:rPr>
        <w:t xml:space="preserve">, de la Ley en cita, pues el Recurrente se inconformó con la </w:t>
      </w:r>
      <w:r w:rsidR="00977F4B" w:rsidRPr="000F41A3">
        <w:rPr>
          <w:rFonts w:ascii="Palatino Linotype" w:eastAsia="Palatino Linotype" w:hAnsi="Palatino Linotype" w:cs="Palatino Linotype"/>
          <w:color w:val="000000" w:themeColor="text1"/>
          <w:sz w:val="22"/>
          <w:szCs w:val="22"/>
        </w:rPr>
        <w:t>entrega de información que no corresponde con lo solicitado.</w:t>
      </w:r>
    </w:p>
    <w:p w14:paraId="6EBC3CAB" w14:textId="77777777" w:rsidR="00286EFA" w:rsidRPr="000F41A3" w:rsidRDefault="00286EFA" w:rsidP="0069079A">
      <w:pPr>
        <w:widowControl w:val="0"/>
        <w:spacing w:line="360" w:lineRule="auto"/>
        <w:jc w:val="both"/>
        <w:rPr>
          <w:rFonts w:ascii="Palatino Linotype" w:eastAsia="Palatino Linotype" w:hAnsi="Palatino Linotype" w:cs="Palatino Linotype"/>
          <w:b/>
          <w:color w:val="000000" w:themeColor="text1"/>
          <w:sz w:val="22"/>
          <w:szCs w:val="22"/>
        </w:rPr>
      </w:pPr>
    </w:p>
    <w:p w14:paraId="46704CDA"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b/>
          <w:color w:val="000000" w:themeColor="text1"/>
          <w:sz w:val="22"/>
          <w:szCs w:val="22"/>
        </w:rPr>
        <w:t>Causales de sobreseimiento</w:t>
      </w:r>
    </w:p>
    <w:p w14:paraId="5D413437"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297D06D6"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Por ser de previo y especial pronunciamiento, este Instituto analiza si se actualiza alguna causal de sobreseimiento.</w:t>
      </w:r>
    </w:p>
    <w:p w14:paraId="3C7C05F3"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7CFD1CAE"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5424483"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2A4B0E76" w14:textId="77777777" w:rsidR="00286EFA" w:rsidRPr="000F41A3" w:rsidRDefault="00FA61F8" w:rsidP="0069079A">
      <w:pPr>
        <w:tabs>
          <w:tab w:val="left" w:pos="4962"/>
        </w:tabs>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Por tales motivos, se considera procedente entrar al fondo del presente asunto. </w:t>
      </w:r>
    </w:p>
    <w:p w14:paraId="1C76998A" w14:textId="77777777" w:rsidR="00286EFA" w:rsidRPr="000F41A3" w:rsidRDefault="00286EFA" w:rsidP="0069079A">
      <w:pPr>
        <w:tabs>
          <w:tab w:val="left" w:pos="4962"/>
        </w:tabs>
        <w:spacing w:line="360" w:lineRule="auto"/>
        <w:jc w:val="both"/>
        <w:rPr>
          <w:rFonts w:ascii="Palatino Linotype" w:eastAsia="Palatino Linotype" w:hAnsi="Palatino Linotype" w:cs="Palatino Linotype"/>
          <w:color w:val="000000" w:themeColor="text1"/>
          <w:sz w:val="22"/>
          <w:szCs w:val="22"/>
        </w:rPr>
      </w:pPr>
    </w:p>
    <w:p w14:paraId="0CED005A" w14:textId="77777777" w:rsidR="00286EFA" w:rsidRPr="000F41A3" w:rsidRDefault="00FA61F8" w:rsidP="0069079A">
      <w:pPr>
        <w:pStyle w:val="Ttulo1"/>
        <w:spacing w:before="0" w:after="0" w:line="360" w:lineRule="auto"/>
        <w:rPr>
          <w:rFonts w:ascii="Palatino Linotype" w:eastAsia="Palatino Linotype" w:hAnsi="Palatino Linotype"/>
          <w:b/>
          <w:bCs/>
          <w:color w:val="auto"/>
          <w:sz w:val="22"/>
          <w:szCs w:val="22"/>
        </w:rPr>
      </w:pPr>
      <w:bookmarkStart w:id="18" w:name="_Toc191569670"/>
      <w:r w:rsidRPr="000F41A3">
        <w:rPr>
          <w:rFonts w:ascii="Palatino Linotype" w:eastAsia="Palatino Linotype" w:hAnsi="Palatino Linotype"/>
          <w:b/>
          <w:bCs/>
          <w:color w:val="auto"/>
          <w:sz w:val="22"/>
          <w:szCs w:val="22"/>
        </w:rPr>
        <w:t>TERCERO. Determinación de la Controversia</w:t>
      </w:r>
      <w:bookmarkEnd w:id="18"/>
    </w:p>
    <w:p w14:paraId="7B333F87" w14:textId="77777777" w:rsidR="00286EFA" w:rsidRPr="000F41A3" w:rsidRDefault="00286EFA" w:rsidP="0069079A">
      <w:pPr>
        <w:tabs>
          <w:tab w:val="left" w:pos="4962"/>
        </w:tabs>
        <w:spacing w:line="360" w:lineRule="auto"/>
        <w:jc w:val="both"/>
        <w:rPr>
          <w:rFonts w:ascii="Palatino Linotype" w:eastAsia="Palatino Linotype" w:hAnsi="Palatino Linotype" w:cs="Palatino Linotype"/>
          <w:b/>
          <w:color w:val="FF0000"/>
          <w:sz w:val="22"/>
          <w:szCs w:val="22"/>
        </w:rPr>
      </w:pPr>
    </w:p>
    <w:p w14:paraId="78191F24" w14:textId="120E2D5F" w:rsidR="00AE6BCC"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Una vez realizado el estudio de las constancias que integran el expediente en que se actúa, se desprende que el Particular requirió </w:t>
      </w:r>
      <w:r w:rsidR="00AE6BCC" w:rsidRPr="000F41A3">
        <w:rPr>
          <w:rFonts w:ascii="Palatino Linotype" w:eastAsia="Palatino Linotype" w:hAnsi="Palatino Linotype" w:cs="Palatino Linotype"/>
          <w:color w:val="000000" w:themeColor="text1"/>
          <w:sz w:val="22"/>
          <w:szCs w:val="22"/>
        </w:rPr>
        <w:t xml:space="preserve">el listado de inasistencias de los trabajadores del </w:t>
      </w:r>
      <w:r w:rsidR="0069079A" w:rsidRPr="000F41A3">
        <w:rPr>
          <w:rFonts w:ascii="Palatino Linotype" w:eastAsia="Palatino Linotype" w:hAnsi="Palatino Linotype" w:cs="Palatino Linotype"/>
          <w:color w:val="000000" w:themeColor="text1"/>
          <w:sz w:val="22"/>
          <w:szCs w:val="22"/>
        </w:rPr>
        <w:t>Sistema Municipal para el Desarrollo Integral de la Familia de Toluca,</w:t>
      </w:r>
      <w:r w:rsidR="00AE6BCC" w:rsidRPr="000F41A3">
        <w:rPr>
          <w:rFonts w:ascii="Palatino Linotype" w:eastAsia="Palatino Linotype" w:hAnsi="Palatino Linotype" w:cs="Palatino Linotype"/>
          <w:color w:val="000000" w:themeColor="text1"/>
          <w:sz w:val="22"/>
          <w:szCs w:val="22"/>
        </w:rPr>
        <w:t xml:space="preserve"> desglosado por fecha, motivo</w:t>
      </w:r>
      <w:r w:rsidR="0069079A" w:rsidRPr="000F41A3">
        <w:rPr>
          <w:rFonts w:ascii="Palatino Linotype" w:eastAsia="Palatino Linotype" w:hAnsi="Palatino Linotype" w:cs="Palatino Linotype"/>
          <w:color w:val="000000" w:themeColor="text1"/>
          <w:sz w:val="22"/>
          <w:szCs w:val="22"/>
        </w:rPr>
        <w:t xml:space="preserve"> y</w:t>
      </w:r>
      <w:r w:rsidR="00AE6BCC" w:rsidRPr="000F41A3">
        <w:rPr>
          <w:rFonts w:ascii="Palatino Linotype" w:eastAsia="Palatino Linotype" w:hAnsi="Palatino Linotype" w:cs="Palatino Linotype"/>
          <w:color w:val="000000" w:themeColor="text1"/>
          <w:sz w:val="22"/>
          <w:szCs w:val="22"/>
        </w:rPr>
        <w:t xml:space="preserve"> documento de justificación de falta.</w:t>
      </w:r>
    </w:p>
    <w:p w14:paraId="76CCA714" w14:textId="77777777" w:rsidR="00286EFA" w:rsidRPr="000F41A3" w:rsidRDefault="00286EFA" w:rsidP="0069079A">
      <w:pPr>
        <w:pBdr>
          <w:top w:val="nil"/>
          <w:left w:val="nil"/>
          <w:bottom w:val="nil"/>
          <w:right w:val="nil"/>
          <w:between w:val="nil"/>
        </w:pBdr>
        <w:spacing w:line="360" w:lineRule="auto"/>
        <w:rPr>
          <w:rFonts w:ascii="Palatino Linotype" w:eastAsia="Palatino Linotype" w:hAnsi="Palatino Linotype" w:cs="Palatino Linotype"/>
          <w:color w:val="000000" w:themeColor="text1"/>
          <w:sz w:val="22"/>
          <w:szCs w:val="22"/>
        </w:rPr>
      </w:pPr>
    </w:p>
    <w:p w14:paraId="2432A5F9"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En respuesta, el Sujeto Obligado </w:t>
      </w:r>
      <w:r w:rsidR="00AE6BCC" w:rsidRPr="000F41A3">
        <w:rPr>
          <w:rFonts w:ascii="Palatino Linotype" w:eastAsia="Palatino Linotype" w:hAnsi="Palatino Linotype" w:cs="Palatino Linotype"/>
          <w:color w:val="000000" w:themeColor="text1"/>
          <w:sz w:val="22"/>
          <w:szCs w:val="22"/>
        </w:rPr>
        <w:t>a través de la Dirección de Administración y Tesorería, refirió que la información objeto de su solicitud, se encuentra publicada en el artículo 92, fracción XX A denominada “Normatividad Laboral” del Sistema de Información Pública de Oficio Mexiquense (IPOMEX) de este Sujeto Obligado, a través de una liga que remitió en formato cerrado;</w:t>
      </w:r>
      <w:r w:rsidR="00AE6BCC" w:rsidRPr="000F41A3">
        <w:rPr>
          <w:rFonts w:ascii="Palatino Linotype" w:eastAsia="Palatino Linotype" w:hAnsi="Palatino Linotype" w:cs="Palatino Linotype"/>
          <w:color w:val="000000" w:themeColor="text1"/>
        </w:rPr>
        <w:t xml:space="preserve"> </w:t>
      </w:r>
      <w:r w:rsidRPr="000F41A3">
        <w:rPr>
          <w:rFonts w:ascii="Palatino Linotype" w:eastAsia="Palatino Linotype" w:hAnsi="Palatino Linotype" w:cs="Palatino Linotype"/>
          <w:color w:val="000000" w:themeColor="text1"/>
          <w:sz w:val="22"/>
          <w:szCs w:val="22"/>
        </w:rPr>
        <w:t>ante dicha circunstancia, el Particular se agravió con la</w:t>
      </w:r>
      <w:r w:rsidR="00232EF5" w:rsidRPr="000F41A3">
        <w:rPr>
          <w:rFonts w:ascii="Palatino Linotype" w:eastAsia="Palatino Linotype" w:hAnsi="Palatino Linotype" w:cs="Palatino Linotype"/>
          <w:color w:val="000000" w:themeColor="text1"/>
          <w:sz w:val="22"/>
          <w:szCs w:val="22"/>
        </w:rPr>
        <w:t xml:space="preserve"> entrega de la información que no corresponde con lo solicitado</w:t>
      </w:r>
      <w:r w:rsidRPr="000F41A3">
        <w:rPr>
          <w:rFonts w:ascii="Palatino Linotype" w:eastAsia="Palatino Linotype" w:hAnsi="Palatino Linotype" w:cs="Palatino Linotype"/>
          <w:color w:val="000000" w:themeColor="text1"/>
          <w:sz w:val="22"/>
          <w:szCs w:val="22"/>
        </w:rPr>
        <w:t>, lo cual, actualiza la causal de proced</w:t>
      </w:r>
      <w:r w:rsidR="00232EF5" w:rsidRPr="000F41A3">
        <w:rPr>
          <w:rFonts w:ascii="Palatino Linotype" w:eastAsia="Palatino Linotype" w:hAnsi="Palatino Linotype" w:cs="Palatino Linotype"/>
          <w:color w:val="000000" w:themeColor="text1"/>
          <w:sz w:val="22"/>
          <w:szCs w:val="22"/>
        </w:rPr>
        <w:t>encia prevista en la fracción VI</w:t>
      </w:r>
      <w:r w:rsidRPr="000F41A3">
        <w:rPr>
          <w:rFonts w:ascii="Palatino Linotype" w:eastAsia="Palatino Linotype" w:hAnsi="Palatino Linotype" w:cs="Palatino Linotype"/>
          <w:color w:val="000000" w:themeColor="text1"/>
          <w:sz w:val="22"/>
          <w:szCs w:val="22"/>
        </w:rPr>
        <w:t>, del artículo 179 de la Ley de Transparencia y Acceso a la Información Pública del Estado de México y Municipios. Así, las cosas, una vez admitido y notificado el Recurso de Revisión a las partes, el Sujeto Obligado esencialmente ratificó su respuesta inicial.</w:t>
      </w:r>
      <w:r w:rsidRPr="000F41A3">
        <w:rPr>
          <w:rFonts w:ascii="Palatino Linotype" w:eastAsia="Palatino Linotype" w:hAnsi="Palatino Linotype" w:cs="Palatino Linotype"/>
          <w:b/>
          <w:color w:val="000000" w:themeColor="text1"/>
          <w:sz w:val="22"/>
          <w:szCs w:val="22"/>
        </w:rPr>
        <w:t xml:space="preserve"> </w:t>
      </w:r>
    </w:p>
    <w:p w14:paraId="4616171A"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58810B86" w14:textId="335D53C9"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Lo anterior, se desprende de las documentales que obran en el expediente de referencia, materia de la presente resolución, consistente en: la solicitud de acceso a la informac</w:t>
      </w:r>
      <w:r w:rsidR="00232EF5" w:rsidRPr="000F41A3">
        <w:rPr>
          <w:rFonts w:ascii="Palatino Linotype" w:eastAsia="Palatino Linotype" w:hAnsi="Palatino Linotype" w:cs="Palatino Linotype"/>
          <w:color w:val="000000" w:themeColor="text1"/>
          <w:sz w:val="22"/>
          <w:szCs w:val="22"/>
        </w:rPr>
        <w:t>ión, la respuesta proporcionada</w:t>
      </w:r>
      <w:r w:rsidR="0069079A" w:rsidRPr="000F41A3">
        <w:rPr>
          <w:rFonts w:ascii="Palatino Linotype" w:eastAsia="Palatino Linotype" w:hAnsi="Palatino Linotype" w:cs="Palatino Linotype"/>
          <w:color w:val="000000" w:themeColor="text1"/>
          <w:sz w:val="22"/>
          <w:szCs w:val="22"/>
        </w:rPr>
        <w:t xml:space="preserve"> y</w:t>
      </w:r>
      <w:r w:rsidR="006A4EFB" w:rsidRPr="000F41A3">
        <w:rPr>
          <w:rFonts w:ascii="Palatino Linotype" w:eastAsia="Palatino Linotype" w:hAnsi="Palatino Linotype" w:cs="Palatino Linotype"/>
          <w:color w:val="000000" w:themeColor="text1"/>
          <w:sz w:val="22"/>
          <w:szCs w:val="22"/>
        </w:rPr>
        <w:t xml:space="preserve"> </w:t>
      </w:r>
      <w:r w:rsidRPr="000F41A3">
        <w:rPr>
          <w:rFonts w:ascii="Palatino Linotype" w:eastAsia="Palatino Linotype" w:hAnsi="Palatino Linotype" w:cs="Palatino Linotype"/>
          <w:color w:val="000000" w:themeColor="text1"/>
          <w:sz w:val="22"/>
          <w:szCs w:val="22"/>
        </w:rPr>
        <w:t xml:space="preserve">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14:paraId="75B59526" w14:textId="77777777" w:rsidR="006A4EFB" w:rsidRPr="000F41A3" w:rsidRDefault="006A4EFB" w:rsidP="0069079A">
      <w:pPr>
        <w:spacing w:line="360" w:lineRule="auto"/>
        <w:jc w:val="both"/>
        <w:rPr>
          <w:rFonts w:ascii="Palatino Linotype" w:eastAsia="Palatino Linotype" w:hAnsi="Palatino Linotype" w:cs="Palatino Linotype"/>
          <w:color w:val="000000" w:themeColor="text1"/>
          <w:sz w:val="22"/>
          <w:szCs w:val="22"/>
        </w:rPr>
      </w:pPr>
    </w:p>
    <w:p w14:paraId="69A3EDAB" w14:textId="77777777" w:rsidR="00286EFA" w:rsidRPr="000F41A3" w:rsidRDefault="00FA61F8" w:rsidP="0069079A">
      <w:pPr>
        <w:pStyle w:val="Ttulo1"/>
        <w:spacing w:before="0" w:after="0" w:line="360" w:lineRule="auto"/>
        <w:jc w:val="both"/>
        <w:rPr>
          <w:rFonts w:ascii="Palatino Linotype" w:eastAsia="Palatino Linotype" w:hAnsi="Palatino Linotype"/>
          <w:b/>
          <w:bCs/>
          <w:color w:val="auto"/>
          <w:sz w:val="22"/>
          <w:szCs w:val="22"/>
        </w:rPr>
      </w:pPr>
      <w:bookmarkStart w:id="19" w:name="_Toc191569671"/>
      <w:r w:rsidRPr="000F41A3">
        <w:rPr>
          <w:rFonts w:ascii="Palatino Linotype" w:eastAsia="Palatino Linotype" w:hAnsi="Palatino Linotype"/>
          <w:b/>
          <w:bCs/>
          <w:color w:val="auto"/>
          <w:sz w:val="22"/>
          <w:szCs w:val="22"/>
        </w:rPr>
        <w:t>CUARTO. Marco normativo aplicable en materia de transparencia y acceso a la información pública</w:t>
      </w:r>
      <w:bookmarkEnd w:id="19"/>
    </w:p>
    <w:p w14:paraId="50E198BB" w14:textId="77777777" w:rsidR="00286EFA" w:rsidRPr="000F41A3" w:rsidRDefault="00286EFA" w:rsidP="0069079A">
      <w:pPr>
        <w:spacing w:line="360" w:lineRule="auto"/>
        <w:jc w:val="both"/>
        <w:rPr>
          <w:rFonts w:ascii="Palatino Linotype" w:eastAsia="Palatino Linotype" w:hAnsi="Palatino Linotype" w:cs="Palatino Linotype"/>
          <w:b/>
          <w:color w:val="000000" w:themeColor="text1"/>
          <w:sz w:val="22"/>
          <w:szCs w:val="22"/>
        </w:rPr>
      </w:pPr>
    </w:p>
    <w:p w14:paraId="79AD0F14"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F28679A"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4C1B6A2B"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2C4CAC3"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62A37E31"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352D1876"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1E10279C"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lastRenderedPageBreak/>
        <w:t>Por su parte, la Ley de Transparencia y Acceso a la Información Pública del Estado de México y Municipios (Reglamentaria del artículo 5° de la Constitución Local), establece lo siguiente:</w:t>
      </w:r>
    </w:p>
    <w:p w14:paraId="6CCC3CBF"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El artículo 12, que, quienes generen, recopilen, administren, manejen, procesen, archiven o conserven información pública serán responsables de la misma.</w:t>
      </w:r>
    </w:p>
    <w:p w14:paraId="72436A9D"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1F5DF35C"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24DE0AB" w14:textId="77777777" w:rsidR="00286EFA" w:rsidRPr="000F41A3" w:rsidRDefault="00286EFA" w:rsidP="0069079A">
      <w:pPr>
        <w:spacing w:line="360" w:lineRule="auto"/>
        <w:jc w:val="both"/>
        <w:rPr>
          <w:rFonts w:ascii="Palatino Linotype" w:eastAsia="Palatino Linotype" w:hAnsi="Palatino Linotype" w:cs="Palatino Linotype"/>
          <w:color w:val="000000" w:themeColor="text1"/>
          <w:sz w:val="22"/>
          <w:szCs w:val="22"/>
        </w:rPr>
      </w:pPr>
    </w:p>
    <w:p w14:paraId="30B0EE91" w14:textId="77777777" w:rsidR="00286EFA" w:rsidRPr="000F41A3" w:rsidRDefault="00FA61F8" w:rsidP="0069079A">
      <w:pPr>
        <w:spacing w:line="360" w:lineRule="auto"/>
        <w:jc w:val="both"/>
        <w:rPr>
          <w:rFonts w:ascii="Palatino Linotype" w:eastAsia="Palatino Linotype" w:hAnsi="Palatino Linotype" w:cs="Palatino Linotype"/>
          <w:color w:val="000000" w:themeColor="text1"/>
          <w:sz w:val="22"/>
          <w:szCs w:val="22"/>
        </w:rPr>
      </w:pPr>
      <w:r w:rsidRPr="000F41A3">
        <w:rPr>
          <w:rFonts w:ascii="Palatino Linotype" w:eastAsia="Palatino Linotype" w:hAnsi="Palatino Linotype" w:cs="Palatino Linotype"/>
          <w:color w:val="000000" w:themeColor="text1"/>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EBD00A1" w14:textId="77777777" w:rsidR="00286EFA" w:rsidRPr="000F41A3" w:rsidRDefault="00286EFA" w:rsidP="0069079A">
      <w:pPr>
        <w:spacing w:line="360" w:lineRule="auto"/>
        <w:jc w:val="both"/>
        <w:rPr>
          <w:rFonts w:ascii="Palatino Linotype" w:eastAsia="Palatino Linotype" w:hAnsi="Palatino Linotype" w:cs="Palatino Linotype"/>
          <w:b/>
          <w:color w:val="000000" w:themeColor="text1"/>
          <w:sz w:val="22"/>
          <w:szCs w:val="22"/>
        </w:rPr>
      </w:pPr>
    </w:p>
    <w:p w14:paraId="03CDCCB3" w14:textId="77777777" w:rsidR="00286EFA" w:rsidRPr="000F41A3" w:rsidRDefault="00FA61F8" w:rsidP="0069079A">
      <w:pPr>
        <w:pStyle w:val="Ttulo1"/>
        <w:spacing w:before="0" w:after="0" w:line="360" w:lineRule="auto"/>
        <w:rPr>
          <w:rFonts w:ascii="Palatino Linotype" w:eastAsia="Palatino Linotype" w:hAnsi="Palatino Linotype"/>
          <w:b/>
          <w:bCs/>
          <w:color w:val="auto"/>
          <w:sz w:val="22"/>
          <w:szCs w:val="22"/>
        </w:rPr>
      </w:pPr>
      <w:bookmarkStart w:id="20" w:name="_Toc191569672"/>
      <w:r w:rsidRPr="000F41A3">
        <w:rPr>
          <w:rFonts w:ascii="Palatino Linotype" w:eastAsia="Palatino Linotype" w:hAnsi="Palatino Linotype"/>
          <w:b/>
          <w:bCs/>
          <w:color w:val="auto"/>
          <w:sz w:val="22"/>
          <w:szCs w:val="22"/>
        </w:rPr>
        <w:t>QUINTO. Estudio de Fondo</w:t>
      </w:r>
      <w:bookmarkEnd w:id="20"/>
    </w:p>
    <w:p w14:paraId="0932A8F3"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4FD96040" w14:textId="3C364ED8" w:rsidR="00146E20" w:rsidRPr="000F41A3" w:rsidRDefault="00FA61F8"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Expuestas las posturas de las partes, se procede a realizar el análisis del agravio hecho valer por el ahora Recurrente, concerniente a la </w:t>
      </w:r>
      <w:r w:rsidR="00146E20" w:rsidRPr="000F41A3">
        <w:rPr>
          <w:rFonts w:ascii="Palatino Linotype" w:eastAsia="Palatino Linotype" w:hAnsi="Palatino Linotype" w:cs="Palatino Linotype"/>
          <w:sz w:val="22"/>
          <w:szCs w:val="22"/>
        </w:rPr>
        <w:t>entrega de la información que no corresponde con lo solicitado, por lo que por lo que en principio resulta necesario contextualizar la solicitud de información.</w:t>
      </w:r>
    </w:p>
    <w:p w14:paraId="15F9A07A" w14:textId="77777777" w:rsidR="00146E20" w:rsidRPr="000F41A3" w:rsidRDefault="00146E20" w:rsidP="0069079A">
      <w:pPr>
        <w:widowControl w:val="0"/>
        <w:spacing w:line="360" w:lineRule="auto"/>
        <w:jc w:val="both"/>
        <w:rPr>
          <w:rFonts w:ascii="Palatino Linotype" w:eastAsia="Palatino Linotype" w:hAnsi="Palatino Linotype" w:cs="Palatino Linotype"/>
          <w:color w:val="FF0000"/>
          <w:sz w:val="22"/>
          <w:szCs w:val="22"/>
        </w:rPr>
      </w:pPr>
    </w:p>
    <w:p w14:paraId="3F75F3C2" w14:textId="2C83EC14" w:rsidR="00286EFA" w:rsidRPr="000F41A3" w:rsidRDefault="00146E20"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En ese contexto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w:t>
      </w:r>
      <w:r w:rsidR="00135BCE" w:rsidRPr="000F41A3">
        <w:rPr>
          <w:rFonts w:ascii="Palatino Linotype" w:eastAsia="Palatino Linotype" w:hAnsi="Palatino Linotype" w:cs="Palatino Linotype"/>
          <w:sz w:val="22"/>
          <w:szCs w:val="22"/>
        </w:rPr>
        <w:t xml:space="preserve"> De la misma manera, el artículo 130 de la Constitución Política del </w:t>
      </w:r>
      <w:r w:rsidR="00135BCE" w:rsidRPr="000F41A3">
        <w:rPr>
          <w:rFonts w:ascii="Palatino Linotype" w:eastAsia="Palatino Linotype" w:hAnsi="Palatino Linotype" w:cs="Palatino Linotype"/>
          <w:sz w:val="22"/>
          <w:szCs w:val="22"/>
        </w:rPr>
        <w:lastRenderedPageBreak/>
        <w:t>Estado Libre y Soberano de México, precisa que son servidores públicos a todas las personas que desempeñen un empleo, cargo o comisión en los Municipios.</w:t>
      </w:r>
    </w:p>
    <w:p w14:paraId="1CEDFDEA" w14:textId="77777777" w:rsidR="00135BCE" w:rsidRPr="000F41A3" w:rsidRDefault="00135BCE" w:rsidP="0069079A">
      <w:pPr>
        <w:widowControl w:val="0"/>
        <w:spacing w:line="360" w:lineRule="auto"/>
        <w:jc w:val="both"/>
        <w:rPr>
          <w:rFonts w:ascii="Palatino Linotype" w:eastAsia="Palatino Linotype" w:hAnsi="Palatino Linotype" w:cs="Palatino Linotype"/>
          <w:sz w:val="22"/>
          <w:szCs w:val="22"/>
        </w:rPr>
      </w:pPr>
    </w:p>
    <w:p w14:paraId="44DC4A2E" w14:textId="1BA21FB6" w:rsidR="00135BCE" w:rsidRPr="000F41A3" w:rsidRDefault="00135BCE"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Además,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7C18DFF7" w14:textId="77777777" w:rsidR="00146E20" w:rsidRPr="000F41A3" w:rsidRDefault="00146E20" w:rsidP="0069079A">
      <w:pPr>
        <w:widowControl w:val="0"/>
        <w:spacing w:line="360" w:lineRule="auto"/>
        <w:jc w:val="both"/>
        <w:rPr>
          <w:rFonts w:ascii="Palatino Linotype" w:eastAsia="Palatino Linotype" w:hAnsi="Palatino Linotype" w:cs="Palatino Linotype"/>
          <w:sz w:val="22"/>
          <w:szCs w:val="22"/>
        </w:rPr>
      </w:pPr>
    </w:p>
    <w:p w14:paraId="167EEA92" w14:textId="50CCBA35" w:rsidR="00146E20" w:rsidRPr="000F41A3" w:rsidRDefault="00AD7E2C"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En ese sentido, los artículos 59 y 84 de dicha normatividad, establece que la </w:t>
      </w:r>
      <w:r w:rsidRPr="000F41A3">
        <w:rPr>
          <w:rFonts w:ascii="Palatino Linotype" w:eastAsia="Palatino Linotype" w:hAnsi="Palatino Linotype" w:cs="Palatino Linotype"/>
          <w:b/>
          <w:bCs/>
          <w:sz w:val="22"/>
          <w:szCs w:val="22"/>
        </w:rPr>
        <w:t>jornada de trabajo, es el tiempo durante el cual la o el servidor público está a disposición del Ayuntamiento o Unidad Administrativa</w:t>
      </w:r>
      <w:r w:rsidRPr="000F41A3">
        <w:rPr>
          <w:rFonts w:ascii="Palatino Linotype" w:eastAsia="Palatino Linotype" w:hAnsi="Palatino Linotype" w:cs="Palatino Linotype"/>
          <w:sz w:val="22"/>
          <w:szCs w:val="22"/>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6770A99E" w14:textId="77777777" w:rsidR="00AD7E2C" w:rsidRPr="000F41A3" w:rsidRDefault="00AD7E2C" w:rsidP="0069079A">
      <w:pPr>
        <w:widowControl w:val="0"/>
        <w:spacing w:line="360" w:lineRule="auto"/>
        <w:jc w:val="both"/>
        <w:rPr>
          <w:rFonts w:ascii="Palatino Linotype" w:eastAsia="Palatino Linotype" w:hAnsi="Palatino Linotype" w:cs="Palatino Linotype"/>
          <w:sz w:val="22"/>
          <w:szCs w:val="22"/>
        </w:rPr>
      </w:pPr>
    </w:p>
    <w:p w14:paraId="604AFE90" w14:textId="3ABE0D6F" w:rsidR="00AD7E2C" w:rsidRPr="000F41A3" w:rsidRDefault="001F216E" w:rsidP="0069079A">
      <w:pPr>
        <w:widowControl w:val="0"/>
        <w:spacing w:line="360" w:lineRule="auto"/>
        <w:jc w:val="both"/>
        <w:rPr>
          <w:rFonts w:ascii="Palatino Linotype" w:eastAsia="Palatino Linotype" w:hAnsi="Palatino Linotype" w:cs="Palatino Linotype"/>
          <w:b/>
          <w:bCs/>
          <w:sz w:val="22"/>
          <w:szCs w:val="22"/>
          <w:u w:val="single"/>
        </w:rPr>
      </w:pPr>
      <w:r w:rsidRPr="000F41A3">
        <w:rPr>
          <w:rFonts w:ascii="Palatino Linotype" w:eastAsia="Palatino Linotype" w:hAnsi="Palatino Linotype" w:cs="Palatino Linotype"/>
          <w:sz w:val="22"/>
          <w:szCs w:val="22"/>
        </w:rPr>
        <w:t xml:space="preserve">Además, los artículos 88, fracción III, y 220 K de la Ley de referencia, estipula </w:t>
      </w:r>
      <w:r w:rsidRPr="000F41A3">
        <w:rPr>
          <w:rFonts w:ascii="Palatino Linotype" w:eastAsia="Palatino Linotype" w:hAnsi="Palatino Linotype" w:cs="Palatino Linotype"/>
          <w:b/>
          <w:bCs/>
          <w:sz w:val="22"/>
          <w:szCs w:val="22"/>
        </w:rPr>
        <w:t xml:space="preserve">como obligación de los servidores públicos asistir a sus labores y no faltar sin causa justificada o sin permiso, </w:t>
      </w:r>
      <w:r w:rsidRPr="000F41A3">
        <w:rPr>
          <w:rFonts w:ascii="Palatino Linotype" w:eastAsia="Palatino Linotype" w:hAnsi="Palatino Linotype" w:cs="Palatino Linotype"/>
          <w:sz w:val="22"/>
          <w:szCs w:val="22"/>
        </w:rPr>
        <w:t xml:space="preserve">por otro lado, las instituciones o dependencias tienen </w:t>
      </w:r>
      <w:r w:rsidRPr="000F41A3">
        <w:rPr>
          <w:rFonts w:ascii="Palatino Linotype" w:eastAsia="Palatino Linotype" w:hAnsi="Palatino Linotype" w:cs="Palatino Linotype"/>
          <w:b/>
          <w:bCs/>
          <w:sz w:val="22"/>
          <w:szCs w:val="22"/>
          <w:u w:val="single"/>
        </w:rPr>
        <w:t>la obligación de conservar y exhibir los controles de asistencia o la información electrónica de asistencia de los servidores públicos.</w:t>
      </w:r>
    </w:p>
    <w:p w14:paraId="2CAF0BB9" w14:textId="77777777" w:rsidR="00C739DC" w:rsidRPr="000F41A3" w:rsidRDefault="00C739DC" w:rsidP="0069079A">
      <w:pPr>
        <w:widowControl w:val="0"/>
        <w:spacing w:line="360" w:lineRule="auto"/>
        <w:jc w:val="both"/>
        <w:rPr>
          <w:rFonts w:ascii="Palatino Linotype" w:eastAsia="Palatino Linotype" w:hAnsi="Palatino Linotype" w:cs="Palatino Linotype"/>
          <w:b/>
          <w:bCs/>
          <w:sz w:val="22"/>
          <w:szCs w:val="22"/>
          <w:u w:val="single"/>
        </w:rPr>
      </w:pPr>
    </w:p>
    <w:p w14:paraId="7D7B8591" w14:textId="6CE62E75" w:rsidR="00E035A4" w:rsidRPr="000F41A3" w:rsidRDefault="00E035A4"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En ese orden de ideas, el Reglamento Interior y Manual de Organización del </w:t>
      </w:r>
      <w:r w:rsidR="0069079A" w:rsidRPr="000F41A3">
        <w:rPr>
          <w:rFonts w:ascii="Palatino Linotype" w:eastAsia="Palatino Linotype" w:hAnsi="Palatino Linotype" w:cs="Palatino Linotype"/>
          <w:sz w:val="22"/>
          <w:szCs w:val="22"/>
        </w:rPr>
        <w:t>Sistema Municipal para el Desarrollo Integral de la Familia de Toluca</w:t>
      </w:r>
      <w:r w:rsidRPr="000F41A3">
        <w:rPr>
          <w:rFonts w:ascii="Palatino Linotype" w:eastAsia="Palatino Linotype" w:hAnsi="Palatino Linotype" w:cs="Palatino Linotype"/>
          <w:sz w:val="22"/>
          <w:szCs w:val="22"/>
        </w:rPr>
        <w:t>, dos mil veinticuatro</w:t>
      </w:r>
      <w:r w:rsidR="00B53FF1" w:rsidRPr="000F41A3">
        <w:rPr>
          <w:rFonts w:ascii="Palatino Linotype" w:eastAsia="Palatino Linotype" w:hAnsi="Palatino Linotype" w:cs="Palatino Linotype"/>
          <w:sz w:val="22"/>
          <w:szCs w:val="22"/>
        </w:rPr>
        <w:t xml:space="preserve">, </w:t>
      </w:r>
      <w:r w:rsidRPr="000F41A3">
        <w:rPr>
          <w:rFonts w:ascii="Palatino Linotype" w:eastAsia="Palatino Linotype" w:hAnsi="Palatino Linotype" w:cs="Palatino Linotype"/>
          <w:sz w:val="22"/>
          <w:szCs w:val="22"/>
        </w:rPr>
        <w:t xml:space="preserve">establece que dicho Sistema cuenta con el </w:t>
      </w:r>
      <w:r w:rsidRPr="000F41A3">
        <w:rPr>
          <w:rFonts w:ascii="Palatino Linotype" w:eastAsia="Palatino Linotype" w:hAnsi="Palatino Linotype" w:cs="Palatino Linotype"/>
          <w:sz w:val="22"/>
          <w:szCs w:val="22"/>
          <w:u w:val="single"/>
        </w:rPr>
        <w:t>Departamento de Capital Humano</w:t>
      </w:r>
      <w:r w:rsidR="00AA72FD" w:rsidRPr="000F41A3">
        <w:rPr>
          <w:rFonts w:ascii="Palatino Linotype" w:eastAsia="Palatino Linotype" w:hAnsi="Palatino Linotype" w:cs="Palatino Linotype"/>
          <w:sz w:val="22"/>
          <w:szCs w:val="22"/>
          <w:u w:val="single"/>
        </w:rPr>
        <w:t xml:space="preserve"> de la Dirección de Administración y Tesorería</w:t>
      </w:r>
      <w:r w:rsidRPr="000F41A3">
        <w:rPr>
          <w:rFonts w:ascii="Palatino Linotype" w:eastAsia="Palatino Linotype" w:hAnsi="Palatino Linotype" w:cs="Palatino Linotype"/>
          <w:sz w:val="22"/>
          <w:szCs w:val="22"/>
          <w:u w:val="single"/>
        </w:rPr>
        <w:t xml:space="preserve">, </w:t>
      </w:r>
      <w:r w:rsidRPr="000F41A3">
        <w:rPr>
          <w:rFonts w:ascii="Palatino Linotype" w:eastAsia="Palatino Linotype" w:hAnsi="Palatino Linotype" w:cs="Palatino Linotype"/>
          <w:sz w:val="22"/>
          <w:szCs w:val="22"/>
        </w:rPr>
        <w:t>el cual tiene como objetivo seleccionar, contratar y formar los trabajadores, logrando una cohesión de actividades y procesos para cumplir las funciones que han sido asignadas.</w:t>
      </w:r>
    </w:p>
    <w:p w14:paraId="63DA3623" w14:textId="77777777" w:rsidR="00E035A4" w:rsidRPr="000F41A3" w:rsidRDefault="00E035A4" w:rsidP="0069079A">
      <w:pPr>
        <w:widowControl w:val="0"/>
        <w:spacing w:line="360" w:lineRule="auto"/>
        <w:jc w:val="both"/>
        <w:rPr>
          <w:rFonts w:ascii="Palatino Linotype" w:eastAsia="Palatino Linotype" w:hAnsi="Palatino Linotype" w:cs="Palatino Linotype"/>
          <w:sz w:val="22"/>
          <w:szCs w:val="22"/>
        </w:rPr>
      </w:pPr>
    </w:p>
    <w:p w14:paraId="6D2BF816" w14:textId="093D1D0D" w:rsidR="00E035A4" w:rsidRPr="000F41A3" w:rsidRDefault="00E035A4"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lastRenderedPageBreak/>
        <w:t xml:space="preserve">Mismo Departamento que dentro de sus funciones se encarga entre otras cosas de </w:t>
      </w:r>
      <w:r w:rsidR="00C16377" w:rsidRPr="000F41A3">
        <w:rPr>
          <w:rFonts w:ascii="Palatino Linotype" w:eastAsia="Palatino Linotype" w:hAnsi="Palatino Linotype" w:cs="Palatino Linotype"/>
          <w:sz w:val="22"/>
          <w:szCs w:val="22"/>
        </w:rPr>
        <w:t xml:space="preserve">coordinar y dirigir los procesos de reclutamiento, selección, contratación y capacitación al personal de nuevo ingreso, </w:t>
      </w:r>
      <w:r w:rsidR="00C16377" w:rsidRPr="000F41A3">
        <w:rPr>
          <w:rFonts w:ascii="Palatino Linotype" w:eastAsia="Palatino Linotype" w:hAnsi="Palatino Linotype" w:cs="Palatino Linotype"/>
          <w:b/>
          <w:bCs/>
          <w:sz w:val="22"/>
          <w:szCs w:val="22"/>
          <w:u w:val="single"/>
        </w:rPr>
        <w:t>controlar y registrar la asistencia y puntualidad del personal de todas las Unidades Administrativas mediante registros de reloj checador o listas de asistencia</w:t>
      </w:r>
      <w:r w:rsidR="002C04AA" w:rsidRPr="000F41A3">
        <w:rPr>
          <w:rFonts w:ascii="Palatino Linotype" w:eastAsia="Palatino Linotype" w:hAnsi="Palatino Linotype" w:cs="Palatino Linotype"/>
          <w:b/>
          <w:bCs/>
          <w:sz w:val="22"/>
          <w:szCs w:val="22"/>
          <w:u w:val="single"/>
        </w:rPr>
        <w:t xml:space="preserve">, </w:t>
      </w:r>
      <w:r w:rsidR="002C04AA" w:rsidRPr="000F41A3">
        <w:rPr>
          <w:rFonts w:ascii="Palatino Linotype" w:eastAsia="Palatino Linotype" w:hAnsi="Palatino Linotype" w:cs="Palatino Linotype"/>
          <w:sz w:val="22"/>
          <w:szCs w:val="22"/>
        </w:rPr>
        <w:t>registro, control y resguardo de expedientes de personal</w:t>
      </w:r>
      <w:r w:rsidR="002C04AA" w:rsidRPr="000F41A3">
        <w:rPr>
          <w:rFonts w:ascii="Palatino Linotype" w:eastAsia="Palatino Linotype" w:hAnsi="Palatino Linotype" w:cs="Palatino Linotype"/>
          <w:b/>
          <w:bCs/>
          <w:sz w:val="22"/>
          <w:szCs w:val="22"/>
          <w:u w:val="single"/>
        </w:rPr>
        <w:t>,</w:t>
      </w:r>
      <w:r w:rsidR="00F9651F" w:rsidRPr="000F41A3">
        <w:rPr>
          <w:rFonts w:ascii="Palatino Linotype" w:eastAsia="Palatino Linotype" w:hAnsi="Palatino Linotype" w:cs="Palatino Linotype"/>
          <w:b/>
          <w:bCs/>
          <w:sz w:val="22"/>
          <w:szCs w:val="22"/>
        </w:rPr>
        <w:t xml:space="preserve"> </w:t>
      </w:r>
      <w:r w:rsidR="002C04AA" w:rsidRPr="000F41A3">
        <w:rPr>
          <w:rFonts w:ascii="Palatino Linotype" w:eastAsia="Palatino Linotype" w:hAnsi="Palatino Linotype" w:cs="Palatino Linotype"/>
          <w:sz w:val="22"/>
          <w:szCs w:val="22"/>
        </w:rPr>
        <w:t xml:space="preserve">así como de elaborar el cálculo de estímulos, aguinaldo, prima vacacional, </w:t>
      </w:r>
      <w:r w:rsidR="002C04AA" w:rsidRPr="000F41A3">
        <w:rPr>
          <w:rFonts w:ascii="Palatino Linotype" w:eastAsia="Palatino Linotype" w:hAnsi="Palatino Linotype" w:cs="Palatino Linotype"/>
          <w:b/>
          <w:bCs/>
          <w:sz w:val="22"/>
          <w:szCs w:val="22"/>
        </w:rPr>
        <w:t xml:space="preserve">descuentos, </w:t>
      </w:r>
      <w:r w:rsidR="002C04AA" w:rsidRPr="000F41A3">
        <w:rPr>
          <w:rFonts w:ascii="Palatino Linotype" w:eastAsia="Palatino Linotype" w:hAnsi="Palatino Linotype" w:cs="Palatino Linotype"/>
          <w:sz w:val="22"/>
          <w:szCs w:val="22"/>
        </w:rPr>
        <w:t>finiquitos, jubilaciones y demás pagos correspondientes al personal.</w:t>
      </w:r>
    </w:p>
    <w:p w14:paraId="1CD47BB2" w14:textId="77777777" w:rsidR="00F9651F" w:rsidRPr="000F41A3" w:rsidRDefault="00F9651F" w:rsidP="0069079A">
      <w:pPr>
        <w:widowControl w:val="0"/>
        <w:spacing w:line="360" w:lineRule="auto"/>
        <w:jc w:val="both"/>
        <w:rPr>
          <w:rFonts w:ascii="Palatino Linotype" w:eastAsia="Palatino Linotype" w:hAnsi="Palatino Linotype" w:cs="Palatino Linotype"/>
          <w:sz w:val="22"/>
          <w:szCs w:val="22"/>
        </w:rPr>
      </w:pPr>
    </w:p>
    <w:p w14:paraId="1946329A" w14:textId="3EB47A8A" w:rsidR="00F9651F" w:rsidRPr="000F41A3" w:rsidRDefault="00F179CB"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Conforme a lo anterior, se logra advertir que la pretensión del ahora Recurrente es obtener, los documentos donde consten las inasistencias de los servidores públicos del </w:t>
      </w:r>
      <w:r w:rsidR="0069079A" w:rsidRPr="000F41A3">
        <w:rPr>
          <w:rFonts w:ascii="Palatino Linotype" w:eastAsia="Palatino Linotype" w:hAnsi="Palatino Linotype" w:cs="Palatino Linotype"/>
          <w:sz w:val="22"/>
          <w:szCs w:val="22"/>
        </w:rPr>
        <w:t>Sistema Municipal para el Desarrollo Integral de la Familia de Toluca</w:t>
      </w:r>
      <w:r w:rsidR="00BA4C64" w:rsidRPr="000F41A3">
        <w:rPr>
          <w:rFonts w:ascii="Palatino Linotype" w:eastAsia="Palatino Linotype" w:hAnsi="Palatino Linotype" w:cs="Palatino Linotype"/>
          <w:sz w:val="22"/>
          <w:szCs w:val="22"/>
        </w:rPr>
        <w:t>, con el documento de justificación de la falta.</w:t>
      </w:r>
    </w:p>
    <w:p w14:paraId="0DEE2702" w14:textId="77777777" w:rsidR="00E035A4" w:rsidRPr="000F41A3" w:rsidRDefault="00E035A4" w:rsidP="0069079A">
      <w:pPr>
        <w:spacing w:line="360" w:lineRule="auto"/>
        <w:jc w:val="both"/>
        <w:rPr>
          <w:rFonts w:ascii="Palatino Linotype" w:eastAsia="Palatino Linotype" w:hAnsi="Palatino Linotype" w:cs="Palatino Linotype"/>
          <w:b/>
          <w:bCs/>
          <w:color w:val="FF0000"/>
          <w:sz w:val="22"/>
          <w:szCs w:val="22"/>
          <w:u w:val="single"/>
        </w:rPr>
      </w:pPr>
    </w:p>
    <w:p w14:paraId="240B4743" w14:textId="00D68E22" w:rsidR="00D7385D" w:rsidRPr="000F41A3" w:rsidRDefault="00D7385D" w:rsidP="00D7385D">
      <w:pPr>
        <w:tabs>
          <w:tab w:val="left" w:pos="4962"/>
        </w:tabs>
        <w:spacing w:after="160" w:line="360" w:lineRule="auto"/>
        <w:contextualSpacing/>
        <w:jc w:val="both"/>
        <w:rPr>
          <w:rFonts w:ascii="Palatino Linotype" w:eastAsia="Calibri" w:hAnsi="Palatino Linotype" w:cs="Tahoma"/>
          <w:iCs/>
          <w:sz w:val="22"/>
          <w:szCs w:val="22"/>
          <w:lang w:val="es-ES" w:eastAsia="es-ES_tradnl"/>
        </w:rPr>
      </w:pPr>
      <w:r w:rsidRPr="000F41A3">
        <w:rPr>
          <w:rFonts w:ascii="Palatino Linotype" w:eastAsia="Batang" w:hAnsi="Palatino Linotype" w:cs="Tahoma"/>
          <w:bCs/>
          <w:sz w:val="22"/>
          <w:szCs w:val="22"/>
          <w:lang w:eastAsia="en-US"/>
        </w:rPr>
        <w:t>Ahora bien, es necesario señalar que el Particular no precisó de qué temporalidad requería la información,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 en el presente caso,</w:t>
      </w:r>
      <w:r w:rsidRPr="000F41A3">
        <w:rPr>
          <w:rFonts w:ascii="Palatino Linotype" w:eastAsia="Calibri" w:hAnsi="Palatino Linotype" w:cs="Tahoma"/>
          <w:iCs/>
          <w:sz w:val="22"/>
          <w:szCs w:val="22"/>
          <w:lang w:val="es-ES" w:eastAsia="es-ES_tradnl"/>
        </w:rPr>
        <w:t xml:space="preserve"> </w:t>
      </w:r>
      <w:r w:rsidR="003B1C79" w:rsidRPr="000F41A3">
        <w:rPr>
          <w:rFonts w:ascii="Palatino Linotype" w:eastAsia="Calibri" w:hAnsi="Palatino Linotype" w:cs="Tahoma"/>
          <w:iCs/>
          <w:sz w:val="22"/>
          <w:szCs w:val="22"/>
          <w:lang w:val="es-ES" w:eastAsia="es-ES_tradnl"/>
        </w:rPr>
        <w:t>veinte de enero de dos mil veinticuatro</w:t>
      </w:r>
      <w:r w:rsidRPr="000F41A3">
        <w:rPr>
          <w:rFonts w:ascii="Palatino Linotype" w:eastAsia="Calibri" w:hAnsi="Palatino Linotype" w:cs="Tahoma"/>
          <w:iCs/>
          <w:sz w:val="22"/>
          <w:szCs w:val="22"/>
          <w:lang w:val="es-ES" w:eastAsia="es-ES_tradnl"/>
        </w:rPr>
        <w:t xml:space="preserve"> al </w:t>
      </w:r>
      <w:r w:rsidR="003B1C79" w:rsidRPr="000F41A3">
        <w:rPr>
          <w:rFonts w:ascii="Palatino Linotype" w:eastAsia="Calibri" w:hAnsi="Palatino Linotype" w:cs="Tahoma"/>
          <w:sz w:val="22"/>
          <w:szCs w:val="22"/>
          <w:lang w:val="es-ES" w:eastAsia="en-US"/>
        </w:rPr>
        <w:t>veinte de enero de dos mil veinticinco.</w:t>
      </w:r>
    </w:p>
    <w:p w14:paraId="51E46917" w14:textId="77777777" w:rsidR="00D7385D" w:rsidRPr="000F41A3" w:rsidRDefault="00D7385D" w:rsidP="0069079A">
      <w:pPr>
        <w:spacing w:line="360" w:lineRule="auto"/>
        <w:jc w:val="both"/>
        <w:rPr>
          <w:rFonts w:ascii="Palatino Linotype" w:eastAsia="Palatino Linotype" w:hAnsi="Palatino Linotype" w:cs="Palatino Linotype"/>
          <w:b/>
          <w:bCs/>
          <w:color w:val="FF0000"/>
          <w:sz w:val="22"/>
          <w:szCs w:val="22"/>
          <w:u w:val="single"/>
          <w:lang w:val="es-ES"/>
        </w:rPr>
      </w:pPr>
    </w:p>
    <w:p w14:paraId="579B8D61" w14:textId="6EAB200A" w:rsidR="00AA72FD" w:rsidRPr="000F41A3" w:rsidRDefault="00AA72FD"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Ahora bien, de las constancias que obran en el expediente, se logra vislumbrar que el Sujeto Obligado, turnó la solicitud de información al </w:t>
      </w:r>
      <w:r w:rsidRPr="000F41A3">
        <w:rPr>
          <w:rFonts w:ascii="Palatino Linotype" w:eastAsia="Palatino Linotype" w:hAnsi="Palatino Linotype" w:cs="Palatino Linotype"/>
          <w:b/>
          <w:bCs/>
          <w:sz w:val="22"/>
          <w:szCs w:val="22"/>
        </w:rPr>
        <w:t>Director de Administración y Tesorería</w:t>
      </w:r>
      <w:r w:rsidRPr="000F41A3">
        <w:rPr>
          <w:rFonts w:ascii="Palatino Linotype" w:eastAsia="Palatino Linotype" w:hAnsi="Palatino Linotype" w:cs="Palatino Linotype"/>
          <w:sz w:val="22"/>
          <w:szCs w:val="22"/>
        </w:rPr>
        <w:t xml:space="preserve">, por lo que, es necesario hacer referencia al </w:t>
      </w:r>
      <w:r w:rsidRPr="000F41A3">
        <w:rPr>
          <w:rFonts w:ascii="Palatino Linotype" w:eastAsia="Palatino Linotype" w:hAnsi="Palatino Linotype" w:cs="Palatino Linotype"/>
          <w:b/>
          <w:bCs/>
          <w:sz w:val="22"/>
          <w:szCs w:val="22"/>
        </w:rPr>
        <w:t>procedimiento de búsqueda que deben de seguir los Sujetos Obligados para localizar la información</w:t>
      </w:r>
      <w:r w:rsidRPr="000F41A3">
        <w:rPr>
          <w:rFonts w:ascii="Palatino Linotype" w:eastAsia="Palatino Linotype" w:hAnsi="Palatino Linotype" w:cs="Palatino Linotype"/>
          <w:sz w:val="22"/>
          <w:szCs w:val="22"/>
        </w:rPr>
        <w:t>, el cual se</w:t>
      </w:r>
      <w:r w:rsidRPr="000F41A3">
        <w:t xml:space="preserve"> </w:t>
      </w:r>
      <w:r w:rsidRPr="000F41A3">
        <w:rPr>
          <w:rFonts w:ascii="Palatino Linotype" w:eastAsia="Palatino Linotype" w:hAnsi="Palatino Linotype" w:cs="Palatino Linotype"/>
          <w:sz w:val="22"/>
          <w:szCs w:val="22"/>
        </w:rPr>
        <w:t xml:space="preserve">encuentra previsto en el artículo </w:t>
      </w:r>
      <w:r w:rsidRPr="000F41A3">
        <w:rPr>
          <w:rFonts w:ascii="Palatino Linotype" w:eastAsia="Palatino Linotype" w:hAnsi="Palatino Linotype" w:cs="Palatino Linotype"/>
          <w:sz w:val="22"/>
          <w:szCs w:val="22"/>
        </w:rPr>
        <w:lastRenderedPageBreak/>
        <w:t>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2F27DF02" w14:textId="77777777" w:rsidR="00AA72FD" w:rsidRPr="000F41A3" w:rsidRDefault="00AA72FD" w:rsidP="0069079A">
      <w:pPr>
        <w:widowControl w:val="0"/>
        <w:spacing w:line="360" w:lineRule="auto"/>
        <w:jc w:val="both"/>
        <w:rPr>
          <w:rFonts w:ascii="Palatino Linotype" w:eastAsia="Palatino Linotype" w:hAnsi="Palatino Linotype" w:cs="Palatino Linotype"/>
          <w:sz w:val="22"/>
          <w:szCs w:val="22"/>
        </w:rPr>
      </w:pPr>
    </w:p>
    <w:p w14:paraId="3781A83D" w14:textId="71C26505" w:rsidR="00AA72FD" w:rsidRPr="000F41A3" w:rsidRDefault="00996A27"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De lo anterior, y como se precisó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para conocer respecto de las asistencias de los servidores públicos adscritos al </w:t>
      </w:r>
      <w:r w:rsidR="0069079A" w:rsidRPr="000F41A3">
        <w:rPr>
          <w:rFonts w:ascii="Palatino Linotype" w:eastAsia="Palatino Linotype" w:hAnsi="Palatino Linotype" w:cs="Palatino Linotype"/>
          <w:sz w:val="22"/>
          <w:szCs w:val="22"/>
        </w:rPr>
        <w:t>Sistema Municipal para el Desarrollo Integral de la Familia de Toluca</w:t>
      </w:r>
      <w:r w:rsidRPr="000F41A3">
        <w:rPr>
          <w:rFonts w:ascii="Palatino Linotype" w:eastAsia="Palatino Linotype" w:hAnsi="Palatino Linotype" w:cs="Palatino Linotype"/>
          <w:sz w:val="22"/>
          <w:szCs w:val="22"/>
        </w:rPr>
        <w:t>.</w:t>
      </w:r>
    </w:p>
    <w:p w14:paraId="2BDB5DD9" w14:textId="77777777" w:rsidR="00902634" w:rsidRPr="000F41A3" w:rsidRDefault="00902634" w:rsidP="0069079A">
      <w:pPr>
        <w:widowControl w:val="0"/>
        <w:spacing w:line="360" w:lineRule="auto"/>
        <w:jc w:val="both"/>
        <w:rPr>
          <w:rFonts w:ascii="Palatino Linotype" w:eastAsia="Palatino Linotype" w:hAnsi="Palatino Linotype" w:cs="Palatino Linotype"/>
          <w:sz w:val="22"/>
          <w:szCs w:val="22"/>
        </w:rPr>
      </w:pPr>
    </w:p>
    <w:p w14:paraId="78D48D2F" w14:textId="592A4BF0" w:rsidR="00902634" w:rsidRPr="000F41A3" w:rsidRDefault="00902634"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Ahora bien, en respuesta dicha área señalo que la información objeto de la solicitud, se encuentra publicada en el artículo 92, fracción XX denominada “Normatividad Labora “del Sistema de Información Pública de Oficio Mexiquense (IPOMEX) de este Sujeto Obligado, la cual puede ser consultada a través de una liga la cual se logra vislumbrar fue proporcionada en formato cerrado.</w:t>
      </w:r>
    </w:p>
    <w:p w14:paraId="604EB5B0" w14:textId="77777777" w:rsidR="007C78EE" w:rsidRPr="000F41A3" w:rsidRDefault="007C78EE" w:rsidP="0069079A">
      <w:pPr>
        <w:widowControl w:val="0"/>
        <w:spacing w:line="360" w:lineRule="auto"/>
        <w:jc w:val="both"/>
        <w:rPr>
          <w:rFonts w:ascii="Palatino Linotype" w:eastAsia="Palatino Linotype" w:hAnsi="Palatino Linotype" w:cs="Palatino Linotype"/>
          <w:sz w:val="22"/>
          <w:szCs w:val="22"/>
        </w:rPr>
      </w:pPr>
    </w:p>
    <w:p w14:paraId="126F88E4" w14:textId="3006C2B0" w:rsidR="007C78EE" w:rsidRPr="000F41A3" w:rsidRDefault="007C78EE"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Sobre el tema, Trujillo, Humberto (2019), en el “Diccionario de Transparencia y Acceso a la Información Pública” (p. 136 y 137), precisa que cuando un Sujeto Obligado proporciona información pública de manera electrónica es necesario garantizar su interoperabilidad, lo</w:t>
      </w:r>
      <w:r w:rsidRPr="000F41A3">
        <w:t xml:space="preserve"> </w:t>
      </w:r>
      <w:r w:rsidRPr="000F41A3">
        <w:rPr>
          <w:rFonts w:ascii="Palatino Linotype" w:eastAsia="Palatino Linotype" w:hAnsi="Palatino Linotype" w:cs="Palatino Linotype"/>
          <w:sz w:val="22"/>
          <w:szCs w:val="22"/>
        </w:rPr>
        <w:t>cual se traduce al hecho a que la información contenga datos en formatos y estándares abiertos para su reproducción y reutilización electrónica de manera libre y sin ninguna restricción.</w:t>
      </w:r>
    </w:p>
    <w:p w14:paraId="41A67126" w14:textId="77777777" w:rsidR="0069079A" w:rsidRPr="000F41A3" w:rsidRDefault="0069079A" w:rsidP="0069079A">
      <w:pPr>
        <w:widowControl w:val="0"/>
        <w:spacing w:line="360" w:lineRule="auto"/>
        <w:jc w:val="both"/>
        <w:rPr>
          <w:rFonts w:ascii="Palatino Linotype" w:eastAsia="Palatino Linotype" w:hAnsi="Palatino Linotype" w:cs="Palatino Linotype"/>
          <w:sz w:val="22"/>
          <w:szCs w:val="22"/>
        </w:rPr>
      </w:pPr>
    </w:p>
    <w:p w14:paraId="3B62EB39" w14:textId="51DCA886" w:rsidR="007C78EE" w:rsidRPr="000F41A3" w:rsidRDefault="00D51474"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lastRenderedPageBreak/>
        <w:t>Asimismo, establece que al proporcionar información pública es necesario que sea en un formato que no tenga ninguna restricción en el acceso o reutilización, por lo que, es necesario que los datos digitales (como ligas electrónicas), se proporcionen en un formato abierto. 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E93AAEB" w14:textId="77777777" w:rsidR="00D51474" w:rsidRPr="000F41A3" w:rsidRDefault="00D51474" w:rsidP="0069079A">
      <w:pPr>
        <w:widowControl w:val="0"/>
        <w:spacing w:line="360" w:lineRule="auto"/>
        <w:jc w:val="both"/>
        <w:rPr>
          <w:rFonts w:ascii="Palatino Linotype" w:eastAsia="Palatino Linotype" w:hAnsi="Palatino Linotype" w:cs="Palatino Linotype"/>
          <w:sz w:val="22"/>
          <w:szCs w:val="22"/>
        </w:rPr>
      </w:pPr>
    </w:p>
    <w:p w14:paraId="3EB69FEC" w14:textId="7E168816" w:rsidR="00D51474" w:rsidRPr="000F41A3" w:rsidRDefault="00B768A1" w:rsidP="0069079A">
      <w:pPr>
        <w:pStyle w:val="Prrafodelista"/>
        <w:widowControl w:val="0"/>
        <w:numPr>
          <w:ilvl w:val="0"/>
          <w:numId w:val="6"/>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b/>
          <w:bCs/>
          <w:sz w:val="22"/>
          <w:szCs w:val="22"/>
        </w:rPr>
        <w:t>Dato abierto</w:t>
      </w:r>
      <w:r w:rsidRPr="000F41A3">
        <w:rPr>
          <w:rFonts w:ascii="Palatino Linotype" w:eastAsia="Palatino Linotype" w:hAnsi="Palatino Linotype" w:cs="Palatino Linotype"/>
          <w:sz w:val="22"/>
          <w:szCs w:val="22"/>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6FEA149" w14:textId="77777777" w:rsidR="00B768A1" w:rsidRPr="000F41A3" w:rsidRDefault="00B768A1" w:rsidP="0069079A">
      <w:pPr>
        <w:widowControl w:val="0"/>
        <w:spacing w:line="360" w:lineRule="auto"/>
        <w:jc w:val="both"/>
        <w:rPr>
          <w:rFonts w:ascii="Palatino Linotype" w:eastAsia="Palatino Linotype" w:hAnsi="Palatino Linotype" w:cs="Palatino Linotype"/>
          <w:sz w:val="22"/>
          <w:szCs w:val="22"/>
        </w:rPr>
      </w:pPr>
    </w:p>
    <w:p w14:paraId="088C57D2" w14:textId="47556B3F" w:rsidR="00B768A1" w:rsidRPr="000F41A3" w:rsidRDefault="00B768A1" w:rsidP="0069079A">
      <w:pPr>
        <w:pStyle w:val="Prrafodelista"/>
        <w:widowControl w:val="0"/>
        <w:numPr>
          <w:ilvl w:val="0"/>
          <w:numId w:val="6"/>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b/>
          <w:bCs/>
          <w:sz w:val="22"/>
          <w:szCs w:val="22"/>
        </w:rPr>
        <w:t>Formato accesible:</w:t>
      </w:r>
      <w:r w:rsidRPr="000F41A3">
        <w:rPr>
          <w:rFonts w:ascii="Palatino Linotype" w:eastAsia="Palatino Linotype" w:hAnsi="Palatino Linotype" w:cs="Palatino Linotype"/>
          <w:sz w:val="22"/>
          <w:szCs w:val="22"/>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78A1278" w14:textId="77777777" w:rsidR="00784204" w:rsidRPr="000F41A3" w:rsidRDefault="00784204" w:rsidP="0069079A">
      <w:pPr>
        <w:widowControl w:val="0"/>
        <w:spacing w:line="360" w:lineRule="auto"/>
        <w:jc w:val="both"/>
        <w:rPr>
          <w:rFonts w:ascii="Palatino Linotype" w:eastAsia="Palatino Linotype" w:hAnsi="Palatino Linotype" w:cs="Palatino Linotype"/>
          <w:sz w:val="22"/>
          <w:szCs w:val="22"/>
        </w:rPr>
      </w:pPr>
    </w:p>
    <w:p w14:paraId="5F89820D" w14:textId="6DCD13C1" w:rsidR="007C78EE" w:rsidRPr="000F41A3" w:rsidRDefault="00784204"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7BF3A158" w14:textId="77777777" w:rsidR="00784204" w:rsidRPr="000F41A3" w:rsidRDefault="00784204" w:rsidP="0069079A">
      <w:pPr>
        <w:widowControl w:val="0"/>
        <w:spacing w:line="360" w:lineRule="auto"/>
        <w:jc w:val="both"/>
        <w:rPr>
          <w:rFonts w:ascii="Palatino Linotype" w:eastAsia="Palatino Linotype" w:hAnsi="Palatino Linotype" w:cs="Palatino Linotype"/>
          <w:sz w:val="22"/>
          <w:szCs w:val="22"/>
        </w:rPr>
      </w:pPr>
    </w:p>
    <w:p w14:paraId="22CF65E9" w14:textId="10B6FB17" w:rsidR="00784204" w:rsidRPr="000F41A3" w:rsidRDefault="00742662"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Al respecto, el artículo 161 de la Ley de Transparencia y Acceso a la Información Pública del Estado de México y Municipios, establece que cuando la documentación peticionada ya se </w:t>
      </w:r>
      <w:r w:rsidRPr="000F41A3">
        <w:rPr>
          <w:rFonts w:ascii="Palatino Linotype" w:eastAsia="Palatino Linotype" w:hAnsi="Palatino Linotype" w:cs="Palatino Linotype"/>
          <w:sz w:val="22"/>
          <w:szCs w:val="22"/>
        </w:rPr>
        <w:lastRenderedPageBreak/>
        <w:t>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96AC096" w14:textId="77777777" w:rsidR="007C78EE" w:rsidRPr="000F41A3" w:rsidRDefault="007C78EE" w:rsidP="0069079A">
      <w:pPr>
        <w:widowControl w:val="0"/>
        <w:spacing w:line="360" w:lineRule="auto"/>
        <w:jc w:val="both"/>
        <w:rPr>
          <w:rFonts w:ascii="Palatino Linotype" w:eastAsia="Palatino Linotype" w:hAnsi="Palatino Linotype" w:cs="Palatino Linotype"/>
          <w:sz w:val="22"/>
          <w:szCs w:val="22"/>
        </w:rPr>
      </w:pPr>
    </w:p>
    <w:p w14:paraId="493FDAD4" w14:textId="2963358C" w:rsidR="007C78EE" w:rsidRPr="000F41A3" w:rsidRDefault="00742662" w:rsidP="0069079A">
      <w:pPr>
        <w:widowControl w:val="0"/>
        <w:spacing w:line="360" w:lineRule="auto"/>
        <w:jc w:val="both"/>
        <w:rPr>
          <w:rFonts w:ascii="Palatino Linotype" w:eastAsia="Palatino Linotype" w:hAnsi="Palatino Linotype" w:cs="Palatino Linotype"/>
          <w:b/>
          <w:bCs/>
          <w:sz w:val="22"/>
          <w:szCs w:val="22"/>
        </w:rPr>
      </w:pPr>
      <w:r w:rsidRPr="000F41A3">
        <w:rPr>
          <w:rFonts w:ascii="Palatino Linotype" w:eastAsia="Palatino Linotype" w:hAnsi="Palatino Linotype" w:cs="Palatino Linotype"/>
          <w:sz w:val="22"/>
          <w:szCs w:val="22"/>
        </w:rPr>
        <w:t xml:space="preserve">Como se logra observar, el Sujeto Obligado si bien señaló una página electrónica, omitió proporcionarlas en formato abierto, lo cual implica la dificultad de acceder a la misma, pues se traduce al hecho de que el Particular tendría que colocar cada dígito alfanumérico, y cuya equivocación implicaría no acceder a la información contenida en las mismas, además de señalar que la información contenida en el apartado de “Normatividad Laboral” no da cuenta de la información solicitada, pues el mismo contiene el marco jurídico aplicable  para regular las relación laboral del Sujeto Obligado y los servidores públicos y no así de la información solicitada,  pues la pretensión del Particular versa en obtener los documentos donde consten las inasistencias de los servidores públicos del </w:t>
      </w:r>
      <w:r w:rsidR="0069079A" w:rsidRPr="000F41A3">
        <w:rPr>
          <w:rFonts w:ascii="Palatino Linotype" w:eastAsia="Palatino Linotype" w:hAnsi="Palatino Linotype" w:cs="Palatino Linotype"/>
          <w:sz w:val="22"/>
          <w:szCs w:val="22"/>
        </w:rPr>
        <w:t>Sistema Municipal para el Desarrollo Integral de la Familia de Toluca</w:t>
      </w:r>
      <w:r w:rsidRPr="000F41A3">
        <w:rPr>
          <w:rFonts w:ascii="Palatino Linotype" w:eastAsia="Palatino Linotype" w:hAnsi="Palatino Linotype" w:cs="Palatino Linotype"/>
          <w:sz w:val="22"/>
          <w:szCs w:val="22"/>
        </w:rPr>
        <w:t xml:space="preserve"> con el documento de justificación de la falta, por lo que, se advierte que el Ente Recurrido no dio acceso a la información requerida</w:t>
      </w:r>
      <w:r w:rsidR="003B1C79" w:rsidRPr="000F41A3">
        <w:rPr>
          <w:rFonts w:ascii="Palatino Linotype" w:eastAsia="Palatino Linotype" w:hAnsi="Palatino Linotype" w:cs="Palatino Linotype"/>
          <w:sz w:val="22"/>
          <w:szCs w:val="22"/>
        </w:rPr>
        <w:t xml:space="preserve">, lo cual da como resultado que el agravio sea </w:t>
      </w:r>
      <w:r w:rsidR="003B1C79" w:rsidRPr="000F41A3">
        <w:rPr>
          <w:rFonts w:ascii="Palatino Linotype" w:eastAsia="Palatino Linotype" w:hAnsi="Palatino Linotype" w:cs="Palatino Linotype"/>
          <w:b/>
          <w:bCs/>
          <w:sz w:val="22"/>
          <w:szCs w:val="22"/>
        </w:rPr>
        <w:t>FUNDADO.</w:t>
      </w:r>
    </w:p>
    <w:p w14:paraId="7EC460A2" w14:textId="77777777" w:rsidR="00742662" w:rsidRPr="000F41A3" w:rsidRDefault="00742662" w:rsidP="0069079A">
      <w:pPr>
        <w:widowControl w:val="0"/>
        <w:spacing w:line="360" w:lineRule="auto"/>
        <w:jc w:val="both"/>
        <w:rPr>
          <w:rFonts w:ascii="Palatino Linotype" w:eastAsia="Palatino Linotype" w:hAnsi="Palatino Linotype" w:cs="Palatino Linotype"/>
          <w:sz w:val="22"/>
          <w:szCs w:val="22"/>
        </w:rPr>
      </w:pPr>
    </w:p>
    <w:p w14:paraId="24C86386" w14:textId="14E2514C" w:rsidR="00742662" w:rsidRPr="000F41A3" w:rsidRDefault="002B1DEE"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Por lo que, en el presente caso, se considera que el Sujeto Obligado deberá proporcionar los documentos donde consten las inasistencias de los servidores públicos del </w:t>
      </w:r>
      <w:r w:rsidR="0069079A" w:rsidRPr="000F41A3">
        <w:rPr>
          <w:rFonts w:ascii="Palatino Linotype" w:eastAsia="Palatino Linotype" w:hAnsi="Palatino Linotype" w:cs="Palatino Linotype"/>
          <w:sz w:val="22"/>
          <w:szCs w:val="22"/>
        </w:rPr>
        <w:t>Sistema Municipal para el Desarrollo Integral de la Familia de Toluca</w:t>
      </w:r>
      <w:r w:rsidR="000B6F7D" w:rsidRPr="000F41A3">
        <w:rPr>
          <w:rFonts w:ascii="Palatino Linotype" w:eastAsia="Palatino Linotype" w:hAnsi="Palatino Linotype" w:cs="Palatino Linotype"/>
          <w:sz w:val="22"/>
          <w:szCs w:val="22"/>
        </w:rPr>
        <w:t>,</w:t>
      </w:r>
      <w:r w:rsidRPr="000F41A3">
        <w:rPr>
          <w:rFonts w:ascii="Palatino Linotype" w:eastAsia="Palatino Linotype" w:hAnsi="Palatino Linotype" w:cs="Palatino Linotype"/>
          <w:sz w:val="22"/>
          <w:szCs w:val="22"/>
        </w:rPr>
        <w:t xml:space="preserve"> con el documento de justificación de </w:t>
      </w:r>
      <w:r w:rsidR="00B94045" w:rsidRPr="000F41A3">
        <w:rPr>
          <w:rFonts w:ascii="Palatino Linotype" w:eastAsia="Palatino Linotype" w:hAnsi="Palatino Linotype" w:cs="Palatino Linotype"/>
          <w:sz w:val="22"/>
          <w:szCs w:val="22"/>
        </w:rPr>
        <w:t>las faltas</w:t>
      </w:r>
      <w:r w:rsidR="000B6F7D" w:rsidRPr="000F41A3">
        <w:rPr>
          <w:rFonts w:ascii="Palatino Linotype" w:eastAsia="Palatino Linotype" w:hAnsi="Palatino Linotype" w:cs="Palatino Linotype"/>
          <w:sz w:val="22"/>
          <w:szCs w:val="22"/>
        </w:rPr>
        <w:t>.</w:t>
      </w:r>
    </w:p>
    <w:p w14:paraId="48D6025C" w14:textId="77777777" w:rsidR="00D23AB1" w:rsidRPr="000F41A3" w:rsidRDefault="00D23AB1" w:rsidP="0069079A">
      <w:pPr>
        <w:widowControl w:val="0"/>
        <w:spacing w:line="360" w:lineRule="auto"/>
        <w:jc w:val="both"/>
        <w:rPr>
          <w:rFonts w:ascii="Palatino Linotype" w:eastAsia="Palatino Linotype" w:hAnsi="Palatino Linotype" w:cs="Palatino Linotype"/>
          <w:sz w:val="22"/>
          <w:szCs w:val="22"/>
        </w:rPr>
      </w:pPr>
    </w:p>
    <w:p w14:paraId="1877227C" w14:textId="6AFF96B2" w:rsidR="00D23AB1" w:rsidRPr="000F41A3" w:rsidRDefault="00D23AB1"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Dicha determinación, toma sustento en el artículo 12 de la Ley de la materia, los sujetos obligados sólo están constreñidos a proporcionar la información pública que obre en sus archivos, en el estado en que esta se encuentre; por lo que, la entrega no comprende el </w:t>
      </w:r>
      <w:r w:rsidRPr="000F41A3">
        <w:rPr>
          <w:rFonts w:ascii="Palatino Linotype" w:eastAsia="Palatino Linotype" w:hAnsi="Palatino Linotype" w:cs="Palatino Linotype"/>
          <w:sz w:val="22"/>
          <w:szCs w:val="22"/>
        </w:rPr>
        <w:lastRenderedPageBreak/>
        <w:t>procesamiento de la misma, ni presentarla conforme al interés del solicitante, además, que tampoco deberá generarla, resumirla, efectuar cálculos o practicar investigaciones.</w:t>
      </w:r>
    </w:p>
    <w:p w14:paraId="77937A89" w14:textId="77777777" w:rsidR="00D23AB1" w:rsidRPr="000F41A3" w:rsidRDefault="00D23AB1" w:rsidP="0069079A">
      <w:pPr>
        <w:widowControl w:val="0"/>
        <w:spacing w:line="360" w:lineRule="auto"/>
        <w:jc w:val="both"/>
        <w:rPr>
          <w:rFonts w:ascii="Palatino Linotype" w:eastAsia="Palatino Linotype" w:hAnsi="Palatino Linotype" w:cs="Palatino Linotype"/>
          <w:sz w:val="22"/>
          <w:szCs w:val="22"/>
        </w:rPr>
      </w:pPr>
    </w:p>
    <w:p w14:paraId="37923672" w14:textId="56F9AD48" w:rsidR="00D23AB1" w:rsidRPr="000F41A3" w:rsidRDefault="00D23AB1"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31DDCCBE" w14:textId="77777777"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p>
    <w:p w14:paraId="21537566" w14:textId="7C2DD5FB" w:rsidR="00B94045" w:rsidRPr="000F41A3" w:rsidRDefault="00B94045" w:rsidP="00B94045">
      <w:pPr>
        <w:spacing w:after="160" w:line="360" w:lineRule="auto"/>
        <w:contextualSpacing/>
        <w:jc w:val="both"/>
        <w:rPr>
          <w:rFonts w:ascii="Palatino Linotype" w:hAnsi="Palatino Linotype" w:cs="Tahoma"/>
          <w:iCs/>
          <w:sz w:val="22"/>
          <w:szCs w:val="22"/>
          <w:lang w:val="es-ES"/>
        </w:rPr>
      </w:pPr>
      <w:r w:rsidRPr="000F41A3">
        <w:rPr>
          <w:rFonts w:ascii="Palatino Linotype" w:hAnsi="Palatino Linotype" w:cs="Tahoma"/>
          <w:iCs/>
          <w:sz w:val="22"/>
          <w:szCs w:val="22"/>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los documentos donde conste la información peticionada, pues al entregar los documentos donde conste la inasistencia, y en su caso, la justificación, contienen la fecha y motivo, datos solicitados.</w:t>
      </w:r>
    </w:p>
    <w:p w14:paraId="3414C793" w14:textId="77777777" w:rsidR="00B94045" w:rsidRPr="000F41A3" w:rsidRDefault="00B94045" w:rsidP="00B94045">
      <w:pPr>
        <w:spacing w:after="160" w:line="360" w:lineRule="auto"/>
        <w:contextualSpacing/>
        <w:jc w:val="both"/>
        <w:rPr>
          <w:rFonts w:ascii="Palatino Linotype" w:hAnsi="Palatino Linotype" w:cs="Tahoma"/>
          <w:iCs/>
          <w:sz w:val="22"/>
          <w:szCs w:val="22"/>
          <w:lang w:val="es-ES"/>
        </w:rPr>
      </w:pPr>
    </w:p>
    <w:p w14:paraId="548644AF" w14:textId="2F950ECE" w:rsidR="00B94045" w:rsidRPr="000F41A3" w:rsidRDefault="00B94045" w:rsidP="00B94045">
      <w:pPr>
        <w:spacing w:after="160" w:line="360" w:lineRule="auto"/>
        <w:contextualSpacing/>
        <w:jc w:val="both"/>
        <w:rPr>
          <w:rFonts w:ascii="Palatino Linotype" w:hAnsi="Palatino Linotype" w:cs="Tahoma"/>
          <w:sz w:val="22"/>
          <w:szCs w:val="22"/>
        </w:rPr>
      </w:pPr>
      <w:r w:rsidRPr="000F41A3">
        <w:rPr>
          <w:rFonts w:ascii="Palatino Linotype" w:hAnsi="Palatino Linotype" w:cs="Tahoma"/>
          <w:iCs/>
          <w:sz w:val="22"/>
          <w:szCs w:val="22"/>
          <w:lang w:val="es-ES"/>
        </w:rPr>
        <w:t xml:space="preserve">Ahora bien, para el caso de que no cuente con el documento </w:t>
      </w:r>
      <w:r w:rsidRPr="000F41A3">
        <w:rPr>
          <w:rFonts w:ascii="Palatino Linotype" w:hAnsi="Palatino Linotype" w:cs="Tahoma"/>
          <w:iCs/>
          <w:sz w:val="22"/>
          <w:szCs w:val="22"/>
        </w:rPr>
        <w:t>justificatorio</w:t>
      </w:r>
      <w:r w:rsidRPr="000F41A3">
        <w:rPr>
          <w:rFonts w:ascii="Palatino Linotype" w:hAnsi="Palatino Linotype" w:cs="Tahoma"/>
          <w:iCs/>
          <w:sz w:val="22"/>
          <w:szCs w:val="22"/>
          <w:lang w:val="es-ES"/>
        </w:rPr>
        <w:t xml:space="preserve">, al ser una falta injustificada, deberá hacerlo del conocimiento de la parte Recurrente, de manera clara y precisa, en términos del artículo 19, párrafo segundo de la Ley de Transparencia y Acceso a la Información Pública del Estado de México y Municipios. </w:t>
      </w:r>
    </w:p>
    <w:p w14:paraId="484B0229" w14:textId="77777777" w:rsidR="00B94045" w:rsidRPr="000F41A3" w:rsidRDefault="00B94045" w:rsidP="0069079A">
      <w:pPr>
        <w:widowControl w:val="0"/>
        <w:spacing w:line="360" w:lineRule="auto"/>
        <w:jc w:val="both"/>
        <w:rPr>
          <w:rFonts w:ascii="Palatino Linotype" w:eastAsia="Palatino Linotype" w:hAnsi="Palatino Linotype" w:cs="Palatino Linotype"/>
          <w:sz w:val="22"/>
          <w:szCs w:val="22"/>
        </w:rPr>
      </w:pPr>
    </w:p>
    <w:p w14:paraId="01D5AC6C" w14:textId="77777777"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Por otra parte, resulta necesario precisar que los documentos que dan cuenta de lo solicitado, pueden contar datos personales, tales como los siguientes: </w:t>
      </w:r>
    </w:p>
    <w:p w14:paraId="42C43FDC" w14:textId="77777777"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p>
    <w:p w14:paraId="6600F064" w14:textId="7841A544" w:rsidR="000B6F7D" w:rsidRPr="000F41A3" w:rsidRDefault="000B6F7D" w:rsidP="0069079A">
      <w:pPr>
        <w:pStyle w:val="Prrafodelista"/>
        <w:widowControl w:val="0"/>
        <w:numPr>
          <w:ilvl w:val="0"/>
          <w:numId w:val="7"/>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Motivos personales, y</w:t>
      </w:r>
    </w:p>
    <w:p w14:paraId="35A24B85" w14:textId="50C60646" w:rsidR="00874159" w:rsidRPr="000F41A3" w:rsidRDefault="000B6F7D" w:rsidP="0069079A">
      <w:pPr>
        <w:pStyle w:val="Prrafodelista"/>
        <w:widowControl w:val="0"/>
        <w:numPr>
          <w:ilvl w:val="0"/>
          <w:numId w:val="7"/>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Motivos de salud</w:t>
      </w:r>
      <w:r w:rsidR="00874159" w:rsidRPr="000F41A3">
        <w:rPr>
          <w:rFonts w:ascii="Palatino Linotype" w:eastAsia="Palatino Linotype" w:hAnsi="Palatino Linotype" w:cs="Palatino Linotype"/>
          <w:sz w:val="22"/>
          <w:szCs w:val="22"/>
        </w:rPr>
        <w:t>.</w:t>
      </w:r>
    </w:p>
    <w:p w14:paraId="28250D84" w14:textId="77777777"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p>
    <w:p w14:paraId="3E749DAC" w14:textId="7DAD379A"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Así, se procede analizar si dicha información es confidencial o pública; en principio, cabe mencionar que el artículo 143, fracción I, de la Ley de Transparencia Local, establece que la información privada y los datos personales, concernientes a una persona física o jurídica colectiva identificada o identificable son confidenciales.</w:t>
      </w:r>
    </w:p>
    <w:p w14:paraId="79CF9242" w14:textId="77777777"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p>
    <w:p w14:paraId="27FD83A3" w14:textId="04D08B46"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Asimismo, el artículo 145 de la Ley de Transparencia y Acceso a la Información Pública del Estado de México y Municipios, prevé que para que los Sujetos Obligados puedan permitir el</w:t>
      </w:r>
    </w:p>
    <w:p w14:paraId="580F5DD4" w14:textId="23F1643D"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5F98731" w14:textId="77777777" w:rsidR="00874159" w:rsidRPr="000F41A3" w:rsidRDefault="00874159" w:rsidP="0069079A">
      <w:pPr>
        <w:widowControl w:val="0"/>
        <w:spacing w:line="360" w:lineRule="auto"/>
        <w:jc w:val="both"/>
        <w:rPr>
          <w:rFonts w:ascii="Palatino Linotype" w:eastAsia="Palatino Linotype" w:hAnsi="Palatino Linotype" w:cs="Palatino Linotype"/>
          <w:sz w:val="22"/>
          <w:szCs w:val="22"/>
        </w:rPr>
      </w:pPr>
    </w:p>
    <w:p w14:paraId="311E0ADC" w14:textId="2A9A5553" w:rsidR="00874159" w:rsidRPr="000F41A3" w:rsidRDefault="00A2748F"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03963EE8" w14:textId="77777777" w:rsidR="00A2748F" w:rsidRPr="000F41A3" w:rsidRDefault="00A2748F" w:rsidP="0069079A">
      <w:pPr>
        <w:widowControl w:val="0"/>
        <w:spacing w:line="360" w:lineRule="auto"/>
        <w:jc w:val="both"/>
        <w:rPr>
          <w:rFonts w:ascii="Palatino Linotype" w:eastAsia="Palatino Linotype" w:hAnsi="Palatino Linotype" w:cs="Palatino Linotype"/>
          <w:sz w:val="22"/>
          <w:szCs w:val="22"/>
        </w:rPr>
      </w:pPr>
    </w:p>
    <w:p w14:paraId="415AFAF9" w14:textId="77777777" w:rsidR="00D10C3E" w:rsidRPr="000F41A3" w:rsidRDefault="00D10C3E" w:rsidP="0069079A">
      <w:pPr>
        <w:pStyle w:val="Prrafodelista"/>
        <w:widowControl w:val="0"/>
        <w:numPr>
          <w:ilvl w:val="0"/>
          <w:numId w:val="8"/>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04A99A58" w14:textId="47090D95" w:rsidR="00A2748F" w:rsidRPr="000F41A3" w:rsidRDefault="00D10C3E" w:rsidP="0069079A">
      <w:pPr>
        <w:pStyle w:val="Prrafodelista"/>
        <w:widowControl w:val="0"/>
        <w:numPr>
          <w:ilvl w:val="0"/>
          <w:numId w:val="8"/>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Para la difusión de los datos, se requiera el consentimiento del titular</w:t>
      </w:r>
    </w:p>
    <w:p w14:paraId="62F55116" w14:textId="77777777" w:rsidR="00D10C3E" w:rsidRPr="000F41A3" w:rsidRDefault="00D10C3E" w:rsidP="0069079A">
      <w:pPr>
        <w:pStyle w:val="Prrafodelista"/>
        <w:spacing w:line="360" w:lineRule="auto"/>
        <w:rPr>
          <w:rFonts w:ascii="Palatino Linotype" w:eastAsia="Palatino Linotype" w:hAnsi="Palatino Linotype" w:cs="Palatino Linotype"/>
          <w:sz w:val="22"/>
          <w:szCs w:val="22"/>
        </w:rPr>
      </w:pPr>
    </w:p>
    <w:p w14:paraId="455EDA9B" w14:textId="38C67A7B" w:rsidR="00D10C3E" w:rsidRPr="000F41A3" w:rsidRDefault="00D10C3E"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0F41A3">
        <w:rPr>
          <w:rFonts w:ascii="Palatino Linotype" w:eastAsia="Palatino Linotype" w:hAnsi="Palatino Linotype" w:cs="Palatino Linotype"/>
          <w:sz w:val="22"/>
          <w:szCs w:val="22"/>
        </w:rPr>
        <w:lastRenderedPageBreak/>
        <w:t>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03DA0906" w14:textId="77777777" w:rsidR="00D10C3E" w:rsidRPr="000F41A3" w:rsidRDefault="00D10C3E" w:rsidP="0069079A">
      <w:pPr>
        <w:widowControl w:val="0"/>
        <w:spacing w:line="360" w:lineRule="auto"/>
        <w:jc w:val="both"/>
        <w:rPr>
          <w:rFonts w:ascii="Palatino Linotype" w:eastAsia="Palatino Linotype" w:hAnsi="Palatino Linotype" w:cs="Palatino Linotype"/>
          <w:sz w:val="22"/>
          <w:szCs w:val="22"/>
        </w:rPr>
      </w:pPr>
    </w:p>
    <w:p w14:paraId="28C54EAA" w14:textId="76B4D01E" w:rsidR="00D10C3E" w:rsidRPr="000F41A3" w:rsidRDefault="00D10C3E"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Bajo ese contexto, se analizarán si los datos mencionados, deben ser considerados confidenciales, en términos del artículo 143, fracción I, de la Ley de Transparencia y Acceso a la Información Pública del Estado de México y Municipios, o públicos.</w:t>
      </w:r>
    </w:p>
    <w:p w14:paraId="791A9B8F" w14:textId="77777777" w:rsidR="003B1C79" w:rsidRPr="000F41A3" w:rsidRDefault="003B1C79" w:rsidP="0069079A">
      <w:pPr>
        <w:widowControl w:val="0"/>
        <w:spacing w:line="360" w:lineRule="auto"/>
        <w:jc w:val="both"/>
        <w:rPr>
          <w:rFonts w:ascii="Palatino Linotype" w:eastAsia="Palatino Linotype" w:hAnsi="Palatino Linotype" w:cs="Palatino Linotype"/>
          <w:sz w:val="22"/>
          <w:szCs w:val="22"/>
        </w:rPr>
      </w:pPr>
    </w:p>
    <w:p w14:paraId="67D6CF8B" w14:textId="22256FDE" w:rsidR="002871A5" w:rsidRPr="000F41A3" w:rsidRDefault="000B6F7D" w:rsidP="0069079A">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0F41A3">
        <w:rPr>
          <w:rFonts w:ascii="Palatino Linotype" w:eastAsia="Palatino Linotype" w:hAnsi="Palatino Linotype" w:cs="Palatino Linotype"/>
          <w:b/>
          <w:bCs/>
          <w:sz w:val="22"/>
          <w:szCs w:val="22"/>
        </w:rPr>
        <w:t>Motivos de salud</w:t>
      </w:r>
    </w:p>
    <w:p w14:paraId="645C056E" w14:textId="77777777" w:rsidR="00B94045" w:rsidRPr="000F41A3" w:rsidRDefault="00B94045" w:rsidP="0069079A">
      <w:pPr>
        <w:widowControl w:val="0"/>
        <w:spacing w:line="360" w:lineRule="auto"/>
        <w:jc w:val="both"/>
        <w:rPr>
          <w:rFonts w:ascii="Palatino Linotype" w:eastAsia="Palatino Linotype" w:hAnsi="Palatino Linotype" w:cs="Palatino Linotype"/>
          <w:b/>
          <w:bCs/>
          <w:sz w:val="22"/>
          <w:szCs w:val="22"/>
        </w:rPr>
      </w:pPr>
    </w:p>
    <w:p w14:paraId="6F306D01" w14:textId="10E8E245" w:rsidR="002871A5" w:rsidRPr="000F41A3" w:rsidRDefault="002871A5" w:rsidP="0069079A">
      <w:pPr>
        <w:widowControl w:val="0"/>
        <w:spacing w:line="360" w:lineRule="auto"/>
        <w:jc w:val="both"/>
        <w:rPr>
          <w:rFonts w:ascii="Palatino Linotype" w:eastAsia="Palatino Linotype" w:hAnsi="Palatino Linotype" w:cs="Palatino Linotype"/>
          <w:b/>
          <w:bCs/>
          <w:sz w:val="22"/>
          <w:szCs w:val="22"/>
        </w:rPr>
      </w:pPr>
      <w:r w:rsidRPr="000F41A3">
        <w:rPr>
          <w:rFonts w:ascii="Palatino Linotype" w:eastAsia="Palatino Linotype" w:hAnsi="Palatino Linotype" w:cs="Palatino Linotype"/>
          <w:sz w:val="22"/>
          <w:szCs w:val="22"/>
        </w:rPr>
        <w:t xml:space="preserve">Al respecto, es de señalar que dichos datos corresponden a la enfermedad o situación específica que presentó el servidor público para que </w:t>
      </w:r>
      <w:r w:rsidR="000B6F7D" w:rsidRPr="000F41A3">
        <w:rPr>
          <w:rFonts w:ascii="Palatino Linotype" w:eastAsia="Palatino Linotype" w:hAnsi="Palatino Linotype" w:cs="Palatino Linotype"/>
          <w:sz w:val="22"/>
          <w:szCs w:val="22"/>
        </w:rPr>
        <w:t>faltara o tuviera inasistencia</w:t>
      </w:r>
      <w:r w:rsidRPr="000F41A3">
        <w:rPr>
          <w:rFonts w:ascii="Palatino Linotype" w:eastAsia="Palatino Linotype" w:hAnsi="Palatino Linotype" w:cs="Palatino Linotype"/>
          <w:sz w:val="22"/>
          <w:szCs w:val="22"/>
        </w:rPr>
        <w:t xml:space="preserve">, es decir, que estos datos dan cuenta del </w:t>
      </w:r>
      <w:r w:rsidRPr="000F41A3">
        <w:rPr>
          <w:rFonts w:ascii="Palatino Linotype" w:eastAsia="Palatino Linotype" w:hAnsi="Palatino Linotype" w:cs="Palatino Linotype"/>
          <w:b/>
          <w:bCs/>
          <w:sz w:val="22"/>
          <w:szCs w:val="22"/>
        </w:rPr>
        <w:t>estado de salud de una persona.</w:t>
      </w:r>
    </w:p>
    <w:p w14:paraId="67075FFE" w14:textId="77777777" w:rsidR="002871A5" w:rsidRPr="000F41A3" w:rsidRDefault="002871A5" w:rsidP="0069079A">
      <w:pPr>
        <w:widowControl w:val="0"/>
        <w:spacing w:line="360" w:lineRule="auto"/>
        <w:jc w:val="both"/>
        <w:rPr>
          <w:rFonts w:ascii="Palatino Linotype" w:eastAsia="Palatino Linotype" w:hAnsi="Palatino Linotype" w:cs="Palatino Linotype"/>
          <w:b/>
          <w:bCs/>
          <w:sz w:val="22"/>
          <w:szCs w:val="22"/>
        </w:rPr>
      </w:pPr>
    </w:p>
    <w:p w14:paraId="42D6DC18" w14:textId="25A43A8C"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En ese orden de ideas, el artículo 4°, fracciones IX y X, de la Ley General de Protección de Datos Personales en Posesión de Sujetos Obligados y 4°, fracciones XI y XII, de la Ley de Protección de Datos Personales en Posesión de Sujetos Obligados del Estado de México y Municipios, establecen lo siguiente:</w:t>
      </w:r>
    </w:p>
    <w:p w14:paraId="482630A1"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p>
    <w:p w14:paraId="373D9F8C" w14:textId="77777777" w:rsidR="002871A5" w:rsidRPr="000F41A3" w:rsidRDefault="002871A5" w:rsidP="0069079A">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b/>
          <w:bCs/>
          <w:sz w:val="22"/>
          <w:szCs w:val="22"/>
        </w:rPr>
        <w:t>Datos Personales:</w:t>
      </w:r>
      <w:r w:rsidRPr="000F41A3">
        <w:rPr>
          <w:rFonts w:ascii="Palatino Linotype" w:eastAsia="Palatino Linotype" w:hAnsi="Palatino Linotype" w:cs="Palatino Linotype"/>
          <w:sz w:val="22"/>
          <w:szCs w:val="22"/>
        </w:rPr>
        <w:t xml:space="preserve"> Son cualquier información concerniente a una persona física identificada o identificable, y </w:t>
      </w:r>
    </w:p>
    <w:p w14:paraId="3D3A69C4"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p>
    <w:p w14:paraId="1CD36165" w14:textId="36D8FBA3" w:rsidR="002871A5" w:rsidRPr="000F41A3" w:rsidRDefault="002871A5" w:rsidP="0069079A">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b/>
          <w:bCs/>
          <w:sz w:val="22"/>
          <w:szCs w:val="22"/>
        </w:rPr>
        <w:t>Datos Personales Sensibles:</w:t>
      </w:r>
      <w:r w:rsidRPr="000F41A3">
        <w:rPr>
          <w:rFonts w:ascii="Palatino Linotype" w:eastAsia="Palatino Linotype" w:hAnsi="Palatino Linotype" w:cs="Palatino Linotype"/>
          <w:sz w:val="22"/>
          <w:szCs w:val="22"/>
        </w:rPr>
        <w:t xml:space="preserve"> Son aquellos que refieran a la esfera más íntima de su titular y cuya utilización indebida pueda dar origen a discriminación o un riesgo grave para su titular, entre los cuales se encuentran aquellos que puedan revelar aspectos </w:t>
      </w:r>
      <w:r w:rsidRPr="000F41A3">
        <w:rPr>
          <w:rFonts w:ascii="Palatino Linotype" w:eastAsia="Palatino Linotype" w:hAnsi="Palatino Linotype" w:cs="Palatino Linotype"/>
          <w:sz w:val="22"/>
          <w:szCs w:val="22"/>
        </w:rPr>
        <w:lastRenderedPageBreak/>
        <w:t>como origen racial o étnico, estado de salud, información genética, creencias religiosas, filosóficas y morales, opiniones políticas y preferencia sexual.</w:t>
      </w:r>
    </w:p>
    <w:p w14:paraId="43163CF4" w14:textId="77777777" w:rsidR="002871A5" w:rsidRPr="000F41A3" w:rsidRDefault="002871A5" w:rsidP="0069079A">
      <w:pPr>
        <w:pStyle w:val="Prrafodelista"/>
        <w:spacing w:line="360" w:lineRule="auto"/>
        <w:rPr>
          <w:rFonts w:ascii="Palatino Linotype" w:eastAsia="Palatino Linotype" w:hAnsi="Palatino Linotype" w:cs="Palatino Linotype"/>
          <w:sz w:val="22"/>
          <w:szCs w:val="22"/>
        </w:rPr>
      </w:pPr>
    </w:p>
    <w:p w14:paraId="4911988D" w14:textId="3B8F564A"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En ese contexto, Davara, Isabel; Barco, Gregorio, Barco; y Cervantes, Alexis (2019), en el “Diccionario de Protección de Datos Personales Conceptos Fundamentales” (p. 226), precisan que </w:t>
      </w:r>
      <w:r w:rsidRPr="000F41A3">
        <w:rPr>
          <w:rFonts w:ascii="Palatino Linotype" w:eastAsia="Palatino Linotype" w:hAnsi="Palatino Linotype" w:cs="Palatino Linotype"/>
          <w:b/>
          <w:bCs/>
          <w:sz w:val="22"/>
          <w:szCs w:val="22"/>
        </w:rPr>
        <w:t>los datos relativos a la salud son datos personales de carácter sensible,</w:t>
      </w:r>
      <w:r w:rsidRPr="000F41A3">
        <w:rPr>
          <w:rFonts w:ascii="Palatino Linotype" w:eastAsia="Palatino Linotype" w:hAnsi="Palatino Linotype" w:cs="Palatino Linotype"/>
          <w:sz w:val="22"/>
          <w:szCs w:val="22"/>
        </w:rPr>
        <w:t xml:space="preserve"> en tanto a que refieren al estado de salud física o mental de un individuo, y que se conforma entre otros, por lo siguientes:</w:t>
      </w:r>
    </w:p>
    <w:p w14:paraId="23033F76"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p>
    <w:p w14:paraId="642761FD" w14:textId="77777777" w:rsidR="002871A5" w:rsidRPr="000F41A3" w:rsidRDefault="002871A5" w:rsidP="0069079A">
      <w:pPr>
        <w:pStyle w:val="Prrafodelista"/>
        <w:widowControl w:val="0"/>
        <w:numPr>
          <w:ilvl w:val="0"/>
          <w:numId w:val="10"/>
        </w:numPr>
        <w:spacing w:line="360" w:lineRule="auto"/>
        <w:jc w:val="both"/>
        <w:rPr>
          <w:rFonts w:ascii="Palatino Linotype" w:hAnsi="Palatino Linotype"/>
          <w:sz w:val="22"/>
          <w:szCs w:val="22"/>
        </w:rPr>
      </w:pPr>
      <w:r w:rsidRPr="000F41A3">
        <w:rPr>
          <w:rFonts w:ascii="Palatino Linotype" w:hAnsi="Palatino Linotype"/>
          <w:sz w:val="22"/>
          <w:szCs w:val="22"/>
        </w:rPr>
        <w:t xml:space="preserve">Números, símbolos o datos asignados a una persona física identificable que la identifique de manera unívoca a efectos sanitarios; </w:t>
      </w:r>
    </w:p>
    <w:p w14:paraId="66CB048A" w14:textId="77777777" w:rsidR="002871A5" w:rsidRPr="000F41A3" w:rsidRDefault="002871A5" w:rsidP="0069079A">
      <w:pPr>
        <w:widowControl w:val="0"/>
        <w:spacing w:line="360" w:lineRule="auto"/>
        <w:jc w:val="both"/>
        <w:rPr>
          <w:rFonts w:ascii="Palatino Linotype" w:hAnsi="Palatino Linotype"/>
          <w:sz w:val="22"/>
          <w:szCs w:val="22"/>
        </w:rPr>
      </w:pPr>
    </w:p>
    <w:p w14:paraId="60690B84" w14:textId="7C9B2442" w:rsidR="002871A5" w:rsidRPr="000F41A3" w:rsidRDefault="002871A5" w:rsidP="0069079A">
      <w:pPr>
        <w:pStyle w:val="Prrafodelista"/>
        <w:widowControl w:val="0"/>
        <w:numPr>
          <w:ilvl w:val="0"/>
          <w:numId w:val="10"/>
        </w:numPr>
        <w:spacing w:line="360" w:lineRule="auto"/>
        <w:jc w:val="both"/>
        <w:rPr>
          <w:rFonts w:ascii="Palatino Linotype" w:hAnsi="Palatino Linotype"/>
          <w:sz w:val="22"/>
          <w:szCs w:val="22"/>
        </w:rPr>
      </w:pPr>
      <w:r w:rsidRPr="000F41A3">
        <w:rPr>
          <w:rFonts w:ascii="Palatino Linotype" w:hAnsi="Palatino Linotype"/>
          <w:sz w:val="22"/>
          <w:szCs w:val="22"/>
        </w:rPr>
        <w:t>La información obtenida de pruebas o exámenes de una parte del cuerpo o sustancia corporal, y</w:t>
      </w:r>
    </w:p>
    <w:p w14:paraId="433C5524" w14:textId="77777777" w:rsidR="002871A5" w:rsidRPr="000F41A3" w:rsidRDefault="002871A5" w:rsidP="0069079A">
      <w:pPr>
        <w:widowControl w:val="0"/>
        <w:spacing w:line="360" w:lineRule="auto"/>
        <w:jc w:val="both"/>
        <w:rPr>
          <w:rFonts w:ascii="Palatino Linotype" w:hAnsi="Palatino Linotype"/>
          <w:sz w:val="22"/>
          <w:szCs w:val="22"/>
        </w:rPr>
      </w:pPr>
    </w:p>
    <w:p w14:paraId="79F7AD02" w14:textId="5469FFA4" w:rsidR="002871A5" w:rsidRPr="000F41A3" w:rsidRDefault="002871A5" w:rsidP="0069079A">
      <w:pPr>
        <w:pStyle w:val="Prrafodelista"/>
        <w:widowControl w:val="0"/>
        <w:numPr>
          <w:ilvl w:val="0"/>
          <w:numId w:val="10"/>
        </w:numPr>
        <w:spacing w:line="360" w:lineRule="auto"/>
        <w:jc w:val="both"/>
        <w:rPr>
          <w:rFonts w:ascii="Palatino Linotype" w:eastAsia="Palatino Linotype" w:hAnsi="Palatino Linotype" w:cs="Palatino Linotype"/>
          <w:sz w:val="22"/>
          <w:szCs w:val="22"/>
        </w:rPr>
      </w:pPr>
      <w:r w:rsidRPr="000F41A3">
        <w:rPr>
          <w:rFonts w:ascii="Palatino Linotype" w:hAnsi="Palatino Linotype"/>
          <w:sz w:val="22"/>
          <w:szCs w:val="22"/>
        </w:rPr>
        <w:t>La información relativa a una enfermedad, una discapacidad, el riesgo de padecer enfermedades, el historial médico, el tratamiento clínico o el estado fisiológico o biomédico del interesado</w:t>
      </w:r>
    </w:p>
    <w:p w14:paraId="70032DCB" w14:textId="77777777" w:rsidR="002871A5" w:rsidRPr="000F41A3" w:rsidRDefault="002871A5" w:rsidP="0069079A">
      <w:pPr>
        <w:pStyle w:val="Prrafodelista"/>
        <w:widowControl w:val="0"/>
        <w:spacing w:line="360" w:lineRule="auto"/>
        <w:jc w:val="both"/>
        <w:rPr>
          <w:rFonts w:ascii="Palatino Linotype" w:eastAsia="Palatino Linotype" w:hAnsi="Palatino Linotype" w:cs="Palatino Linotype"/>
          <w:sz w:val="22"/>
          <w:szCs w:val="22"/>
        </w:rPr>
      </w:pPr>
    </w:p>
    <w:p w14:paraId="5C1DEE5F" w14:textId="22C573EC"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Situación que toma relevancia, púes el apartado ¿Qué son los datos personales?, de la página oficial de este Instituto (consultada en la liga </w:t>
      </w:r>
      <w:hyperlink r:id="rId9" w:history="1">
        <w:r w:rsidRPr="000F41A3">
          <w:rPr>
            <w:rStyle w:val="Hipervnculo"/>
            <w:rFonts w:ascii="Palatino Linotype" w:eastAsia="Palatino Linotype" w:hAnsi="Palatino Linotype" w:cs="Palatino Linotype"/>
            <w:sz w:val="22"/>
            <w:szCs w:val="22"/>
          </w:rPr>
          <w:t>https://www.infoem.org.mx/es/contenido/datospersonales</w:t>
        </w:r>
      </w:hyperlink>
      <w:r w:rsidRPr="000F41A3">
        <w:rPr>
          <w:rFonts w:ascii="Palatino Linotype" w:eastAsia="Palatino Linotype" w:hAnsi="Palatino Linotype" w:cs="Palatino Linotype"/>
          <w:sz w:val="22"/>
          <w:szCs w:val="22"/>
        </w:rPr>
        <w:t xml:space="preserve"> , el diecinueve de febrero de dos mil veinticinco), reafirma como una categoría de datos personales sensibles los concernientes a la salud de una persona, los cuales se conforman de aquellos datos relacionados con el estado físico o mental, cualquier atención médica, expediente clínico, diagnósticos, padecimientos, vacunas, intervenciones quirúrgicas, incapacidades médicas, discapacidades, uso de aparatos </w:t>
      </w:r>
      <w:r w:rsidRPr="000F41A3">
        <w:rPr>
          <w:rFonts w:ascii="Palatino Linotype" w:eastAsia="Palatino Linotype" w:hAnsi="Palatino Linotype" w:cs="Palatino Linotype"/>
          <w:sz w:val="22"/>
          <w:szCs w:val="22"/>
        </w:rPr>
        <w:lastRenderedPageBreak/>
        <w:t>oftalmológicos, ortopédicos, auditivos o prótesis, consumo de sustancias tóxicas y estupefacientes, sintomatologías o análogos.</w:t>
      </w:r>
    </w:p>
    <w:p w14:paraId="042F71E7"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p>
    <w:p w14:paraId="13F90CCF" w14:textId="607B327C"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Como se logra observar cualquier información o dato que se relacione con el estado de salud de una persona, como lo es </w:t>
      </w:r>
      <w:r w:rsidR="000B6F7D" w:rsidRPr="000F41A3">
        <w:rPr>
          <w:rFonts w:ascii="Palatino Linotype" w:eastAsia="Palatino Linotype" w:hAnsi="Palatino Linotype" w:cs="Palatino Linotype"/>
          <w:sz w:val="22"/>
          <w:szCs w:val="22"/>
        </w:rPr>
        <w:t>un motivo de falta</w:t>
      </w:r>
      <w:r w:rsidRPr="000F41A3">
        <w:rPr>
          <w:rFonts w:ascii="Palatino Linotype" w:eastAsia="Palatino Linotype" w:hAnsi="Palatino Linotype" w:cs="Palatino Linotype"/>
          <w:sz w:val="22"/>
          <w:szCs w:val="22"/>
        </w:rPr>
        <w:t xml:space="preserve">, se considera un dato personal sensible, pues da cuenta del estado de salud físico o mental del titular, lo cual está íntimamente relacionado con su vida privada e íntima y, por lo tanto, actualiza la causal de clasificación, establecida en el artículo 143, fracción I, de la Ley de Transparencia y Acceso a la Información Pública del Estado de México y Municipios. </w:t>
      </w:r>
    </w:p>
    <w:p w14:paraId="2227BE63" w14:textId="77777777" w:rsidR="000B6F7D" w:rsidRPr="000F41A3" w:rsidRDefault="000B6F7D" w:rsidP="0069079A">
      <w:pPr>
        <w:widowControl w:val="0"/>
        <w:spacing w:line="360" w:lineRule="auto"/>
        <w:jc w:val="both"/>
        <w:rPr>
          <w:rFonts w:ascii="Palatino Linotype" w:eastAsia="Palatino Linotype" w:hAnsi="Palatino Linotype" w:cs="Palatino Linotype"/>
          <w:sz w:val="22"/>
          <w:szCs w:val="22"/>
        </w:rPr>
      </w:pPr>
    </w:p>
    <w:p w14:paraId="2DDB41D4" w14:textId="6E4EA7D6" w:rsidR="00041245" w:rsidRPr="000F41A3" w:rsidRDefault="00041245" w:rsidP="00041245">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0F41A3">
        <w:rPr>
          <w:rFonts w:ascii="Palatino Linotype" w:eastAsia="Palatino Linotype" w:hAnsi="Palatino Linotype" w:cs="Palatino Linotype"/>
          <w:b/>
          <w:bCs/>
          <w:sz w:val="22"/>
          <w:szCs w:val="22"/>
        </w:rPr>
        <w:t>Motivos personales</w:t>
      </w:r>
    </w:p>
    <w:p w14:paraId="61F25475" w14:textId="7436A148" w:rsidR="00041245" w:rsidRPr="000F41A3" w:rsidRDefault="00041245" w:rsidP="0069079A">
      <w:pPr>
        <w:widowControl w:val="0"/>
        <w:spacing w:line="360" w:lineRule="auto"/>
        <w:jc w:val="both"/>
        <w:rPr>
          <w:rFonts w:ascii="Palatino Linotype" w:eastAsia="Palatino Linotype" w:hAnsi="Palatino Linotype" w:cs="Palatino Linotype"/>
          <w:sz w:val="22"/>
          <w:szCs w:val="22"/>
        </w:rPr>
      </w:pPr>
    </w:p>
    <w:p w14:paraId="5549CEE4" w14:textId="660803FB" w:rsidR="00041245" w:rsidRPr="000F41A3" w:rsidRDefault="00041245" w:rsidP="00041245">
      <w:pPr>
        <w:spacing w:line="360" w:lineRule="auto"/>
        <w:ind w:right="49"/>
        <w:jc w:val="both"/>
        <w:rPr>
          <w:rFonts w:ascii="Palatino Linotype" w:eastAsia="Calibri" w:hAnsi="Palatino Linotype" w:cs="Arial"/>
          <w:color w:val="000000"/>
          <w:sz w:val="22"/>
          <w:szCs w:val="22"/>
          <w:lang w:eastAsia="en-US"/>
        </w:rPr>
      </w:pPr>
      <w:r w:rsidRPr="000F41A3">
        <w:rPr>
          <w:rFonts w:ascii="Palatino Linotype" w:eastAsia="Calibri" w:hAnsi="Palatino Linotype" w:cs="Arial"/>
          <w:color w:val="000000"/>
          <w:sz w:val="22"/>
          <w:szCs w:val="22"/>
          <w:lang w:eastAsia="en-US"/>
        </w:rPr>
        <w:t xml:space="preserve">Sobre el tema, es necesario señalar que existen motivos de faltas como pudiera ser fallecimiento o enfermedades de familiares, realización de trámites, entre otros; sobre el tema, cabe mencionar que en la fracción II, del artículo 6 de la Constitución Política de los Estados Unidos Mexicanos se prevé que </w:t>
      </w:r>
      <w:r w:rsidRPr="000F41A3">
        <w:rPr>
          <w:rFonts w:ascii="Palatino Linotype" w:eastAsia="Calibri" w:hAnsi="Palatino Linotype" w:cs="Arial"/>
          <w:b/>
          <w:color w:val="000000"/>
          <w:sz w:val="22"/>
          <w:szCs w:val="22"/>
          <w:lang w:eastAsia="en-US"/>
        </w:rPr>
        <w:t xml:space="preserve">la información que se refiere a la vida privada </w:t>
      </w:r>
      <w:r w:rsidRPr="000F41A3">
        <w:rPr>
          <w:rFonts w:ascii="Palatino Linotype" w:eastAsia="Calibri" w:hAnsi="Palatino Linotype" w:cs="Arial"/>
          <w:color w:val="000000"/>
          <w:sz w:val="22"/>
          <w:szCs w:val="22"/>
          <w:lang w:eastAsia="en-US"/>
        </w:rPr>
        <w:t xml:space="preserve">y los datos personales, será protegida en los términos y con las excepciones que fijen las leyes. </w:t>
      </w:r>
    </w:p>
    <w:p w14:paraId="0B92DF8A" w14:textId="77777777" w:rsidR="00041245" w:rsidRPr="000F41A3" w:rsidRDefault="00041245" w:rsidP="00041245">
      <w:pPr>
        <w:spacing w:line="360" w:lineRule="auto"/>
        <w:ind w:right="49"/>
        <w:jc w:val="both"/>
        <w:rPr>
          <w:rFonts w:ascii="Palatino Linotype" w:eastAsia="Calibri" w:hAnsi="Palatino Linotype" w:cs="Arial"/>
          <w:color w:val="000000"/>
          <w:sz w:val="22"/>
          <w:szCs w:val="22"/>
          <w:lang w:eastAsia="en-US"/>
        </w:rPr>
      </w:pPr>
    </w:p>
    <w:p w14:paraId="1C967B64" w14:textId="77777777" w:rsidR="00041245" w:rsidRPr="000F41A3" w:rsidRDefault="00041245" w:rsidP="00041245">
      <w:pPr>
        <w:spacing w:line="360" w:lineRule="auto"/>
        <w:ind w:right="49"/>
        <w:jc w:val="both"/>
        <w:rPr>
          <w:rFonts w:ascii="Palatino Linotype" w:eastAsia="Calibri" w:hAnsi="Palatino Linotype" w:cs="Arial"/>
          <w:color w:val="000000"/>
          <w:sz w:val="22"/>
          <w:szCs w:val="22"/>
          <w:lang w:eastAsia="en-US"/>
        </w:rPr>
      </w:pPr>
      <w:r w:rsidRPr="000F41A3">
        <w:rPr>
          <w:rFonts w:ascii="Palatino Linotype" w:eastAsia="Calibri" w:hAnsi="Palatino Linotype" w:cs="Arial"/>
          <w:bCs/>
          <w:color w:val="000000"/>
          <w:sz w:val="22"/>
          <w:szCs w:val="22"/>
          <w:lang w:eastAsia="en-US"/>
        </w:rPr>
        <w:t xml:space="preserve">Igualmente, el segundo párrafo del artículo 16 de la </w:t>
      </w:r>
      <w:r w:rsidRPr="000F41A3">
        <w:rPr>
          <w:rFonts w:ascii="Palatino Linotype" w:eastAsia="Calibri" w:hAnsi="Palatino Linotype" w:cs="Arial"/>
          <w:color w:val="000000"/>
          <w:sz w:val="22"/>
          <w:szCs w:val="22"/>
          <w:lang w:eastAsia="en-US"/>
        </w:rPr>
        <w:t xml:space="preserve">Carta Magna </w:t>
      </w:r>
      <w:r w:rsidRPr="000F41A3">
        <w:rPr>
          <w:rFonts w:ascii="Palatino Linotype" w:eastAsia="Calibri" w:hAnsi="Palatino Linotype" w:cs="Arial"/>
          <w:bCs/>
          <w:color w:val="000000"/>
          <w:sz w:val="22"/>
          <w:szCs w:val="22"/>
          <w:lang w:eastAsia="en-US"/>
        </w:rPr>
        <w:t>dispone que t</w:t>
      </w:r>
      <w:r w:rsidRPr="000F41A3">
        <w:rPr>
          <w:rFonts w:ascii="Palatino Linotype" w:eastAsia="Calibri" w:hAnsi="Palatino Linotype" w:cs="Arial"/>
          <w:color w:val="000000"/>
          <w:sz w:val="22"/>
          <w:szCs w:val="22"/>
          <w:lang w:eastAsia="en-US"/>
        </w:rPr>
        <w: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4085F07" w14:textId="77777777" w:rsidR="00041245" w:rsidRPr="000F41A3" w:rsidRDefault="00041245" w:rsidP="00041245">
      <w:pPr>
        <w:spacing w:line="360" w:lineRule="auto"/>
        <w:jc w:val="both"/>
        <w:rPr>
          <w:rFonts w:ascii="Palatino Linotype" w:eastAsia="Calibri" w:hAnsi="Palatino Linotype" w:cs="Arial"/>
          <w:color w:val="000000"/>
          <w:sz w:val="22"/>
          <w:szCs w:val="22"/>
          <w:lang w:eastAsia="en-US"/>
        </w:rPr>
      </w:pPr>
    </w:p>
    <w:p w14:paraId="6032761E" w14:textId="77777777" w:rsidR="00041245" w:rsidRPr="000F41A3" w:rsidRDefault="00041245" w:rsidP="00041245">
      <w:pPr>
        <w:spacing w:line="360" w:lineRule="auto"/>
        <w:jc w:val="both"/>
        <w:rPr>
          <w:rFonts w:ascii="Palatino Linotype" w:eastAsia="Calibri" w:hAnsi="Palatino Linotype" w:cs="Arial"/>
          <w:bCs/>
          <w:color w:val="000000"/>
          <w:sz w:val="22"/>
          <w:szCs w:val="22"/>
          <w:lang w:eastAsia="en-US"/>
        </w:rPr>
      </w:pPr>
      <w:r w:rsidRPr="000F41A3">
        <w:rPr>
          <w:rFonts w:ascii="Palatino Linotype" w:eastAsia="Calibri" w:hAnsi="Palatino Linotype" w:cs="Arial"/>
          <w:bCs/>
          <w:color w:val="000000"/>
          <w:sz w:val="22"/>
          <w:szCs w:val="22"/>
          <w:lang w:eastAsia="en-US"/>
        </w:rPr>
        <w:lastRenderedPageBreak/>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p>
    <w:p w14:paraId="0AEA504B" w14:textId="77777777" w:rsidR="00041245" w:rsidRPr="000F41A3" w:rsidRDefault="00041245" w:rsidP="00041245">
      <w:pPr>
        <w:spacing w:line="360" w:lineRule="auto"/>
        <w:jc w:val="both"/>
        <w:rPr>
          <w:rFonts w:ascii="Palatino Linotype" w:eastAsia="Calibri" w:hAnsi="Palatino Linotype" w:cs="Arial"/>
          <w:color w:val="000000"/>
          <w:sz w:val="22"/>
          <w:szCs w:val="22"/>
          <w:lang w:eastAsia="en-US"/>
        </w:rPr>
      </w:pPr>
    </w:p>
    <w:p w14:paraId="5A16F63B" w14:textId="77777777" w:rsidR="00041245" w:rsidRPr="000F41A3" w:rsidRDefault="00041245" w:rsidP="00041245">
      <w:pPr>
        <w:spacing w:line="360" w:lineRule="auto"/>
        <w:jc w:val="both"/>
        <w:rPr>
          <w:rFonts w:ascii="Palatino Linotype" w:eastAsia="Calibri" w:hAnsi="Palatino Linotype" w:cs="Arial"/>
          <w:bCs/>
          <w:color w:val="000000"/>
          <w:sz w:val="22"/>
          <w:szCs w:val="22"/>
          <w:lang w:eastAsia="en-US"/>
        </w:rPr>
      </w:pPr>
      <w:r w:rsidRPr="000F41A3">
        <w:rPr>
          <w:rFonts w:ascii="Palatino Linotype" w:eastAsia="Calibri" w:hAnsi="Palatino Linotype" w:cs="Arial"/>
          <w:bCs/>
          <w:color w:val="000000"/>
          <w:sz w:val="22"/>
          <w:szCs w:val="22"/>
          <w:lang w:eastAsia="en-US"/>
        </w:rPr>
        <w:t>En ese contexto, cabe señalar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3DF11CFC" w14:textId="77777777" w:rsidR="00041245" w:rsidRPr="000F41A3" w:rsidRDefault="00041245" w:rsidP="00041245">
      <w:pPr>
        <w:shd w:val="clear" w:color="auto" w:fill="FFFFFF"/>
        <w:spacing w:line="360" w:lineRule="auto"/>
        <w:jc w:val="both"/>
        <w:rPr>
          <w:rFonts w:ascii="Palatino Linotype" w:eastAsia="Calibri" w:hAnsi="Palatino Linotype" w:cs="Arial"/>
          <w:color w:val="000000"/>
          <w:sz w:val="22"/>
          <w:szCs w:val="22"/>
          <w:lang w:eastAsia="en-US"/>
        </w:rPr>
      </w:pPr>
    </w:p>
    <w:p w14:paraId="65F1CA6F" w14:textId="77777777" w:rsidR="00041245" w:rsidRPr="000F41A3" w:rsidRDefault="00041245" w:rsidP="00041245">
      <w:pPr>
        <w:spacing w:line="360" w:lineRule="auto"/>
        <w:ind w:left="567" w:right="567"/>
        <w:jc w:val="both"/>
        <w:rPr>
          <w:rFonts w:ascii="Palatino Linotype" w:eastAsia="Palatino Linotype" w:hAnsi="Palatino Linotype" w:cs="Palatino Linotype"/>
          <w:i/>
          <w:color w:val="000000" w:themeColor="text1"/>
        </w:rPr>
      </w:pPr>
      <w:r w:rsidRPr="000F41A3">
        <w:rPr>
          <w:rFonts w:ascii="Palatino Linotype" w:eastAsia="Palatino Linotype" w:hAnsi="Palatino Linotype" w:cs="Palatino Linotype"/>
          <w:b/>
          <w:bCs/>
          <w:i/>
          <w:color w:val="000000" w:themeColor="text1"/>
        </w:rPr>
        <w:t>“DERECHO A LA VIDA PRIVADA. SU CONTENIDO GENERAL Y LA IMPORTANCIA DE NO DESCONTEXTUALIZAR LAS REFERENCIAS A LA MISMA.</w:t>
      </w:r>
      <w:r w:rsidRPr="000F41A3">
        <w:rPr>
          <w:rFonts w:ascii="Palatino Linotype" w:eastAsia="Palatino Linotype" w:hAnsi="Palatino Linotype" w:cs="Palatino Linotype"/>
          <w:i/>
          <w:color w:val="000000" w:themeColor="text1"/>
        </w:rPr>
        <w:t xml:space="preserve"> 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w:t>
      </w:r>
      <w:r w:rsidRPr="000F41A3">
        <w:rPr>
          <w:rFonts w:ascii="Palatino Linotype" w:eastAsia="Palatino Linotype" w:hAnsi="Palatino Linotype" w:cs="Palatino Linotype"/>
          <w:i/>
          <w:color w:val="000000" w:themeColor="text1"/>
        </w:rPr>
        <w:lastRenderedPageBreak/>
        <w:t>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En un sentido amplio, entonces, la protección constitucional de la vida privada implica poder conducir parte de la vida de uno protegido de la mirada y las injerencias de los demás,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07EFEAD4" w14:textId="77777777" w:rsidR="00041245" w:rsidRPr="000F41A3" w:rsidRDefault="00041245" w:rsidP="00041245">
      <w:pPr>
        <w:shd w:val="clear" w:color="auto" w:fill="FFFFFF"/>
        <w:autoSpaceDE w:val="0"/>
        <w:autoSpaceDN w:val="0"/>
        <w:adjustRightInd w:val="0"/>
        <w:spacing w:line="360" w:lineRule="auto"/>
        <w:jc w:val="both"/>
        <w:rPr>
          <w:rFonts w:ascii="Palatino Linotype" w:eastAsia="Calibri" w:hAnsi="Palatino Linotype" w:cs="Arial"/>
          <w:color w:val="000000"/>
          <w:sz w:val="22"/>
          <w:szCs w:val="22"/>
          <w:lang w:eastAsia="en-US"/>
        </w:rPr>
      </w:pPr>
    </w:p>
    <w:p w14:paraId="1A108D14" w14:textId="77777777" w:rsidR="00041245" w:rsidRPr="000F41A3" w:rsidRDefault="00041245" w:rsidP="00041245">
      <w:pPr>
        <w:shd w:val="clear" w:color="auto" w:fill="FFFFFF"/>
        <w:autoSpaceDE w:val="0"/>
        <w:autoSpaceDN w:val="0"/>
        <w:adjustRightInd w:val="0"/>
        <w:spacing w:line="360" w:lineRule="auto"/>
        <w:jc w:val="both"/>
        <w:rPr>
          <w:rFonts w:ascii="Palatino Linotype" w:eastAsia="Calibri" w:hAnsi="Palatino Linotype" w:cs="Arial"/>
          <w:b/>
          <w:color w:val="000000"/>
          <w:sz w:val="22"/>
          <w:szCs w:val="22"/>
          <w:lang w:eastAsia="en-US"/>
        </w:rPr>
      </w:pPr>
      <w:r w:rsidRPr="000F41A3">
        <w:rPr>
          <w:rFonts w:ascii="Palatino Linotype" w:eastAsia="Calibri" w:hAnsi="Palatino Linotype" w:cs="Arial"/>
          <w:color w:val="000000"/>
          <w:sz w:val="22"/>
          <w:szCs w:val="22"/>
          <w:lang w:eastAsia="en-US"/>
        </w:rPr>
        <w:t xml:space="preserve">De conformidad con lo señalado, se colige que </w:t>
      </w:r>
      <w:r w:rsidRPr="000F41A3">
        <w:rPr>
          <w:rFonts w:ascii="Palatino Linotype" w:eastAsia="Calibri" w:hAnsi="Palatino Linotype" w:cs="Arial"/>
          <w:b/>
          <w:color w:val="000000"/>
          <w:sz w:val="22"/>
          <w:szCs w:val="22"/>
          <w:lang w:eastAsia="en-US"/>
        </w:rPr>
        <w:t>las actividades que realicen los particulares, dentro del ámbito privado, o dentro de la esfera particular, es información que debe protegerse.</w:t>
      </w:r>
    </w:p>
    <w:p w14:paraId="0800E560" w14:textId="77777777" w:rsidR="00041245" w:rsidRPr="000F41A3" w:rsidRDefault="00041245" w:rsidP="00041245">
      <w:pPr>
        <w:shd w:val="clear" w:color="auto" w:fill="FFFFFF"/>
        <w:autoSpaceDE w:val="0"/>
        <w:autoSpaceDN w:val="0"/>
        <w:adjustRightInd w:val="0"/>
        <w:spacing w:line="360" w:lineRule="auto"/>
        <w:jc w:val="both"/>
        <w:rPr>
          <w:rFonts w:ascii="Palatino Linotype" w:eastAsia="Calibri" w:hAnsi="Palatino Linotype" w:cs="Arial"/>
          <w:b/>
          <w:color w:val="000000"/>
          <w:sz w:val="22"/>
          <w:szCs w:val="22"/>
          <w:lang w:eastAsia="en-US"/>
        </w:rPr>
      </w:pPr>
    </w:p>
    <w:p w14:paraId="256C54B1" w14:textId="77777777" w:rsidR="00041245" w:rsidRPr="000F41A3" w:rsidRDefault="00041245" w:rsidP="00041245">
      <w:pPr>
        <w:spacing w:line="360" w:lineRule="auto"/>
        <w:jc w:val="both"/>
        <w:rPr>
          <w:rFonts w:ascii="Palatino Linotype" w:eastAsia="Calibri" w:hAnsi="Palatino Linotype" w:cs="Arial"/>
          <w:color w:val="000000"/>
          <w:sz w:val="22"/>
          <w:szCs w:val="22"/>
          <w:lang w:eastAsia="en-US"/>
        </w:rPr>
      </w:pPr>
      <w:r w:rsidRPr="000F41A3">
        <w:rPr>
          <w:rFonts w:ascii="Palatino Linotype" w:eastAsia="Calibri" w:hAnsi="Palatino Linotype" w:cs="Arial"/>
          <w:color w:val="000000"/>
          <w:sz w:val="22"/>
          <w:szCs w:val="22"/>
          <w:lang w:eastAsia="en-US"/>
        </w:rPr>
        <w:t xml:space="preserve">En el presente caso, proporcionar el motivo de la renuncia, iría en contra del derecho a la vida privada, pues se daría cuenta de la decisión personal; es decir, un acto de voluntad de dichas personas en ejercicio de sus derechos para dar por terminada una relación laboral, lo cual constituye cuestiones de carácter estrictamente íntimo. </w:t>
      </w:r>
    </w:p>
    <w:p w14:paraId="47F9C259" w14:textId="77777777" w:rsidR="00041245" w:rsidRPr="000F41A3" w:rsidRDefault="00041245" w:rsidP="00041245">
      <w:pPr>
        <w:spacing w:line="360" w:lineRule="auto"/>
        <w:jc w:val="both"/>
        <w:rPr>
          <w:rFonts w:ascii="Palatino Linotype" w:eastAsia="Calibri" w:hAnsi="Palatino Linotype" w:cs="Arial"/>
          <w:color w:val="000000"/>
          <w:sz w:val="22"/>
          <w:szCs w:val="22"/>
          <w:lang w:eastAsia="en-US"/>
        </w:rPr>
      </w:pPr>
    </w:p>
    <w:p w14:paraId="53A1A513" w14:textId="77777777" w:rsidR="00041245" w:rsidRPr="000F41A3" w:rsidRDefault="00041245" w:rsidP="00041245">
      <w:pPr>
        <w:spacing w:line="360" w:lineRule="auto"/>
        <w:jc w:val="both"/>
        <w:rPr>
          <w:rFonts w:ascii="Palatino Linotype" w:eastAsia="Calibri" w:hAnsi="Palatino Linotype" w:cs="Arial"/>
          <w:bCs/>
          <w:iCs/>
          <w:color w:val="000000"/>
          <w:sz w:val="22"/>
          <w:szCs w:val="22"/>
          <w:lang w:eastAsia="en-US"/>
        </w:rPr>
      </w:pPr>
      <w:r w:rsidRPr="000F41A3">
        <w:rPr>
          <w:rFonts w:ascii="Palatino Linotype" w:eastAsia="Calibri" w:hAnsi="Palatino Linotype" w:cs="Arial"/>
          <w:bCs/>
          <w:color w:val="000000"/>
          <w:sz w:val="22"/>
          <w:szCs w:val="22"/>
          <w:lang w:eastAsia="en-US"/>
        </w:rPr>
        <w:t xml:space="preserve">Sobre dicha situación, se trae a colación la tesis aislada número </w:t>
      </w:r>
      <w:r w:rsidRPr="000F41A3">
        <w:rPr>
          <w:rFonts w:ascii="Palatino Linotype" w:eastAsia="Calibri" w:hAnsi="Palatino Linotype" w:cs="Arial"/>
          <w:bCs/>
          <w:iCs/>
          <w:color w:val="000000"/>
          <w:sz w:val="22"/>
          <w:szCs w:val="22"/>
          <w:lang w:eastAsia="en-US"/>
        </w:rPr>
        <w:t>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7B46B472" w14:textId="77777777" w:rsidR="00041245" w:rsidRPr="000F41A3" w:rsidRDefault="00041245" w:rsidP="00041245">
      <w:pPr>
        <w:spacing w:line="360" w:lineRule="auto"/>
        <w:jc w:val="both"/>
        <w:rPr>
          <w:rFonts w:ascii="Palatino Linotype" w:eastAsia="Calibri" w:hAnsi="Palatino Linotype" w:cs="Arial"/>
          <w:bCs/>
          <w:iCs/>
          <w:color w:val="000000"/>
          <w:sz w:val="22"/>
          <w:szCs w:val="22"/>
          <w:lang w:eastAsia="en-US"/>
        </w:rPr>
      </w:pPr>
    </w:p>
    <w:p w14:paraId="628584DB" w14:textId="77777777" w:rsidR="00041245" w:rsidRPr="000F41A3" w:rsidRDefault="00041245" w:rsidP="00041245">
      <w:pPr>
        <w:spacing w:line="360" w:lineRule="auto"/>
        <w:ind w:left="567" w:right="616"/>
        <w:jc w:val="both"/>
        <w:rPr>
          <w:rFonts w:ascii="Palatino Linotype" w:eastAsia="Calibri" w:hAnsi="Palatino Linotype" w:cs="Arial"/>
          <w:bCs/>
          <w:i/>
          <w:iCs/>
          <w:color w:val="000000"/>
          <w:szCs w:val="22"/>
          <w:lang w:eastAsia="en-US"/>
        </w:rPr>
      </w:pPr>
      <w:r w:rsidRPr="000F41A3">
        <w:rPr>
          <w:rFonts w:ascii="Palatino Linotype" w:eastAsia="Calibri" w:hAnsi="Palatino Linotype" w:cs="Arial"/>
          <w:b/>
          <w:bCs/>
          <w:i/>
          <w:iCs/>
          <w:color w:val="000000"/>
          <w:szCs w:val="22"/>
          <w:lang w:eastAsia="en-US"/>
        </w:rPr>
        <w:t xml:space="preserve">“DERECHO A LA PRIVACIDAD O INTIMIDAD. ESTÁ PROTEGIDO POR EL ARTÍCULO 16, PRIMER PÁRRAFO, DE LA CONSTITUCIÓN POLÍTICA DE LOS ESTADOS UNIDOS MEXICANOS. </w:t>
      </w:r>
      <w:r w:rsidRPr="000F41A3">
        <w:rPr>
          <w:rFonts w:ascii="Palatino Linotype" w:eastAsia="Calibri" w:hAnsi="Palatino Linotype" w:cs="Arial"/>
          <w:bCs/>
          <w:i/>
          <w:iCs/>
          <w:color w:val="000000"/>
          <w:szCs w:val="22"/>
          <w:lang w:eastAsia="en-U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3746A0BF" w14:textId="77777777" w:rsidR="00041245" w:rsidRPr="000F41A3" w:rsidRDefault="00041245" w:rsidP="00041245">
      <w:pPr>
        <w:spacing w:line="360" w:lineRule="auto"/>
        <w:ind w:right="-1"/>
        <w:jc w:val="both"/>
        <w:rPr>
          <w:rFonts w:ascii="Palatino Linotype" w:eastAsia="Calibri" w:hAnsi="Palatino Linotype" w:cs="Arial"/>
          <w:bCs/>
          <w:iCs/>
          <w:color w:val="000000"/>
          <w:sz w:val="22"/>
          <w:szCs w:val="22"/>
          <w:lang w:eastAsia="en-US"/>
        </w:rPr>
      </w:pPr>
    </w:p>
    <w:p w14:paraId="2B919B66" w14:textId="77777777" w:rsidR="00041245" w:rsidRPr="000F41A3" w:rsidRDefault="00041245" w:rsidP="00041245">
      <w:pPr>
        <w:spacing w:line="360" w:lineRule="auto"/>
        <w:ind w:right="-1"/>
        <w:jc w:val="both"/>
        <w:rPr>
          <w:rFonts w:ascii="Palatino Linotype" w:eastAsia="Calibri" w:hAnsi="Palatino Linotype" w:cs="Arial"/>
          <w:bCs/>
          <w:iCs/>
          <w:color w:val="000000"/>
          <w:sz w:val="22"/>
          <w:szCs w:val="22"/>
          <w:lang w:eastAsia="en-US"/>
        </w:rPr>
      </w:pPr>
      <w:r w:rsidRPr="000F41A3">
        <w:rPr>
          <w:rFonts w:ascii="Palatino Linotype" w:eastAsia="Calibri" w:hAnsi="Palatino Linotype" w:cs="Arial"/>
          <w:bCs/>
          <w:iCs/>
          <w:color w:val="000000"/>
          <w:sz w:val="22"/>
          <w:szCs w:val="22"/>
          <w:lang w:eastAsia="en-US"/>
        </w:rPr>
        <w:lastRenderedPageBreak/>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0C0373FF" w14:textId="77777777" w:rsidR="00041245" w:rsidRPr="000F41A3" w:rsidRDefault="00041245" w:rsidP="00041245">
      <w:pPr>
        <w:spacing w:line="360" w:lineRule="auto"/>
        <w:ind w:right="-1"/>
        <w:jc w:val="both"/>
        <w:rPr>
          <w:rFonts w:ascii="Palatino Linotype" w:eastAsia="Calibri" w:hAnsi="Palatino Linotype" w:cs="Arial"/>
          <w:b/>
          <w:bCs/>
          <w:iCs/>
          <w:color w:val="000000"/>
          <w:sz w:val="22"/>
          <w:szCs w:val="22"/>
          <w:lang w:eastAsia="en-US"/>
        </w:rPr>
      </w:pPr>
    </w:p>
    <w:p w14:paraId="7B85AC3D" w14:textId="77777777" w:rsidR="00041245" w:rsidRPr="000F41A3" w:rsidRDefault="00041245" w:rsidP="00041245">
      <w:pPr>
        <w:spacing w:line="360" w:lineRule="auto"/>
        <w:ind w:right="-1"/>
        <w:jc w:val="both"/>
        <w:rPr>
          <w:rFonts w:ascii="Palatino Linotype" w:eastAsia="Calibri" w:hAnsi="Palatino Linotype" w:cs="Arial"/>
          <w:b/>
          <w:bCs/>
          <w:iCs/>
          <w:color w:val="000000"/>
          <w:sz w:val="22"/>
          <w:szCs w:val="22"/>
          <w:lang w:eastAsia="en-US"/>
        </w:rPr>
      </w:pPr>
      <w:r w:rsidRPr="000F41A3">
        <w:rPr>
          <w:rFonts w:ascii="Palatino Linotype" w:eastAsia="Calibri" w:hAnsi="Palatino Linotype" w:cs="Arial"/>
          <w:bCs/>
          <w:iCs/>
          <w:color w:val="000000"/>
          <w:sz w:val="22"/>
          <w:szCs w:val="22"/>
          <w:lang w:eastAsia="en-US"/>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0F41A3">
        <w:rPr>
          <w:rFonts w:ascii="Palatino Linotype" w:eastAsia="Calibri" w:hAnsi="Palatino Linotype" w:cs="Arial"/>
          <w:b/>
          <w:bCs/>
          <w:iCs/>
          <w:color w:val="000000"/>
          <w:sz w:val="22"/>
          <w:szCs w:val="22"/>
          <w:lang w:eastAsia="en-US"/>
        </w:rPr>
        <w:t xml:space="preserve">se da el reconocimiento de un derecho a la privacidad de las personas que implica no ser sujeto de intromisiones o molestias en el ámbito reservado de su vida o intimidad. </w:t>
      </w:r>
    </w:p>
    <w:p w14:paraId="522D9F9D" w14:textId="77777777" w:rsidR="00041245" w:rsidRPr="000F41A3" w:rsidRDefault="00041245" w:rsidP="00041245">
      <w:pPr>
        <w:spacing w:line="360" w:lineRule="auto"/>
        <w:jc w:val="both"/>
        <w:rPr>
          <w:rFonts w:ascii="Palatino Linotype" w:eastAsia="Calibri" w:hAnsi="Palatino Linotype" w:cs="Arial"/>
          <w:color w:val="000000"/>
          <w:sz w:val="22"/>
          <w:szCs w:val="22"/>
          <w:lang w:eastAsia="en-US"/>
        </w:rPr>
      </w:pPr>
    </w:p>
    <w:p w14:paraId="3B5122D3" w14:textId="7F5285C2" w:rsidR="00041245" w:rsidRPr="000F41A3" w:rsidRDefault="00041245" w:rsidP="00041245">
      <w:pPr>
        <w:autoSpaceDE w:val="0"/>
        <w:autoSpaceDN w:val="0"/>
        <w:adjustRightInd w:val="0"/>
        <w:spacing w:line="360" w:lineRule="auto"/>
        <w:jc w:val="both"/>
        <w:rPr>
          <w:rFonts w:ascii="Palatino Linotype" w:eastAsia="Batang" w:hAnsi="Palatino Linotype" w:cs="Arial"/>
          <w:b/>
          <w:bCs/>
          <w:iCs/>
          <w:color w:val="000000"/>
          <w:sz w:val="22"/>
          <w:szCs w:val="22"/>
          <w:lang w:eastAsia="en-US"/>
        </w:rPr>
      </w:pPr>
      <w:r w:rsidRPr="000F41A3">
        <w:rPr>
          <w:rFonts w:ascii="Palatino Linotype" w:eastAsia="Batang" w:hAnsi="Palatino Linotype" w:cs="Arial"/>
          <w:color w:val="000000"/>
          <w:sz w:val="22"/>
          <w:szCs w:val="22"/>
          <w:lang w:eastAsia="en-US"/>
        </w:rPr>
        <w:t xml:space="preserve">Por lo tanto, se considera que </w:t>
      </w:r>
      <w:r w:rsidRPr="000F41A3">
        <w:rPr>
          <w:rFonts w:ascii="Palatino Linotype" w:eastAsia="Batang" w:hAnsi="Palatino Linotype" w:cs="Arial"/>
          <w:bCs/>
          <w:iCs/>
          <w:color w:val="000000"/>
          <w:sz w:val="22"/>
          <w:szCs w:val="22"/>
          <w:lang w:eastAsia="en-US"/>
        </w:rPr>
        <w:t>dar a conocer los motivos personales, de inasistencias o faltas, implicaría revelar un aspecto de la vida privada e íntima,</w:t>
      </w:r>
      <w:r w:rsidRPr="000F41A3">
        <w:rPr>
          <w:rFonts w:ascii="Palatino Linotype" w:eastAsia="Batang" w:hAnsi="Palatino Linotype" w:cs="Arial"/>
          <w:b/>
          <w:bCs/>
          <w:iCs/>
          <w:color w:val="000000"/>
          <w:sz w:val="22"/>
          <w:szCs w:val="22"/>
          <w:lang w:eastAsia="en-US"/>
        </w:rPr>
        <w:t xml:space="preserve"> </w:t>
      </w:r>
      <w:r w:rsidRPr="000F41A3">
        <w:rPr>
          <w:rFonts w:ascii="Palatino Linotype" w:eastAsia="Batang" w:hAnsi="Palatino Linotype" w:cs="Arial"/>
          <w:bCs/>
          <w:iCs/>
          <w:color w:val="000000"/>
          <w:sz w:val="22"/>
          <w:szCs w:val="22"/>
          <w:lang w:eastAsia="en-US"/>
        </w:rPr>
        <w:t>es decir,</w:t>
      </w:r>
      <w:r w:rsidRPr="000F41A3">
        <w:rPr>
          <w:rFonts w:ascii="Palatino Linotype" w:eastAsia="Batang" w:hAnsi="Palatino Linotype" w:cs="Arial"/>
          <w:b/>
          <w:bCs/>
          <w:iCs/>
          <w:color w:val="000000"/>
          <w:sz w:val="22"/>
          <w:szCs w:val="22"/>
          <w:lang w:eastAsia="en-US"/>
        </w:rPr>
        <w:t xml:space="preserve"> reflejaría una situación concreta de los servidores públicos en su vida personal, al dar cuenta de las razones de la decisión particular de faltar a las labores; por lo que, se considera información confidencial, en términos del artículo 143, fracción I, de la Ley de Transparencia y Acceso a la Información Pública del Estado de México y Municipios.</w:t>
      </w:r>
    </w:p>
    <w:p w14:paraId="7B28DB33"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p>
    <w:p w14:paraId="45AC08B2"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Así, el Sujeto Obligado deberá elaborar la versión pública respectiva, tomando en consideración lo analizado en la presente resolución;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w:t>
      </w:r>
      <w:r w:rsidRPr="000F41A3">
        <w:rPr>
          <w:rFonts w:ascii="Palatino Linotype" w:eastAsia="Palatino Linotype" w:hAnsi="Palatino Linotype" w:cs="Palatino Linotype"/>
          <w:sz w:val="22"/>
          <w:szCs w:val="22"/>
        </w:rPr>
        <w:lastRenderedPageBreak/>
        <w:t xml:space="preserve">requerimiento informativo, deberá elaborar una versión pública en la que se testen las partes o secciones clasificadas, indicando su contenido de manera genérica y fundando y motivando su clasificación. </w:t>
      </w:r>
    </w:p>
    <w:p w14:paraId="03D3029E" w14:textId="77777777"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p>
    <w:p w14:paraId="1DBD545C" w14:textId="73D66AFB" w:rsidR="002871A5" w:rsidRPr="000F41A3" w:rsidRDefault="002871A5" w:rsidP="0069079A">
      <w:pPr>
        <w:widowControl w:val="0"/>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EF550E4" w14:textId="77777777" w:rsidR="00286EFA" w:rsidRPr="000F41A3" w:rsidRDefault="00286EFA" w:rsidP="0069079A">
      <w:pPr>
        <w:spacing w:line="360" w:lineRule="auto"/>
        <w:ind w:right="-93"/>
        <w:jc w:val="both"/>
        <w:rPr>
          <w:rFonts w:ascii="Palatino Linotype" w:eastAsia="Palatino Linotype" w:hAnsi="Palatino Linotype" w:cs="Palatino Linotype"/>
          <w:color w:val="FF0000"/>
          <w:sz w:val="22"/>
          <w:szCs w:val="22"/>
        </w:rPr>
      </w:pPr>
    </w:p>
    <w:p w14:paraId="442D0502" w14:textId="77777777" w:rsidR="00286EFA" w:rsidRPr="000F41A3" w:rsidRDefault="00FA61F8" w:rsidP="0069079A">
      <w:pPr>
        <w:pStyle w:val="Ttulo1"/>
        <w:spacing w:before="0" w:after="0" w:line="360" w:lineRule="auto"/>
        <w:rPr>
          <w:rFonts w:ascii="Palatino Linotype" w:eastAsia="Palatino Linotype" w:hAnsi="Palatino Linotype"/>
          <w:b/>
          <w:bCs/>
          <w:color w:val="auto"/>
          <w:sz w:val="22"/>
          <w:szCs w:val="22"/>
        </w:rPr>
      </w:pPr>
      <w:bookmarkStart w:id="21" w:name="_Toc191569673"/>
      <w:r w:rsidRPr="000F41A3">
        <w:rPr>
          <w:rFonts w:ascii="Palatino Linotype" w:eastAsia="Palatino Linotype" w:hAnsi="Palatino Linotype"/>
          <w:b/>
          <w:bCs/>
          <w:color w:val="auto"/>
          <w:sz w:val="22"/>
          <w:szCs w:val="22"/>
        </w:rPr>
        <w:t>SEXTO. Decisión</w:t>
      </w:r>
      <w:bookmarkEnd w:id="21"/>
      <w:r w:rsidRPr="000F41A3">
        <w:rPr>
          <w:rFonts w:ascii="Palatino Linotype" w:eastAsia="Palatino Linotype" w:hAnsi="Palatino Linotype"/>
          <w:b/>
          <w:bCs/>
          <w:color w:val="auto"/>
          <w:sz w:val="22"/>
          <w:szCs w:val="22"/>
        </w:rPr>
        <w:t xml:space="preserve"> </w:t>
      </w:r>
    </w:p>
    <w:p w14:paraId="0E25F0D3" w14:textId="77777777" w:rsidR="00286EFA" w:rsidRPr="000F41A3" w:rsidRDefault="00FA61F8" w:rsidP="0069079A">
      <w:pPr>
        <w:spacing w:line="360" w:lineRule="auto"/>
        <w:jc w:val="both"/>
        <w:rPr>
          <w:rFonts w:ascii="Palatino Linotype" w:eastAsia="Palatino Linotype" w:hAnsi="Palatino Linotype" w:cs="Palatino Linotype"/>
          <w:b/>
          <w:sz w:val="22"/>
          <w:szCs w:val="22"/>
        </w:rPr>
      </w:pPr>
      <w:r w:rsidRPr="000F41A3">
        <w:rPr>
          <w:rFonts w:ascii="Palatino Linotype" w:eastAsia="Palatino Linotype" w:hAnsi="Palatino Linotype" w:cs="Palatino Linotype"/>
          <w:b/>
          <w:sz w:val="22"/>
          <w:szCs w:val="22"/>
        </w:rPr>
        <w:t xml:space="preserve"> </w:t>
      </w:r>
    </w:p>
    <w:p w14:paraId="18B93A26" w14:textId="7DCA4E6E" w:rsidR="00996471" w:rsidRPr="000F41A3" w:rsidRDefault="00FA61F8" w:rsidP="0069079A">
      <w:p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De acuerdo con lo expuesto y, con fundamento en el artículo 186, fracción III, de la Ley de Transparencia y Acceso a la Información Pública del Estado de México y Municipios, este Instituto considera procedente </w:t>
      </w:r>
      <w:r w:rsidRPr="000F41A3">
        <w:rPr>
          <w:rFonts w:ascii="Palatino Linotype" w:eastAsia="Palatino Linotype" w:hAnsi="Palatino Linotype" w:cs="Palatino Linotype"/>
          <w:b/>
          <w:sz w:val="22"/>
          <w:szCs w:val="22"/>
        </w:rPr>
        <w:t xml:space="preserve">REVOCAR </w:t>
      </w:r>
      <w:r w:rsidRPr="000F41A3">
        <w:rPr>
          <w:rFonts w:ascii="Palatino Linotype" w:eastAsia="Palatino Linotype" w:hAnsi="Palatino Linotype" w:cs="Palatino Linotype"/>
          <w:sz w:val="22"/>
          <w:szCs w:val="22"/>
        </w:rPr>
        <w:t xml:space="preserve">la respuesta del </w:t>
      </w:r>
      <w:r w:rsidR="0069079A" w:rsidRPr="000F41A3">
        <w:rPr>
          <w:rFonts w:ascii="Palatino Linotype" w:eastAsia="Palatino Linotype" w:hAnsi="Palatino Linotype" w:cs="Palatino Linotype"/>
          <w:sz w:val="22"/>
          <w:szCs w:val="22"/>
        </w:rPr>
        <w:t>Sistema Municipal para el Desarrollo Integral de la Familia de Toluca</w:t>
      </w:r>
      <w:r w:rsidR="00996471" w:rsidRPr="000F41A3">
        <w:rPr>
          <w:rFonts w:ascii="Palatino Linotype" w:eastAsia="Palatino Linotype" w:hAnsi="Palatino Linotype" w:cs="Palatino Linotype"/>
          <w:sz w:val="22"/>
          <w:szCs w:val="22"/>
        </w:rPr>
        <w:t>, a efecto de que, previa búsqueda exhaustiva y razonable en todas las áreas competentes, a efecto de que proporcione la información requerida.</w:t>
      </w:r>
    </w:p>
    <w:p w14:paraId="3ED7C090" w14:textId="77777777" w:rsidR="00286EFA" w:rsidRPr="000F41A3" w:rsidRDefault="00286EFA" w:rsidP="0069079A">
      <w:pPr>
        <w:spacing w:line="360" w:lineRule="auto"/>
        <w:jc w:val="both"/>
        <w:rPr>
          <w:rFonts w:ascii="Palatino Linotype" w:eastAsia="Palatino Linotype" w:hAnsi="Palatino Linotype" w:cs="Palatino Linotype"/>
          <w:sz w:val="22"/>
          <w:szCs w:val="22"/>
        </w:rPr>
      </w:pPr>
    </w:p>
    <w:p w14:paraId="7603272E" w14:textId="3B84C050" w:rsidR="00286EFA" w:rsidRPr="000F41A3" w:rsidRDefault="00FA61F8" w:rsidP="0069079A">
      <w:pPr>
        <w:spacing w:line="360" w:lineRule="auto"/>
        <w:jc w:val="both"/>
        <w:rPr>
          <w:rFonts w:ascii="Palatino Linotype" w:eastAsia="Palatino Linotype" w:hAnsi="Palatino Linotype" w:cs="Palatino Linotype"/>
          <w:b/>
          <w:sz w:val="22"/>
          <w:szCs w:val="22"/>
        </w:rPr>
      </w:pPr>
      <w:r w:rsidRPr="000F41A3">
        <w:rPr>
          <w:rFonts w:ascii="Palatino Linotype" w:eastAsia="Palatino Linotype" w:hAnsi="Palatino Linotype" w:cs="Palatino Linotype"/>
          <w:b/>
          <w:sz w:val="22"/>
          <w:szCs w:val="22"/>
        </w:rPr>
        <w:t>Términos de la Resolución para conocimiento del Particular</w:t>
      </w:r>
    </w:p>
    <w:p w14:paraId="322DDDAE" w14:textId="77777777" w:rsidR="00996471" w:rsidRPr="000F41A3" w:rsidRDefault="00996471" w:rsidP="0069079A">
      <w:pPr>
        <w:spacing w:line="360" w:lineRule="auto"/>
        <w:jc w:val="both"/>
        <w:rPr>
          <w:rFonts w:ascii="Palatino Linotype" w:eastAsia="Palatino Linotype" w:hAnsi="Palatino Linotype" w:cs="Palatino Linotype"/>
          <w:color w:val="FF0000"/>
          <w:sz w:val="22"/>
          <w:szCs w:val="22"/>
        </w:rPr>
      </w:pPr>
    </w:p>
    <w:p w14:paraId="28AD4C7E" w14:textId="12939FD3" w:rsidR="00996471" w:rsidRPr="000F41A3" w:rsidRDefault="00996471" w:rsidP="0069079A">
      <w:p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Se le hace del conocimiento al Particular, que, en el presente caso, se le concede la razón, pues el Sujeto Obligado, remitió una liga en formato cerrado, además de no proporcionar aquella información que diera cuenta de lo solicitado, por lo que, deberá entregar</w:t>
      </w:r>
      <w:r w:rsidR="00B94045" w:rsidRPr="000F41A3">
        <w:rPr>
          <w:rFonts w:ascii="Palatino Linotype" w:eastAsia="Palatino Linotype" w:hAnsi="Palatino Linotype" w:cs="Palatino Linotype"/>
          <w:sz w:val="22"/>
          <w:szCs w:val="22"/>
        </w:rPr>
        <w:t xml:space="preserve"> la información solicitada. </w:t>
      </w:r>
      <w:r w:rsidR="00031A5C" w:rsidRPr="000F41A3">
        <w:rPr>
          <w:rFonts w:ascii="Palatino Linotype" w:eastAsia="Palatino Linotype" w:hAnsi="Palatino Linotype" w:cs="Palatino Linotype"/>
          <w:sz w:val="22"/>
          <w:szCs w:val="22"/>
        </w:rPr>
        <w:t xml:space="preserve">Finalmente, la labor </w:t>
      </w:r>
      <w:r w:rsidR="00B94045" w:rsidRPr="000F41A3">
        <w:rPr>
          <w:rFonts w:ascii="Palatino Linotype" w:eastAsia="Palatino Linotype" w:hAnsi="Palatino Linotype" w:cs="Palatino Linotype"/>
          <w:sz w:val="22"/>
          <w:szCs w:val="22"/>
        </w:rPr>
        <w:t>del</w:t>
      </w:r>
      <w:r w:rsidR="00031A5C" w:rsidRPr="000F41A3">
        <w:rPr>
          <w:rFonts w:ascii="Palatino Linotype" w:eastAsia="Palatino Linotype" w:hAnsi="Palatino Linotype" w:cs="Palatino Linotype"/>
          <w:sz w:val="22"/>
          <w:szCs w:val="22"/>
        </w:rPr>
        <w:t xml:space="preserve"> Instituto, es apoyar a la población a acceder a la información pública y garantizar la protección de los datos personales.</w:t>
      </w:r>
    </w:p>
    <w:p w14:paraId="09B405A7" w14:textId="77777777" w:rsidR="00031A5C" w:rsidRPr="000F41A3" w:rsidRDefault="00031A5C" w:rsidP="0069079A">
      <w:pPr>
        <w:spacing w:line="360" w:lineRule="auto"/>
        <w:jc w:val="both"/>
        <w:rPr>
          <w:rFonts w:ascii="Palatino Linotype" w:eastAsia="Palatino Linotype" w:hAnsi="Palatino Linotype" w:cs="Palatino Linotype"/>
          <w:sz w:val="22"/>
          <w:szCs w:val="22"/>
        </w:rPr>
      </w:pPr>
    </w:p>
    <w:p w14:paraId="46B9BA0F" w14:textId="3C767D2F" w:rsidR="00286EFA" w:rsidRPr="000F41A3" w:rsidRDefault="00FA61F8" w:rsidP="0069079A">
      <w:p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lastRenderedPageBreak/>
        <w:t>Por lo expuesto y fundado, este Pleno:</w:t>
      </w:r>
    </w:p>
    <w:p w14:paraId="5E239EC6" w14:textId="77777777" w:rsidR="00286EFA" w:rsidRPr="000F41A3" w:rsidRDefault="00286EFA" w:rsidP="0069079A">
      <w:pPr>
        <w:pStyle w:val="Ttulo1"/>
        <w:spacing w:before="0" w:after="0" w:line="360" w:lineRule="auto"/>
        <w:jc w:val="center"/>
        <w:rPr>
          <w:rFonts w:ascii="Palatino Linotype" w:eastAsia="Palatino Linotype" w:hAnsi="Palatino Linotype"/>
          <w:b/>
          <w:color w:val="auto"/>
          <w:sz w:val="22"/>
          <w:szCs w:val="22"/>
        </w:rPr>
      </w:pPr>
    </w:p>
    <w:p w14:paraId="178EFD28" w14:textId="77777777" w:rsidR="00286EFA" w:rsidRPr="000F41A3" w:rsidRDefault="00FA61F8" w:rsidP="0069079A">
      <w:pPr>
        <w:pStyle w:val="Ttulo1"/>
        <w:spacing w:before="0" w:after="0" w:line="360" w:lineRule="auto"/>
        <w:jc w:val="center"/>
        <w:rPr>
          <w:rFonts w:ascii="Palatino Linotype" w:eastAsia="Palatino Linotype" w:hAnsi="Palatino Linotype"/>
          <w:b/>
          <w:color w:val="auto"/>
          <w:sz w:val="22"/>
          <w:szCs w:val="22"/>
        </w:rPr>
      </w:pPr>
      <w:bookmarkStart w:id="22" w:name="_Toc191569674"/>
      <w:r w:rsidRPr="000F41A3">
        <w:rPr>
          <w:rFonts w:ascii="Palatino Linotype" w:eastAsia="Palatino Linotype" w:hAnsi="Palatino Linotype"/>
          <w:b/>
          <w:color w:val="auto"/>
          <w:sz w:val="22"/>
          <w:szCs w:val="22"/>
        </w:rPr>
        <w:t>R E S U E L V E</w:t>
      </w:r>
      <w:bookmarkEnd w:id="22"/>
    </w:p>
    <w:p w14:paraId="6392983C" w14:textId="77777777" w:rsidR="00286EFA" w:rsidRPr="000F41A3" w:rsidRDefault="00FA61F8" w:rsidP="0069079A">
      <w:pPr>
        <w:spacing w:line="360" w:lineRule="auto"/>
        <w:jc w:val="both"/>
        <w:rPr>
          <w:rFonts w:ascii="Palatino Linotype" w:eastAsia="Palatino Linotype" w:hAnsi="Palatino Linotype" w:cs="Palatino Linotype"/>
          <w:color w:val="FF0000"/>
          <w:sz w:val="22"/>
          <w:szCs w:val="22"/>
        </w:rPr>
      </w:pPr>
      <w:r w:rsidRPr="000F41A3">
        <w:rPr>
          <w:rFonts w:ascii="Palatino Linotype" w:eastAsia="Palatino Linotype" w:hAnsi="Palatino Linotype" w:cs="Palatino Linotype"/>
          <w:color w:val="FF0000"/>
          <w:sz w:val="22"/>
          <w:szCs w:val="22"/>
        </w:rPr>
        <w:t xml:space="preserve"> </w:t>
      </w:r>
    </w:p>
    <w:p w14:paraId="09E71230" w14:textId="55A7BAB7" w:rsidR="00286EFA" w:rsidRPr="000F41A3" w:rsidRDefault="00FA61F8" w:rsidP="0069079A">
      <w:p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b/>
          <w:sz w:val="22"/>
          <w:szCs w:val="22"/>
        </w:rPr>
        <w:t xml:space="preserve">PRIMERO. </w:t>
      </w:r>
      <w:r w:rsidRPr="000F41A3">
        <w:rPr>
          <w:rFonts w:ascii="Palatino Linotype" w:eastAsia="Palatino Linotype" w:hAnsi="Palatino Linotype" w:cs="Palatino Linotype"/>
          <w:sz w:val="22"/>
          <w:szCs w:val="22"/>
        </w:rPr>
        <w:t xml:space="preserve">Se </w:t>
      </w:r>
      <w:r w:rsidRPr="000F41A3">
        <w:rPr>
          <w:rFonts w:ascii="Palatino Linotype" w:eastAsia="Palatino Linotype" w:hAnsi="Palatino Linotype" w:cs="Palatino Linotype"/>
          <w:b/>
          <w:sz w:val="22"/>
          <w:szCs w:val="22"/>
        </w:rPr>
        <w:t>REVOCA</w:t>
      </w:r>
      <w:r w:rsidRPr="000F41A3">
        <w:rPr>
          <w:rFonts w:ascii="Palatino Linotype" w:eastAsia="Palatino Linotype" w:hAnsi="Palatino Linotype" w:cs="Palatino Linotype"/>
          <w:sz w:val="22"/>
          <w:szCs w:val="22"/>
        </w:rPr>
        <w:t xml:space="preserve"> la respuesta entregada por el Sujeto Obligado, a la solicitud de información </w:t>
      </w:r>
      <w:r w:rsidR="00031A5C" w:rsidRPr="000F41A3">
        <w:rPr>
          <w:rFonts w:ascii="Palatino Linotype" w:eastAsia="Palatino Linotype" w:hAnsi="Palatino Linotype" w:cs="Palatino Linotype"/>
          <w:sz w:val="22"/>
          <w:szCs w:val="22"/>
        </w:rPr>
        <w:t>00062/DIFTOLUCA/IP/2025</w:t>
      </w:r>
      <w:r w:rsidRPr="000F41A3">
        <w:rPr>
          <w:rFonts w:ascii="Palatino Linotype" w:eastAsia="Palatino Linotype" w:hAnsi="Palatino Linotype" w:cs="Palatino Linotype"/>
          <w:sz w:val="22"/>
          <w:szCs w:val="22"/>
        </w:rPr>
        <w:t xml:space="preserve">, por resultar </w:t>
      </w:r>
      <w:r w:rsidRPr="000F41A3">
        <w:rPr>
          <w:rFonts w:ascii="Palatino Linotype" w:eastAsia="Palatino Linotype" w:hAnsi="Palatino Linotype" w:cs="Palatino Linotype"/>
          <w:b/>
          <w:sz w:val="22"/>
          <w:szCs w:val="22"/>
        </w:rPr>
        <w:t>FUNDADAS</w:t>
      </w:r>
      <w:r w:rsidRPr="000F41A3">
        <w:rPr>
          <w:rFonts w:ascii="Palatino Linotype" w:eastAsia="Palatino Linotype" w:hAnsi="Palatino Linotype" w:cs="Palatino Linotype"/>
          <w:sz w:val="22"/>
          <w:szCs w:val="22"/>
        </w:rPr>
        <w:t xml:space="preserve"> las razones o motivos de inconformidad hechos valer por el Particular, en términos de los considerandos QUINTO y SEXTO de la presente Resolución.</w:t>
      </w:r>
    </w:p>
    <w:p w14:paraId="00B16D7E" w14:textId="77777777" w:rsidR="00286EFA" w:rsidRPr="000F41A3" w:rsidRDefault="00286EFA" w:rsidP="0069079A">
      <w:pPr>
        <w:spacing w:line="360" w:lineRule="auto"/>
        <w:jc w:val="both"/>
        <w:rPr>
          <w:rFonts w:ascii="Palatino Linotype" w:eastAsia="Palatino Linotype" w:hAnsi="Palatino Linotype" w:cs="Palatino Linotype"/>
          <w:b/>
          <w:color w:val="FF0000"/>
          <w:sz w:val="22"/>
          <w:szCs w:val="22"/>
        </w:rPr>
      </w:pPr>
    </w:p>
    <w:p w14:paraId="31C23B23" w14:textId="593D2BA6" w:rsidR="00286EFA" w:rsidRPr="000F41A3" w:rsidRDefault="00FA61F8" w:rsidP="0069079A">
      <w:pPr>
        <w:spacing w:line="360" w:lineRule="auto"/>
        <w:jc w:val="both"/>
        <w:rPr>
          <w:rFonts w:ascii="Palatino Linotype" w:eastAsia="Palatino Linotype" w:hAnsi="Palatino Linotype" w:cs="Palatino Linotype"/>
          <w:color w:val="FF0000"/>
          <w:sz w:val="22"/>
          <w:szCs w:val="22"/>
        </w:rPr>
      </w:pPr>
      <w:r w:rsidRPr="000F41A3">
        <w:rPr>
          <w:rFonts w:ascii="Palatino Linotype" w:eastAsia="Palatino Linotype" w:hAnsi="Palatino Linotype" w:cs="Palatino Linotype"/>
          <w:b/>
          <w:sz w:val="22"/>
          <w:szCs w:val="22"/>
        </w:rPr>
        <w:t xml:space="preserve">SEGUNDO. </w:t>
      </w:r>
      <w:r w:rsidRPr="000F41A3">
        <w:rPr>
          <w:rFonts w:ascii="Palatino Linotype" w:eastAsia="Palatino Linotype" w:hAnsi="Palatino Linotype" w:cs="Palatino Linotype"/>
          <w:sz w:val="22"/>
          <w:szCs w:val="22"/>
        </w:rPr>
        <w:t xml:space="preserve">Se </w:t>
      </w:r>
      <w:r w:rsidRPr="000F41A3">
        <w:rPr>
          <w:rFonts w:ascii="Palatino Linotype" w:eastAsia="Palatino Linotype" w:hAnsi="Palatino Linotype" w:cs="Palatino Linotype"/>
          <w:b/>
          <w:sz w:val="22"/>
          <w:szCs w:val="22"/>
        </w:rPr>
        <w:t xml:space="preserve">ORDENA </w:t>
      </w:r>
      <w:r w:rsidRPr="000F41A3">
        <w:rPr>
          <w:rFonts w:ascii="Palatino Linotype" w:eastAsia="Palatino Linotype" w:hAnsi="Palatino Linotype" w:cs="Palatino Linotype"/>
          <w:sz w:val="22"/>
          <w:szCs w:val="22"/>
        </w:rPr>
        <w:t>al Ente Recurrido, a efecto de que previa búsqueda exhaustiva y razonable en las unidades administrativas competentes, entregue, a través del Sistema de Acceso a la Información Mexiquense (SAIMEX), en su caso, en versión pública,</w:t>
      </w:r>
      <w:r w:rsidR="00031A5C" w:rsidRPr="000F41A3">
        <w:rPr>
          <w:rFonts w:ascii="Palatino Linotype" w:eastAsia="Palatino Linotype" w:hAnsi="Palatino Linotype" w:cs="Palatino Linotype"/>
          <w:sz w:val="22"/>
          <w:szCs w:val="22"/>
        </w:rPr>
        <w:t xml:space="preserve"> </w:t>
      </w:r>
      <w:r w:rsidR="00B94045" w:rsidRPr="000F41A3">
        <w:rPr>
          <w:rFonts w:ascii="Palatino Linotype" w:eastAsia="Palatino Linotype" w:hAnsi="Palatino Linotype" w:cs="Palatino Linotype"/>
          <w:sz w:val="22"/>
          <w:szCs w:val="22"/>
        </w:rPr>
        <w:t xml:space="preserve">del veinte de enero de dos mil veinticuatro </w:t>
      </w:r>
      <w:r w:rsidR="00031A5C" w:rsidRPr="000F41A3">
        <w:rPr>
          <w:rFonts w:ascii="Palatino Linotype" w:eastAsia="Palatino Linotype" w:hAnsi="Palatino Linotype" w:cs="Palatino Linotype"/>
          <w:sz w:val="22"/>
          <w:szCs w:val="22"/>
        </w:rPr>
        <w:t>al veinte de enero de dos mil veinticinco,</w:t>
      </w:r>
      <w:r w:rsidRPr="000F41A3">
        <w:rPr>
          <w:rFonts w:ascii="Palatino Linotype" w:eastAsia="Palatino Linotype" w:hAnsi="Palatino Linotype" w:cs="Palatino Linotype"/>
          <w:sz w:val="22"/>
          <w:szCs w:val="22"/>
        </w:rPr>
        <w:t xml:space="preserve"> los documentos donde conste lo siguiente:</w:t>
      </w:r>
    </w:p>
    <w:p w14:paraId="036388AF"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6C7BF133" w14:textId="341FA3B3" w:rsidR="00031A5C" w:rsidRPr="000F41A3" w:rsidRDefault="00031A5C" w:rsidP="0069079A">
      <w:pPr>
        <w:numPr>
          <w:ilvl w:val="0"/>
          <w:numId w:val="1"/>
        </w:numPr>
        <w:pBdr>
          <w:top w:val="nil"/>
          <w:left w:val="nil"/>
          <w:bottom w:val="nil"/>
          <w:right w:val="nil"/>
          <w:between w:val="nil"/>
        </w:pBdr>
        <w:spacing w:line="360" w:lineRule="auto"/>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Las inasistencias de los servidores públicos</w:t>
      </w:r>
      <w:r w:rsidR="00B94045" w:rsidRPr="000F41A3">
        <w:rPr>
          <w:rFonts w:ascii="Palatino Linotype" w:eastAsia="Palatino Linotype" w:hAnsi="Palatino Linotype" w:cs="Palatino Linotype"/>
          <w:sz w:val="22"/>
          <w:szCs w:val="22"/>
        </w:rPr>
        <w:t>, y</w:t>
      </w:r>
    </w:p>
    <w:p w14:paraId="5AD941E0" w14:textId="4C17991A" w:rsidR="00286EFA" w:rsidRPr="000F41A3" w:rsidRDefault="00031A5C" w:rsidP="0069079A">
      <w:pPr>
        <w:numPr>
          <w:ilvl w:val="0"/>
          <w:numId w:val="1"/>
        </w:numPr>
        <w:pBdr>
          <w:top w:val="nil"/>
          <w:left w:val="nil"/>
          <w:bottom w:val="nil"/>
          <w:right w:val="nil"/>
          <w:between w:val="nil"/>
        </w:pBdr>
        <w:spacing w:line="360" w:lineRule="auto"/>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La justificación de dichas </w:t>
      </w:r>
      <w:r w:rsidR="00B94045" w:rsidRPr="000F41A3">
        <w:rPr>
          <w:rFonts w:ascii="Palatino Linotype" w:eastAsia="Palatino Linotype" w:hAnsi="Palatino Linotype" w:cs="Palatino Linotype"/>
          <w:sz w:val="22"/>
          <w:szCs w:val="22"/>
        </w:rPr>
        <w:t>faltas</w:t>
      </w:r>
      <w:r w:rsidRPr="000F41A3">
        <w:rPr>
          <w:rFonts w:ascii="Palatino Linotype" w:eastAsia="Palatino Linotype" w:hAnsi="Palatino Linotype" w:cs="Palatino Linotype"/>
          <w:sz w:val="22"/>
          <w:szCs w:val="22"/>
        </w:rPr>
        <w:t>.</w:t>
      </w:r>
    </w:p>
    <w:p w14:paraId="5BC102A1" w14:textId="77777777" w:rsidR="00286EFA" w:rsidRPr="000F41A3" w:rsidRDefault="00286EFA" w:rsidP="0069079A">
      <w:pPr>
        <w:spacing w:line="360" w:lineRule="auto"/>
        <w:jc w:val="both"/>
        <w:rPr>
          <w:rFonts w:ascii="Palatino Linotype" w:eastAsia="Palatino Linotype" w:hAnsi="Palatino Linotype" w:cs="Palatino Linotype"/>
          <w:color w:val="FF0000"/>
          <w:sz w:val="22"/>
          <w:szCs w:val="22"/>
        </w:rPr>
      </w:pPr>
    </w:p>
    <w:p w14:paraId="168ED154" w14:textId="77777777" w:rsidR="00286EFA" w:rsidRPr="000F41A3" w:rsidRDefault="00FA61F8" w:rsidP="0069079A">
      <w:p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00013A25" w14:textId="77777777" w:rsidR="00286EFA" w:rsidRPr="000F41A3" w:rsidRDefault="00286EFA" w:rsidP="0069079A">
      <w:pPr>
        <w:spacing w:line="360" w:lineRule="auto"/>
        <w:ind w:right="-28"/>
        <w:jc w:val="both"/>
        <w:rPr>
          <w:rFonts w:ascii="Palatino Linotype" w:eastAsia="Palatino Linotype" w:hAnsi="Palatino Linotype" w:cs="Palatino Linotype"/>
          <w:sz w:val="22"/>
          <w:szCs w:val="22"/>
        </w:rPr>
      </w:pPr>
    </w:p>
    <w:p w14:paraId="3C2EBB46" w14:textId="39BCE216" w:rsidR="00B94045" w:rsidRPr="000F41A3" w:rsidRDefault="00B94045" w:rsidP="0069079A">
      <w:pPr>
        <w:spacing w:line="360" w:lineRule="auto"/>
        <w:ind w:right="-28"/>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Para el caso, de que alguna de las inasistencias, no cuente con la documental del inciso 2, al ser falta injustificada, deberá hacerlo del conocimiento de la parte Recurrente, de manera clara y precisa.</w:t>
      </w:r>
    </w:p>
    <w:p w14:paraId="228BDAAB" w14:textId="7E06342C" w:rsidR="00B94045" w:rsidRPr="000F41A3" w:rsidRDefault="00FA61F8" w:rsidP="00B94045">
      <w:pPr>
        <w:spacing w:line="360" w:lineRule="auto"/>
        <w:ind w:right="-28"/>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b/>
          <w:sz w:val="22"/>
          <w:szCs w:val="22"/>
        </w:rPr>
        <w:lastRenderedPageBreak/>
        <w:t xml:space="preserve">TERCERO. </w:t>
      </w:r>
      <w:r w:rsidR="00B94045" w:rsidRPr="000F41A3">
        <w:rPr>
          <w:rFonts w:ascii="Palatino Linotype" w:eastAsia="Palatino Linotype" w:hAnsi="Palatino Linotype" w:cs="Palatino Linotype"/>
          <w:b/>
          <w:sz w:val="22"/>
          <w:szCs w:val="22"/>
        </w:rPr>
        <w:t xml:space="preserve">NOTIFÍQUESE POR SAIMEX </w:t>
      </w:r>
      <w:r w:rsidR="00B94045" w:rsidRPr="000F41A3">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De conformidad con el artículo 198 de la Ley de la materia, de considerarlo procedente, el Sujeto Obligado de manera fundada y motivada, podrá solicitar una ampliación de plazo para el cumplimiento de la presente resolución.</w:t>
      </w:r>
    </w:p>
    <w:p w14:paraId="51719FB6" w14:textId="77777777" w:rsidR="00286EFA" w:rsidRPr="000F41A3" w:rsidRDefault="00286EFA" w:rsidP="0069079A">
      <w:pPr>
        <w:spacing w:line="360" w:lineRule="auto"/>
        <w:ind w:right="-28"/>
        <w:jc w:val="both"/>
        <w:rPr>
          <w:rFonts w:ascii="Palatino Linotype" w:eastAsia="Palatino Linotype" w:hAnsi="Palatino Linotype" w:cs="Palatino Linotype"/>
          <w:b/>
          <w:sz w:val="22"/>
          <w:szCs w:val="22"/>
        </w:rPr>
      </w:pPr>
    </w:p>
    <w:p w14:paraId="0F08F4F1" w14:textId="2AC1475F" w:rsidR="00286EFA" w:rsidRPr="000F41A3" w:rsidRDefault="00FA61F8" w:rsidP="0069079A">
      <w:pPr>
        <w:spacing w:line="360" w:lineRule="auto"/>
        <w:ind w:right="-28"/>
        <w:jc w:val="both"/>
        <w:rPr>
          <w:rFonts w:ascii="Palatino Linotype" w:eastAsia="Palatino Linotype" w:hAnsi="Palatino Linotype" w:cs="Palatino Linotype"/>
          <w:b/>
          <w:sz w:val="22"/>
          <w:szCs w:val="22"/>
        </w:rPr>
      </w:pPr>
      <w:r w:rsidRPr="000F41A3">
        <w:rPr>
          <w:rFonts w:ascii="Palatino Linotype" w:eastAsia="Palatino Linotype" w:hAnsi="Palatino Linotype" w:cs="Palatino Linotype"/>
          <w:b/>
          <w:sz w:val="22"/>
          <w:szCs w:val="22"/>
        </w:rPr>
        <w:t xml:space="preserve">CUARTO. </w:t>
      </w:r>
      <w:r w:rsidR="00B94045" w:rsidRPr="000F41A3">
        <w:rPr>
          <w:rFonts w:ascii="Palatino Linotype" w:eastAsia="Palatino Linotype" w:hAnsi="Palatino Linotype" w:cs="Palatino Linotype"/>
          <w:b/>
          <w:sz w:val="22"/>
          <w:szCs w:val="22"/>
        </w:rPr>
        <w:t>NOTIFÍQUESE POR SAIMEX</w:t>
      </w:r>
      <w:r w:rsidR="00B94045" w:rsidRPr="000F41A3">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A983A3" w14:textId="77777777" w:rsidR="00286EFA" w:rsidRPr="000F41A3" w:rsidRDefault="00286EFA" w:rsidP="0069079A">
      <w:pPr>
        <w:spacing w:line="360" w:lineRule="auto"/>
        <w:ind w:right="-28"/>
        <w:jc w:val="both"/>
        <w:rPr>
          <w:rFonts w:ascii="Palatino Linotype" w:eastAsia="Palatino Linotype" w:hAnsi="Palatino Linotype" w:cs="Palatino Linotype"/>
          <w:sz w:val="22"/>
          <w:szCs w:val="22"/>
        </w:rPr>
      </w:pPr>
    </w:p>
    <w:p w14:paraId="64D5673E" w14:textId="36E53745" w:rsidR="00286EFA" w:rsidRPr="00031A5C" w:rsidRDefault="00FA61F8" w:rsidP="0069079A">
      <w:pPr>
        <w:spacing w:line="360" w:lineRule="auto"/>
        <w:jc w:val="both"/>
        <w:rPr>
          <w:rFonts w:ascii="Palatino Linotype" w:eastAsia="Palatino Linotype" w:hAnsi="Palatino Linotype" w:cs="Palatino Linotype"/>
          <w:sz w:val="22"/>
          <w:szCs w:val="22"/>
        </w:rPr>
      </w:pPr>
      <w:r w:rsidRPr="000F41A3">
        <w:rPr>
          <w:rFonts w:ascii="Palatino Linotype" w:eastAsia="Palatino Linotype" w:hAnsi="Palatino Linotype" w:cs="Palatino Linotype"/>
          <w:sz w:val="22"/>
          <w:szCs w:val="22"/>
        </w:rPr>
        <w:t xml:space="preserve">ASÍ LO RESUELVE, POR </w:t>
      </w:r>
      <w:r w:rsidRPr="00334ACC">
        <w:rPr>
          <w:rFonts w:ascii="Palatino Linotype" w:eastAsia="Palatino Linotype" w:hAnsi="Palatino Linotype" w:cs="Palatino Linotype"/>
          <w:b/>
          <w:sz w:val="22"/>
          <w:szCs w:val="22"/>
        </w:rPr>
        <w:t xml:space="preserve">UNANIMIDAD </w:t>
      </w:r>
      <w:r w:rsidRPr="000F41A3">
        <w:rPr>
          <w:rFonts w:ascii="Palatino Linotype" w:eastAsia="Palatino Linotype" w:hAnsi="Palatino Linotype" w:cs="Palatino Linotype"/>
          <w:sz w:val="22"/>
          <w:szCs w:val="22"/>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31A5C" w:rsidRPr="000F41A3">
        <w:rPr>
          <w:rFonts w:ascii="Palatino Linotype" w:eastAsia="Palatino Linotype" w:hAnsi="Palatino Linotype" w:cs="Palatino Linotype"/>
          <w:sz w:val="22"/>
          <w:szCs w:val="22"/>
        </w:rPr>
        <w:t xml:space="preserve">SÉPTIMA </w:t>
      </w:r>
      <w:r w:rsidRPr="000F41A3">
        <w:rPr>
          <w:rFonts w:ascii="Palatino Linotype" w:eastAsia="Palatino Linotype" w:hAnsi="Palatino Linotype" w:cs="Palatino Linotype"/>
          <w:sz w:val="22"/>
          <w:szCs w:val="22"/>
        </w:rPr>
        <w:t xml:space="preserve">SESIÓN ORDINARIA, CELEBRADA EL </w:t>
      </w:r>
      <w:r w:rsidR="00031A5C" w:rsidRPr="000F41A3">
        <w:rPr>
          <w:rFonts w:ascii="Palatino Linotype" w:eastAsia="Palatino Linotype" w:hAnsi="Palatino Linotype" w:cs="Palatino Linotype"/>
          <w:sz w:val="22"/>
          <w:szCs w:val="22"/>
        </w:rPr>
        <w:t>VEINTISÉ</w:t>
      </w:r>
      <w:r w:rsidRPr="000F41A3">
        <w:rPr>
          <w:rFonts w:ascii="Palatino Linotype" w:eastAsia="Palatino Linotype" w:hAnsi="Palatino Linotype" w:cs="Palatino Linotype"/>
          <w:sz w:val="22"/>
          <w:szCs w:val="22"/>
        </w:rPr>
        <w:t>IS DE FEBRERO DE DOS MIL VEINTICINCO, ANTE EL SECRETARIO TÉCNICO DEL PLENO, ALEXIS TAPIA RAMÍREZ.</w:t>
      </w:r>
    </w:p>
    <w:p w14:paraId="69E69B0D" w14:textId="77777777" w:rsidR="00286EFA" w:rsidRPr="00031A5C" w:rsidRDefault="00286EFA" w:rsidP="0069079A">
      <w:pPr>
        <w:spacing w:line="360" w:lineRule="auto"/>
        <w:ind w:right="-28"/>
        <w:jc w:val="both"/>
        <w:rPr>
          <w:rFonts w:ascii="Palatino Linotype" w:eastAsia="Palatino Linotype" w:hAnsi="Palatino Linotype" w:cs="Palatino Linotype"/>
          <w:sz w:val="22"/>
          <w:szCs w:val="22"/>
        </w:rPr>
      </w:pPr>
    </w:p>
    <w:p w14:paraId="4ED72048" w14:textId="77777777" w:rsidR="00286EFA" w:rsidRPr="00031A5C" w:rsidRDefault="00286EFA" w:rsidP="0069079A">
      <w:pPr>
        <w:spacing w:line="360" w:lineRule="auto"/>
        <w:rPr>
          <w:rFonts w:ascii="Palatino Linotype" w:eastAsia="Palatino Linotype" w:hAnsi="Palatino Linotype" w:cs="Palatino Linotype"/>
        </w:rPr>
      </w:pPr>
    </w:p>
    <w:p w14:paraId="2DFE4CD7" w14:textId="77777777" w:rsidR="00286EFA" w:rsidRPr="00031A5C" w:rsidRDefault="00286EFA" w:rsidP="0069079A">
      <w:pPr>
        <w:spacing w:line="360" w:lineRule="auto"/>
        <w:rPr>
          <w:rFonts w:ascii="Palatino Linotype" w:eastAsia="Palatino Linotype" w:hAnsi="Palatino Linotype" w:cs="Palatino Linotype"/>
        </w:rPr>
      </w:pPr>
    </w:p>
    <w:p w14:paraId="0FD6900D" w14:textId="77777777" w:rsidR="00286EFA" w:rsidRPr="00031A5C" w:rsidRDefault="00286EFA" w:rsidP="0069079A">
      <w:pPr>
        <w:spacing w:line="360" w:lineRule="auto"/>
        <w:rPr>
          <w:rFonts w:ascii="Palatino Linotype" w:eastAsia="Palatino Linotype" w:hAnsi="Palatino Linotype" w:cs="Palatino Linotype"/>
        </w:rPr>
      </w:pPr>
    </w:p>
    <w:p w14:paraId="35610230" w14:textId="77777777" w:rsidR="00286EFA" w:rsidRPr="00031A5C" w:rsidRDefault="00286EFA" w:rsidP="0069079A">
      <w:pPr>
        <w:spacing w:line="360" w:lineRule="auto"/>
        <w:rPr>
          <w:rFonts w:ascii="Palatino Linotype" w:eastAsia="Palatino Linotype" w:hAnsi="Palatino Linotype" w:cs="Palatino Linotype"/>
        </w:rPr>
      </w:pPr>
    </w:p>
    <w:p w14:paraId="659DBF81" w14:textId="77777777" w:rsidR="00286EFA" w:rsidRPr="00031A5C" w:rsidRDefault="00286EFA" w:rsidP="0069079A">
      <w:pPr>
        <w:spacing w:line="360" w:lineRule="auto"/>
        <w:rPr>
          <w:rFonts w:ascii="Palatino Linotype" w:eastAsia="Palatino Linotype" w:hAnsi="Palatino Linotype" w:cs="Palatino Linotype"/>
        </w:rPr>
      </w:pPr>
    </w:p>
    <w:p w14:paraId="6FC8B06C" w14:textId="77777777" w:rsidR="00286EFA" w:rsidRPr="00031A5C" w:rsidRDefault="00286EFA" w:rsidP="0069079A">
      <w:pPr>
        <w:spacing w:line="360" w:lineRule="auto"/>
        <w:rPr>
          <w:rFonts w:ascii="Palatino Linotype" w:eastAsia="Palatino Linotype" w:hAnsi="Palatino Linotype" w:cs="Palatino Linotype"/>
        </w:rPr>
      </w:pPr>
    </w:p>
    <w:p w14:paraId="0125030B" w14:textId="77777777" w:rsidR="00286EFA" w:rsidRPr="00CE1621" w:rsidRDefault="00286EFA" w:rsidP="0069079A">
      <w:pPr>
        <w:spacing w:line="360" w:lineRule="auto"/>
        <w:rPr>
          <w:rFonts w:ascii="Palatino Linotype" w:eastAsia="Palatino Linotype" w:hAnsi="Palatino Linotype" w:cs="Palatino Linotype"/>
          <w:color w:val="FF0000"/>
        </w:rPr>
      </w:pPr>
    </w:p>
    <w:p w14:paraId="03F26E61" w14:textId="77777777" w:rsidR="00286EFA" w:rsidRPr="00CE1621" w:rsidRDefault="00286EFA" w:rsidP="0069079A">
      <w:pPr>
        <w:spacing w:line="360" w:lineRule="auto"/>
        <w:rPr>
          <w:rFonts w:ascii="Palatino Linotype" w:eastAsia="Palatino Linotype" w:hAnsi="Palatino Linotype" w:cs="Palatino Linotype"/>
          <w:color w:val="FF0000"/>
        </w:rPr>
      </w:pPr>
    </w:p>
    <w:p w14:paraId="06812741" w14:textId="77777777" w:rsidR="00286EFA" w:rsidRPr="00CE1621" w:rsidRDefault="00286EFA" w:rsidP="0069079A">
      <w:pPr>
        <w:spacing w:line="360" w:lineRule="auto"/>
        <w:rPr>
          <w:rFonts w:ascii="Palatino Linotype" w:eastAsia="Palatino Linotype" w:hAnsi="Palatino Linotype" w:cs="Palatino Linotype"/>
          <w:color w:val="FF0000"/>
        </w:rPr>
      </w:pPr>
    </w:p>
    <w:p w14:paraId="23CBA770" w14:textId="77777777" w:rsidR="00286EFA" w:rsidRPr="00CE1621" w:rsidRDefault="00286EFA" w:rsidP="0069079A">
      <w:pPr>
        <w:spacing w:line="360" w:lineRule="auto"/>
        <w:rPr>
          <w:rFonts w:ascii="Palatino Linotype" w:eastAsia="Palatino Linotype" w:hAnsi="Palatino Linotype" w:cs="Palatino Linotype"/>
          <w:color w:val="FF0000"/>
        </w:rPr>
      </w:pPr>
    </w:p>
    <w:p w14:paraId="56E33E71" w14:textId="77777777" w:rsidR="00286EFA" w:rsidRPr="00CE1621" w:rsidRDefault="00286EFA" w:rsidP="0069079A">
      <w:pPr>
        <w:spacing w:line="360" w:lineRule="auto"/>
        <w:rPr>
          <w:rFonts w:ascii="Palatino Linotype" w:eastAsia="Palatino Linotype" w:hAnsi="Palatino Linotype" w:cs="Palatino Linotype"/>
          <w:color w:val="FF0000"/>
        </w:rPr>
      </w:pPr>
    </w:p>
    <w:p w14:paraId="66DF59C1" w14:textId="77777777" w:rsidR="00286EFA" w:rsidRPr="00CE1621" w:rsidRDefault="00286EFA" w:rsidP="0069079A">
      <w:pPr>
        <w:spacing w:line="360" w:lineRule="auto"/>
        <w:rPr>
          <w:rFonts w:ascii="Palatino Linotype" w:eastAsia="Palatino Linotype" w:hAnsi="Palatino Linotype" w:cs="Palatino Linotype"/>
          <w:color w:val="FF0000"/>
        </w:rPr>
      </w:pPr>
    </w:p>
    <w:p w14:paraId="21831FC0" w14:textId="77777777" w:rsidR="00286EFA" w:rsidRPr="00CE1621" w:rsidRDefault="00286EFA" w:rsidP="0069079A">
      <w:pPr>
        <w:spacing w:line="360" w:lineRule="auto"/>
        <w:rPr>
          <w:rFonts w:ascii="Palatino Linotype" w:eastAsia="Palatino Linotype" w:hAnsi="Palatino Linotype" w:cs="Palatino Linotype"/>
          <w:color w:val="FF0000"/>
        </w:rPr>
      </w:pPr>
    </w:p>
    <w:p w14:paraId="3E65CC09" w14:textId="77777777" w:rsidR="00286EFA" w:rsidRPr="00CE1621" w:rsidRDefault="00286EFA" w:rsidP="0069079A">
      <w:pPr>
        <w:spacing w:line="360" w:lineRule="auto"/>
        <w:rPr>
          <w:rFonts w:ascii="Palatino Linotype" w:eastAsia="Palatino Linotype" w:hAnsi="Palatino Linotype" w:cs="Palatino Linotype"/>
          <w:color w:val="FF0000"/>
        </w:rPr>
      </w:pPr>
    </w:p>
    <w:p w14:paraId="62515374" w14:textId="77777777" w:rsidR="00286EFA" w:rsidRPr="00CE1621" w:rsidRDefault="00286EFA" w:rsidP="0069079A">
      <w:pPr>
        <w:spacing w:line="360" w:lineRule="auto"/>
        <w:rPr>
          <w:rFonts w:ascii="Palatino Linotype" w:eastAsia="Palatino Linotype" w:hAnsi="Palatino Linotype" w:cs="Palatino Linotype"/>
          <w:color w:val="FF0000"/>
        </w:rPr>
      </w:pPr>
    </w:p>
    <w:p w14:paraId="64FB6F57" w14:textId="77777777" w:rsidR="00286EFA" w:rsidRPr="00CE1621" w:rsidRDefault="00286EFA" w:rsidP="0069079A">
      <w:pPr>
        <w:spacing w:line="360" w:lineRule="auto"/>
        <w:rPr>
          <w:rFonts w:ascii="Palatino Linotype" w:eastAsia="Palatino Linotype" w:hAnsi="Palatino Linotype" w:cs="Palatino Linotype"/>
          <w:color w:val="FF0000"/>
        </w:rPr>
      </w:pPr>
    </w:p>
    <w:p w14:paraId="1CEB5385" w14:textId="77777777" w:rsidR="00286EFA" w:rsidRPr="00CE1621" w:rsidRDefault="00286EFA" w:rsidP="0069079A">
      <w:pPr>
        <w:spacing w:line="360" w:lineRule="auto"/>
        <w:rPr>
          <w:rFonts w:ascii="Palatino Linotype" w:eastAsia="Palatino Linotype" w:hAnsi="Palatino Linotype" w:cs="Palatino Linotype"/>
          <w:color w:val="FF0000"/>
        </w:rPr>
      </w:pPr>
    </w:p>
    <w:p w14:paraId="0AEFD2E9" w14:textId="77777777" w:rsidR="00286EFA" w:rsidRPr="00CE1621" w:rsidRDefault="00286EFA" w:rsidP="0069079A">
      <w:pPr>
        <w:spacing w:line="360" w:lineRule="auto"/>
        <w:rPr>
          <w:rFonts w:ascii="Palatino Linotype" w:eastAsia="Palatino Linotype" w:hAnsi="Palatino Linotype" w:cs="Palatino Linotype"/>
          <w:color w:val="FF0000"/>
        </w:rPr>
      </w:pPr>
    </w:p>
    <w:p w14:paraId="2D7AF3F6" w14:textId="77777777" w:rsidR="00286EFA" w:rsidRPr="00CE1621" w:rsidRDefault="00286EFA" w:rsidP="0069079A">
      <w:pPr>
        <w:spacing w:line="360" w:lineRule="auto"/>
        <w:rPr>
          <w:rFonts w:ascii="Palatino Linotype" w:eastAsia="Palatino Linotype" w:hAnsi="Palatino Linotype" w:cs="Palatino Linotype"/>
          <w:color w:val="FF0000"/>
        </w:rPr>
      </w:pPr>
    </w:p>
    <w:p w14:paraId="60EDEA80" w14:textId="77777777" w:rsidR="00286EFA" w:rsidRPr="00CE1621" w:rsidRDefault="00286EFA" w:rsidP="0069079A">
      <w:pPr>
        <w:spacing w:line="360" w:lineRule="auto"/>
        <w:rPr>
          <w:rFonts w:ascii="Palatino Linotype" w:eastAsia="Palatino Linotype" w:hAnsi="Palatino Linotype" w:cs="Palatino Linotype"/>
          <w:color w:val="FF0000"/>
        </w:rPr>
      </w:pPr>
    </w:p>
    <w:p w14:paraId="224A0AF1" w14:textId="77777777" w:rsidR="00286EFA" w:rsidRPr="00CE1621" w:rsidRDefault="00286EFA" w:rsidP="0069079A">
      <w:pPr>
        <w:spacing w:line="360" w:lineRule="auto"/>
        <w:rPr>
          <w:rFonts w:ascii="Palatino Linotype" w:eastAsia="Palatino Linotype" w:hAnsi="Palatino Linotype" w:cs="Palatino Linotype"/>
          <w:color w:val="FF0000"/>
        </w:rPr>
      </w:pPr>
    </w:p>
    <w:p w14:paraId="0D927C3F" w14:textId="77777777" w:rsidR="00286EFA" w:rsidRPr="00CE1621" w:rsidRDefault="00286EFA" w:rsidP="0069079A">
      <w:pPr>
        <w:spacing w:line="360" w:lineRule="auto"/>
        <w:rPr>
          <w:rFonts w:ascii="Palatino Linotype" w:eastAsia="Palatino Linotype" w:hAnsi="Palatino Linotype" w:cs="Palatino Linotype"/>
          <w:color w:val="FF0000"/>
        </w:rPr>
      </w:pPr>
    </w:p>
    <w:p w14:paraId="47B5354F" w14:textId="77777777" w:rsidR="00286EFA" w:rsidRPr="00CE1621" w:rsidRDefault="00286EFA" w:rsidP="0069079A">
      <w:pPr>
        <w:spacing w:line="360" w:lineRule="auto"/>
        <w:rPr>
          <w:rFonts w:ascii="Palatino Linotype" w:eastAsia="Palatino Linotype" w:hAnsi="Palatino Linotype" w:cs="Palatino Linotype"/>
          <w:color w:val="FF0000"/>
        </w:rPr>
      </w:pPr>
    </w:p>
    <w:p w14:paraId="0DCAE8ED" w14:textId="77777777" w:rsidR="00286EFA" w:rsidRPr="00CE1621" w:rsidRDefault="00286EFA" w:rsidP="0069079A">
      <w:pPr>
        <w:spacing w:line="360" w:lineRule="auto"/>
        <w:rPr>
          <w:rFonts w:ascii="Palatino Linotype" w:eastAsia="Palatino Linotype" w:hAnsi="Palatino Linotype" w:cs="Palatino Linotype"/>
          <w:color w:val="FF0000"/>
        </w:rPr>
      </w:pPr>
    </w:p>
    <w:sectPr w:rsidR="00286EFA" w:rsidRPr="00CE1621">
      <w:headerReference w:type="even" r:id="rId10"/>
      <w:headerReference w:type="default" r:id="rId11"/>
      <w:footerReference w:type="default" r:id="rId12"/>
      <w:headerReference w:type="first" r:id="rId13"/>
      <w:footerReference w:type="first" r:id="rId1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1BC87" w14:textId="77777777" w:rsidR="00397FE3" w:rsidRDefault="00397FE3">
      <w:r>
        <w:separator/>
      </w:r>
    </w:p>
  </w:endnote>
  <w:endnote w:type="continuationSeparator" w:id="0">
    <w:p w14:paraId="7B079A0F" w14:textId="77777777" w:rsidR="00397FE3" w:rsidRDefault="0039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3D75" w14:textId="77777777" w:rsidR="00AE6BCC" w:rsidRDefault="00AE6BCC">
    <w:pPr>
      <w:pBdr>
        <w:top w:val="nil"/>
        <w:left w:val="nil"/>
        <w:bottom w:val="nil"/>
        <w:right w:val="nil"/>
        <w:between w:val="nil"/>
      </w:pBdr>
      <w:tabs>
        <w:tab w:val="center" w:pos="4419"/>
        <w:tab w:val="right" w:pos="8838"/>
      </w:tabs>
      <w:jc w:val="right"/>
      <w:rPr>
        <w:color w:val="000000"/>
        <w:sz w:val="26"/>
        <w:szCs w:val="26"/>
      </w:rPr>
    </w:pPr>
  </w:p>
  <w:p w14:paraId="0583808F" w14:textId="77777777" w:rsidR="00AE6BCC" w:rsidRDefault="00AE6BC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4242F">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4242F">
      <w:rPr>
        <w:b/>
        <w:noProof/>
        <w:color w:val="000000"/>
        <w:sz w:val="24"/>
        <w:szCs w:val="24"/>
      </w:rPr>
      <w:t>28</w:t>
    </w:r>
    <w:r>
      <w:rPr>
        <w:b/>
        <w:color w:val="000000"/>
        <w:sz w:val="24"/>
        <w:szCs w:val="24"/>
      </w:rPr>
      <w:fldChar w:fldCharType="end"/>
    </w:r>
  </w:p>
  <w:p w14:paraId="20E79344" w14:textId="77777777" w:rsidR="00AE6BCC" w:rsidRDefault="00AE6BC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6524" w14:textId="77777777" w:rsidR="00AE6BCC" w:rsidRDefault="00AE6BCC">
    <w:pPr>
      <w:pBdr>
        <w:top w:val="nil"/>
        <w:left w:val="nil"/>
        <w:bottom w:val="nil"/>
        <w:right w:val="nil"/>
        <w:between w:val="nil"/>
      </w:pBdr>
      <w:tabs>
        <w:tab w:val="center" w:pos="4419"/>
        <w:tab w:val="right" w:pos="8838"/>
      </w:tabs>
      <w:jc w:val="right"/>
      <w:rPr>
        <w:color w:val="000000"/>
      </w:rPr>
    </w:pPr>
  </w:p>
  <w:p w14:paraId="787FD8FC" w14:textId="77777777" w:rsidR="00AE6BCC" w:rsidRDefault="00AE6BCC">
    <w:pPr>
      <w:pBdr>
        <w:top w:val="nil"/>
        <w:left w:val="nil"/>
        <w:bottom w:val="nil"/>
        <w:right w:val="nil"/>
        <w:between w:val="nil"/>
      </w:pBdr>
      <w:tabs>
        <w:tab w:val="center" w:pos="4419"/>
        <w:tab w:val="right" w:pos="8838"/>
      </w:tabs>
      <w:jc w:val="right"/>
      <w:rPr>
        <w:color w:val="000000"/>
      </w:rPr>
    </w:pPr>
  </w:p>
  <w:p w14:paraId="5BB4439E" w14:textId="77777777" w:rsidR="00AE6BCC" w:rsidRDefault="00AE6BCC">
    <w:pPr>
      <w:pBdr>
        <w:top w:val="nil"/>
        <w:left w:val="nil"/>
        <w:bottom w:val="nil"/>
        <w:right w:val="nil"/>
        <w:between w:val="nil"/>
      </w:pBdr>
      <w:tabs>
        <w:tab w:val="center" w:pos="4419"/>
        <w:tab w:val="right" w:pos="8838"/>
      </w:tabs>
      <w:jc w:val="right"/>
      <w:rPr>
        <w:color w:val="000000"/>
      </w:rPr>
    </w:pPr>
  </w:p>
  <w:p w14:paraId="2D92D8D8" w14:textId="77777777" w:rsidR="00AE6BCC" w:rsidRDefault="00AE6BC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4242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4242F">
      <w:rPr>
        <w:b/>
        <w:noProof/>
        <w:color w:val="000000"/>
        <w:sz w:val="24"/>
        <w:szCs w:val="24"/>
      </w:rPr>
      <w:t>28</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C3D20" w14:textId="77777777" w:rsidR="00397FE3" w:rsidRDefault="00397FE3">
      <w:r>
        <w:separator/>
      </w:r>
    </w:p>
  </w:footnote>
  <w:footnote w:type="continuationSeparator" w:id="0">
    <w:p w14:paraId="40BC6E7E" w14:textId="77777777" w:rsidR="00397FE3" w:rsidRDefault="0039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1943" w14:textId="77777777" w:rsidR="00AE6BCC" w:rsidRDefault="00397FE3">
    <w:pPr>
      <w:pBdr>
        <w:top w:val="nil"/>
        <w:left w:val="nil"/>
        <w:bottom w:val="nil"/>
        <w:right w:val="nil"/>
        <w:between w:val="nil"/>
      </w:pBdr>
      <w:tabs>
        <w:tab w:val="center" w:pos="4419"/>
        <w:tab w:val="right" w:pos="8838"/>
      </w:tabs>
      <w:rPr>
        <w:color w:val="000000"/>
      </w:rPr>
    </w:pPr>
    <w:r>
      <w:rPr>
        <w:color w:val="000000"/>
      </w:rPr>
      <w:pict w14:anchorId="127BA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1DD3" w14:textId="08137745" w:rsidR="00AE6BCC" w:rsidRDefault="00397FE3" w:rsidP="0069079A">
    <w:pPr>
      <w:tabs>
        <w:tab w:val="left" w:pos="1095"/>
      </w:tabs>
      <w:rPr>
        <w:sz w:val="22"/>
        <w:szCs w:val="22"/>
      </w:rPr>
    </w:pPr>
    <w:r>
      <w:rPr>
        <w:sz w:val="14"/>
        <w:szCs w:val="14"/>
      </w:rPr>
      <w:pict w14:anchorId="2D8C9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INFOEM" style="position:absolute;margin-left:-86.45pt;margin-top:-125.5pt;width:663.5pt;height:12in;z-index:-251659776;mso-position-horizontal-relative:margin;mso-position-vertical-relative:margin">
          <v:imagedata r:id="rId1" o:title="image5"/>
          <w10:wrap anchorx="margin" anchory="margin"/>
        </v:shape>
      </w:pict>
    </w:r>
    <w:r w:rsidR="0069079A">
      <w:rPr>
        <w:sz w:val="22"/>
        <w:szCs w:val="22"/>
      </w:rPr>
      <w:tab/>
    </w:r>
  </w:p>
  <w:tbl>
    <w:tblPr>
      <w:tblStyle w:val="a"/>
      <w:tblW w:w="9036" w:type="dxa"/>
      <w:tblInd w:w="0" w:type="dxa"/>
      <w:tblLayout w:type="fixed"/>
      <w:tblLook w:val="0400" w:firstRow="0" w:lastRow="0" w:firstColumn="0" w:lastColumn="0" w:noHBand="0" w:noVBand="1"/>
    </w:tblPr>
    <w:tblGrid>
      <w:gridCol w:w="1843"/>
      <w:gridCol w:w="7193"/>
    </w:tblGrid>
    <w:tr w:rsidR="00AE6BCC" w14:paraId="37F3577A" w14:textId="77777777" w:rsidTr="0069079A">
      <w:trPr>
        <w:trHeight w:val="70"/>
      </w:trPr>
      <w:tc>
        <w:tcPr>
          <w:tcW w:w="1843" w:type="dxa"/>
          <w:shd w:val="clear" w:color="auto" w:fill="auto"/>
        </w:tcPr>
        <w:p w14:paraId="457FD6A2" w14:textId="77777777" w:rsidR="00AE6BCC" w:rsidRDefault="00AE6BCC">
          <w:pPr>
            <w:tabs>
              <w:tab w:val="right" w:pos="4273"/>
            </w:tabs>
            <w:rPr>
              <w:rFonts w:ascii="Garamond" w:eastAsia="Garamond" w:hAnsi="Garamond" w:cs="Garamond"/>
              <w:sz w:val="16"/>
              <w:szCs w:val="16"/>
            </w:rPr>
          </w:pPr>
        </w:p>
      </w:tc>
      <w:tc>
        <w:tcPr>
          <w:tcW w:w="7193" w:type="dxa"/>
          <w:shd w:val="clear" w:color="auto" w:fill="auto"/>
        </w:tcPr>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13"/>
            <w:gridCol w:w="4225"/>
          </w:tblGrid>
          <w:tr w:rsidR="00AE6BCC" w14:paraId="4DCE0180" w14:textId="77777777" w:rsidTr="0069079A">
            <w:trPr>
              <w:trHeight w:val="128"/>
            </w:trPr>
            <w:tc>
              <w:tcPr>
                <w:tcW w:w="3713" w:type="dxa"/>
                <w:vAlign w:val="bottom"/>
              </w:tcPr>
              <w:p w14:paraId="161D2559"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25" w:type="dxa"/>
              </w:tcPr>
              <w:p w14:paraId="772E7F13" w14:textId="77777777" w:rsidR="00AE6BCC" w:rsidRPr="00CE1621" w:rsidRDefault="00AE6BCC">
                <w:pPr>
                  <w:tabs>
                    <w:tab w:val="right" w:pos="8838"/>
                  </w:tabs>
                  <w:ind w:left="-28" w:right="683"/>
                  <w:rPr>
                    <w:rFonts w:ascii="Palatino Linotype" w:eastAsia="Palatino Linotype" w:hAnsi="Palatino Linotype" w:cs="Palatino Linotype"/>
                    <w:sz w:val="22"/>
                    <w:szCs w:val="22"/>
                  </w:rPr>
                </w:pPr>
                <w:r w:rsidRPr="00CE1621">
                  <w:rPr>
                    <w:rFonts w:ascii="Palatino Linotype" w:hAnsi="Palatino Linotype"/>
                    <w:bCs/>
                    <w:color w:val="000000" w:themeColor="text1"/>
                    <w:sz w:val="22"/>
                    <w:szCs w:val="22"/>
                  </w:rPr>
                  <w:t>00741/INFOEM/IP/RR/2025</w:t>
                </w:r>
              </w:p>
            </w:tc>
          </w:tr>
          <w:tr w:rsidR="00AE6BCC" w14:paraId="322638C5" w14:textId="77777777" w:rsidTr="0069079A">
            <w:trPr>
              <w:trHeight w:val="251"/>
            </w:trPr>
            <w:tc>
              <w:tcPr>
                <w:tcW w:w="3713" w:type="dxa"/>
              </w:tcPr>
              <w:p w14:paraId="731C603E"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25" w:type="dxa"/>
              </w:tcPr>
              <w:p w14:paraId="22A51513" w14:textId="28E7C22D" w:rsidR="00AE6BCC" w:rsidRDefault="0069079A" w:rsidP="00CE1621">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Toluca</w:t>
                </w:r>
              </w:p>
            </w:tc>
          </w:tr>
          <w:tr w:rsidR="00AE6BCC" w14:paraId="0CA28565" w14:textId="77777777" w:rsidTr="0069079A">
            <w:trPr>
              <w:trHeight w:val="251"/>
            </w:trPr>
            <w:tc>
              <w:tcPr>
                <w:tcW w:w="3713" w:type="dxa"/>
              </w:tcPr>
              <w:p w14:paraId="7F5CA040"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25" w:type="dxa"/>
              </w:tcPr>
              <w:p w14:paraId="1F7CAA6B" w14:textId="77777777" w:rsidR="00AE6BCC" w:rsidRDefault="00AE6BCC">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51E421D9" w14:textId="77777777" w:rsidR="00AE6BCC" w:rsidRDefault="00AE6BCC">
          <w:pPr>
            <w:tabs>
              <w:tab w:val="right" w:pos="8838"/>
            </w:tabs>
            <w:ind w:left="-28"/>
            <w:rPr>
              <w:rFonts w:ascii="Arial" w:eastAsia="Arial" w:hAnsi="Arial" w:cs="Arial"/>
              <w:b/>
            </w:rPr>
          </w:pPr>
        </w:p>
      </w:tc>
    </w:tr>
  </w:tbl>
  <w:p w14:paraId="0D6FAE67" w14:textId="77777777" w:rsidR="00AE6BCC" w:rsidRDefault="00AE6BCC">
    <w:pPr>
      <w:pBdr>
        <w:top w:val="nil"/>
        <w:left w:val="nil"/>
        <w:bottom w:val="nil"/>
        <w:right w:val="nil"/>
        <w:between w:val="nil"/>
      </w:pBdr>
      <w:tabs>
        <w:tab w:val="center" w:pos="4419"/>
        <w:tab w:val="right" w:pos="8838"/>
      </w:tabs>
      <w:rPr>
        <w:color w:val="000000"/>
        <w:sz w:val="14"/>
        <w:szCs w:val="14"/>
      </w:rPr>
    </w:pPr>
  </w:p>
  <w:p w14:paraId="1082590C" w14:textId="77777777" w:rsidR="00AE6BCC" w:rsidRDefault="00AE6BCC">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6971F" w14:textId="77777777" w:rsidR="00AE6BCC" w:rsidRDefault="00AE6BCC">
    <w:pPr>
      <w:widowControl w:val="0"/>
      <w:pBdr>
        <w:top w:val="nil"/>
        <w:left w:val="nil"/>
        <w:bottom w:val="nil"/>
        <w:right w:val="nil"/>
        <w:between w:val="nil"/>
      </w:pBdr>
      <w:spacing w:line="276" w:lineRule="auto"/>
      <w:rPr>
        <w:color w:val="000000"/>
        <w:sz w:val="14"/>
        <w:szCs w:val="14"/>
      </w:rPr>
    </w:pPr>
  </w:p>
  <w:tbl>
    <w:tblPr>
      <w:tblStyle w:val="a1"/>
      <w:tblW w:w="7654" w:type="dxa"/>
      <w:tblInd w:w="1418" w:type="dxa"/>
      <w:tblBorders>
        <w:top w:val="nil"/>
        <w:left w:val="nil"/>
        <w:bottom w:val="nil"/>
        <w:right w:val="nil"/>
        <w:insideH w:val="nil"/>
        <w:insideV w:val="nil"/>
      </w:tblBorders>
      <w:tblLayout w:type="fixed"/>
      <w:tblLook w:val="0400" w:firstRow="0" w:lastRow="0" w:firstColumn="0" w:lastColumn="0" w:noHBand="0" w:noVBand="1"/>
    </w:tblPr>
    <w:tblGrid>
      <w:gridCol w:w="3828"/>
      <w:gridCol w:w="3826"/>
    </w:tblGrid>
    <w:tr w:rsidR="00AE6BCC" w14:paraId="5FEF0D99" w14:textId="77777777" w:rsidTr="0069079A">
      <w:trPr>
        <w:trHeight w:val="302"/>
      </w:trPr>
      <w:tc>
        <w:tcPr>
          <w:tcW w:w="3828" w:type="dxa"/>
        </w:tcPr>
        <w:p w14:paraId="2A505468"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826" w:type="dxa"/>
        </w:tcPr>
        <w:p w14:paraId="66C2F2F2" w14:textId="77777777" w:rsidR="00AE6BCC" w:rsidRDefault="00AE6BCC">
          <w:pPr>
            <w:tabs>
              <w:tab w:val="right" w:pos="8838"/>
            </w:tabs>
            <w:jc w:val="both"/>
            <w:rPr>
              <w:rFonts w:ascii="Palatino Linotype" w:eastAsia="Palatino Linotype" w:hAnsi="Palatino Linotype" w:cs="Palatino Linotype"/>
              <w:sz w:val="22"/>
              <w:szCs w:val="22"/>
            </w:rPr>
          </w:pPr>
          <w:r w:rsidRPr="00CE1621">
            <w:rPr>
              <w:rFonts w:ascii="Palatino Linotype" w:eastAsia="Palatino Linotype" w:hAnsi="Palatino Linotype" w:cs="Palatino Linotype"/>
              <w:sz w:val="22"/>
              <w:szCs w:val="22"/>
            </w:rPr>
            <w:t>00741/INFOEM/IP/RR/2025</w:t>
          </w:r>
        </w:p>
      </w:tc>
    </w:tr>
    <w:tr w:rsidR="00AE6BCC" w14:paraId="653A9A42" w14:textId="77777777" w:rsidTr="0069079A">
      <w:trPr>
        <w:trHeight w:val="110"/>
      </w:trPr>
      <w:tc>
        <w:tcPr>
          <w:tcW w:w="3828" w:type="dxa"/>
        </w:tcPr>
        <w:p w14:paraId="70E97EB2"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826" w:type="dxa"/>
        </w:tcPr>
        <w:p w14:paraId="48AE63E1" w14:textId="4B0BB07B" w:rsidR="00AE6BCC" w:rsidRDefault="00B4242F" w:rsidP="00CE1621">
          <w:pPr>
            <w:tabs>
              <w:tab w:val="right" w:pos="8838"/>
            </w:tabs>
            <w:jc w:val="both"/>
            <w:rPr>
              <w:rFonts w:ascii="Palatino Linotype" w:eastAsia="Palatino Linotype" w:hAnsi="Palatino Linotype" w:cs="Palatino Linotype"/>
              <w:sz w:val="22"/>
              <w:szCs w:val="22"/>
            </w:rPr>
          </w:pPr>
          <w:r w:rsidRPr="005070B3">
            <w:rPr>
              <w:bCs/>
              <w:highlight w:val="black"/>
            </w:rPr>
            <w:t>XX</w:t>
          </w:r>
          <w:r>
            <w:rPr>
              <w:bCs/>
              <w:highlight w:val="black"/>
            </w:rPr>
            <w:t>XXXXXXXXX</w:t>
          </w:r>
        </w:p>
      </w:tc>
    </w:tr>
    <w:tr w:rsidR="00AE6BCC" w14:paraId="175B7659" w14:textId="77777777" w:rsidTr="0069079A">
      <w:trPr>
        <w:trHeight w:val="248"/>
      </w:trPr>
      <w:tc>
        <w:tcPr>
          <w:tcW w:w="3828" w:type="dxa"/>
        </w:tcPr>
        <w:p w14:paraId="143CC8EB"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826" w:type="dxa"/>
        </w:tcPr>
        <w:p w14:paraId="7AF4AB45" w14:textId="4C029A81" w:rsidR="00AE6BCC" w:rsidRDefault="0069079A">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Toluca</w:t>
          </w:r>
        </w:p>
      </w:tc>
    </w:tr>
    <w:tr w:rsidR="00AE6BCC" w14:paraId="7987C326" w14:textId="77777777" w:rsidTr="0069079A">
      <w:trPr>
        <w:trHeight w:val="248"/>
      </w:trPr>
      <w:tc>
        <w:tcPr>
          <w:tcW w:w="3828" w:type="dxa"/>
        </w:tcPr>
        <w:p w14:paraId="2AD7E69C" w14:textId="77777777" w:rsidR="00AE6BCC" w:rsidRDefault="00AE6BC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826" w:type="dxa"/>
        </w:tcPr>
        <w:p w14:paraId="37B6C3F1" w14:textId="77777777" w:rsidR="00AE6BCC" w:rsidRDefault="00AE6BCC">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68567766" w14:textId="77777777" w:rsidR="00AE6BCC" w:rsidRDefault="00397FE3">
    <w:pPr>
      <w:ind w:right="-312"/>
    </w:pPr>
    <w:r>
      <w:pict w14:anchorId="05821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111A"/>
    <w:multiLevelType w:val="hybridMultilevel"/>
    <w:tmpl w:val="6C80E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93E4D"/>
    <w:multiLevelType w:val="multilevel"/>
    <w:tmpl w:val="86FE66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B484991"/>
    <w:multiLevelType w:val="hybridMultilevel"/>
    <w:tmpl w:val="FF143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9653E8"/>
    <w:multiLevelType w:val="multilevel"/>
    <w:tmpl w:val="759C6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1146EF"/>
    <w:multiLevelType w:val="hybridMultilevel"/>
    <w:tmpl w:val="F69662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6133EC"/>
    <w:multiLevelType w:val="hybridMultilevel"/>
    <w:tmpl w:val="FA38B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2B1D12"/>
    <w:multiLevelType w:val="hybridMultilevel"/>
    <w:tmpl w:val="110AF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DE6470"/>
    <w:multiLevelType w:val="multilevel"/>
    <w:tmpl w:val="ABCAFA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71400E"/>
    <w:multiLevelType w:val="hybridMultilevel"/>
    <w:tmpl w:val="59D0E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FF3072"/>
    <w:multiLevelType w:val="multilevel"/>
    <w:tmpl w:val="86E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3"/>
  </w:num>
  <w:num w:numId="4">
    <w:abstractNumId w:val="1"/>
  </w:num>
  <w:num w:numId="5">
    <w:abstractNumId w:val="5"/>
  </w:num>
  <w:num w:numId="6">
    <w:abstractNumId w:val="2"/>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FA"/>
    <w:rsid w:val="00006AA5"/>
    <w:rsid w:val="00031A5C"/>
    <w:rsid w:val="00041245"/>
    <w:rsid w:val="000B2571"/>
    <w:rsid w:val="000B6F7D"/>
    <w:rsid w:val="000C674F"/>
    <w:rsid w:val="000F41A3"/>
    <w:rsid w:val="001257A1"/>
    <w:rsid w:val="00135BCE"/>
    <w:rsid w:val="00146E20"/>
    <w:rsid w:val="00186AAF"/>
    <w:rsid w:val="001C47AF"/>
    <w:rsid w:val="001F216E"/>
    <w:rsid w:val="00232EF5"/>
    <w:rsid w:val="00286DE9"/>
    <w:rsid w:val="00286EFA"/>
    <w:rsid w:val="002871A5"/>
    <w:rsid w:val="002B1DEE"/>
    <w:rsid w:val="002C04AA"/>
    <w:rsid w:val="002C4894"/>
    <w:rsid w:val="002D797C"/>
    <w:rsid w:val="00334ACC"/>
    <w:rsid w:val="00373E7C"/>
    <w:rsid w:val="0039105F"/>
    <w:rsid w:val="00397FE3"/>
    <w:rsid w:val="003B1C79"/>
    <w:rsid w:val="003F7BDC"/>
    <w:rsid w:val="00447021"/>
    <w:rsid w:val="00474968"/>
    <w:rsid w:val="004A3169"/>
    <w:rsid w:val="004B2AE7"/>
    <w:rsid w:val="00564670"/>
    <w:rsid w:val="006253C6"/>
    <w:rsid w:val="0069079A"/>
    <w:rsid w:val="00697A8F"/>
    <w:rsid w:val="006A4EFB"/>
    <w:rsid w:val="00742662"/>
    <w:rsid w:val="0077506E"/>
    <w:rsid w:val="00784204"/>
    <w:rsid w:val="007C78EE"/>
    <w:rsid w:val="00874159"/>
    <w:rsid w:val="008C52C6"/>
    <w:rsid w:val="008E539F"/>
    <w:rsid w:val="00902634"/>
    <w:rsid w:val="00977F4B"/>
    <w:rsid w:val="00995404"/>
    <w:rsid w:val="00996471"/>
    <w:rsid w:val="00996A27"/>
    <w:rsid w:val="00A2748F"/>
    <w:rsid w:val="00AA72FD"/>
    <w:rsid w:val="00AD7E2C"/>
    <w:rsid w:val="00AE6BCC"/>
    <w:rsid w:val="00B4242F"/>
    <w:rsid w:val="00B53FF1"/>
    <w:rsid w:val="00B768A1"/>
    <w:rsid w:val="00B83CBC"/>
    <w:rsid w:val="00B94045"/>
    <w:rsid w:val="00B94085"/>
    <w:rsid w:val="00B96126"/>
    <w:rsid w:val="00BA4C64"/>
    <w:rsid w:val="00C00E78"/>
    <w:rsid w:val="00C07D69"/>
    <w:rsid w:val="00C16377"/>
    <w:rsid w:val="00C4492F"/>
    <w:rsid w:val="00C739DC"/>
    <w:rsid w:val="00C933C4"/>
    <w:rsid w:val="00CA34DC"/>
    <w:rsid w:val="00CE1621"/>
    <w:rsid w:val="00CF5CFA"/>
    <w:rsid w:val="00D10C3E"/>
    <w:rsid w:val="00D16600"/>
    <w:rsid w:val="00D23AB1"/>
    <w:rsid w:val="00D44CFB"/>
    <w:rsid w:val="00D51474"/>
    <w:rsid w:val="00D7385D"/>
    <w:rsid w:val="00E035A4"/>
    <w:rsid w:val="00EC79FC"/>
    <w:rsid w:val="00EE1AB2"/>
    <w:rsid w:val="00F179CB"/>
    <w:rsid w:val="00F55BB0"/>
    <w:rsid w:val="00F7606D"/>
    <w:rsid w:val="00F9651F"/>
    <w:rsid w:val="00FA61F8"/>
    <w:rsid w:val="00FE773D"/>
    <w:rsid w:val="00FF0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97051"/>
  <w15:docId w15:val="{F1F43B96-2873-4356-8DEC-3F1DB96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690"/>
    <w:rPr>
      <w:lang w:eastAsia="es-ES"/>
    </w:rPr>
  </w:style>
  <w:style w:type="paragraph" w:styleId="Ttulo1">
    <w:name w:val="heading 1"/>
    <w:basedOn w:val="Normal"/>
    <w:next w:val="Normal"/>
    <w:link w:val="Ttulo1Car"/>
    <w:uiPriority w:val="9"/>
    <w:qFormat/>
    <w:rsid w:val="0079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9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9169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169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169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16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16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16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16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91690"/>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9169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9169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169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169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169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16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16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16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1690"/>
    <w:rPr>
      <w:rFonts w:eastAsiaTheme="majorEastAsia" w:cstheme="majorBidi"/>
      <w:color w:val="272727" w:themeColor="text1" w:themeTint="D8"/>
    </w:rPr>
  </w:style>
  <w:style w:type="character" w:customStyle="1" w:styleId="PuestoCar">
    <w:name w:val="Puesto Car"/>
    <w:basedOn w:val="Fuentedeprrafopredeter"/>
    <w:link w:val="Puesto"/>
    <w:uiPriority w:val="10"/>
    <w:rsid w:val="007916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916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1690"/>
    <w:pPr>
      <w:spacing w:before="160"/>
      <w:jc w:val="center"/>
    </w:pPr>
    <w:rPr>
      <w:i/>
      <w:iCs/>
      <w:color w:val="404040" w:themeColor="text1" w:themeTint="BF"/>
    </w:rPr>
  </w:style>
  <w:style w:type="character" w:customStyle="1" w:styleId="CitaCar">
    <w:name w:val="Cita Car"/>
    <w:basedOn w:val="Fuentedeprrafopredeter"/>
    <w:link w:val="Cita"/>
    <w:uiPriority w:val="29"/>
    <w:rsid w:val="0079169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690"/>
    <w:pPr>
      <w:ind w:left="720"/>
      <w:contextualSpacing/>
    </w:pPr>
  </w:style>
  <w:style w:type="character" w:styleId="nfasisintenso">
    <w:name w:val="Intense Emphasis"/>
    <w:basedOn w:val="Fuentedeprrafopredeter"/>
    <w:uiPriority w:val="21"/>
    <w:qFormat/>
    <w:rsid w:val="00791690"/>
    <w:rPr>
      <w:i/>
      <w:iCs/>
      <w:color w:val="2F5496" w:themeColor="accent1" w:themeShade="BF"/>
    </w:rPr>
  </w:style>
  <w:style w:type="paragraph" w:styleId="Citadestacada">
    <w:name w:val="Intense Quote"/>
    <w:basedOn w:val="Normal"/>
    <w:next w:val="Normal"/>
    <w:link w:val="CitadestacadaCar"/>
    <w:uiPriority w:val="30"/>
    <w:qFormat/>
    <w:rsid w:val="0079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1690"/>
    <w:rPr>
      <w:i/>
      <w:iCs/>
      <w:color w:val="2F5496" w:themeColor="accent1" w:themeShade="BF"/>
    </w:rPr>
  </w:style>
  <w:style w:type="character" w:styleId="Referenciaintensa">
    <w:name w:val="Intense Reference"/>
    <w:basedOn w:val="Fuentedeprrafopredeter"/>
    <w:uiPriority w:val="32"/>
    <w:qFormat/>
    <w:rsid w:val="00791690"/>
    <w:rPr>
      <w:b/>
      <w:bCs/>
      <w:smallCaps/>
      <w:color w:val="2F5496" w:themeColor="accent1" w:themeShade="BF"/>
      <w:spacing w:val="5"/>
    </w:rPr>
  </w:style>
  <w:style w:type="paragraph" w:styleId="Encabezado">
    <w:name w:val="header"/>
    <w:basedOn w:val="Normal"/>
    <w:link w:val="EncabezadoCar"/>
    <w:uiPriority w:val="99"/>
    <w:unhideWhenUsed/>
    <w:rsid w:val="00791690"/>
    <w:pPr>
      <w:tabs>
        <w:tab w:val="center" w:pos="4419"/>
        <w:tab w:val="right" w:pos="8838"/>
      </w:tabs>
    </w:pPr>
  </w:style>
  <w:style w:type="character" w:customStyle="1" w:styleId="EncabezadoCar">
    <w:name w:val="Encabezado Car"/>
    <w:basedOn w:val="Fuentedeprrafopredeter"/>
    <w:link w:val="Encabezado"/>
    <w:uiPriority w:val="99"/>
    <w:rsid w:val="0079169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91690"/>
    <w:pPr>
      <w:tabs>
        <w:tab w:val="center" w:pos="4419"/>
        <w:tab w:val="right" w:pos="8838"/>
      </w:tabs>
    </w:pPr>
  </w:style>
  <w:style w:type="character" w:customStyle="1" w:styleId="PiedepginaCar">
    <w:name w:val="Pie de página Car"/>
    <w:basedOn w:val="Fuentedeprrafopredeter"/>
    <w:link w:val="Piedepgina"/>
    <w:uiPriority w:val="99"/>
    <w:rsid w:val="0079169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91690"/>
  </w:style>
  <w:style w:type="table" w:styleId="Tablaconcuadrcula">
    <w:name w:val="Table Grid"/>
    <w:basedOn w:val="Tablanormal"/>
    <w:uiPriority w:val="39"/>
    <w:rsid w:val="0079169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1690"/>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791690"/>
    <w:rPr>
      <w:color w:val="0563C1" w:themeColor="hyperlink"/>
      <w:u w:val="single"/>
    </w:rPr>
  </w:style>
  <w:style w:type="paragraph" w:styleId="TtulodeTDC">
    <w:name w:val="TOC Heading"/>
    <w:basedOn w:val="Ttulo1"/>
    <w:next w:val="Normal"/>
    <w:uiPriority w:val="39"/>
    <w:unhideWhenUsed/>
    <w:qFormat/>
    <w:rsid w:val="00791690"/>
    <w:pPr>
      <w:spacing w:before="240" w:after="0"/>
      <w:outlineLvl w:val="9"/>
    </w:pPr>
    <w:rPr>
      <w:sz w:val="32"/>
      <w:szCs w:val="32"/>
      <w:lang w:eastAsia="es-MX"/>
    </w:rPr>
  </w:style>
  <w:style w:type="paragraph" w:styleId="TDC1">
    <w:name w:val="toc 1"/>
    <w:basedOn w:val="Normal"/>
    <w:next w:val="Normal"/>
    <w:autoRedefine/>
    <w:uiPriority w:val="39"/>
    <w:unhideWhenUsed/>
    <w:rsid w:val="00791690"/>
    <w:pPr>
      <w:spacing w:after="100"/>
    </w:pPr>
  </w:style>
  <w:style w:type="paragraph" w:styleId="TDC2">
    <w:name w:val="toc 2"/>
    <w:basedOn w:val="Normal"/>
    <w:next w:val="Normal"/>
    <w:autoRedefine/>
    <w:uiPriority w:val="39"/>
    <w:unhideWhenUsed/>
    <w:rsid w:val="00791690"/>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Hipervnculovisitado">
    <w:name w:val="FollowedHyperlink"/>
    <w:basedOn w:val="Fuentedeprrafopredeter"/>
    <w:uiPriority w:val="99"/>
    <w:semiHidden/>
    <w:unhideWhenUsed/>
    <w:rsid w:val="00697A8F"/>
    <w:rPr>
      <w:color w:val="954F72" w:themeColor="followedHyperlink"/>
      <w:u w:val="single"/>
    </w:rPr>
  </w:style>
  <w:style w:type="character" w:customStyle="1" w:styleId="UnresolvedMention">
    <w:name w:val="Unresolved Mention"/>
    <w:basedOn w:val="Fuentedeprrafopredeter"/>
    <w:uiPriority w:val="99"/>
    <w:semiHidden/>
    <w:unhideWhenUsed/>
    <w:rsid w:val="00287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9741">
      <w:bodyDiv w:val="1"/>
      <w:marLeft w:val="0"/>
      <w:marRight w:val="0"/>
      <w:marTop w:val="0"/>
      <w:marBottom w:val="0"/>
      <w:divBdr>
        <w:top w:val="none" w:sz="0" w:space="0" w:color="auto"/>
        <w:left w:val="none" w:sz="0" w:space="0" w:color="auto"/>
        <w:bottom w:val="none" w:sz="0" w:space="0" w:color="auto"/>
        <w:right w:val="none" w:sz="0" w:space="0" w:color="auto"/>
      </w:divBdr>
    </w:div>
    <w:div w:id="468132955">
      <w:bodyDiv w:val="1"/>
      <w:marLeft w:val="0"/>
      <w:marRight w:val="0"/>
      <w:marTop w:val="0"/>
      <w:marBottom w:val="0"/>
      <w:divBdr>
        <w:top w:val="none" w:sz="0" w:space="0" w:color="auto"/>
        <w:left w:val="none" w:sz="0" w:space="0" w:color="auto"/>
        <w:bottom w:val="none" w:sz="0" w:space="0" w:color="auto"/>
        <w:right w:val="none" w:sz="0" w:space="0" w:color="auto"/>
      </w:divBdr>
    </w:div>
    <w:div w:id="676885823">
      <w:bodyDiv w:val="1"/>
      <w:marLeft w:val="0"/>
      <w:marRight w:val="0"/>
      <w:marTop w:val="0"/>
      <w:marBottom w:val="0"/>
      <w:divBdr>
        <w:top w:val="none" w:sz="0" w:space="0" w:color="auto"/>
        <w:left w:val="none" w:sz="0" w:space="0" w:color="auto"/>
        <w:bottom w:val="none" w:sz="0" w:space="0" w:color="auto"/>
        <w:right w:val="none" w:sz="0" w:space="0" w:color="auto"/>
      </w:divBdr>
    </w:div>
    <w:div w:id="681667900">
      <w:bodyDiv w:val="1"/>
      <w:marLeft w:val="0"/>
      <w:marRight w:val="0"/>
      <w:marTop w:val="0"/>
      <w:marBottom w:val="0"/>
      <w:divBdr>
        <w:top w:val="none" w:sz="0" w:space="0" w:color="auto"/>
        <w:left w:val="none" w:sz="0" w:space="0" w:color="auto"/>
        <w:bottom w:val="none" w:sz="0" w:space="0" w:color="auto"/>
        <w:right w:val="none" w:sz="0" w:space="0" w:color="auto"/>
      </w:divBdr>
    </w:div>
    <w:div w:id="841164776">
      <w:bodyDiv w:val="1"/>
      <w:marLeft w:val="0"/>
      <w:marRight w:val="0"/>
      <w:marTop w:val="0"/>
      <w:marBottom w:val="0"/>
      <w:divBdr>
        <w:top w:val="none" w:sz="0" w:space="0" w:color="auto"/>
        <w:left w:val="none" w:sz="0" w:space="0" w:color="auto"/>
        <w:bottom w:val="none" w:sz="0" w:space="0" w:color="auto"/>
        <w:right w:val="none" w:sz="0" w:space="0" w:color="auto"/>
      </w:divBdr>
    </w:div>
    <w:div w:id="1362778396">
      <w:bodyDiv w:val="1"/>
      <w:marLeft w:val="0"/>
      <w:marRight w:val="0"/>
      <w:marTop w:val="0"/>
      <w:marBottom w:val="0"/>
      <w:divBdr>
        <w:top w:val="none" w:sz="0" w:space="0" w:color="auto"/>
        <w:left w:val="none" w:sz="0" w:space="0" w:color="auto"/>
        <w:bottom w:val="none" w:sz="0" w:space="0" w:color="auto"/>
        <w:right w:val="none" w:sz="0" w:space="0" w:color="auto"/>
      </w:divBdr>
    </w:div>
    <w:div w:id="1384787330">
      <w:bodyDiv w:val="1"/>
      <w:marLeft w:val="0"/>
      <w:marRight w:val="0"/>
      <w:marTop w:val="0"/>
      <w:marBottom w:val="0"/>
      <w:divBdr>
        <w:top w:val="none" w:sz="0" w:space="0" w:color="auto"/>
        <w:left w:val="none" w:sz="0" w:space="0" w:color="auto"/>
        <w:bottom w:val="none" w:sz="0" w:space="0" w:color="auto"/>
        <w:right w:val="none" w:sz="0" w:space="0" w:color="auto"/>
      </w:divBdr>
    </w:div>
    <w:div w:id="2035377811">
      <w:bodyDiv w:val="1"/>
      <w:marLeft w:val="0"/>
      <w:marRight w:val="0"/>
      <w:marTop w:val="0"/>
      <w:marBottom w:val="0"/>
      <w:divBdr>
        <w:top w:val="none" w:sz="0" w:space="0" w:color="auto"/>
        <w:left w:val="none" w:sz="0" w:space="0" w:color="auto"/>
        <w:bottom w:val="none" w:sz="0" w:space="0" w:color="auto"/>
        <w:right w:val="none" w:sz="0" w:space="0" w:color="auto"/>
      </w:divBdr>
    </w:div>
    <w:div w:id="213077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em.org.mx/es/contenido/datospersona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XUG3pZWvcw6BYkYwGufCHfVmA==">CgMxLjAyCGguZ2pkZ3hzMgloLjMwajB6bGwyCWguMWZvYjl0ZTgAciExMXIyRkotRTNhcUJLMmNMM1hnb3FUTGRTY0poUGdkbE0=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7206</Words>
  <Characters>39638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4</cp:revision>
  <cp:lastPrinted>2025-02-28T17:15:00Z</cp:lastPrinted>
  <dcterms:created xsi:type="dcterms:W3CDTF">2025-02-28T17:15:00Z</dcterms:created>
  <dcterms:modified xsi:type="dcterms:W3CDTF">2025-03-10T23:21:00Z</dcterms:modified>
</cp:coreProperties>
</file>