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54E42"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71012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14:paraId="6118214D" w14:textId="1F0F7AF8" w:rsidR="00437BD3" w:rsidRPr="0071012D" w:rsidRDefault="00B77E02">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71012D">
        <w:rPr>
          <w:rFonts w:ascii="Palatino Linotype" w:eastAsia="Palatino Linotype" w:hAnsi="Palatino Linotype" w:cs="Palatino Linotype"/>
          <w:b/>
        </w:rPr>
        <w:t>VISTO</w:t>
      </w:r>
      <w:r w:rsidRPr="0071012D">
        <w:rPr>
          <w:rFonts w:ascii="Palatino Linotype" w:eastAsia="Palatino Linotype" w:hAnsi="Palatino Linotype" w:cs="Palatino Linotype"/>
        </w:rPr>
        <w:t xml:space="preserve"> el expediente formado con motivo del recurso de revisión </w:t>
      </w:r>
      <w:r w:rsidRPr="0071012D">
        <w:rPr>
          <w:rFonts w:ascii="Palatino Linotype" w:eastAsia="Palatino Linotype" w:hAnsi="Palatino Linotype" w:cs="Palatino Linotype"/>
          <w:b/>
        </w:rPr>
        <w:t>07744/INFOEM/IP/RR/2025</w:t>
      </w:r>
      <w:r w:rsidRPr="0071012D">
        <w:rPr>
          <w:rFonts w:ascii="Palatino Linotype" w:eastAsia="Palatino Linotype" w:hAnsi="Palatino Linotype" w:cs="Palatino Linotype"/>
        </w:rPr>
        <w:t>, interpuesto por</w:t>
      </w:r>
      <w:r w:rsidRPr="0071012D">
        <w:rPr>
          <w:rFonts w:ascii="Palatino Linotype" w:eastAsia="Palatino Linotype" w:hAnsi="Palatino Linotype" w:cs="Palatino Linotype"/>
          <w:b/>
        </w:rPr>
        <w:t xml:space="preserve"> </w:t>
      </w:r>
      <w:r w:rsidR="00F31437" w:rsidRPr="00F31437">
        <w:rPr>
          <w:rFonts w:ascii="Palatino Linotype" w:eastAsia="Palatino Linotype" w:hAnsi="Palatino Linotype" w:cs="Palatino Linotype"/>
          <w:b/>
        </w:rPr>
        <w:t>XXXXXXXX XXXXXX XXXXX</w:t>
      </w:r>
      <w:r w:rsidRPr="00F31437">
        <w:rPr>
          <w:rFonts w:ascii="Palatino Linotype" w:eastAsia="Palatino Linotype" w:hAnsi="Palatino Linotype" w:cs="Palatino Linotype"/>
          <w:b/>
        </w:rPr>
        <w:t>,</w:t>
      </w:r>
      <w:bookmarkStart w:id="2" w:name="_GoBack"/>
      <w:bookmarkEnd w:id="2"/>
      <w:r w:rsidRPr="0071012D">
        <w:rPr>
          <w:rFonts w:ascii="Palatino Linotype" w:eastAsia="Palatino Linotype" w:hAnsi="Palatino Linotype" w:cs="Palatino Linotype"/>
        </w:rPr>
        <w:t xml:space="preserve"> en lo sucesivo</w:t>
      </w:r>
      <w:r w:rsidRPr="0071012D">
        <w:rPr>
          <w:rFonts w:ascii="Palatino Linotype" w:eastAsia="Palatino Linotype" w:hAnsi="Palatino Linotype" w:cs="Palatino Linotype"/>
          <w:b/>
        </w:rPr>
        <w:t xml:space="preserve"> </w:t>
      </w:r>
      <w:r w:rsidRPr="0071012D">
        <w:rPr>
          <w:rFonts w:ascii="Palatino Linotype" w:eastAsia="Palatino Linotype" w:hAnsi="Palatino Linotype" w:cs="Palatino Linotype"/>
        </w:rPr>
        <w:t xml:space="preserve">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xml:space="preserve"> en contra de la respuesta a la solicitud de información con número de folio</w:t>
      </w:r>
      <w:r w:rsidRPr="0071012D">
        <w:rPr>
          <w:rFonts w:ascii="Palatino Linotype" w:eastAsia="Palatino Linotype" w:hAnsi="Palatino Linotype" w:cs="Palatino Linotype"/>
          <w:b/>
        </w:rPr>
        <w:t xml:space="preserve"> 00309/ALMOJU/IP/2025, </w:t>
      </w:r>
      <w:r w:rsidRPr="0071012D">
        <w:rPr>
          <w:rFonts w:ascii="Palatino Linotype" w:eastAsia="Palatino Linotype" w:hAnsi="Palatino Linotype" w:cs="Palatino Linotype"/>
        </w:rPr>
        <w:t xml:space="preserve">por parte del </w:t>
      </w:r>
      <w:r w:rsidRPr="0071012D">
        <w:rPr>
          <w:rFonts w:ascii="Palatino Linotype" w:eastAsia="Palatino Linotype" w:hAnsi="Palatino Linotype" w:cs="Palatino Linotype"/>
          <w:b/>
        </w:rPr>
        <w:t xml:space="preserve">Ayuntamiento de Almoloya de Juárez, </w:t>
      </w:r>
      <w:r w:rsidRPr="0071012D">
        <w:rPr>
          <w:rFonts w:ascii="Palatino Linotype" w:eastAsia="Palatino Linotype" w:hAnsi="Palatino Linotype" w:cs="Palatino Linotype"/>
        </w:rPr>
        <w:t xml:space="preserve">en lo sucesivo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 xml:space="preserve">se procede a dictar la presente resolución con base en los siguientes: </w:t>
      </w:r>
    </w:p>
    <w:p w14:paraId="75C27351" w14:textId="77777777" w:rsidR="00437BD3" w:rsidRPr="0071012D" w:rsidRDefault="00B77E02">
      <w:pPr>
        <w:spacing w:before="240" w:after="240" w:line="360" w:lineRule="auto"/>
        <w:jc w:val="center"/>
        <w:rPr>
          <w:rFonts w:ascii="Palatino Linotype" w:eastAsia="Palatino Linotype" w:hAnsi="Palatino Linotype" w:cs="Palatino Linotype"/>
          <w:b/>
        </w:rPr>
      </w:pPr>
      <w:r w:rsidRPr="0071012D">
        <w:rPr>
          <w:rFonts w:ascii="Palatino Linotype" w:eastAsia="Palatino Linotype" w:hAnsi="Palatino Linotype" w:cs="Palatino Linotype"/>
          <w:b/>
        </w:rPr>
        <w:t>I. A N T E C E D E N T E S</w:t>
      </w:r>
    </w:p>
    <w:p w14:paraId="3FCEDD4B"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3" w:name="_heading=h.gjdgxs" w:colFirst="0" w:colLast="0"/>
      <w:bookmarkEnd w:id="3"/>
      <w:r w:rsidRPr="0071012D">
        <w:rPr>
          <w:rFonts w:ascii="Palatino Linotype" w:eastAsia="Palatino Linotype" w:hAnsi="Palatino Linotype" w:cs="Palatino Linotype"/>
          <w:b/>
        </w:rPr>
        <w:t>1. Solicitud de acceso a la información.</w:t>
      </w:r>
      <w:r w:rsidRPr="0071012D">
        <w:rPr>
          <w:rFonts w:ascii="Palatino Linotype" w:eastAsia="Palatino Linotype" w:hAnsi="Palatino Linotype" w:cs="Palatino Linotype"/>
        </w:rPr>
        <w:t xml:space="preserve"> El </w:t>
      </w:r>
      <w:r w:rsidRPr="0071012D">
        <w:rPr>
          <w:rFonts w:ascii="Palatino Linotype" w:eastAsia="Palatino Linotype" w:hAnsi="Palatino Linotype" w:cs="Palatino Linotype"/>
          <w:b/>
        </w:rPr>
        <w:t>dos de junio de dos mil veinticinco,</w:t>
      </w:r>
      <w:r w:rsidRPr="0071012D">
        <w:rPr>
          <w:rFonts w:ascii="Palatino Linotype" w:eastAsia="Palatino Linotype" w:hAnsi="Palatino Linotype" w:cs="Palatino Linotype"/>
        </w:rPr>
        <w:t xml:space="preserve"> la parte </w:t>
      </w:r>
      <w:r w:rsidRPr="0071012D">
        <w:rPr>
          <w:rFonts w:ascii="Palatino Linotype" w:eastAsia="Palatino Linotype" w:hAnsi="Palatino Linotype" w:cs="Palatino Linotype"/>
          <w:b/>
        </w:rPr>
        <w:t xml:space="preserve">Recurrente </w:t>
      </w:r>
      <w:r w:rsidRPr="0071012D">
        <w:rPr>
          <w:rFonts w:ascii="Palatino Linotype" w:eastAsia="Palatino Linotype" w:hAnsi="Palatino Linotype" w:cs="Palatino Linotype"/>
        </w:rPr>
        <w:t xml:space="preserve">presentó la solicitud de acceso a la información pública ante 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a través del Sistema de Acceso a la Información Mexiquense, en lo subsecuente el </w:t>
      </w:r>
      <w:r w:rsidRPr="0071012D">
        <w:rPr>
          <w:rFonts w:ascii="Palatino Linotype" w:eastAsia="Palatino Linotype" w:hAnsi="Palatino Linotype" w:cs="Palatino Linotype"/>
          <w:b/>
        </w:rPr>
        <w:t>SAIMEX,</w:t>
      </w:r>
      <w:r w:rsidRPr="0071012D">
        <w:rPr>
          <w:rFonts w:ascii="Palatino Linotype" w:eastAsia="Palatino Linotype" w:hAnsi="Palatino Linotype" w:cs="Palatino Linotype"/>
        </w:rPr>
        <w:t xml:space="preserve"> mediante la cual requirió lo siguiente:</w:t>
      </w:r>
    </w:p>
    <w:p w14:paraId="7E0C4B40" w14:textId="77777777" w:rsidR="00437BD3" w:rsidRPr="0071012D" w:rsidRDefault="00B77E02">
      <w:pPr>
        <w:spacing w:before="120" w:after="120"/>
        <w:ind w:left="851" w:right="902"/>
        <w:jc w:val="both"/>
        <w:rPr>
          <w:rFonts w:ascii="Palatino Linotype" w:eastAsia="Palatino Linotype" w:hAnsi="Palatino Linotype" w:cs="Palatino Linotype"/>
          <w:b/>
          <w:i/>
          <w:sz w:val="22"/>
          <w:szCs w:val="22"/>
        </w:rPr>
      </w:pPr>
      <w:r w:rsidRPr="0071012D">
        <w:rPr>
          <w:rFonts w:ascii="Palatino Linotype" w:eastAsia="Palatino Linotype" w:hAnsi="Palatino Linotype" w:cs="Palatino Linotype"/>
          <w:i/>
          <w:sz w:val="22"/>
          <w:szCs w:val="22"/>
        </w:rPr>
        <w:t xml:space="preserve"> “inventario de bienes muebles e inmuebles actualizado</w:t>
      </w:r>
      <w:r w:rsidRPr="0071012D">
        <w:rPr>
          <w:rFonts w:ascii="Palatino Linotype" w:eastAsia="Palatino Linotype" w:hAnsi="Palatino Linotype" w:cs="Palatino Linotype"/>
          <w:b/>
          <w:i/>
          <w:sz w:val="22"/>
          <w:szCs w:val="22"/>
        </w:rPr>
        <w:t>”</w:t>
      </w:r>
      <w:r w:rsidRPr="0071012D">
        <w:rPr>
          <w:rFonts w:ascii="Palatino Linotype" w:eastAsia="Palatino Linotype" w:hAnsi="Palatino Linotype" w:cs="Palatino Linotype"/>
          <w:i/>
          <w:sz w:val="22"/>
          <w:szCs w:val="22"/>
        </w:rPr>
        <w:t xml:space="preserve"> (sic) </w:t>
      </w:r>
    </w:p>
    <w:p w14:paraId="38AFE19E"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71012D">
        <w:rPr>
          <w:rFonts w:ascii="Palatino Linotype" w:eastAsia="Palatino Linotype" w:hAnsi="Palatino Linotype" w:cs="Palatino Linotype"/>
          <w:b/>
        </w:rPr>
        <w:t>Modalidad de Entrega:</w:t>
      </w:r>
      <w:r w:rsidRPr="0071012D">
        <w:rPr>
          <w:rFonts w:ascii="Palatino Linotype" w:eastAsia="Palatino Linotype" w:hAnsi="Palatino Linotype" w:cs="Palatino Linotype"/>
        </w:rPr>
        <w:t xml:space="preserve"> a través del</w:t>
      </w:r>
      <w:r w:rsidRPr="0071012D">
        <w:rPr>
          <w:rFonts w:ascii="Palatino Linotype" w:eastAsia="Palatino Linotype" w:hAnsi="Palatino Linotype" w:cs="Palatino Linotype"/>
          <w:b/>
        </w:rPr>
        <w:t xml:space="preserve"> SAIMEX.</w:t>
      </w:r>
    </w:p>
    <w:p w14:paraId="4E6F3E8B" w14:textId="77777777" w:rsidR="00437BD3" w:rsidRPr="0071012D" w:rsidRDefault="00B77E02">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b/>
        </w:rPr>
        <w:t xml:space="preserve">2. Respuesta. </w:t>
      </w:r>
      <w:r w:rsidRPr="0071012D">
        <w:rPr>
          <w:rFonts w:ascii="Palatino Linotype" w:eastAsia="Palatino Linotype" w:hAnsi="Palatino Linotype" w:cs="Palatino Linotype"/>
        </w:rPr>
        <w:t xml:space="preserve">El </w:t>
      </w:r>
      <w:r w:rsidRPr="0071012D">
        <w:rPr>
          <w:rFonts w:ascii="Palatino Linotype" w:eastAsia="Palatino Linotype" w:hAnsi="Palatino Linotype" w:cs="Palatino Linotype"/>
          <w:b/>
        </w:rPr>
        <w:t>veinticuatro de junio de dos mil veinticinco,</w:t>
      </w:r>
      <w:r w:rsidRPr="0071012D">
        <w:rPr>
          <w:rFonts w:ascii="Palatino Linotype" w:eastAsia="Palatino Linotype" w:hAnsi="Palatino Linotype" w:cs="Palatino Linotype"/>
        </w:rPr>
        <w:t xml:space="preserve">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1CBF33AA" w14:textId="77777777" w:rsidR="00437BD3" w:rsidRPr="0071012D" w:rsidRDefault="00B77E02">
      <w:pPr>
        <w:spacing w:before="240" w:after="24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lastRenderedPageBreak/>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 (sic)</w:t>
      </w:r>
    </w:p>
    <w:p w14:paraId="6E2DBA13"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adjuntó lo siguiente:</w:t>
      </w:r>
    </w:p>
    <w:p w14:paraId="6B486961"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Oficio número STGAJ/UT/342/2025, mediante el cual el titular de la Unidad de Transparencia turno la solicitud de información al Secretario del Ayuntamiento para su atención.</w:t>
      </w:r>
    </w:p>
    <w:p w14:paraId="53FF9F74"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Oficio número MAJ/SA/FVA/850/2025, mediante el cual el Secretario del Ayuntamiento refirió anexar los Inventarios de Bienes Muebles e Inmuebles al 31 de diciembre de 2024, al estar realizando el levantamiento del primer semestre de 2025, por lo cual los inventarios del se encuentran en proceso de actualización.</w:t>
      </w:r>
    </w:p>
    <w:p w14:paraId="109510AA"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Inventario de Bienes Inmuebles al 31 de diciembre de 2024, integro.</w:t>
      </w:r>
    </w:p>
    <w:p w14:paraId="41AD1656"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Inventario de Bienes Muebles al 31 de diciembre de 2024, testado.</w:t>
      </w:r>
    </w:p>
    <w:p w14:paraId="283EAD25"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b/>
        </w:rPr>
        <w:t>3.</w:t>
      </w:r>
      <w:r w:rsidRPr="0071012D">
        <w:rPr>
          <w:rFonts w:ascii="Palatino Linotype" w:eastAsia="Palatino Linotype" w:hAnsi="Palatino Linotype" w:cs="Palatino Linotype"/>
        </w:rPr>
        <w:t xml:space="preserve"> </w:t>
      </w:r>
      <w:r w:rsidRPr="0071012D">
        <w:rPr>
          <w:rFonts w:ascii="Palatino Linotype" w:eastAsia="Palatino Linotype" w:hAnsi="Palatino Linotype" w:cs="Palatino Linotype"/>
          <w:b/>
        </w:rPr>
        <w:t xml:space="preserve">Interposición del recurso de revisión. </w:t>
      </w:r>
      <w:r w:rsidRPr="0071012D">
        <w:rPr>
          <w:rFonts w:ascii="Palatino Linotype" w:eastAsia="Palatino Linotype" w:hAnsi="Palatino Linotype" w:cs="Palatino Linotype"/>
        </w:rPr>
        <w:t xml:space="preserve">Inconforme con los términos de la respuesta emitida por parte del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el </w:t>
      </w:r>
      <w:r w:rsidRPr="0071012D">
        <w:rPr>
          <w:rFonts w:ascii="Palatino Linotype" w:eastAsia="Palatino Linotype" w:hAnsi="Palatino Linotype" w:cs="Palatino Linotype"/>
          <w:b/>
        </w:rPr>
        <w:t>veinticinco de junio de dos mil veinticinco,</w:t>
      </w:r>
      <w:r w:rsidRPr="0071012D">
        <w:rPr>
          <w:rFonts w:ascii="Palatino Linotype" w:eastAsia="Palatino Linotype" w:hAnsi="Palatino Linotype" w:cs="Palatino Linotype"/>
        </w:rPr>
        <w:t xml:space="preserve"> 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xml:space="preserve"> interpuso el recurso de revisión a través de </w:t>
      </w:r>
      <w:r w:rsidRPr="0071012D">
        <w:rPr>
          <w:rFonts w:ascii="Palatino Linotype" w:eastAsia="Palatino Linotype" w:hAnsi="Palatino Linotype" w:cs="Palatino Linotype"/>
          <w:b/>
        </w:rPr>
        <w:t xml:space="preserve">SAIMEX, </w:t>
      </w:r>
      <w:r w:rsidRPr="0071012D">
        <w:rPr>
          <w:rFonts w:ascii="Palatino Linotype" w:eastAsia="Palatino Linotype" w:hAnsi="Palatino Linotype" w:cs="Palatino Linotype"/>
        </w:rPr>
        <w:t>en donde se manifestó de la siguiente manera:</w:t>
      </w:r>
    </w:p>
    <w:p w14:paraId="07853E5C" w14:textId="77777777" w:rsidR="00437BD3" w:rsidRPr="0071012D" w:rsidRDefault="00437BD3">
      <w:pPr>
        <w:spacing w:before="240" w:after="240" w:line="360" w:lineRule="auto"/>
        <w:ind w:right="49"/>
        <w:jc w:val="both"/>
        <w:rPr>
          <w:rFonts w:ascii="Palatino Linotype" w:eastAsia="Palatino Linotype" w:hAnsi="Palatino Linotype" w:cs="Palatino Linotype"/>
          <w:b/>
        </w:rPr>
      </w:pPr>
    </w:p>
    <w:p w14:paraId="1DB601B4" w14:textId="77777777" w:rsidR="00437BD3" w:rsidRPr="0071012D" w:rsidRDefault="00B77E02">
      <w:pPr>
        <w:spacing w:before="240" w:after="240" w:line="360" w:lineRule="auto"/>
        <w:ind w:right="49"/>
        <w:jc w:val="both"/>
        <w:rPr>
          <w:rFonts w:ascii="Palatino Linotype" w:eastAsia="Palatino Linotype" w:hAnsi="Palatino Linotype" w:cs="Palatino Linotype"/>
          <w:b/>
        </w:rPr>
      </w:pPr>
      <w:r w:rsidRPr="0071012D">
        <w:rPr>
          <w:rFonts w:ascii="Palatino Linotype" w:eastAsia="Palatino Linotype" w:hAnsi="Palatino Linotype" w:cs="Palatino Linotype"/>
          <w:b/>
        </w:rPr>
        <w:lastRenderedPageBreak/>
        <w:t xml:space="preserve">Acto impugnado: </w:t>
      </w:r>
    </w:p>
    <w:p w14:paraId="6A6C054B" w14:textId="77777777" w:rsidR="00437BD3" w:rsidRPr="0071012D" w:rsidRDefault="00B77E02">
      <w:pPr>
        <w:tabs>
          <w:tab w:val="left" w:pos="2745"/>
        </w:tabs>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“SE OCULTA INFORMACION” (sic)</w:t>
      </w:r>
    </w:p>
    <w:p w14:paraId="4D140335" w14:textId="77777777" w:rsidR="00437BD3" w:rsidRPr="0071012D" w:rsidRDefault="00B77E02">
      <w:pPr>
        <w:spacing w:line="360" w:lineRule="auto"/>
        <w:jc w:val="both"/>
        <w:rPr>
          <w:rFonts w:ascii="Palatino Linotype" w:eastAsia="Palatino Linotype" w:hAnsi="Palatino Linotype" w:cs="Palatino Linotype"/>
        </w:rPr>
      </w:pPr>
      <w:bookmarkStart w:id="5" w:name="_heading=h.30j0zll" w:colFirst="0" w:colLast="0"/>
      <w:bookmarkEnd w:id="5"/>
      <w:r w:rsidRPr="0071012D">
        <w:rPr>
          <w:rFonts w:ascii="Palatino Linotype" w:eastAsia="Palatino Linotype" w:hAnsi="Palatino Linotype" w:cs="Palatino Linotype"/>
          <w:b/>
        </w:rPr>
        <w:t>Y, Razones o motivos de inconformidad</w:t>
      </w:r>
      <w:r w:rsidRPr="0071012D">
        <w:rPr>
          <w:rFonts w:ascii="Palatino Linotype" w:eastAsia="Palatino Linotype" w:hAnsi="Palatino Linotype" w:cs="Palatino Linotype"/>
        </w:rPr>
        <w:t>:</w:t>
      </w:r>
    </w:p>
    <w:p w14:paraId="13CBF6DA" w14:textId="77777777" w:rsidR="00437BD3" w:rsidRPr="0071012D" w:rsidRDefault="00B77E02">
      <w:pPr>
        <w:tabs>
          <w:tab w:val="left" w:pos="2745"/>
        </w:tabs>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“SE OCULTA INFORMACION” (sic)</w:t>
      </w:r>
    </w:p>
    <w:p w14:paraId="12C9C092" w14:textId="77777777" w:rsidR="00437BD3" w:rsidRPr="0071012D" w:rsidRDefault="00B77E02">
      <w:pPr>
        <w:spacing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b/>
        </w:rPr>
        <w:t xml:space="preserve">4. Turno. </w:t>
      </w:r>
      <w:r w:rsidRPr="0071012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1012D">
        <w:rPr>
          <w:rFonts w:ascii="Palatino Linotype" w:eastAsia="Palatino Linotype" w:hAnsi="Palatino Linotype" w:cs="Palatino Linotype"/>
          <w:b/>
        </w:rPr>
        <w:t xml:space="preserve">Guadalupe Ramírez Peña, </w:t>
      </w:r>
      <w:r w:rsidRPr="0071012D">
        <w:rPr>
          <w:rFonts w:ascii="Palatino Linotype" w:eastAsia="Palatino Linotype" w:hAnsi="Palatino Linotype" w:cs="Palatino Linotype"/>
        </w:rPr>
        <w:t>a efecto de que analizara sobre su admisión o su desechamiento.</w:t>
      </w:r>
    </w:p>
    <w:p w14:paraId="60ED5D6E" w14:textId="77777777" w:rsidR="00437BD3" w:rsidRPr="0071012D" w:rsidRDefault="00B77E02">
      <w:pPr>
        <w:spacing w:before="240" w:after="240" w:line="360" w:lineRule="auto"/>
        <w:jc w:val="both"/>
        <w:rPr>
          <w:rFonts w:ascii="Palatino Linotype" w:eastAsia="Palatino Linotype" w:hAnsi="Palatino Linotype" w:cs="Palatino Linotype"/>
          <w:b/>
        </w:rPr>
      </w:pPr>
      <w:r w:rsidRPr="0071012D">
        <w:rPr>
          <w:rFonts w:ascii="Palatino Linotype" w:eastAsia="Palatino Linotype" w:hAnsi="Palatino Linotype" w:cs="Palatino Linotype"/>
          <w:b/>
        </w:rPr>
        <w:t>5. Admisión del Recurso de revisión.</w:t>
      </w:r>
      <w:r w:rsidRPr="0071012D">
        <w:rPr>
          <w:rFonts w:ascii="Palatino Linotype" w:eastAsia="Palatino Linotype" w:hAnsi="Palatino Linotype" w:cs="Palatino Linotype"/>
        </w:rPr>
        <w:t xml:space="preserve"> El</w:t>
      </w:r>
      <w:r w:rsidRPr="0071012D">
        <w:rPr>
          <w:rFonts w:ascii="Palatino Linotype" w:eastAsia="Palatino Linotype" w:hAnsi="Palatino Linotype" w:cs="Palatino Linotype"/>
          <w:b/>
        </w:rPr>
        <w:t xml:space="preserve"> treinta de junio de dos mil veinticinco, </w:t>
      </w:r>
      <w:r w:rsidRPr="0071012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presentara su informe justificado.</w:t>
      </w:r>
    </w:p>
    <w:p w14:paraId="0D262E3D"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71012D">
        <w:rPr>
          <w:rFonts w:ascii="Palatino Linotype" w:eastAsia="Palatino Linotype" w:hAnsi="Palatino Linotype" w:cs="Palatino Linotype"/>
          <w:b/>
        </w:rPr>
        <w:t>6. Manifestaciones</w:t>
      </w:r>
      <w:r w:rsidRPr="0071012D">
        <w:rPr>
          <w:rFonts w:ascii="Palatino Linotype" w:eastAsia="Palatino Linotype" w:hAnsi="Palatino Linotype" w:cs="Palatino Linotype"/>
        </w:rPr>
        <w:t xml:space="preserve">. El </w:t>
      </w:r>
      <w:r w:rsidRPr="0071012D">
        <w:rPr>
          <w:rFonts w:ascii="Palatino Linotype" w:eastAsia="Palatino Linotype" w:hAnsi="Palatino Linotype" w:cs="Palatino Linotype"/>
          <w:b/>
        </w:rPr>
        <w:t>nueve de julio de dos mil veinticinco</w:t>
      </w:r>
      <w:r w:rsidRPr="0071012D">
        <w:rPr>
          <w:rFonts w:ascii="Palatino Linotype" w:eastAsia="Palatino Linotype" w:hAnsi="Palatino Linotype" w:cs="Palatino Linotype"/>
        </w:rPr>
        <w:t xml:space="preserve">, 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remitió, a través del SAIMEX, lo siguiente:</w:t>
      </w:r>
    </w:p>
    <w:p w14:paraId="0CC89582"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Documentos entregados en respuesta a la solicitud, referidos con antelación.</w:t>
      </w:r>
    </w:p>
    <w:p w14:paraId="061C4A50"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Acta de la Quinta Sesión Extraordinaria del Comité de Transparencia celebrada el ocho de julio de dos mil veinticinco.</w:t>
      </w:r>
    </w:p>
    <w:p w14:paraId="065B8761"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00653D14"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b/>
        </w:rPr>
        <w:t xml:space="preserve">7. Cierre de instrucción. </w:t>
      </w:r>
      <w:r w:rsidRPr="0071012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71012D">
        <w:rPr>
          <w:rFonts w:ascii="Palatino Linotype" w:eastAsia="Palatino Linotype" w:hAnsi="Palatino Linotype" w:cs="Palatino Linotype"/>
          <w:b/>
        </w:rPr>
        <w:t>veintinueve de septiembre de dos mil veinticinco</w:t>
      </w:r>
      <w:r w:rsidRPr="0071012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6E4DB84" w14:textId="77777777" w:rsidR="00437BD3" w:rsidRPr="0071012D" w:rsidRDefault="00B77E02">
      <w:pPr>
        <w:spacing w:before="240" w:after="240" w:line="360" w:lineRule="auto"/>
        <w:jc w:val="both"/>
        <w:rPr>
          <w:rFonts w:ascii="Palatino Linotype" w:eastAsia="Palatino Linotype" w:hAnsi="Palatino Linotype" w:cs="Palatino Linotype"/>
          <w:b/>
        </w:rPr>
      </w:pPr>
      <w:r w:rsidRPr="0071012D">
        <w:rPr>
          <w:rFonts w:ascii="Palatino Linotype" w:eastAsia="Palatino Linotype" w:hAnsi="Palatino Linotype" w:cs="Palatino Linotype"/>
          <w:b/>
        </w:rPr>
        <w:t>8</w:t>
      </w:r>
      <w:r w:rsidRPr="0071012D">
        <w:rPr>
          <w:rFonts w:ascii="Palatino Linotype" w:eastAsia="Palatino Linotype" w:hAnsi="Palatino Linotype" w:cs="Palatino Linotype"/>
        </w:rPr>
        <w:t xml:space="preserve">. </w:t>
      </w:r>
      <w:r w:rsidRPr="0071012D">
        <w:rPr>
          <w:rFonts w:ascii="Palatino Linotype" w:eastAsia="Palatino Linotype" w:hAnsi="Palatino Linotype" w:cs="Palatino Linotype"/>
          <w:b/>
        </w:rPr>
        <w:t>Ampliación del término para resolver</w:t>
      </w:r>
      <w:r w:rsidRPr="0071012D">
        <w:rPr>
          <w:rFonts w:ascii="Palatino Linotype" w:eastAsia="Palatino Linotype" w:hAnsi="Palatino Linotype" w:cs="Palatino Linotype"/>
        </w:rPr>
        <w:t xml:space="preserve">. El </w:t>
      </w:r>
      <w:r w:rsidRPr="0071012D">
        <w:rPr>
          <w:rFonts w:ascii="Palatino Linotype" w:eastAsia="Palatino Linotype" w:hAnsi="Palatino Linotype" w:cs="Palatino Linotype"/>
          <w:b/>
        </w:rPr>
        <w:t>veintinueve de septiembre de dos mil veinticinco</w:t>
      </w:r>
      <w:r w:rsidRPr="0071012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4C63A15"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3AF2BC4" w14:textId="77777777" w:rsidR="00437BD3" w:rsidRPr="0071012D" w:rsidRDefault="00B77E02">
      <w:pPr>
        <w:widowControl w:val="0"/>
        <w:spacing w:before="240" w:after="240" w:line="360" w:lineRule="auto"/>
        <w:jc w:val="center"/>
        <w:rPr>
          <w:rFonts w:ascii="Palatino Linotype" w:eastAsia="Palatino Linotype" w:hAnsi="Palatino Linotype" w:cs="Palatino Linotype"/>
          <w:b/>
        </w:rPr>
      </w:pPr>
      <w:r w:rsidRPr="0071012D">
        <w:rPr>
          <w:rFonts w:ascii="Palatino Linotype" w:eastAsia="Palatino Linotype" w:hAnsi="Palatino Linotype" w:cs="Palatino Linotype"/>
          <w:b/>
        </w:rPr>
        <w:t>II. C O N S I D E R A N D O S</w:t>
      </w:r>
    </w:p>
    <w:p w14:paraId="022EECE0"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b/>
        </w:rPr>
        <w:t>Primero. Competencia.</w:t>
      </w:r>
      <w:r w:rsidRPr="0071012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D420BB7"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71012D">
        <w:rPr>
          <w:rFonts w:ascii="Palatino Linotype" w:eastAsia="Palatino Linotype" w:hAnsi="Palatino Linotype" w:cs="Palatino Linotype"/>
          <w:b/>
        </w:rPr>
        <w:t>Segundo. Oportunidad y Procedibilidad del Recurso de Revisión</w:t>
      </w:r>
      <w:r w:rsidRPr="0071012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84A1E"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 xml:space="preserve">remitió la respuesta a la solicitud de información el día </w:t>
      </w:r>
      <w:r w:rsidRPr="0071012D">
        <w:rPr>
          <w:rFonts w:ascii="Palatino Linotype" w:eastAsia="Palatino Linotype" w:hAnsi="Palatino Linotype" w:cs="Palatino Linotype"/>
          <w:b/>
        </w:rPr>
        <w:t xml:space="preserve">veinticuatro de junio de dos mil veinticinco, </w:t>
      </w:r>
      <w:r w:rsidRPr="0071012D">
        <w:rPr>
          <w:rFonts w:ascii="Palatino Linotype" w:eastAsia="Palatino Linotype" w:hAnsi="Palatino Linotype" w:cs="Palatino Linotype"/>
        </w:rPr>
        <w:t xml:space="preserve">mientras que el recurso de revisión interpuesto por la parte </w:t>
      </w:r>
      <w:r w:rsidRPr="0071012D">
        <w:rPr>
          <w:rFonts w:ascii="Palatino Linotype" w:eastAsia="Palatino Linotype" w:hAnsi="Palatino Linotype" w:cs="Palatino Linotype"/>
          <w:b/>
        </w:rPr>
        <w:t xml:space="preserve">Recurrente, </w:t>
      </w:r>
      <w:r w:rsidRPr="0071012D">
        <w:rPr>
          <w:rFonts w:ascii="Palatino Linotype" w:eastAsia="Palatino Linotype" w:hAnsi="Palatino Linotype" w:cs="Palatino Linotype"/>
        </w:rPr>
        <w:t>se tuvo por presentado el día</w:t>
      </w:r>
      <w:r w:rsidRPr="0071012D">
        <w:rPr>
          <w:rFonts w:ascii="Palatino Linotype" w:eastAsia="Palatino Linotype" w:hAnsi="Palatino Linotype" w:cs="Palatino Linotype"/>
          <w:b/>
        </w:rPr>
        <w:t xml:space="preserve"> veinticinco de junio de dos mil veinticinco, </w:t>
      </w:r>
      <w:r w:rsidRPr="0071012D">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23D03B30" w14:textId="77777777" w:rsidR="00437BD3" w:rsidRPr="0071012D" w:rsidRDefault="00B77E02">
      <w:pPr>
        <w:tabs>
          <w:tab w:val="left" w:pos="7938"/>
        </w:tabs>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71012D">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67B758F"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Finalmente, se advierte que resulta procedente la interposición del recurso, según lo manifestado por 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xml:space="preserve"> en sus motivos de inconformidad, de acuerdo al artículo 179, fracción II del ordenamiento legal citado, que a la letra dice: </w:t>
      </w:r>
    </w:p>
    <w:p w14:paraId="4959AF9D" w14:textId="77777777" w:rsidR="00437BD3" w:rsidRPr="0071012D" w:rsidRDefault="00B77E02">
      <w:pPr>
        <w:tabs>
          <w:tab w:val="left" w:pos="7938"/>
        </w:tabs>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Artículo 179.</w:t>
      </w:r>
      <w:r w:rsidRPr="0071012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0B2EA83" w14:textId="77777777" w:rsidR="00437BD3" w:rsidRPr="0071012D" w:rsidRDefault="00B77E02">
      <w:pPr>
        <w:tabs>
          <w:tab w:val="left" w:pos="7938"/>
        </w:tabs>
        <w:spacing w:before="120" w:after="120"/>
        <w:ind w:left="1134"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w:t>
      </w:r>
      <w:r w:rsidRPr="0071012D">
        <w:rPr>
          <w:rFonts w:ascii="Palatino Linotype" w:eastAsia="Palatino Linotype" w:hAnsi="Palatino Linotype" w:cs="Palatino Linotype"/>
          <w:i/>
          <w:sz w:val="22"/>
          <w:szCs w:val="22"/>
        </w:rPr>
        <w:t>..</w:t>
      </w:r>
    </w:p>
    <w:p w14:paraId="3ADB5A37" w14:textId="77777777" w:rsidR="00437BD3" w:rsidRPr="0071012D" w:rsidRDefault="00B77E02">
      <w:pPr>
        <w:tabs>
          <w:tab w:val="left" w:pos="7938"/>
        </w:tabs>
        <w:spacing w:before="120" w:after="120"/>
        <w:ind w:left="1134"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La clasificación de la información;”</w:t>
      </w:r>
    </w:p>
    <w:p w14:paraId="0C20B36B" w14:textId="77777777" w:rsidR="00437BD3" w:rsidRPr="0071012D" w:rsidRDefault="00B77E02">
      <w:pPr>
        <w:spacing w:before="240" w:after="240" w:line="360" w:lineRule="auto"/>
        <w:jc w:val="both"/>
        <w:rPr>
          <w:rFonts w:ascii="Palatino Linotype" w:eastAsia="Palatino Linotype" w:hAnsi="Palatino Linotype" w:cs="Palatino Linotype"/>
          <w:b/>
        </w:rPr>
      </w:pPr>
      <w:r w:rsidRPr="0071012D">
        <w:rPr>
          <w:rFonts w:ascii="Palatino Linotype" w:eastAsia="Palatino Linotype" w:hAnsi="Palatino Linotype" w:cs="Palatino Linotype"/>
          <w:b/>
        </w:rPr>
        <w:t xml:space="preserve">Tercero. Materia de la revisión. </w:t>
      </w:r>
      <w:r w:rsidRPr="0071012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1012D">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1012D">
        <w:rPr>
          <w:rFonts w:ascii="Palatino Linotype" w:eastAsia="Palatino Linotype" w:hAnsi="Palatino Linotype" w:cs="Palatino Linotype"/>
        </w:rPr>
        <w:t xml:space="preserve">de 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o en su defecto, en caso de ser procedente, ordenar la entrega de información.</w:t>
      </w:r>
    </w:p>
    <w:p w14:paraId="5D8FD5A1"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9" w:name="_heading=h.2et92p0" w:colFirst="0" w:colLast="0"/>
      <w:bookmarkEnd w:id="9"/>
      <w:r w:rsidRPr="0071012D">
        <w:rPr>
          <w:rFonts w:ascii="Palatino Linotype" w:eastAsia="Palatino Linotype" w:hAnsi="Palatino Linotype" w:cs="Palatino Linotype"/>
          <w:b/>
        </w:rPr>
        <w:t xml:space="preserve">Cuarto. Estudio del asunto. </w:t>
      </w:r>
      <w:r w:rsidRPr="0071012D">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2035F72"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Artículo 4</w:t>
      </w:r>
      <w:r w:rsidRPr="0071012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719014"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1012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DB105E3"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1012D">
        <w:rPr>
          <w:rFonts w:ascii="Palatino Linotype" w:eastAsia="Palatino Linotype" w:hAnsi="Palatino Linotype" w:cs="Palatino Linotype"/>
          <w:i/>
          <w:sz w:val="22"/>
          <w:szCs w:val="22"/>
        </w:rPr>
        <w:t>.”</w:t>
      </w:r>
    </w:p>
    <w:p w14:paraId="1B3BBF44"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E255976"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“Artículo 12.-</w:t>
      </w:r>
      <w:r w:rsidRPr="0071012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E5E1D3"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3155350" w14:textId="77777777" w:rsidR="00437BD3" w:rsidRPr="0071012D" w:rsidRDefault="00B77E02">
      <w:pPr>
        <w:spacing w:before="240" w:after="240" w:line="360" w:lineRule="auto"/>
        <w:ind w:right="-93"/>
        <w:jc w:val="both"/>
        <w:rPr>
          <w:rFonts w:ascii="Palatino Linotype" w:eastAsia="Palatino Linotype" w:hAnsi="Palatino Linotype" w:cs="Palatino Linotype"/>
        </w:rPr>
      </w:pPr>
      <w:r w:rsidRPr="0071012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42A00F9" w14:textId="77777777" w:rsidR="00437BD3" w:rsidRPr="0071012D" w:rsidRDefault="00B77E02">
      <w:pPr>
        <w:spacing w:before="240" w:after="240" w:line="360" w:lineRule="auto"/>
        <w:jc w:val="both"/>
        <w:rPr>
          <w:rFonts w:ascii="Palatino Linotype" w:eastAsia="Palatino Linotype" w:hAnsi="Palatino Linotype" w:cs="Palatino Linotype"/>
          <w:b/>
        </w:rPr>
      </w:pPr>
      <w:r w:rsidRPr="0071012D">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71012D">
        <w:rPr>
          <w:rFonts w:ascii="Palatino Linotype" w:eastAsia="Palatino Linotype" w:hAnsi="Palatino Linotype" w:cs="Palatino Linotype"/>
          <w:b/>
        </w:rPr>
        <w:t xml:space="preserve"> </w:t>
      </w:r>
    </w:p>
    <w:p w14:paraId="1A74334A" w14:textId="77777777" w:rsidR="00437BD3" w:rsidRPr="0071012D" w:rsidRDefault="00B77E02">
      <w:pP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No existe obligación de elaborar documentos ad hoc para atender las solicitudes de acceso a la información.</w:t>
      </w:r>
      <w:r w:rsidRPr="0071012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6E067C2" w14:textId="77777777" w:rsidR="00437BD3" w:rsidRPr="0071012D" w:rsidRDefault="00B77E02">
      <w:pPr>
        <w:spacing w:before="120" w:after="12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F9816E" w14:textId="77777777" w:rsidR="00437BD3" w:rsidRPr="0071012D" w:rsidRDefault="00B77E02">
      <w:pPr>
        <w:spacing w:before="120" w:after="12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3E7077F"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 xml:space="preserve">Artículo 3. </w:t>
      </w:r>
      <w:r w:rsidRPr="0071012D">
        <w:rPr>
          <w:rFonts w:ascii="Palatino Linotype" w:eastAsia="Palatino Linotype" w:hAnsi="Palatino Linotype" w:cs="Palatino Linotype"/>
          <w:i/>
          <w:sz w:val="22"/>
          <w:szCs w:val="22"/>
        </w:rPr>
        <w:t>Para los efectos de la presente Ley se entenderá por:</w:t>
      </w:r>
    </w:p>
    <w:p w14:paraId="21173EE6" w14:textId="77777777" w:rsidR="00437BD3" w:rsidRPr="0071012D" w:rsidRDefault="00B77E02">
      <w:pP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p>
    <w:p w14:paraId="13D4B408" w14:textId="77777777" w:rsidR="00437BD3" w:rsidRPr="0071012D" w:rsidRDefault="00B77E02">
      <w:pP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XI. Documento:</w:t>
      </w:r>
      <w:r w:rsidRPr="0071012D">
        <w:rPr>
          <w:rFonts w:ascii="Palatino Linotype" w:eastAsia="Palatino Linotype" w:hAnsi="Palatino Linotype" w:cs="Palatino Linotype"/>
          <w:i/>
          <w:sz w:val="22"/>
          <w:szCs w:val="22"/>
        </w:rPr>
        <w:t xml:space="preserve"> Los expedientes, reportes, estudios, actas</w:t>
      </w:r>
      <w:r w:rsidRPr="0071012D">
        <w:rPr>
          <w:rFonts w:ascii="Palatino Linotype" w:eastAsia="Palatino Linotype" w:hAnsi="Palatino Linotype" w:cs="Palatino Linotype"/>
          <w:b/>
          <w:i/>
          <w:sz w:val="22"/>
          <w:szCs w:val="22"/>
        </w:rPr>
        <w:t>,</w:t>
      </w:r>
      <w:r w:rsidRPr="0071012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20B4C67"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67EFFC8"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sz w:val="22"/>
          <w:szCs w:val="22"/>
        </w:rPr>
        <w:t>“</w:t>
      </w:r>
      <w:r w:rsidRPr="0071012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1012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2778DE"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254B4FD"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6B02DAC"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FD4D834"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3772FFD" w14:textId="77777777" w:rsidR="00437BD3" w:rsidRPr="0071012D" w:rsidRDefault="00B77E02">
      <w:pPr>
        <w:spacing w:before="240" w:after="240" w:line="360" w:lineRule="auto"/>
        <w:ind w:right="51"/>
        <w:jc w:val="both"/>
        <w:rPr>
          <w:rFonts w:ascii="Palatino Linotype" w:eastAsia="Palatino Linotype" w:hAnsi="Palatino Linotype" w:cs="Palatino Linotype"/>
        </w:rPr>
      </w:pPr>
      <w:r w:rsidRPr="0071012D">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E78C25F"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9C57899" w14:textId="77777777" w:rsidR="00437BD3" w:rsidRPr="0071012D" w:rsidRDefault="00B77E02">
      <w:pPr>
        <w:spacing w:before="240" w:after="240" w:line="360" w:lineRule="auto"/>
        <w:ind w:right="51"/>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xml:space="preserve"> requirió al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le proporcione, información consistente en lo siguiente:</w:t>
      </w:r>
    </w:p>
    <w:p w14:paraId="57B0675D" w14:textId="77777777" w:rsidR="00437BD3" w:rsidRPr="0071012D" w:rsidRDefault="00B77E02">
      <w:pPr>
        <w:spacing w:before="240" w:after="240" w:line="360" w:lineRule="auto"/>
        <w:ind w:left="284" w:right="51"/>
        <w:jc w:val="both"/>
        <w:rPr>
          <w:rFonts w:ascii="Palatino Linotype" w:eastAsia="Palatino Linotype" w:hAnsi="Palatino Linotype" w:cs="Palatino Linotype"/>
        </w:rPr>
      </w:pPr>
      <w:r w:rsidRPr="0071012D">
        <w:rPr>
          <w:rFonts w:ascii="Palatino Linotype" w:eastAsia="Palatino Linotype" w:hAnsi="Palatino Linotype" w:cs="Palatino Linotype"/>
        </w:rPr>
        <w:t>1. Inventario de bienes muebles e inmuebles actualizado.</w:t>
      </w:r>
    </w:p>
    <w:p w14:paraId="257A3633"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5C7E0D14"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6AC8AE33" w14:textId="77777777" w:rsidR="00437BD3" w:rsidRPr="0071012D" w:rsidRDefault="00B77E02">
      <w:pPr>
        <w:spacing w:before="240" w:after="240" w:line="360" w:lineRule="auto"/>
        <w:ind w:right="51"/>
        <w:jc w:val="both"/>
        <w:rPr>
          <w:rFonts w:ascii="Palatino Linotype" w:eastAsia="Palatino Linotype" w:hAnsi="Palatino Linotype" w:cs="Palatino Linotype"/>
        </w:rPr>
      </w:pPr>
      <w:r w:rsidRPr="0071012D">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2FCFD6FC"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3775025" w14:textId="77777777" w:rsidR="00437BD3" w:rsidRPr="0071012D" w:rsidRDefault="00B77E02">
      <w:pPr>
        <w:spacing w:before="280" w:after="28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para su atención a la Secretaría del Ayuntamiento al ser la dependencia de la administración pública municipal que tiene a su cargo los libros de las actas de cabildo, el archivo municipal, asimismo, </w:t>
      </w:r>
      <w:r w:rsidRPr="0071012D">
        <w:rPr>
          <w:rFonts w:ascii="Palatino Linotype" w:eastAsia="Palatino Linotype" w:hAnsi="Palatino Linotype" w:cs="Palatino Linotype"/>
          <w:b/>
        </w:rPr>
        <w:t>elabora con la intervención del síndico el inventario general de los bienes muebles e inmuebles municipales</w:t>
      </w:r>
      <w:r w:rsidRPr="0071012D">
        <w:rPr>
          <w:rFonts w:ascii="Palatino Linotype" w:eastAsia="Palatino Linotype" w:hAnsi="Palatino Linotype" w:cs="Palatino Linotype"/>
        </w:rPr>
        <w:t xml:space="preserve">, </w:t>
      </w:r>
      <w:r w:rsidRPr="0071012D">
        <w:rPr>
          <w:rFonts w:ascii="Palatino Linotype" w:eastAsia="Palatino Linotype" w:hAnsi="Palatino Linotype" w:cs="Palatino Linotype"/>
          <w:b/>
        </w:rPr>
        <w:t>e integra el sistema de información inmobiliaria</w:t>
      </w:r>
      <w:r w:rsidRPr="0071012D">
        <w:rPr>
          <w:rFonts w:ascii="Palatino Linotype" w:eastAsia="Palatino Linotype" w:hAnsi="Palatino Linotype" w:cs="Palatino Linotype"/>
        </w:rPr>
        <w:t xml:space="preserve">, </w:t>
      </w:r>
      <w:r w:rsidRPr="0071012D">
        <w:rPr>
          <w:rFonts w:ascii="Palatino Linotype" w:eastAsia="Palatino Linotype" w:hAnsi="Palatino Linotype" w:cs="Palatino Linotype"/>
          <w:b/>
        </w:rPr>
        <w:t>que contemple los bienes del dominio público y privado</w:t>
      </w:r>
      <w:r w:rsidRPr="0071012D">
        <w:rPr>
          <w:rFonts w:ascii="Palatino Linotype" w:eastAsia="Palatino Linotype" w:hAnsi="Palatino Linotype" w:cs="Palatino Linotype"/>
        </w:rPr>
        <w:t>, de conformidad con el artículo 91, fracciones VI, VI y XI, de la Ley Orgánica Municipal del Estado de México a saber:</w:t>
      </w:r>
    </w:p>
    <w:p w14:paraId="234A8A0A"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Artículo 91</w:t>
      </w:r>
      <w:r w:rsidRPr="0071012D">
        <w:rPr>
          <w:rFonts w:ascii="Palatino Linotype" w:eastAsia="Palatino Linotype" w:hAnsi="Palatino Linotype" w:cs="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D9E5900"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Llevar y conservar los libros de actas de cabildo, obteniendo las firmas de los asistentes a las sesiones;</w:t>
      </w:r>
    </w:p>
    <w:p w14:paraId="3EC95E1F"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p>
    <w:p w14:paraId="4E2C8E52" w14:textId="77777777" w:rsidR="00437BD3" w:rsidRPr="0071012D" w:rsidRDefault="00B77E02">
      <w:pPr>
        <w:spacing w:before="120" w:after="120"/>
        <w:ind w:left="851" w:right="902"/>
        <w:jc w:val="both"/>
      </w:pPr>
      <w:r w:rsidRPr="0071012D">
        <w:rPr>
          <w:rFonts w:ascii="Palatino Linotype" w:eastAsia="Palatino Linotype" w:hAnsi="Palatino Linotype" w:cs="Palatino Linotype"/>
          <w:b/>
          <w:i/>
          <w:sz w:val="22"/>
          <w:szCs w:val="22"/>
        </w:rPr>
        <w:t>VI.</w:t>
      </w:r>
      <w:r w:rsidRPr="0071012D">
        <w:rPr>
          <w:rFonts w:ascii="Palatino Linotype" w:eastAsia="Palatino Linotype" w:hAnsi="Palatino Linotype" w:cs="Palatino Linotype"/>
          <w:i/>
          <w:sz w:val="22"/>
          <w:szCs w:val="22"/>
        </w:rPr>
        <w:t xml:space="preserve"> Tener a su cargo el archivo general del ayuntamiento</w:t>
      </w:r>
      <w:r w:rsidRPr="0071012D">
        <w:t>;</w:t>
      </w:r>
    </w:p>
    <w:p w14:paraId="1E5CCF6F"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p>
    <w:p w14:paraId="698EA186"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XI</w:t>
      </w:r>
      <w:r w:rsidRPr="0071012D">
        <w:rPr>
          <w:rFonts w:ascii="Palatino Linotype" w:eastAsia="Palatino Linotype" w:hAnsi="Palatino Linotype" w:cs="Palatino Linotype"/>
          <w:i/>
          <w:sz w:val="22"/>
          <w:szCs w:val="22"/>
        </w:rPr>
        <w:t xml:space="preserve">.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1FD78778"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2A74CEC0"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Cuyo servidor público habilitado, en respuesta a la solicitud hizo entrega de los inventarios de bienes muebles e inmuebles al 31 de diciembre de 2024, además aclaró que al momento de la solicitud se estaba llevando a cabo el levantamiento correspondiente al primer semestre, por lo que los inventarios se encontraban en proceso de actualización.</w:t>
      </w:r>
    </w:p>
    <w:p w14:paraId="5E2C7284"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No obstante, la parte </w:t>
      </w:r>
      <w:r w:rsidRPr="0071012D">
        <w:rPr>
          <w:rFonts w:ascii="Palatino Linotype" w:eastAsia="Palatino Linotype" w:hAnsi="Palatino Linotype" w:cs="Palatino Linotype"/>
          <w:b/>
        </w:rPr>
        <w:t xml:space="preserve">Recurrente </w:t>
      </w:r>
      <w:r w:rsidRPr="0071012D">
        <w:rPr>
          <w:rFonts w:ascii="Palatino Linotype" w:eastAsia="Palatino Linotype" w:hAnsi="Palatino Linotype" w:cs="Palatino Linotype"/>
        </w:rPr>
        <w:t>interpuso el recurso de revisión que nos ocupa, donde manifestó en lo medular que se ocultó información.</w:t>
      </w:r>
    </w:p>
    <w:p w14:paraId="6A3218D4"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Durante la etapa de manifestaciones,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proporcionó nuevamente los documentos remitidos en respuesta, así como el acta de la Quinta Sesión Extraordinaria del Comité de Transparencia en la cual se aprobó la clasificación del número de serie en el inventario de bienes muebles de la Dirección de Seguridad Pública, como información reservada.</w:t>
      </w:r>
    </w:p>
    <w:p w14:paraId="1EEF65EB" w14:textId="77777777" w:rsidR="00437BD3" w:rsidRPr="0071012D" w:rsidRDefault="00B77E02">
      <w:pPr>
        <w:spacing w:before="280" w:after="28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 xml:space="preserve">en contraposición con el motivo de inconformidad alegado por la parte </w:t>
      </w:r>
      <w:r w:rsidRPr="0071012D">
        <w:rPr>
          <w:rFonts w:ascii="Palatino Linotype" w:eastAsia="Palatino Linotype" w:hAnsi="Palatino Linotype" w:cs="Palatino Linotype"/>
          <w:b/>
        </w:rPr>
        <w:t xml:space="preserve">Recurrente, </w:t>
      </w:r>
      <w:r w:rsidRPr="0071012D">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125A73C"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tal contexto, es oportuno mencionar que de la lectura del motivo de inconformidad alegado por la parte </w:t>
      </w:r>
      <w:r w:rsidRPr="0071012D">
        <w:rPr>
          <w:rFonts w:ascii="Palatino Linotype" w:eastAsia="Palatino Linotype" w:hAnsi="Palatino Linotype" w:cs="Palatino Linotype"/>
          <w:b/>
        </w:rPr>
        <w:t xml:space="preserve">Recurrente </w:t>
      </w:r>
      <w:r w:rsidRPr="0071012D">
        <w:rPr>
          <w:rFonts w:ascii="Palatino Linotype" w:eastAsia="Palatino Linotype" w:hAnsi="Palatino Linotype" w:cs="Palatino Linotype"/>
        </w:rPr>
        <w:t>se advierte que esta versa únicamente por lo que se refiere al documento que se entregó testado, esto es, el inventario de bienes muebles, no así respecto del inventario de bienes inmuebles que se entregó integró, así como tampoco manifestó inconformidad respecto del periodo al cual corresponde la información proporcionada,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7C8D91D8" w14:textId="77777777" w:rsidR="00437BD3" w:rsidRPr="0071012D" w:rsidRDefault="00B77E02">
      <w:pPr>
        <w:spacing w:before="240" w:after="36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Lo anterior es así, debido a que cuando 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xml:space="preserve"> impugna la respuesta del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5E20FEA2"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32D56DBC"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 xml:space="preserve">Actos consentidos tácitamente. Improcedencia de su análisis. </w:t>
      </w:r>
      <w:r w:rsidRPr="0071012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0DF99D1"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D1CBC91" w14:textId="77777777" w:rsidR="00437BD3" w:rsidRPr="0071012D" w:rsidRDefault="00B77E02">
      <w:pPr>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mallCaps/>
          <w:sz w:val="22"/>
          <w:szCs w:val="22"/>
        </w:rPr>
        <w:t xml:space="preserve">“ACTOS CONSENTIDOS. SON LOS QUE NO SE IMPUGNAN MEDIANTE EL RECURSO IDÓNEO. </w:t>
      </w:r>
      <w:r w:rsidRPr="0071012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7AF81E" w14:textId="77777777" w:rsidR="00437BD3" w:rsidRPr="0071012D" w:rsidRDefault="00437BD3">
      <w:pPr>
        <w:spacing w:before="240" w:after="240" w:line="360" w:lineRule="auto"/>
        <w:jc w:val="both"/>
        <w:rPr>
          <w:rFonts w:ascii="Palatino Linotype" w:eastAsia="Palatino Linotype" w:hAnsi="Palatino Linotype" w:cs="Palatino Linotype"/>
        </w:rPr>
      </w:pPr>
    </w:p>
    <w:p w14:paraId="328D70E3"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En consecuencia, se insiste, ante la falta de impugnación eficaz, esta parte de la respuesta entregada debe declararse consentida por la persona solicitante, y, por consiguiente, no es procedente el análisis de fondo en la resolución.</w:t>
      </w:r>
    </w:p>
    <w:p w14:paraId="77309412"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Una vez aclarado lo anterior por lo que se refiere al inventario de bienes muebles es oportuno mencionar que dicha información forma parte de los informes trimestrales que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se encuentra constreñido a entregar al Órgano Superior de Fiscalización del Estado de México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 concretamente en el Módulo 4 Información Administrativa, Submódulo Información de Bienes Muebles e Inmuebles, (Plataforma Digital), como se muestra a continuación:</w:t>
      </w:r>
    </w:p>
    <w:p w14:paraId="1DAD6E0D"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noProof/>
        </w:rPr>
        <w:drawing>
          <wp:inline distT="0" distB="0" distL="0" distR="0" wp14:anchorId="20E7F460" wp14:editId="7D96C7D6">
            <wp:extent cx="5612130" cy="2810510"/>
            <wp:effectExtent l="0" t="0" r="0" b="0"/>
            <wp:docPr id="21401318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2810510"/>
                    </a:xfrm>
                    <a:prstGeom prst="rect">
                      <a:avLst/>
                    </a:prstGeom>
                    <a:ln/>
                  </pic:spPr>
                </pic:pic>
              </a:graphicData>
            </a:graphic>
          </wp:inline>
        </w:drawing>
      </w:r>
    </w:p>
    <w:p w14:paraId="2163B7C6"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noProof/>
        </w:rPr>
        <w:drawing>
          <wp:inline distT="0" distB="0" distL="0" distR="0" wp14:anchorId="1C7D4917" wp14:editId="0D69C403">
            <wp:extent cx="5612130" cy="1713865"/>
            <wp:effectExtent l="0" t="0" r="0" b="0"/>
            <wp:docPr id="21401318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713865"/>
                    </a:xfrm>
                    <a:prstGeom prst="rect">
                      <a:avLst/>
                    </a:prstGeom>
                    <a:ln/>
                  </pic:spPr>
                </pic:pic>
              </a:graphicData>
            </a:graphic>
          </wp:inline>
        </w:drawing>
      </w:r>
    </w:p>
    <w:p w14:paraId="098DF29C"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noProof/>
        </w:rPr>
        <w:drawing>
          <wp:inline distT="0" distB="0" distL="0" distR="0" wp14:anchorId="2D915399" wp14:editId="3B40EA60">
            <wp:extent cx="5612130" cy="1917065"/>
            <wp:effectExtent l="0" t="0" r="0" b="0"/>
            <wp:docPr id="21401318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12130" cy="1917065"/>
                    </a:xfrm>
                    <a:prstGeom prst="rect">
                      <a:avLst/>
                    </a:prstGeom>
                    <a:ln/>
                  </pic:spPr>
                </pic:pic>
              </a:graphicData>
            </a:graphic>
          </wp:inline>
        </w:drawing>
      </w:r>
      <w:r w:rsidRPr="0071012D">
        <w:rPr>
          <w:noProof/>
        </w:rPr>
        <mc:AlternateContent>
          <mc:Choice Requires="wps">
            <w:drawing>
              <wp:anchor distT="0" distB="0" distL="114300" distR="114300" simplePos="0" relativeHeight="251658240" behindDoc="0" locked="0" layoutInCell="1" hidden="0" allowOverlap="1" wp14:anchorId="446C3DE4" wp14:editId="078F2594">
                <wp:simplePos x="0" y="0"/>
                <wp:positionH relativeFrom="column">
                  <wp:posOffset>462915</wp:posOffset>
                </wp:positionH>
                <wp:positionV relativeFrom="paragraph">
                  <wp:posOffset>1054203</wp:posOffset>
                </wp:positionV>
                <wp:extent cx="5172075" cy="342900"/>
                <wp:effectExtent l="0" t="0" r="0" b="0"/>
                <wp:wrapNone/>
                <wp:docPr id="2140131851" name="Rectángulo 2140131851"/>
                <wp:cNvGraphicFramePr/>
                <a:graphic xmlns:a="http://schemas.openxmlformats.org/drawingml/2006/main">
                  <a:graphicData uri="http://schemas.microsoft.com/office/word/2010/wordprocessingShape">
                    <wps:wsp>
                      <wps:cNvSpPr/>
                      <wps:spPr>
                        <a:xfrm>
                          <a:off x="2779013" y="3627600"/>
                          <a:ext cx="5133975" cy="304800"/>
                        </a:xfrm>
                        <a:prstGeom prst="rect">
                          <a:avLst/>
                        </a:prstGeom>
                        <a:noFill/>
                        <a:ln w="38100" cap="flat" cmpd="sng">
                          <a:solidFill>
                            <a:srgbClr val="C00000"/>
                          </a:solidFill>
                          <a:prstDash val="solid"/>
                          <a:miter lim="800000"/>
                          <a:headEnd type="none" w="sm" len="sm"/>
                          <a:tailEnd type="none" w="sm" len="sm"/>
                        </a:ln>
                      </wps:spPr>
                      <wps:txbx>
                        <w:txbxContent>
                          <w:p w14:paraId="610C212D" w14:textId="77777777" w:rsidR="00437BD3" w:rsidRDefault="00437BD3">
                            <w:pPr>
                              <w:textDirection w:val="btLr"/>
                            </w:pPr>
                          </w:p>
                        </w:txbxContent>
                      </wps:txbx>
                      <wps:bodyPr spcFirstLastPara="1" wrap="square" lIns="91425" tIns="91425" rIns="91425" bIns="91425" anchor="ctr" anchorCtr="0">
                        <a:noAutofit/>
                      </wps:bodyPr>
                    </wps:wsp>
                  </a:graphicData>
                </a:graphic>
              </wp:anchor>
            </w:drawing>
          </mc:Choice>
          <mc:Fallback>
            <w:pict>
              <v:rect w14:anchorId="446C3DE4" id="Rectángulo 2140131851" o:spid="_x0000_s1026" style="position:absolute;left:0;text-align:left;margin-left:36.45pt;margin-top:83pt;width:407.2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" filled="f" strokecolor="#c00000" strokeweight="3pt">
                <v:stroke startarrowwidth="narrow" startarrowlength="short" endarrowwidth="narrow" endarrowlength="short"/>
                <v:textbox inset="2.53958mm,2.53958mm,2.53958mm,2.53958mm">
                  <w:txbxContent>
                    <w:p w14:paraId="610C212D" w14:textId="77777777" w:rsidR="00437BD3" w:rsidRDefault="00437BD3">
                      <w:pPr>
                        <w:textDirection w:val="btLr"/>
                      </w:pPr>
                    </w:p>
                  </w:txbxContent>
                </v:textbox>
              </v:rect>
            </w:pict>
          </mc:Fallback>
        </mc:AlternateContent>
      </w:r>
    </w:p>
    <w:p w14:paraId="25A10FAF" w14:textId="77777777" w:rsidR="00437BD3" w:rsidRPr="0071012D" w:rsidRDefault="00B77E02">
      <w:pPr>
        <w:spacing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La finalidad del Inventario de Bienes Muebles consiste en registrar los bienes muebles con los que cuenta la entidad municipal.</w:t>
      </w:r>
    </w:p>
    <w:p w14:paraId="2EE36B37" w14:textId="77777777" w:rsidR="00437BD3" w:rsidRPr="0071012D" w:rsidRDefault="00B77E02">
      <w:pPr>
        <w:spacing w:before="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Y, debe presentarse a través de los formatos PDF, XLSX y TXT:</w:t>
      </w:r>
    </w:p>
    <w:p w14:paraId="6594F11F" w14:textId="77777777" w:rsidR="00437BD3" w:rsidRPr="0071012D" w:rsidRDefault="00B77E02">
      <w:pPr>
        <w:spacing w:before="240" w:line="360" w:lineRule="auto"/>
        <w:ind w:right="49"/>
        <w:jc w:val="both"/>
        <w:rPr>
          <w:rFonts w:ascii="Palatino Linotype" w:eastAsia="Palatino Linotype" w:hAnsi="Palatino Linotype" w:cs="Palatino Linotype"/>
        </w:rPr>
      </w:pPr>
      <w:r w:rsidRPr="0071012D">
        <w:rPr>
          <w:noProof/>
        </w:rPr>
        <w:drawing>
          <wp:inline distT="0" distB="0" distL="0" distR="0" wp14:anchorId="19A158C3" wp14:editId="5DD6FAF1">
            <wp:extent cx="5612130" cy="1456805"/>
            <wp:effectExtent l="0" t="0" r="0" b="0"/>
            <wp:docPr id="21401318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57397"/>
                    <a:stretch>
                      <a:fillRect/>
                    </a:stretch>
                  </pic:blipFill>
                  <pic:spPr>
                    <a:xfrm>
                      <a:off x="0" y="0"/>
                      <a:ext cx="5612130" cy="1456805"/>
                    </a:xfrm>
                    <a:prstGeom prst="rect">
                      <a:avLst/>
                    </a:prstGeom>
                    <a:ln/>
                  </pic:spPr>
                </pic:pic>
              </a:graphicData>
            </a:graphic>
          </wp:inline>
        </w:drawing>
      </w:r>
    </w:p>
    <w:p w14:paraId="1DF331CB" w14:textId="77777777" w:rsidR="00437BD3" w:rsidRPr="0071012D" w:rsidRDefault="00B77E02">
      <w:pPr>
        <w:spacing w:before="240" w:line="360" w:lineRule="auto"/>
        <w:ind w:right="49"/>
        <w:jc w:val="both"/>
        <w:rPr>
          <w:rFonts w:ascii="Palatino Linotype" w:eastAsia="Palatino Linotype" w:hAnsi="Palatino Linotype" w:cs="Palatino Linotype"/>
        </w:rPr>
      </w:pPr>
      <w:r w:rsidRPr="0071012D">
        <w:rPr>
          <w:noProof/>
        </w:rPr>
        <w:drawing>
          <wp:inline distT="0" distB="0" distL="0" distR="0" wp14:anchorId="1B65E20B" wp14:editId="2E9D8874">
            <wp:extent cx="5612130" cy="1756223"/>
            <wp:effectExtent l="0" t="0" r="0" b="0"/>
            <wp:docPr id="21401318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4489" b="4152"/>
                    <a:stretch>
                      <a:fillRect/>
                    </a:stretch>
                  </pic:blipFill>
                  <pic:spPr>
                    <a:xfrm>
                      <a:off x="0" y="0"/>
                      <a:ext cx="5612130" cy="1756223"/>
                    </a:xfrm>
                    <a:prstGeom prst="rect">
                      <a:avLst/>
                    </a:prstGeom>
                    <a:ln/>
                  </pic:spPr>
                </pic:pic>
              </a:graphicData>
            </a:graphic>
          </wp:inline>
        </w:drawing>
      </w:r>
    </w:p>
    <w:p w14:paraId="15C9F212"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Para el llenado se deben observar las siguientes especificaciones: </w:t>
      </w:r>
    </w:p>
    <w:p w14:paraId="7F584E4A" w14:textId="77777777" w:rsidR="00437BD3" w:rsidRPr="0071012D" w:rsidRDefault="00B77E02">
      <w:pPr>
        <w:spacing w:before="240" w:after="240" w:line="360" w:lineRule="auto"/>
        <w:jc w:val="center"/>
        <w:rPr>
          <w:rFonts w:ascii="Palatino Linotype" w:eastAsia="Palatino Linotype" w:hAnsi="Palatino Linotype" w:cs="Palatino Linotype"/>
        </w:rPr>
      </w:pPr>
      <w:r w:rsidRPr="0071012D">
        <w:rPr>
          <w:noProof/>
        </w:rPr>
        <w:drawing>
          <wp:inline distT="0" distB="0" distL="0" distR="0" wp14:anchorId="6C88966A" wp14:editId="4EFF5D43">
            <wp:extent cx="5220000" cy="4855578"/>
            <wp:effectExtent l="0" t="0" r="0" b="0"/>
            <wp:docPr id="21401318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220000" cy="4855578"/>
                    </a:xfrm>
                    <a:prstGeom prst="rect">
                      <a:avLst/>
                    </a:prstGeom>
                    <a:ln/>
                  </pic:spPr>
                </pic:pic>
              </a:graphicData>
            </a:graphic>
          </wp:inline>
        </w:drawing>
      </w:r>
    </w:p>
    <w:p w14:paraId="79C05E19"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Como se advierte, el inventario de bienes muebles contiene ente otros datos, el número de inventario asignado a cada uno de los bienes, el nombre del servidor público responsable del bien, el nombre del bien mueble de forma individual, la marca del bien mueble, el modelo del bien mueble, el número de serie del bien mueble, en el caso de transporte el número de placa del bien y el número de motor del bien; los datos de la factura o CFDI, de la póliza, así como la fecha de movimiento de alta y el área responsable.</w:t>
      </w:r>
    </w:p>
    <w:p w14:paraId="63E6D09A"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el caso particular, derivado del análisis de las constancias que obran en el expediente electrónico, se advirtió que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hizo entrega de dicho formato debidamente requisitado al 31 de diciembre de 2025, como se ilustra a continuación:</w:t>
      </w:r>
    </w:p>
    <w:p w14:paraId="28DD96F6"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noProof/>
        </w:rPr>
        <w:drawing>
          <wp:inline distT="0" distB="0" distL="0" distR="0" wp14:anchorId="35A9BDD0" wp14:editId="4BE3B2AC">
            <wp:extent cx="5612130" cy="1247140"/>
            <wp:effectExtent l="0" t="0" r="0" b="0"/>
            <wp:docPr id="214013185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612130" cy="1247140"/>
                    </a:xfrm>
                    <a:prstGeom prst="rect">
                      <a:avLst/>
                    </a:prstGeom>
                    <a:ln/>
                  </pic:spPr>
                </pic:pic>
              </a:graphicData>
            </a:graphic>
          </wp:inline>
        </w:drawing>
      </w:r>
    </w:p>
    <w:p w14:paraId="57F52E3D"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Sin embargo, de la revisión efectuada se advirtió que en algunas páginas testo los siguientes datos: número de inventario, nombre del resguardatario, nombre del mueble, marca, modelo, número de serie, número de placa, número de motor, datos de la factura o CFDI, datos de la póliza, fecha del movimiento de alta y el área responsable: </w:t>
      </w:r>
    </w:p>
    <w:p w14:paraId="73FBAFF3"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noProof/>
        </w:rPr>
        <w:drawing>
          <wp:inline distT="0" distB="0" distL="0" distR="0" wp14:anchorId="794A4FB7" wp14:editId="32E11A84">
            <wp:extent cx="5612130" cy="1256030"/>
            <wp:effectExtent l="0" t="0" r="0" b="0"/>
            <wp:docPr id="21401318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1256030"/>
                    </a:xfrm>
                    <a:prstGeom prst="rect">
                      <a:avLst/>
                    </a:prstGeom>
                    <a:ln/>
                  </pic:spPr>
                </pic:pic>
              </a:graphicData>
            </a:graphic>
          </wp:inline>
        </w:drawing>
      </w:r>
    </w:p>
    <w:p w14:paraId="1999FCA8"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Al respecto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 como confidencial o reservada, como se desprende del artículo 91 de la Ley de Transparencia y Acceso a la Información Pública del Estado de México y Municipios, que es del tenor literal siguiente:</w:t>
      </w:r>
    </w:p>
    <w:p w14:paraId="437E8AC7"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 “Artículo 91. </w:t>
      </w:r>
      <w:r w:rsidRPr="0071012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89ED4A6"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Sin embargo, es importante mencionar que </w:t>
      </w:r>
      <w:r w:rsidRPr="0071012D">
        <w:rPr>
          <w:rFonts w:ascii="Palatino Linotype" w:eastAsia="Palatino Linotype" w:hAnsi="Palatino Linotype" w:cs="Palatino Linotype"/>
          <w:b/>
          <w:u w:val="single"/>
        </w:rPr>
        <w:t>la restricción al derecho de acceso a la información implica necesariamente una clasificación</w:t>
      </w:r>
      <w:r w:rsidRPr="0071012D">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3050D4C6" w14:textId="77777777" w:rsidR="00437BD3" w:rsidRPr="0071012D" w:rsidRDefault="00B77E02">
      <w:pPr>
        <w:spacing w:before="240" w:after="240" w:line="360" w:lineRule="auto"/>
        <w:jc w:val="both"/>
        <w:rPr>
          <w:rFonts w:ascii="Palatino Linotype" w:eastAsia="Palatino Linotype" w:hAnsi="Palatino Linotype" w:cs="Palatino Linotype"/>
          <w:sz w:val="18"/>
          <w:szCs w:val="18"/>
        </w:rPr>
      </w:pPr>
      <w:r w:rsidRPr="0071012D">
        <w:rPr>
          <w:rFonts w:ascii="Palatino Linotype" w:eastAsia="Palatino Linotype" w:hAnsi="Palatino Linotype" w:cs="Palatino Linotype"/>
        </w:rPr>
        <w:t xml:space="preserve">Debe decirse que la Ley de Transparencia y Acceso a la Información Pública del Estado de México y Municipios, define como </w:t>
      </w:r>
      <w:r w:rsidRPr="0071012D">
        <w:rPr>
          <w:rFonts w:ascii="Palatino Linotype" w:eastAsia="Palatino Linotype" w:hAnsi="Palatino Linotype" w:cs="Palatino Linotype"/>
          <w:b/>
        </w:rPr>
        <w:t xml:space="preserve">información reservada </w:t>
      </w:r>
      <w:r w:rsidRPr="0071012D">
        <w:rPr>
          <w:rFonts w:ascii="Palatino Linotype" w:eastAsia="Palatino Linotype" w:hAnsi="Palatino Linotype" w:cs="Palatino Linotype"/>
        </w:rPr>
        <w:t xml:space="preserve">a la información pública clasificada con este carácter de manera temporal por las disposiciones de la Ley de la Materia, cuya divulgación puede causar daños a las  seguridad pública, y como </w:t>
      </w:r>
      <w:r w:rsidRPr="0071012D">
        <w:rPr>
          <w:rFonts w:ascii="Palatino Linotype" w:eastAsia="Palatino Linotype" w:hAnsi="Palatino Linotype" w:cs="Palatino Linotype"/>
          <w:b/>
        </w:rPr>
        <w:t>información confidencial</w:t>
      </w:r>
      <w:r w:rsidRPr="0071012D">
        <w:rPr>
          <w:rFonts w:ascii="Palatino Linotype" w:eastAsia="Palatino Linotype" w:hAnsi="Palatino Linotype" w:cs="Palatino Linotype"/>
        </w:rPr>
        <w:t>,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w:t>
      </w:r>
      <w:r w:rsidRPr="0071012D">
        <w:rPr>
          <w:rFonts w:ascii="Palatino Linotype" w:eastAsia="Palatino Linotype" w:hAnsi="Palatino Linotype" w:cs="Palatino Linotype"/>
          <w:sz w:val="18"/>
          <w:szCs w:val="18"/>
        </w:rPr>
        <w:t xml:space="preserve">. </w:t>
      </w:r>
    </w:p>
    <w:p w14:paraId="27FF7C0F"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Por lo que se refiere a la información clasificada como reservada, para que el acceso a la información pública pueda ser restringido, se deben actualizar los supuestos establecidos en el artículo 140 de la Ley de Transparencia y Acceso a la Información Pública del Estado de México y Municipios, y, en lo que concierne a la información clasificada como confidencial, para que el acceso a la información pública pueda ser restringido, se deben actualizar los supuestos establecidos en el artículo143 de la misma ley.</w:t>
      </w:r>
    </w:p>
    <w:p w14:paraId="0F4713E8"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este sentido, debe decirse que </w:t>
      </w:r>
      <w:r w:rsidRPr="0071012D">
        <w:rPr>
          <w:rFonts w:ascii="Palatino Linotype" w:eastAsia="Palatino Linotype" w:hAnsi="Palatino Linotype" w:cs="Palatino Linotype"/>
          <w:b/>
          <w:u w:val="single"/>
        </w:rPr>
        <w:t>la restricción al derecho de acceso a la información implica necesariamente una clasificación</w:t>
      </w:r>
      <w:r w:rsidRPr="0071012D">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34D3778F"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No obstante,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2F9E7F58" w14:textId="77777777" w:rsidR="00437BD3" w:rsidRPr="0071012D" w:rsidRDefault="00B77E02">
      <w:pPr>
        <w:spacing w:before="280" w:after="280" w:line="360" w:lineRule="auto"/>
        <w:ind w:right="51"/>
        <w:jc w:val="both"/>
        <w:rPr>
          <w:rFonts w:ascii="Palatino Linotype" w:eastAsia="Palatino Linotype" w:hAnsi="Palatino Linotype" w:cs="Palatino Linotype"/>
        </w:rPr>
      </w:pPr>
      <w:r w:rsidRPr="0071012D">
        <w:rPr>
          <w:rFonts w:ascii="Palatino Linotype" w:eastAsia="Palatino Linotype" w:hAnsi="Palatino Linotype" w:cs="Palatino Linotype"/>
        </w:rPr>
        <w:t>Asimismo, se debe observar lo dispuesto en el Titulo Sexto de la Información Clasificada de la Ley de Transparencia y Acceso a la Información Pública del Estado de México y Municipios y en los Lineamientos Generales en Materia de Clasificación y Desclasificación de la Información, así como para la elaboración de Versiones Públicas, emitidos por el entonces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E881700"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Por lo tanto, la entrega de documentos en su versión pública </w:t>
      </w:r>
      <w:r w:rsidRPr="0071012D">
        <w:rPr>
          <w:rFonts w:ascii="Palatino Linotype" w:eastAsia="Palatino Linotype" w:hAnsi="Palatino Linotype" w:cs="Palatino Linotype"/>
          <w:b/>
          <w:u w:val="single"/>
        </w:rPr>
        <w:t>debe acompañarse necesariamente del Acuerdo del Comité de Transparencia</w:t>
      </w:r>
      <w:r w:rsidRPr="0071012D">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como aconteció en el presente asunto, puesto que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omitió entregar como parte de su respuesta el Acta del Comité de Transparencia por medio de la cual sustentara de manera fundada y motivada la versión pública remitida, lo cual pretendió subsanar dicha omisión en la etapa de manifestaciones al remitir el Acta de la Quinta Sesión Extraordinaria del Comité de Transparencia en la cual se aprobó la clasificación del número de serie en el inventario de bienes muebles de la Dirección de Seguridad Pública, como información reservada, sin embargo, debe decirse que del análisis efectuado por este Organismo Garante se concluyó que no se justificó de manera fundada y motivada la restricción al Derecho de acceso, por las razones que a continuación se exponen:</w:t>
      </w:r>
    </w:p>
    <w:p w14:paraId="75E75880"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En primer lugar, el Acta remitida no cumple con las formalidades que establece el lineamiento Quincuagésimo Primero de los Lineamientos Generales en Materia de Clasificación y Desclasificación de la Información, a saber:</w:t>
      </w:r>
    </w:p>
    <w:p w14:paraId="473B304B"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“Quincuagésimo primero. </w:t>
      </w:r>
      <w:r w:rsidRPr="0071012D">
        <w:rPr>
          <w:rFonts w:ascii="Palatino Linotype" w:eastAsia="Palatino Linotype" w:hAnsi="Palatino Linotype" w:cs="Palatino Linotype"/>
          <w:i/>
          <w:sz w:val="22"/>
          <w:szCs w:val="22"/>
        </w:rPr>
        <w:t xml:space="preserve">Toda acta del Comité de Transparencia deberá contener: </w:t>
      </w:r>
    </w:p>
    <w:p w14:paraId="44B88895"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El número de sesión y fecha; </w:t>
      </w:r>
    </w:p>
    <w:p w14:paraId="765CA613"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El nombre del área que solicitó la clasificación de información; </w:t>
      </w:r>
    </w:p>
    <w:p w14:paraId="5B5C20F6"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La fundamentación legal y motivación correspondiente; </w:t>
      </w:r>
    </w:p>
    <w:p w14:paraId="78695328"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xml:space="preserve">. La resolución o resoluciones aprobadas; y </w:t>
      </w:r>
    </w:p>
    <w:p w14:paraId="7BA824E8"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V</w:t>
      </w:r>
      <w:r w:rsidRPr="0071012D">
        <w:rPr>
          <w:rFonts w:ascii="Palatino Linotype" w:eastAsia="Palatino Linotype" w:hAnsi="Palatino Linotype" w:cs="Palatino Linotype"/>
          <w:i/>
          <w:sz w:val="22"/>
          <w:szCs w:val="22"/>
        </w:rPr>
        <w:t xml:space="preserve">. La rúbrica o firma digital de cada integrante del Comité de Transparencia. </w:t>
      </w:r>
    </w:p>
    <w:p w14:paraId="7C9CD063"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6F36CC3"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3A045FC"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Descripción de las partes o secciones reservadas, en caso de clasificación parcial</w:t>
      </w:r>
      <w:r w:rsidRPr="0071012D">
        <w:rPr>
          <w:rFonts w:ascii="Palatino Linotype" w:eastAsia="Palatino Linotype" w:hAnsi="Palatino Linotype" w:cs="Palatino Linotype"/>
          <w:b/>
          <w:i/>
          <w:sz w:val="22"/>
          <w:szCs w:val="22"/>
        </w:rPr>
        <w:t xml:space="preserve">; </w:t>
      </w:r>
    </w:p>
    <w:p w14:paraId="16A9C9E3"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El periodo por el que mantendrá su clasificación y fecha de expiración; y </w:t>
      </w:r>
    </w:p>
    <w:p w14:paraId="0AB2CE2D"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89C5D7B"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1BAF5F2"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C7A42F2"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En el caso particular, en el Acta:</w:t>
      </w:r>
    </w:p>
    <w:p w14:paraId="69670578"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No se señaló el nombre del área que solicitó la clasificación.</w:t>
      </w:r>
    </w:p>
    <w:p w14:paraId="3049B858"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No se fundamentó y motivó debidamente la clasificación ya que no se señaló de manera concreta el artículo, fracción, inciso, párrafo o numeral de la ley o tratado internacional suscrito por el Estado mexicano que expresamente le otorga el carácter de reservada, así como tampoco se señalaron las razones o circunstancias especiales que llevaron a concluir que el caso se ajusta al supuesto previsto por la norma legal invocada como fundamento (artículo, fracción, inciso, párrafo o numeral de la ley o tratado internacional suscrito por el Estado mexicano que expresamente le otorga el carácter de reservada), de conformidad con el Lineamiento Octavo de los Lineamientos Generales de Clasificación y Desclasificación, pues se limitó a citar como fundamento de la clasificación el artículo 140 de la Ley de la Materia, sin señalar la causal que se actualiza de dicho precepto.</w:t>
      </w:r>
    </w:p>
    <w:p w14:paraId="1731C317"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No contiene los motivos y razonamientos que sustenten la confirmación o modificación de la prueba de daño.</w:t>
      </w:r>
    </w:p>
    <w:p w14:paraId="6B1608E4"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 No se describen las partes o secciones reservadas, ya que se limitó al número de serie del equipo táctico y armamento asignado al personal de seguridad pública como armas de fuego, cascos tácticos, escudos, chalecos balísticos, sin embargo, en el inventario de bienes muebles se testaron los datos relativos al número de inventario, nombre del resguardatario, nombre del mueble, marca, modelo, </w:t>
      </w:r>
      <w:r w:rsidRPr="0071012D">
        <w:rPr>
          <w:rFonts w:ascii="Palatino Linotype" w:eastAsia="Palatino Linotype" w:hAnsi="Palatino Linotype" w:cs="Palatino Linotype"/>
          <w:b/>
        </w:rPr>
        <w:t>número de serie</w:t>
      </w:r>
      <w:r w:rsidRPr="0071012D">
        <w:rPr>
          <w:rFonts w:ascii="Palatino Linotype" w:eastAsia="Palatino Linotype" w:hAnsi="Palatino Linotype" w:cs="Palatino Linotype"/>
        </w:rPr>
        <w:t>, número de placa, número de motor, datos de la factura o CFDI, datos de la póliza, fecha del movimiento de alta y el área responsable, sin justificar la razón por la cual dichos datos actualizan alguna de las causales de reserva que la normativa contemple.</w:t>
      </w:r>
    </w:p>
    <w:p w14:paraId="4760143B"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 Por lo que se refiere a la prueba de daño, esta no precisa las razones objetivas por las que la apertura de la información generaría una afectación, es decir, de los datos relativos al número de inventario, nombre del resguardatario, nombre del mueble, marca, modelo, </w:t>
      </w:r>
      <w:r w:rsidRPr="0071012D">
        <w:rPr>
          <w:rFonts w:ascii="Palatino Linotype" w:eastAsia="Palatino Linotype" w:hAnsi="Palatino Linotype" w:cs="Palatino Linotype"/>
          <w:b/>
        </w:rPr>
        <w:t>número de serie</w:t>
      </w:r>
      <w:r w:rsidRPr="0071012D">
        <w:rPr>
          <w:rFonts w:ascii="Palatino Linotype" w:eastAsia="Palatino Linotype" w:hAnsi="Palatino Linotype" w:cs="Palatino Linotype"/>
        </w:rPr>
        <w:t>, número de placa, número de motor, datos de la factura o CFDI, datos de la póliza, fecha del movimiento de alta y el área responsable, pues no justifica que la divulgación de dicha información representa un riesgo real, demostrable e identificable del perjuicio significativo al interés público o a la seguridad pública; que riesgo de perjuicio que supondría la divulgación supera el interés público general de que se difunda; y que la limitación se adecua al principio de proporcionalidad y representa el medio menos restrictivo disponible representa el medio menos restrictivo disponible para evitar el perjuicio.</w:t>
      </w:r>
    </w:p>
    <w:p w14:paraId="4BF4E995"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Cabe mencionar que la prueba de daño se realiza de conformidad con lo establecido en el lineamiento Trigésimo Tercero de los Lineamientos Generales de Clasificación, a saber:</w:t>
      </w:r>
    </w:p>
    <w:p w14:paraId="0DB1E448"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“Trigésimo tercero</w:t>
      </w:r>
      <w:r w:rsidRPr="0071012D">
        <w:rPr>
          <w:rFonts w:ascii="Palatino Linotype" w:eastAsia="Palatino Linotype" w:hAnsi="Palatino Linotype" w:cs="Palatino Linotype"/>
          <w:i/>
          <w:sz w:val="22"/>
          <w:szCs w:val="22"/>
        </w:rPr>
        <w:t xml:space="preserve">. Para la aplicación de la prueba de daño a la que hace referencia el artículo 104 de la Ley General, los sujetos obligados atenderán lo siguiente: </w:t>
      </w:r>
    </w:p>
    <w:p w14:paraId="7C8F47E3"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1FC5D657"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Se deberá motivar la clasificación, señalando las circunstancias de modo, tiempo y lugar que acrediten el vínculo entre la difusión de la información y la afectación al interés público o a la seguridad nacional; </w:t>
      </w:r>
    </w:p>
    <w:p w14:paraId="03BC7949"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7085A967"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 </w:t>
      </w:r>
    </w:p>
    <w:p w14:paraId="52C0C3FC"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V.</w:t>
      </w:r>
      <w:r w:rsidRPr="0071012D">
        <w:rPr>
          <w:rFonts w:ascii="Palatino Linotype" w:eastAsia="Palatino Linotype" w:hAnsi="Palatino Linotype" w:cs="Palatino Linotype"/>
          <w:i/>
          <w:sz w:val="22"/>
          <w:szCs w:val="22"/>
        </w:rPr>
        <w:t xml:space="preserve"> Deberán elegir y justificar la opción de excepción al derecho de acceso a la información que menos lo restrinja y que sea adecuada y proporcional para evitar el perjuicio al interés público, evitando siempre que sea posible la reserva absoluta de documentos o expedientes; y </w:t>
      </w:r>
    </w:p>
    <w:p w14:paraId="482B8638" w14:textId="77777777" w:rsidR="00437BD3" w:rsidRPr="0071012D" w:rsidRDefault="00B77E02">
      <w:pP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VI.</w:t>
      </w:r>
      <w:r w:rsidRPr="0071012D">
        <w:rPr>
          <w:rFonts w:ascii="Palatino Linotype" w:eastAsia="Palatino Linotype" w:hAnsi="Palatino Linotype" w:cs="Palatino Linotype"/>
          <w:i/>
          <w:sz w:val="22"/>
          <w:szCs w:val="22"/>
        </w:rPr>
        <w:t xml:space="preserve">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48C8ECDB"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Respecto al periodo de clasificación, si bien señaló un plazo de cinco años, no justificó la necesidad de contemplar dicho plazo, esto es, que dicha medida adecua al principio de proporcionalidad y representa el medio menos restrictivo disponible para evitar el perjuicio al interés público, aunado al hecho de que no se señaló la fecha de expiración de la clasificación.</w:t>
      </w:r>
    </w:p>
    <w:p w14:paraId="5F337795"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Finalmente, no se señaló el nombre del titular y área encargada de realizar la versión pública del documento.</w:t>
      </w:r>
    </w:p>
    <w:p w14:paraId="547F69CB" w14:textId="77777777" w:rsidR="00437BD3" w:rsidRPr="0071012D" w:rsidRDefault="00B77E0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En este orden de ideas, es evidente que no puede tenerse por satisfecho el Derecho de acceso a la información, dado que no se acreditó que de los datos que fueron testados en el inventario de bienes muebles, efectivamente actualizan alguna de las causales de reserva establecidas en el artículo 140 de la Ley de Transparencia y Acceso a la Información Pública del Estado de México y Municipios.</w:t>
      </w:r>
    </w:p>
    <w:p w14:paraId="370A6258" w14:textId="77777777" w:rsidR="00437BD3" w:rsidRPr="0071012D" w:rsidRDefault="00B77E0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Aunado a lo anterior, tomando en consideración las descripciones del instructivo de llenado del inventario de bienes muebles previamente aludido, es de señalar que número de inventario, marca, modelo, </w:t>
      </w:r>
      <w:r w:rsidRPr="0071012D">
        <w:rPr>
          <w:rFonts w:ascii="Palatino Linotype" w:eastAsia="Palatino Linotype" w:hAnsi="Palatino Linotype" w:cs="Palatino Linotype"/>
          <w:b/>
        </w:rPr>
        <w:t>número de serie</w:t>
      </w:r>
      <w:r w:rsidRPr="0071012D">
        <w:rPr>
          <w:rFonts w:ascii="Palatino Linotype" w:eastAsia="Palatino Linotype" w:hAnsi="Palatino Linotype" w:cs="Palatino Linotype"/>
        </w:rPr>
        <w:t>, número de placa, número de motor, datos de la factura o CFDI, datos de la póliza, fecha del movimiento de alta y el área responsable, es información que NO es susceptible de ser clasificada bajo ningún supuesto, pues no se advierten elementos que demuestren que con la divulgación de la misma se pueda causar un daño al interés público, o que se relacione con alguno de los supuestos establecidos en el artículo 140 de la Ley de la Materia.</w:t>
      </w:r>
    </w:p>
    <w:p w14:paraId="246B9C64"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Mientras que en el caso del </w:t>
      </w:r>
      <w:r w:rsidRPr="0071012D">
        <w:rPr>
          <w:rFonts w:ascii="Palatino Linotype" w:eastAsia="Palatino Linotype" w:hAnsi="Palatino Linotype" w:cs="Palatino Linotype"/>
          <w:b/>
        </w:rPr>
        <w:t>nombre del resguardatario</w:t>
      </w:r>
      <w:r w:rsidRPr="0071012D">
        <w:rPr>
          <w:rFonts w:ascii="Palatino Linotype" w:eastAsia="Palatino Linotype" w:hAnsi="Palatino Linotype" w:cs="Palatino Linotype"/>
        </w:rPr>
        <w:t xml:space="preserve"> de los bienes muebles de la Dirección de Seguridad Pública Municipal y Tránsito, se deberá establecer si dicha información corresponde con servidores públicos que desempeñan funciones operativas, y en dicho supuesto es procedente la reserva en el entendido de que la difusión de dicha información pudiera poner en riesgo su vida, salud y seguridad, derivado de las funciones que les son encomendadas en términos del artículo 21 párrafo noveno de la Constitución Política de los Estados Unidos Mexicanos, las cuales comprenden, la prevención de los delitos, investigación y persecución, entre otras, encuadrando dicha información en el supuesto de clasificación previsto en el artículo 140, fracción IV de la Ley de Transparencia Local, sin embargo, no debe perderse de vista que en el presente asunto se testó también, el </w:t>
      </w:r>
      <w:r w:rsidRPr="0071012D">
        <w:rPr>
          <w:rFonts w:ascii="Palatino Linotype" w:eastAsia="Palatino Linotype" w:hAnsi="Palatino Linotype" w:cs="Palatino Linotype"/>
          <w:b/>
          <w:u w:val="single"/>
        </w:rPr>
        <w:t>puesto funcional y el nivel y/o rango</w:t>
      </w:r>
      <w:r w:rsidRPr="0071012D">
        <w:rPr>
          <w:rFonts w:ascii="Palatino Linotype" w:eastAsia="Palatino Linotype" w:hAnsi="Palatino Linotype" w:cs="Palatino Linotype"/>
        </w:rPr>
        <w:t xml:space="preserve"> de dichos servidores públicos, </w:t>
      </w:r>
      <w:r w:rsidRPr="0071012D">
        <w:rPr>
          <w:rFonts w:ascii="Palatino Linotype" w:eastAsia="Palatino Linotype" w:hAnsi="Palatino Linotype" w:cs="Palatino Linotype"/>
          <w:b/>
          <w:u w:val="single"/>
        </w:rPr>
        <w:t xml:space="preserve">sin que dicha información actualice alguno de los supuestos de clasificación previstos en la norma. </w:t>
      </w:r>
    </w:p>
    <w:p w14:paraId="4F5B7AAC" w14:textId="77777777" w:rsidR="00437BD3" w:rsidRPr="0071012D" w:rsidRDefault="00B77E02">
      <w:pPr>
        <w:spacing w:before="240" w:after="240" w:line="360" w:lineRule="auto"/>
        <w:ind w:right="50"/>
        <w:jc w:val="both"/>
        <w:rPr>
          <w:rFonts w:ascii="Palatino Linotype" w:eastAsia="Palatino Linotype" w:hAnsi="Palatino Linotype" w:cs="Palatino Linotype"/>
          <w:b/>
        </w:rPr>
      </w:pPr>
      <w:r w:rsidRPr="0071012D">
        <w:rPr>
          <w:rFonts w:ascii="Palatino Linotype" w:eastAsia="Palatino Linotype" w:hAnsi="Palatino Linotype" w:cs="Palatino Linotype"/>
        </w:rPr>
        <w:t xml:space="preserve">Como sustento de lo anterior, es preciso mencionar que el </w:t>
      </w:r>
      <w:r w:rsidRPr="0071012D">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71012D">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71012D">
        <w:rPr>
          <w:rFonts w:ascii="Palatino Linotype" w:eastAsia="Palatino Linotype" w:hAnsi="Palatino Linotype" w:cs="Palatino Linotype"/>
          <w:b/>
        </w:rPr>
        <w:t xml:space="preserve">vulnerar la vida, seguridad o salud de dichos elementos, incluso la de sus familias o entorno social. </w:t>
      </w:r>
    </w:p>
    <w:p w14:paraId="037E0A3B"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En ese orden de ideas, el</w:t>
      </w:r>
      <w:r w:rsidRPr="0071012D">
        <w:rPr>
          <w:rFonts w:ascii="Palatino Linotype" w:eastAsia="Palatino Linotype" w:hAnsi="Palatino Linotype" w:cs="Palatino Linotype"/>
          <w:b/>
        </w:rPr>
        <w:t xml:space="preserve"> </w:t>
      </w:r>
      <w:r w:rsidRPr="0071012D">
        <w:rPr>
          <w:rFonts w:ascii="Palatino Linotype" w:eastAsia="Palatino Linotype" w:hAnsi="Palatino Linotype" w:cs="Palatino Linotype"/>
        </w:rPr>
        <w:t>artículo 140, fracción IV, de la Ley de Transparencia y Acceso a la Información Pública del Estado de México y Municipios prevé lo siguiente:</w:t>
      </w:r>
    </w:p>
    <w:p w14:paraId="155B2292"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Artículo 140.</w:t>
      </w:r>
      <w:r w:rsidRPr="0071012D">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644A0A29"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p>
    <w:p w14:paraId="0774BFE8"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xml:space="preserve"> Ponga en riesgo la vida, la seguridad o la salud de una persona física;</w:t>
      </w:r>
    </w:p>
    <w:p w14:paraId="24F2E82C"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 </w:t>
      </w:r>
    </w:p>
    <w:p w14:paraId="15C19F01"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Del precepto legal citado se desprende que como información reservada podrá clasificarse aquella cuya publicación </w:t>
      </w:r>
      <w:r w:rsidRPr="0071012D">
        <w:rPr>
          <w:rFonts w:ascii="Palatino Linotype" w:eastAsia="Palatino Linotype" w:hAnsi="Palatino Linotype" w:cs="Palatino Linotype"/>
          <w:b/>
        </w:rPr>
        <w:t xml:space="preserve">pueda poner en riesgo la vida, seguridad o salud de una persona física. </w:t>
      </w:r>
      <w:r w:rsidRPr="0071012D">
        <w:rPr>
          <w:rFonts w:ascii="Palatino Linotype" w:eastAsia="Palatino Linotype" w:hAnsi="Palatino Linotype" w:cs="Palatino Linotype"/>
        </w:rPr>
        <w:t>En concatenación con lo anterior, los Lineamientos Generales en Materia de Clasificación y Desclasificación de la Información, así como para la Elaboración de Versiones Públicas, establecen lo siguiente:</w:t>
      </w:r>
    </w:p>
    <w:p w14:paraId="3FFD93A0"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“Vigésimo tercero. </w:t>
      </w:r>
      <w:r w:rsidRPr="0071012D">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14:paraId="7E1525AE"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Del Lineamiento referido, se desprende que para clasificar la información como reservada, será necesario </w:t>
      </w:r>
      <w:r w:rsidRPr="0071012D">
        <w:rPr>
          <w:rFonts w:ascii="Palatino Linotype" w:eastAsia="Palatino Linotype" w:hAnsi="Palatino Linotype" w:cs="Palatino Linotype"/>
          <w:b/>
        </w:rPr>
        <w:t>acreditar un vínculo, entre la persona física y la información que pueda poner en riesgo su vida, seguridad o salud</w:t>
      </w:r>
      <w:r w:rsidRPr="0071012D">
        <w:rPr>
          <w:rFonts w:ascii="Palatino Linotype" w:eastAsia="Palatino Linotype" w:hAnsi="Palatino Linotype" w:cs="Palatino Linotype"/>
        </w:rPr>
        <w:t>.</w:t>
      </w:r>
    </w:p>
    <w:p w14:paraId="0C538C22"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Además, el artículo 81, fracción III, de la Ley de Seguridad del Estado de México, establece lo siguiente:</w:t>
      </w:r>
    </w:p>
    <w:p w14:paraId="7C33BB01" w14:textId="77777777" w:rsidR="00437BD3" w:rsidRPr="0071012D" w:rsidRDefault="00B77E02">
      <w:pPr>
        <w:tabs>
          <w:tab w:val="left" w:pos="851"/>
        </w:tabs>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“Artículo 81.-</w:t>
      </w:r>
      <w:r w:rsidRPr="0071012D">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79A2094" w14:textId="77777777" w:rsidR="00437BD3" w:rsidRPr="0071012D" w:rsidRDefault="00B77E02">
      <w:pPr>
        <w:tabs>
          <w:tab w:val="left" w:pos="851"/>
        </w:tabs>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p>
    <w:p w14:paraId="1EE0BA7D" w14:textId="77777777" w:rsidR="00437BD3" w:rsidRPr="0071012D" w:rsidRDefault="00B77E02">
      <w:pPr>
        <w:tabs>
          <w:tab w:val="left" w:pos="851"/>
        </w:tabs>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La relativa a los servidores públicos integrantes de las instituciones de seguridad pública, </w:t>
      </w:r>
      <w:r w:rsidRPr="0071012D">
        <w:rPr>
          <w:rFonts w:ascii="Palatino Linotype" w:eastAsia="Palatino Linotype" w:hAnsi="Palatino Linotype" w:cs="Palatino Linotype"/>
          <w:b/>
          <w:i/>
          <w:sz w:val="22"/>
          <w:szCs w:val="22"/>
        </w:rPr>
        <w:t>cuya revelación pueda poner en riesgo su vida e integridad física con motivo de sus funciones;</w:t>
      </w:r>
    </w:p>
    <w:p w14:paraId="2E5F1664" w14:textId="77777777" w:rsidR="00437BD3" w:rsidRPr="0071012D" w:rsidRDefault="00B77E02">
      <w:pPr>
        <w:tabs>
          <w:tab w:val="left" w:pos="851"/>
        </w:tabs>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p>
    <w:p w14:paraId="10EAD106" w14:textId="77777777" w:rsidR="00437BD3" w:rsidRPr="0071012D" w:rsidRDefault="00B77E02">
      <w:pPr>
        <w:spacing w:before="240" w:after="240" w:line="360" w:lineRule="auto"/>
        <w:ind w:right="50"/>
        <w:jc w:val="both"/>
        <w:rPr>
          <w:rFonts w:ascii="Palatino Linotype" w:eastAsia="Palatino Linotype" w:hAnsi="Palatino Linotype" w:cs="Palatino Linotype"/>
          <w:b/>
        </w:rPr>
      </w:pPr>
      <w:r w:rsidRPr="0071012D">
        <w:rPr>
          <w:rFonts w:ascii="Palatino Linotype" w:eastAsia="Palatino Linotype" w:hAnsi="Palatino Linotype" w:cs="Palatino Linotype"/>
        </w:rPr>
        <w:t xml:space="preserve">Así, se desprende que es reservada toda aquella información de los servidores públicos integrantes de las instituciones de seguridad pública, cuya revelación </w:t>
      </w:r>
      <w:r w:rsidRPr="0071012D">
        <w:rPr>
          <w:rFonts w:ascii="Palatino Linotype" w:eastAsia="Palatino Linotype" w:hAnsi="Palatino Linotype" w:cs="Palatino Linotype"/>
          <w:b/>
        </w:rPr>
        <w:t>pueda poner en riesgo su vida e integridad física con motivo de sus funciones.</w:t>
      </w:r>
    </w:p>
    <w:p w14:paraId="1B618CBA"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Atento a lo anterior, resulta necesario traer por analogía, el criterio de interpretación con clave de control SO/006/2009, emitido por el entonces Instituto Federal de Acceso a la Información y Protección de Datos, que establece lo siguiente:</w:t>
      </w:r>
    </w:p>
    <w:p w14:paraId="0860823B" w14:textId="77777777" w:rsidR="00437BD3" w:rsidRPr="0071012D" w:rsidRDefault="00B77E02">
      <w:pPr>
        <w:tabs>
          <w:tab w:val="left" w:pos="284"/>
        </w:tabs>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71012D">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970CFEC" w14:textId="77777777" w:rsidR="00437BD3" w:rsidRPr="0071012D" w:rsidRDefault="00B77E02">
      <w:pPr>
        <w:spacing w:before="240" w:after="240" w:line="360" w:lineRule="auto"/>
        <w:ind w:right="50"/>
        <w:jc w:val="both"/>
        <w:rPr>
          <w:rFonts w:ascii="Palatino Linotype" w:eastAsia="Palatino Linotype" w:hAnsi="Palatino Linotype" w:cs="Palatino Linotype"/>
          <w:b/>
        </w:rPr>
      </w:pPr>
      <w:r w:rsidRPr="0071012D">
        <w:rPr>
          <w:rFonts w:ascii="Palatino Linotype" w:eastAsia="Palatino Linotype" w:hAnsi="Palatino Linotype" w:cs="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71012D">
        <w:rPr>
          <w:rFonts w:ascii="Palatino Linotype" w:eastAsia="Palatino Linotype" w:hAnsi="Palatino Linotype" w:cs="Palatino Linotype"/>
          <w:b/>
        </w:rPr>
        <w:t>funciones de carácter operativo.</w:t>
      </w:r>
    </w:p>
    <w:p w14:paraId="77E57D4D"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En ese orden de ideas, si bien por regla general el nombre de los servidores públicos es información de naturaleza pública, siendo obligación de los entes públicos poner a disposición de los particulares, de manera permanente y actualizada, dicha información, existe una excepción relativa a </w:t>
      </w:r>
      <w:r w:rsidRPr="0071012D">
        <w:rPr>
          <w:rFonts w:ascii="Palatino Linotype" w:eastAsia="Palatino Linotype" w:hAnsi="Palatino Linotype" w:cs="Palatino Linotype"/>
          <w:b/>
        </w:rPr>
        <w:t>aquellos que realicen actividades operativas en materia de seguridad,</w:t>
      </w:r>
      <w:r w:rsidRPr="0071012D">
        <w:rPr>
          <w:rFonts w:ascii="Palatino Linotype" w:eastAsia="Palatino Linotype" w:hAnsi="Palatino Linotype" w:cs="Palatino Linotype"/>
        </w:rPr>
        <w:t xml:space="preserve"> como es el caso de los elementos operativos.</w:t>
      </w:r>
    </w:p>
    <w:p w14:paraId="3A04FAD1"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C1709E7"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En ese contexto, el artículo 6, fracciones XI y XII de dicho ordenamiento jurídico, establece los siguientes conceptos:</w:t>
      </w:r>
    </w:p>
    <w:p w14:paraId="4AE3C4ED" w14:textId="77777777" w:rsidR="00437BD3" w:rsidRPr="0071012D" w:rsidRDefault="00B77E02">
      <w:pPr>
        <w:numPr>
          <w:ilvl w:val="0"/>
          <w:numId w:val="1"/>
        </w:numPr>
        <w:spacing w:before="240" w:after="240" w:line="360" w:lineRule="auto"/>
        <w:ind w:left="284" w:right="50" w:firstLine="0"/>
        <w:jc w:val="both"/>
        <w:rPr>
          <w:rFonts w:ascii="Palatino Linotype" w:eastAsia="Palatino Linotype" w:hAnsi="Palatino Linotype" w:cs="Palatino Linotype"/>
          <w:b/>
        </w:rPr>
      </w:pPr>
      <w:r w:rsidRPr="0071012D">
        <w:rPr>
          <w:rFonts w:ascii="Palatino Linotype" w:eastAsia="Palatino Linotype" w:hAnsi="Palatino Linotype" w:cs="Palatino Linotype"/>
          <w:b/>
        </w:rPr>
        <w:t xml:space="preserve">Instituciones Policiales: </w:t>
      </w:r>
      <w:r w:rsidRPr="0071012D">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sidRPr="0071012D">
        <w:rPr>
          <w:rFonts w:ascii="Palatino Linotype" w:eastAsia="Palatino Linotype" w:hAnsi="Palatino Linotype" w:cs="Palatino Linotype"/>
          <w:b/>
        </w:rPr>
        <w:t>todas las dependencias encargadas de la seguridad pública a nivel</w:t>
      </w:r>
      <w:r w:rsidRPr="0071012D">
        <w:rPr>
          <w:rFonts w:ascii="Palatino Linotype" w:eastAsia="Palatino Linotype" w:hAnsi="Palatino Linotype" w:cs="Palatino Linotype"/>
        </w:rPr>
        <w:t xml:space="preserve"> estatal y </w:t>
      </w:r>
      <w:r w:rsidRPr="0071012D">
        <w:rPr>
          <w:rFonts w:ascii="Palatino Linotype" w:eastAsia="Palatino Linotype" w:hAnsi="Palatino Linotype" w:cs="Palatino Linotype"/>
          <w:b/>
        </w:rPr>
        <w:t>municipal.</w:t>
      </w:r>
    </w:p>
    <w:p w14:paraId="1F06820E" w14:textId="77777777" w:rsidR="00437BD3" w:rsidRPr="0071012D" w:rsidRDefault="00B77E02">
      <w:pPr>
        <w:numPr>
          <w:ilvl w:val="0"/>
          <w:numId w:val="1"/>
        </w:numPr>
        <w:spacing w:before="240" w:after="240" w:line="360" w:lineRule="auto"/>
        <w:ind w:left="284" w:right="50" w:firstLine="0"/>
        <w:jc w:val="both"/>
        <w:rPr>
          <w:rFonts w:ascii="Palatino Linotype" w:eastAsia="Palatino Linotype" w:hAnsi="Palatino Linotype" w:cs="Palatino Linotype"/>
          <w:b/>
        </w:rPr>
      </w:pPr>
      <w:r w:rsidRPr="0071012D">
        <w:rPr>
          <w:rFonts w:ascii="Palatino Linotype" w:eastAsia="Palatino Linotype" w:hAnsi="Palatino Linotype" w:cs="Palatino Linotype"/>
          <w:b/>
        </w:rPr>
        <w:t xml:space="preserve">Instituciones de Seguridad Pública: </w:t>
      </w:r>
      <w:r w:rsidRPr="0071012D">
        <w:rPr>
          <w:rFonts w:ascii="Palatino Linotype" w:eastAsia="Palatino Linotype" w:hAnsi="Palatino Linotype" w:cs="Palatino Linotype"/>
        </w:rPr>
        <w:t xml:space="preserve">Instituciones Policiales, Procuración de Justicia, Sistema Penitenciario y </w:t>
      </w:r>
      <w:r w:rsidRPr="0071012D">
        <w:rPr>
          <w:rFonts w:ascii="Palatino Linotype" w:eastAsia="Palatino Linotype" w:hAnsi="Palatino Linotype" w:cs="Palatino Linotype"/>
          <w:b/>
        </w:rPr>
        <w:t xml:space="preserve">dependencias encargadas de la seguridad pública a nivel </w:t>
      </w:r>
      <w:r w:rsidRPr="0071012D">
        <w:rPr>
          <w:rFonts w:ascii="Palatino Linotype" w:eastAsia="Palatino Linotype" w:hAnsi="Palatino Linotype" w:cs="Palatino Linotype"/>
        </w:rPr>
        <w:t xml:space="preserve">estatal y </w:t>
      </w:r>
      <w:r w:rsidRPr="0071012D">
        <w:rPr>
          <w:rFonts w:ascii="Palatino Linotype" w:eastAsia="Palatino Linotype" w:hAnsi="Palatino Linotype" w:cs="Palatino Linotype"/>
          <w:b/>
        </w:rPr>
        <w:t>municipal.</w:t>
      </w:r>
    </w:p>
    <w:p w14:paraId="57B81146" w14:textId="77777777" w:rsidR="00437BD3" w:rsidRPr="0071012D" w:rsidRDefault="00B77E02">
      <w:pPr>
        <w:tabs>
          <w:tab w:val="left" w:pos="4962"/>
        </w:tabs>
        <w:spacing w:before="240" w:after="240" w:line="360" w:lineRule="auto"/>
        <w:ind w:right="-28"/>
        <w:jc w:val="both"/>
        <w:rPr>
          <w:rFonts w:ascii="Palatino Linotype" w:eastAsia="Palatino Linotype" w:hAnsi="Palatino Linotype" w:cs="Palatino Linotype"/>
        </w:rPr>
      </w:pPr>
      <w:r w:rsidRPr="0071012D">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Comisaria Municipal, tiene dos clases de servidores públicos, por una parte, los operativos (policía municipal) y por otra, los administrativos, de apoyo y personal de mando, los cuales no realizan funciones operativas.</w:t>
      </w:r>
    </w:p>
    <w:p w14:paraId="4B7BA17E"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Así, dar a conocer el nombre completo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0EF2A4D"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De tal situación, se considera que dar a conocer el nombre completo de los elementos operativos, que incluye a los policías municipales, puede poner en riesgo la vida, seguridad y salud de estos, de sus familias e incluso su entorno social, pues al hacerlos identificables, los hace blanco de los agentes delincuenciales o inclusive a la delincuencia organizada, los cuales podrían amenazar o causarles algún daño, con el fin de entorpecer o disminuir la seguridad pública y aumentar la comisión de actos ilícitos.</w:t>
      </w:r>
    </w:p>
    <w:p w14:paraId="5236A968"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Comisaria Municipal, tiene dos clases de servidores públicos, por una parte, los operativos (policía municipal) y por otra, los administrativos, de apoyo y personal de mando, los cuales no realizan funciones operativas.</w:t>
      </w:r>
    </w:p>
    <w:p w14:paraId="160DE808"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Así, dar a conocer el nombre completo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E8B27F1" w14:textId="77777777" w:rsidR="00437BD3" w:rsidRPr="0071012D" w:rsidRDefault="00B77E02">
      <w:pPr>
        <w:spacing w:before="240" w:after="240" w:line="360" w:lineRule="auto"/>
        <w:ind w:right="50"/>
        <w:jc w:val="both"/>
        <w:rPr>
          <w:rFonts w:ascii="Palatino Linotype" w:eastAsia="Palatino Linotype" w:hAnsi="Palatino Linotype" w:cs="Palatino Linotype"/>
        </w:rPr>
      </w:pPr>
      <w:r w:rsidRPr="0071012D">
        <w:rPr>
          <w:rFonts w:ascii="Palatino Linotype" w:eastAsia="Palatino Linotype" w:hAnsi="Palatino Linotype" w:cs="Palatino Linotype"/>
        </w:rPr>
        <w:t>De tal situación, se considera que dar a conocer el nombre completo de los elementos operativos, que incluye a los policías municipales, puede poner en riesgo la vida, seguridad y salud de estos, de sus familias e incluso su entorno social, pues al hacerlos identificables, los hace blanco de los agentes delincuenciales o inclusive a la delincuencia organizada, los cuales podrían amenazar o causarles algún daño, con el fin de entorpecer o disminuir la seguridad pública y aumentar la comisión de actos ilícitos.</w:t>
      </w:r>
    </w:p>
    <w:p w14:paraId="2B880266" w14:textId="77777777" w:rsidR="00437BD3" w:rsidRPr="0071012D" w:rsidRDefault="00B77E0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Por lo que se refiere al </w:t>
      </w:r>
      <w:r w:rsidRPr="0071012D">
        <w:rPr>
          <w:rFonts w:ascii="Palatino Linotype" w:eastAsia="Palatino Linotype" w:hAnsi="Palatino Linotype" w:cs="Palatino Linotype"/>
          <w:b/>
          <w:i/>
        </w:rPr>
        <w:t>nombre del mueble</w:t>
      </w:r>
      <w:r w:rsidRPr="0071012D">
        <w:rPr>
          <w:rFonts w:ascii="Palatino Linotype" w:eastAsia="Palatino Linotype" w:hAnsi="Palatino Linotype" w:cs="Palatino Linotype"/>
        </w:rPr>
        <w:t>, específicamente por lo que se refiere al equipo táctico, de manera enunciativa más no limitativa: chalecos balísticos o antibalas, cascos balísticos, escudos y armamento asignado a la Dirección de Seguridad Pública Municipal y Tránsito, se considera que es  información susceptible de ser clasificada como reservada ya que  el proporcionar dicha información podría comprometer la seguridad pública, al poner en peligro las funciones a cargo del Municipio, tendentes a preservar y resguardar la vida, la salud, la integridad y el ejercicio de los derechos de las personas, así como para el mantenimiento del orden público, toda vez que podría dar cuenta de las tecnologías, equipos y sistemas con los que cuenta la Dirección de Seguridad Pública, lo cual acredita la causal de clasificación prevista en el artículo 140, fracción I de la Ley de Transparencia y Acceso a la Información Pública del Estado de México</w:t>
      </w:r>
      <w:r w:rsidRPr="0071012D">
        <w:rPr>
          <w:rFonts w:ascii="Palatino Linotype" w:eastAsia="Palatino Linotype" w:hAnsi="Palatino Linotype" w:cs="Palatino Linotype"/>
          <w:b/>
        </w:rPr>
        <w:t xml:space="preserve">, </w:t>
      </w:r>
      <w:r w:rsidRPr="0071012D">
        <w:rPr>
          <w:rFonts w:ascii="Palatino Linotype" w:eastAsia="Palatino Linotype" w:hAnsi="Palatino Linotype" w:cs="Palatino Linotype"/>
        </w:rPr>
        <w:t>concatenada con el Lineamiento Décimo octavo de los Lineamientos Generales de Clasificación:</w:t>
      </w:r>
    </w:p>
    <w:p w14:paraId="1BD0BF3A"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Artículo 140.</w:t>
      </w:r>
      <w:r w:rsidRPr="0071012D">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3244C214"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Comprometa la seguridad pública y cuente con un propósito genuino y un efecto demostrable;</w:t>
      </w:r>
    </w:p>
    <w:p w14:paraId="12D640FA" w14:textId="77777777" w:rsidR="00437BD3" w:rsidRPr="0071012D" w:rsidRDefault="00B77E02">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“Décimo octavo. </w:t>
      </w:r>
      <w:r w:rsidRPr="0071012D">
        <w:rPr>
          <w:rFonts w:ascii="Palatino Linotype" w:eastAsia="Palatino Linotype" w:hAnsi="Palatino Linotype" w:cs="Palatino Linotype"/>
          <w:i/>
          <w:sz w:val="22"/>
          <w:szCs w:val="22"/>
        </w:rPr>
        <w:t xml:space="preserve">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408763C7" w14:textId="77777777" w:rsidR="00437BD3" w:rsidRPr="0071012D" w:rsidRDefault="00B77E02">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50BA289" w14:textId="77777777" w:rsidR="00437BD3" w:rsidRPr="0071012D" w:rsidRDefault="00B77E02">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A67220F" w14:textId="77777777" w:rsidR="00437BD3" w:rsidRPr="0071012D" w:rsidRDefault="00B77E0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Bajo las consideraciones expuestas, se estima dable ordenar se haga entrega nuevamente del inventario de bienes muebles entregado en respuesta, en versión pública correcta.</w:t>
      </w:r>
    </w:p>
    <w:p w14:paraId="71926D71"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Cabe señalar que el Comité de Transparencia del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deberá emitir el acuerdo de clasificación de información debidamente fundado y motivado, en términos de las consideraciones previamente expuestas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197D79A5"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Segundo.-</w:t>
      </w:r>
      <w:r w:rsidRPr="0071012D">
        <w:rPr>
          <w:rFonts w:ascii="Palatino Linotype" w:eastAsia="Palatino Linotype" w:hAnsi="Palatino Linotype" w:cs="Palatino Linotype"/>
          <w:i/>
          <w:sz w:val="22"/>
          <w:szCs w:val="22"/>
        </w:rPr>
        <w:t xml:space="preserve"> Para efectos de los presentes Lineamientos Generales, se entenderá por:</w:t>
      </w:r>
    </w:p>
    <w:p w14:paraId="7DB07080" w14:textId="77777777" w:rsidR="00437BD3" w:rsidRPr="0071012D" w:rsidRDefault="00B77E02">
      <w:pPr>
        <w:tabs>
          <w:tab w:val="left" w:pos="8222"/>
        </w:tabs>
        <w:spacing w:before="120" w:after="120"/>
        <w:ind w:left="1134"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XVIII.</w:t>
      </w: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Versión pública:</w:t>
      </w:r>
      <w:r w:rsidRPr="0071012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1012D">
        <w:rPr>
          <w:rFonts w:ascii="Palatino Linotype" w:eastAsia="Palatino Linotype" w:hAnsi="Palatino Linotype" w:cs="Palatino Linotype"/>
          <w:b/>
          <w:i/>
          <w:sz w:val="22"/>
          <w:szCs w:val="22"/>
        </w:rPr>
        <w:t>fundando y motivando la</w:t>
      </w: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reserva o confidencialidad</w:t>
      </w:r>
      <w:r w:rsidRPr="0071012D">
        <w:rPr>
          <w:rFonts w:ascii="Palatino Linotype" w:eastAsia="Palatino Linotype" w:hAnsi="Palatino Linotype" w:cs="Palatino Linotype"/>
          <w:i/>
          <w:sz w:val="22"/>
          <w:szCs w:val="22"/>
        </w:rPr>
        <w:t>, a través de la resolución que para tal efecto emita el Comité de Transparencia.</w:t>
      </w:r>
    </w:p>
    <w:p w14:paraId="74D8DC3A"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b/>
          <w:i/>
          <w:sz w:val="22"/>
          <w:szCs w:val="22"/>
        </w:rPr>
      </w:pPr>
      <w:r w:rsidRPr="0071012D">
        <w:rPr>
          <w:rFonts w:ascii="Palatino Linotype" w:eastAsia="Palatino Linotype" w:hAnsi="Palatino Linotype" w:cs="Palatino Linotype"/>
          <w:b/>
          <w:i/>
          <w:sz w:val="22"/>
          <w:szCs w:val="22"/>
        </w:rPr>
        <w:t>...</w:t>
      </w:r>
    </w:p>
    <w:p w14:paraId="3E85957B"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Cuarto.</w:t>
      </w: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Para clasificar la información como</w:t>
      </w: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reservada o</w:t>
      </w:r>
      <w:r w:rsidRPr="0071012D">
        <w:rPr>
          <w:rFonts w:ascii="Palatino Linotype" w:eastAsia="Palatino Linotype" w:hAnsi="Palatino Linotype" w:cs="Palatino Linotype"/>
          <w:i/>
          <w:sz w:val="22"/>
          <w:szCs w:val="22"/>
        </w:rPr>
        <w:t xml:space="preserve"> </w:t>
      </w:r>
      <w:r w:rsidRPr="0071012D">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71012D">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C465A1"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A7B9213"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Quinto.</w:t>
      </w:r>
      <w:r w:rsidRPr="0071012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9FD2C5"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Sexto.</w:t>
      </w:r>
      <w:r w:rsidRPr="0071012D">
        <w:rPr>
          <w:rFonts w:ascii="Palatino Linotype" w:eastAsia="Palatino Linotype" w:hAnsi="Palatino Linotype" w:cs="Palatino Linotype"/>
          <w:i/>
          <w:sz w:val="22"/>
          <w:szCs w:val="22"/>
        </w:rPr>
        <w:t xml:space="preserve"> Se deroga.</w:t>
      </w:r>
    </w:p>
    <w:p w14:paraId="1B65B0C0"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Séptimo.</w:t>
      </w:r>
      <w:r w:rsidRPr="0071012D">
        <w:rPr>
          <w:rFonts w:ascii="Palatino Linotype" w:eastAsia="Palatino Linotype" w:hAnsi="Palatino Linotype" w:cs="Palatino Linotype"/>
          <w:i/>
          <w:sz w:val="22"/>
          <w:szCs w:val="22"/>
        </w:rPr>
        <w:t xml:space="preserve"> La clasificación de la información se llevará a cabo en el momento en que:</w:t>
      </w:r>
    </w:p>
    <w:p w14:paraId="273A7FDB" w14:textId="77777777" w:rsidR="00437BD3" w:rsidRPr="0071012D" w:rsidRDefault="00B77E02">
      <w:pPr>
        <w:tabs>
          <w:tab w:val="left" w:pos="8222"/>
        </w:tabs>
        <w:spacing w:before="120" w:after="120"/>
        <w:ind w:left="1134"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Se reciba una solicitud de acceso a la información;</w:t>
      </w:r>
    </w:p>
    <w:p w14:paraId="0A47C0B0" w14:textId="77777777" w:rsidR="00437BD3" w:rsidRPr="0071012D" w:rsidRDefault="00B77E02">
      <w:pPr>
        <w:tabs>
          <w:tab w:val="left" w:pos="8222"/>
        </w:tabs>
        <w:spacing w:before="120" w:after="120"/>
        <w:ind w:left="1134"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7DB7E864" w14:textId="77777777" w:rsidR="00437BD3" w:rsidRPr="0071012D" w:rsidRDefault="00B77E02">
      <w:pPr>
        <w:tabs>
          <w:tab w:val="left" w:pos="8222"/>
        </w:tabs>
        <w:spacing w:before="120" w:after="120"/>
        <w:ind w:left="1134"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35B36F9"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71012D">
        <w:rPr>
          <w:rFonts w:ascii="Palatino Linotype" w:eastAsia="Palatino Linotype" w:hAnsi="Palatino Linotype" w:cs="Palatino Linotype"/>
          <w:sz w:val="22"/>
          <w:szCs w:val="22"/>
        </w:rPr>
        <w:t xml:space="preserve">, </w:t>
      </w:r>
      <w:r w:rsidRPr="0071012D">
        <w:rPr>
          <w:rFonts w:ascii="Palatino Linotype" w:eastAsia="Palatino Linotype" w:hAnsi="Palatino Linotype" w:cs="Palatino Linotype"/>
          <w:i/>
          <w:sz w:val="22"/>
          <w:szCs w:val="22"/>
        </w:rPr>
        <w:t>conforme a su naturaleza, si encuadra en una causal de reserva o de confidencialidad.</w:t>
      </w:r>
    </w:p>
    <w:p w14:paraId="2D589EA3"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Octavo.</w:t>
      </w:r>
      <w:r w:rsidRPr="0071012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CAA530"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82FF156"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24A5459"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Noveno.</w:t>
      </w:r>
      <w:r w:rsidRPr="0071012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92A795"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Décimo.</w:t>
      </w:r>
      <w:r w:rsidRPr="0071012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D33E362"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AA701CB" w14:textId="77777777" w:rsidR="00437BD3" w:rsidRPr="0071012D" w:rsidRDefault="00B77E02">
      <w:pPr>
        <w:tabs>
          <w:tab w:val="left" w:pos="8222"/>
        </w:tabs>
        <w:spacing w:before="120" w:after="120"/>
        <w:ind w:left="851" w:right="1134"/>
        <w:jc w:val="both"/>
        <w:rPr>
          <w:rFonts w:ascii="Palatino Linotype" w:eastAsia="Palatino Linotype" w:hAnsi="Palatino Linotype" w:cs="Palatino Linotype"/>
          <w:i/>
        </w:rPr>
      </w:pPr>
      <w:r w:rsidRPr="0071012D">
        <w:rPr>
          <w:rFonts w:ascii="Palatino Linotype" w:eastAsia="Palatino Linotype" w:hAnsi="Palatino Linotype" w:cs="Palatino Linotype"/>
          <w:b/>
          <w:i/>
          <w:sz w:val="22"/>
          <w:szCs w:val="22"/>
        </w:rPr>
        <w:t>Décimo primero.</w:t>
      </w:r>
      <w:r w:rsidRPr="0071012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1012D">
        <w:rPr>
          <w:rFonts w:ascii="Palatino Linotype" w:eastAsia="Palatino Linotype" w:hAnsi="Palatino Linotype" w:cs="Palatino Linotype"/>
          <w:i/>
        </w:rPr>
        <w:t xml:space="preserve"> </w:t>
      </w:r>
    </w:p>
    <w:p w14:paraId="43FC7E65" w14:textId="77777777" w:rsidR="00437BD3" w:rsidRPr="0071012D" w:rsidRDefault="00B77E0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bookmarkStart w:id="10" w:name="_heading=h.fpx57j1na18x" w:colFirst="0" w:colLast="0"/>
      <w:bookmarkEnd w:id="10"/>
      <w:r w:rsidRPr="0071012D">
        <w:rPr>
          <w:rFonts w:ascii="Palatino Linotype" w:eastAsia="Palatino Linotype" w:hAnsi="Palatino Linotype" w:cs="Palatino Linotype"/>
        </w:rPr>
        <w:t xml:space="preserve">Asimismo, respecto a las formalidades que deberá llevar el acuerdo de clasificación que deberá emitir 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889C4A1"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 “Quincuagésimo. </w:t>
      </w:r>
      <w:r w:rsidRPr="0071012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8492974"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bookmarkStart w:id="11" w:name="_heading=h.eq9oxtd4f8gk" w:colFirst="0" w:colLast="0"/>
      <w:bookmarkEnd w:id="11"/>
      <w:r w:rsidRPr="0071012D">
        <w:rPr>
          <w:rFonts w:ascii="Palatino Linotype" w:eastAsia="Palatino Linotype" w:hAnsi="Palatino Linotype" w:cs="Palatino Linotype"/>
          <w:b/>
          <w:i/>
          <w:sz w:val="22"/>
          <w:szCs w:val="22"/>
        </w:rPr>
        <w:t xml:space="preserve">Quincuagésimo primero. </w:t>
      </w:r>
      <w:r w:rsidRPr="0071012D">
        <w:rPr>
          <w:rFonts w:ascii="Palatino Linotype" w:eastAsia="Palatino Linotype" w:hAnsi="Palatino Linotype" w:cs="Palatino Linotype"/>
          <w:i/>
          <w:sz w:val="22"/>
          <w:szCs w:val="22"/>
        </w:rPr>
        <w:t xml:space="preserve">Toda acta del Comité de Transparencia deberá contener: </w:t>
      </w:r>
    </w:p>
    <w:p w14:paraId="59C84698"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El número de sesión y fecha; </w:t>
      </w:r>
    </w:p>
    <w:p w14:paraId="73490DEE"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El nombre del área que solicitó la clasificación de información; </w:t>
      </w:r>
    </w:p>
    <w:p w14:paraId="54A8660F"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La fundamentación legal y motivación correspondiente; </w:t>
      </w:r>
    </w:p>
    <w:p w14:paraId="5B603E5D"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xml:space="preserve">. La resolución o resoluciones aprobadas; y </w:t>
      </w:r>
    </w:p>
    <w:p w14:paraId="16456BBA"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V</w:t>
      </w:r>
      <w:r w:rsidRPr="0071012D">
        <w:rPr>
          <w:rFonts w:ascii="Palatino Linotype" w:eastAsia="Palatino Linotype" w:hAnsi="Palatino Linotype" w:cs="Palatino Linotype"/>
          <w:i/>
          <w:sz w:val="22"/>
          <w:szCs w:val="22"/>
        </w:rPr>
        <w:t xml:space="preserve">. La rúbrica o firma digital de cada integrante del Comité de Transparencia. </w:t>
      </w:r>
    </w:p>
    <w:p w14:paraId="00426E4E"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F8E4E80"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bookmarkStart w:id="12" w:name="_heading=h.885c6i77p56m" w:colFirst="0" w:colLast="0"/>
      <w:bookmarkEnd w:id="12"/>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16645C3"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bookmarkStart w:id="13" w:name="_heading=h.slfsdm4llp4m" w:colFirst="0" w:colLast="0"/>
      <w:bookmarkEnd w:id="13"/>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Descripción de las partes o secciones reservadas, en caso de clasificación parcial</w:t>
      </w:r>
      <w:r w:rsidRPr="0071012D">
        <w:rPr>
          <w:rFonts w:ascii="Palatino Linotype" w:eastAsia="Palatino Linotype" w:hAnsi="Palatino Linotype" w:cs="Palatino Linotype"/>
          <w:b/>
          <w:i/>
          <w:sz w:val="22"/>
          <w:szCs w:val="22"/>
        </w:rPr>
        <w:t xml:space="preserve">; </w:t>
      </w:r>
    </w:p>
    <w:p w14:paraId="2B8F3A11"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El periodo por el que mantendrá su clasificación y fecha de expiración; y </w:t>
      </w:r>
    </w:p>
    <w:p w14:paraId="30B35D44" w14:textId="77777777" w:rsidR="00437BD3" w:rsidRPr="0071012D" w:rsidRDefault="00B77E0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IV.</w:t>
      </w:r>
      <w:r w:rsidRPr="0071012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C0DD14B"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923110C" w14:textId="77777777" w:rsidR="00437BD3" w:rsidRPr="0071012D" w:rsidRDefault="00B77E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151DB4B"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Tercero, Quincuagésimo cuarto, Quincuagésimo quinto, Quincuagésimo séptimo y Quincuagésimo octavo, que establecen lo siguiente:</w:t>
      </w:r>
    </w:p>
    <w:p w14:paraId="3C568F3C" w14:textId="77777777" w:rsidR="00437BD3" w:rsidRPr="0071012D" w:rsidRDefault="00B77E02">
      <w:pPr>
        <w:spacing w:before="120" w:after="12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w:t>
      </w:r>
      <w:r w:rsidRPr="0071012D">
        <w:rPr>
          <w:rFonts w:ascii="Palatino Linotype" w:eastAsia="Palatino Linotype" w:hAnsi="Palatino Linotype" w:cs="Palatino Linotype"/>
          <w:b/>
          <w:i/>
          <w:sz w:val="22"/>
          <w:szCs w:val="22"/>
        </w:rPr>
        <w:t>Quincuagésimo segundo</w:t>
      </w:r>
      <w:r w:rsidRPr="0071012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FC1B31C" w14:textId="77777777" w:rsidR="00437BD3" w:rsidRPr="0071012D" w:rsidRDefault="00B77E02">
      <w:pPr>
        <w:spacing w:before="120" w:after="12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50114F6" w14:textId="77777777" w:rsidR="00437BD3" w:rsidRPr="0071012D" w:rsidRDefault="00B77E02">
      <w:pPr>
        <w:spacing w:before="120" w:after="120"/>
        <w:ind w:left="1134"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58DE866" w14:textId="77777777" w:rsidR="00437BD3" w:rsidRPr="0071012D" w:rsidRDefault="00B77E02">
      <w:pPr>
        <w:spacing w:before="120" w:after="120"/>
        <w:ind w:left="1134"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0197264" w14:textId="77777777" w:rsidR="00437BD3" w:rsidRPr="0071012D" w:rsidRDefault="00B77E02">
      <w:pPr>
        <w:spacing w:before="120" w:after="120"/>
        <w:ind w:left="1134"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Señalar las personas o instancias autorizadas a acceder a la información clasificada.</w:t>
      </w:r>
    </w:p>
    <w:p w14:paraId="0B4617EF" w14:textId="77777777" w:rsidR="00437BD3" w:rsidRPr="0071012D" w:rsidRDefault="00B77E02">
      <w:pPr>
        <w:spacing w:before="120" w:after="120"/>
        <w:ind w:left="851" w:right="900"/>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B10E8BE"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Quincuagésimo tercero. </w:t>
      </w:r>
      <w:r w:rsidRPr="0071012D">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71012D">
        <w:rPr>
          <w:rFonts w:ascii="Palatino Linotype" w:eastAsia="Palatino Linotype" w:hAnsi="Palatino Linotype" w:cs="Palatino Linotype"/>
          <w:b/>
          <w:i/>
          <w:sz w:val="22"/>
          <w:szCs w:val="22"/>
        </w:rPr>
        <w:t xml:space="preserve">, </w:t>
      </w:r>
      <w:r w:rsidRPr="0071012D">
        <w:rPr>
          <w:rFonts w:ascii="Palatino Linotype" w:eastAsia="Palatino Linotype" w:hAnsi="Palatino Linotype" w:cs="Palatino Linotype"/>
          <w:i/>
          <w:sz w:val="22"/>
          <w:szCs w:val="22"/>
        </w:rPr>
        <w:t xml:space="preserve">es el siguiente: </w:t>
      </w:r>
    </w:p>
    <w:p w14:paraId="72BD8E59" w14:textId="77777777" w:rsidR="00437BD3" w:rsidRPr="0071012D" w:rsidRDefault="00B77E02">
      <w:pPr>
        <w:spacing w:before="120" w:after="120"/>
        <w:ind w:left="851" w:right="902"/>
        <w:jc w:val="both"/>
        <w:rPr>
          <w:rFonts w:ascii="Palatino Linotype" w:eastAsia="Palatino Linotype" w:hAnsi="Palatino Linotype" w:cs="Palatino Linotype"/>
          <w:b/>
          <w:i/>
        </w:rPr>
      </w:pPr>
      <w:r w:rsidRPr="0071012D">
        <w:rPr>
          <w:rFonts w:ascii="Palatino Linotype" w:eastAsia="Palatino Linotype" w:hAnsi="Palatino Linotype" w:cs="Palatino Linotype"/>
          <w:b/>
          <w:i/>
          <w:noProof/>
        </w:rPr>
        <w:drawing>
          <wp:inline distT="0" distB="0" distL="0" distR="0" wp14:anchorId="00C2F753" wp14:editId="5296D590">
            <wp:extent cx="4295775" cy="295275"/>
            <wp:effectExtent l="0" t="0" r="0" b="0"/>
            <wp:docPr id="214013186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b="95731"/>
                    <a:stretch>
                      <a:fillRect/>
                    </a:stretch>
                  </pic:blipFill>
                  <pic:spPr>
                    <a:xfrm>
                      <a:off x="0" y="0"/>
                      <a:ext cx="4295775" cy="295275"/>
                    </a:xfrm>
                    <a:prstGeom prst="rect">
                      <a:avLst/>
                    </a:prstGeom>
                    <a:ln/>
                  </pic:spPr>
                </pic:pic>
              </a:graphicData>
            </a:graphic>
          </wp:inline>
        </w:drawing>
      </w:r>
    </w:p>
    <w:p w14:paraId="6D0AD78D" w14:textId="77777777" w:rsidR="00437BD3" w:rsidRPr="0071012D" w:rsidRDefault="00B77E02">
      <w:pPr>
        <w:spacing w:before="120" w:after="120"/>
        <w:ind w:left="851" w:right="902"/>
        <w:jc w:val="both"/>
        <w:rPr>
          <w:rFonts w:ascii="Palatino Linotype" w:eastAsia="Palatino Linotype" w:hAnsi="Palatino Linotype" w:cs="Palatino Linotype"/>
          <w:b/>
          <w:i/>
        </w:rPr>
      </w:pPr>
      <w:r w:rsidRPr="0071012D">
        <w:rPr>
          <w:rFonts w:ascii="Palatino Linotype" w:eastAsia="Palatino Linotype" w:hAnsi="Palatino Linotype" w:cs="Palatino Linotype"/>
          <w:b/>
          <w:i/>
          <w:noProof/>
        </w:rPr>
        <w:drawing>
          <wp:inline distT="0" distB="0" distL="0" distR="0" wp14:anchorId="7F8BC7CE" wp14:editId="307D34FB">
            <wp:extent cx="4333875" cy="1839848"/>
            <wp:effectExtent l="0" t="0" r="0" b="0"/>
            <wp:docPr id="21401318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t="30907" b="42454"/>
                    <a:stretch>
                      <a:fillRect/>
                    </a:stretch>
                  </pic:blipFill>
                  <pic:spPr>
                    <a:xfrm>
                      <a:off x="0" y="0"/>
                      <a:ext cx="4333875" cy="1839848"/>
                    </a:xfrm>
                    <a:prstGeom prst="rect">
                      <a:avLst/>
                    </a:prstGeom>
                    <a:ln/>
                  </pic:spPr>
                </pic:pic>
              </a:graphicData>
            </a:graphic>
          </wp:inline>
        </w:drawing>
      </w:r>
    </w:p>
    <w:p w14:paraId="53FC39BA" w14:textId="77777777" w:rsidR="00437BD3" w:rsidRPr="0071012D" w:rsidRDefault="00B77E02">
      <w:pPr>
        <w:spacing w:before="120" w:after="120"/>
        <w:ind w:left="851" w:right="902"/>
        <w:jc w:val="both"/>
        <w:rPr>
          <w:rFonts w:ascii="Palatino Linotype" w:eastAsia="Palatino Linotype" w:hAnsi="Palatino Linotype" w:cs="Palatino Linotype"/>
          <w:b/>
          <w:i/>
        </w:rPr>
      </w:pPr>
      <w:r w:rsidRPr="0071012D">
        <w:rPr>
          <w:rFonts w:ascii="Palatino Linotype" w:eastAsia="Palatino Linotype" w:hAnsi="Palatino Linotype" w:cs="Palatino Linotype"/>
          <w:b/>
          <w:i/>
          <w:noProof/>
        </w:rPr>
        <w:drawing>
          <wp:inline distT="0" distB="0" distL="0" distR="0" wp14:anchorId="4E66407F" wp14:editId="43C534A2">
            <wp:extent cx="4333875" cy="1853768"/>
            <wp:effectExtent l="0" t="0" r="0" b="0"/>
            <wp:docPr id="214013186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t="57558" b="15601"/>
                    <a:stretch>
                      <a:fillRect/>
                    </a:stretch>
                  </pic:blipFill>
                  <pic:spPr>
                    <a:xfrm>
                      <a:off x="0" y="0"/>
                      <a:ext cx="4333875" cy="1853768"/>
                    </a:xfrm>
                    <a:prstGeom prst="rect">
                      <a:avLst/>
                    </a:prstGeom>
                    <a:ln/>
                  </pic:spPr>
                </pic:pic>
              </a:graphicData>
            </a:graphic>
          </wp:inline>
        </w:drawing>
      </w:r>
    </w:p>
    <w:p w14:paraId="0E3F7801" w14:textId="77777777" w:rsidR="00437BD3" w:rsidRPr="0071012D" w:rsidRDefault="00B77E02">
      <w:pPr>
        <w:spacing w:before="120" w:after="120"/>
        <w:ind w:left="851" w:right="902"/>
        <w:jc w:val="both"/>
        <w:rPr>
          <w:rFonts w:ascii="Palatino Linotype" w:eastAsia="Palatino Linotype" w:hAnsi="Palatino Linotype" w:cs="Palatino Linotype"/>
          <w:b/>
          <w:i/>
        </w:rPr>
      </w:pPr>
      <w:r w:rsidRPr="0071012D">
        <w:rPr>
          <w:rFonts w:ascii="Palatino Linotype" w:eastAsia="Palatino Linotype" w:hAnsi="Palatino Linotype" w:cs="Palatino Linotype"/>
          <w:b/>
          <w:i/>
          <w:noProof/>
        </w:rPr>
        <w:drawing>
          <wp:inline distT="0" distB="0" distL="0" distR="0" wp14:anchorId="7F810549" wp14:editId="13B4CAF1">
            <wp:extent cx="4333875" cy="1019303"/>
            <wp:effectExtent l="0" t="0" r="0" b="0"/>
            <wp:docPr id="214013186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t="85241" b="1"/>
                    <a:stretch>
                      <a:fillRect/>
                    </a:stretch>
                  </pic:blipFill>
                  <pic:spPr>
                    <a:xfrm>
                      <a:off x="0" y="0"/>
                      <a:ext cx="4333875" cy="1019303"/>
                    </a:xfrm>
                    <a:prstGeom prst="rect">
                      <a:avLst/>
                    </a:prstGeom>
                    <a:ln/>
                  </pic:spPr>
                </pic:pic>
              </a:graphicData>
            </a:graphic>
          </wp:inline>
        </w:drawing>
      </w:r>
    </w:p>
    <w:p w14:paraId="33EB7344"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Los documentos que integren un expediente reservado en su totalidad no deberán marcarse en lo individual.</w:t>
      </w:r>
    </w:p>
    <w:p w14:paraId="6AB1B451"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3E5F859B" w14:textId="77777777" w:rsidR="00437BD3" w:rsidRPr="0071012D" w:rsidRDefault="00B77E02">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71012D">
        <w:rPr>
          <w:rFonts w:ascii="Palatino Linotype" w:eastAsia="Palatino Linotype" w:hAnsi="Palatino Linotype" w:cs="Palatino Linotype"/>
          <w:b/>
          <w:i/>
          <w:sz w:val="22"/>
          <w:szCs w:val="22"/>
        </w:rPr>
        <w:t xml:space="preserve">Quincuagésimo cuarto. </w:t>
      </w:r>
      <w:r w:rsidRPr="0071012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1012D">
        <w:rPr>
          <w:rFonts w:ascii="Palatino Linotype" w:eastAsia="Palatino Linotype" w:hAnsi="Palatino Linotype" w:cs="Palatino Linotype"/>
          <w:b/>
          <w:i/>
          <w:sz w:val="22"/>
          <w:szCs w:val="22"/>
        </w:rPr>
        <w:t xml:space="preserve"> </w:t>
      </w:r>
    </w:p>
    <w:p w14:paraId="719560A6"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 xml:space="preserve">Quincuagésimo quinto. </w:t>
      </w:r>
      <w:r w:rsidRPr="0071012D">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AA9BC3D" w14:textId="77777777" w:rsidR="00437BD3" w:rsidRPr="0071012D" w:rsidRDefault="00B77E02">
      <w:pPr>
        <w:spacing w:before="120" w:after="120"/>
        <w:ind w:left="851" w:right="902"/>
        <w:jc w:val="both"/>
        <w:rPr>
          <w:rFonts w:ascii="Palatino Linotype" w:eastAsia="Palatino Linotype" w:hAnsi="Palatino Linotype" w:cs="Palatino Linotype"/>
          <w:b/>
          <w:i/>
          <w:sz w:val="22"/>
          <w:szCs w:val="22"/>
        </w:rPr>
      </w:pPr>
      <w:r w:rsidRPr="0071012D">
        <w:rPr>
          <w:rFonts w:ascii="Palatino Linotype" w:eastAsia="Palatino Linotype" w:hAnsi="Palatino Linotype" w:cs="Palatino Linotype"/>
          <w:b/>
          <w:i/>
          <w:sz w:val="22"/>
          <w:szCs w:val="22"/>
        </w:rPr>
        <w:t>...</w:t>
      </w:r>
    </w:p>
    <w:p w14:paraId="2CA7346C"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Quincuagésimo séptimo</w:t>
      </w:r>
      <w:r w:rsidRPr="0071012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592D8EB" w14:textId="77777777" w:rsidR="00437BD3" w:rsidRPr="0071012D" w:rsidRDefault="00B77E02">
      <w:pP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w:t>
      </w:r>
      <w:r w:rsidRPr="0071012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D98865E" w14:textId="77777777" w:rsidR="00437BD3" w:rsidRPr="0071012D" w:rsidRDefault="00B77E02">
      <w:pP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w:t>
      </w:r>
      <w:r w:rsidRPr="0071012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F677334" w14:textId="77777777" w:rsidR="00437BD3" w:rsidRPr="0071012D" w:rsidRDefault="00B77E02">
      <w:pPr>
        <w:spacing w:before="120" w:after="120"/>
        <w:ind w:left="1134"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III</w:t>
      </w:r>
      <w:r w:rsidRPr="0071012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EBB6E6E"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78831F3" w14:textId="77777777" w:rsidR="00437BD3" w:rsidRPr="0071012D" w:rsidRDefault="00B77E02">
      <w:pPr>
        <w:spacing w:before="120" w:after="120"/>
        <w:ind w:left="851" w:right="902"/>
        <w:jc w:val="both"/>
        <w:rPr>
          <w:rFonts w:ascii="Palatino Linotype" w:eastAsia="Palatino Linotype" w:hAnsi="Palatino Linotype" w:cs="Palatino Linotype"/>
          <w:i/>
          <w:sz w:val="22"/>
          <w:szCs w:val="22"/>
        </w:rPr>
      </w:pPr>
      <w:r w:rsidRPr="0071012D">
        <w:rPr>
          <w:rFonts w:ascii="Palatino Linotype" w:eastAsia="Palatino Linotype" w:hAnsi="Palatino Linotype" w:cs="Palatino Linotype"/>
          <w:b/>
          <w:i/>
          <w:sz w:val="22"/>
          <w:szCs w:val="22"/>
        </w:rPr>
        <w:t>Quincuagésimo octavo</w:t>
      </w:r>
      <w:r w:rsidRPr="0071012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EF115C2" w14:textId="77777777" w:rsidR="00437BD3" w:rsidRPr="0071012D" w:rsidRDefault="00B77E0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De lo hasta aquí expuesto, se concluye que los motivos de inconformidad de la parte </w:t>
      </w:r>
      <w:r w:rsidRPr="0071012D">
        <w:rPr>
          <w:rFonts w:ascii="Palatino Linotype" w:eastAsia="Palatino Linotype" w:hAnsi="Palatino Linotype" w:cs="Palatino Linotype"/>
          <w:b/>
        </w:rPr>
        <w:t xml:space="preserve">Recurrente </w:t>
      </w:r>
      <w:r w:rsidRPr="0071012D">
        <w:rPr>
          <w:rFonts w:ascii="Palatino Linotype" w:eastAsia="Palatino Linotype" w:hAnsi="Palatino Linotype" w:cs="Palatino Linotype"/>
        </w:rPr>
        <w:t xml:space="preserve">devienen fundados, siendo procedente </w:t>
      </w:r>
      <w:r w:rsidRPr="0071012D">
        <w:rPr>
          <w:rFonts w:ascii="Palatino Linotype" w:eastAsia="Palatino Linotype" w:hAnsi="Palatino Linotype" w:cs="Palatino Linotype"/>
          <w:i/>
        </w:rPr>
        <w:t xml:space="preserve">Modificar </w:t>
      </w:r>
      <w:r w:rsidRPr="0071012D">
        <w:rPr>
          <w:rFonts w:ascii="Palatino Linotype" w:eastAsia="Palatino Linotype" w:hAnsi="Palatino Linotype" w:cs="Palatino Linotype"/>
        </w:rPr>
        <w:t xml:space="preserve">la respuesta proporcionada por el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1DCB58E"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B2DC8A5" w14:textId="77777777" w:rsidR="00437BD3" w:rsidRPr="0071012D" w:rsidRDefault="00437BD3">
      <w:pPr>
        <w:spacing w:before="240" w:after="240" w:line="360" w:lineRule="auto"/>
        <w:jc w:val="both"/>
        <w:rPr>
          <w:rFonts w:ascii="Palatino Linotype" w:eastAsia="Palatino Linotype" w:hAnsi="Palatino Linotype" w:cs="Palatino Linotype"/>
        </w:rPr>
      </w:pPr>
    </w:p>
    <w:p w14:paraId="26776DC2" w14:textId="77777777" w:rsidR="00437BD3" w:rsidRPr="0071012D" w:rsidRDefault="00B77E0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1012D">
        <w:rPr>
          <w:rFonts w:ascii="Palatino Linotype" w:eastAsia="Palatino Linotype" w:hAnsi="Palatino Linotype" w:cs="Palatino Linotype"/>
          <w:b/>
        </w:rPr>
        <w:t xml:space="preserve">III. R E S U E L V E </w:t>
      </w:r>
    </w:p>
    <w:p w14:paraId="4EBA8338"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14" w:name="_heading=h.1t3h5sf" w:colFirst="0" w:colLast="0"/>
      <w:bookmarkEnd w:id="14"/>
      <w:r w:rsidRPr="0071012D">
        <w:rPr>
          <w:rFonts w:ascii="Palatino Linotype" w:eastAsia="Palatino Linotype" w:hAnsi="Palatino Linotype" w:cs="Palatino Linotype"/>
          <w:b/>
        </w:rPr>
        <w:t xml:space="preserve">Primero. </w:t>
      </w:r>
      <w:r w:rsidRPr="0071012D">
        <w:rPr>
          <w:rFonts w:ascii="Palatino Linotype" w:eastAsia="Palatino Linotype" w:hAnsi="Palatino Linotype" w:cs="Palatino Linotype"/>
        </w:rPr>
        <w:t>Resultan</w:t>
      </w:r>
      <w:r w:rsidRPr="0071012D">
        <w:rPr>
          <w:rFonts w:ascii="Palatino Linotype" w:eastAsia="Palatino Linotype" w:hAnsi="Palatino Linotype" w:cs="Palatino Linotype"/>
          <w:b/>
        </w:rPr>
        <w:t xml:space="preserve"> fundadas</w:t>
      </w:r>
      <w:r w:rsidRPr="0071012D">
        <w:rPr>
          <w:rFonts w:ascii="Palatino Linotype" w:eastAsia="Palatino Linotype" w:hAnsi="Palatino Linotype" w:cs="Palatino Linotype"/>
        </w:rPr>
        <w:t xml:space="preserve"> las razones o motivos de inconformidad hechos valer por la parte</w:t>
      </w:r>
      <w:r w:rsidRPr="0071012D">
        <w:rPr>
          <w:rFonts w:ascii="Palatino Linotype" w:eastAsia="Palatino Linotype" w:hAnsi="Palatino Linotype" w:cs="Palatino Linotype"/>
          <w:b/>
        </w:rPr>
        <w:t xml:space="preserve"> Recurrente</w:t>
      </w:r>
      <w:r w:rsidRPr="0071012D">
        <w:rPr>
          <w:rFonts w:ascii="Palatino Linotype" w:eastAsia="Palatino Linotype" w:hAnsi="Palatino Linotype" w:cs="Palatino Linotype"/>
        </w:rPr>
        <w:t xml:space="preserve"> en el recurso de revisión </w:t>
      </w:r>
      <w:r w:rsidRPr="0071012D">
        <w:rPr>
          <w:rFonts w:ascii="Palatino Linotype" w:eastAsia="Palatino Linotype" w:hAnsi="Palatino Linotype" w:cs="Palatino Linotype"/>
          <w:b/>
        </w:rPr>
        <w:t>07744/INFOEM/IP/RR/2025</w:t>
      </w:r>
      <w:r w:rsidRPr="0071012D">
        <w:rPr>
          <w:rFonts w:ascii="Palatino Linotype" w:eastAsia="Palatino Linotype" w:hAnsi="Palatino Linotype" w:cs="Palatino Linotype"/>
        </w:rPr>
        <w:t xml:space="preserve">; por lo que, en términos del </w:t>
      </w:r>
      <w:r w:rsidRPr="0071012D">
        <w:rPr>
          <w:rFonts w:ascii="Palatino Linotype" w:eastAsia="Palatino Linotype" w:hAnsi="Palatino Linotype" w:cs="Palatino Linotype"/>
          <w:b/>
        </w:rPr>
        <w:t>Considerando</w:t>
      </w:r>
      <w:r w:rsidRPr="0071012D">
        <w:rPr>
          <w:rFonts w:ascii="Palatino Linotype" w:eastAsia="Palatino Linotype" w:hAnsi="Palatino Linotype" w:cs="Palatino Linotype"/>
        </w:rPr>
        <w:t xml:space="preserve"> </w:t>
      </w:r>
      <w:r w:rsidRPr="0071012D">
        <w:rPr>
          <w:rFonts w:ascii="Palatino Linotype" w:eastAsia="Palatino Linotype" w:hAnsi="Palatino Linotype" w:cs="Palatino Linotype"/>
          <w:b/>
        </w:rPr>
        <w:t xml:space="preserve">Cuarto </w:t>
      </w:r>
      <w:r w:rsidRPr="0071012D">
        <w:rPr>
          <w:rFonts w:ascii="Palatino Linotype" w:eastAsia="Palatino Linotype" w:hAnsi="Palatino Linotype" w:cs="Palatino Linotype"/>
        </w:rPr>
        <w:t xml:space="preserve">de esta resolución, se </w:t>
      </w:r>
      <w:r w:rsidRPr="0071012D">
        <w:rPr>
          <w:rFonts w:ascii="Palatino Linotype" w:eastAsia="Palatino Linotype" w:hAnsi="Palatino Linotype" w:cs="Palatino Linotype"/>
          <w:b/>
        </w:rPr>
        <w:t xml:space="preserve">Modifica </w:t>
      </w:r>
      <w:r w:rsidRPr="0071012D">
        <w:rPr>
          <w:rFonts w:ascii="Palatino Linotype" w:eastAsia="Palatino Linotype" w:hAnsi="Palatino Linotype" w:cs="Palatino Linotype"/>
        </w:rPr>
        <w:t xml:space="preserve">la respuesta emitida por el </w:t>
      </w:r>
      <w:r w:rsidRPr="0071012D">
        <w:rPr>
          <w:rFonts w:ascii="Palatino Linotype" w:eastAsia="Palatino Linotype" w:hAnsi="Palatino Linotype" w:cs="Palatino Linotype"/>
          <w:b/>
        </w:rPr>
        <w:t xml:space="preserve">Sujeto Obligado. </w:t>
      </w:r>
    </w:p>
    <w:p w14:paraId="6448C9B8" w14:textId="77777777" w:rsidR="00437BD3" w:rsidRPr="0071012D" w:rsidRDefault="00B77E02">
      <w:pPr>
        <w:spacing w:before="240" w:after="240" w:line="360" w:lineRule="auto"/>
        <w:ind w:right="49"/>
        <w:jc w:val="both"/>
        <w:rPr>
          <w:rFonts w:ascii="Palatino Linotype" w:eastAsia="Palatino Linotype" w:hAnsi="Palatino Linotype" w:cs="Palatino Linotype"/>
        </w:rPr>
      </w:pPr>
      <w:r w:rsidRPr="0071012D">
        <w:rPr>
          <w:rFonts w:ascii="Palatino Linotype" w:eastAsia="Palatino Linotype" w:hAnsi="Palatino Linotype" w:cs="Palatino Linotype"/>
          <w:b/>
        </w:rPr>
        <w:t xml:space="preserve">Segundo. </w:t>
      </w:r>
      <w:r w:rsidRPr="0071012D">
        <w:rPr>
          <w:rFonts w:ascii="Palatino Linotype" w:eastAsia="Palatino Linotype" w:hAnsi="Palatino Linotype" w:cs="Palatino Linotype"/>
        </w:rPr>
        <w:t xml:space="preserve">Se </w:t>
      </w:r>
      <w:r w:rsidRPr="0071012D">
        <w:rPr>
          <w:rFonts w:ascii="Palatino Linotype" w:eastAsia="Palatino Linotype" w:hAnsi="Palatino Linotype" w:cs="Palatino Linotype"/>
          <w:b/>
        </w:rPr>
        <w:t xml:space="preserve">Ordena </w:t>
      </w:r>
      <w:r w:rsidRPr="0071012D">
        <w:rPr>
          <w:rFonts w:ascii="Palatino Linotype" w:eastAsia="Palatino Linotype" w:hAnsi="Palatino Linotype" w:cs="Palatino Linotype"/>
        </w:rPr>
        <w:t xml:space="preserve">al </w:t>
      </w:r>
      <w:r w:rsidRPr="0071012D">
        <w:rPr>
          <w:rFonts w:ascii="Palatino Linotype" w:eastAsia="Palatino Linotype" w:hAnsi="Palatino Linotype" w:cs="Palatino Linotype"/>
          <w:b/>
        </w:rPr>
        <w:t xml:space="preserve">Sujeto Obligado, </w:t>
      </w:r>
      <w:r w:rsidRPr="0071012D">
        <w:rPr>
          <w:rFonts w:ascii="Palatino Linotype" w:eastAsia="Palatino Linotype" w:hAnsi="Palatino Linotype" w:cs="Palatino Linotype"/>
        </w:rPr>
        <w:t xml:space="preserve">en términos del </w:t>
      </w:r>
      <w:r w:rsidRPr="0071012D">
        <w:rPr>
          <w:rFonts w:ascii="Palatino Linotype" w:eastAsia="Palatino Linotype" w:hAnsi="Palatino Linotype" w:cs="Palatino Linotype"/>
          <w:b/>
        </w:rPr>
        <w:t xml:space="preserve">Considerando Cuarto </w:t>
      </w:r>
      <w:r w:rsidRPr="0071012D">
        <w:rPr>
          <w:rFonts w:ascii="Palatino Linotype" w:eastAsia="Palatino Linotype" w:hAnsi="Palatino Linotype" w:cs="Palatino Linotype"/>
        </w:rPr>
        <w:t xml:space="preserve">de esta resolución, haga entrega, vía </w:t>
      </w:r>
      <w:r w:rsidRPr="0071012D">
        <w:rPr>
          <w:rFonts w:ascii="Palatino Linotype" w:eastAsia="Palatino Linotype" w:hAnsi="Palatino Linotype" w:cs="Palatino Linotype"/>
          <w:b/>
        </w:rPr>
        <w:t>SAIMEX</w:t>
      </w:r>
      <w:r w:rsidRPr="0071012D">
        <w:rPr>
          <w:rFonts w:ascii="Palatino Linotype" w:eastAsia="Palatino Linotype" w:hAnsi="Palatino Linotype" w:cs="Palatino Linotype"/>
        </w:rPr>
        <w:t>, de lo siguiente:</w:t>
      </w:r>
    </w:p>
    <w:p w14:paraId="576F7188" w14:textId="77777777" w:rsidR="00437BD3" w:rsidRPr="0071012D" w:rsidRDefault="00B77E02">
      <w:pPr>
        <w:spacing w:before="240" w:after="240" w:line="360" w:lineRule="auto"/>
        <w:ind w:left="426" w:right="49"/>
        <w:jc w:val="both"/>
        <w:rPr>
          <w:rFonts w:ascii="Palatino Linotype" w:eastAsia="Palatino Linotype" w:hAnsi="Palatino Linotype" w:cs="Palatino Linotype"/>
        </w:rPr>
      </w:pPr>
      <w:r w:rsidRPr="0071012D">
        <w:rPr>
          <w:rFonts w:ascii="Palatino Linotype" w:eastAsia="Palatino Linotype" w:hAnsi="Palatino Linotype" w:cs="Palatino Linotype"/>
        </w:rPr>
        <w:t>1. Inventario de bienes muebles entregado en respuesta en versión pública correcta.</w:t>
      </w:r>
    </w:p>
    <w:p w14:paraId="69635881" w14:textId="77777777" w:rsidR="00437BD3" w:rsidRPr="0071012D" w:rsidRDefault="00B77E02">
      <w:pPr>
        <w:spacing w:before="240" w:after="240"/>
        <w:ind w:left="284" w:right="49"/>
        <w:jc w:val="both"/>
        <w:rPr>
          <w:rFonts w:ascii="Palatino Linotype" w:eastAsia="Palatino Linotype" w:hAnsi="Palatino Linotype" w:cs="Palatino Linotype"/>
          <w:i/>
          <w:sz w:val="20"/>
          <w:szCs w:val="20"/>
        </w:rPr>
      </w:pPr>
      <w:bookmarkStart w:id="15" w:name="_heading=h.hnzxsch5gysz" w:colFirst="0" w:colLast="0"/>
      <w:bookmarkEnd w:id="15"/>
      <w:r w:rsidRPr="0071012D">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23472E7F"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b/>
        </w:rPr>
        <w:t xml:space="preserve">Tercero. Notifíquese, </w:t>
      </w:r>
      <w:r w:rsidRPr="0071012D">
        <w:rPr>
          <w:rFonts w:ascii="Palatino Linotype" w:eastAsia="Palatino Linotype" w:hAnsi="Palatino Linotype" w:cs="Palatino Linotype"/>
        </w:rPr>
        <w:t xml:space="preserve">vía </w:t>
      </w:r>
      <w:r w:rsidRPr="0071012D">
        <w:rPr>
          <w:rFonts w:ascii="Palatino Linotype" w:eastAsia="Palatino Linotype" w:hAnsi="Palatino Linotype" w:cs="Palatino Linotype"/>
          <w:b/>
        </w:rPr>
        <w:t>SAIMEX</w:t>
      </w:r>
      <w:r w:rsidRPr="0071012D">
        <w:rPr>
          <w:rFonts w:ascii="Palatino Linotype" w:eastAsia="Palatino Linotype" w:hAnsi="Palatino Linotype" w:cs="Palatino Linotype"/>
        </w:rPr>
        <w:t xml:space="preserve">, al Titular de la Unidad de Transparencia del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F8B9C" w14:textId="77777777" w:rsidR="00437BD3" w:rsidRPr="0071012D" w:rsidRDefault="00B77E02">
      <w:pPr>
        <w:spacing w:before="240" w:after="240" w:line="360" w:lineRule="auto"/>
        <w:jc w:val="both"/>
        <w:rPr>
          <w:rFonts w:ascii="Palatino Linotype" w:eastAsia="Palatino Linotype" w:hAnsi="Palatino Linotype" w:cs="Palatino Linotype"/>
        </w:rPr>
      </w:pPr>
      <w:r w:rsidRPr="0071012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1012D">
        <w:rPr>
          <w:rFonts w:ascii="Palatino Linotype" w:eastAsia="Palatino Linotype" w:hAnsi="Palatino Linotype" w:cs="Palatino Linotype"/>
          <w:b/>
        </w:rPr>
        <w:t>Sujeto Obligado</w:t>
      </w:r>
      <w:r w:rsidRPr="0071012D">
        <w:rPr>
          <w:rFonts w:ascii="Palatino Linotype" w:eastAsia="Palatino Linotype" w:hAnsi="Palatino Linotype" w:cs="Palatino Linotype"/>
        </w:rPr>
        <w:t xml:space="preserve"> de manera fundada y motivada, podrá solicitar una ampliación de plazo para el cumplimiento de la presente resolución.</w:t>
      </w:r>
    </w:p>
    <w:p w14:paraId="412BD8D5" w14:textId="77777777" w:rsidR="00437BD3" w:rsidRPr="0071012D" w:rsidRDefault="00B77E02">
      <w:pPr>
        <w:spacing w:before="240" w:after="240" w:line="360" w:lineRule="auto"/>
        <w:jc w:val="both"/>
        <w:rPr>
          <w:rFonts w:ascii="Palatino Linotype" w:eastAsia="Palatino Linotype" w:hAnsi="Palatino Linotype" w:cs="Palatino Linotype"/>
        </w:rPr>
      </w:pPr>
      <w:bookmarkStart w:id="16" w:name="_heading=h.ot3qq6vxa08f" w:colFirst="0" w:colLast="0"/>
      <w:bookmarkEnd w:id="16"/>
      <w:r w:rsidRPr="0071012D">
        <w:rPr>
          <w:rFonts w:ascii="Palatino Linotype" w:eastAsia="Palatino Linotype" w:hAnsi="Palatino Linotype" w:cs="Palatino Linotype"/>
          <w:b/>
        </w:rPr>
        <w:t xml:space="preserve">Cuarto.  Notifíquese, </w:t>
      </w:r>
      <w:r w:rsidRPr="0071012D">
        <w:rPr>
          <w:rFonts w:ascii="Palatino Linotype" w:eastAsia="Palatino Linotype" w:hAnsi="Palatino Linotype" w:cs="Palatino Linotype"/>
        </w:rPr>
        <w:t xml:space="preserve">vía </w:t>
      </w:r>
      <w:r w:rsidRPr="0071012D">
        <w:rPr>
          <w:rFonts w:ascii="Palatino Linotype" w:eastAsia="Palatino Linotype" w:hAnsi="Palatino Linotype" w:cs="Palatino Linotype"/>
          <w:b/>
        </w:rPr>
        <w:t>SAIMEX</w:t>
      </w:r>
      <w:r w:rsidRPr="0071012D">
        <w:rPr>
          <w:rFonts w:ascii="Palatino Linotype" w:eastAsia="Palatino Linotype" w:hAnsi="Palatino Linotype" w:cs="Palatino Linotype"/>
        </w:rPr>
        <w:t xml:space="preserve"> a la parte </w:t>
      </w:r>
      <w:r w:rsidRPr="0071012D">
        <w:rPr>
          <w:rFonts w:ascii="Palatino Linotype" w:eastAsia="Palatino Linotype" w:hAnsi="Palatino Linotype" w:cs="Palatino Linotype"/>
          <w:b/>
        </w:rPr>
        <w:t>Recurrente</w:t>
      </w:r>
      <w:r w:rsidRPr="0071012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6B6FD8B" w14:textId="1BC45769" w:rsidR="00437BD3" w:rsidRPr="004473D6" w:rsidRDefault="00B77E02" w:rsidP="004473D6">
      <w:pPr>
        <w:tabs>
          <w:tab w:val="left" w:pos="8647"/>
        </w:tabs>
        <w:spacing w:before="240" w:after="240" w:line="360" w:lineRule="auto"/>
        <w:ind w:right="51"/>
        <w:jc w:val="both"/>
        <w:rPr>
          <w:rFonts w:ascii="Palatino Linotype" w:eastAsia="Palatino Linotype" w:hAnsi="Palatino Linotype" w:cs="Palatino Linotype"/>
        </w:rPr>
      </w:pPr>
      <w:bookmarkStart w:id="17" w:name="_heading=h.lnxbz9" w:colFirst="0" w:colLast="0"/>
      <w:bookmarkEnd w:id="17"/>
      <w:r w:rsidRPr="0071012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EN LA TRIGÉSIMA SÉPTIMA SESIÓN ORDINARIA CELEBRADA EL QUINCE DE OCTUBRE DE DOS MIL VEINTICINCO, ANTE EL SECRETARIO TÉCNICO DEL PLENO ALEXIS TAPIA RAMÍREZ.</w:t>
      </w:r>
    </w:p>
    <w:p w14:paraId="15299996" w14:textId="41A02658" w:rsidR="00586B04" w:rsidRDefault="00586B0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ype="page"/>
      </w:r>
    </w:p>
    <w:p w14:paraId="37EBCB85" w14:textId="77777777" w:rsidR="00437BD3" w:rsidRPr="004473D6" w:rsidRDefault="00437BD3">
      <w:pPr>
        <w:spacing w:line="360" w:lineRule="auto"/>
        <w:jc w:val="both"/>
        <w:rPr>
          <w:rFonts w:ascii="Palatino Linotype" w:eastAsia="Palatino Linotype" w:hAnsi="Palatino Linotype" w:cs="Palatino Linotype"/>
        </w:rPr>
      </w:pPr>
    </w:p>
    <w:p w14:paraId="5C78C9F0" w14:textId="77777777" w:rsidR="00437BD3" w:rsidRPr="004473D6" w:rsidRDefault="00437BD3">
      <w:pPr>
        <w:spacing w:line="360" w:lineRule="auto"/>
        <w:jc w:val="both"/>
        <w:rPr>
          <w:rFonts w:ascii="Palatino Linotype" w:eastAsia="Palatino Linotype" w:hAnsi="Palatino Linotype" w:cs="Palatino Linotype"/>
        </w:rPr>
      </w:pPr>
    </w:p>
    <w:sectPr w:rsidR="00437BD3" w:rsidRPr="004473D6">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66A59" w14:textId="77777777" w:rsidR="009F7B84" w:rsidRDefault="009F7B84">
      <w:r>
        <w:separator/>
      </w:r>
    </w:p>
  </w:endnote>
  <w:endnote w:type="continuationSeparator" w:id="0">
    <w:p w14:paraId="46A00109" w14:textId="77777777" w:rsidR="009F7B84" w:rsidRDefault="009F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8569" w14:textId="78D75624" w:rsidR="00437BD3" w:rsidRDefault="00B77E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143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1437">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7D6E0BFF" w14:textId="77777777" w:rsidR="00437BD3" w:rsidRDefault="00437BD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D4C4" w14:textId="28172674" w:rsidR="00437BD3" w:rsidRDefault="00B77E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143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1437">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640546DB" w14:textId="77777777" w:rsidR="00437BD3" w:rsidRDefault="00437BD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7272" w14:textId="77777777" w:rsidR="009F7B84" w:rsidRDefault="009F7B84">
      <w:r>
        <w:separator/>
      </w:r>
    </w:p>
  </w:footnote>
  <w:footnote w:type="continuationSeparator" w:id="0">
    <w:p w14:paraId="5A4D7349" w14:textId="77777777" w:rsidR="009F7B84" w:rsidRDefault="009F7B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CE14" w14:textId="77777777" w:rsidR="00437BD3" w:rsidRDefault="00B77E02">
    <w:pPr>
      <w:rPr>
        <w:rFonts w:ascii="Cambria" w:eastAsia="Cambria" w:hAnsi="Cambria" w:cs="Cambria"/>
        <w:color w:val="000000"/>
      </w:rPr>
    </w:pPr>
    <w:r>
      <w:rPr>
        <w:noProof/>
      </w:rPr>
      <w:drawing>
        <wp:anchor distT="0" distB="0" distL="0" distR="0" simplePos="0" relativeHeight="251658240" behindDoc="1" locked="0" layoutInCell="1" hidden="0" allowOverlap="1" wp14:anchorId="66160F60" wp14:editId="7758C717">
          <wp:simplePos x="0" y="0"/>
          <wp:positionH relativeFrom="column">
            <wp:posOffset>-1080131</wp:posOffset>
          </wp:positionH>
          <wp:positionV relativeFrom="paragraph">
            <wp:posOffset>-488257</wp:posOffset>
          </wp:positionV>
          <wp:extent cx="7809865" cy="10165715"/>
          <wp:effectExtent l="0" t="0" r="0" b="0"/>
          <wp:wrapNone/>
          <wp:docPr id="21401318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6095" w:type="dxa"/>
      <w:tblInd w:w="3261" w:type="dxa"/>
      <w:tblLayout w:type="fixed"/>
      <w:tblLook w:val="0400" w:firstRow="0" w:lastRow="0" w:firstColumn="0" w:lastColumn="0" w:noHBand="0" w:noVBand="1"/>
    </w:tblPr>
    <w:tblGrid>
      <w:gridCol w:w="2489"/>
      <w:gridCol w:w="3606"/>
    </w:tblGrid>
    <w:tr w:rsidR="00437BD3" w14:paraId="3A55E1F0" w14:textId="77777777">
      <w:tc>
        <w:tcPr>
          <w:tcW w:w="2489" w:type="dxa"/>
        </w:tcPr>
        <w:p w14:paraId="67E4B76B" w14:textId="77777777" w:rsidR="00437BD3" w:rsidRDefault="00B77E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4C5D8220" w14:textId="77777777" w:rsidR="00437BD3" w:rsidRDefault="00B77E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07744/INFOEM/IP/RR/2025</w:t>
          </w:r>
        </w:p>
      </w:tc>
    </w:tr>
    <w:tr w:rsidR="00437BD3" w14:paraId="405AE79E" w14:textId="77777777">
      <w:trPr>
        <w:trHeight w:val="228"/>
      </w:trPr>
      <w:tc>
        <w:tcPr>
          <w:tcW w:w="2489" w:type="dxa"/>
          <w:vAlign w:val="center"/>
        </w:tcPr>
        <w:p w14:paraId="0BC985A3" w14:textId="77777777" w:rsidR="00437BD3" w:rsidRDefault="00B77E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4D1882B3" w14:textId="77777777" w:rsidR="00437BD3" w:rsidRDefault="00B77E0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437BD3" w14:paraId="6E465009" w14:textId="77777777">
      <w:tc>
        <w:tcPr>
          <w:tcW w:w="2489" w:type="dxa"/>
          <w:vAlign w:val="center"/>
        </w:tcPr>
        <w:p w14:paraId="7A746306" w14:textId="77777777" w:rsidR="00437BD3" w:rsidRDefault="00B77E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5E07DA15" w14:textId="77777777" w:rsidR="00437BD3" w:rsidRDefault="00B77E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796581" w14:textId="77777777" w:rsidR="00437BD3" w:rsidRDefault="00B77E0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2AAC" w14:textId="77777777" w:rsidR="00437BD3" w:rsidRDefault="00B77E0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8992" behindDoc="1" locked="0" layoutInCell="1" hidden="0" allowOverlap="1" wp14:anchorId="23DAA8CE" wp14:editId="168AAC99">
          <wp:simplePos x="0" y="0"/>
          <wp:positionH relativeFrom="column">
            <wp:posOffset>-1080130</wp:posOffset>
          </wp:positionH>
          <wp:positionV relativeFrom="paragraph">
            <wp:posOffset>-369889</wp:posOffset>
          </wp:positionV>
          <wp:extent cx="7809865" cy="10165715"/>
          <wp:effectExtent l="0" t="0" r="0" b="0"/>
          <wp:wrapNone/>
          <wp:docPr id="21401318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1"/>
      <w:tblW w:w="6095" w:type="dxa"/>
      <w:tblInd w:w="3119" w:type="dxa"/>
      <w:tblLayout w:type="fixed"/>
      <w:tblLook w:val="0400" w:firstRow="0" w:lastRow="0" w:firstColumn="0" w:lastColumn="0" w:noHBand="0" w:noVBand="1"/>
    </w:tblPr>
    <w:tblGrid>
      <w:gridCol w:w="2551"/>
      <w:gridCol w:w="3544"/>
    </w:tblGrid>
    <w:tr w:rsidR="00437BD3" w14:paraId="6FB869F2" w14:textId="77777777">
      <w:tc>
        <w:tcPr>
          <w:tcW w:w="2551" w:type="dxa"/>
        </w:tcPr>
        <w:p w14:paraId="2307AC74" w14:textId="77777777" w:rsidR="00437BD3" w:rsidRDefault="00B77E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786FAFCE" w14:textId="77777777" w:rsidR="00437BD3" w:rsidRDefault="00B77E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07744/INFOEM/IP/RR/2025</w:t>
          </w:r>
        </w:p>
      </w:tc>
    </w:tr>
    <w:tr w:rsidR="00437BD3" w14:paraId="1E34B9A9" w14:textId="77777777">
      <w:tc>
        <w:tcPr>
          <w:tcW w:w="2551" w:type="dxa"/>
        </w:tcPr>
        <w:p w14:paraId="10C5495A" w14:textId="77777777" w:rsidR="00437BD3" w:rsidRDefault="00B77E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7B9BAC7A" w14:textId="11CAB123" w:rsidR="00437BD3" w:rsidRDefault="00F31437" w:rsidP="00F31437">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XXXXXXXX XXXXXX XXXXX </w:t>
          </w:r>
        </w:p>
      </w:tc>
    </w:tr>
    <w:tr w:rsidR="00437BD3" w14:paraId="67832898" w14:textId="77777777">
      <w:trPr>
        <w:trHeight w:val="228"/>
      </w:trPr>
      <w:tc>
        <w:tcPr>
          <w:tcW w:w="2551" w:type="dxa"/>
          <w:vAlign w:val="center"/>
        </w:tcPr>
        <w:p w14:paraId="67C34D40" w14:textId="77777777" w:rsidR="00437BD3" w:rsidRDefault="00B77E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4A778DAE" w14:textId="77777777" w:rsidR="00437BD3" w:rsidRDefault="00B77E0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437BD3" w14:paraId="3A50C8C0" w14:textId="77777777">
      <w:tc>
        <w:tcPr>
          <w:tcW w:w="2551" w:type="dxa"/>
          <w:vAlign w:val="center"/>
        </w:tcPr>
        <w:p w14:paraId="2DB94E00" w14:textId="77777777" w:rsidR="00437BD3" w:rsidRDefault="00B77E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38F2165D" w14:textId="77777777" w:rsidR="00437BD3" w:rsidRDefault="00B77E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3234DB" w14:textId="77777777" w:rsidR="00437BD3" w:rsidRDefault="00437B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7ACE"/>
    <w:multiLevelType w:val="multilevel"/>
    <w:tmpl w:val="2B720D8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D3"/>
    <w:rsid w:val="00015971"/>
    <w:rsid w:val="00437BD3"/>
    <w:rsid w:val="004473D6"/>
    <w:rsid w:val="00586B04"/>
    <w:rsid w:val="0071012D"/>
    <w:rsid w:val="009F7B84"/>
    <w:rsid w:val="00B77E02"/>
    <w:rsid w:val="00CC4E57"/>
    <w:rsid w:val="00F31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563D"/>
  <w15:docId w15:val="{DB0B5BA7-63CE-49E6-82C6-022E1C2F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a">
    <w:basedOn w:val="TableNormalf4"/>
    <w:tblPr>
      <w:tblStyleRowBandSize w:val="1"/>
      <w:tblStyleColBandSize w:val="1"/>
      <w:tblCellMar>
        <w:left w:w="115" w:type="dxa"/>
        <w:right w:w="115" w:type="dxa"/>
      </w:tblCellMar>
    </w:tblPr>
  </w:style>
  <w:style w:type="table" w:customStyle="1" w:styleId="a0">
    <w:basedOn w:val="TableNormalf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2"/>
    <w:tblPr>
      <w:tblStyleRowBandSize w:val="1"/>
      <w:tblStyleColBandSize w:val="1"/>
      <w:tblCellMar>
        <w:left w:w="108" w:type="dxa"/>
        <w:right w:w="108" w:type="dxa"/>
      </w:tblCellMar>
    </w:tblPr>
  </w:style>
  <w:style w:type="table" w:customStyle="1" w:styleId="a6">
    <w:basedOn w:val="TableNormalf2"/>
    <w:tblPr>
      <w:tblStyleRowBandSize w:val="1"/>
      <w:tblStyleColBandSize w:val="1"/>
      <w:tblCellMar>
        <w:left w:w="108" w:type="dxa"/>
        <w:right w:w="108" w:type="dxa"/>
      </w:tblCellMar>
    </w:tblPr>
  </w:style>
  <w:style w:type="table" w:customStyle="1" w:styleId="a7">
    <w:basedOn w:val="TableNormalf2"/>
    <w:tblPr>
      <w:tblStyleRowBandSize w:val="1"/>
      <w:tblStyleColBandSize w:val="1"/>
      <w:tblCellMar>
        <w:left w:w="108" w:type="dxa"/>
        <w:right w:w="108" w:type="dxa"/>
      </w:tblCellMar>
    </w:tblPr>
  </w:style>
  <w:style w:type="table" w:customStyle="1" w:styleId="a8">
    <w:basedOn w:val="TableNormalf2"/>
    <w:tblPr>
      <w:tblStyleRowBandSize w:val="1"/>
      <w:tblStyleColBandSize w:val="1"/>
      <w:tblCellMar>
        <w:left w:w="108" w:type="dxa"/>
        <w:right w:w="108" w:type="dxa"/>
      </w:tblCellMar>
    </w:tblPr>
  </w:style>
  <w:style w:type="table" w:customStyle="1" w:styleId="a9">
    <w:basedOn w:val="TableNormalf2"/>
    <w:tblPr>
      <w:tblStyleRowBandSize w:val="1"/>
      <w:tblStyleColBandSize w:val="1"/>
      <w:tblCellMar>
        <w:left w:w="108" w:type="dxa"/>
        <w:right w:w="108" w:type="dxa"/>
      </w:tblCellMar>
    </w:tblPr>
  </w:style>
  <w:style w:type="table" w:customStyle="1" w:styleId="aa">
    <w:basedOn w:val="TableNormalf2"/>
    <w:tblPr>
      <w:tblStyleRowBandSize w:val="1"/>
      <w:tblStyleColBandSize w:val="1"/>
      <w:tblCellMar>
        <w:left w:w="115" w:type="dxa"/>
        <w:right w:w="115" w:type="dxa"/>
      </w:tblCellMar>
    </w:tblPr>
  </w:style>
  <w:style w:type="table" w:customStyle="1" w:styleId="ab">
    <w:basedOn w:val="TableNormalf2"/>
    <w:tblPr>
      <w:tblStyleRowBandSize w:val="1"/>
      <w:tblStyleColBandSize w:val="1"/>
      <w:tblCellMar>
        <w:left w:w="115" w:type="dxa"/>
        <w:right w:w="115" w:type="dxa"/>
      </w:tblCellMar>
    </w:tblPr>
  </w:style>
  <w:style w:type="table" w:customStyle="1" w:styleId="ac">
    <w:basedOn w:val="TableNormalf1"/>
    <w:tblPr>
      <w:tblStyleRowBandSize w:val="1"/>
      <w:tblStyleColBandSize w:val="1"/>
      <w:tblCellMar>
        <w:left w:w="108" w:type="dxa"/>
        <w:right w:w="108" w:type="dxa"/>
      </w:tblCellMar>
    </w:tblPr>
  </w:style>
  <w:style w:type="table" w:customStyle="1" w:styleId="ad">
    <w:basedOn w:val="TableNormalf1"/>
    <w:tblPr>
      <w:tblStyleRowBandSize w:val="1"/>
      <w:tblStyleColBandSize w:val="1"/>
      <w:tblCellMar>
        <w:left w:w="115" w:type="dxa"/>
        <w:right w:w="115" w:type="dxa"/>
      </w:tblCellMar>
    </w:tblPr>
  </w:style>
  <w:style w:type="table" w:customStyle="1" w:styleId="ae">
    <w:basedOn w:val="TableNormalf1"/>
    <w:tblPr>
      <w:tblStyleRowBandSize w:val="1"/>
      <w:tblStyleColBandSize w:val="1"/>
      <w:tblCellMar>
        <w:left w:w="115" w:type="dxa"/>
        <w:right w:w="115" w:type="dxa"/>
      </w:tblCellMar>
    </w:tblPr>
  </w:style>
  <w:style w:type="table" w:customStyle="1" w:styleId="af">
    <w:basedOn w:val="TableNormalf0"/>
    <w:tblPr>
      <w:tblStyleRowBandSize w:val="1"/>
      <w:tblStyleColBandSize w:val="1"/>
      <w:tblCellMar>
        <w:left w:w="115" w:type="dxa"/>
        <w:right w:w="115" w:type="dxa"/>
      </w:tblCellMar>
    </w:tblPr>
  </w:style>
  <w:style w:type="table" w:customStyle="1" w:styleId="af0">
    <w:basedOn w:val="TableNormalf0"/>
    <w:tblPr>
      <w:tblStyleRowBandSize w:val="1"/>
      <w:tblStyleColBandSize w:val="1"/>
      <w:tblCellMar>
        <w:left w:w="115" w:type="dxa"/>
        <w:right w:w="115" w:type="dxa"/>
      </w:tblCellMar>
    </w:tblPr>
  </w:style>
  <w:style w:type="table" w:customStyle="1" w:styleId="af1">
    <w:basedOn w:val="TableNormalf0"/>
    <w:tblPr>
      <w:tblStyleRowBandSize w:val="1"/>
      <w:tblStyleColBandSize w:val="1"/>
      <w:tblCellMar>
        <w:left w:w="115" w:type="dxa"/>
        <w:right w:w="115" w:type="dxa"/>
      </w:tblCellMar>
    </w:tblPr>
  </w:style>
  <w:style w:type="table" w:customStyle="1" w:styleId="af2">
    <w:basedOn w:val="TableNormalf"/>
    <w:tblPr>
      <w:tblStyleRowBandSize w:val="1"/>
      <w:tblStyleColBandSize w:val="1"/>
      <w:tblCellMar>
        <w:left w:w="115" w:type="dxa"/>
        <w:right w:w="115" w:type="dxa"/>
      </w:tblCellMar>
    </w:tblPr>
  </w:style>
  <w:style w:type="table" w:customStyle="1" w:styleId="af3">
    <w:basedOn w:val="TableNormalf"/>
    <w:tblPr>
      <w:tblStyleRowBandSize w:val="1"/>
      <w:tblStyleColBandSize w:val="1"/>
      <w:tblCellMar>
        <w:left w:w="115" w:type="dxa"/>
        <w:right w:w="115" w:type="dxa"/>
      </w:tblCellMar>
    </w:tblPr>
  </w:style>
  <w:style w:type="table" w:customStyle="1" w:styleId="af4">
    <w:basedOn w:val="TableNormale"/>
    <w:tblPr>
      <w:tblStyleRowBandSize w:val="1"/>
      <w:tblStyleColBandSize w:val="1"/>
      <w:tblCellMar>
        <w:left w:w="115" w:type="dxa"/>
        <w:right w:w="115" w:type="dxa"/>
      </w:tblCellMar>
    </w:tblPr>
  </w:style>
  <w:style w:type="table" w:customStyle="1" w:styleId="af5">
    <w:basedOn w:val="TableNormale"/>
    <w:tblPr>
      <w:tblStyleRowBandSize w:val="1"/>
      <w:tblStyleColBandSize w:val="1"/>
      <w:tblCellMar>
        <w:left w:w="115" w:type="dxa"/>
        <w:right w:w="115" w:type="dxa"/>
      </w:tblCellMar>
    </w:tblPr>
  </w:style>
  <w:style w:type="table" w:customStyle="1" w:styleId="af6">
    <w:basedOn w:val="TableNormald"/>
    <w:tblPr>
      <w:tblStyleRowBandSize w:val="1"/>
      <w:tblStyleColBandSize w:val="1"/>
      <w:tblCellMar>
        <w:left w:w="115" w:type="dxa"/>
        <w:right w:w="115" w:type="dxa"/>
      </w:tblCellMar>
    </w:tblPr>
  </w:style>
  <w:style w:type="table" w:customStyle="1" w:styleId="af7">
    <w:basedOn w:val="TableNormald"/>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c"/>
    <w:tblPr>
      <w:tblStyleRowBandSize w:val="1"/>
      <w:tblStyleColBandSize w:val="1"/>
      <w:tblCellMar>
        <w:left w:w="115" w:type="dxa"/>
        <w:right w:w="115" w:type="dxa"/>
      </w:tblCellMar>
    </w:tblPr>
  </w:style>
  <w:style w:type="table" w:customStyle="1" w:styleId="af9">
    <w:basedOn w:val="TableNormalc"/>
    <w:tblPr>
      <w:tblStyleRowBandSize w:val="1"/>
      <w:tblStyleColBandSize w:val="1"/>
      <w:tblCellMar>
        <w:left w:w="115" w:type="dxa"/>
        <w:right w:w="115" w:type="dxa"/>
      </w:tblCellMar>
    </w:tblPr>
  </w:style>
  <w:style w:type="table" w:customStyle="1" w:styleId="afa">
    <w:basedOn w:val="TableNormalb"/>
    <w:tblPr>
      <w:tblStyleRowBandSize w:val="1"/>
      <w:tblStyleColBandSize w:val="1"/>
      <w:tblCellMar>
        <w:left w:w="115" w:type="dxa"/>
        <w:right w:w="115" w:type="dxa"/>
      </w:tblCellMar>
    </w:tblPr>
  </w:style>
  <w:style w:type="table" w:customStyle="1" w:styleId="afb">
    <w:basedOn w:val="TableNormalb"/>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9"/>
    <w:tblPr>
      <w:tblStyleRowBandSize w:val="1"/>
      <w:tblStyleColBandSize w:val="1"/>
      <w:tblCellMar>
        <w:left w:w="115" w:type="dxa"/>
        <w:right w:w="115" w:type="dxa"/>
      </w:tblCellMar>
    </w:tblPr>
  </w:style>
  <w:style w:type="table" w:customStyle="1" w:styleId="aff">
    <w:basedOn w:val="TableNormal9"/>
    <w:tblPr>
      <w:tblStyleRowBandSize w:val="1"/>
      <w:tblStyleColBandSize w:val="1"/>
      <w:tblCellMar>
        <w:left w:w="115" w:type="dxa"/>
        <w:right w:w="115" w:type="dxa"/>
      </w:tblCellMar>
    </w:tblPr>
  </w:style>
  <w:style w:type="table" w:customStyle="1" w:styleId="aff0">
    <w:basedOn w:val="TableNormal8"/>
    <w:tblPr>
      <w:tblStyleRowBandSize w:val="1"/>
      <w:tblStyleColBandSize w:val="1"/>
      <w:tblCellMar>
        <w:left w:w="115" w:type="dxa"/>
        <w:right w:w="115" w:type="dxa"/>
      </w:tblCellMar>
    </w:tblPr>
  </w:style>
  <w:style w:type="table" w:customStyle="1" w:styleId="aff1">
    <w:basedOn w:val="TableNormal8"/>
    <w:tblPr>
      <w:tblStyleRowBandSize w:val="1"/>
      <w:tblStyleColBandSize w:val="1"/>
      <w:tblCellMar>
        <w:left w:w="115" w:type="dxa"/>
        <w:right w:w="115" w:type="dxa"/>
      </w:tblCellMar>
    </w:tblPr>
  </w:style>
  <w:style w:type="table" w:customStyle="1" w:styleId="aff2">
    <w:basedOn w:val="TableNormal7"/>
    <w:tblPr>
      <w:tblStyleRowBandSize w:val="1"/>
      <w:tblStyleColBandSize w:val="1"/>
      <w:tblCellMar>
        <w:left w:w="115" w:type="dxa"/>
        <w:right w:w="115" w:type="dxa"/>
      </w:tblCellMar>
    </w:tblPr>
  </w:style>
  <w:style w:type="table" w:customStyle="1" w:styleId="aff3">
    <w:basedOn w:val="TableNormal7"/>
    <w:tblPr>
      <w:tblStyleRowBandSize w:val="1"/>
      <w:tblStyleColBandSize w:val="1"/>
      <w:tblCellMar>
        <w:left w:w="115" w:type="dxa"/>
        <w:right w:w="115" w:type="dxa"/>
      </w:tblCellMar>
    </w:tblPr>
  </w:style>
  <w:style w:type="table" w:customStyle="1" w:styleId="aff4">
    <w:basedOn w:val="TableNormal6"/>
    <w:tblPr>
      <w:tblStyleRowBandSize w:val="1"/>
      <w:tblStyleColBandSize w:val="1"/>
      <w:tblCellMar>
        <w:left w:w="115" w:type="dxa"/>
        <w:right w:w="115" w:type="dxa"/>
      </w:tblCellMar>
    </w:tblPr>
  </w:style>
  <w:style w:type="table" w:customStyle="1" w:styleId="aff5">
    <w:basedOn w:val="TableNormal6"/>
    <w:tblPr>
      <w:tblStyleRowBandSize w:val="1"/>
      <w:tblStyleColBandSize w:val="1"/>
      <w:tblCellMar>
        <w:left w:w="115" w:type="dxa"/>
        <w:right w:w="115" w:type="dxa"/>
      </w:tblCellMar>
    </w:tblPr>
  </w:style>
  <w:style w:type="table" w:customStyle="1" w:styleId="aff6">
    <w:basedOn w:val="TableNormal5"/>
    <w:tblPr>
      <w:tblStyleRowBandSize w:val="1"/>
      <w:tblStyleColBandSize w:val="1"/>
      <w:tblCellMar>
        <w:left w:w="115" w:type="dxa"/>
        <w:right w:w="115" w:type="dxa"/>
      </w:tblCellMar>
    </w:tblPr>
  </w:style>
  <w:style w:type="table" w:customStyle="1" w:styleId="aff7">
    <w:basedOn w:val="TableNormal5"/>
    <w:tblPr>
      <w:tblStyleRowBandSize w:val="1"/>
      <w:tblStyleColBandSize w:val="1"/>
      <w:tblCellMar>
        <w:left w:w="115" w:type="dxa"/>
        <w:right w:w="115"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3"/>
    <w:tblPr>
      <w:tblStyleRowBandSize w:val="1"/>
      <w:tblStyleColBandSize w:val="1"/>
      <w:tblCellMar>
        <w:left w:w="115" w:type="dxa"/>
        <w:right w:w="115" w:type="dxa"/>
      </w:tblCellMar>
    </w:tblPr>
  </w:style>
  <w:style w:type="table" w:customStyle="1" w:styleId="affb">
    <w:basedOn w:val="TableNormal3"/>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CellMar>
        <w:top w:w="0" w:type="dxa"/>
        <w:left w:w="115" w:type="dxa"/>
        <w:bottom w:w="0" w:type="dxa"/>
        <w:right w:w="115" w:type="dxa"/>
      </w:tblCellMar>
    </w:tblPr>
  </w:style>
  <w:style w:type="table" w:customStyle="1" w:styleId="af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RiDUykvpMkRQGr65RU0HwiOw==">CgMxLjAyCWguM3JkY3JqbjIOaC5kYWozajJ4bzZxNjYyCGguZ2pkZ3hzMgloLjNkeTZ2a20yCWguMzBqMHpsbDIJaC4yczhleW8xMghoLnR5amN3dDIJaC4zem55c2g3MgloLjJldDkycDAyDmguZnB4NTdqMW5hMTh4Mg5oLmVxOW94dGQ0ZjhnazIOaC44ODVjNmk3N3A1Nm0yDmguc2xmc2RtNGxscDRtMgloLjF0M2g1c2YyDmguaG56eHNjaDVneXN6Mg5oLm90M3FxNnZ4YTA4ZjIIaC5sbnhiejk4AHIhMUJUenZua0JmZWpVMGZmWHB5cktUTjBwQl8ySURMcm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11179</Words>
  <Characters>61488</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2025-10-17T00:59:00Z</cp:lastPrinted>
  <dcterms:created xsi:type="dcterms:W3CDTF">2025-11-14T18:15:00Z</dcterms:created>
  <dcterms:modified xsi:type="dcterms:W3CDTF">2025-11-14T18:15:00Z</dcterms:modified>
</cp:coreProperties>
</file>