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3rdcrjn"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diez de septiembre de dos mil veinticinco.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rPr>
      </w:pPr>
      <w:bookmarkStart w:colFirst="0" w:colLast="0" w:name="_heading=h.daj3j2xo6q66" w:id="1"/>
      <w:bookmarkEnd w:id="1"/>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04094/INFOEM/ICR-118/IP/RR/2025, </w:t>
      </w:r>
      <w:r w:rsidDel="00000000" w:rsidR="00000000" w:rsidRPr="00000000">
        <w:rPr>
          <w:rFonts w:ascii="Palatino Linotype" w:cs="Palatino Linotype" w:eastAsia="Palatino Linotype" w:hAnsi="Palatino Linotype"/>
          <w:rtl w:val="0"/>
        </w:rPr>
        <w:t xml:space="preserve">interpuesto por</w:t>
      </w:r>
      <w:r w:rsidDel="00000000" w:rsidR="00000000" w:rsidRPr="00000000">
        <w:rPr>
          <w:rFonts w:ascii="Palatino Linotype" w:cs="Palatino Linotype" w:eastAsia="Palatino Linotype" w:hAnsi="Palatino Linotype"/>
          <w:b w:val="1"/>
          <w:rtl w:val="0"/>
        </w:rPr>
        <w:t xml:space="preserve"> XXXXXXX XXXXXX 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rtl w:val="0"/>
        </w:rPr>
        <w:t xml:space="preserve"> 00063/TULTEPEC/IP/2025,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Tultepec,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cumplimiento a la determinación del diverso con número </w:t>
      </w:r>
      <w:r w:rsidDel="00000000" w:rsidR="00000000" w:rsidRPr="00000000">
        <w:rPr>
          <w:rFonts w:ascii="Palatino Linotype" w:cs="Palatino Linotype" w:eastAsia="Palatino Linotype" w:hAnsi="Palatino Linotype"/>
          <w:b w:val="1"/>
          <w:rtl w:val="0"/>
        </w:rPr>
        <w:t xml:space="preserve">04094/INFOEM/IP/RR/2025</w:t>
      </w:r>
      <w:r w:rsidDel="00000000" w:rsidR="00000000" w:rsidRPr="00000000">
        <w:rPr>
          <w:rFonts w:ascii="Palatino Linotype" w:cs="Palatino Linotype" w:eastAsia="Palatino Linotype" w:hAnsi="Palatino Linotype"/>
          <w:rtl w:val="0"/>
        </w:rPr>
        <w:t xml:space="preserve">, 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trece de marzo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la solicitud de acceso a la información pública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mediante la cual requirió lo siguiente:</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“SOLICITO TODAS LAS </w:t>
      </w:r>
      <w:r w:rsidDel="00000000" w:rsidR="00000000" w:rsidRPr="00000000">
        <w:rPr>
          <w:rFonts w:ascii="Palatino Linotype" w:cs="Palatino Linotype" w:eastAsia="Palatino Linotype" w:hAnsi="Palatino Linotype"/>
          <w:b w:val="1"/>
          <w:i w:val="1"/>
          <w:sz w:val="22"/>
          <w:szCs w:val="22"/>
          <w:u w:val="single"/>
          <w:rtl w:val="0"/>
        </w:rPr>
        <w:t xml:space="preserve">LIECENCIAS DE USO DE SUELO</w:t>
      </w:r>
      <w:r w:rsidDel="00000000" w:rsidR="00000000" w:rsidRPr="00000000">
        <w:rPr>
          <w:rFonts w:ascii="Palatino Linotype" w:cs="Palatino Linotype" w:eastAsia="Palatino Linotype" w:hAnsi="Palatino Linotype"/>
          <w:i w:val="1"/>
          <w:sz w:val="22"/>
          <w:szCs w:val="22"/>
          <w:rtl w:val="0"/>
        </w:rPr>
        <w:t xml:space="preserve">, QUE HAN SIDO EXPEDIDAS POR LA DIRECCION DE DESARROLLO URBANO, ECOLOGIA Y FOMENTO AGROPECUARIO, DEL 1 DE ENERO DEL 2025HASTA LA FECHA DE INGRESO DE LA PRESENTE SOLICITUD, RESPETUOSAMENTE SOLICITO LA REFERIDA INFORMACION POR ESTE MEDIO EN VERSION PUBLICA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bookmarkStart w:colFirst="0" w:colLast="0" w:name="_heading=h.3dy6vkm" w:id="3"/>
      <w:bookmarkEnd w:id="3"/>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3119"/>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de información formulada por la persona solicitante.</w:t>
      </w:r>
      <w:r w:rsidDel="00000000" w:rsidR="00000000" w:rsidRPr="00000000">
        <w:rPr>
          <w:rtl w:val="0"/>
        </w:rPr>
      </w:r>
    </w:p>
    <w:p w:rsidR="00000000" w:rsidDel="00000000" w:rsidP="00000000" w:rsidRDefault="00000000" w:rsidRPr="00000000" w14:paraId="0000000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la falta de respuesta, el </w:t>
      </w:r>
      <w:r w:rsidDel="00000000" w:rsidR="00000000" w:rsidRPr="00000000">
        <w:rPr>
          <w:rFonts w:ascii="Palatino Linotype" w:cs="Palatino Linotype" w:eastAsia="Palatino Linotype" w:hAnsi="Palatino Linotype"/>
          <w:b w:val="1"/>
          <w:rtl w:val="0"/>
        </w:rPr>
        <w:t xml:space="preserve">siete de abril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9">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A">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El acto impugnado es la negativa por parte del sujeto obligado, ya que no contesto a la petición de información solicitada 2.- Derivado de lo anterior solicito se le de vista al órgano del control interno del Ayuntamiento de Tultepec para que conforme a Derecho proceda a realizar la investigación correspondiente y sancione al sujeto obligado y/o sujetos obligados responsables de proporcionar la información solicitada 3.- Solicito se le de vista al INFOEM para que determine las medidas de apremio al sujeto y/o sujetos obligados responsables de proporcionar la información solicitada 4.- Solicito se le de vista a la Secretaría de la Contraloría del Gobierno del Estado de México para que sancione al sujeto obligado y/o sujetos obligados responsables de proporcionar la información solicitada” (sic)</w:t>
      </w:r>
    </w:p>
    <w:p w:rsidR="00000000" w:rsidDel="00000000" w:rsidP="00000000" w:rsidRDefault="00000000" w:rsidRPr="00000000" w14:paraId="0000000B">
      <w:pPr>
        <w:spacing w:line="360" w:lineRule="auto"/>
        <w:jc w:val="both"/>
        <w:rPr>
          <w:rFonts w:ascii="Palatino Linotype" w:cs="Palatino Linotype" w:eastAsia="Palatino Linotype" w:hAnsi="Palatino Linotype"/>
        </w:rPr>
      </w:pPr>
      <w:bookmarkStart w:colFirst="0" w:colLast="0" w:name="_heading=h.30j0zll" w:id="4"/>
      <w:bookmarkEnd w:id="4"/>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C">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irresponsabilidad y mala fe del sujeto y/o sujetos obligados, al negarse a proporcionar la información solicitada como lo marca la ley” (sic)</w:t>
      </w:r>
    </w:p>
    <w:p w:rsidR="00000000" w:rsidDel="00000000" w:rsidP="00000000" w:rsidRDefault="00000000" w:rsidRPr="00000000" w14:paraId="0000000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0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diez de abril de dos mil veinticinco,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r w:rsidDel="00000000" w:rsidR="00000000" w:rsidRPr="00000000">
        <w:rPr>
          <w:rtl w:val="0"/>
        </w:rPr>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bookmarkStart w:colFirst="0" w:colLast="0" w:name="_heading=h.2s8eyo1" w:id="5"/>
      <w:bookmarkEnd w:id="5"/>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doce de abril de dos mil veinticinco,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a través del SAIMEX, una carpeta comprimida que contiene lo siguiente:</w:t>
      </w:r>
    </w:p>
    <w:p w:rsidR="00000000" w:rsidDel="00000000" w:rsidP="00000000" w:rsidRDefault="00000000" w:rsidRPr="00000000" w14:paraId="00000010">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DDUEFA/DEP/087/2025, del treinta y uno de marzo de dos mil veinticinco, mediante el cual la Directora de Desarrollo Urbano, Ecología y Fomento Agropecuario, en atención a las solicitudes  con el número de folio 00055/TULTEPEC/IP/2025, 00056/TULTЕРEC/IР/2025, 00057/TULTEPEC/IP/2025, 00058/TULTEPEC/IP/2025, 00059/TULTEPEC/IP/2025, 00060/TULTЕРEC/IP/2025, 00061/TULTEPEC/IP/2025, 00062/TULTEPEC/IP/2025, 00063/TULTEPEC/IP/2025, 00064/TULTЕРЕС/ІР/2025, refiere hacer entrega de las Licencias de Construcción, Regularización de Obra, Constancias de Terminación de Obra, Cédulas Informativas de Zonificación, Licencias de Uso de Suelo, Autorización de Cambio de Uso de Suelo, que han sido aprobadas y expedidas por la dependencia a su cargo, del día dos de enero hasta la fecha de la presentación de las solicitudes.</w:t>
      </w:r>
    </w:p>
    <w:p w:rsidR="00000000" w:rsidDel="00000000" w:rsidP="00000000" w:rsidRDefault="00000000" w:rsidRPr="00000000" w14:paraId="00000011">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- 2 Autorizaciones de Cambio de Uso de Suelo (duplicadas), testadas.</w:t>
      </w:r>
    </w:p>
    <w:p w:rsidR="00000000" w:rsidDel="00000000" w:rsidP="00000000" w:rsidRDefault="00000000" w:rsidRPr="00000000" w14:paraId="00000012">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- 9 Prorrogas de Licencia de Construcción, testadas.</w:t>
      </w:r>
    </w:p>
    <w:p w:rsidR="00000000" w:rsidDel="00000000" w:rsidP="00000000" w:rsidRDefault="00000000" w:rsidRPr="00000000" w14:paraId="00000013">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- 108 Cédulas Informativas de Zonificación, testadas.</w:t>
      </w:r>
    </w:p>
    <w:p w:rsidR="00000000" w:rsidDel="00000000" w:rsidP="00000000" w:rsidRDefault="00000000" w:rsidRPr="00000000" w14:paraId="00000014">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- 84 Licencias de Construcción, testadas.</w:t>
      </w:r>
    </w:p>
    <w:p w:rsidR="00000000" w:rsidDel="00000000" w:rsidP="00000000" w:rsidRDefault="00000000" w:rsidRPr="00000000" w14:paraId="00000015">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- 21 Licencias de Uso de Suelo, testadas.</w:t>
      </w:r>
    </w:p>
    <w:p w:rsidR="00000000" w:rsidDel="00000000" w:rsidP="00000000" w:rsidRDefault="00000000" w:rsidRPr="00000000" w14:paraId="00000016">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- 20 Constancias de Terminación de Obra, testadas.</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Sin embargo, dicha información no se hizo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toda vez que del análisis de la información se advirtió que se dejaron datos susceptibles de ser clasificados como confidenciales, de manera enunciativa, más no limitativa, la clave catastral de un inmueble particular, en la Licencia de Uso de Suelo con número de expediente LUS/004/2025, </w:t>
      </w:r>
      <w:r w:rsidDel="00000000" w:rsidR="00000000" w:rsidRPr="00000000">
        <w:rPr>
          <w:rFonts w:ascii="Palatino Linotype" w:cs="Palatino Linotype" w:eastAsia="Palatino Linotype" w:hAnsi="Palatino Linotype"/>
          <w:b w:val="1"/>
          <w:u w:val="single"/>
          <w:rtl w:val="0"/>
        </w:rPr>
        <w:t xml:space="preserve">además de haberse hecho entrega de información que no forma parte de la materia de la solicitud 00063/TULTEPEC/IP/2025.</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catorce de abril de dos mil veinticinco,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mediante escrito libre sus alegatos en los siguientes términos:</w:t>
      </w:r>
    </w:p>
    <w:p w:rsidR="00000000" w:rsidDel="00000000" w:rsidP="00000000" w:rsidRDefault="00000000" w:rsidRPr="00000000" w14:paraId="0000001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1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medio de la presente, me permito presentar los alegatos correspondientes al recurso de revisión interpuesto ante la plataforma SAIMEX, en relación con la falta de respuesta por parte del sujeto obligado a mi solicitud de información.</w:t>
      </w:r>
    </w:p>
    <w:p w:rsidR="00000000" w:rsidDel="00000000" w:rsidP="00000000" w:rsidRDefault="00000000" w:rsidRPr="00000000" w14:paraId="0000001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HECHOS:</w:t>
      </w:r>
      <w:r w:rsidDel="00000000" w:rsidR="00000000" w:rsidRPr="00000000">
        <w:rPr>
          <w:rtl w:val="0"/>
        </w:rPr>
      </w:r>
    </w:p>
    <w:p w:rsidR="00000000" w:rsidDel="00000000" w:rsidP="00000000" w:rsidRDefault="00000000" w:rsidRPr="00000000" w14:paraId="0000001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13 de marzo de 2025, presenté una solicitud de información en la plataforma SAIMEX, registrada bajo el folio 00064/TULTEPEC/IP/2025, requiriendo lo siguiente:</w:t>
      </w:r>
    </w:p>
    <w:p w:rsidR="00000000" w:rsidDel="00000000" w:rsidP="00000000" w:rsidRDefault="00000000" w:rsidRPr="00000000" w14:paraId="0000001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Solicito todas las licencias de uso de suelo</w:t>
      </w:r>
      <w:r w:rsidDel="00000000" w:rsidR="00000000" w:rsidRPr="00000000">
        <w:rPr>
          <w:rFonts w:ascii="Palatino Linotype" w:cs="Palatino Linotype" w:eastAsia="Palatino Linotype" w:hAnsi="Palatino Linotype"/>
          <w:i w:val="1"/>
          <w:sz w:val="22"/>
          <w:szCs w:val="22"/>
          <w:rtl w:val="0"/>
        </w:rPr>
        <w:t xml:space="preserve"> que han sido  expedidas por la Dirección de Desarrollo Urbano, Ecología y Fomento Agropecuario, del 1 de enero de 2025 hasta la fecha de ingreso de la presente solicitud. Respetuosamente, solicito la referida información por este medio en versión pública."</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Sin embargo, el sujeto obligado no emitió respuesta alguna dentro del plazo establecido, vulnerando con ello mi derecho de acceso a la información.</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ARGUMENTOS:</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falta de respuesta por parte del sujeto obligado constituye una omisión que contraviene los principios de transparencia y acceso a la información pública. De acuerdo con la normativa vigente en el Estado de México, el Instituto de Transparencia, Acceso a la Información Pública y Protección de Datos Personales (INFOEM) supervisa el cumplimiento de estas obligaciones.</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un sujeto obligado incumple con su deber de respuesta, puede ser objeto de diversas medidas correctivas, entre ellas:</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Requerimiento de respuesta:</w:t>
      </w:r>
      <w:r w:rsidDel="00000000" w:rsidR="00000000" w:rsidRPr="00000000">
        <w:rPr>
          <w:rFonts w:ascii="Palatino Linotype" w:cs="Palatino Linotype" w:eastAsia="Palatino Linotype" w:hAnsi="Palatino Linotype"/>
          <w:i w:val="1"/>
          <w:sz w:val="22"/>
          <w:szCs w:val="22"/>
          <w:rtl w:val="0"/>
        </w:rPr>
        <w:t xml:space="preserve"> Se ordena al sujeto obligado proporcionar la información solicitada.</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Multas económicas:</w:t>
      </w:r>
      <w:r w:rsidDel="00000000" w:rsidR="00000000" w:rsidRPr="00000000">
        <w:rPr>
          <w:rFonts w:ascii="Palatino Linotype" w:cs="Palatino Linotype" w:eastAsia="Palatino Linotype" w:hAnsi="Palatino Linotype"/>
          <w:i w:val="1"/>
          <w:sz w:val="22"/>
          <w:szCs w:val="22"/>
          <w:rtl w:val="0"/>
        </w:rPr>
        <w:t xml:space="preserve"> En caso de incumplimiento reiterado, pueden imponerse sanciones monetarias.</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Medidas correctivas:</w:t>
      </w:r>
      <w:r w:rsidDel="00000000" w:rsidR="00000000" w:rsidRPr="00000000">
        <w:rPr>
          <w:rFonts w:ascii="Palatino Linotype" w:cs="Palatino Linotype" w:eastAsia="Palatino Linotype" w:hAnsi="Palatino Linotype"/>
          <w:i w:val="1"/>
          <w:sz w:val="22"/>
          <w:szCs w:val="22"/>
          <w:rtl w:val="0"/>
        </w:rPr>
        <w:t xml:space="preserve"> Se implementan acciones para mejorar el cumplimiento de la normativa de transparencia.</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Responsabilidad administrativa:</w:t>
      </w:r>
      <w:r w:rsidDel="00000000" w:rsidR="00000000" w:rsidRPr="00000000">
        <w:rPr>
          <w:rFonts w:ascii="Palatino Linotype" w:cs="Palatino Linotype" w:eastAsia="Palatino Linotype" w:hAnsi="Palatino Linotype"/>
          <w:i w:val="1"/>
          <w:sz w:val="22"/>
          <w:szCs w:val="22"/>
          <w:rtl w:val="0"/>
        </w:rPr>
        <w:t xml:space="preserve"> En casos graves, los funcionarios responsables pueden enfrentar procedimientos administrativos.</w:t>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Derecho de acceso a la información pública:</w:t>
      </w:r>
      <w:r w:rsidDel="00000000" w:rsidR="00000000" w:rsidRPr="00000000">
        <w:rPr>
          <w:rtl w:val="0"/>
        </w:rPr>
      </w:r>
    </w:p>
    <w:p w:rsidR="00000000" w:rsidDel="00000000" w:rsidP="00000000" w:rsidRDefault="00000000" w:rsidRPr="00000000" w14:paraId="00000027">
      <w:pPr>
        <w:numPr>
          <w:ilvl w:val="1"/>
          <w:numId w:val="2"/>
        </w:numPr>
        <w:pBdr>
          <w:top w:space="0" w:sz="0" w:val="nil"/>
          <w:left w:space="0" w:sz="0" w:val="nil"/>
          <w:bottom w:space="0" w:sz="0" w:val="nil"/>
          <w:right w:space="0" w:sz="0" w:val="nil"/>
          <w:between w:space="0" w:sz="0" w:val="nil"/>
        </w:pBdr>
        <w:tabs>
          <w:tab w:val="left" w:leader="none" w:pos="1560"/>
        </w:tabs>
        <w:spacing w:after="120" w:before="120" w:lineRule="auto"/>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artículo 6 de la Constitución Política de los Estados Unidos Mexicanos establece que toda persona tiene derecho al acceso a la información pública.</w:t>
      </w:r>
    </w:p>
    <w:p w:rsidR="00000000" w:rsidDel="00000000" w:rsidP="00000000" w:rsidRDefault="00000000" w:rsidRPr="00000000" w14:paraId="00000028">
      <w:pPr>
        <w:numPr>
          <w:ilvl w:val="1"/>
          <w:numId w:val="2"/>
        </w:numPr>
        <w:pBdr>
          <w:top w:space="0" w:sz="0" w:val="nil"/>
          <w:left w:space="0" w:sz="0" w:val="nil"/>
          <w:bottom w:space="0" w:sz="0" w:val="nil"/>
          <w:right w:space="0" w:sz="0" w:val="nil"/>
          <w:between w:space="0" w:sz="0" w:val="nil"/>
        </w:pBdr>
        <w:tabs>
          <w:tab w:val="left" w:leader="none" w:pos="1560"/>
        </w:tabs>
        <w:spacing w:after="120" w:before="120" w:lineRule="auto"/>
        <w:ind w:left="1276"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Ley de Transparencia y Acceso a la Información Pública del Estado de México y Municipios garantiza este derecho y obliga a los sujetos obligados a responder en tiempo y forma a las solicitudes de información.</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anteriormente expuesto, solicito que:</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reconsideren los argumentos presentados y se proporcione la información requerida conforme a la legislación aplicable.</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dé vista al órgano de control interno del Ayuntamiento de Tultepec.</w:t>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dé vista a la Secretaría de la Contraloría del Estado de México.</w:t>
      </w:r>
    </w:p>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notifique al Instituto de Transparencia, Acceso a la Información Pública y Protección de Datos Personales del Estado de México y Municipios (INFOEM) la negativa por parte del sujeto obligado, para que sea sancionado.</w:t>
      </w:r>
    </w:p>
    <w:p w:rsidR="00000000" w:rsidDel="00000000" w:rsidP="00000000" w:rsidRDefault="00000000" w:rsidRPr="00000000" w14:paraId="0000002E">
      <w:pPr>
        <w:tabs>
          <w:tab w:val="left" w:leader="none" w:pos="1276"/>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veintisiete de junio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Ampliación del término para resolver</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veintisiete de junio de dos mil veinticinco</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6">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7">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38">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9">
      <w:p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E">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F">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Resolución del recurso de revisión.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nueve de julio de dos mil veinticinco, </w:t>
      </w:r>
      <w:r w:rsidDel="00000000" w:rsidR="00000000" w:rsidRPr="00000000">
        <w:rPr>
          <w:rFonts w:ascii="Palatino Linotype" w:cs="Palatino Linotype" w:eastAsia="Palatino Linotype" w:hAnsi="Palatino Linotype"/>
          <w:rtl w:val="0"/>
        </w:rPr>
        <w:t xml:space="preserve">el Pleno del Infoem en la </w:t>
      </w:r>
      <w:r w:rsidDel="00000000" w:rsidR="00000000" w:rsidRPr="00000000">
        <w:rPr>
          <w:rFonts w:ascii="Palatino Linotype" w:cs="Palatino Linotype" w:eastAsia="Palatino Linotype" w:hAnsi="Palatino Linotype"/>
          <w:b w:val="1"/>
          <w:rtl w:val="0"/>
        </w:rPr>
        <w:t xml:space="preserve">Vigésima Quinta Ordinaria, </w:t>
      </w:r>
      <w:r w:rsidDel="00000000" w:rsidR="00000000" w:rsidRPr="00000000">
        <w:rPr>
          <w:rFonts w:ascii="Palatino Linotype" w:cs="Palatino Linotype" w:eastAsia="Palatino Linotype" w:hAnsi="Palatino Linotype"/>
          <w:rtl w:val="0"/>
        </w:rPr>
        <w:t xml:space="preserve">aprobó por unanimidad de votos la resolución del recurso de revisión </w:t>
      </w:r>
      <w:r w:rsidDel="00000000" w:rsidR="00000000" w:rsidRPr="00000000">
        <w:rPr>
          <w:rFonts w:ascii="Palatino Linotype" w:cs="Palatino Linotype" w:eastAsia="Palatino Linotype" w:hAnsi="Palatino Linotype"/>
          <w:b w:val="1"/>
          <w:rtl w:val="0"/>
        </w:rPr>
        <w:t xml:space="preserve">04094/INFOEM/IP/RR/2025,</w:t>
      </w:r>
      <w:r w:rsidDel="00000000" w:rsidR="00000000" w:rsidRPr="00000000">
        <w:rPr>
          <w:rFonts w:ascii="Palatino Linotype" w:cs="Palatino Linotype" w:eastAsia="Palatino Linotype" w:hAnsi="Palatino Linotype"/>
          <w:rtl w:val="0"/>
        </w:rPr>
        <w:t xml:space="preserve"> misma que fue </w:t>
      </w:r>
      <w:r w:rsidDel="00000000" w:rsidR="00000000" w:rsidRPr="00000000">
        <w:rPr>
          <w:rFonts w:ascii="Palatino Linotype" w:cs="Palatino Linotype" w:eastAsia="Palatino Linotype" w:hAnsi="Palatino Linotype"/>
          <w:b w:val="1"/>
          <w:rtl w:val="0"/>
        </w:rPr>
        <w:t xml:space="preserve">notificada el catorce de julio de dos mil veinticinco</w:t>
      </w:r>
      <w:r w:rsidDel="00000000" w:rsidR="00000000" w:rsidRPr="00000000">
        <w:rPr>
          <w:rFonts w:ascii="Palatino Linotype" w:cs="Palatino Linotype" w:eastAsia="Palatino Linotype" w:hAnsi="Palatino Linotype"/>
          <w:rtl w:val="0"/>
        </w:rPr>
        <w:t xml:space="preserve">, en la cual se ordenó lo siguiente: </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III. R E S U E L V E</w:t>
      </w:r>
    </w:p>
    <w:p w:rsidR="00000000" w:rsidDel="00000000" w:rsidP="00000000" w:rsidRDefault="00000000" w:rsidRPr="00000000" w14:paraId="00000043">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Primero. </w:t>
      </w:r>
      <w:r w:rsidDel="00000000" w:rsidR="00000000" w:rsidRPr="00000000">
        <w:rPr>
          <w:rFonts w:ascii="Palatino Linotype" w:cs="Palatino Linotype" w:eastAsia="Palatino Linotype" w:hAnsi="Palatino Linotype"/>
          <w:i w:val="1"/>
          <w:sz w:val="22"/>
          <w:szCs w:val="22"/>
          <w:rtl w:val="0"/>
        </w:rPr>
        <w:t xml:space="preserve">Resultan </w:t>
      </w:r>
      <w:r w:rsidDel="00000000" w:rsidR="00000000" w:rsidRPr="00000000">
        <w:rPr>
          <w:rFonts w:ascii="Palatino Linotype" w:cs="Palatino Linotype" w:eastAsia="Palatino Linotype" w:hAnsi="Palatino Linotype"/>
          <w:b w:val="1"/>
          <w:i w:val="1"/>
          <w:sz w:val="22"/>
          <w:szCs w:val="22"/>
          <w:rtl w:val="0"/>
        </w:rPr>
        <w:t xml:space="preserve">fundados</w:t>
      </w:r>
      <w:r w:rsidDel="00000000" w:rsidR="00000000" w:rsidRPr="00000000">
        <w:rPr>
          <w:rFonts w:ascii="Palatino Linotype" w:cs="Palatino Linotype" w:eastAsia="Palatino Linotype" w:hAnsi="Palatino Linotype"/>
          <w:i w:val="1"/>
          <w:sz w:val="22"/>
          <w:szCs w:val="22"/>
          <w:rtl w:val="0"/>
        </w:rPr>
        <w:t xml:space="preserve"> los motivos de inconformidad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en términos del Considerando </w:t>
      </w: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de la presente resolución.</w:t>
      </w:r>
    </w:p>
    <w:p w:rsidR="00000000" w:rsidDel="00000000" w:rsidP="00000000" w:rsidRDefault="00000000" w:rsidRPr="00000000" w14:paraId="00000044">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Segundo. </w:t>
      </w:r>
      <w:r w:rsidDel="00000000" w:rsidR="00000000" w:rsidRPr="00000000">
        <w:rPr>
          <w:rFonts w:ascii="Palatino Linotype" w:cs="Palatino Linotype" w:eastAsia="Palatino Linotype" w:hAnsi="Palatino Linotype"/>
          <w:i w:val="1"/>
          <w:sz w:val="22"/>
          <w:szCs w:val="22"/>
          <w:rtl w:val="0"/>
        </w:rPr>
        <w:t xml:space="preserve">Se</w:t>
      </w:r>
      <w:r w:rsidDel="00000000" w:rsidR="00000000" w:rsidRPr="00000000">
        <w:rPr>
          <w:rFonts w:ascii="Palatino Linotype" w:cs="Palatino Linotype" w:eastAsia="Palatino Linotype" w:hAnsi="Palatino Linotype"/>
          <w:b w:val="1"/>
          <w:i w:val="1"/>
          <w:sz w:val="22"/>
          <w:szCs w:val="22"/>
          <w:rtl w:val="0"/>
        </w:rPr>
        <w:t xml:space="preserve"> Ordena </w:t>
      </w:r>
      <w:r w:rsidDel="00000000" w:rsidR="00000000" w:rsidRPr="00000000">
        <w:rPr>
          <w:rFonts w:ascii="Palatino Linotype" w:cs="Palatino Linotype" w:eastAsia="Palatino Linotype" w:hAnsi="Palatino Linotype"/>
          <w:i w:val="1"/>
          <w:sz w:val="22"/>
          <w:szCs w:val="22"/>
          <w:rtl w:val="0"/>
        </w:rPr>
        <w:t xml:space="preserve">al </w:t>
      </w:r>
      <w:r w:rsidDel="00000000" w:rsidR="00000000" w:rsidRPr="00000000">
        <w:rPr>
          <w:rFonts w:ascii="Palatino Linotype" w:cs="Palatino Linotype" w:eastAsia="Palatino Linotype" w:hAnsi="Palatino Linotype"/>
          <w:b w:val="1"/>
          <w:i w:val="1"/>
          <w:sz w:val="22"/>
          <w:szCs w:val="22"/>
          <w:rtl w:val="0"/>
        </w:rPr>
        <w:t xml:space="preserve">Sujeto Obligado </w:t>
      </w:r>
      <w:r w:rsidDel="00000000" w:rsidR="00000000" w:rsidRPr="00000000">
        <w:rPr>
          <w:rFonts w:ascii="Palatino Linotype" w:cs="Palatino Linotype" w:eastAsia="Palatino Linotype" w:hAnsi="Palatino Linotype"/>
          <w:i w:val="1"/>
          <w:sz w:val="22"/>
          <w:szCs w:val="22"/>
          <w:rtl w:val="0"/>
        </w:rPr>
        <w:t xml:space="preserve">dé trámite a la solicitud de acceso a la información pública </w:t>
      </w:r>
      <w:r w:rsidDel="00000000" w:rsidR="00000000" w:rsidRPr="00000000">
        <w:rPr>
          <w:rFonts w:ascii="Palatino Linotype" w:cs="Palatino Linotype" w:eastAsia="Palatino Linotype" w:hAnsi="Palatino Linotype"/>
          <w:b w:val="1"/>
          <w:i w:val="1"/>
          <w:sz w:val="22"/>
          <w:szCs w:val="22"/>
          <w:rtl w:val="0"/>
        </w:rPr>
        <w:t xml:space="preserve">00063/TULTEPEC/IP/2025, </w:t>
      </w:r>
      <w:r w:rsidDel="00000000" w:rsidR="00000000" w:rsidRPr="00000000">
        <w:rPr>
          <w:rFonts w:ascii="Palatino Linotype" w:cs="Palatino Linotype" w:eastAsia="Palatino Linotype" w:hAnsi="Palatino Linotype"/>
          <w:i w:val="1"/>
          <w:sz w:val="22"/>
          <w:szCs w:val="22"/>
          <w:rtl w:val="0"/>
        </w:rPr>
        <w:t xml:space="preserve">que dio origen al recurso de revisión </w:t>
      </w:r>
      <w:r w:rsidDel="00000000" w:rsidR="00000000" w:rsidRPr="00000000">
        <w:rPr>
          <w:rFonts w:ascii="Palatino Linotype" w:cs="Palatino Linotype" w:eastAsia="Palatino Linotype" w:hAnsi="Palatino Linotype"/>
          <w:b w:val="1"/>
          <w:i w:val="1"/>
          <w:sz w:val="22"/>
          <w:szCs w:val="22"/>
          <w:rtl w:val="0"/>
        </w:rPr>
        <w:t xml:space="preserve">04094/INFOEM/IP/RR/2025</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en términos de los Considerandos</w:t>
      </w:r>
      <w:r w:rsidDel="00000000" w:rsidR="00000000" w:rsidRPr="00000000">
        <w:rPr>
          <w:rFonts w:ascii="Palatino Linotype" w:cs="Palatino Linotype" w:eastAsia="Palatino Linotype" w:hAnsi="Palatino Linotype"/>
          <w:b w:val="1"/>
          <w:i w:val="1"/>
          <w:sz w:val="22"/>
          <w:szCs w:val="22"/>
          <w:rtl w:val="0"/>
        </w:rPr>
        <w:t xml:space="preserve"> Cuarto </w:t>
      </w:r>
      <w:r w:rsidDel="00000000" w:rsidR="00000000" w:rsidRPr="00000000">
        <w:rPr>
          <w:rFonts w:ascii="Palatino Linotype" w:cs="Palatino Linotype" w:eastAsia="Palatino Linotype" w:hAnsi="Palatino Linotype"/>
          <w:i w:val="1"/>
          <w:sz w:val="22"/>
          <w:szCs w:val="22"/>
          <w:rtl w:val="0"/>
        </w:rPr>
        <w:t xml:space="preserve">y </w:t>
      </w: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de esta resolución, haga entrega, vía </w:t>
      </w:r>
      <w:r w:rsidDel="00000000" w:rsidR="00000000" w:rsidRPr="00000000">
        <w:rPr>
          <w:rFonts w:ascii="Palatino Linotype" w:cs="Palatino Linotype" w:eastAsia="Palatino Linotype" w:hAnsi="Palatino Linotype"/>
          <w:b w:val="1"/>
          <w:i w:val="1"/>
          <w:sz w:val="22"/>
          <w:szCs w:val="22"/>
          <w:rtl w:val="0"/>
        </w:rPr>
        <w:t xml:space="preserve">SAIMEX</w:t>
      </w:r>
      <w:r w:rsidDel="00000000" w:rsidR="00000000" w:rsidRPr="00000000">
        <w:rPr>
          <w:rFonts w:ascii="Palatino Linotype" w:cs="Palatino Linotype" w:eastAsia="Palatino Linotype" w:hAnsi="Palatino Linotype"/>
          <w:i w:val="1"/>
          <w:sz w:val="22"/>
          <w:szCs w:val="22"/>
          <w:rtl w:val="0"/>
        </w:rPr>
        <w:t xml:space="preserve">, previa búsqueda exhaustiva y razonable, de ser procedente en versión pública, de lo siguiente:</w:t>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tabs>
          <w:tab w:val="left" w:leader="none" w:pos="567"/>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Licencias de Uso de Suelo expedidas del uno de enero al trece de marzo de dos mil veinticinco.</w:t>
      </w:r>
    </w:p>
    <w:p w:rsidR="00000000" w:rsidDel="00000000" w:rsidP="00000000" w:rsidRDefault="00000000" w:rsidRPr="00000000" w14:paraId="00000046">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7">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Tercero. Notifíquese, </w:t>
      </w:r>
      <w:r w:rsidDel="00000000" w:rsidR="00000000" w:rsidRPr="00000000">
        <w:rPr>
          <w:rFonts w:ascii="Palatino Linotype" w:cs="Palatino Linotype" w:eastAsia="Palatino Linotype" w:hAnsi="Palatino Linotype"/>
          <w:i w:val="1"/>
          <w:sz w:val="22"/>
          <w:szCs w:val="22"/>
          <w:rtl w:val="0"/>
        </w:rPr>
        <w:t xml:space="preserve">vía </w:t>
      </w:r>
      <w:r w:rsidDel="00000000" w:rsidR="00000000" w:rsidRPr="00000000">
        <w:rPr>
          <w:rFonts w:ascii="Palatino Linotype" w:cs="Palatino Linotype" w:eastAsia="Palatino Linotype" w:hAnsi="Palatino Linotype"/>
          <w:b w:val="1"/>
          <w:i w:val="1"/>
          <w:sz w:val="22"/>
          <w:szCs w:val="22"/>
          <w:rtl w:val="0"/>
        </w:rPr>
        <w:t xml:space="preserve">SAIMEX</w:t>
      </w:r>
      <w:r w:rsidDel="00000000" w:rsidR="00000000" w:rsidRPr="00000000">
        <w:rPr>
          <w:rFonts w:ascii="Palatino Linotype" w:cs="Palatino Linotype" w:eastAsia="Palatino Linotype" w:hAnsi="Palatino Linotype"/>
          <w:i w:val="1"/>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48">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  Notifíquese, </w:t>
      </w:r>
      <w:r w:rsidDel="00000000" w:rsidR="00000000" w:rsidRPr="00000000">
        <w:rPr>
          <w:rFonts w:ascii="Palatino Linotype" w:cs="Palatino Linotype" w:eastAsia="Palatino Linotype" w:hAnsi="Palatino Linotype"/>
          <w:i w:val="1"/>
          <w:sz w:val="22"/>
          <w:szCs w:val="22"/>
          <w:rtl w:val="0"/>
        </w:rPr>
        <w:t xml:space="preserve">vía </w:t>
      </w:r>
      <w:r w:rsidDel="00000000" w:rsidR="00000000" w:rsidRPr="00000000">
        <w:rPr>
          <w:rFonts w:ascii="Palatino Linotype" w:cs="Palatino Linotype" w:eastAsia="Palatino Linotype" w:hAnsi="Palatino Linotype"/>
          <w:b w:val="1"/>
          <w:i w:val="1"/>
          <w:sz w:val="22"/>
          <w:szCs w:val="22"/>
          <w:rtl w:val="0"/>
        </w:rPr>
        <w:t xml:space="preserve">SAIMEX</w:t>
      </w:r>
      <w:r w:rsidDel="00000000" w:rsidR="00000000" w:rsidRPr="00000000">
        <w:rPr>
          <w:rFonts w:ascii="Palatino Linotype" w:cs="Palatino Linotype" w:eastAsia="Palatino Linotype" w:hAnsi="Palatino Linotype"/>
          <w:i w:val="1"/>
          <w:sz w:val="22"/>
          <w:szCs w:val="22"/>
          <w:rtl w:val="0"/>
        </w:rPr>
        <w:t xml:space="preserve"> a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49">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 Hágase, </w:t>
      </w:r>
      <w:r w:rsidDel="00000000" w:rsidR="00000000" w:rsidRPr="00000000">
        <w:rPr>
          <w:rFonts w:ascii="Palatino Linotype" w:cs="Palatino Linotype" w:eastAsia="Palatino Linotype" w:hAnsi="Palatino Linotype"/>
          <w:i w:val="1"/>
          <w:sz w:val="22"/>
          <w:szCs w:val="22"/>
          <w:rtl w:val="0"/>
        </w:rPr>
        <w:t xml:space="preserve">de conocimiento de la parte </w:t>
      </w:r>
      <w:r w:rsidDel="00000000" w:rsidR="00000000" w:rsidRPr="00000000">
        <w:rPr>
          <w:rFonts w:ascii="Palatino Linotype" w:cs="Palatino Linotype" w:eastAsia="Palatino Linotype" w:hAnsi="Palatino Linotype"/>
          <w:b w:val="1"/>
          <w:i w:val="1"/>
          <w:sz w:val="22"/>
          <w:szCs w:val="22"/>
          <w:rtl w:val="0"/>
        </w:rPr>
        <w:t xml:space="preserve">Recurrente, </w:t>
      </w:r>
      <w:r w:rsidDel="00000000" w:rsidR="00000000" w:rsidRPr="00000000">
        <w:rPr>
          <w:rFonts w:ascii="Palatino Linotype" w:cs="Palatino Linotype" w:eastAsia="Palatino Linotype" w:hAnsi="Palatino Linotype"/>
          <w:i w:val="1"/>
          <w:sz w:val="22"/>
          <w:szCs w:val="22"/>
          <w:rtl w:val="0"/>
        </w:rPr>
        <w:t xml:space="preserve">que la respuesta que dé 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04A">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 Gírese,</w:t>
      </w:r>
      <w:r w:rsidDel="00000000" w:rsidR="00000000" w:rsidRPr="00000000">
        <w:rPr>
          <w:rFonts w:ascii="Palatino Linotype" w:cs="Palatino Linotype" w:eastAsia="Palatino Linotype" w:hAnsi="Palatino Linotype"/>
          <w:i w:val="1"/>
          <w:sz w:val="22"/>
          <w:szCs w:val="22"/>
          <w:rtl w:val="0"/>
        </w:rPr>
        <w:t xml:space="preserve"> vista a la </w:t>
      </w:r>
      <w:r w:rsidDel="00000000" w:rsidR="00000000" w:rsidRPr="00000000">
        <w:rPr>
          <w:rFonts w:ascii="Palatino Linotype" w:cs="Palatino Linotype" w:eastAsia="Palatino Linotype" w:hAnsi="Palatino Linotype"/>
          <w:b w:val="1"/>
          <w:i w:val="1"/>
          <w:sz w:val="22"/>
          <w:szCs w:val="22"/>
          <w:rtl w:val="0"/>
        </w:rPr>
        <w:t xml:space="preserve">Secretaría Técnica del Pleno de este Instituto</w:t>
      </w:r>
      <w:r w:rsidDel="00000000" w:rsidR="00000000" w:rsidRPr="00000000">
        <w:rPr>
          <w:rFonts w:ascii="Palatino Linotype" w:cs="Palatino Linotype" w:eastAsia="Palatino Linotype" w:hAnsi="Palatino Linotype"/>
          <w:i w:val="1"/>
          <w:sz w:val="22"/>
          <w:szCs w:val="22"/>
          <w:rtl w:val="0"/>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Del="00000000" w:rsidR="00000000" w:rsidRPr="00000000">
        <w:rPr>
          <w:rFonts w:ascii="Palatino Linotype" w:cs="Palatino Linotype" w:eastAsia="Palatino Linotype" w:hAnsi="Palatino Linotype"/>
          <w:b w:val="1"/>
          <w:i w:val="1"/>
          <w:sz w:val="22"/>
          <w:szCs w:val="22"/>
          <w:rtl w:val="0"/>
        </w:rPr>
        <w:t xml:space="preserve"> Cuarto </w:t>
      </w:r>
      <w:r w:rsidDel="00000000" w:rsidR="00000000" w:rsidRPr="00000000">
        <w:rPr>
          <w:rFonts w:ascii="Palatino Linotype" w:cs="Palatino Linotype" w:eastAsia="Palatino Linotype" w:hAnsi="Palatino Linotype"/>
          <w:i w:val="1"/>
          <w:sz w:val="22"/>
          <w:szCs w:val="22"/>
          <w:rtl w:val="0"/>
        </w:rPr>
        <w:t xml:space="preserve">de la presente resolución”</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Cumplimiento del recurso de revisión 04094/INFOEM/IP/RR/2025.</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catorce de julio de dos mil veinticinco, </w:t>
      </w:r>
      <w:r w:rsidDel="00000000" w:rsidR="00000000" w:rsidRPr="00000000">
        <w:rPr>
          <w:rFonts w:ascii="Palatino Linotype" w:cs="Palatino Linotype" w:eastAsia="Palatino Linotype" w:hAnsi="Palatino Linotype"/>
          <w:rtl w:val="0"/>
        </w:rPr>
        <w:t xml:space="preserve">de conformidad con el artículo 186, último párrafo de la Ley de Transparencia y Acceso a la Información Pública del Estado de México y Municipios,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lo siguiente:</w:t>
      </w:r>
    </w:p>
    <w:p w:rsidR="00000000" w:rsidDel="00000000" w:rsidP="00000000" w:rsidRDefault="00000000" w:rsidRPr="00000000" w14:paraId="0000004C">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DDUEFA/DEP/087/2025, del treinta y uno de marzo de dos mil veinticinco, referido en el antecedente 6 de la presente resolución.</w:t>
      </w:r>
    </w:p>
    <w:p w:rsidR="00000000" w:rsidDel="00000000" w:rsidP="00000000" w:rsidRDefault="00000000" w:rsidRPr="00000000" w14:paraId="0000004D">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2 Autorizaciones de Cambio de Uso de Suelo (duplicadas); 9 Prórrogas de Licencia de Construcción; 108 Cédulas Informativas de Zonificación, 84 Licencias de Construcción; </w:t>
      </w:r>
      <w:r w:rsidDel="00000000" w:rsidR="00000000" w:rsidRPr="00000000">
        <w:rPr>
          <w:rFonts w:ascii="Palatino Linotype" w:cs="Palatino Linotype" w:eastAsia="Palatino Linotype" w:hAnsi="Palatino Linotype"/>
          <w:b w:val="1"/>
          <w:rtl w:val="0"/>
        </w:rPr>
        <w:t xml:space="preserve">21 Licencias de Uso de Suelo;</w:t>
      </w:r>
      <w:r w:rsidDel="00000000" w:rsidR="00000000" w:rsidRPr="00000000">
        <w:rPr>
          <w:rFonts w:ascii="Palatino Linotype" w:cs="Palatino Linotype" w:eastAsia="Palatino Linotype" w:hAnsi="Palatino Linotype"/>
          <w:rtl w:val="0"/>
        </w:rPr>
        <w:t xml:space="preserve"> y 20 Constancias de Terminación de Obra, testadas.</w:t>
      </w:r>
    </w:p>
    <w:p w:rsidR="00000000" w:rsidDel="00000000" w:rsidP="00000000" w:rsidRDefault="00000000" w:rsidRPr="00000000" w14:paraId="0000004E">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Acta de la Quinta Sesión Ordinaria del Comité de Transparencia, celebrada el once de julio de dos mil veinticinco, mediante la cual se aprobó la versión pública de las licencias requeridas mediante las solicitudes 00055/TULTEPEC/IP/2025, 00056/TULTЕРEC/IР/2025, 00057/TULTEPEC/IP/2025, 00058/TULTEPEC/IP/2025, 00059/TULTEPEC/IP/2025, 00060/TULTЕРEC/IP/2025, 00061/TULTEPEC/IP/2025, 00062/TULTEPEC/IP/2025, 00063/TULTEPEC/IP/2025, 00064/TULTЕРЕС/ІР/2025,.</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12. Informe de cumplimiento del recurso de revisión 04094/INFOEM/IP/RR/2025.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veintiuno de julio de dos mil veinticinco,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del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lo siguiente:</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UT/104/JULIO/2025, mediante el cual el titular de la Unidad de Transparencia solicitó a la Directora de Desarrollo Urbano, Ecología y Fomento Agropecuario, la información para dar cumplimiento a la resolución del recurso de revisión </w:t>
      </w:r>
      <w:r w:rsidDel="00000000" w:rsidR="00000000" w:rsidRPr="00000000">
        <w:rPr>
          <w:rFonts w:ascii="Palatino Linotype" w:cs="Palatino Linotype" w:eastAsia="Palatino Linotype" w:hAnsi="Palatino Linotype"/>
          <w:b w:val="1"/>
          <w:rtl w:val="0"/>
        </w:rPr>
        <w:t xml:space="preserve">04094/INFOEM/IP/RR/2025, </w:t>
      </w:r>
      <w:r w:rsidDel="00000000" w:rsidR="00000000" w:rsidRPr="00000000">
        <w:rPr>
          <w:rFonts w:ascii="Palatino Linotype" w:cs="Palatino Linotype" w:eastAsia="Palatino Linotype" w:hAnsi="Palatino Linotype"/>
          <w:rtl w:val="0"/>
        </w:rPr>
        <w:t xml:space="preserve">dentro del plazo de 3 días.</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DDUEFA/DEP/194/2025, mediante el cual la Directora de Desarrollo Urbano, Ecología y Fomento Agropecuario refirió poner a disposición las licencias de uso de suelo expedidas por la Dependencia a su cargo del día uno al día trece de marzo del año en curso, las cuales se anexan de manera digital.</w:t>
      </w:r>
    </w:p>
    <w:p w:rsidR="00000000" w:rsidDel="00000000" w:rsidP="00000000" w:rsidRDefault="00000000" w:rsidRPr="00000000" w14:paraId="00000052">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- 39 Licencias de Uso de Suelo, testadas.</w:t>
      </w:r>
    </w:p>
    <w:p w:rsidR="00000000" w:rsidDel="00000000" w:rsidP="00000000" w:rsidRDefault="00000000" w:rsidRPr="00000000" w14:paraId="00000053">
      <w:pPr>
        <w:spacing w:after="240" w:before="24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Acta de la Quinta sesión Ordinaria del Comité de Transparencia, celebrada el once de julio de dos mil veinticinco, mediante la cual se aprobó la versión pública de las licencias requeridas mediante las solicitudes 00055/TULTEPEC/IP/2025, 00056/TULTЕРEC/IР/2025, 00057/TULTEPEC/IP/2025, 00058/TULTEPEC/IP/2025, 00059/TULTEPEC/IP/2025, 00060/TULTЕРEC/IP/2025, 00061/TULTEPEC/IP/2025, 00062/TULTEPEC/IP/2025, 00063/TULTEPEC/IP/2025, 00064/TULTЕРЕС/ІР/2025.</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Dicha información fue puesta a disposición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que manifestara lo que a su derecho estimara conveniente, no obstante fue omisa en ejercer dicha prerrogativa como se ilustra  a continuación para mejor referencia:</w:t>
      </w:r>
    </w:p>
    <w:p w:rsidR="00000000" w:rsidDel="00000000" w:rsidP="00000000" w:rsidRDefault="00000000" w:rsidRPr="00000000" w14:paraId="00000055">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00000" cy="1690613"/>
            <wp:effectExtent b="0" l="0" r="0" t="0"/>
            <wp:docPr id="45" name="image3.png"/>
            <a:graphic>
              <a:graphicData uri="http://schemas.openxmlformats.org/drawingml/2006/picture">
                <pic:pic>
                  <pic:nvPicPr>
                    <pic:cNvPr id="0" name="image3.png"/>
                    <pic:cNvPicPr preferRelativeResize="0"/>
                  </pic:nvPicPr>
                  <pic:blipFill>
                    <a:blip r:embed="rId7"/>
                    <a:srcRect b="21094" l="0" r="0" t="-1"/>
                    <a:stretch>
                      <a:fillRect/>
                    </a:stretch>
                  </pic:blipFill>
                  <pic:spPr>
                    <a:xfrm>
                      <a:off x="0" y="0"/>
                      <a:ext cx="4500000" cy="16906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13. Interposición del segundo recurso de revisión 04094/INFOEM/ICR-118/IP/RR/2025.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diecisiete de agosto de dos mil veinticinco,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recurso de revisión a través del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contra de la respuesta a la solicitud de información </w:t>
      </w:r>
      <w:r w:rsidDel="00000000" w:rsidR="00000000" w:rsidRPr="00000000">
        <w:rPr>
          <w:rFonts w:ascii="Palatino Linotype" w:cs="Palatino Linotype" w:eastAsia="Palatino Linotype" w:hAnsi="Palatino Linotype"/>
          <w:b w:val="1"/>
          <w:rtl w:val="0"/>
        </w:rPr>
        <w:t xml:space="preserve">00063/TULTEPEC/IP/2025</w:t>
      </w:r>
      <w:r w:rsidDel="00000000" w:rsidR="00000000" w:rsidRPr="00000000">
        <w:rPr>
          <w:rFonts w:ascii="Palatino Linotype" w:cs="Palatino Linotype" w:eastAsia="Palatino Linotype" w:hAnsi="Palatino Linotype"/>
          <w:rtl w:val="0"/>
        </w:rPr>
        <w:t xml:space="preserve"> en cumplimiento a la resolución </w:t>
      </w:r>
      <w:r w:rsidDel="00000000" w:rsidR="00000000" w:rsidRPr="00000000">
        <w:rPr>
          <w:rFonts w:ascii="Palatino Linotype" w:cs="Palatino Linotype" w:eastAsia="Palatino Linotype" w:hAnsi="Palatino Linotype"/>
          <w:b w:val="1"/>
          <w:rtl w:val="0"/>
        </w:rPr>
        <w:t xml:space="preserve">04094/INFOEM/IP/RR/2025, </w:t>
      </w:r>
      <w:r w:rsidDel="00000000" w:rsidR="00000000" w:rsidRPr="00000000">
        <w:rPr>
          <w:rFonts w:ascii="Palatino Linotype" w:cs="Palatino Linotype" w:eastAsia="Palatino Linotype" w:hAnsi="Palatino Linotype"/>
          <w:rtl w:val="0"/>
        </w:rPr>
        <w:t xml:space="preserve">sin embargo, al corresponder a un día inhábil se tuvo por presentado el día </w:t>
      </w:r>
      <w:r w:rsidDel="00000000" w:rsidR="00000000" w:rsidRPr="00000000">
        <w:rPr>
          <w:rFonts w:ascii="Palatino Linotype" w:cs="Palatino Linotype" w:eastAsia="Palatino Linotype" w:hAnsi="Palatino Linotype"/>
          <w:b w:val="1"/>
          <w:rtl w:val="0"/>
        </w:rPr>
        <w:t xml:space="preserve">dieciocho de agosto de dos mil veinticinco;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5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SUJETO OBLIGADO MANDO LA INFORMACION INCOMPLETA” (Sic)</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Motivos o razones de inconformidad: </w:t>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“LICENCIAS DE CONSTRUCCIÓN Que en cada una de las enviadas se muestra una tipo "clave" con número consecutivo de referencia LIC/0001/2025 expedida el 5 de enero del 2025, hasta la LIC/0124/2025 expedida el 12 de marzo del 2025. Solicito se entreguen los consecutivos FALTANTES de la clave antes citada, mismos que a continuación menciono: 0005, 0009, 0010, 0011, 0014, 0021, 0027, 0032, 0033, 0040, 0044, 0046, 0052, 0053, 0056, 0065, 0072, 0073, 0087, 0090, 0091, 0092, 0093, 0094, 0095, 0096, 0097, 0098, 0099, 0100, 0101, 0102, 0104, 0106, 0110, 0112, 0115, 0118, 0119, 0120, 0122, 0123. CEDULAS INFORMATIVAS DE ZONIFICACIÓN Que en cada una de las enviadas se muestra una tipo "clave" con número consecutivo de referencia CIZ/0007/2025 expedida el 10 de enero del 2025, hasta la CIZ/0119/2025 expedida el 06 de marzo del 2025. Solicito se entreguen los consecutivos FALTANTES de la clave antes citada, mismos que a continuación menciono: 0001, 0002, 0003, 0004, 0005, 0006, 0014, 0020, 0021, 0022, 0023, 0024, 0025, 0026, 0027, 0028, 0029, 0030, 0031, 0032, 0033, 0034, 0044, 0048, 0054, 0055, 0059, 0060, 0065, 0082, 0099, 0111. </w:t>
      </w:r>
      <w:r w:rsidDel="00000000" w:rsidR="00000000" w:rsidRPr="00000000">
        <w:rPr>
          <w:rFonts w:ascii="Palatino Linotype" w:cs="Palatino Linotype" w:eastAsia="Palatino Linotype" w:hAnsi="Palatino Linotype"/>
          <w:b w:val="1"/>
          <w:i w:val="1"/>
          <w:sz w:val="22"/>
          <w:szCs w:val="22"/>
          <w:u w:val="single"/>
          <w:rtl w:val="0"/>
        </w:rPr>
        <w:t xml:space="preserve">LICENCIAS DE USO DE SUELO</w:t>
      </w:r>
      <w:r w:rsidDel="00000000" w:rsidR="00000000" w:rsidRPr="00000000">
        <w:rPr>
          <w:rFonts w:ascii="Palatino Linotype" w:cs="Palatino Linotype" w:eastAsia="Palatino Linotype" w:hAnsi="Palatino Linotype"/>
          <w:b w:val="1"/>
          <w:i w:val="1"/>
          <w:sz w:val="22"/>
          <w:szCs w:val="22"/>
          <w:rtl w:val="0"/>
        </w:rPr>
        <w:t xml:space="preserve"> Que en cada una de las enviadas se muestra una tipo "clave" con número consecutivo de referencia LUS/001/2025 expedida el 6 de enero del 2025, hasta la LUS/032/2025 expedida el 03 de marzo del 2025. </w:t>
      </w:r>
      <w:r w:rsidDel="00000000" w:rsidR="00000000" w:rsidRPr="00000000">
        <w:rPr>
          <w:rFonts w:ascii="Palatino Linotype" w:cs="Palatino Linotype" w:eastAsia="Palatino Linotype" w:hAnsi="Palatino Linotype"/>
          <w:b w:val="1"/>
          <w:i w:val="1"/>
          <w:sz w:val="22"/>
          <w:szCs w:val="22"/>
          <w:u w:val="single"/>
          <w:rtl w:val="0"/>
        </w:rPr>
        <w:t xml:space="preserve">Solicito se entreguen los consecutivos FALTANTES</w:t>
      </w:r>
      <w:r w:rsidDel="00000000" w:rsidR="00000000" w:rsidRPr="00000000">
        <w:rPr>
          <w:rFonts w:ascii="Palatino Linotype" w:cs="Palatino Linotype" w:eastAsia="Palatino Linotype" w:hAnsi="Palatino Linotype"/>
          <w:b w:val="1"/>
          <w:i w:val="1"/>
          <w:sz w:val="22"/>
          <w:szCs w:val="22"/>
          <w:rtl w:val="0"/>
        </w:rPr>
        <w:t xml:space="preserve"> de la clave antes citada, mismos que a continuación menciono: 002, 012, 016, 022, 023, 025, 026, 027, 028, 029, 030, 031</w:t>
      </w:r>
      <w:r w:rsidDel="00000000" w:rsidR="00000000" w:rsidRPr="00000000">
        <w:rPr>
          <w:rFonts w:ascii="Palatino Linotype" w:cs="Palatino Linotype" w:eastAsia="Palatino Linotype" w:hAnsi="Palatino Linotype"/>
          <w:i w:val="1"/>
          <w:sz w:val="22"/>
          <w:szCs w:val="22"/>
          <w:rtl w:val="0"/>
        </w:rPr>
        <w:t xml:space="preserve">. CONSTANCIAS DE TERMINACIÓN DE OBRA Que en cada una de las enviadas se muestra un número de expediente con número consecutivo de referencia TOB/0006/2025 expedida el 13 de enero del 2025, hasta la TOB/0033/2025 expedida el 28 de febrero del 2025. Solicito se entreguen los consecutivos FALTANTES de la clave antes citada, mismos que a continuación menciono: 0008, 0009, 0012, 0021, 0022, 0023, 0024, 0025, 0026, 0027, 0028, 0029, 0032. PRORROGAS DE LICENCIA DE CONSTRUCCIÓN Que en cada una de las enviadas se muestra un número de expediente con número consecutivo de referencia LIC/0005/2025 expedida el 07 de enero del 2025, hasta la LIC/0110/2025 expedida el 01 de marzo del 2025. Solicito se entreguen los consecutivos FALTANTES de la clave antes citada, mismos que a continuación menciono: 0001, 0002, 0003, 0004, de la 0006 hasta la 0031, de la 0033 hasta la 0045, de la 0047 hasta la 0064, de la 0066 hasta la 0071, de la 0073 hasta la 0086, de la 0088 hasta la 0105, de la 0107 hasta la 0109. SOLICITO SE COMPLEMENTE LA INFORMACION” (Sic) </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recurso de revisión </w:t>
      </w:r>
      <w:r w:rsidDel="00000000" w:rsidR="00000000" w:rsidRPr="00000000">
        <w:rPr>
          <w:rFonts w:ascii="Palatino Linotype" w:cs="Palatino Linotype" w:eastAsia="Palatino Linotype" w:hAnsi="Palatino Linotype"/>
          <w:b w:val="1"/>
          <w:rtl w:val="0"/>
        </w:rPr>
        <w:t xml:space="preserve">04094/INFOEM/ICR-118/IP/RR/2025, </w:t>
      </w:r>
      <w:r w:rsidDel="00000000" w:rsidR="00000000" w:rsidRPr="00000000">
        <w:rPr>
          <w:rFonts w:ascii="Palatino Linotype" w:cs="Palatino Linotype" w:eastAsia="Palatino Linotype" w:hAnsi="Palatino Linotype"/>
          <w:rtl w:val="0"/>
        </w:rPr>
        <w:t xml:space="preserve">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veintiuno de agosto de dos mil veinticinco,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17. Manifestaciones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663700"/>
            <wp:effectExtent b="0" l="0" r="0" t="0"/>
            <wp:docPr id="4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213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tres de septiembre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64">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Ley de Transparencia y Acceso a la Información Pública del Estado de México y Municipios, establece lo siguiente:</w:t>
      </w:r>
    </w:p>
    <w:p w:rsidR="00000000" w:rsidDel="00000000" w:rsidP="00000000" w:rsidRDefault="00000000" w:rsidRPr="00000000" w14:paraId="0000006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69">
      <w:pPr>
        <w:spacing w:after="120" w:before="120" w:lineRule="auto"/>
        <w:ind w:left="851" w:right="851"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Del="00000000" w:rsidR="00000000" w:rsidRPr="00000000">
        <w:rPr>
          <w:rtl w:val="0"/>
        </w:rPr>
      </w:r>
    </w:p>
    <w:p w:rsidR="00000000" w:rsidDel="00000000" w:rsidP="00000000" w:rsidRDefault="00000000" w:rsidRPr="00000000" w14:paraId="0000006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en cumplimiento a la resolución del recurso de revisión 04094/INFOEM/IP/RR/2025, el día </w:t>
      </w:r>
      <w:r w:rsidDel="00000000" w:rsidR="00000000" w:rsidRPr="00000000">
        <w:rPr>
          <w:rFonts w:ascii="Palatino Linotype" w:cs="Palatino Linotype" w:eastAsia="Palatino Linotype" w:hAnsi="Palatino Linotype"/>
          <w:b w:val="1"/>
          <w:rtl w:val="0"/>
        </w:rPr>
        <w:t xml:space="preserve">catorce de julio de dos mil veinticinco, </w:t>
      </w:r>
      <w:r w:rsidDel="00000000" w:rsidR="00000000" w:rsidRPr="00000000">
        <w:rPr>
          <w:rFonts w:ascii="Palatino Linotype" w:cs="Palatino Linotype" w:eastAsia="Palatino Linotype" w:hAnsi="Palatino Linotype"/>
          <w:rtl w:val="0"/>
        </w:rPr>
        <w:t xml:space="preserve">mientras que el segundo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w:t>
      </w:r>
      <w:r w:rsidDel="00000000" w:rsidR="00000000" w:rsidRPr="00000000">
        <w:rPr>
          <w:rFonts w:ascii="Palatino Linotype" w:cs="Palatino Linotype" w:eastAsia="Palatino Linotype" w:hAnsi="Palatino Linotype"/>
          <w:b w:val="1"/>
          <w:rtl w:val="0"/>
        </w:rPr>
        <w:t xml:space="preserve">dieciocho de agosto del año dos mil veinticinco</w:t>
      </w:r>
      <w:r w:rsidDel="00000000" w:rsidR="00000000" w:rsidRPr="00000000">
        <w:rPr>
          <w:rFonts w:ascii="Palatino Linotype" w:cs="Palatino Linotype" w:eastAsia="Palatino Linotype" w:hAnsi="Palatino Linotype"/>
          <w:rtl w:val="0"/>
        </w:rPr>
        <w:t xml:space="preserve">; esto es, al </w:t>
      </w:r>
      <w:r w:rsidDel="00000000" w:rsidR="00000000" w:rsidRPr="00000000">
        <w:rPr>
          <w:rFonts w:ascii="Palatino Linotype" w:cs="Palatino Linotype" w:eastAsia="Palatino Linotype" w:hAnsi="Palatino Linotype"/>
          <w:b w:val="1"/>
          <w:rtl w:val="0"/>
        </w:rPr>
        <w:t xml:space="preserve">décimo quinto día hábil </w:t>
      </w:r>
      <w:r w:rsidDel="00000000" w:rsidR="00000000" w:rsidRPr="00000000">
        <w:rPr>
          <w:rFonts w:ascii="Palatino Linotype" w:cs="Palatino Linotype" w:eastAsia="Palatino Linotype" w:hAnsi="Palatino Linotype"/>
          <w:rtl w:val="0"/>
        </w:rPr>
        <w:t xml:space="preserve">siguiente a aquel en el que se tuvo conocimiento de la respuesta.</w:t>
      </w:r>
    </w:p>
    <w:p w:rsidR="00000000" w:rsidDel="00000000" w:rsidP="00000000" w:rsidRDefault="00000000" w:rsidRPr="00000000" w14:paraId="0000006B">
      <w:pPr>
        <w:tabs>
          <w:tab w:val="left" w:leader="none" w:pos="7938"/>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6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Finalmente, antes de entrar al estudio de la presente resolución es preciso determinar si resulta procedente la interposición del recurso de revisión, toda vez que se actualiza la hipótesis prevista en el artículo 179, fracción V de la ley de la materia, que a la letra dice:</w:t>
      </w:r>
      <w:r w:rsidDel="00000000" w:rsidR="00000000" w:rsidRPr="00000000">
        <w:rPr>
          <w:rtl w:val="0"/>
        </w:rPr>
      </w:r>
    </w:p>
    <w:p w:rsidR="00000000" w:rsidDel="00000000" w:rsidP="00000000" w:rsidRDefault="00000000" w:rsidRPr="00000000" w14:paraId="0000006D">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r w:rsidDel="00000000" w:rsidR="00000000" w:rsidRPr="00000000">
        <w:rPr>
          <w:rtl w:val="0"/>
        </w:rPr>
      </w:r>
    </w:p>
    <w:p w:rsidR="00000000" w:rsidDel="00000000" w:rsidP="00000000" w:rsidRDefault="00000000" w:rsidRPr="00000000" w14:paraId="0000006E">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tl w:val="0"/>
        </w:rPr>
        <w:t xml:space="preserve"> </w:t>
      </w:r>
      <w:r w:rsidDel="00000000" w:rsidR="00000000" w:rsidRPr="00000000">
        <w:rPr>
          <w:rFonts w:ascii="Palatino Linotype" w:cs="Palatino Linotype" w:eastAsia="Palatino Linotype" w:hAnsi="Palatino Linotype"/>
          <w:i w:val="1"/>
          <w:sz w:val="22"/>
          <w:szCs w:val="22"/>
          <w:rtl w:val="0"/>
        </w:rPr>
        <w:t xml:space="preserve">La entrega de información incompleta;”</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proporcionada por el Sujeto Obligado en cumplimiento a la resolución </w:t>
      </w:r>
      <w:r w:rsidDel="00000000" w:rsidR="00000000" w:rsidRPr="00000000">
        <w:rPr>
          <w:rFonts w:ascii="Palatino Linotype" w:cs="Palatino Linotype" w:eastAsia="Palatino Linotype" w:hAnsi="Palatino Linotype"/>
          <w:rtl w:val="0"/>
        </w:rPr>
        <w:t xml:space="preserve">recaída al recurso de revisión </w:t>
      </w:r>
      <w:r w:rsidDel="00000000" w:rsidR="00000000" w:rsidRPr="00000000">
        <w:rPr>
          <w:rFonts w:ascii="Palatino Linotype" w:cs="Palatino Linotype" w:eastAsia="Palatino Linotype" w:hAnsi="Palatino Linotype"/>
          <w:b w:val="1"/>
          <w:rtl w:val="0"/>
        </w:rPr>
        <w:t xml:space="preserve">04094/INFOEM/IP/RR/2025</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bookmarkStart w:colFirst="0" w:colLast="0" w:name="_heading=h.2et92p0" w:id="7"/>
      <w:bookmarkEnd w:id="7"/>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7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78">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orientador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7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B">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C">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8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8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siguiente información:</w:t>
      </w:r>
    </w:p>
    <w:p w:rsidR="00000000" w:rsidDel="00000000" w:rsidP="00000000" w:rsidRDefault="00000000" w:rsidRPr="00000000" w14:paraId="00000089">
      <w:pPr>
        <w:spacing w:after="240" w:before="240" w:line="360" w:lineRule="auto"/>
        <w:ind w:left="284" w:right="5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1. Todas las </w:t>
      </w:r>
      <w:r w:rsidDel="00000000" w:rsidR="00000000" w:rsidRPr="00000000">
        <w:rPr>
          <w:rFonts w:ascii="Palatino Linotype" w:cs="Palatino Linotype" w:eastAsia="Palatino Linotype" w:hAnsi="Palatino Linotype"/>
          <w:b w:val="1"/>
          <w:u w:val="single"/>
          <w:rtl w:val="0"/>
        </w:rPr>
        <w:t xml:space="preserve">licencias de uso de suelo</w:t>
      </w:r>
      <w:r w:rsidDel="00000000" w:rsidR="00000000" w:rsidRPr="00000000">
        <w:rPr>
          <w:rFonts w:ascii="Palatino Linotype" w:cs="Palatino Linotype" w:eastAsia="Palatino Linotype" w:hAnsi="Palatino Linotype"/>
          <w:rtl w:val="0"/>
        </w:rPr>
        <w:t xml:space="preserve"> expedidas por la Dirección de Desarrollo Urbano, Ecología y Fomento Agropecuario, </w:t>
      </w:r>
      <w:r w:rsidDel="00000000" w:rsidR="00000000" w:rsidRPr="00000000">
        <w:rPr>
          <w:rFonts w:ascii="Palatino Linotype" w:cs="Palatino Linotype" w:eastAsia="Palatino Linotype" w:hAnsi="Palatino Linotype"/>
          <w:b w:val="1"/>
          <w:rtl w:val="0"/>
        </w:rPr>
        <w:t xml:space="preserve">del uno de enero al trece de marzo de dos mil veinticinco.</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por conducto de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Dirección de Desarrollo Urbano, Ecología y Fomento Agropecuario,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hizo entrega de 2 Autorizaciones de Cambio de Uso de Suelo (duplicadas); 9 Prorrogas de Licencia de Construcción; 108 Cédulas Informativas de Zonificación, 84 Licencias de Construcción; </w:t>
      </w:r>
      <w:r w:rsidDel="00000000" w:rsidR="00000000" w:rsidRPr="00000000">
        <w:rPr>
          <w:rFonts w:ascii="Palatino Linotype" w:cs="Palatino Linotype" w:eastAsia="Palatino Linotype" w:hAnsi="Palatino Linotype"/>
          <w:b w:val="1"/>
          <w:u w:val="single"/>
          <w:rtl w:val="0"/>
        </w:rPr>
        <w:t xml:space="preserve">21 Licencias de Uso de Suelo</w:t>
      </w:r>
      <w:r w:rsidDel="00000000" w:rsidR="00000000" w:rsidRPr="00000000">
        <w:rPr>
          <w:rFonts w:ascii="Palatino Linotype" w:cs="Palatino Linotype" w:eastAsia="Palatino Linotype" w:hAnsi="Palatino Linotype"/>
          <w:rtl w:val="0"/>
        </w:rPr>
        <w:t xml:space="preserve">; y 20 Constancias de Terminación de Obra, testadas, así como del Acta de la Quinta Sesión Ordinaria del Comité de Transparencia mediante la cual se aprobó la versión pública de las licencias requeridas mediante las solicitudes 00055/TULTEPEC/IP/2025, 00056/TULTЕРEC/IР/2025, 00057/TULTEPEC/IP/2025, 00058/TULTEPEC/IP/2025, 00059/TULTEPEC/IP/2025, 00060/TULTЕРEC/IP/2025, 00061/TULTEPEC/IP/2025, 00062/TULTEPEC/IP/2025, 00063/TULTEPEC/IP/2025, 00064/TULTЕРЕС/ІР/2025.</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u w:val="single"/>
          <w:rtl w:val="0"/>
        </w:rPr>
        <w:t xml:space="preserve">, en un acto posterior, hizo entrega de 39 Licencias de Uso de Suelo testadas.</w:t>
      </w:r>
      <w:r w:rsidDel="00000000" w:rsidR="00000000" w:rsidRPr="00000000">
        <w:rPr>
          <w:rtl w:val="0"/>
        </w:rPr>
      </w:r>
    </w:p>
    <w:p w:rsidR="00000000" w:rsidDel="00000000" w:rsidP="00000000" w:rsidRDefault="00000000" w:rsidRPr="00000000" w14:paraId="0000008C">
      <w:pPr>
        <w:spacing w:after="240" w:before="240" w:line="360" w:lineRule="auto"/>
        <w:jc w:val="both"/>
        <w:rPr>
          <w:u w:val="single"/>
        </w:rPr>
      </w:pPr>
      <w:r w:rsidDel="00000000" w:rsidR="00000000" w:rsidRPr="00000000">
        <w:rPr>
          <w:rFonts w:ascii="Palatino Linotype" w:cs="Palatino Linotype" w:eastAsia="Palatino Linotype" w:hAnsi="Palatino Linotype"/>
          <w:rtl w:val="0"/>
        </w:rPr>
        <w:t xml:space="preserve">Sin embargo, al no estar conforme con los términos de la respuesta proporcionada,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el recurso de revisión que nos ocupa, mediante el cual refirió en lo medular que la información se entregó incompleta, precisando, por lo que se refiere a las </w:t>
      </w:r>
      <w:r w:rsidDel="00000000" w:rsidR="00000000" w:rsidRPr="00000000">
        <w:rPr>
          <w:rFonts w:ascii="Palatino Linotype" w:cs="Palatino Linotype" w:eastAsia="Palatino Linotype" w:hAnsi="Palatino Linotype"/>
          <w:b w:val="1"/>
          <w:u w:val="single"/>
          <w:rtl w:val="0"/>
        </w:rPr>
        <w:t xml:space="preserve">Licencias de Uso de Suelo, que faltaban las correspondientes a los números de folios 002, 012, 016, 022, 023, 025, 026, 027, 028, 029, 030, 031, de acuerdo con el número consecutivo.</w:t>
      </w:r>
      <w:r w:rsidDel="00000000" w:rsidR="00000000" w:rsidRPr="00000000">
        <w:rPr>
          <w:rtl w:val="0"/>
        </w:rPr>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señalar que de la lectura del motivo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advierte que esta no manifestó agravios respecto de las licencias de uso de suelo entregadas y la versión pública de las mismas, por tanto, esta parte de la respuesta, al no haber sido impugnada, debe declararse consentida.</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impugna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éste no expresa razón o motivo de inconformidad en contra de todos los rubros solicitados, dichos rubros deben declararse atendidos, pues se entiende que ésta conforme con la información entregada al no contravenir la misma. </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tácitamente. Improcedencia de su análisis. </w:t>
      </w:r>
      <w:r w:rsidDel="00000000" w:rsidR="00000000" w:rsidRPr="00000000">
        <w:rPr>
          <w:rFonts w:ascii="Palatino Linotype" w:cs="Palatino Linotype" w:eastAsia="Palatino Linotype" w:hAnsi="Palatino Linotype"/>
          <w:i w:val="1"/>
          <w:sz w:val="22"/>
          <w:szCs w:val="22"/>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92">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se insiste, ante la falta de impugnación eficaz, la respuesta entregada debe declararse consentida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y por consiguiente, no es procedente el análisis de fondo en la resolución.</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Asimismo, es de precisar que del análisis a lo vertido en el escrito de recurso de revisión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pretendió ampliar su solicitud, en virtud de que requirió </w:t>
      </w:r>
      <w:r w:rsidDel="00000000" w:rsidR="00000000" w:rsidRPr="00000000">
        <w:rPr>
          <w:rFonts w:ascii="Palatino Linotype" w:cs="Palatino Linotype" w:eastAsia="Palatino Linotype" w:hAnsi="Palatino Linotype"/>
          <w:b w:val="1"/>
          <w:rtl w:val="0"/>
        </w:rPr>
        <w:t xml:space="preserve">se complementara la información de las </w:t>
      </w:r>
      <w:r w:rsidDel="00000000" w:rsidR="00000000" w:rsidRPr="00000000">
        <w:rPr>
          <w:rFonts w:ascii="Palatino Linotype" w:cs="Palatino Linotype" w:eastAsia="Palatino Linotype" w:hAnsi="Palatino Linotype"/>
          <w:b w:val="1"/>
          <w:u w:val="single"/>
          <w:rtl w:val="0"/>
        </w:rPr>
        <w:t xml:space="preserve">Licencias de Construcción, las Cédulas Informativas de Zonificación, las Constancias de Terminación de Obra, y las Prórrogas de Licencia de Construcción</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al advertir faltantes de conformidad con el número consecutivo de los documentos entregados, no obstante, como se advierte en el antecedente 1 de la presente resolución, dichos documentos no fueron solicitados en un primer momento, así como tampoco fueron materia de estudio en la resolución al recurso de revisión 04094/INFOEM/IP/RR/2025, por lo que dichos pronunciamientos se traducen como una </w:t>
      </w:r>
      <w:r w:rsidDel="00000000" w:rsidR="00000000" w:rsidRPr="00000000">
        <w:rPr>
          <w:rFonts w:ascii="Palatino Linotype" w:cs="Palatino Linotype" w:eastAsia="Palatino Linotype" w:hAnsi="Palatino Linotype"/>
          <w:i w:val="1"/>
          <w:rtl w:val="0"/>
        </w:rPr>
        <w:t xml:space="preserve">plus petitio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y por tanto inatendibles a través del recurso de revisión. </w:t>
      </w:r>
      <w:r w:rsidDel="00000000" w:rsidR="00000000" w:rsidRPr="00000000">
        <w:rPr>
          <w:rtl w:val="0"/>
        </w:rPr>
      </w:r>
    </w:p>
    <w:p w:rsidR="00000000" w:rsidDel="00000000" w:rsidP="00000000" w:rsidRDefault="00000000" w:rsidRPr="00000000" w14:paraId="0000009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una vez formulada su solicitud inicial,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las personas solicitantes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 mediante el requerimiento de aclaración que formule el Sujeto Obligado.</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respecto, el entonces Instituto Nacional de Transparencia, Acceso a la Información y Protección de Datos Personales, INAI, se pronunció en los siguientes términos mediante el criterio orientador con clave de control SO/001/2017, que lleva por rubro y texto lo que a continuación se transcribe:</w:t>
      </w:r>
    </w:p>
    <w:p w:rsidR="00000000" w:rsidDel="00000000" w:rsidP="00000000" w:rsidRDefault="00000000" w:rsidRPr="00000000" w14:paraId="00000097">
      <w:pPr>
        <w:spacing w:after="240" w:before="24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 improcedente ampliar las solicitudes de acceso a información, a través de la interposición del recurso de revisión. </w:t>
      </w:r>
      <w:r w:rsidDel="00000000" w:rsidR="00000000" w:rsidRPr="00000000">
        <w:rPr>
          <w:rFonts w:ascii="Palatino Linotype" w:cs="Palatino Linotype" w:eastAsia="Palatino Linotype" w:hAnsi="Palatino Linotype"/>
          <w:i w:val="1"/>
          <w:sz w:val="22"/>
          <w:szCs w:val="22"/>
          <w:rtl w:val="0"/>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de lo anterior, se dejan a salvo los derechos de la persona solicitante, para que, en caso de considerar conveniente a sus intereses, el conocer la información que fue señalada, la requiera a través de una nueva solicitud de información.</w:t>
      </w:r>
    </w:p>
    <w:p w:rsidR="00000000" w:rsidDel="00000000" w:rsidP="00000000" w:rsidRDefault="00000000" w:rsidRPr="00000000" w14:paraId="00000099">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precisado lo anterior, es de recordar que en la resolución del recurso de revisión  </w:t>
      </w:r>
      <w:r w:rsidDel="00000000" w:rsidR="00000000" w:rsidRPr="00000000">
        <w:rPr>
          <w:rFonts w:ascii="Palatino Linotype" w:cs="Palatino Linotype" w:eastAsia="Palatino Linotype" w:hAnsi="Palatino Linotype"/>
          <w:b w:val="1"/>
          <w:rtl w:val="0"/>
        </w:rPr>
        <w:t xml:space="preserve">04094/INFOEM/IP/RR/2025, </w:t>
      </w:r>
      <w:r w:rsidDel="00000000" w:rsidR="00000000" w:rsidRPr="00000000">
        <w:rPr>
          <w:rFonts w:ascii="Palatino Linotype" w:cs="Palatino Linotype" w:eastAsia="Palatino Linotype" w:hAnsi="Palatino Linotype"/>
          <w:rtl w:val="0"/>
        </w:rPr>
        <w:t xml:space="preserve">este Organismo Garante determinó que la Dirección de Desarrollo Urbano, Ecología y Fomento Agropecuario es la dependencia competente para conocer de la información que es del interés de la persona solicitante, cuya persona servidora pública remitió 21 licencias de Uso de Suelo en la etapa de manifestaciones de dicho recurso, las cuales no pudieron hacerse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al haberse dejado dados personales susceptibles de ser clasificados como confidenciales, de manera enunciativa más no limitativa, la clave catastral de un inmueble, además de haberse entregado junto con diversas Licencias, Autorizaciones y Constancias que no fueron requeridas en el presente asunto.</w:t>
      </w:r>
    </w:p>
    <w:p w:rsidR="00000000" w:rsidDel="00000000" w:rsidP="00000000" w:rsidRDefault="00000000" w:rsidRPr="00000000" w14:paraId="0000009A">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de lo anterior, se precisó que del análisis efectuado por éste Organismo Garante en la información proporcionada, se advirtió que de acuerdo con el número de folio de los documentos entregados,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emitió por lo menos 32 de las Licencias de Uso de Suelo en el periodo solicitado, sin embargo, solo hizo entrega de 21 Licencias de Uso de Suelo, sin que se hubiera pronunciado respecto de las Licencias faltantes o hubiese manifestado la razón que justificara la omisión en su entrega.</w:t>
      </w:r>
    </w:p>
    <w:p w:rsidR="00000000" w:rsidDel="00000000" w:rsidP="00000000" w:rsidRDefault="00000000" w:rsidRPr="00000000" w14:paraId="0000009B">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se determinó que previa búsqueda exhaustiva y razonable,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hiciera entrega de las Licencias de Uso de Suelo emitidas del uno de enero al trece de marzo de dos mil veinticinco, en versión pública.</w:t>
      </w:r>
    </w:p>
    <w:p w:rsidR="00000000" w:rsidDel="00000000" w:rsidP="00000000" w:rsidRDefault="00000000" w:rsidRPr="00000000" w14:paraId="0000009C">
      <w:pPr>
        <w:widowControl w:val="0"/>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Posteriormente, en cumplimiento a la resolución del recurso de revisión  </w:t>
      </w:r>
      <w:r w:rsidDel="00000000" w:rsidR="00000000" w:rsidRPr="00000000">
        <w:rPr>
          <w:rFonts w:ascii="Palatino Linotype" w:cs="Palatino Linotype" w:eastAsia="Palatino Linotype" w:hAnsi="Palatino Linotype"/>
          <w:b w:val="1"/>
          <w:rtl w:val="0"/>
        </w:rPr>
        <w:t xml:space="preserve">04094/INFOEM/IP/RR/2025,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hizo entrega de las Licencias de Uso de Suelo emitidas del uno de enero al treinta y uno de marzo de dos mil veinticinco, siendo importante resaltar que </w:t>
      </w:r>
      <w:r w:rsidDel="00000000" w:rsidR="00000000" w:rsidRPr="00000000">
        <w:rPr>
          <w:rFonts w:ascii="Palatino Linotype" w:cs="Palatino Linotype" w:eastAsia="Palatino Linotype" w:hAnsi="Palatino Linotype"/>
          <w:b w:val="1"/>
          <w:rtl w:val="0"/>
        </w:rPr>
        <w:t xml:space="preserve">elaboró una nueva versión pública de las Licencias entregadas en la etapa de manifestaciones de dicho recurso.</w:t>
      </w:r>
    </w:p>
    <w:p w:rsidR="00000000" w:rsidDel="00000000" w:rsidP="00000000" w:rsidRDefault="00000000" w:rsidRPr="00000000" w14:paraId="0000009D">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atendiendo a los motivos de inconformidad alegados por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04094/INFOEM/ICR-118/IP/RR/2025, </w:t>
      </w:r>
      <w:r w:rsidDel="00000000" w:rsidR="00000000" w:rsidRPr="00000000">
        <w:rPr>
          <w:rFonts w:ascii="Palatino Linotype" w:cs="Palatino Linotype" w:eastAsia="Palatino Linotype" w:hAnsi="Palatino Linotype"/>
          <w:rtl w:val="0"/>
        </w:rPr>
        <w:t xml:space="preserve">donde manifestó la omisión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 entregar las Licencias de Uso de Suelo, con los números de folio </w:t>
      </w:r>
      <w:r w:rsidDel="00000000" w:rsidR="00000000" w:rsidRPr="00000000">
        <w:rPr>
          <w:rFonts w:ascii="Palatino Linotype" w:cs="Palatino Linotype" w:eastAsia="Palatino Linotype" w:hAnsi="Palatino Linotype"/>
          <w:b w:val="1"/>
          <w:rtl w:val="0"/>
        </w:rPr>
        <w:t xml:space="preserve">002, 012, 016, 022, 023, 025, 026, 027, 028, 029, 030, 031, </w:t>
      </w:r>
      <w:r w:rsidDel="00000000" w:rsidR="00000000" w:rsidRPr="00000000">
        <w:rPr>
          <w:rFonts w:ascii="Palatino Linotype" w:cs="Palatino Linotype" w:eastAsia="Palatino Linotype" w:hAnsi="Palatino Linotype"/>
          <w:rtl w:val="0"/>
        </w:rPr>
        <w:t xml:space="preserve">se procedió al análisis de la información, advirtiendo que en la carpeta comprimida denominada: “</w:t>
      </w:r>
      <w:r w:rsidDel="00000000" w:rsidR="00000000" w:rsidRPr="00000000">
        <w:rPr>
          <w:rFonts w:ascii="Palatino Linotype" w:cs="Palatino Linotype" w:eastAsia="Palatino Linotype" w:hAnsi="Palatino Linotype"/>
          <w:i w:val="1"/>
          <w:rtl w:val="0"/>
        </w:rPr>
        <w:t xml:space="preserve">TRANSPARENCIA RESPUESTA DE RESOLUCIÓN.zip</w:t>
      </w:r>
      <w:r w:rsidDel="00000000" w:rsidR="00000000" w:rsidRPr="00000000">
        <w:rPr>
          <w:rFonts w:ascii="Palatino Linotype" w:cs="Palatino Linotype" w:eastAsia="Palatino Linotype" w:hAnsi="Palatino Linotype"/>
          <w:rtl w:val="0"/>
        </w:rPr>
        <w:t xml:space="preserve">”, se encuentra el archivo “</w:t>
      </w:r>
      <w:r w:rsidDel="00000000" w:rsidR="00000000" w:rsidRPr="00000000">
        <w:rPr>
          <w:rFonts w:ascii="Palatino Linotype" w:cs="Palatino Linotype" w:eastAsia="Palatino Linotype" w:hAnsi="Palatino Linotype"/>
          <w:i w:val="1"/>
          <w:rtl w:val="0"/>
        </w:rPr>
        <w:t xml:space="preserve">LUS.pdf</w:t>
      </w:r>
      <w:r w:rsidDel="00000000" w:rsidR="00000000" w:rsidRPr="00000000">
        <w:rPr>
          <w:rFonts w:ascii="Palatino Linotype" w:cs="Palatino Linotype" w:eastAsia="Palatino Linotype" w:hAnsi="Palatino Linotype"/>
          <w:rtl w:val="0"/>
        </w:rPr>
        <w:t xml:space="preserve">”, mismo que contiene las Licencias de Uso de Suelo expedidas por la Dirección de Desarrollo Urbano, Ecología y Fomento Agropecuario, sin embargo, como lo refirió la persona solicitante, dicho archivo no contiene las licencias que menciona.</w:t>
      </w:r>
    </w:p>
    <w:p w:rsidR="00000000" w:rsidDel="00000000" w:rsidP="00000000" w:rsidRDefault="00000000" w:rsidRPr="00000000" w14:paraId="0000009E">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también se hizo entrega de la carpeta comprimida denominada “</w:t>
      </w:r>
      <w:r w:rsidDel="00000000" w:rsidR="00000000" w:rsidRPr="00000000">
        <w:rPr>
          <w:rFonts w:ascii="Palatino Linotype" w:cs="Palatino Linotype" w:eastAsia="Palatino Linotype" w:hAnsi="Palatino Linotype"/>
          <w:i w:val="1"/>
          <w:rtl w:val="0"/>
        </w:rPr>
        <w:t xml:space="preserve">063-tultepec-2025 04094-RR-2025.zip</w:t>
      </w:r>
      <w:r w:rsidDel="00000000" w:rsidR="00000000" w:rsidRPr="00000000">
        <w:rPr>
          <w:rFonts w:ascii="Palatino Linotype" w:cs="Palatino Linotype" w:eastAsia="Palatino Linotype" w:hAnsi="Palatino Linotype"/>
          <w:rtl w:val="0"/>
        </w:rPr>
        <w:t xml:space="preserve">” la cual contiene 39 Licencias de Uso de Suelo en versión pública, como se observa a continuación: </w:t>
      </w:r>
    </w:p>
    <w:p w:rsidR="00000000" w:rsidDel="00000000" w:rsidP="00000000" w:rsidRDefault="00000000" w:rsidRPr="00000000" w14:paraId="0000009F">
      <w:pPr>
        <w:widowControl w:val="0"/>
        <w:spacing w:after="240"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00000" cy="2024440"/>
            <wp:effectExtent b="0" l="0" r="0" t="0"/>
            <wp:docPr id="4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500000" cy="202444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revisión de dicho archivo, se advirtió que este contiene además de las Licencias de Uso de Suelo previamente remitidas, las correspondientes a los números de folio: </w:t>
      </w:r>
      <w:r w:rsidDel="00000000" w:rsidR="00000000" w:rsidRPr="00000000">
        <w:rPr>
          <w:rFonts w:ascii="Palatino Linotype" w:cs="Palatino Linotype" w:eastAsia="Palatino Linotype" w:hAnsi="Palatino Linotype"/>
          <w:b w:val="1"/>
          <w:u w:val="single"/>
          <w:rtl w:val="0"/>
        </w:rPr>
        <w:t xml:space="preserve">002, 012, 016, 023 y 030</w:t>
      </w:r>
      <w:r w:rsidDel="00000000" w:rsidR="00000000" w:rsidRPr="00000000">
        <w:rPr>
          <w:rFonts w:ascii="Palatino Linotype" w:cs="Palatino Linotype" w:eastAsia="Palatino Linotype" w:hAnsi="Palatino Linotype"/>
          <w:rtl w:val="0"/>
        </w:rPr>
        <w:t xml:space="preserve">, como se ilustra a continuación:</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101175"/>
            <wp:effectExtent b="0" l="0" r="0" t="0"/>
            <wp:docPr id="49" name="image7.png"/>
            <a:graphic>
              <a:graphicData uri="http://schemas.openxmlformats.org/drawingml/2006/picture">
                <pic:pic>
                  <pic:nvPicPr>
                    <pic:cNvPr id="0" name="image7.png"/>
                    <pic:cNvPicPr preferRelativeResize="0"/>
                  </pic:nvPicPr>
                  <pic:blipFill>
                    <a:blip r:embed="rId10"/>
                    <a:srcRect b="35183" l="0" r="0" t="0"/>
                    <a:stretch>
                      <a:fillRect/>
                    </a:stretch>
                  </pic:blipFill>
                  <pic:spPr>
                    <a:xfrm>
                      <a:off x="0" y="0"/>
                      <a:ext cx="5612130" cy="210117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354093"/>
            <wp:effectExtent b="0" l="0" r="0" t="0"/>
            <wp:docPr id="48" name="image5.png"/>
            <a:graphic>
              <a:graphicData uri="http://schemas.openxmlformats.org/drawingml/2006/picture">
                <pic:pic>
                  <pic:nvPicPr>
                    <pic:cNvPr id="0" name="image5.png"/>
                    <pic:cNvPicPr preferRelativeResize="0"/>
                  </pic:nvPicPr>
                  <pic:blipFill>
                    <a:blip r:embed="rId11"/>
                    <a:srcRect b="33251" l="0" r="0" t="0"/>
                    <a:stretch>
                      <a:fillRect/>
                    </a:stretch>
                  </pic:blipFill>
                  <pic:spPr>
                    <a:xfrm>
                      <a:off x="0" y="0"/>
                      <a:ext cx="5612130" cy="2354093"/>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236470"/>
            <wp:effectExtent b="0" l="0" r="0" t="0"/>
            <wp:docPr id="5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612130" cy="223647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110740"/>
            <wp:effectExtent b="0" l="0" r="0" t="0"/>
            <wp:docPr id="5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612130" cy="211074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997710"/>
            <wp:effectExtent b="0" l="0" r="0" t="0"/>
            <wp:docPr id="5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612130" cy="199771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after="240" w:before="240" w:line="360" w:lineRule="auto"/>
        <w:ind w:right="49"/>
        <w:jc w:val="both"/>
        <w:rPr/>
      </w:pPr>
      <w:r w:rsidDel="00000000" w:rsidR="00000000" w:rsidRPr="00000000">
        <w:rPr>
          <w:rFonts w:ascii="Palatino Linotype" w:cs="Palatino Linotype" w:eastAsia="Palatino Linotype" w:hAnsi="Palatino Linotype"/>
          <w:rtl w:val="0"/>
        </w:rPr>
        <w:t xml:space="preserve">En dichos documentos se testó el nombre de la persona titular de la licencia, así como la clave catastral del inmueble y la firma que acusa la recepción del documento, por parte de los interesados, cuya clasificación se sustenta con el Acta de la Quinta Sesión Ordinaria del Comité de Transparencia, en la cual se aprobó la clasificación de dichos datos personales como información confidencial, con fundamento en los artículos 3, fracciones IX, XX, XXI, XXXII, XLV; 6, 91, 132, 137, 143, fracción I, de la Ley de Transparencia y Acceso a la Información Pública del Estado de México y Municipio; 6 apartado A fracción II de la Constitución Política de los Estados Unidos Mexicanos; fracción II de la Constitución Política del Estado Libre Soberano de México; 3 fracciones IV, IX, XI, XX, XXI, XII, XXIII, XXXII, XLV, 6, 48, 49 fracciones VIII, IX, 52, 53 fracción X, 91, 122, 143 fracción I y demás aplicables a la Ley de Transparencia y Acceso a la Información Pública del Estado de México y Municipios y el artículo 179, fracción I del Código Financiero del Estado de México y Municipios.</w:t>
      </w: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se estima que para tener por satisfecho el Derecho de Acceso de la persona solicitante, es necesario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previa búsqueda exhaustiva y razonable, haga entrega de las Licencias de Uso de Suelo con números de folio: </w:t>
      </w:r>
      <w:r w:rsidDel="00000000" w:rsidR="00000000" w:rsidRPr="00000000">
        <w:rPr>
          <w:rFonts w:ascii="Palatino Linotype" w:cs="Palatino Linotype" w:eastAsia="Palatino Linotype" w:hAnsi="Palatino Linotype"/>
          <w:b w:val="1"/>
          <w:rtl w:val="0"/>
        </w:rPr>
        <w:t xml:space="preserve">022, 025, 026, 027, 028, 029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031</w:t>
      </w:r>
      <w:r w:rsidDel="00000000" w:rsidR="00000000" w:rsidRPr="00000000">
        <w:rPr>
          <w:rFonts w:ascii="Palatino Linotype" w:cs="Palatino Linotype" w:eastAsia="Palatino Linotype" w:hAnsi="Palatino Linotype"/>
          <w:rtl w:val="0"/>
        </w:rPr>
        <w:t xml:space="preserve">, en versión pública de conformidad con el considerando siguiente.</w:t>
      </w:r>
    </w:p>
    <w:p w:rsidR="00000000" w:rsidDel="00000000" w:rsidP="00000000" w:rsidRDefault="00000000" w:rsidRPr="00000000" w14:paraId="000000A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parcialmente fundados, siendo procedente </w:t>
      </w:r>
      <w:r w:rsidDel="00000000" w:rsidR="00000000" w:rsidRPr="00000000">
        <w:rPr>
          <w:rFonts w:ascii="Palatino Linotype" w:cs="Palatino Linotype" w:eastAsia="Palatino Linotype" w:hAnsi="Palatino Linotype"/>
          <w:i w:val="1"/>
          <w:rtl w:val="0"/>
        </w:rPr>
        <w:t xml:space="preserve">Modificar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con número de folio</w:t>
      </w:r>
      <w:r w:rsidDel="00000000" w:rsidR="00000000" w:rsidRPr="00000000">
        <w:rPr>
          <w:rFonts w:ascii="Palatino Linotype" w:cs="Palatino Linotype" w:eastAsia="Palatino Linotype" w:hAnsi="Palatino Linotype"/>
          <w:b w:val="1"/>
          <w:rtl w:val="0"/>
        </w:rPr>
        <w:t xml:space="preserve"> 00063/TULTEPEC/IP/2025, </w:t>
      </w:r>
      <w:r w:rsidDel="00000000" w:rsidR="00000000" w:rsidRPr="00000000">
        <w:rPr>
          <w:rFonts w:ascii="Palatino Linotype" w:cs="Palatino Linotype" w:eastAsia="Palatino Linotype" w:hAnsi="Palatino Linotype"/>
          <w:rtl w:val="0"/>
        </w:rPr>
        <w:t xml:space="preserve">en cumplimiento a la determinación del diverso con número </w:t>
      </w:r>
      <w:r w:rsidDel="00000000" w:rsidR="00000000" w:rsidRPr="00000000">
        <w:rPr>
          <w:rFonts w:ascii="Palatino Linotype" w:cs="Palatino Linotype" w:eastAsia="Palatino Linotype" w:hAnsi="Palatino Linotype"/>
          <w:b w:val="1"/>
          <w:rtl w:val="0"/>
        </w:rPr>
        <w:t xml:space="preserve">04094/INFOEM/IP/RR/2025,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A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0A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rsidR="00000000" w:rsidDel="00000000" w:rsidP="00000000" w:rsidRDefault="00000000" w:rsidRPr="00000000" w14:paraId="000000A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A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A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A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B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B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B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B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B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B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B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0B9">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B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B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BD">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nombre de la persona titular de la licencia, ha sido criterio sostenido por el Pleno de este Instituto que </w:t>
      </w:r>
      <w:r w:rsidDel="00000000" w:rsidR="00000000" w:rsidRPr="00000000">
        <w:rPr>
          <w:rFonts w:ascii="Palatino Linotype" w:cs="Palatino Linotype" w:eastAsia="Palatino Linotype" w:hAnsi="Palatino Linotype"/>
          <w:b w:val="1"/>
          <w:rtl w:val="0"/>
        </w:rPr>
        <w:t xml:space="preserve">se trata de un dato personal susceptible de clasificar como confidencial,</w:t>
      </w:r>
      <w:r w:rsidDel="00000000" w:rsidR="00000000" w:rsidRPr="00000000">
        <w:rPr>
          <w:rFonts w:ascii="Palatino Linotype" w:cs="Palatino Linotype" w:eastAsia="Palatino Linotype" w:hAnsi="Palatino Linotype"/>
          <w:rtl w:val="0"/>
        </w:rPr>
        <w:t xml:space="preserve"> cuando la licencia de que se trate </w:t>
      </w:r>
      <w:r w:rsidDel="00000000" w:rsidR="00000000" w:rsidRPr="00000000">
        <w:rPr>
          <w:rFonts w:ascii="Palatino Linotype" w:cs="Palatino Linotype" w:eastAsia="Palatino Linotype" w:hAnsi="Palatino Linotype"/>
          <w:b w:val="1"/>
          <w:u w:val="single"/>
          <w:rtl w:val="0"/>
        </w:rPr>
        <w:t xml:space="preserve">no involucre el aprovechamiento de bienes, servicios y/o recursos públicos,</w:t>
      </w:r>
      <w:r w:rsidDel="00000000" w:rsidR="00000000" w:rsidRPr="00000000">
        <w:rPr>
          <w:rFonts w:ascii="Palatino Linotype" w:cs="Palatino Linotype" w:eastAsia="Palatino Linotype" w:hAnsi="Palatino Linotype"/>
          <w:rtl w:val="0"/>
        </w:rPr>
        <w:t xml:space="preserve"> pues se considera que lo dispuesto en los Lineamientos Técnicos Generales debe ser interpretado de manera armónica y sistemática, en el entendido de que la intromisión a los datos personales de particulares únicamente se verá justificada cuando involucre el aprovechamiento de bienes, servicios o recursos públicos; en caso contrario constituye un dato personal susceptible de ser protegido.</w:t>
      </w:r>
    </w:p>
    <w:p w:rsidR="00000000" w:rsidDel="00000000" w:rsidP="00000000" w:rsidRDefault="00000000" w:rsidRPr="00000000" w14:paraId="000000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el Criterio Relevante 01/18  emitido por el Pleno de este Instituto, que lleva por rubro y texto lo siguiente:</w:t>
      </w:r>
    </w:p>
    <w:p w:rsidR="00000000" w:rsidDel="00000000" w:rsidP="00000000" w:rsidRDefault="00000000" w:rsidRPr="00000000" w14:paraId="000000C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Nombre del titular de una licencia que no involucre el aprovechamiento de bienes, servicios y/o recursos públicos, constituye un dato personal susceptible de clasificar como confidencial</w:t>
      </w:r>
      <w:r w:rsidDel="00000000" w:rsidR="00000000" w:rsidRPr="00000000">
        <w:rPr>
          <w:rFonts w:ascii="Palatino Linotype" w:cs="Palatino Linotype" w:eastAsia="Palatino Linotype" w:hAnsi="Palatino Linotype"/>
          <w:i w:val="1"/>
          <w:sz w:val="22"/>
          <w:szCs w:val="22"/>
          <w:rtl w:val="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supuesto, se deberá clasificar como información confidencial el nombre de las personas físicas titulares de las Licencias de Uso de Suelo que se entreguen para dar cumplimiento a la presente resolución, siempre y cuando no involucren el aprovechamiento de bienes, servicios y/o recursos públicos, por actualizarse lo previsto en el artículo 143, fracción I de la Ley de Transparencia y Acceso a la Información Pública del Estado de México y Municipios.</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deberá tener en cuenta que para estas documentales en particular, la </w:t>
      </w:r>
      <w:r w:rsidDel="00000000" w:rsidR="00000000" w:rsidRPr="00000000">
        <w:rPr>
          <w:rFonts w:ascii="Palatino Linotype" w:cs="Palatino Linotype" w:eastAsia="Palatino Linotype" w:hAnsi="Palatino Linotype"/>
          <w:b w:val="1"/>
          <w:rtl w:val="0"/>
        </w:rPr>
        <w:t xml:space="preserve">clave catastral</w:t>
      </w:r>
      <w:r w:rsidDel="00000000" w:rsidR="00000000" w:rsidRPr="00000000">
        <w:rPr>
          <w:rFonts w:ascii="Palatino Linotype" w:cs="Palatino Linotype" w:eastAsia="Palatino Linotype" w:hAnsi="Palatino Linotype"/>
          <w:rtl w:val="0"/>
        </w:rPr>
        <w:t xml:space="preserve"> reviste el carácter de confidencial respecto de aquellos inmuebles de dominio privado, en razón de que la clave catastral remite a información que contiene datos personales, por lo que no puede otorgarse a terceros, dada la confidencialidad que distingue a sus elementos. En ese sentido, sobre la clave catastral debe decirse que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“Diccionario de Datos catastrales Escala 1:1000” del Instituto Nacional de Estadística y Geografía (INEGI), contempla en su Glosario la definición de la Clave Catastral, la cual, apunta lo siguiente:</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Clave Catastral</w:t>
      </w:r>
      <w:r w:rsidDel="00000000" w:rsidR="00000000" w:rsidRPr="00000000">
        <w:rPr>
          <w:rFonts w:ascii="Palatino Linotype" w:cs="Palatino Linotype" w:eastAsia="Palatino Linotype" w:hAnsi="Palatino Linotype"/>
          <w:i w:val="1"/>
          <w:sz w:val="22"/>
          <w:szCs w:val="22"/>
          <w:rtl w:val="0"/>
        </w:rPr>
        <w:t xml:space="preserve">: El código que identifica al predio de forma única para su localización geográfica, mismo que es asignado a cada uno de ellos en el momento de su inscripción en el padrón catastral por las Unidades del Estado con atribuciones catastrales.”</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concepto antepuesto,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reitera que no es procedente la entrega de dicho dato, al actualizar lo previsto en el artículo 143, fracción I de la Ley de Transparencia y Acceso a la Información Pública del Estado de México y Municipios.</w:t>
      </w:r>
    </w:p>
    <w:p w:rsidR="00000000" w:rsidDel="00000000" w:rsidP="00000000" w:rsidRDefault="00000000" w:rsidRPr="00000000" w14:paraId="000000C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rsidR="00000000" w:rsidDel="00000000" w:rsidP="00000000" w:rsidRDefault="00000000" w:rsidRPr="00000000" w14:paraId="000000C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número de sesión y fecha;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del área que solicitó la clasificación de información; </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fundamentación legal y motivación correspondiente;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resolución o resoluciones aprobadas; y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rúbrica o firma digital de cada integrante del Comité de Transparencia.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motivos y razonamientos que sustenten la confirmación o modificación de la prueba de daño;</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periodo por el que mantendrá su clasificación y fecha de expiración; y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nombre del titular y área encargada de realizar la versión pública del documento, en su caso.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D6">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D7">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0D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0D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0D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0DB">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D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cuarto, Quincuagésimo quinto, Quincuagésimo sexto, Quincuagésimo séptimo y Quincuagésimo octavo, establecen lo siguiente:</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D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0DF">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E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0E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0E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0E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0E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0E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E8">
      <w:pPr>
        <w:spacing w:after="240" w:before="240" w:line="360" w:lineRule="auto"/>
        <w:jc w:val="both"/>
        <w:rPr>
          <w:rFonts w:ascii="Palatino Linotype" w:cs="Palatino Linotype" w:eastAsia="Palatino Linotype" w:hAnsi="Palatino Linotype"/>
          <w:b w:val="1"/>
        </w:rPr>
      </w:pPr>
      <w:bookmarkStart w:colFirst="0" w:colLast="0" w:name="_heading=h.1t3h5sf" w:id="8"/>
      <w:bookmarkEnd w:id="8"/>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parcialmente fundados</w:t>
      </w:r>
      <w:r w:rsidDel="00000000" w:rsidR="00000000" w:rsidRPr="00000000">
        <w:rPr>
          <w:rFonts w:ascii="Palatino Linotype" w:cs="Palatino Linotype" w:eastAsia="Palatino Linotype" w:hAnsi="Palatino Linotype"/>
          <w:rtl w:val="0"/>
        </w:rPr>
        <w:t xml:space="preserve"> los motivos de inconformidad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04094/INFOEM/ICR-118/IP/RR/2025,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cumplimiento a la resolución del Recurso de Revisión </w:t>
      </w:r>
      <w:r w:rsidDel="00000000" w:rsidR="00000000" w:rsidRPr="00000000">
        <w:rPr>
          <w:rFonts w:ascii="Palatino Linotype" w:cs="Palatino Linotype" w:eastAsia="Palatino Linotype" w:hAnsi="Palatino Linotype"/>
          <w:b w:val="1"/>
          <w:rtl w:val="0"/>
        </w:rPr>
        <w:t xml:space="preserve">04094/INFOEM/IP/RR/2025. </w:t>
      </w:r>
    </w:p>
    <w:p w:rsidR="00000000" w:rsidDel="00000000" w:rsidP="00000000" w:rsidRDefault="00000000" w:rsidRPr="00000000" w14:paraId="000000E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previa búsqueda exhaustiva y razonable, en versión pública, de lo siguiente:</w:t>
      </w:r>
    </w:p>
    <w:p w:rsidR="00000000" w:rsidDel="00000000" w:rsidP="00000000" w:rsidRDefault="00000000" w:rsidRPr="00000000" w14:paraId="000000EA">
      <w:pPr>
        <w:spacing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Licencias de Uso de Suelo con números de folio: LUS/</w:t>
      </w:r>
      <w:r w:rsidDel="00000000" w:rsidR="00000000" w:rsidRPr="00000000">
        <w:rPr>
          <w:rFonts w:ascii="Palatino Linotype" w:cs="Palatino Linotype" w:eastAsia="Palatino Linotype" w:hAnsi="Palatino Linotype"/>
          <w:b w:val="1"/>
          <w:rtl w:val="0"/>
        </w:rPr>
        <w:t xml:space="preserve">022</w:t>
      </w:r>
      <w:r w:rsidDel="00000000" w:rsidR="00000000" w:rsidRPr="00000000">
        <w:rPr>
          <w:rFonts w:ascii="Palatino Linotype" w:cs="Palatino Linotype" w:eastAsia="Palatino Linotype" w:hAnsi="Palatino Linotype"/>
          <w:rtl w:val="0"/>
        </w:rPr>
        <w:t xml:space="preserve">/2025, LUS/</w:t>
      </w:r>
      <w:r w:rsidDel="00000000" w:rsidR="00000000" w:rsidRPr="00000000">
        <w:rPr>
          <w:rFonts w:ascii="Palatino Linotype" w:cs="Palatino Linotype" w:eastAsia="Palatino Linotype" w:hAnsi="Palatino Linotype"/>
          <w:b w:val="1"/>
          <w:rtl w:val="0"/>
        </w:rPr>
        <w:t xml:space="preserve">025</w:t>
      </w:r>
      <w:r w:rsidDel="00000000" w:rsidR="00000000" w:rsidRPr="00000000">
        <w:rPr>
          <w:rFonts w:ascii="Palatino Linotype" w:cs="Palatino Linotype" w:eastAsia="Palatino Linotype" w:hAnsi="Palatino Linotype"/>
          <w:rtl w:val="0"/>
        </w:rPr>
        <w:t xml:space="preserve">/2025,</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 LUS/</w:t>
      </w:r>
      <w:r w:rsidDel="00000000" w:rsidR="00000000" w:rsidRPr="00000000">
        <w:rPr>
          <w:rFonts w:ascii="Palatino Linotype" w:cs="Palatino Linotype" w:eastAsia="Palatino Linotype" w:hAnsi="Palatino Linotype"/>
          <w:b w:val="1"/>
          <w:rtl w:val="0"/>
        </w:rPr>
        <w:t xml:space="preserve">026</w:t>
      </w:r>
      <w:r w:rsidDel="00000000" w:rsidR="00000000" w:rsidRPr="00000000">
        <w:rPr>
          <w:rFonts w:ascii="Palatino Linotype" w:cs="Palatino Linotype" w:eastAsia="Palatino Linotype" w:hAnsi="Palatino Linotype"/>
          <w:rtl w:val="0"/>
        </w:rPr>
        <w:t xml:space="preserve">/2025, LUS/</w:t>
      </w:r>
      <w:r w:rsidDel="00000000" w:rsidR="00000000" w:rsidRPr="00000000">
        <w:rPr>
          <w:rFonts w:ascii="Palatino Linotype" w:cs="Palatino Linotype" w:eastAsia="Palatino Linotype" w:hAnsi="Palatino Linotype"/>
          <w:b w:val="1"/>
          <w:rtl w:val="0"/>
        </w:rPr>
        <w:t xml:space="preserve">027</w:t>
      </w:r>
      <w:r w:rsidDel="00000000" w:rsidR="00000000" w:rsidRPr="00000000">
        <w:rPr>
          <w:rFonts w:ascii="Palatino Linotype" w:cs="Palatino Linotype" w:eastAsia="Palatino Linotype" w:hAnsi="Palatino Linotype"/>
          <w:rtl w:val="0"/>
        </w:rPr>
        <w:t xml:space="preserve">/2025, LUS/</w:t>
      </w:r>
      <w:r w:rsidDel="00000000" w:rsidR="00000000" w:rsidRPr="00000000">
        <w:rPr>
          <w:rFonts w:ascii="Palatino Linotype" w:cs="Palatino Linotype" w:eastAsia="Palatino Linotype" w:hAnsi="Palatino Linotype"/>
          <w:b w:val="1"/>
          <w:rtl w:val="0"/>
        </w:rPr>
        <w:t xml:space="preserve">028</w:t>
      </w:r>
      <w:r w:rsidDel="00000000" w:rsidR="00000000" w:rsidRPr="00000000">
        <w:rPr>
          <w:rFonts w:ascii="Palatino Linotype" w:cs="Palatino Linotype" w:eastAsia="Palatino Linotype" w:hAnsi="Palatino Linotype"/>
          <w:rtl w:val="0"/>
        </w:rPr>
        <w:t xml:space="preserve">/2025, LUS/</w:t>
      </w:r>
      <w:r w:rsidDel="00000000" w:rsidR="00000000" w:rsidRPr="00000000">
        <w:rPr>
          <w:rFonts w:ascii="Palatino Linotype" w:cs="Palatino Linotype" w:eastAsia="Palatino Linotype" w:hAnsi="Palatino Linotype"/>
          <w:b w:val="1"/>
          <w:rtl w:val="0"/>
        </w:rPr>
        <w:t xml:space="preserve">029</w:t>
      </w:r>
      <w:r w:rsidDel="00000000" w:rsidR="00000000" w:rsidRPr="00000000">
        <w:rPr>
          <w:rFonts w:ascii="Palatino Linotype" w:cs="Palatino Linotype" w:eastAsia="Palatino Linotype" w:hAnsi="Palatino Linotype"/>
          <w:rtl w:val="0"/>
        </w:rPr>
        <w:t xml:space="preserve">/2025 y LUS/</w:t>
      </w:r>
      <w:r w:rsidDel="00000000" w:rsidR="00000000" w:rsidRPr="00000000">
        <w:rPr>
          <w:rFonts w:ascii="Palatino Linotype" w:cs="Palatino Linotype" w:eastAsia="Palatino Linotype" w:hAnsi="Palatino Linotype"/>
          <w:b w:val="1"/>
          <w:rtl w:val="0"/>
        </w:rPr>
        <w:t xml:space="preserve">031</w:t>
      </w:r>
      <w:r w:rsidDel="00000000" w:rsidR="00000000" w:rsidRPr="00000000">
        <w:rPr>
          <w:rFonts w:ascii="Palatino Linotype" w:cs="Palatino Linotype" w:eastAsia="Palatino Linotype" w:hAnsi="Palatino Linotype"/>
          <w:rtl w:val="0"/>
        </w:rPr>
        <w:t xml:space="preserve">/2025, expedidas por la Dirección de Desarrollo Urbano, Ecología y Fomento Agropecuario.</w:t>
      </w:r>
    </w:p>
    <w:p w:rsidR="00000000" w:rsidDel="00000000" w:rsidP="00000000" w:rsidRDefault="00000000" w:rsidRPr="00000000" w14:paraId="000000EB">
      <w:pPr>
        <w:spacing w:after="120" w:before="120" w:lineRule="auto"/>
        <w:ind w:left="28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0EC">
      <w:pPr>
        <w:spacing w:after="240" w:before="240" w:line="360" w:lineRule="auto"/>
        <w:jc w:val="both"/>
        <w:rPr>
          <w:rFonts w:ascii="Palatino Linotype" w:cs="Palatino Linotype" w:eastAsia="Palatino Linotype" w:hAnsi="Palatino Linotype"/>
        </w:rPr>
      </w:pPr>
      <w:bookmarkStart w:colFirst="0" w:colLast="0" w:name="_heading=h.hnzxsch5gysz" w:id="9"/>
      <w:bookmarkEnd w:id="9"/>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ED">
      <w:pPr>
        <w:spacing w:after="240" w:before="240" w:line="360" w:lineRule="auto"/>
        <w:jc w:val="both"/>
        <w:rPr>
          <w:rFonts w:ascii="Palatino Linotype" w:cs="Palatino Linotype" w:eastAsia="Palatino Linotype" w:hAnsi="Palatino Linotype"/>
        </w:rPr>
      </w:pPr>
      <w:bookmarkStart w:colFirst="0" w:colLast="0" w:name="_heading=h.ot3qq6vxa08f" w:id="10"/>
      <w:bookmarkEnd w:id="10"/>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EE">
      <w:pPr>
        <w:tabs>
          <w:tab w:val="left" w:leader="none" w:pos="8647"/>
        </w:tabs>
        <w:spacing w:after="240" w:before="240" w:line="360" w:lineRule="auto"/>
        <w:ind w:right="51"/>
        <w:jc w:val="both"/>
        <w:rPr>
          <w:rFonts w:ascii="Palatino Linotype" w:cs="Palatino Linotype" w:eastAsia="Palatino Linotype" w:hAnsi="Palatino Linotype"/>
        </w:rPr>
      </w:pPr>
      <w:bookmarkStart w:colFirst="0" w:colLast="0" w:name="_heading=h.lnxbz9" w:id="11"/>
      <w:bookmarkEnd w:id="11"/>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TRIGÉSIMA SEGUNDA SESIÓN ORDINARIA CELEBRADA EL DIEZ DE SEPTIEMBRE DE DOS MIL VEINTICINCO, ANTE EL SECRETARIO TÉCNICO DEL PLENO ALEXIS TAPIA RAMÍREZ.</w:t>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-1080090</wp:posOffset>
          </wp:positionH>
          <wp:positionV relativeFrom="paragraph">
            <wp:posOffset>-488261</wp:posOffset>
          </wp:positionV>
          <wp:extent cx="7809865" cy="10165715"/>
          <wp:effectExtent b="0" l="0" r="0" t="0"/>
          <wp:wrapNone/>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0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0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18"/>
              <w:szCs w:val="18"/>
              <w:rtl w:val="0"/>
            </w:rPr>
            <w:t xml:space="preserve">04094/INFOEM/ICR-118/IP/RR/2025</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0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0D">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Tultepec</w:t>
          </w:r>
        </w:p>
      </w:tc>
    </w:tr>
    <w:tr>
      <w:trPr>
        <w:cantSplit w:val="0"/>
        <w:tblHeader w:val="0"/>
      </w:trPr>
      <w:tc>
        <w:tcPr>
          <w:vAlign w:val="center"/>
        </w:tcPr>
        <w:p w:rsidR="00000000" w:rsidDel="00000000" w:rsidP="00000000" w:rsidRDefault="00000000" w:rsidRPr="00000000" w14:paraId="0000010E">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0F">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0">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-347622</wp:posOffset>
          </wp:positionV>
          <wp:extent cx="7809865" cy="10165715"/>
          <wp:effectExtent b="0" l="0" r="0" t="0"/>
          <wp:wrapNone/>
          <wp:docPr id="4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1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13">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18"/>
              <w:szCs w:val="18"/>
              <w:rtl w:val="0"/>
            </w:rPr>
            <w:t xml:space="preserve">04094/INFOEM/ICR-118/IP/RR/2025</w:t>
          </w: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15">
          <w:pPr>
            <w:ind w:right="175"/>
            <w:jc w:val="both"/>
            <w:rPr>
              <w:rFonts w:ascii="Palatino Linotype" w:cs="Palatino Linotype" w:eastAsia="Palatino Linotype" w:hAnsi="Palatino Linotype"/>
              <w:b w:val="1"/>
              <w:sz w:val="22"/>
              <w:szCs w:val="22"/>
              <w:highlight w:val="yellow"/>
            </w:rPr>
          </w:pPr>
          <w:r w:rsidDel="00000000" w:rsidR="00000000" w:rsidRPr="00000000">
            <w:rPr>
              <w:rFonts w:ascii="Palatino Linotype" w:cs="Palatino Linotype" w:eastAsia="Palatino Linotype" w:hAnsi="Palatino Linotype"/>
              <w:b w:val="1"/>
              <w:sz w:val="22"/>
              <w:szCs w:val="22"/>
              <w:rtl w:val="0"/>
            </w:rPr>
            <w:t xml:space="preserve">XXXXXXX XXXXXX XXXXX</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1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17">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Tultepec</w:t>
          </w:r>
        </w:p>
      </w:tc>
    </w:tr>
    <w:tr>
      <w:trPr>
        <w:cantSplit w:val="0"/>
        <w:tblHeader w:val="0"/>
      </w:trPr>
      <w:tc>
        <w:tcPr>
          <w:vAlign w:val="center"/>
        </w:tcPr>
        <w:p w:rsidR="00000000" w:rsidDel="00000000" w:rsidP="00000000" w:rsidRDefault="00000000" w:rsidRPr="00000000" w14:paraId="00000118">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19">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a" w:customStyle="1">
    <w:basedOn w:val="TableNormalf1"/>
    <w:tblPr>
      <w:tblStyleRowBandSize w:val="1"/>
      <w:tblStyleColBandSize w:val="1"/>
      <w:tblCellMar>
        <w:left w:w="115.0" w:type="dxa"/>
        <w:right w:w="115.0" w:type="dxa"/>
      </w:tblCellMar>
    </w:tblPr>
  </w:style>
  <w:style w:type="table" w:styleId="a0" w:customStyle="1">
    <w:basedOn w:val="TableNormalf1"/>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f1"/>
    <w:tblPr>
      <w:tblStyleRowBandSize w:val="1"/>
      <w:tblStyleColBandSize w:val="1"/>
      <w:tblCellMar>
        <w:left w:w="115.0" w:type="dxa"/>
        <w:right w:w="115.0" w:type="dxa"/>
      </w:tblCellMar>
    </w:tblPr>
  </w:style>
  <w:style w:type="table" w:styleId="a2" w:customStyle="1">
    <w:basedOn w:val="TableNormalf1"/>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f0"/>
    <w:tblPr>
      <w:tblStyleRowBandSize w:val="1"/>
      <w:tblStyleColBandSize w:val="1"/>
      <w:tblCellMar>
        <w:left w:w="115.0" w:type="dxa"/>
        <w:right w:w="115.0" w:type="dxa"/>
      </w:tblCellMar>
    </w:tblPr>
  </w:style>
  <w:style w:type="table" w:styleId="a4" w:customStyle="1">
    <w:basedOn w:val="TableNormalf0"/>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1"/>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f"/>
    <w:tblPr>
      <w:tblStyleRowBandSize w:val="1"/>
      <w:tblStyleColBandSize w:val="1"/>
      <w:tblCellMar>
        <w:left w:w="108.0" w:type="dxa"/>
        <w:right w:w="108.0" w:type="dxa"/>
      </w:tblCellMar>
    </w:tblPr>
  </w:style>
  <w:style w:type="table" w:styleId="a6" w:customStyle="1">
    <w:basedOn w:val="TableNormalf"/>
    <w:tblPr>
      <w:tblStyleRowBandSize w:val="1"/>
      <w:tblStyleColBandSize w:val="1"/>
      <w:tblCellMar>
        <w:left w:w="108.0" w:type="dxa"/>
        <w:right w:w="108.0" w:type="dxa"/>
      </w:tblCellMar>
    </w:tblPr>
  </w:style>
  <w:style w:type="table" w:styleId="a7" w:customStyle="1">
    <w:basedOn w:val="TableNormalf"/>
    <w:tblPr>
      <w:tblStyleRowBandSize w:val="1"/>
      <w:tblStyleColBandSize w:val="1"/>
      <w:tblCellMar>
        <w:left w:w="108.0" w:type="dxa"/>
        <w:right w:w="108.0" w:type="dxa"/>
      </w:tblCellMar>
    </w:tblPr>
  </w:style>
  <w:style w:type="table" w:styleId="a8" w:customStyle="1">
    <w:basedOn w:val="TableNormalf"/>
    <w:tblPr>
      <w:tblStyleRowBandSize w:val="1"/>
      <w:tblStyleColBandSize w:val="1"/>
      <w:tblCellMar>
        <w:left w:w="108.0" w:type="dxa"/>
        <w:right w:w="108.0" w:type="dxa"/>
      </w:tblCellMar>
    </w:tblPr>
  </w:style>
  <w:style w:type="table" w:styleId="a9" w:customStyle="1">
    <w:basedOn w:val="TableNormalf"/>
    <w:tblPr>
      <w:tblStyleRowBandSize w:val="1"/>
      <w:tblStyleColBandSize w:val="1"/>
      <w:tblCellMar>
        <w:left w:w="108.0" w:type="dxa"/>
        <w:right w:w="108.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e"/>
    <w:tblPr>
      <w:tblStyleRowBandSize w:val="1"/>
      <w:tblStyleColBandSize w:val="1"/>
      <w:tblCellMar>
        <w:left w:w="108.0" w:type="dxa"/>
        <w:right w:w="108.0" w:type="dxa"/>
      </w:tblCellMar>
    </w:tblPr>
  </w:style>
  <w:style w:type="table" w:styleId="ad" w:customStyle="1">
    <w:basedOn w:val="TableNormale"/>
    <w:tblPr>
      <w:tblStyleRowBandSize w:val="1"/>
      <w:tblStyleColBandSize w:val="1"/>
      <w:tblCellMar>
        <w:left w:w="115.0" w:type="dxa"/>
        <w:right w:w="115.0" w:type="dxa"/>
      </w:tblCellMar>
    </w:tblPr>
  </w:style>
  <w:style w:type="table" w:styleId="ae" w:customStyle="1">
    <w:basedOn w:val="TableNormale"/>
    <w:tblPr>
      <w:tblStyleRowBandSize w:val="1"/>
      <w:tblStyleColBandSize w:val="1"/>
      <w:tblCellMar>
        <w:left w:w="115.0" w:type="dxa"/>
        <w:right w:w="115.0" w:type="dxa"/>
      </w:tblCellMar>
    </w:tblPr>
  </w:style>
  <w:style w:type="table" w:styleId="af" w:customStyle="1">
    <w:basedOn w:val="TableNormald"/>
    <w:tblPr>
      <w:tblStyleRowBandSize w:val="1"/>
      <w:tblStyleColBandSize w:val="1"/>
      <w:tblCellMar>
        <w:left w:w="115.0" w:type="dxa"/>
        <w:right w:w="115.0" w:type="dxa"/>
      </w:tblCellMar>
    </w:tblPr>
  </w:style>
  <w:style w:type="table" w:styleId="af0" w:customStyle="1">
    <w:basedOn w:val="TableNormald"/>
    <w:tblPr>
      <w:tblStyleRowBandSize w:val="1"/>
      <w:tblStyleColBandSize w:val="1"/>
      <w:tblCellMar>
        <w:left w:w="115.0" w:type="dxa"/>
        <w:right w:w="115.0" w:type="dxa"/>
      </w:tblCellMar>
    </w:tblPr>
  </w:style>
  <w:style w:type="table" w:styleId="af1" w:customStyle="1">
    <w:basedOn w:val="TableNormald"/>
    <w:tblPr>
      <w:tblStyleRowBandSize w:val="1"/>
      <w:tblStyleColBandSize w:val="1"/>
      <w:tblCellMar>
        <w:left w:w="115.0" w:type="dxa"/>
        <w:right w:w="115.0" w:type="dxa"/>
      </w:tblCellMar>
    </w:tblPr>
  </w:style>
  <w:style w:type="table" w:styleId="af2" w:customStyle="1">
    <w:basedOn w:val="TableNormalc"/>
    <w:tblPr>
      <w:tblStyleRowBandSize w:val="1"/>
      <w:tblStyleColBandSize w:val="1"/>
      <w:tblCellMar>
        <w:left w:w="115.0" w:type="dxa"/>
        <w:right w:w="115.0" w:type="dxa"/>
      </w:tblCellMar>
    </w:tblPr>
  </w:style>
  <w:style w:type="table" w:styleId="af3" w:customStyle="1">
    <w:basedOn w:val="TableNormalc"/>
    <w:tblPr>
      <w:tblStyleRowBandSize w:val="1"/>
      <w:tblStyleColBandSize w:val="1"/>
      <w:tblCellMar>
        <w:left w:w="115.0" w:type="dxa"/>
        <w:right w:w="115.0" w:type="dxa"/>
      </w:tblCellMar>
    </w:tblPr>
  </w:style>
  <w:style w:type="table" w:styleId="af4" w:customStyle="1">
    <w:basedOn w:val="TableNormalb"/>
    <w:tblPr>
      <w:tblStyleRowBandSize w:val="1"/>
      <w:tblStyleColBandSize w:val="1"/>
      <w:tblCellMar>
        <w:left w:w="115.0" w:type="dxa"/>
        <w:right w:w="115.0" w:type="dxa"/>
      </w:tblCellMar>
    </w:tblPr>
  </w:style>
  <w:style w:type="table" w:styleId="af5" w:customStyle="1">
    <w:basedOn w:val="TableNormalb"/>
    <w:tblPr>
      <w:tblStyleRowBandSize w:val="1"/>
      <w:tblStyleColBandSize w:val="1"/>
      <w:tblCellMar>
        <w:left w:w="115.0" w:type="dxa"/>
        <w:right w:w="115.0" w:type="dxa"/>
      </w:tblCellMar>
    </w:tblPr>
  </w:style>
  <w:style w:type="table" w:styleId="af6" w:customStyle="1">
    <w:basedOn w:val="TableNormala"/>
    <w:tblPr>
      <w:tblStyleRowBandSize w:val="1"/>
      <w:tblStyleColBandSize w:val="1"/>
      <w:tblCellMar>
        <w:left w:w="115.0" w:type="dxa"/>
        <w:right w:w="115.0" w:type="dxa"/>
      </w:tblCellMar>
    </w:tblPr>
  </w:style>
  <w:style w:type="table" w:styleId="af7" w:customStyle="1">
    <w:basedOn w:val="TableNormala"/>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2C02D7"/>
    <w:rPr>
      <w:b w:val="1"/>
      <w:bCs w:val="1"/>
    </w:rPr>
  </w:style>
  <w:style w:type="character" w:styleId="object" w:customStyle="1">
    <w:name w:val="object"/>
    <w:basedOn w:val="Fuentedeprrafopredeter"/>
    <w:rsid w:val="002C02D7"/>
  </w:style>
  <w:style w:type="table" w:styleId="af8" w:customStyle="1">
    <w:basedOn w:val="TableNormal9"/>
    <w:tblPr>
      <w:tblStyleRowBandSize w:val="1"/>
      <w:tblStyleColBandSize w:val="1"/>
      <w:tblCellMar>
        <w:left w:w="115.0" w:type="dxa"/>
        <w:right w:w="115.0" w:type="dxa"/>
      </w:tblCellMar>
    </w:tblPr>
  </w:style>
  <w:style w:type="table" w:styleId="af9" w:customStyle="1">
    <w:basedOn w:val="TableNormal9"/>
    <w:tblPr>
      <w:tblStyleRowBandSize w:val="1"/>
      <w:tblStyleColBandSize w:val="1"/>
      <w:tblCellMar>
        <w:left w:w="115.0" w:type="dxa"/>
        <w:right w:w="115.0" w:type="dxa"/>
      </w:tblCellMar>
    </w:tblPr>
  </w:style>
  <w:style w:type="table" w:styleId="afa" w:customStyle="1">
    <w:basedOn w:val="TableNormal8"/>
    <w:tblPr>
      <w:tblStyleRowBandSize w:val="1"/>
      <w:tblStyleColBandSize w:val="1"/>
      <w:tblCellMar>
        <w:left w:w="115.0" w:type="dxa"/>
        <w:right w:w="115.0" w:type="dxa"/>
      </w:tblCellMar>
    </w:tblPr>
  </w:style>
  <w:style w:type="table" w:styleId="afb" w:customStyle="1">
    <w:basedOn w:val="TableNormal8"/>
    <w:tblPr>
      <w:tblStyleRowBandSize w:val="1"/>
      <w:tblStyleColBandSize w:val="1"/>
      <w:tblCellMar>
        <w:left w:w="115.0" w:type="dxa"/>
        <w:right w:w="115.0" w:type="dxa"/>
      </w:tblCellMar>
    </w:tblPr>
  </w:style>
  <w:style w:type="table" w:styleId="afc" w:customStyle="1">
    <w:basedOn w:val="TableNormal7"/>
    <w:tblPr>
      <w:tblStyleRowBandSize w:val="1"/>
      <w:tblStyleColBandSize w:val="1"/>
      <w:tblCellMar>
        <w:left w:w="115.0" w:type="dxa"/>
        <w:right w:w="115.0" w:type="dxa"/>
      </w:tblCellMar>
    </w:tblPr>
  </w:style>
  <w:style w:type="table" w:styleId="afd" w:customStyle="1">
    <w:basedOn w:val="TableNormal7"/>
    <w:tblPr>
      <w:tblStyleRowBandSize w:val="1"/>
      <w:tblStyleColBandSize w:val="1"/>
      <w:tblCellMar>
        <w:left w:w="115.0" w:type="dxa"/>
        <w:right w:w="115.0" w:type="dxa"/>
      </w:tblCellMar>
    </w:tblPr>
  </w:style>
  <w:style w:type="table" w:styleId="afe" w:customStyle="1">
    <w:basedOn w:val="TableNormal6"/>
    <w:tblPr>
      <w:tblStyleRowBandSize w:val="1"/>
      <w:tblStyleColBandSize w:val="1"/>
      <w:tblCellMar>
        <w:left w:w="115.0" w:type="dxa"/>
        <w:right w:w="115.0" w:type="dxa"/>
      </w:tblCellMar>
    </w:tblPr>
  </w:style>
  <w:style w:type="table" w:styleId="aff" w:customStyle="1">
    <w:basedOn w:val="TableNormal6"/>
    <w:tblPr>
      <w:tblStyleRowBandSize w:val="1"/>
      <w:tblStyleColBandSize w:val="1"/>
      <w:tblCellMar>
        <w:left w:w="115.0" w:type="dxa"/>
        <w:right w:w="115.0" w:type="dxa"/>
      </w:tblCellMar>
    </w:tblPr>
  </w:style>
  <w:style w:type="table" w:styleId="aff0" w:customStyle="1">
    <w:basedOn w:val="TableNormal5"/>
    <w:tblPr>
      <w:tblStyleRowBandSize w:val="1"/>
      <w:tblStyleColBandSize w:val="1"/>
      <w:tblCellMar>
        <w:left w:w="115.0" w:type="dxa"/>
        <w:right w:w="115.0" w:type="dxa"/>
      </w:tblCellMar>
    </w:tblPr>
  </w:style>
  <w:style w:type="table" w:styleId="aff1" w:customStyle="1">
    <w:basedOn w:val="TableNormal5"/>
    <w:tblPr>
      <w:tblStyleRowBandSize w:val="1"/>
      <w:tblStyleColBandSize w:val="1"/>
      <w:tblCellMar>
        <w:left w:w="115.0" w:type="dxa"/>
        <w:right w:w="115.0" w:type="dxa"/>
      </w:tblCellMar>
    </w:tblPr>
  </w:style>
  <w:style w:type="table" w:styleId="aff2" w:customStyle="1">
    <w:basedOn w:val="TableNormal4"/>
    <w:tblPr>
      <w:tblStyleRowBandSize w:val="1"/>
      <w:tblStyleColBandSize w:val="1"/>
      <w:tblCellMar>
        <w:left w:w="115.0" w:type="dxa"/>
        <w:right w:w="115.0" w:type="dxa"/>
      </w:tblCellMar>
    </w:tblPr>
  </w:style>
  <w:style w:type="table" w:styleId="aff3" w:customStyle="1">
    <w:basedOn w:val="TableNormal4"/>
    <w:tblPr>
      <w:tblStyleRowBandSize w:val="1"/>
      <w:tblStyleColBandSize w:val="1"/>
      <w:tblCellMar>
        <w:left w:w="115.0" w:type="dxa"/>
        <w:right w:w="115.0" w:type="dxa"/>
      </w:tblCellMar>
    </w:tblPr>
  </w:style>
  <w:style w:type="table" w:styleId="aff4" w:customStyle="1">
    <w:basedOn w:val="TableNormal3"/>
    <w:tblPr>
      <w:tblStyleRowBandSize w:val="1"/>
      <w:tblStyleColBandSize w:val="1"/>
      <w:tblCellMar>
        <w:left w:w="115.0" w:type="dxa"/>
        <w:right w:w="115.0" w:type="dxa"/>
      </w:tblCellMar>
    </w:tblPr>
  </w:style>
  <w:style w:type="table" w:styleId="aff5" w:customStyle="1">
    <w:basedOn w:val="TableNormal3"/>
    <w:tblPr>
      <w:tblStyleRowBandSize w:val="1"/>
      <w:tblStyleColBandSize w:val="1"/>
      <w:tblCellMar>
        <w:left w:w="115.0" w:type="dxa"/>
        <w:right w:w="115.0" w:type="dxa"/>
      </w:tblCellMar>
    </w:tblPr>
  </w:style>
  <w:style w:type="table" w:styleId="aff6" w:customStyle="1">
    <w:basedOn w:val="TableNormal2"/>
    <w:tblPr>
      <w:tblStyleRowBandSize w:val="1"/>
      <w:tblStyleColBandSize w:val="1"/>
      <w:tblCellMar>
        <w:left w:w="115.0" w:type="dxa"/>
        <w:right w:w="115.0" w:type="dxa"/>
      </w:tblCellMar>
    </w:tblPr>
  </w:style>
  <w:style w:type="table" w:styleId="aff7" w:customStyle="1">
    <w:basedOn w:val="TableNormal2"/>
    <w:tblPr>
      <w:tblStyleRowBandSize w:val="1"/>
      <w:tblStyleColBandSize w:val="1"/>
      <w:tblCellMar>
        <w:left w:w="115.0" w:type="dxa"/>
        <w:right w:w="115.0" w:type="dxa"/>
      </w:tblCellMar>
    </w:tblPr>
  </w:style>
  <w:style w:type="table" w:styleId="aff8" w:customStyle="1">
    <w:basedOn w:val="TableNormal1"/>
    <w:tblPr>
      <w:tblStyleRowBandSize w:val="1"/>
      <w:tblStyleColBandSize w:val="1"/>
      <w:tblCellMar>
        <w:left w:w="115.0" w:type="dxa"/>
        <w:right w:w="115.0" w:type="dxa"/>
      </w:tblCellMar>
    </w:tblPr>
  </w:style>
  <w:style w:type="table" w:styleId="aff9" w:customStyle="1">
    <w:basedOn w:val="TableNormal1"/>
    <w:tblPr>
      <w:tblStyleRowBandSize w:val="1"/>
      <w:tblStyleColBandSize w:val="1"/>
      <w:tblCellMar>
        <w:left w:w="115.0" w:type="dxa"/>
        <w:right w:w="115.0" w:type="dxa"/>
      </w:tblCellMar>
    </w:tblPr>
  </w:style>
  <w:style w:type="table" w:styleId="affa" w:customStyle="1">
    <w:basedOn w:val="TableNormal0"/>
    <w:tblPr>
      <w:tblStyleRowBandSize w:val="1"/>
      <w:tblStyleColBandSize w:val="1"/>
      <w:tblCellMar>
        <w:left w:w="115.0" w:type="dxa"/>
        <w:right w:w="115.0" w:type="dxa"/>
      </w:tblCellMar>
    </w:tblPr>
  </w:style>
  <w:style w:type="table" w:styleId="affb"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image" Target="media/image9.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kgpKZsxl38vIXWlwz5ugYW3yQ==">CgMxLjAyCWguM3JkY3JqbjIOaC5kYWozajJ4bzZxNjYyCGguZ2pkZ3hzMgloLjNkeTZ2a20yCWguMzBqMHpsbDIJaC4yczhleW8xMgloLjN6bnlzaDcyCWguMmV0OTJwMDIJaC4xdDNoNXNmMg5oLmhuenhzY2g1Z3lzejIOaC5vdDNxcTZ2eGEwOGYyCGgubG54Yno5OAByITF3M2xkUWdxd2U2ZkYtODVkNjUydzk2NDd3ODhEbkppQg==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2025-10-06T16:01:00Z</dcterms:created>
  <dc:creator>USUARIO</dc:creator>
</cp:coreProperties>
</file>