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29" w:rsidRPr="00CD52F1" w:rsidRDefault="005A71E5" w:rsidP="00DA13B7">
      <w:pPr>
        <w:spacing w:line="360" w:lineRule="auto"/>
        <w:ind w:right="-28"/>
        <w:jc w:val="both"/>
        <w:rPr>
          <w:rFonts w:ascii="Palatino Linotype" w:eastAsia="Palatino Linotype" w:hAnsi="Palatino Linotype" w:cs="Palatino Linotype"/>
          <w:color w:val="000000" w:themeColor="text1"/>
        </w:rPr>
      </w:pPr>
      <w:bookmarkStart w:id="0" w:name="_GoBack"/>
      <w:bookmarkEnd w:id="0"/>
      <w:r w:rsidRPr="00CD52F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D52F1">
        <w:rPr>
          <w:rFonts w:ascii="Palatino Linotype" w:eastAsia="Palatino Linotype" w:hAnsi="Palatino Linotype" w:cs="Palatino Linotype"/>
          <w:b/>
          <w:color w:val="000000" w:themeColor="text1"/>
        </w:rPr>
        <w:t xml:space="preserve">de fecha </w:t>
      </w:r>
      <w:r w:rsidR="00DA13B7" w:rsidRPr="00CD52F1">
        <w:rPr>
          <w:rFonts w:ascii="Palatino Linotype" w:eastAsia="Palatino Linotype" w:hAnsi="Palatino Linotype" w:cs="Palatino Linotype"/>
          <w:b/>
          <w:color w:val="000000" w:themeColor="text1"/>
        </w:rPr>
        <w:t xml:space="preserve">trece </w:t>
      </w:r>
      <w:r w:rsidRPr="00CD52F1">
        <w:rPr>
          <w:rFonts w:ascii="Palatino Linotype" w:eastAsia="Palatino Linotype" w:hAnsi="Palatino Linotype" w:cs="Palatino Linotype"/>
          <w:b/>
          <w:color w:val="000000" w:themeColor="text1"/>
        </w:rPr>
        <w:t>(13) de agosto de dos mil veinticinco.</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spacing w:line="360" w:lineRule="auto"/>
        <w:ind w:right="-28"/>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b/>
          <w:color w:val="000000" w:themeColor="text1"/>
        </w:rPr>
        <w:t>VISTO</w:t>
      </w:r>
      <w:r w:rsidRPr="00CD52F1">
        <w:rPr>
          <w:rFonts w:ascii="Palatino Linotype" w:eastAsia="Palatino Linotype" w:hAnsi="Palatino Linotype" w:cs="Palatino Linotype"/>
          <w:color w:val="000000" w:themeColor="text1"/>
        </w:rPr>
        <w:t xml:space="preserve"> el expediente electrónico formado con motivo del recurso de revisión </w:t>
      </w:r>
      <w:r w:rsidRPr="00CD52F1">
        <w:rPr>
          <w:rFonts w:ascii="Palatino Linotype" w:eastAsia="Palatino Linotype" w:hAnsi="Palatino Linotype" w:cs="Palatino Linotype"/>
          <w:b/>
          <w:color w:val="000000" w:themeColor="text1"/>
        </w:rPr>
        <w:t xml:space="preserve">06688/INFOEM/IP/RR/2025, </w:t>
      </w:r>
      <w:r w:rsidRPr="00CD52F1">
        <w:rPr>
          <w:rFonts w:ascii="Palatino Linotype" w:eastAsia="Palatino Linotype" w:hAnsi="Palatino Linotype" w:cs="Palatino Linotype"/>
          <w:color w:val="000000" w:themeColor="text1"/>
        </w:rPr>
        <w:t xml:space="preserve">promovido por </w:t>
      </w:r>
      <w:r w:rsidRPr="00CD52F1">
        <w:rPr>
          <w:rFonts w:ascii="Palatino Linotype" w:eastAsia="Palatino Linotype" w:hAnsi="Palatino Linotype" w:cs="Palatino Linotype"/>
          <w:b/>
          <w:color w:val="000000" w:themeColor="text1"/>
        </w:rPr>
        <w:t>una persona que no proporciona datos de identificación</w:t>
      </w:r>
      <w:r w:rsidRPr="00CD52F1">
        <w:rPr>
          <w:rFonts w:ascii="Palatino Linotype" w:eastAsia="Palatino Linotype" w:hAnsi="Palatino Linotype" w:cs="Palatino Linotype"/>
          <w:color w:val="000000" w:themeColor="text1"/>
        </w:rPr>
        <w:t xml:space="preserve">, a quien en lo sucesivo se le identificará como la parte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en contra de la respuesta del </w:t>
      </w:r>
      <w:r w:rsidRPr="00CD52F1">
        <w:rPr>
          <w:rFonts w:ascii="Palatino Linotype" w:eastAsia="Palatino Linotype" w:hAnsi="Palatino Linotype" w:cs="Palatino Linotype"/>
          <w:b/>
          <w:color w:val="000000" w:themeColor="text1"/>
        </w:rPr>
        <w:t xml:space="preserve">Ayuntamiento de Calimaya, </w:t>
      </w:r>
      <w:r w:rsidRPr="00CD52F1">
        <w:rPr>
          <w:rFonts w:ascii="Palatino Linotype" w:eastAsia="Palatino Linotype" w:hAnsi="Palatino Linotype" w:cs="Palatino Linotype"/>
          <w:color w:val="000000" w:themeColor="text1"/>
        </w:rPr>
        <w:t>en lo sucesivo el</w:t>
      </w:r>
      <w:r w:rsidRPr="00CD52F1">
        <w:rPr>
          <w:rFonts w:ascii="Palatino Linotype" w:eastAsia="Palatino Linotype" w:hAnsi="Palatino Linotype" w:cs="Palatino Linotype"/>
          <w:b/>
          <w:color w:val="000000" w:themeColor="text1"/>
        </w:rPr>
        <w:t xml:space="preserve"> SUJETO OBLIGADO</w:t>
      </w:r>
      <w:r w:rsidRPr="00CD52F1">
        <w:rPr>
          <w:rFonts w:ascii="Palatino Linotype" w:eastAsia="Palatino Linotype" w:hAnsi="Palatino Linotype" w:cs="Palatino Linotype"/>
          <w:color w:val="000000" w:themeColor="text1"/>
        </w:rPr>
        <w:t>, por lo que se procede a dictar la presente resolución, con base en los siguientes:</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keepNext/>
        <w:keepLines/>
        <w:spacing w:line="360" w:lineRule="auto"/>
        <w:ind w:right="-28"/>
        <w:jc w:val="center"/>
        <w:rPr>
          <w:rFonts w:ascii="Palatino Linotype" w:eastAsia="Palatino Linotype" w:hAnsi="Palatino Linotype" w:cs="Palatino Linotype"/>
          <w:b/>
          <w:color w:val="000000" w:themeColor="text1"/>
        </w:rPr>
      </w:pPr>
      <w:bookmarkStart w:id="1" w:name="_heading=h.dzwfnpiw8b82" w:colFirst="0" w:colLast="0"/>
      <w:bookmarkEnd w:id="1"/>
      <w:r w:rsidRPr="00CD52F1">
        <w:rPr>
          <w:rFonts w:ascii="Palatino Linotype" w:eastAsia="Palatino Linotype" w:hAnsi="Palatino Linotype" w:cs="Palatino Linotype"/>
          <w:b/>
          <w:color w:val="000000" w:themeColor="text1"/>
        </w:rPr>
        <w:t>A</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N</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T</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E</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C</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E</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D</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E</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N</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T</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E</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S</w:t>
      </w:r>
    </w:p>
    <w:p w:rsidR="00CE6629" w:rsidRPr="00CD52F1" w:rsidRDefault="00CE6629" w:rsidP="00DA13B7">
      <w:pPr>
        <w:spacing w:line="360" w:lineRule="auto"/>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tabs>
          <w:tab w:val="left" w:pos="0"/>
        </w:tabs>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El </w:t>
      </w:r>
      <w:r w:rsidRPr="00CD52F1">
        <w:rPr>
          <w:rFonts w:ascii="Palatino Linotype" w:eastAsia="Palatino Linotype" w:hAnsi="Palatino Linotype" w:cs="Palatino Linotype"/>
          <w:b/>
          <w:color w:val="000000" w:themeColor="text1"/>
        </w:rPr>
        <w:t>veinte de mayo de dos mil veinticinco</w:t>
      </w:r>
      <w:r w:rsidRPr="00CD52F1">
        <w:rPr>
          <w:rFonts w:ascii="Palatino Linotype" w:eastAsia="Palatino Linotype" w:hAnsi="Palatino Linotype" w:cs="Palatino Linotype"/>
          <w:color w:val="000000" w:themeColor="text1"/>
        </w:rPr>
        <w:t>, el</w:t>
      </w:r>
      <w:r w:rsidRPr="00CD52F1">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color w:val="000000" w:themeColor="text1"/>
        </w:rPr>
        <w:t>solicitante</w:t>
      </w:r>
      <w:r w:rsidRPr="00CD52F1">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color w:val="000000" w:themeColor="text1"/>
        </w:rPr>
        <w:t>presentó</w:t>
      </w:r>
      <w:r w:rsidRPr="00CD52F1">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color w:val="000000" w:themeColor="text1"/>
        </w:rPr>
        <w:t xml:space="preserve">ante 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CD52F1">
        <w:rPr>
          <w:rFonts w:ascii="Palatino Linotype" w:eastAsia="Palatino Linotype" w:hAnsi="Palatino Linotype" w:cs="Palatino Linotype"/>
          <w:b/>
          <w:color w:val="000000" w:themeColor="text1"/>
        </w:rPr>
        <w:t>00269/CALIMAYA/IP/2025</w:t>
      </w:r>
      <w:r w:rsidRPr="00CD52F1">
        <w:rPr>
          <w:rFonts w:ascii="Palatino Linotype" w:eastAsia="Palatino Linotype" w:hAnsi="Palatino Linotype" w:cs="Palatino Linotype"/>
          <w:color w:val="000000" w:themeColor="text1"/>
        </w:rPr>
        <w:t xml:space="preserve">, </w:t>
      </w:r>
      <w:r w:rsidR="00D8422C">
        <w:rPr>
          <w:rFonts w:ascii="Palatino Linotype" w:eastAsia="Palatino Linotype" w:hAnsi="Palatino Linotype" w:cs="Palatino Linotype"/>
          <w:color w:val="000000" w:themeColor="text1"/>
        </w:rPr>
        <w:t>en la que</w:t>
      </w:r>
      <w:r w:rsidRPr="00CD52F1">
        <w:rPr>
          <w:rFonts w:ascii="Palatino Linotype" w:eastAsia="Palatino Linotype" w:hAnsi="Palatino Linotype" w:cs="Palatino Linotype"/>
          <w:color w:val="000000" w:themeColor="text1"/>
        </w:rPr>
        <w:t xml:space="preserve"> se solicitó:</w:t>
      </w:r>
    </w:p>
    <w:p w:rsidR="00CE6629" w:rsidRPr="00CD52F1" w:rsidRDefault="00CE6629" w:rsidP="00DA13B7">
      <w:pPr>
        <w:pBdr>
          <w:top w:val="nil"/>
          <w:left w:val="nil"/>
          <w:bottom w:val="nil"/>
          <w:right w:val="nil"/>
          <w:between w:val="nil"/>
        </w:pBdr>
        <w:tabs>
          <w:tab w:val="left" w:pos="1005"/>
        </w:tabs>
        <w:ind w:right="-28"/>
        <w:jc w:val="both"/>
        <w:rPr>
          <w:rFonts w:ascii="Palatino Linotype" w:eastAsia="Palatino Linotype" w:hAnsi="Palatino Linotype" w:cs="Palatino Linotype"/>
          <w:b/>
          <w:i/>
          <w:color w:val="000000" w:themeColor="text1"/>
        </w:rPr>
      </w:pPr>
    </w:p>
    <w:p w:rsidR="00CE6629" w:rsidRPr="00CD52F1" w:rsidRDefault="005A71E5" w:rsidP="00DA13B7">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“La información pública sobre el sueldo mensual del presidente municipal, todos los regidores, la sindico y la secretaria del Ayuntamiento.”. (Sic.)</w:t>
      </w:r>
    </w:p>
    <w:p w:rsidR="00CE6629" w:rsidRDefault="00CE6629" w:rsidP="00DA13B7">
      <w:pPr>
        <w:tabs>
          <w:tab w:val="left" w:pos="2253"/>
        </w:tabs>
        <w:ind w:right="-28"/>
        <w:jc w:val="both"/>
        <w:rPr>
          <w:rFonts w:ascii="Palatino Linotype" w:eastAsia="Palatino Linotype" w:hAnsi="Palatino Linotype" w:cs="Palatino Linotype"/>
          <w:i/>
          <w:color w:val="000000" w:themeColor="text1"/>
        </w:rPr>
      </w:pPr>
    </w:p>
    <w:p w:rsidR="00D8422C" w:rsidRPr="00CD52F1" w:rsidRDefault="00D8422C" w:rsidP="00DA13B7">
      <w:pPr>
        <w:tabs>
          <w:tab w:val="left" w:pos="2253"/>
        </w:tabs>
        <w:ind w:right="-28"/>
        <w:jc w:val="both"/>
        <w:rPr>
          <w:rFonts w:ascii="Palatino Linotype" w:eastAsia="Palatino Linotype" w:hAnsi="Palatino Linotype" w:cs="Palatino Linotype"/>
          <w:i/>
          <w:color w:val="000000" w:themeColor="text1"/>
        </w:rPr>
      </w:pPr>
    </w:p>
    <w:p w:rsidR="00CE6629" w:rsidRPr="00CD52F1" w:rsidRDefault="005A71E5" w:rsidP="00DA13B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Se hace constar que se señaló como modalidad de entrega de la información a través de </w:t>
      </w:r>
      <w:r w:rsidRPr="00CD52F1">
        <w:rPr>
          <w:rFonts w:ascii="Palatino Linotype" w:eastAsia="Palatino Linotype" w:hAnsi="Palatino Linotype" w:cs="Palatino Linotype"/>
          <w:b/>
          <w:color w:val="000000" w:themeColor="text1"/>
        </w:rPr>
        <w:t>SAIMEX.</w:t>
      </w:r>
    </w:p>
    <w:p w:rsidR="00CE6629" w:rsidRPr="00CD52F1" w:rsidRDefault="00CE6629" w:rsidP="00DA13B7">
      <w:pPr>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tabs>
          <w:tab w:val="left" w:pos="0"/>
        </w:tabs>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El </w:t>
      </w:r>
      <w:r w:rsidRPr="00CD52F1">
        <w:rPr>
          <w:rFonts w:ascii="Palatino Linotype" w:eastAsia="Palatino Linotype" w:hAnsi="Palatino Linotype" w:cs="Palatino Linotype"/>
          <w:b/>
          <w:color w:val="000000" w:themeColor="text1"/>
        </w:rPr>
        <w:t>tres de junio de dos mil veinticinco</w:t>
      </w:r>
      <w:r w:rsidRPr="00CD52F1">
        <w:rPr>
          <w:rFonts w:ascii="Palatino Linotype" w:eastAsia="Palatino Linotype" w:hAnsi="Palatino Linotype" w:cs="Palatino Linotype"/>
          <w:color w:val="000000" w:themeColor="text1"/>
        </w:rPr>
        <w:t>, el Sujeto Obligado dio respuesta a la solicitud de información en el siguiente sentido:</w:t>
      </w:r>
    </w:p>
    <w:p w:rsidR="00CE6629" w:rsidRPr="00CD52F1" w:rsidRDefault="00CE6629" w:rsidP="00DA13B7">
      <w:pPr>
        <w:tabs>
          <w:tab w:val="left" w:pos="0"/>
        </w:tabs>
        <w:ind w:right="-28"/>
        <w:jc w:val="both"/>
        <w:rPr>
          <w:rFonts w:ascii="Palatino Linotype" w:eastAsia="Palatino Linotype" w:hAnsi="Palatino Linotype" w:cs="Palatino Linotype"/>
          <w:color w:val="000000" w:themeColor="text1"/>
        </w:rPr>
      </w:pPr>
    </w:p>
    <w:p w:rsidR="00CE6629" w:rsidRPr="00CD52F1" w:rsidRDefault="005A71E5" w:rsidP="00DA13B7">
      <w:pPr>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lastRenderedPageBreak/>
        <w:t>“ESTIMADO SOLICITANTE: EN ATENCIÓN A SU SOLICITUD DE INFORMACIÓN CON NÚMERO DE FOLIO 00269/CALIMAYA/IP/2025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PMC/MT/0431/2025 (TESORERÍA MUNICIPAL), SE DIO RESPUESTA A LA SOLICITUD CON NÚMERO DE FOLIO 00269/CALIMAYA/IP/2025, SE ADJUNTA EL OFICIO DE RESPUESTA, CON SUS ANEXOS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USTED.(Sic)</w:t>
      </w:r>
    </w:p>
    <w:p w:rsidR="00CE6629" w:rsidRPr="00CD52F1" w:rsidRDefault="00CE6629" w:rsidP="00DA13B7">
      <w:pPr>
        <w:tabs>
          <w:tab w:val="left" w:pos="0"/>
        </w:tabs>
        <w:spacing w:line="360" w:lineRule="auto"/>
        <w:ind w:right="-28"/>
        <w:jc w:val="both"/>
        <w:rPr>
          <w:rFonts w:ascii="Palatino Linotype" w:eastAsia="Palatino Linotype" w:hAnsi="Palatino Linotype" w:cs="Palatino Linotype"/>
          <w:color w:val="000000" w:themeColor="text1"/>
        </w:rPr>
      </w:pPr>
      <w:bookmarkStart w:id="2" w:name="_heading=h.fwkpf61w69tg" w:colFirst="0" w:colLast="0"/>
      <w:bookmarkEnd w:id="2"/>
    </w:p>
    <w:p w:rsidR="00CE6629" w:rsidRPr="00CD52F1" w:rsidRDefault="005A71E5" w:rsidP="00DA13B7">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D52F1">
        <w:rPr>
          <w:rFonts w:ascii="Palatino Linotype" w:eastAsia="Palatino Linotype" w:hAnsi="Palatino Linotype" w:cs="Palatino Linotype"/>
          <w:color w:val="000000" w:themeColor="text1"/>
        </w:rPr>
        <w:t>Se adjuntaron los siguientes archivos electrónicos:</w:t>
      </w:r>
    </w:p>
    <w:p w:rsidR="00CE6629" w:rsidRPr="00CD52F1" w:rsidRDefault="005A71E5" w:rsidP="00DA13B7">
      <w:pPr>
        <w:numPr>
          <w:ilvl w:val="1"/>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i/>
          <w:color w:val="000000" w:themeColor="text1"/>
        </w:rPr>
      </w:pPr>
      <w:r w:rsidRPr="00CD52F1">
        <w:rPr>
          <w:rFonts w:ascii="Palatino Linotype" w:eastAsia="Palatino Linotype" w:hAnsi="Palatino Linotype" w:cs="Palatino Linotype"/>
          <w:b/>
          <w:color w:val="000000" w:themeColor="text1"/>
        </w:rPr>
        <w:t xml:space="preserve">Oficio 269.pdf: </w:t>
      </w:r>
      <w:r w:rsidRPr="00CD52F1">
        <w:rPr>
          <w:rFonts w:ascii="Palatino Linotype" w:eastAsia="Palatino Linotype" w:hAnsi="Palatino Linotype" w:cs="Palatino Linotype"/>
          <w:color w:val="000000" w:themeColor="text1"/>
        </w:rPr>
        <w:t>Oficio PMC/TM/0431/2025, de fecha dos de junio de dos mil veinticinco, suscrito por el Tesorero Municipal, mediante el cual refiere lo siguiente:</w:t>
      </w:r>
    </w:p>
    <w:p w:rsidR="00CE6629" w:rsidRPr="00CD52F1" w:rsidRDefault="005A71E5" w:rsidP="00DA13B7">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se hace mención que el Pleno del Instituto Nacional de Transparencia, Acceso a la Información y Protección de datos (INAHI) ha emitido los criterios de interpretación referente al: 3/19: Periodo de búsqueda de la información. Cuando la persona solicitante no señale el periodo respecto del cual requiere la información se considerará que el requerimiento se refiere al año inmediato anterior, contado a partir de la fecha de recepción de la solicitud; Por lo cual se anexa de manera física la relación de la información solicitada de los servidores públicos antes mencionados que formaron parte del Ayuntamiento de Calimaya en el ejercicio fiscal 2024…</w:t>
      </w:r>
    </w:p>
    <w:p w:rsidR="00CE6629" w:rsidRPr="00CD52F1" w:rsidRDefault="00CE6629" w:rsidP="00DA13B7">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CE6629" w:rsidRPr="00CD52F1" w:rsidRDefault="005A71E5" w:rsidP="00DA13B7">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A su vez, se hace mención, que la información entregada por esta área es única y exclusivamente para la entrega y cumplimiento de la solicitud de información turnada al área a su digno cargo, por lo que el manejo y mal uso posterior a la entrega, de dicha información no es competente ni responsabilidad de esta área que dignamente represento…(Sic)”</w:t>
      </w:r>
    </w:p>
    <w:p w:rsidR="00CE6629" w:rsidRPr="00CD52F1" w:rsidRDefault="00CE6629" w:rsidP="00DA13B7">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rsidR="00CE6629" w:rsidRPr="00CD52F1" w:rsidRDefault="005A71E5" w:rsidP="00DA13B7">
      <w:pPr>
        <w:numPr>
          <w:ilvl w:val="1"/>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i/>
          <w:color w:val="000000" w:themeColor="text1"/>
        </w:rPr>
      </w:pPr>
      <w:r w:rsidRPr="00CD52F1">
        <w:rPr>
          <w:rFonts w:ascii="Palatino Linotype" w:eastAsia="Palatino Linotype" w:hAnsi="Palatino Linotype" w:cs="Palatino Linotype"/>
          <w:b/>
          <w:color w:val="000000" w:themeColor="text1"/>
        </w:rPr>
        <w:lastRenderedPageBreak/>
        <w:t xml:space="preserve">00269CALIMAYAIP2025.pdf: </w:t>
      </w:r>
      <w:r w:rsidRPr="00CD52F1">
        <w:rPr>
          <w:rFonts w:ascii="Palatino Linotype" w:eastAsia="Palatino Linotype" w:hAnsi="Palatino Linotype" w:cs="Palatino Linotype"/>
          <w:color w:val="000000" w:themeColor="text1"/>
        </w:rPr>
        <w:t>Constante de una foja en el que se aprecia el Nombre completo, Cargo, Dietas y Sueldo Base de los 7 Regidores, Sindico, Secretario del Ayuntamiento; así como del Presidente Municipal.</w:t>
      </w:r>
    </w:p>
    <w:p w:rsidR="00CE6629" w:rsidRPr="00CD52F1" w:rsidRDefault="00CE6629" w:rsidP="00DA13B7">
      <w:pPr>
        <w:spacing w:line="360" w:lineRule="auto"/>
        <w:ind w:right="-28"/>
        <w:rPr>
          <w:rFonts w:ascii="Palatino Linotype" w:eastAsia="Palatino Linotype" w:hAnsi="Palatino Linotype" w:cs="Palatino Linotype"/>
          <w:i/>
          <w:color w:val="000000" w:themeColor="text1"/>
        </w:rPr>
      </w:pPr>
    </w:p>
    <w:p w:rsidR="00CE6629" w:rsidRPr="00CD52F1" w:rsidRDefault="005A71E5" w:rsidP="00D8422C">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El </w:t>
      </w:r>
      <w:r w:rsidRPr="00CD52F1">
        <w:rPr>
          <w:rFonts w:ascii="Palatino Linotype" w:eastAsia="Palatino Linotype" w:hAnsi="Palatino Linotype" w:cs="Palatino Linotype"/>
          <w:b/>
          <w:color w:val="000000" w:themeColor="text1"/>
        </w:rPr>
        <w:t>siete de junio de dos mil veinticinco</w:t>
      </w:r>
      <w:r w:rsidRPr="00CD52F1">
        <w:rPr>
          <w:rFonts w:ascii="Palatino Linotype" w:eastAsia="Palatino Linotype" w:hAnsi="Palatino Linotype" w:cs="Palatino Linotype"/>
          <w:color w:val="000000" w:themeColor="text1"/>
        </w:rPr>
        <w:t xml:space="preserve">, el solicitante interpuso recurso de revisión en la solicitud de información </w:t>
      </w:r>
      <w:r w:rsidRPr="00CD52F1">
        <w:rPr>
          <w:rFonts w:ascii="Palatino Linotype" w:eastAsia="Palatino Linotype" w:hAnsi="Palatino Linotype" w:cs="Palatino Linotype"/>
          <w:b/>
          <w:color w:val="000000" w:themeColor="text1"/>
        </w:rPr>
        <w:t xml:space="preserve">00269/CALIMAYA/IP/2025, </w:t>
      </w:r>
      <w:r w:rsidRPr="00CD52F1">
        <w:rPr>
          <w:rFonts w:ascii="Palatino Linotype" w:eastAsia="Palatino Linotype" w:hAnsi="Palatino Linotype" w:cs="Palatino Linotype"/>
          <w:color w:val="000000" w:themeColor="text1"/>
        </w:rPr>
        <w:t xml:space="preserve">en contra de las respuestas emitidas por 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señalando las siguientes razones o motivos de inconformidad:</w:t>
      </w:r>
    </w:p>
    <w:p w:rsidR="00CE6629" w:rsidRPr="00CD52F1" w:rsidRDefault="00CE6629" w:rsidP="00DA13B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CE6629" w:rsidRPr="00D8422C" w:rsidRDefault="005A71E5" w:rsidP="00D8422C">
      <w:pPr>
        <w:pStyle w:val="Prrafodelista"/>
        <w:numPr>
          <w:ilvl w:val="0"/>
          <w:numId w:val="4"/>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D8422C">
        <w:rPr>
          <w:rFonts w:ascii="Palatino Linotype" w:eastAsia="Palatino Linotype" w:hAnsi="Palatino Linotype" w:cs="Palatino Linotype"/>
          <w:b/>
          <w:color w:val="000000" w:themeColor="text1"/>
          <w:sz w:val="24"/>
        </w:rPr>
        <w:t>Acto Impugnado</w:t>
      </w:r>
    </w:p>
    <w:p w:rsidR="00CE6629" w:rsidRPr="00CD52F1" w:rsidRDefault="005A71E5" w:rsidP="00D8422C">
      <w:pPr>
        <w:pBdr>
          <w:top w:val="nil"/>
          <w:left w:val="nil"/>
          <w:bottom w:val="nil"/>
          <w:right w:val="nil"/>
          <w:between w:val="nil"/>
        </w:pBdr>
        <w:spacing w:line="360" w:lineRule="auto"/>
        <w:ind w:left="426"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“La solicitud con folio 00269/CALIMAYA/IP/2025” (Sic.)</w:t>
      </w:r>
    </w:p>
    <w:p w:rsidR="00CE6629" w:rsidRPr="00D8422C" w:rsidRDefault="005A71E5" w:rsidP="00D8422C">
      <w:pPr>
        <w:pStyle w:val="Prrafodelista"/>
        <w:numPr>
          <w:ilvl w:val="0"/>
          <w:numId w:val="4"/>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D8422C">
        <w:rPr>
          <w:rFonts w:ascii="Palatino Linotype" w:eastAsia="Palatino Linotype" w:hAnsi="Palatino Linotype" w:cs="Palatino Linotype"/>
          <w:b/>
          <w:color w:val="000000" w:themeColor="text1"/>
          <w:sz w:val="24"/>
        </w:rPr>
        <w:t>Razones o Motivos de la Inconformidad</w:t>
      </w:r>
    </w:p>
    <w:p w:rsidR="00CE6629" w:rsidRPr="00CD52F1" w:rsidRDefault="005A71E5" w:rsidP="00D8422C">
      <w:pPr>
        <w:pBdr>
          <w:top w:val="nil"/>
          <w:left w:val="nil"/>
          <w:bottom w:val="nil"/>
          <w:right w:val="nil"/>
          <w:between w:val="nil"/>
        </w:pBdr>
        <w:spacing w:line="360" w:lineRule="auto"/>
        <w:ind w:left="284"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“La información pública entregada del folio 00269/CALIMAYA/IP/2025 no trae sello, firma o es un documento oficial” (Sic.)</w:t>
      </w:r>
    </w:p>
    <w:p w:rsidR="00CE6629" w:rsidRPr="00CD52F1" w:rsidRDefault="00CE6629" w:rsidP="00DA13B7">
      <w:pPr>
        <w:spacing w:line="360" w:lineRule="auto"/>
        <w:ind w:right="-28"/>
        <w:jc w:val="both"/>
        <w:rPr>
          <w:rFonts w:ascii="Palatino Linotype" w:eastAsia="Palatino Linotype" w:hAnsi="Palatino Linotype" w:cs="Palatino Linotype"/>
          <w:i/>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CD52F1">
        <w:rPr>
          <w:rFonts w:ascii="Palatino Linotype" w:eastAsia="Palatino Linotype" w:hAnsi="Palatino Linotype" w:cs="Palatino Linotype"/>
          <w:b/>
          <w:color w:val="000000" w:themeColor="text1"/>
        </w:rPr>
        <w:t>Comisionada María del Rosario Mejía Ayala</w:t>
      </w:r>
      <w:r w:rsidR="00151AB7">
        <w:rPr>
          <w:rFonts w:ascii="Palatino Linotype" w:eastAsia="Palatino Linotype" w:hAnsi="Palatino Linotype" w:cs="Palatino Linotype"/>
          <w:b/>
          <w:color w:val="000000" w:themeColor="text1"/>
        </w:rPr>
        <w:t>,</w:t>
      </w:r>
      <w:r w:rsidRPr="00CD52F1">
        <w:rPr>
          <w:rFonts w:ascii="Palatino Linotype" w:eastAsia="Palatino Linotype" w:hAnsi="Palatino Linotype" w:cs="Palatino Linotype"/>
          <w:color w:val="000000" w:themeColor="text1"/>
        </w:rPr>
        <w:t xml:space="preserve"> </w:t>
      </w:r>
      <w:r w:rsidR="00D8422C">
        <w:rPr>
          <w:rFonts w:ascii="Palatino Linotype" w:eastAsia="Palatino Linotype" w:hAnsi="Palatino Linotype" w:cs="Palatino Linotype"/>
          <w:color w:val="000000" w:themeColor="text1"/>
        </w:rPr>
        <w:t>para</w:t>
      </w:r>
      <w:r w:rsidRPr="00CD52F1">
        <w:rPr>
          <w:rFonts w:ascii="Palatino Linotype" w:eastAsia="Palatino Linotype" w:hAnsi="Palatino Linotype" w:cs="Palatino Linotype"/>
          <w:color w:val="000000" w:themeColor="text1"/>
        </w:rPr>
        <w:t xml:space="preserve"> su análisis.</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D52F1">
        <w:rPr>
          <w:rFonts w:ascii="Palatino Linotype" w:eastAsia="Palatino Linotype" w:hAnsi="Palatino Linotype" w:cs="Palatino Linotype"/>
          <w:b/>
          <w:color w:val="000000" w:themeColor="text1"/>
        </w:rPr>
        <w:t xml:space="preserve">acuerdo de admisión </w:t>
      </w:r>
      <w:r w:rsidRPr="00CD52F1">
        <w:rPr>
          <w:rFonts w:ascii="Palatino Linotype" w:eastAsia="Palatino Linotype" w:hAnsi="Palatino Linotype" w:cs="Palatino Linotype"/>
          <w:color w:val="000000" w:themeColor="text1"/>
        </w:rPr>
        <w:t xml:space="preserve">de fecha </w:t>
      </w:r>
      <w:r w:rsidRPr="00CD52F1">
        <w:rPr>
          <w:rFonts w:ascii="Palatino Linotype" w:eastAsia="Palatino Linotype" w:hAnsi="Palatino Linotype" w:cs="Palatino Linotype"/>
          <w:b/>
          <w:color w:val="000000" w:themeColor="text1"/>
        </w:rPr>
        <w:t>diez de junio de dos mil veinticinco</w:t>
      </w:r>
      <w:r w:rsidRPr="00CD52F1">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CD52F1">
        <w:rPr>
          <w:rFonts w:ascii="Palatino Linotype" w:eastAsia="Palatino Linotype" w:hAnsi="Palatino Linotype" w:cs="Palatino Linotype"/>
          <w:b/>
          <w:color w:val="000000" w:themeColor="text1"/>
        </w:rPr>
        <w:t xml:space="preserve">SUJETO OBLIGADO </w:t>
      </w:r>
      <w:r w:rsidRPr="00CD52F1">
        <w:rPr>
          <w:rFonts w:ascii="Palatino Linotype" w:eastAsia="Palatino Linotype" w:hAnsi="Palatino Linotype" w:cs="Palatino Linotype"/>
          <w:color w:val="000000" w:themeColor="text1"/>
        </w:rPr>
        <w:t>presentara el Informe Justificado procedente.</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color w:val="000000" w:themeColor="text1"/>
        </w:rPr>
        <w:lastRenderedPageBreak/>
        <w:t xml:space="preserve">De lo anterior el </w:t>
      </w:r>
      <w:r w:rsidRPr="00CD52F1">
        <w:rPr>
          <w:rFonts w:ascii="Palatino Linotype" w:eastAsia="Palatino Linotype" w:hAnsi="Palatino Linotype" w:cs="Palatino Linotype"/>
          <w:b/>
          <w:color w:val="000000" w:themeColor="text1"/>
        </w:rPr>
        <w:t xml:space="preserve">SUJETO OBLIGADO y el RECURRENTE </w:t>
      </w:r>
      <w:r w:rsidRPr="00CD52F1">
        <w:rPr>
          <w:rFonts w:ascii="Palatino Linotype" w:eastAsia="Palatino Linotype" w:hAnsi="Palatino Linotype" w:cs="Palatino Linotype"/>
          <w:color w:val="000000" w:themeColor="text1"/>
        </w:rPr>
        <w:t xml:space="preserve">dejaron de realizar manifestaciones que a su derecho conviniera y asistiera, respectivamente en el presente Recurso de Revisión. </w:t>
      </w:r>
    </w:p>
    <w:p w:rsidR="00CE6629" w:rsidRPr="00CD52F1" w:rsidRDefault="00CE6629" w:rsidP="00DA13B7">
      <w:pPr>
        <w:spacing w:line="360" w:lineRule="auto"/>
        <w:ind w:right="-28"/>
        <w:jc w:val="both"/>
        <w:rPr>
          <w:rFonts w:ascii="Palatino Linotype" w:eastAsia="Palatino Linotype" w:hAnsi="Palatino Linotype" w:cs="Palatino Linotype"/>
          <w:i/>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color w:val="000000" w:themeColor="text1"/>
        </w:rPr>
        <w:t xml:space="preserve">El </w:t>
      </w:r>
      <w:r w:rsidRPr="00CD52F1">
        <w:rPr>
          <w:rFonts w:ascii="Palatino Linotype" w:eastAsia="Palatino Linotype" w:hAnsi="Palatino Linotype" w:cs="Palatino Linotype"/>
          <w:b/>
          <w:color w:val="000000" w:themeColor="text1"/>
        </w:rPr>
        <w:t>siete de agosto de dos mil veinticinco</w:t>
      </w:r>
      <w:r w:rsidRPr="00CD52F1">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CE6629" w:rsidRPr="00CD52F1" w:rsidRDefault="00CE6629" w:rsidP="00DA13B7">
      <w:pPr>
        <w:pBdr>
          <w:top w:val="nil"/>
          <w:left w:val="nil"/>
          <w:bottom w:val="nil"/>
          <w:right w:val="nil"/>
          <w:between w:val="nil"/>
        </w:pBdr>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bookmarkStart w:id="3" w:name="_heading=h.z5sq91wuypgh" w:colFirst="0" w:colLast="0"/>
      <w:bookmarkEnd w:id="3"/>
      <w:r w:rsidRPr="00CD52F1">
        <w:rPr>
          <w:rFonts w:ascii="Palatino Linotype" w:eastAsia="Palatino Linotype" w:hAnsi="Palatino Linotype" w:cs="Palatino Linotype"/>
          <w:color w:val="000000" w:themeColor="text1"/>
        </w:rPr>
        <w:t xml:space="preserve">Finalmente, la Comisionada Ponente mediante acuerdo del </w:t>
      </w:r>
      <w:r w:rsidRPr="00CD52F1">
        <w:rPr>
          <w:rFonts w:ascii="Palatino Linotype" w:eastAsia="Palatino Linotype" w:hAnsi="Palatino Linotype" w:cs="Palatino Linotype"/>
          <w:b/>
          <w:color w:val="000000" w:themeColor="text1"/>
        </w:rPr>
        <w:t>siete de agosto de dos mil veinticinco</w:t>
      </w:r>
      <w:r w:rsidRPr="00CD52F1">
        <w:rPr>
          <w:rFonts w:ascii="Palatino Linotype" w:eastAsia="Palatino Linotype" w:hAnsi="Palatino Linotype" w:cs="Palatino Linotype"/>
          <w:color w:val="000000" w:themeColor="text1"/>
        </w:rPr>
        <w:t>, decretó el cierre de instrucción del expediente, por lo que no habiendo más que hacer constar, y-------------------------------------------------------------------------</w:t>
      </w:r>
      <w:r w:rsidR="00D8422C">
        <w:rPr>
          <w:rFonts w:ascii="Palatino Linotype" w:eastAsia="Palatino Linotype" w:hAnsi="Palatino Linotype" w:cs="Palatino Linotype"/>
          <w:color w:val="000000" w:themeColor="text1"/>
        </w:rPr>
        <w:t>----------------------------</w:t>
      </w:r>
    </w:p>
    <w:p w:rsidR="00CE6629" w:rsidRPr="00CD52F1" w:rsidRDefault="00CE6629" w:rsidP="00DA13B7">
      <w:pPr>
        <w:spacing w:line="360" w:lineRule="auto"/>
        <w:ind w:right="-28"/>
        <w:jc w:val="both"/>
        <w:rPr>
          <w:rFonts w:ascii="Palatino Linotype" w:eastAsia="Palatino Linotype" w:hAnsi="Palatino Linotype" w:cs="Palatino Linotype"/>
          <w:b/>
          <w:color w:val="000000" w:themeColor="text1"/>
          <w:u w:val="single"/>
        </w:rPr>
      </w:pPr>
    </w:p>
    <w:p w:rsidR="00CE6629" w:rsidRPr="00CD52F1" w:rsidRDefault="005A71E5" w:rsidP="00DA13B7">
      <w:pPr>
        <w:keepNext/>
        <w:keepLines/>
        <w:spacing w:line="360" w:lineRule="auto"/>
        <w:ind w:right="-28"/>
        <w:jc w:val="center"/>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b/>
          <w:color w:val="000000" w:themeColor="text1"/>
        </w:rPr>
        <w:t>C</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O</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N</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S</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I</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D</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E</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R</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A</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N</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D</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O</w:t>
      </w:r>
      <w:r w:rsidR="00D8422C">
        <w:rPr>
          <w:rFonts w:ascii="Palatino Linotype" w:eastAsia="Palatino Linotype" w:hAnsi="Palatino Linotype" w:cs="Palatino Linotype"/>
          <w:b/>
          <w:color w:val="000000" w:themeColor="text1"/>
        </w:rPr>
        <w:t xml:space="preserve"> </w:t>
      </w:r>
      <w:r w:rsidRPr="00CD52F1">
        <w:rPr>
          <w:rFonts w:ascii="Palatino Linotype" w:eastAsia="Palatino Linotype" w:hAnsi="Palatino Linotype" w:cs="Palatino Linotype"/>
          <w:b/>
          <w:color w:val="000000" w:themeColor="text1"/>
        </w:rPr>
        <w:t xml:space="preserve"> </w:t>
      </w:r>
    </w:p>
    <w:p w:rsidR="00CE6629" w:rsidRPr="00CD52F1" w:rsidRDefault="00CE6629" w:rsidP="00DA13B7">
      <w:pPr>
        <w:spacing w:line="360" w:lineRule="auto"/>
        <w:ind w:right="-28"/>
        <w:rPr>
          <w:rFonts w:ascii="Palatino Linotype" w:eastAsia="Palatino Linotype" w:hAnsi="Palatino Linotype" w:cs="Palatino Linotype"/>
          <w:color w:val="000000" w:themeColor="text1"/>
        </w:rPr>
      </w:pPr>
    </w:p>
    <w:p w:rsidR="00CE6629" w:rsidRPr="00CD52F1" w:rsidRDefault="005A71E5" w:rsidP="00DA13B7">
      <w:pPr>
        <w:keepNext/>
        <w:keepLines/>
        <w:spacing w:line="360" w:lineRule="auto"/>
        <w:ind w:right="-28"/>
        <w:rPr>
          <w:rFonts w:ascii="Palatino Linotype" w:eastAsia="Palatino Linotype" w:hAnsi="Palatino Linotype" w:cs="Palatino Linotype"/>
          <w:b/>
          <w:color w:val="000000" w:themeColor="text1"/>
        </w:rPr>
      </w:pPr>
      <w:bookmarkStart w:id="4" w:name="_heading=h.hs6kza3tefpb" w:colFirst="0" w:colLast="0"/>
      <w:bookmarkEnd w:id="4"/>
      <w:r w:rsidRPr="00CD52F1">
        <w:rPr>
          <w:rFonts w:ascii="Palatino Linotype" w:eastAsia="Palatino Linotype" w:hAnsi="Palatino Linotype" w:cs="Palatino Linotype"/>
          <w:b/>
          <w:color w:val="000000" w:themeColor="text1"/>
        </w:rPr>
        <w:t>PRIMERO. De la competencia</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D52F1">
        <w:rPr>
          <w:rFonts w:ascii="Palatino Linotype" w:eastAsia="Palatino Linotype" w:hAnsi="Palatino Linotype" w:cs="Palatino Linotype"/>
          <w:b/>
          <w:color w:val="000000" w:themeColor="text1"/>
        </w:rPr>
        <w:t>Constitución Política de los Estados Unidos Mexicanos</w:t>
      </w:r>
      <w:r w:rsidRPr="00CD52F1">
        <w:rPr>
          <w:rFonts w:ascii="Palatino Linotype" w:eastAsia="Palatino Linotype" w:hAnsi="Palatino Linotype" w:cs="Palatino Linotype"/>
          <w:color w:val="000000" w:themeColor="text1"/>
        </w:rPr>
        <w:t>; 5, párrafos trigésimo segundo, trigésimo tercero y trigésimo cuarto fracciones IV y V de la </w:t>
      </w:r>
      <w:r w:rsidRPr="00CD52F1">
        <w:rPr>
          <w:rFonts w:ascii="Palatino Linotype" w:eastAsia="Palatino Linotype" w:hAnsi="Palatino Linotype" w:cs="Palatino Linotype"/>
          <w:b/>
          <w:color w:val="000000" w:themeColor="text1"/>
        </w:rPr>
        <w:t>Constitución Política del Estado Libre y Soberano de México</w:t>
      </w:r>
      <w:r w:rsidRPr="00CD52F1">
        <w:rPr>
          <w:rFonts w:ascii="Palatino Linotype" w:eastAsia="Palatino Linotype" w:hAnsi="Palatino Linotype" w:cs="Palatino Linotype"/>
          <w:color w:val="000000" w:themeColor="text1"/>
        </w:rPr>
        <w:t>; artículos 1, 2 fracción II, 13, 29, 36 fracciones I y II, 176, 178, 179, 181 párrafo tercero y 185 de la </w:t>
      </w:r>
      <w:r w:rsidRPr="00CD52F1">
        <w:rPr>
          <w:rFonts w:ascii="Palatino Linotype" w:eastAsia="Palatino Linotype" w:hAnsi="Palatino Linotype" w:cs="Palatino Linotype"/>
          <w:b/>
          <w:color w:val="000000" w:themeColor="text1"/>
        </w:rPr>
        <w:t>Ley de Transparencia y Acceso a la Información Pública del Estado de México y Municipios</w:t>
      </w:r>
      <w:r w:rsidRPr="00CD52F1">
        <w:rPr>
          <w:rFonts w:ascii="Palatino Linotype" w:eastAsia="Palatino Linotype" w:hAnsi="Palatino Linotype" w:cs="Palatino Linotype"/>
          <w:color w:val="000000" w:themeColor="text1"/>
        </w:rPr>
        <w:t>; y 7, 9 fracciones I y XXIII, y 11 del </w:t>
      </w:r>
      <w:r w:rsidRPr="00CD52F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CD52F1">
        <w:rPr>
          <w:rFonts w:ascii="Palatino Linotype" w:eastAsia="Palatino Linotype" w:hAnsi="Palatino Linotype" w:cs="Palatino Linotype"/>
          <w:color w:val="000000" w:themeColor="text1"/>
        </w:rPr>
        <w:t>.</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keepNext/>
        <w:keepLines/>
        <w:spacing w:line="360" w:lineRule="auto"/>
        <w:ind w:right="-28"/>
        <w:rPr>
          <w:rFonts w:ascii="Palatino Linotype" w:eastAsia="Palatino Linotype" w:hAnsi="Palatino Linotype" w:cs="Palatino Linotype"/>
          <w:b/>
          <w:color w:val="000000" w:themeColor="text1"/>
        </w:rPr>
      </w:pPr>
      <w:bookmarkStart w:id="5" w:name="_heading=h.2esl5u9apsjs" w:colFirst="0" w:colLast="0"/>
      <w:bookmarkEnd w:id="5"/>
      <w:r w:rsidRPr="00CD52F1">
        <w:rPr>
          <w:rFonts w:ascii="Palatino Linotype" w:eastAsia="Palatino Linotype" w:hAnsi="Palatino Linotype" w:cs="Palatino Linotype"/>
          <w:b/>
          <w:color w:val="000000" w:themeColor="text1"/>
        </w:rPr>
        <w:lastRenderedPageBreak/>
        <w:t>SEGUNDO. De la oportunidad y procedencia.</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El medio de impugnación fue presentado a través del </w:t>
      </w:r>
      <w:r w:rsidRPr="00CD52F1">
        <w:rPr>
          <w:rFonts w:ascii="Palatino Linotype" w:eastAsia="Palatino Linotype" w:hAnsi="Palatino Linotype" w:cs="Palatino Linotype"/>
          <w:b/>
          <w:color w:val="000000" w:themeColor="text1"/>
        </w:rPr>
        <w:t>SAIMEX,</w:t>
      </w:r>
      <w:r w:rsidRPr="00CD52F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entregó respuesta a la solicitud el trece de junio de dos mil veinticinco, de tal forma que el plazo para interponer el recurso de revisión transcurrió del dieciséis de junio al cuatro de julio de dos mil veinticinco; en consecuencia, presentó su inconformidad el dieciséis de junio de dos mil veinticinco, por lo que se encuentra dentro de los márgenes temporales previstos en el artículo 178 de la </w:t>
      </w:r>
      <w:r w:rsidRPr="00CD52F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D52F1">
        <w:rPr>
          <w:rFonts w:ascii="Palatino Linotype" w:eastAsia="Palatino Linotype" w:hAnsi="Palatino Linotype" w:cs="Palatino Linotype"/>
          <w:color w:val="000000" w:themeColor="text1"/>
        </w:rPr>
        <w:t>vigente.</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6" w:name="_heading=h.qjdz2nhk2pc8" w:colFirst="0" w:colLast="0"/>
      <w:bookmarkEnd w:id="6"/>
      <w:r w:rsidRPr="00CD52F1">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keepNext/>
        <w:keepLines/>
        <w:spacing w:line="360" w:lineRule="auto"/>
        <w:ind w:right="-28"/>
        <w:rPr>
          <w:rFonts w:ascii="Palatino Linotype" w:eastAsia="Palatino Linotype" w:hAnsi="Palatino Linotype" w:cs="Palatino Linotype"/>
          <w:b/>
          <w:color w:val="000000" w:themeColor="text1"/>
        </w:rPr>
      </w:pPr>
      <w:bookmarkStart w:id="7" w:name="_heading=h.jnbcs8cigxgu" w:colFirst="0" w:colLast="0"/>
      <w:bookmarkEnd w:id="7"/>
      <w:r w:rsidRPr="00CD52F1">
        <w:rPr>
          <w:rFonts w:ascii="Palatino Linotype" w:eastAsia="Palatino Linotype" w:hAnsi="Palatino Linotype" w:cs="Palatino Linotype"/>
          <w:b/>
          <w:color w:val="000000" w:themeColor="text1"/>
        </w:rPr>
        <w:t>TERCERO. De las causales del sobreseimiento.</w:t>
      </w:r>
    </w:p>
    <w:p w:rsidR="00CE6629" w:rsidRPr="00CD52F1" w:rsidRDefault="005A71E5" w:rsidP="00DA13B7">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CD52F1">
        <w:rPr>
          <w:rFonts w:ascii="Palatino Linotype" w:eastAsia="Palatino Linotype" w:hAnsi="Palatino Linotype" w:cs="Palatino Linotype"/>
          <w:b/>
          <w:color w:val="000000" w:themeColor="text1"/>
          <w:u w:val="single"/>
        </w:rPr>
        <w:t>sobreseimiento</w:t>
      </w:r>
      <w:r w:rsidRPr="00CD52F1">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CD52F1">
        <w:rPr>
          <w:rFonts w:ascii="Palatino Linotype" w:eastAsia="Palatino Linotype" w:hAnsi="Palatino Linotype" w:cs="Palatino Linotype"/>
          <w:b/>
          <w:color w:val="000000" w:themeColor="text1"/>
        </w:rPr>
        <w:t>SUJETO</w:t>
      </w:r>
      <w:r w:rsidRPr="00CD52F1">
        <w:rPr>
          <w:rFonts w:ascii="Palatino Linotype" w:eastAsia="Palatino Linotype" w:hAnsi="Palatino Linotype" w:cs="Palatino Linotype"/>
          <w:color w:val="000000" w:themeColor="text1"/>
        </w:rPr>
        <w:t xml:space="preserve"> </w:t>
      </w:r>
      <w:r w:rsidRPr="00CD52F1">
        <w:rPr>
          <w:rFonts w:ascii="Palatino Linotype" w:eastAsia="Palatino Linotype" w:hAnsi="Palatino Linotype" w:cs="Palatino Linotype"/>
          <w:b/>
          <w:color w:val="000000" w:themeColor="text1"/>
        </w:rPr>
        <w:t>OBLIGADO</w:t>
      </w:r>
      <w:r w:rsidRPr="00CD52F1">
        <w:rPr>
          <w:rFonts w:ascii="Palatino Linotype" w:eastAsia="Palatino Linotype" w:hAnsi="Palatino Linotype" w:cs="Palatino Linotype"/>
          <w:color w:val="000000" w:themeColor="text1"/>
        </w:rPr>
        <w:t>.</w:t>
      </w:r>
    </w:p>
    <w:p w:rsidR="00CE6629" w:rsidRPr="00CD52F1" w:rsidRDefault="00CE6629" w:rsidP="00DA13B7">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De acuerdo con el precepto legal contenido en la fracción IV del artículo 192 de la </w:t>
      </w:r>
      <w:r w:rsidRPr="00CD52F1">
        <w:rPr>
          <w:rFonts w:ascii="Palatino Linotype" w:eastAsia="Palatino Linotype" w:hAnsi="Palatino Linotype" w:cs="Palatino Linotype"/>
          <w:b/>
          <w:color w:val="000000" w:themeColor="text1"/>
        </w:rPr>
        <w:t>Ley de Transparencia y Acceso a la Información Pública del Estado de México y Municipios</w:t>
      </w:r>
      <w:r w:rsidRPr="00CD52F1">
        <w:rPr>
          <w:rFonts w:ascii="Palatino Linotype" w:eastAsia="Palatino Linotype" w:hAnsi="Palatino Linotype" w:cs="Palatino Linotype"/>
          <w:color w:val="000000" w:themeColor="text1"/>
        </w:rPr>
        <w:t xml:space="preserve">, el </w:t>
      </w:r>
      <w:r w:rsidRPr="00CD52F1">
        <w:rPr>
          <w:rFonts w:ascii="Palatino Linotype" w:eastAsia="Palatino Linotype" w:hAnsi="Palatino Linotype" w:cs="Palatino Linotype"/>
          <w:color w:val="000000" w:themeColor="text1"/>
        </w:rPr>
        <w:lastRenderedPageBreak/>
        <w:t>recurso será sobreseído, cuando una vez admitido, aparezca alguna causal de improcedencia en términos de la misma Ley.</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keepNext/>
        <w:keepLines/>
        <w:numPr>
          <w:ilvl w:val="1"/>
          <w:numId w:val="1"/>
        </w:numPr>
        <w:spacing w:line="360" w:lineRule="auto"/>
        <w:ind w:left="0" w:right="-28" w:firstLine="0"/>
        <w:rPr>
          <w:rFonts w:ascii="Palatino Linotype" w:eastAsia="Palatino Linotype" w:hAnsi="Palatino Linotype" w:cs="Palatino Linotype"/>
          <w:b/>
          <w:color w:val="000000" w:themeColor="text1"/>
        </w:rPr>
      </w:pPr>
      <w:bookmarkStart w:id="8" w:name="_heading=h.yh265kgdo68w" w:colFirst="0" w:colLast="0"/>
      <w:bookmarkEnd w:id="8"/>
      <w:r w:rsidRPr="00CD52F1">
        <w:rPr>
          <w:rFonts w:ascii="Palatino Linotype" w:eastAsia="Palatino Linotype" w:hAnsi="Palatino Linotype" w:cs="Palatino Linotype"/>
          <w:b/>
          <w:color w:val="000000" w:themeColor="text1"/>
        </w:rPr>
        <w:t xml:space="preserve"> De la solicitud de información </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b/>
          <w:i/>
          <w:color w:val="000000" w:themeColor="text1"/>
        </w:rPr>
      </w:pPr>
      <w:r w:rsidRPr="00CD52F1">
        <w:rPr>
          <w:rFonts w:ascii="Palatino Linotype" w:eastAsia="Palatino Linotype" w:hAnsi="Palatino Linotype" w:cs="Palatino Linotype"/>
          <w:color w:val="000000" w:themeColor="text1"/>
        </w:rPr>
        <w:t xml:space="preserve">Como ya se ha señalado, el </w:t>
      </w:r>
      <w:r w:rsidRPr="00CD52F1">
        <w:rPr>
          <w:rFonts w:ascii="Palatino Linotype" w:eastAsia="Palatino Linotype" w:hAnsi="Palatino Linotype" w:cs="Palatino Linotype"/>
          <w:b/>
          <w:color w:val="000000" w:themeColor="text1"/>
        </w:rPr>
        <w:t xml:space="preserve">RECURRENTE </w:t>
      </w:r>
      <w:r w:rsidRPr="00CD52F1">
        <w:rPr>
          <w:rFonts w:ascii="Palatino Linotype" w:eastAsia="Palatino Linotype" w:hAnsi="Palatino Linotype" w:cs="Palatino Linotype"/>
          <w:color w:val="000000" w:themeColor="text1"/>
        </w:rPr>
        <w:t xml:space="preserve">solicitó </w:t>
      </w:r>
      <w:r w:rsidRPr="00CD52F1">
        <w:rPr>
          <w:rFonts w:ascii="Palatino Linotype" w:eastAsia="Palatino Linotype" w:hAnsi="Palatino Linotype" w:cs="Palatino Linotype"/>
          <w:b/>
          <w:color w:val="000000" w:themeColor="text1"/>
        </w:rPr>
        <w:t>el sueldo mensual del Presidente Municipal, Regidores, Síndico y Secretario del Ayuntamiento.</w:t>
      </w:r>
    </w:p>
    <w:p w:rsidR="00CE6629" w:rsidRPr="00CD52F1" w:rsidRDefault="00CE6629" w:rsidP="00DA13B7">
      <w:pPr>
        <w:spacing w:line="360" w:lineRule="auto"/>
        <w:ind w:right="-28"/>
        <w:jc w:val="both"/>
        <w:rPr>
          <w:rFonts w:ascii="Palatino Linotype" w:eastAsia="Palatino Linotype" w:hAnsi="Palatino Linotype" w:cs="Palatino Linotype"/>
          <w:b/>
          <w:i/>
          <w:color w:val="000000" w:themeColor="text1"/>
        </w:rPr>
      </w:pPr>
    </w:p>
    <w:p w:rsidR="00CE6629" w:rsidRPr="00CD52F1" w:rsidRDefault="005A71E5" w:rsidP="00DA13B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En respuesta, 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por medio del Titular de la Tesorería Municipal, remiten un documento en el que se aprecia el Nombre Completo, Puesto Funcional, Área de Adscripción, Dietas y Sueldo Base de los servidores públicos que formaron parte del Ayuntamiento de Calimaya en el ejercicio fiscal 2024, ello argumentando que debido a que el solicitante no especifico temporalidad para la información que se solicita.</w:t>
      </w:r>
    </w:p>
    <w:p w:rsidR="00CE6629" w:rsidRPr="00CD52F1" w:rsidRDefault="00CE6629" w:rsidP="00D8422C">
      <w:pPr>
        <w:spacing w:line="360" w:lineRule="auto"/>
        <w:ind w:right="-28"/>
        <w:jc w:val="both"/>
        <w:rPr>
          <w:rFonts w:ascii="Palatino Linotype" w:eastAsia="Palatino Linotype" w:hAnsi="Palatino Linotype" w:cs="Palatino Linotype"/>
          <w:b/>
          <w:i/>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No obstante, el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por medio del recurso de revisión, manifestó como razones o motivos de inconformidad: </w:t>
      </w:r>
      <w:r w:rsidR="00D8422C" w:rsidRPr="00CD52F1">
        <w:rPr>
          <w:rFonts w:ascii="Palatino Linotype" w:eastAsia="Palatino Linotype" w:hAnsi="Palatino Linotype" w:cs="Palatino Linotype"/>
          <w:b/>
          <w:i/>
          <w:color w:val="000000" w:themeColor="text1"/>
        </w:rPr>
        <w:t>“La</w:t>
      </w:r>
      <w:r w:rsidRPr="00CD52F1">
        <w:rPr>
          <w:rFonts w:ascii="Palatino Linotype" w:eastAsia="Palatino Linotype" w:hAnsi="Palatino Linotype" w:cs="Palatino Linotype"/>
          <w:b/>
          <w:i/>
          <w:color w:val="000000" w:themeColor="text1"/>
        </w:rPr>
        <w:t xml:space="preserve"> información pública entregada del folio 00269/CALIMAYA/IP/2025 no trae sello, firma o es un documento oficial.” (Sic)</w:t>
      </w:r>
    </w:p>
    <w:p w:rsidR="00CE6629" w:rsidRPr="00CD52F1" w:rsidRDefault="00CE6629" w:rsidP="00DA13B7">
      <w:pPr>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En atención a lo anterior, se advierte que la inconformidad no guarda relación con la información requerida y entregada en respuesta por el sujeto obligado, al respecto, sirve de sustento la Jurisprudencia No. 29 visible a foja 19 del Apéndice al Semanario Judicial de la Federación 1917-1995, Torno VI, Materia Común, Primera Parte, Tesis de la Suprema Corte de Justicia, que contiene:</w:t>
      </w:r>
    </w:p>
    <w:p w:rsidR="00CE6629" w:rsidRPr="00CD52F1" w:rsidRDefault="005A71E5" w:rsidP="00DA13B7">
      <w:pPr>
        <w:shd w:val="clear" w:color="auto" w:fill="FFFFFF"/>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AGRAVIOS EN LA REVISION. DEBEN ESTAR EN RELACION DIRECTA CON LOS FUNDAMENTOS Y CONSIDERACIONES DE LA SENTENCIA</w:t>
      </w:r>
      <w:r w:rsidRPr="00CD52F1">
        <w:rPr>
          <w:rFonts w:ascii="Palatino Linotype" w:eastAsia="Palatino Linotype" w:hAnsi="Palatino Linotype" w:cs="Palatino Linotype"/>
          <w:i/>
          <w:color w:val="000000" w:themeColor="text1"/>
        </w:rPr>
        <w:t xml:space="preserve">.- Los agravios deben estar en relación directa e inmediata con los fundamentos contenidos en la sentencia que se recurre, y forzosamente deben contener, no sólo la cita de las disposiciones legales que se estimen infringidas y su </w:t>
      </w:r>
      <w:r w:rsidRPr="00CD52F1">
        <w:rPr>
          <w:rFonts w:ascii="Palatino Linotype" w:eastAsia="Palatino Linotype" w:hAnsi="Palatino Linotype" w:cs="Palatino Linotype"/>
          <w:i/>
          <w:color w:val="000000" w:themeColor="text1"/>
        </w:rPr>
        <w:lastRenderedPageBreak/>
        <w:t xml:space="preserve">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Ahora bien, se advierte que hay elementos entregados en respuesta por parte del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sobre los cuales el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no se inconformó.</w:t>
      </w:r>
    </w:p>
    <w:p w:rsidR="00CE6629" w:rsidRPr="00CD52F1" w:rsidRDefault="00CE6629" w:rsidP="00DA13B7">
      <w:pPr>
        <w:spacing w:line="360" w:lineRule="auto"/>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En este sentido,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CE6629" w:rsidRPr="00CD52F1" w:rsidRDefault="005A71E5" w:rsidP="00DA13B7">
      <w:pPr>
        <w:tabs>
          <w:tab w:val="left" w:pos="851"/>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 xml:space="preserve">“ACTOS CONSENTIDOS. SON LOS QUE NO SE IMPUGNAN MEDIANTE EL RECURSO IDÓNEO. </w:t>
      </w:r>
      <w:r w:rsidRPr="00CD52F1">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no expresó razón o motivo de inconformidad en contra de los rubros solicitados, por tanto, estos deben declararse atendidos, pues se entiende que el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está conforme con la respuesta proporcionada por el</w:t>
      </w:r>
      <w:r w:rsidRPr="00CD52F1">
        <w:rPr>
          <w:rFonts w:ascii="Palatino Linotype" w:eastAsia="Palatino Linotype" w:hAnsi="Palatino Linotype" w:cs="Palatino Linotype"/>
          <w:b/>
          <w:color w:val="000000" w:themeColor="text1"/>
        </w:rPr>
        <w:t xml:space="preserve"> SUJETO OBLIGADO,</w:t>
      </w:r>
      <w:r w:rsidRPr="00CD52F1">
        <w:rPr>
          <w:rFonts w:ascii="Palatino Linotype" w:eastAsia="Palatino Linotype" w:hAnsi="Palatino Linotype" w:cs="Palatino Linotype"/>
          <w:color w:val="000000" w:themeColor="text1"/>
        </w:rPr>
        <w:t xml:space="preserve"> al no contravenir la misma.</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lastRenderedPageBreak/>
        <w:t>Ante ello, es importante traer a contexto la Tesis Jurisprudencial Número 3ª./J.7/91, Publicada en el Semanario Judicial de la Federación y su Gaceta bajo el número de registro 174,177, que establece lo siguiente:</w:t>
      </w:r>
    </w:p>
    <w:p w:rsidR="00CE6629" w:rsidRPr="00CD52F1" w:rsidRDefault="005A71E5" w:rsidP="00DA13B7">
      <w:pPr>
        <w:tabs>
          <w:tab w:val="left" w:pos="7937"/>
          <w:tab w:val="left" w:pos="8222"/>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 xml:space="preserve">“REVISIÓN EN AMPARO. LOS RESOLUTIVOS NO COMBATIDOS DEBEN DECLARARSE FIRMES. </w:t>
      </w:r>
      <w:r w:rsidRPr="00CD52F1">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Una vez hecha la precisión anterior, se advierte que este Instituto no se encuentra facultado para dudar de la veracidad de las respuestas emitidas por los Sujetos Obligados ni de la que ponen a disposición de los solicitantes; situación que se aleja de las atribuciones de este Órgano Garante que al momento que ponen a disposición ésta, la misma tiene el carácter oficial y se presume veraz, tan es así que la misma queda registrada en el </w:t>
      </w:r>
      <w:r w:rsidRPr="00CD52F1">
        <w:rPr>
          <w:rFonts w:ascii="Palatino Linotype" w:eastAsia="Palatino Linotype" w:hAnsi="Palatino Linotype" w:cs="Palatino Linotype"/>
          <w:b/>
          <w:color w:val="000000" w:themeColor="text1"/>
        </w:rPr>
        <w:t>SAIMEX.</w:t>
      </w:r>
    </w:p>
    <w:p w:rsidR="00CE6629" w:rsidRPr="00CD52F1" w:rsidRDefault="00CE6629" w:rsidP="00DA13B7">
      <w:pPr>
        <w:ind w:right="-28"/>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Sirve de apoyo a lo anterior por analogía, el criterio 31-10 emitido por el ahora Instituto Nacional de Transparencia, Acceso a la Información y Protección de Datos Personales, que a la letra dice:</w:t>
      </w:r>
    </w:p>
    <w:p w:rsidR="00CE6629" w:rsidRPr="00CD52F1" w:rsidRDefault="005A71E5" w:rsidP="00DA13B7">
      <w:pPr>
        <w:pBdr>
          <w:top w:val="nil"/>
          <w:left w:val="nil"/>
          <w:bottom w:val="nil"/>
          <w:right w:val="nil"/>
          <w:between w:val="nil"/>
        </w:pBdr>
        <w:spacing w:before="240" w:after="360"/>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El Instituto Federal de Acceso a la Información y Protección de Datos </w:t>
      </w:r>
      <w:r w:rsidRPr="00CD52F1">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CD52F1">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CD52F1">
        <w:rPr>
          <w:rFonts w:ascii="Palatino Linotype" w:eastAsia="Palatino Linotype" w:hAnsi="Palatino Linotype" w:cs="Palatino Linotype"/>
          <w:i/>
          <w:color w:val="000000" w:themeColor="text1"/>
        </w:rPr>
        <w:lastRenderedPageBreak/>
        <w:t>Información Pública Gubernamental no se prevé una causal que permita al Instituto Federal de Acceso a la Información y Protección de Datos conocer, vía recurso revisión, al respecto.</w:t>
      </w: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 xml:space="preserve">Puntualizando lo anterior, es necesario precisar que, </w:t>
      </w:r>
      <w:r w:rsidRPr="00CD52F1">
        <w:rPr>
          <w:rFonts w:ascii="Palatino Linotype" w:eastAsia="Palatino Linotype" w:hAnsi="Palatino Linotype" w:cs="Palatino Linotype"/>
          <w:b/>
          <w:color w:val="000000" w:themeColor="text1"/>
          <w:u w:val="single"/>
        </w:rPr>
        <w:t xml:space="preserve">los motivos de inconformidad no guardan relación con la información requerida y entregada en respuesta por el </w:t>
      </w:r>
      <w:r w:rsidRPr="00CD52F1">
        <w:rPr>
          <w:rFonts w:ascii="Palatino Linotype" w:eastAsia="Palatino Linotype" w:hAnsi="Palatino Linotype" w:cs="Palatino Linotype"/>
          <w:b/>
          <w:color w:val="000000" w:themeColor="text1"/>
        </w:rPr>
        <w:t>SUJETO OBLIGADO</w:t>
      </w:r>
      <w:r w:rsidRPr="00CD52F1">
        <w:rPr>
          <w:rFonts w:ascii="Palatino Linotype" w:eastAsia="Palatino Linotype" w:hAnsi="Palatino Linotype" w:cs="Palatino Linotype"/>
          <w:color w:val="000000" w:themeColor="text1"/>
        </w:rPr>
        <w:t xml:space="preserve">, por lo tanto, actualiza una causal de improcedencia como se determina en los siguientes párrafos. </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9" w:name="_heading=h.f8cmo9m8w776" w:colFirst="0" w:colLast="0"/>
      <w:bookmarkEnd w:id="9"/>
      <w:r w:rsidRPr="00CD52F1">
        <w:rPr>
          <w:rFonts w:ascii="Palatino Linotype" w:eastAsia="Palatino Linotype" w:hAnsi="Palatino Linotype" w:cs="Palatino Linotype"/>
          <w:color w:val="000000" w:themeColor="text1"/>
        </w:rPr>
        <w:t>Resulta necesario traer a contexto la Jurisprudencia No. 29 visible a foja 19 del Apéndice al Semanario Judicial de la Federación 1917-1995, Torno VI, Materia Común, Primera Parte, Tesis de la Suprema Corte de Justicia, que contiene:</w:t>
      </w:r>
    </w:p>
    <w:p w:rsidR="00CE6629" w:rsidRPr="00CD52F1" w:rsidRDefault="005A71E5" w:rsidP="00DA13B7">
      <w:pPr>
        <w:shd w:val="clear" w:color="auto" w:fill="FFFFFF"/>
        <w:spacing w:before="240" w:after="240"/>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AGRAVIOS EN LA REVISION. DEBEN ESTAR EN RELACION DIRECTA CON LOS FUNDAMENTOS Y CONSIDERACIONES DE LA SENTENCIA</w:t>
      </w:r>
      <w:r w:rsidRPr="00CD52F1">
        <w:rPr>
          <w:rFonts w:ascii="Palatino Linotype" w:eastAsia="Palatino Linotype" w:hAnsi="Palatino Linotype" w:cs="Palatino Linotype"/>
          <w:i/>
          <w:color w:val="000000" w:themeColor="text1"/>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CE6629" w:rsidRPr="00CD52F1" w:rsidRDefault="00CE6629" w:rsidP="00DA13B7">
      <w:pPr>
        <w:shd w:val="clear" w:color="auto" w:fill="FFFFFF"/>
        <w:spacing w:before="240" w:after="240"/>
        <w:ind w:right="-28"/>
        <w:jc w:val="both"/>
        <w:rPr>
          <w:rFonts w:ascii="Palatino Linotype" w:eastAsia="Palatino Linotype" w:hAnsi="Palatino Linotype" w:cs="Palatino Linotype"/>
          <w:i/>
          <w:color w:val="000000" w:themeColor="text1"/>
        </w:rPr>
      </w:pPr>
    </w:p>
    <w:p w:rsidR="00CE6629" w:rsidRPr="00CD52F1" w:rsidRDefault="005A71E5" w:rsidP="00CD52F1">
      <w:pPr>
        <w:numPr>
          <w:ilvl w:val="0"/>
          <w:numId w:val="1"/>
        </w:numPr>
        <w:spacing w:before="240"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Señalado lo anterior, se determina que el recurso de revisión no actualiza ninguna causal de procedencia que se relacione con la solicitud o la respuesta. En consecuencia, la falta de actualización de causal de procedencia trae consigo que el recurso de revisión sea desechado por improcedente, de acuerdo con el artículo 191 de la citada ley:</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“Artículo 191.</w:t>
      </w:r>
      <w:r w:rsidRPr="00CD52F1">
        <w:rPr>
          <w:rFonts w:ascii="Palatino Linotype" w:eastAsia="Palatino Linotype" w:hAnsi="Palatino Linotype" w:cs="Palatino Linotype"/>
          <w:i/>
          <w:color w:val="000000" w:themeColor="text1"/>
        </w:rPr>
        <w:t xml:space="preserve"> El recurso será desechado por improcedente cuando:</w:t>
      </w:r>
    </w:p>
    <w:p w:rsidR="00CE6629" w:rsidRPr="00CD52F1" w:rsidRDefault="00CE6629"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I. Sea extemporáneo por haber transcurrido el plazo establecido en la presente Ley, a partir de la respuesta;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lastRenderedPageBreak/>
        <w:t xml:space="preserve">II. Se esté tramitando ante el Poder Judicial de la Federación algún recurso o medio de defensa interpuesto por el recurrente;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b/>
          <w:i/>
          <w:color w:val="000000" w:themeColor="text1"/>
        </w:rPr>
      </w:pPr>
      <w:r w:rsidRPr="00CD52F1">
        <w:rPr>
          <w:rFonts w:ascii="Palatino Linotype" w:eastAsia="Palatino Linotype" w:hAnsi="Palatino Linotype" w:cs="Palatino Linotype"/>
          <w:b/>
          <w:i/>
          <w:color w:val="000000" w:themeColor="text1"/>
        </w:rPr>
        <w:t xml:space="preserve">III. No actualice alguno de los supuestos previstos en la presente Ley;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IV. No se haya desahogado la prevención en los términos establecidos en la presente Ley;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V. Se impugne la veracidad de la información proporcionada;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VI. Se trate de una consulta, o trámite en específico; y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i/>
          <w:color w:val="000000" w:themeColor="text1"/>
        </w:rPr>
        <w:t>VII. El recurrente amplíe su solicitud en el recurso de revisión, únicamente respecto de los nuevos contenidos.”</w:t>
      </w:r>
    </w:p>
    <w:p w:rsidR="00CE6629" w:rsidRPr="00CD52F1" w:rsidRDefault="005A71E5" w:rsidP="00DA13B7">
      <w:pPr>
        <w:numPr>
          <w:ilvl w:val="0"/>
          <w:numId w:val="1"/>
        </w:numPr>
        <w:spacing w:before="240"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b/>
          <w:i/>
          <w:color w:val="000000" w:themeColor="text1"/>
        </w:rPr>
        <w:t>“Artículo 192.</w:t>
      </w:r>
      <w:r w:rsidRPr="00CD52F1">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b/>
          <w:i/>
          <w:color w:val="000000" w:themeColor="text1"/>
        </w:rPr>
      </w:pPr>
      <w:r w:rsidRPr="00CD52F1">
        <w:rPr>
          <w:rFonts w:ascii="Palatino Linotype" w:eastAsia="Palatino Linotype" w:hAnsi="Palatino Linotype" w:cs="Palatino Linotype"/>
          <w:b/>
          <w:i/>
          <w:color w:val="000000" w:themeColor="text1"/>
        </w:rPr>
        <w:t xml:space="preserve">IV. Admitido el recurso de revisión, aparezca alguna causal de improcedencia en los términos de la presente Ley; y </w:t>
      </w:r>
    </w:p>
    <w:p w:rsidR="00CE6629" w:rsidRPr="00CD52F1" w:rsidRDefault="005A71E5" w:rsidP="00DA13B7">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themeColor="text1"/>
        </w:rPr>
      </w:pPr>
      <w:r w:rsidRPr="00CD52F1">
        <w:rPr>
          <w:rFonts w:ascii="Palatino Linotype" w:eastAsia="Palatino Linotype" w:hAnsi="Palatino Linotype" w:cs="Palatino Linotype"/>
          <w:i/>
          <w:color w:val="000000" w:themeColor="text1"/>
        </w:rPr>
        <w:t xml:space="preserve">V. Cuando por cualquier motivo quede sin materia el recurso.” </w:t>
      </w:r>
    </w:p>
    <w:p w:rsidR="00CE6629" w:rsidRPr="00CD52F1" w:rsidRDefault="00CE6629" w:rsidP="00DA13B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CE6629" w:rsidRPr="00CD52F1" w:rsidRDefault="00CE6629" w:rsidP="00DA13B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color w:val="000000" w:themeColor="text1"/>
        </w:rPr>
        <w:t>No obstante, a efecto de no vulnerar los derechos del particular, este Órgano Garante deja a salvo sus derechos para que, si así lo desea, presente una nueva solicitud de acceso a la información requiriendo información que sea de su interés.</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10" w:name="_heading=h.25xizbqpsmuv" w:colFirst="0" w:colLast="0"/>
      <w:bookmarkEnd w:id="10"/>
      <w:r w:rsidRPr="00CD52F1">
        <w:rPr>
          <w:rFonts w:ascii="Palatino Linotype" w:eastAsia="Palatino Linotype" w:hAnsi="Palatino Linotype" w:cs="Palatino Linotype"/>
          <w:color w:val="000000" w:themeColor="text1"/>
        </w:rPr>
        <w:t xml:space="preserve">Por lo anteriormente expuesto y fundado, este </w:t>
      </w:r>
      <w:r w:rsidRPr="00CD52F1">
        <w:rPr>
          <w:rFonts w:ascii="Palatino Linotype" w:eastAsia="Palatino Linotype" w:hAnsi="Palatino Linotype" w:cs="Palatino Linotype"/>
          <w:b/>
          <w:color w:val="000000" w:themeColor="text1"/>
        </w:rPr>
        <w:t>ÓRGANO GARANTE</w:t>
      </w:r>
      <w:r w:rsidRPr="00CD52F1">
        <w:rPr>
          <w:rFonts w:ascii="Palatino Linotype" w:eastAsia="Palatino Linotype" w:hAnsi="Palatino Linotype" w:cs="Palatino Linotype"/>
          <w:color w:val="000000" w:themeColor="text1"/>
        </w:rPr>
        <w:t xml:space="preserve"> emite los siguientes: </w:t>
      </w:r>
      <w:r w:rsidR="00D8422C">
        <w:rPr>
          <w:rFonts w:ascii="Palatino Linotype" w:eastAsia="Palatino Linotype" w:hAnsi="Palatino Linotype" w:cs="Palatino Linotype"/>
          <w:color w:val="000000" w:themeColor="text1"/>
        </w:rPr>
        <w:t>-----------------------------------------------------------------------------------------------------------</w:t>
      </w:r>
    </w:p>
    <w:p w:rsidR="00CE6629" w:rsidRPr="00CD52F1" w:rsidRDefault="005A71E5" w:rsidP="00DA13B7">
      <w:pPr>
        <w:keepNext/>
        <w:keepLines/>
        <w:spacing w:line="360" w:lineRule="auto"/>
        <w:ind w:right="-28"/>
        <w:jc w:val="center"/>
        <w:rPr>
          <w:rFonts w:ascii="Palatino Linotype" w:eastAsia="Palatino Linotype" w:hAnsi="Palatino Linotype" w:cs="Palatino Linotype"/>
          <w:b/>
          <w:color w:val="000000" w:themeColor="text1"/>
        </w:rPr>
      </w:pPr>
      <w:r w:rsidRPr="00CD52F1">
        <w:rPr>
          <w:rFonts w:ascii="Palatino Linotype" w:eastAsia="Palatino Linotype" w:hAnsi="Palatino Linotype" w:cs="Palatino Linotype"/>
          <w:b/>
          <w:color w:val="000000" w:themeColor="text1"/>
        </w:rPr>
        <w:lastRenderedPageBreak/>
        <w:t>R E S O L U T I V O S</w:t>
      </w:r>
    </w:p>
    <w:p w:rsidR="00CE6629" w:rsidRPr="00CD52F1" w:rsidRDefault="00CE6629" w:rsidP="00DA13B7">
      <w:pPr>
        <w:keepNext/>
        <w:keepLines/>
        <w:spacing w:line="360" w:lineRule="auto"/>
        <w:ind w:right="-28"/>
        <w:rPr>
          <w:rFonts w:ascii="Palatino Linotype" w:eastAsia="Palatino Linotype" w:hAnsi="Palatino Linotype" w:cs="Palatino Linotype"/>
          <w:b/>
          <w:color w:val="000000" w:themeColor="text1"/>
        </w:rPr>
      </w:pPr>
    </w:p>
    <w:p w:rsidR="00CE6629" w:rsidRPr="00CD52F1" w:rsidRDefault="005A71E5" w:rsidP="00DA13B7">
      <w:pPr>
        <w:spacing w:line="360" w:lineRule="auto"/>
        <w:ind w:right="-28"/>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b/>
          <w:color w:val="000000" w:themeColor="text1"/>
        </w:rPr>
        <w:t xml:space="preserve">PRIMERO. </w:t>
      </w:r>
      <w:r w:rsidRPr="00CD52F1">
        <w:rPr>
          <w:rFonts w:ascii="Palatino Linotype" w:eastAsia="Palatino Linotype" w:hAnsi="Palatino Linotype" w:cs="Palatino Linotype"/>
          <w:color w:val="000000" w:themeColor="text1"/>
        </w:rPr>
        <w:t xml:space="preserve">Se </w:t>
      </w:r>
      <w:r w:rsidRPr="00CD52F1">
        <w:rPr>
          <w:rFonts w:ascii="Palatino Linotype" w:eastAsia="Palatino Linotype" w:hAnsi="Palatino Linotype" w:cs="Palatino Linotype"/>
          <w:b/>
          <w:color w:val="000000" w:themeColor="text1"/>
        </w:rPr>
        <w:t xml:space="preserve">SOBRESEE el </w:t>
      </w:r>
      <w:r w:rsidRPr="00CD52F1">
        <w:rPr>
          <w:rFonts w:ascii="Palatino Linotype" w:eastAsia="Palatino Linotype" w:hAnsi="Palatino Linotype" w:cs="Palatino Linotype"/>
          <w:color w:val="000000" w:themeColor="text1"/>
        </w:rPr>
        <w:t xml:space="preserve">recurso de revisión número </w:t>
      </w:r>
      <w:r w:rsidRPr="00CD52F1">
        <w:rPr>
          <w:rFonts w:ascii="Palatino Linotype" w:eastAsia="Palatino Linotype" w:hAnsi="Palatino Linotype" w:cs="Palatino Linotype"/>
          <w:b/>
          <w:color w:val="000000" w:themeColor="text1"/>
        </w:rPr>
        <w:t>06688/INFOEM/IP/RR/2025</w:t>
      </w:r>
      <w:r w:rsidRPr="00CD52F1">
        <w:rPr>
          <w:rFonts w:ascii="Palatino Linotype" w:eastAsia="Palatino Linotype" w:hAnsi="Palatino Linotype" w:cs="Palatino Linotype"/>
          <w:color w:val="000000" w:themeColor="text1"/>
        </w:rPr>
        <w:t xml:space="preserve">, conforme al artículo </w:t>
      </w:r>
      <w:r w:rsidRPr="00CD52F1">
        <w:rPr>
          <w:rFonts w:ascii="Palatino Linotype" w:eastAsia="Palatino Linotype" w:hAnsi="Palatino Linotype" w:cs="Palatino Linotype"/>
          <w:b/>
          <w:color w:val="000000" w:themeColor="text1"/>
        </w:rPr>
        <w:t>192 fracción IV</w:t>
      </w:r>
      <w:r w:rsidRPr="00CD52F1">
        <w:rPr>
          <w:rFonts w:ascii="Palatino Linotype" w:eastAsia="Palatino Linotype" w:hAnsi="Palatino Linotype" w:cs="Palatino Linotype"/>
          <w:color w:val="000000" w:themeColor="text1"/>
        </w:rPr>
        <w:t xml:space="preserve">, de la Ley de Transparencia y Acceso a la Información Pública del Estado de México y Municipios, en términos del </w:t>
      </w:r>
      <w:r w:rsidRPr="00CD52F1">
        <w:rPr>
          <w:rFonts w:ascii="Palatino Linotype" w:eastAsia="Palatino Linotype" w:hAnsi="Palatino Linotype" w:cs="Palatino Linotype"/>
          <w:b/>
          <w:color w:val="000000" w:themeColor="text1"/>
        </w:rPr>
        <w:t>Considerando TERCERO</w:t>
      </w:r>
      <w:r w:rsidRPr="00CD52F1">
        <w:rPr>
          <w:rFonts w:ascii="Palatino Linotype" w:eastAsia="Palatino Linotype" w:hAnsi="Palatino Linotype" w:cs="Palatino Linotype"/>
          <w:color w:val="000000" w:themeColor="text1"/>
        </w:rPr>
        <w:t xml:space="preserve"> de la presente resolución.</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spacing w:line="360" w:lineRule="auto"/>
        <w:ind w:right="-28"/>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b/>
          <w:color w:val="000000" w:themeColor="text1"/>
        </w:rPr>
        <w:t xml:space="preserve">SEGUNDO. </w:t>
      </w:r>
      <w:r w:rsidR="00DA13B7" w:rsidRPr="00CD52F1">
        <w:rPr>
          <w:rFonts w:ascii="Palatino Linotype" w:eastAsia="Palatino Linotype" w:hAnsi="Palatino Linotype" w:cs="Palatino Linotype"/>
          <w:b/>
          <w:color w:val="000000" w:themeColor="text1"/>
        </w:rPr>
        <w:t xml:space="preserve">Notifíquese </w:t>
      </w:r>
      <w:r w:rsidRPr="00CD52F1">
        <w:rPr>
          <w:rFonts w:ascii="Palatino Linotype" w:eastAsia="Palatino Linotype" w:hAnsi="Palatino Linotype" w:cs="Palatino Linotype"/>
          <w:color w:val="000000" w:themeColor="text1"/>
        </w:rPr>
        <w:t xml:space="preserve">a través del Sistema de Acceso a la Información Mexiquense </w:t>
      </w:r>
      <w:r w:rsidRPr="00CD52F1">
        <w:rPr>
          <w:rFonts w:ascii="Palatino Linotype" w:eastAsia="Palatino Linotype" w:hAnsi="Palatino Linotype" w:cs="Palatino Linotype"/>
          <w:b/>
          <w:color w:val="000000" w:themeColor="text1"/>
        </w:rPr>
        <w:t xml:space="preserve">(SAIMEX) </w:t>
      </w:r>
      <w:r w:rsidRPr="00CD52F1">
        <w:rPr>
          <w:rFonts w:ascii="Palatino Linotype" w:eastAsia="Palatino Linotype" w:hAnsi="Palatino Linotype" w:cs="Palatino Linotype"/>
          <w:color w:val="000000" w:themeColor="text1"/>
        </w:rPr>
        <w:t>la presente resolución al Titular de la Unidad de Transparencia del</w:t>
      </w:r>
      <w:r w:rsidRPr="00CD52F1">
        <w:rPr>
          <w:rFonts w:ascii="Palatino Linotype" w:eastAsia="Palatino Linotype" w:hAnsi="Palatino Linotype" w:cs="Palatino Linotype"/>
          <w:b/>
          <w:color w:val="000000" w:themeColor="text1"/>
        </w:rPr>
        <w:t xml:space="preserve"> SUJETO OBLIGADO.</w:t>
      </w:r>
    </w:p>
    <w:p w:rsidR="00CE6629" w:rsidRPr="00CD52F1"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CD52F1" w:rsidRDefault="005A71E5" w:rsidP="00DA13B7">
      <w:pPr>
        <w:tabs>
          <w:tab w:val="left" w:pos="8080"/>
        </w:tabs>
        <w:spacing w:line="360" w:lineRule="auto"/>
        <w:ind w:right="-28"/>
        <w:jc w:val="both"/>
        <w:rPr>
          <w:rFonts w:ascii="Palatino Linotype" w:eastAsia="Palatino Linotype" w:hAnsi="Palatino Linotype" w:cs="Palatino Linotype"/>
          <w:b/>
          <w:color w:val="000000" w:themeColor="text1"/>
        </w:rPr>
      </w:pPr>
      <w:r w:rsidRPr="00CD52F1">
        <w:rPr>
          <w:rFonts w:ascii="Palatino Linotype" w:eastAsia="Palatino Linotype" w:hAnsi="Palatino Linotype" w:cs="Palatino Linotype"/>
          <w:b/>
          <w:color w:val="000000" w:themeColor="text1"/>
        </w:rPr>
        <w:t xml:space="preserve">TERCERO. Notifíquese </w:t>
      </w:r>
      <w:r w:rsidRPr="00CD52F1">
        <w:rPr>
          <w:rFonts w:ascii="Palatino Linotype" w:eastAsia="Palatino Linotype" w:hAnsi="Palatino Linotype" w:cs="Palatino Linotype"/>
          <w:color w:val="000000" w:themeColor="text1"/>
        </w:rPr>
        <w:t xml:space="preserve">al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la presente resolución, a través del Sistema de Acceso a la Información Mexiquense </w:t>
      </w:r>
      <w:r w:rsidRPr="00CD52F1">
        <w:rPr>
          <w:rFonts w:ascii="Palatino Linotype" w:eastAsia="Palatino Linotype" w:hAnsi="Palatino Linotype" w:cs="Palatino Linotype"/>
          <w:b/>
          <w:color w:val="000000" w:themeColor="text1"/>
        </w:rPr>
        <w:t>(SAIMEX).</w:t>
      </w:r>
    </w:p>
    <w:p w:rsidR="00CE6629" w:rsidRPr="00CD52F1" w:rsidRDefault="00CE6629" w:rsidP="00DA13B7">
      <w:pPr>
        <w:tabs>
          <w:tab w:val="left" w:pos="8080"/>
        </w:tabs>
        <w:spacing w:line="360" w:lineRule="auto"/>
        <w:ind w:right="-28"/>
        <w:jc w:val="both"/>
        <w:rPr>
          <w:rFonts w:ascii="Palatino Linotype" w:eastAsia="Palatino Linotype" w:hAnsi="Palatino Linotype" w:cs="Palatino Linotype"/>
          <w:b/>
          <w:color w:val="000000" w:themeColor="text1"/>
        </w:rPr>
      </w:pPr>
    </w:p>
    <w:p w:rsidR="00CE6629" w:rsidRPr="00CD52F1" w:rsidRDefault="005A71E5" w:rsidP="00DA13B7">
      <w:pPr>
        <w:shd w:val="clear" w:color="auto" w:fill="FFFFFF"/>
        <w:spacing w:line="360" w:lineRule="auto"/>
        <w:ind w:right="-28"/>
        <w:jc w:val="both"/>
        <w:rPr>
          <w:rFonts w:ascii="Palatino Linotype" w:eastAsia="Palatino Linotype" w:hAnsi="Palatino Linotype" w:cs="Palatino Linotype"/>
          <w:color w:val="000000" w:themeColor="text1"/>
        </w:rPr>
      </w:pPr>
      <w:r w:rsidRPr="00CD52F1">
        <w:rPr>
          <w:rFonts w:ascii="Palatino Linotype" w:eastAsia="Palatino Linotype" w:hAnsi="Palatino Linotype" w:cs="Palatino Linotype"/>
          <w:b/>
          <w:color w:val="000000" w:themeColor="text1"/>
        </w:rPr>
        <w:t xml:space="preserve">CUARTO. </w:t>
      </w:r>
      <w:r w:rsidRPr="00CD52F1">
        <w:rPr>
          <w:rFonts w:ascii="Palatino Linotype" w:eastAsia="Palatino Linotype" w:hAnsi="Palatino Linotype" w:cs="Palatino Linotype"/>
          <w:color w:val="000000" w:themeColor="text1"/>
        </w:rPr>
        <w:t xml:space="preserve">Se hace del conocimiento del </w:t>
      </w:r>
      <w:r w:rsidRPr="00CD52F1">
        <w:rPr>
          <w:rFonts w:ascii="Palatino Linotype" w:eastAsia="Palatino Linotype" w:hAnsi="Palatino Linotype" w:cs="Palatino Linotype"/>
          <w:b/>
          <w:color w:val="000000" w:themeColor="text1"/>
        </w:rPr>
        <w:t>RECURRENTE</w:t>
      </w:r>
      <w:r w:rsidRPr="00CD52F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B3FFC" w:rsidRPr="00CD52F1" w:rsidRDefault="00AB3FFC" w:rsidP="00DA13B7">
      <w:pPr>
        <w:spacing w:line="360" w:lineRule="auto"/>
        <w:ind w:right="49"/>
        <w:jc w:val="both"/>
        <w:rPr>
          <w:rFonts w:ascii="Palatino Linotype" w:eastAsia="Palatino Linotype" w:hAnsi="Palatino Linotype" w:cs="Palatino Linotype"/>
        </w:rPr>
      </w:pPr>
    </w:p>
    <w:p w:rsidR="00DA13B7" w:rsidRPr="009B0452" w:rsidRDefault="00DA13B7" w:rsidP="00DA13B7">
      <w:pPr>
        <w:spacing w:line="360" w:lineRule="auto"/>
        <w:ind w:right="49"/>
        <w:jc w:val="both"/>
        <w:rPr>
          <w:rFonts w:ascii="Palatino Linotype" w:eastAsia="Palatino Linotype" w:hAnsi="Palatino Linotype" w:cs="Palatino Linotype"/>
        </w:rPr>
      </w:pPr>
      <w:r w:rsidRPr="00CD52F1">
        <w:rPr>
          <w:rFonts w:ascii="Palatino Linotype" w:eastAsia="Palatino Linotype" w:hAnsi="Palatino Linotype" w:cs="Palatino Linotype"/>
        </w:rPr>
        <w:t xml:space="preserve">ASÍ LO RESUELVE, POR </w:t>
      </w:r>
      <w:r w:rsidR="001D4666" w:rsidRPr="00CD52F1">
        <w:rPr>
          <w:rFonts w:ascii="Palatino Linotype" w:eastAsia="Palatino Linotype" w:hAnsi="Palatino Linotype" w:cs="Palatino Linotype"/>
        </w:rPr>
        <w:t xml:space="preserve">MAYORÍA </w:t>
      </w:r>
      <w:r w:rsidRPr="00CD52F1">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D4666" w:rsidRPr="00CD52F1">
        <w:rPr>
          <w:rFonts w:ascii="Palatino Linotype" w:eastAsia="Palatino Linotype" w:hAnsi="Palatino Linotype" w:cs="Palatino Linotype"/>
        </w:rPr>
        <w:t xml:space="preserve"> EMITIENDO VOTO DISIDENTE</w:t>
      </w:r>
      <w:r w:rsidRPr="00CD52F1">
        <w:rPr>
          <w:rFonts w:ascii="Palatino Linotype" w:eastAsia="Palatino Linotype" w:hAnsi="Palatino Linotype" w:cs="Palatino Linotype"/>
        </w:rPr>
        <w:t xml:space="preserve">, LUIS GUSTAVO PARRA NORIEGA </w:t>
      </w:r>
      <w:r w:rsidR="001D4666" w:rsidRPr="00CD52F1">
        <w:rPr>
          <w:rFonts w:ascii="Palatino Linotype" w:eastAsia="Palatino Linotype" w:hAnsi="Palatino Linotype" w:cs="Palatino Linotype"/>
        </w:rPr>
        <w:t xml:space="preserve">EMITIENDO VOTO DISIDENTE </w:t>
      </w:r>
      <w:r w:rsidRPr="00CD52F1">
        <w:rPr>
          <w:rFonts w:ascii="Palatino Linotype" w:eastAsia="Palatino Linotype" w:hAnsi="Palatino Linotype" w:cs="Palatino Linotype"/>
        </w:rPr>
        <w:t xml:space="preserve">Y GUADALUPE </w:t>
      </w:r>
      <w:r w:rsidRPr="00CD52F1">
        <w:rPr>
          <w:rFonts w:ascii="Palatino Linotype" w:eastAsia="Palatino Linotype" w:hAnsi="Palatino Linotype" w:cs="Palatino Linotype"/>
        </w:rPr>
        <w:lastRenderedPageBreak/>
        <w:t>RAMÍREZ PEÑA; EN LA VIGÉSIMA OCTAVA SESIÓN ORDINARIA, CELEBRADA EL TRECE (13) DE AGOSTO DE DOS MIL VEINTICINCO, ANTE EL SECRETARIO TÉCNICO DEL PLENO ALEXIS TAPIA RAMÍREZ.</w:t>
      </w: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jc w:val="both"/>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spacing w:line="360" w:lineRule="auto"/>
        <w:ind w:right="-28"/>
        <w:rPr>
          <w:rFonts w:ascii="Palatino Linotype" w:eastAsia="Palatino Linotype" w:hAnsi="Palatino Linotype" w:cs="Palatino Linotype"/>
          <w:color w:val="000000" w:themeColor="text1"/>
        </w:rPr>
      </w:pPr>
    </w:p>
    <w:p w:rsidR="00CE6629" w:rsidRPr="00DA13B7" w:rsidRDefault="00CE6629" w:rsidP="00DA13B7">
      <w:pPr>
        <w:ind w:right="-28"/>
        <w:rPr>
          <w:rFonts w:ascii="Palatino Linotype" w:eastAsia="Palatino Linotype" w:hAnsi="Palatino Linotype" w:cs="Palatino Linotype"/>
          <w:color w:val="000000" w:themeColor="text1"/>
        </w:rPr>
      </w:pPr>
    </w:p>
    <w:p w:rsidR="00CE6629" w:rsidRPr="00DA13B7" w:rsidRDefault="00CE6629" w:rsidP="00DA13B7">
      <w:pPr>
        <w:ind w:right="-28"/>
        <w:rPr>
          <w:rFonts w:ascii="Palatino Linotype" w:eastAsia="Palatino Linotype" w:hAnsi="Palatino Linotype" w:cs="Palatino Linotype"/>
          <w:color w:val="000000" w:themeColor="text1"/>
        </w:rPr>
      </w:pPr>
    </w:p>
    <w:sectPr w:rsidR="00CE6629" w:rsidRPr="00DA13B7" w:rsidSect="00D8422C">
      <w:headerReference w:type="even" r:id="rId8"/>
      <w:headerReference w:type="default" r:id="rId9"/>
      <w:footerReference w:type="default" r:id="rId10"/>
      <w:headerReference w:type="first" r:id="rId11"/>
      <w:footerReference w:type="first" r:id="rId12"/>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3AE" w:rsidRDefault="008673AE">
      <w:r>
        <w:separator/>
      </w:r>
    </w:p>
  </w:endnote>
  <w:endnote w:type="continuationSeparator" w:id="0">
    <w:p w:rsidR="008673AE" w:rsidRDefault="0086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29" w:rsidRDefault="005A71E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51AB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51AB7">
      <w:rPr>
        <w:b/>
        <w:noProof/>
        <w:color w:val="000000"/>
      </w:rPr>
      <w:t>13</w:t>
    </w:r>
    <w:r>
      <w:rPr>
        <w:b/>
        <w:color w:val="000000"/>
      </w:rPr>
      <w:fldChar w:fldCharType="end"/>
    </w:r>
  </w:p>
  <w:p w:rsidR="00CE6629" w:rsidRDefault="00CE662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29" w:rsidRDefault="005A71E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51AB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51AB7">
      <w:rPr>
        <w:b/>
        <w:noProof/>
        <w:color w:val="000000"/>
      </w:rPr>
      <w:t>13</w:t>
    </w:r>
    <w:r>
      <w:rPr>
        <w:b/>
        <w:color w:val="000000"/>
      </w:rPr>
      <w:fldChar w:fldCharType="end"/>
    </w:r>
  </w:p>
  <w:p w:rsidR="00CE6629" w:rsidRDefault="00CE662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3AE" w:rsidRDefault="008673AE">
      <w:r>
        <w:separator/>
      </w:r>
    </w:p>
  </w:footnote>
  <w:footnote w:type="continuationSeparator" w:id="0">
    <w:p w:rsidR="008673AE" w:rsidRDefault="00867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29" w:rsidRDefault="008673A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348" w:type="dxa"/>
      <w:tblInd w:w="0" w:type="dxa"/>
      <w:tblLayout w:type="fixed"/>
      <w:tblLook w:val="0400" w:firstRow="0" w:lastRow="0" w:firstColumn="0" w:lastColumn="0" w:noHBand="0" w:noVBand="1"/>
    </w:tblPr>
    <w:tblGrid>
      <w:gridCol w:w="3402"/>
      <w:gridCol w:w="6946"/>
    </w:tblGrid>
    <w:tr w:rsidR="00CE6629" w:rsidTr="00D8422C">
      <w:trPr>
        <w:trHeight w:val="1435"/>
      </w:trPr>
      <w:tc>
        <w:tcPr>
          <w:tcW w:w="3402" w:type="dxa"/>
          <w:shd w:val="clear" w:color="auto" w:fill="auto"/>
        </w:tcPr>
        <w:p w:rsidR="00CE6629" w:rsidRDefault="00CE6629">
          <w:pPr>
            <w:tabs>
              <w:tab w:val="right" w:pos="4273"/>
            </w:tabs>
            <w:rPr>
              <w:rFonts w:ascii="Garamond" w:eastAsia="Garamond" w:hAnsi="Garamond" w:cs="Garamond"/>
              <w:sz w:val="16"/>
              <w:szCs w:val="16"/>
            </w:rPr>
          </w:pPr>
        </w:p>
      </w:tc>
      <w:tc>
        <w:tcPr>
          <w:tcW w:w="6946" w:type="dxa"/>
          <w:shd w:val="clear" w:color="auto" w:fill="auto"/>
        </w:tcPr>
        <w:tbl>
          <w:tblPr>
            <w:tblStyle w:val="a0"/>
            <w:tblW w:w="7075" w:type="dxa"/>
            <w:tblInd w:w="40" w:type="dxa"/>
            <w:tblLayout w:type="fixed"/>
            <w:tblLook w:val="0400" w:firstRow="0" w:lastRow="0" w:firstColumn="0" w:lastColumn="0" w:noHBand="0" w:noVBand="1"/>
          </w:tblPr>
          <w:tblGrid>
            <w:gridCol w:w="2822"/>
            <w:gridCol w:w="4253"/>
          </w:tblGrid>
          <w:tr w:rsidR="00CE6629" w:rsidTr="00DA13B7">
            <w:trPr>
              <w:trHeight w:val="150"/>
            </w:trPr>
            <w:tc>
              <w:tcPr>
                <w:tcW w:w="2822" w:type="dxa"/>
                <w:shd w:val="clear" w:color="auto" w:fill="auto"/>
              </w:tcPr>
              <w:p w:rsidR="00CE6629" w:rsidRPr="00DA13B7" w:rsidRDefault="005A71E5" w:rsidP="00DA13B7">
                <w:pPr>
                  <w:tabs>
                    <w:tab w:val="right" w:pos="8838"/>
                  </w:tabs>
                  <w:ind w:right="-105"/>
                  <w:rPr>
                    <w:rFonts w:ascii="Palatino Linotype" w:eastAsia="Palatino Linotype" w:hAnsi="Palatino Linotype" w:cs="Palatino Linotype"/>
                    <w:b/>
                  </w:rPr>
                </w:pPr>
                <w:r w:rsidRPr="00DA13B7">
                  <w:rPr>
                    <w:rFonts w:ascii="Palatino Linotype" w:eastAsia="Palatino Linotype" w:hAnsi="Palatino Linotype" w:cs="Palatino Linotype"/>
                    <w:b/>
                  </w:rPr>
                  <w:t>Recurso de Revisión:</w:t>
                </w:r>
              </w:p>
            </w:tc>
            <w:tc>
              <w:tcPr>
                <w:tcW w:w="4253" w:type="dxa"/>
                <w:shd w:val="clear" w:color="auto" w:fill="auto"/>
              </w:tcPr>
              <w:p w:rsidR="00CE6629" w:rsidRPr="00DA13B7" w:rsidRDefault="005A71E5" w:rsidP="00DA13B7">
                <w:pPr>
                  <w:tabs>
                    <w:tab w:val="right" w:pos="8838"/>
                  </w:tabs>
                  <w:ind w:left="-108" w:right="-102"/>
                  <w:jc w:val="both"/>
                  <w:rPr>
                    <w:rFonts w:ascii="Palatino Linotype" w:eastAsia="Palatino Linotype" w:hAnsi="Palatino Linotype" w:cs="Palatino Linotype"/>
                  </w:rPr>
                </w:pPr>
                <w:r w:rsidRPr="00DA13B7">
                  <w:rPr>
                    <w:rFonts w:ascii="Palatino Linotype" w:eastAsia="Palatino Linotype" w:hAnsi="Palatino Linotype" w:cs="Palatino Linotype"/>
                  </w:rPr>
                  <w:t>06688/INFOEM/IP/RR/2025</w:t>
                </w:r>
              </w:p>
            </w:tc>
          </w:tr>
          <w:tr w:rsidR="00CE6629" w:rsidTr="00DA13B7">
            <w:trPr>
              <w:trHeight w:val="295"/>
            </w:trPr>
            <w:tc>
              <w:tcPr>
                <w:tcW w:w="2822" w:type="dxa"/>
                <w:shd w:val="clear" w:color="auto" w:fill="auto"/>
              </w:tcPr>
              <w:p w:rsidR="00CE6629" w:rsidRPr="00DA13B7" w:rsidRDefault="005A71E5" w:rsidP="00DA13B7">
                <w:pPr>
                  <w:tabs>
                    <w:tab w:val="right" w:pos="8838"/>
                  </w:tabs>
                  <w:ind w:right="-105"/>
                  <w:rPr>
                    <w:rFonts w:ascii="Palatino Linotype" w:eastAsia="Palatino Linotype" w:hAnsi="Palatino Linotype" w:cs="Palatino Linotype"/>
                    <w:b/>
                  </w:rPr>
                </w:pPr>
                <w:r w:rsidRPr="00DA13B7">
                  <w:rPr>
                    <w:rFonts w:ascii="Palatino Linotype" w:eastAsia="Palatino Linotype" w:hAnsi="Palatino Linotype" w:cs="Palatino Linotype"/>
                    <w:b/>
                  </w:rPr>
                  <w:t>Sujeto Obligado:</w:t>
                </w:r>
              </w:p>
            </w:tc>
            <w:tc>
              <w:tcPr>
                <w:tcW w:w="4253" w:type="dxa"/>
                <w:shd w:val="clear" w:color="auto" w:fill="auto"/>
              </w:tcPr>
              <w:p w:rsidR="00CE6629" w:rsidRPr="00DA13B7" w:rsidRDefault="005A71E5" w:rsidP="00DA13B7">
                <w:pPr>
                  <w:tabs>
                    <w:tab w:val="left" w:pos="2834"/>
                    <w:tab w:val="right" w:pos="8838"/>
                  </w:tabs>
                  <w:ind w:left="-108" w:right="-102"/>
                  <w:jc w:val="both"/>
                  <w:rPr>
                    <w:rFonts w:ascii="Palatino Linotype" w:eastAsia="Palatino Linotype" w:hAnsi="Palatino Linotype" w:cs="Palatino Linotype"/>
                    <w:b/>
                  </w:rPr>
                </w:pPr>
                <w:r w:rsidRPr="00DA13B7">
                  <w:rPr>
                    <w:rFonts w:ascii="Palatino Linotype" w:eastAsia="Palatino Linotype" w:hAnsi="Palatino Linotype" w:cs="Palatino Linotype"/>
                  </w:rPr>
                  <w:t>Ayuntamiento de Calimaya</w:t>
                </w:r>
              </w:p>
            </w:tc>
          </w:tr>
          <w:tr w:rsidR="00CE6629" w:rsidTr="00DA13B7">
            <w:trPr>
              <w:trHeight w:val="295"/>
            </w:trPr>
            <w:tc>
              <w:tcPr>
                <w:tcW w:w="2822" w:type="dxa"/>
                <w:shd w:val="clear" w:color="auto" w:fill="auto"/>
              </w:tcPr>
              <w:p w:rsidR="00CE6629" w:rsidRPr="00DA13B7" w:rsidRDefault="005A71E5" w:rsidP="00DA13B7">
                <w:pPr>
                  <w:tabs>
                    <w:tab w:val="right" w:pos="8838"/>
                  </w:tabs>
                  <w:ind w:right="-105"/>
                  <w:rPr>
                    <w:rFonts w:ascii="Palatino Linotype" w:eastAsia="Palatino Linotype" w:hAnsi="Palatino Linotype" w:cs="Palatino Linotype"/>
                    <w:b/>
                  </w:rPr>
                </w:pPr>
                <w:r w:rsidRPr="00DA13B7">
                  <w:rPr>
                    <w:rFonts w:ascii="Palatino Linotype" w:eastAsia="Palatino Linotype" w:hAnsi="Palatino Linotype" w:cs="Palatino Linotype"/>
                    <w:b/>
                  </w:rPr>
                  <w:t>Comisionada ponente:</w:t>
                </w:r>
              </w:p>
            </w:tc>
            <w:tc>
              <w:tcPr>
                <w:tcW w:w="4253" w:type="dxa"/>
                <w:shd w:val="clear" w:color="auto" w:fill="auto"/>
              </w:tcPr>
              <w:p w:rsidR="00CE6629" w:rsidRPr="00DA13B7" w:rsidRDefault="005A71E5" w:rsidP="00DA13B7">
                <w:pPr>
                  <w:tabs>
                    <w:tab w:val="right" w:pos="8838"/>
                  </w:tabs>
                  <w:ind w:left="-108" w:right="171"/>
                  <w:jc w:val="both"/>
                  <w:rPr>
                    <w:rFonts w:ascii="Palatino Linotype" w:eastAsia="Palatino Linotype" w:hAnsi="Palatino Linotype" w:cs="Palatino Linotype"/>
                  </w:rPr>
                </w:pPr>
                <w:r w:rsidRPr="00DA13B7">
                  <w:rPr>
                    <w:rFonts w:ascii="Palatino Linotype" w:eastAsia="Palatino Linotype" w:hAnsi="Palatino Linotype" w:cs="Palatino Linotype"/>
                  </w:rPr>
                  <w:t>María del Rosario Mejía Ayala</w:t>
                </w:r>
              </w:p>
              <w:p w:rsidR="00CE6629" w:rsidRPr="00DA13B7" w:rsidRDefault="00CE6629" w:rsidP="00DA13B7">
                <w:pPr>
                  <w:tabs>
                    <w:tab w:val="right" w:pos="8838"/>
                  </w:tabs>
                  <w:ind w:left="-108" w:right="171"/>
                  <w:jc w:val="both"/>
                  <w:rPr>
                    <w:rFonts w:ascii="Palatino Linotype" w:eastAsia="Palatino Linotype" w:hAnsi="Palatino Linotype" w:cs="Palatino Linotype"/>
                    <w:b/>
                  </w:rPr>
                </w:pPr>
              </w:p>
            </w:tc>
          </w:tr>
        </w:tbl>
        <w:p w:rsidR="00CE6629" w:rsidRDefault="00CE6629">
          <w:pPr>
            <w:tabs>
              <w:tab w:val="right" w:pos="8838"/>
            </w:tabs>
            <w:ind w:left="-28"/>
            <w:jc w:val="both"/>
            <w:rPr>
              <w:rFonts w:ascii="Arial" w:eastAsia="Arial" w:hAnsi="Arial" w:cs="Arial"/>
              <w:b/>
              <w:sz w:val="22"/>
              <w:szCs w:val="22"/>
            </w:rPr>
          </w:pPr>
        </w:p>
      </w:tc>
    </w:tr>
  </w:tbl>
  <w:p w:rsidR="00CE6629" w:rsidRDefault="008673A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2.5pt;margin-top:-125.9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0" w:type="dxa"/>
      <w:tblLayout w:type="fixed"/>
      <w:tblLook w:val="0400" w:firstRow="0" w:lastRow="0" w:firstColumn="0" w:lastColumn="0" w:noHBand="0" w:noVBand="1"/>
    </w:tblPr>
    <w:tblGrid>
      <w:gridCol w:w="2268"/>
      <w:gridCol w:w="7797"/>
    </w:tblGrid>
    <w:tr w:rsidR="00CE6629" w:rsidTr="00D8422C">
      <w:trPr>
        <w:trHeight w:val="1435"/>
      </w:trPr>
      <w:tc>
        <w:tcPr>
          <w:tcW w:w="2268" w:type="dxa"/>
          <w:shd w:val="clear" w:color="auto" w:fill="auto"/>
        </w:tcPr>
        <w:p w:rsidR="00CE6629" w:rsidRDefault="00CE6629">
          <w:pPr>
            <w:tabs>
              <w:tab w:val="right" w:pos="4273"/>
            </w:tabs>
            <w:rPr>
              <w:rFonts w:ascii="Garamond" w:eastAsia="Garamond" w:hAnsi="Garamond" w:cs="Garamond"/>
              <w:sz w:val="22"/>
              <w:szCs w:val="22"/>
            </w:rPr>
          </w:pPr>
        </w:p>
      </w:tc>
      <w:tc>
        <w:tcPr>
          <w:tcW w:w="7797" w:type="dxa"/>
          <w:shd w:val="clear" w:color="auto" w:fill="auto"/>
        </w:tcPr>
        <w:tbl>
          <w:tblPr>
            <w:tblStyle w:val="a2"/>
            <w:tblW w:w="6757" w:type="dxa"/>
            <w:tblInd w:w="1586" w:type="dxa"/>
            <w:tblLayout w:type="fixed"/>
            <w:tblLook w:val="0400" w:firstRow="0" w:lastRow="0" w:firstColumn="0" w:lastColumn="0" w:noHBand="0" w:noVBand="1"/>
          </w:tblPr>
          <w:tblGrid>
            <w:gridCol w:w="2539"/>
            <w:gridCol w:w="4218"/>
          </w:tblGrid>
          <w:tr w:rsidR="00CE6629" w:rsidTr="00D8422C">
            <w:trPr>
              <w:trHeight w:val="144"/>
            </w:trPr>
            <w:tc>
              <w:tcPr>
                <w:tcW w:w="2539" w:type="dxa"/>
                <w:shd w:val="clear" w:color="auto" w:fill="auto"/>
              </w:tcPr>
              <w:p w:rsidR="00CE6629" w:rsidRPr="00DA13B7" w:rsidRDefault="005A71E5" w:rsidP="00DA13B7">
                <w:pPr>
                  <w:tabs>
                    <w:tab w:val="right" w:pos="8838"/>
                  </w:tabs>
                  <w:ind w:left="-264" w:right="-105" w:firstLine="195"/>
                  <w:rPr>
                    <w:rFonts w:ascii="Palatino Linotype" w:eastAsia="Palatino Linotype" w:hAnsi="Palatino Linotype" w:cs="Palatino Linotype"/>
                    <w:b/>
                  </w:rPr>
                </w:pPr>
                <w:r w:rsidRPr="00DA13B7">
                  <w:rPr>
                    <w:rFonts w:ascii="Palatino Linotype" w:eastAsia="Palatino Linotype" w:hAnsi="Palatino Linotype" w:cs="Palatino Linotype"/>
                    <w:b/>
                  </w:rPr>
                  <w:t>Recurso de Revisión:</w:t>
                </w:r>
              </w:p>
            </w:tc>
            <w:tc>
              <w:tcPr>
                <w:tcW w:w="4218" w:type="dxa"/>
                <w:shd w:val="clear" w:color="auto" w:fill="auto"/>
              </w:tcPr>
              <w:p w:rsidR="00CE6629" w:rsidRPr="00DA13B7" w:rsidRDefault="005A71E5" w:rsidP="00DA13B7">
                <w:pPr>
                  <w:tabs>
                    <w:tab w:val="right" w:pos="8838"/>
                  </w:tabs>
                  <w:ind w:left="-74" w:right="-105"/>
                  <w:jc w:val="both"/>
                  <w:rPr>
                    <w:rFonts w:ascii="Palatino Linotype" w:eastAsia="Palatino Linotype" w:hAnsi="Palatino Linotype" w:cs="Palatino Linotype"/>
                  </w:rPr>
                </w:pPr>
                <w:r w:rsidRPr="00DA13B7">
                  <w:rPr>
                    <w:rFonts w:ascii="Palatino Linotype" w:eastAsia="Palatino Linotype" w:hAnsi="Palatino Linotype" w:cs="Palatino Linotype"/>
                  </w:rPr>
                  <w:t>06688/INFOEM/IP/RR/2025</w:t>
                </w:r>
              </w:p>
            </w:tc>
          </w:tr>
          <w:tr w:rsidR="00CE6629" w:rsidTr="00D8422C">
            <w:trPr>
              <w:trHeight w:val="144"/>
            </w:trPr>
            <w:tc>
              <w:tcPr>
                <w:tcW w:w="2539" w:type="dxa"/>
                <w:shd w:val="clear" w:color="auto" w:fill="auto"/>
              </w:tcPr>
              <w:p w:rsidR="00CE6629" w:rsidRPr="00DA13B7" w:rsidRDefault="005A71E5" w:rsidP="00DA13B7">
                <w:pPr>
                  <w:tabs>
                    <w:tab w:val="right" w:pos="8838"/>
                  </w:tabs>
                  <w:ind w:left="-74" w:right="-105"/>
                  <w:rPr>
                    <w:rFonts w:ascii="Palatino Linotype" w:eastAsia="Palatino Linotype" w:hAnsi="Palatino Linotype" w:cs="Palatino Linotype"/>
                    <w:b/>
                  </w:rPr>
                </w:pPr>
                <w:r w:rsidRPr="00DA13B7">
                  <w:rPr>
                    <w:rFonts w:ascii="Palatino Linotype" w:eastAsia="Palatino Linotype" w:hAnsi="Palatino Linotype" w:cs="Palatino Linotype"/>
                    <w:b/>
                  </w:rPr>
                  <w:t>Recurrente:</w:t>
                </w:r>
              </w:p>
            </w:tc>
            <w:tc>
              <w:tcPr>
                <w:tcW w:w="4218" w:type="dxa"/>
                <w:shd w:val="clear" w:color="auto" w:fill="auto"/>
              </w:tcPr>
              <w:p w:rsidR="00CE6629" w:rsidRPr="00DA13B7" w:rsidRDefault="00CE6629" w:rsidP="00DA13B7">
                <w:pPr>
                  <w:tabs>
                    <w:tab w:val="left" w:pos="3122"/>
                    <w:tab w:val="right" w:pos="8838"/>
                  </w:tabs>
                  <w:ind w:left="-74" w:right="-105"/>
                  <w:jc w:val="both"/>
                  <w:rPr>
                    <w:rFonts w:ascii="Palatino Linotype" w:eastAsia="Palatino Linotype" w:hAnsi="Palatino Linotype" w:cs="Palatino Linotype"/>
                  </w:rPr>
                </w:pPr>
              </w:p>
            </w:tc>
          </w:tr>
          <w:tr w:rsidR="00CE6629" w:rsidTr="00D8422C">
            <w:trPr>
              <w:trHeight w:val="283"/>
            </w:trPr>
            <w:tc>
              <w:tcPr>
                <w:tcW w:w="2539" w:type="dxa"/>
                <w:shd w:val="clear" w:color="auto" w:fill="auto"/>
              </w:tcPr>
              <w:p w:rsidR="00CE6629" w:rsidRPr="00DA13B7" w:rsidRDefault="005A71E5" w:rsidP="00DA13B7">
                <w:pPr>
                  <w:tabs>
                    <w:tab w:val="right" w:pos="8838"/>
                  </w:tabs>
                  <w:ind w:left="-74" w:right="-105"/>
                  <w:rPr>
                    <w:rFonts w:ascii="Palatino Linotype" w:eastAsia="Palatino Linotype" w:hAnsi="Palatino Linotype" w:cs="Palatino Linotype"/>
                    <w:b/>
                  </w:rPr>
                </w:pPr>
                <w:r w:rsidRPr="00DA13B7">
                  <w:rPr>
                    <w:rFonts w:ascii="Palatino Linotype" w:eastAsia="Palatino Linotype" w:hAnsi="Palatino Linotype" w:cs="Palatino Linotype"/>
                    <w:b/>
                  </w:rPr>
                  <w:t>Sujeto Obligado:</w:t>
                </w:r>
              </w:p>
            </w:tc>
            <w:tc>
              <w:tcPr>
                <w:tcW w:w="4218" w:type="dxa"/>
                <w:shd w:val="clear" w:color="auto" w:fill="auto"/>
              </w:tcPr>
              <w:p w:rsidR="00CE6629" w:rsidRPr="00DA13B7" w:rsidRDefault="005A71E5" w:rsidP="00DA13B7">
                <w:pPr>
                  <w:tabs>
                    <w:tab w:val="left" w:pos="2834"/>
                    <w:tab w:val="right" w:pos="8838"/>
                  </w:tabs>
                  <w:ind w:left="-74" w:right="-105"/>
                  <w:jc w:val="both"/>
                  <w:rPr>
                    <w:rFonts w:ascii="Palatino Linotype" w:eastAsia="Palatino Linotype" w:hAnsi="Palatino Linotype" w:cs="Palatino Linotype"/>
                  </w:rPr>
                </w:pPr>
                <w:r w:rsidRPr="00DA13B7">
                  <w:rPr>
                    <w:rFonts w:ascii="Palatino Linotype" w:eastAsia="Palatino Linotype" w:hAnsi="Palatino Linotype" w:cs="Palatino Linotype"/>
                  </w:rPr>
                  <w:t xml:space="preserve">Ayuntamiento de Calimaya </w:t>
                </w:r>
              </w:p>
            </w:tc>
          </w:tr>
          <w:tr w:rsidR="00CE6629" w:rsidTr="00D8422C">
            <w:trPr>
              <w:trHeight w:val="283"/>
            </w:trPr>
            <w:tc>
              <w:tcPr>
                <w:tcW w:w="2539" w:type="dxa"/>
                <w:shd w:val="clear" w:color="auto" w:fill="auto"/>
              </w:tcPr>
              <w:p w:rsidR="00CE6629" w:rsidRPr="00DA13B7" w:rsidRDefault="005A71E5" w:rsidP="00DA13B7">
                <w:pPr>
                  <w:tabs>
                    <w:tab w:val="right" w:pos="8838"/>
                  </w:tabs>
                  <w:ind w:left="-74" w:right="-105"/>
                  <w:rPr>
                    <w:rFonts w:ascii="Palatino Linotype" w:eastAsia="Palatino Linotype" w:hAnsi="Palatino Linotype" w:cs="Palatino Linotype"/>
                    <w:b/>
                  </w:rPr>
                </w:pPr>
                <w:r w:rsidRPr="00DA13B7">
                  <w:rPr>
                    <w:rFonts w:ascii="Palatino Linotype" w:eastAsia="Palatino Linotype" w:hAnsi="Palatino Linotype" w:cs="Palatino Linotype"/>
                    <w:b/>
                  </w:rPr>
                  <w:t>Comisionada ponente:</w:t>
                </w:r>
              </w:p>
            </w:tc>
            <w:tc>
              <w:tcPr>
                <w:tcW w:w="4218" w:type="dxa"/>
                <w:shd w:val="clear" w:color="auto" w:fill="auto"/>
              </w:tcPr>
              <w:p w:rsidR="00CE6629" w:rsidRPr="00DA13B7" w:rsidRDefault="005A71E5" w:rsidP="00DA13B7">
                <w:pPr>
                  <w:tabs>
                    <w:tab w:val="right" w:pos="8838"/>
                  </w:tabs>
                  <w:ind w:left="-74" w:right="-105"/>
                  <w:jc w:val="both"/>
                  <w:rPr>
                    <w:rFonts w:ascii="Palatino Linotype" w:eastAsia="Palatino Linotype" w:hAnsi="Palatino Linotype" w:cs="Palatino Linotype"/>
                  </w:rPr>
                </w:pPr>
                <w:r w:rsidRPr="00DA13B7">
                  <w:rPr>
                    <w:rFonts w:ascii="Palatino Linotype" w:eastAsia="Palatino Linotype" w:hAnsi="Palatino Linotype" w:cs="Palatino Linotype"/>
                  </w:rPr>
                  <w:t>María del Rosario Mejía Ayala</w:t>
                </w:r>
              </w:p>
              <w:p w:rsidR="00CE6629" w:rsidRPr="00DA13B7" w:rsidRDefault="00CE6629" w:rsidP="00DA13B7">
                <w:pPr>
                  <w:tabs>
                    <w:tab w:val="right" w:pos="8838"/>
                  </w:tabs>
                  <w:ind w:left="-74" w:right="-105"/>
                  <w:jc w:val="both"/>
                  <w:rPr>
                    <w:rFonts w:ascii="Palatino Linotype" w:eastAsia="Palatino Linotype" w:hAnsi="Palatino Linotype" w:cs="Palatino Linotype"/>
                    <w:b/>
                  </w:rPr>
                </w:pPr>
              </w:p>
            </w:tc>
          </w:tr>
        </w:tbl>
        <w:p w:rsidR="00CE6629" w:rsidRDefault="00CE6629">
          <w:pPr>
            <w:tabs>
              <w:tab w:val="right" w:pos="8838"/>
            </w:tabs>
            <w:ind w:left="-28"/>
            <w:jc w:val="both"/>
            <w:rPr>
              <w:rFonts w:ascii="Arial" w:eastAsia="Arial" w:hAnsi="Arial" w:cs="Arial"/>
              <w:b/>
              <w:sz w:val="22"/>
              <w:szCs w:val="22"/>
            </w:rPr>
          </w:pPr>
        </w:p>
      </w:tc>
    </w:tr>
  </w:tbl>
  <w:p w:rsidR="00CE6629" w:rsidRDefault="008673A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A5C09"/>
    <w:multiLevelType w:val="multilevel"/>
    <w:tmpl w:val="040EF6C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F91CAE"/>
    <w:multiLevelType w:val="multilevel"/>
    <w:tmpl w:val="D8D4FE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433B7B"/>
    <w:multiLevelType w:val="hybridMultilevel"/>
    <w:tmpl w:val="C26A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F11A5A"/>
    <w:multiLevelType w:val="multilevel"/>
    <w:tmpl w:val="6A92BB0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29"/>
    <w:rsid w:val="000C62ED"/>
    <w:rsid w:val="00151AB7"/>
    <w:rsid w:val="00192651"/>
    <w:rsid w:val="001D4666"/>
    <w:rsid w:val="00307E81"/>
    <w:rsid w:val="005A71E5"/>
    <w:rsid w:val="00600DB8"/>
    <w:rsid w:val="008673AE"/>
    <w:rsid w:val="00AB3FFC"/>
    <w:rsid w:val="00CD52F1"/>
    <w:rsid w:val="00CE6629"/>
    <w:rsid w:val="00D17E8E"/>
    <w:rsid w:val="00D8422C"/>
    <w:rsid w:val="00DA13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3F18C3-8BB7-45BA-AF84-346212C3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3"/>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qRejd5IqzlgUZhOQyJbhb3Eig==">CgMxLjAyDmguZHp3Zm5waXc4YjgyMg5oLmZ3a3BmNjF3Njl0ZzIOaC56NXNxOTF3dXlwZ2gyDmguaHM2a3phM3RlZnBiMg5oLjJlc2w1dTlhcHNqczIOaC5xamR6Mm5oazJwYzgyDmguam5iY3M4Y2lneGd1Mg5oLnloMjY1a2dkbzY4dzIOaC5mOGNtbzltOHc3NzYyDmguMjV4aXpicXBzbXV2OAByITFINkUwNVhMM0o5bFZ2RHRJNERiSEhQU3lLck9ZWXppZA==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3049</Words>
  <Characters>16772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9</cp:revision>
  <cp:lastPrinted>2025-08-15T18:24:00Z</cp:lastPrinted>
  <dcterms:created xsi:type="dcterms:W3CDTF">2025-08-07T18:22:00Z</dcterms:created>
  <dcterms:modified xsi:type="dcterms:W3CDTF">2025-08-21T20:04:00Z</dcterms:modified>
</cp:coreProperties>
</file>