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E4D" w:rsidRDefault="00EE2E4D">
      <w:pPr>
        <w:widowControl w:val="0"/>
        <w:pBdr>
          <w:top w:val="nil"/>
          <w:left w:val="nil"/>
          <w:bottom w:val="nil"/>
          <w:right w:val="nil"/>
          <w:between w:val="nil"/>
        </w:pBdr>
        <w:spacing w:after="0" w:line="276" w:lineRule="auto"/>
        <w:jc w:val="left"/>
      </w:pPr>
    </w:p>
    <w:p w:rsidR="00EE2E4D" w:rsidRDefault="00EE2E4D">
      <w:pPr>
        <w:widowControl w:val="0"/>
        <w:pBdr>
          <w:top w:val="nil"/>
          <w:left w:val="nil"/>
          <w:bottom w:val="nil"/>
          <w:right w:val="nil"/>
          <w:between w:val="nil"/>
        </w:pBdr>
        <w:spacing w:after="0" w:line="276" w:lineRule="auto"/>
        <w:jc w:val="left"/>
      </w:pPr>
    </w:p>
    <w:p w:rsidR="00AD2507" w:rsidRDefault="00F10379">
      <w:pPr>
        <w:tabs>
          <w:tab w:val="left" w:pos="8931"/>
        </w:tabs>
        <w:spacing w:after="0" w:line="360" w:lineRule="auto"/>
      </w:pPr>
      <w:r>
        <w:t xml:space="preserve">Resolución del Pleno del Instituto de Transparencia, Acceso a la Información Pública y Protección de Datos Personales del Estado de México y Municipios, con domicilio en Metepec, Estado de México, de fecha veinte de agosto de dos mil veinticinco. </w:t>
      </w:r>
    </w:p>
    <w:p w:rsidR="00AD2507" w:rsidRDefault="00AD2507">
      <w:pPr>
        <w:spacing w:after="0" w:line="360" w:lineRule="auto"/>
        <w:rPr>
          <w:b/>
        </w:rPr>
      </w:pPr>
    </w:p>
    <w:p w:rsidR="00AD2507" w:rsidRDefault="00F10379">
      <w:pPr>
        <w:spacing w:after="0" w:line="360" w:lineRule="auto"/>
        <w:rPr>
          <w:color w:val="0D0D0D"/>
        </w:rPr>
      </w:pPr>
      <w:r>
        <w:rPr>
          <w:b/>
        </w:rPr>
        <w:t xml:space="preserve">VISTO </w:t>
      </w:r>
      <w:r>
        <w:t xml:space="preserve">el expediente electrónico conformado con motivo del Recurso de Revisión </w:t>
      </w:r>
      <w:r w:rsidRPr="00422346">
        <w:rPr>
          <w:b/>
        </w:rPr>
        <w:t>07096/INFOEM/IP/RR/2025</w:t>
      </w:r>
      <w:r>
        <w:t xml:space="preserve">, interpuesto, en lo sucesivo el </w:t>
      </w:r>
      <w:r>
        <w:rPr>
          <w:color w:val="0D0D0D"/>
        </w:rPr>
        <w:t xml:space="preserve">Recurrente o Particular, en contra de la respuesta del Sujeto Obligado, </w:t>
      </w:r>
      <w:r w:rsidRPr="00422346">
        <w:rPr>
          <w:b/>
        </w:rPr>
        <w:t>Sistema Municipal para el Desarrollo Integral de la Familia de Teoloyucan</w:t>
      </w:r>
      <w:r>
        <w:t xml:space="preserve"> es</w:t>
      </w:r>
      <w:r>
        <w:rPr>
          <w:color w:val="0D0D0D"/>
        </w:rPr>
        <w:t>, a la solicitud de acceso a la información pública</w:t>
      </w:r>
      <w:r>
        <w:rPr>
          <w:rFonts w:ascii="Verdana" w:eastAsia="Verdana" w:hAnsi="Verdana" w:cs="Verdana"/>
          <w:b/>
          <w:color w:val="FF0000"/>
        </w:rPr>
        <w:t xml:space="preserve"> </w:t>
      </w:r>
      <w:r>
        <w:rPr>
          <w:color w:val="000000"/>
        </w:rPr>
        <w:t xml:space="preserve">00062/DIFTEOLOYU/IP/2025, </w:t>
      </w:r>
      <w:r>
        <w:rPr>
          <w:color w:val="0D0D0D"/>
        </w:rPr>
        <w:t>se emite la presente Resolución, con base en los Antecedentes y Considerandos que se exponen a continuación:</w:t>
      </w:r>
    </w:p>
    <w:p w:rsidR="0062581E" w:rsidRDefault="0062581E">
      <w:pPr>
        <w:spacing w:after="0" w:line="360" w:lineRule="auto"/>
        <w:rPr>
          <w:color w:val="0D0D0D"/>
        </w:rPr>
      </w:pPr>
    </w:p>
    <w:p w:rsidR="00AD2507" w:rsidRDefault="00AD2507">
      <w:pPr>
        <w:spacing w:after="0" w:line="360" w:lineRule="auto"/>
        <w:rPr>
          <w:b/>
        </w:rPr>
      </w:pPr>
    </w:p>
    <w:p w:rsidR="00AD2507" w:rsidRDefault="00F10379">
      <w:pPr>
        <w:spacing w:after="0" w:line="360" w:lineRule="auto"/>
        <w:jc w:val="center"/>
        <w:rPr>
          <w:b/>
        </w:rPr>
      </w:pPr>
      <w:r>
        <w:rPr>
          <w:b/>
        </w:rPr>
        <w:t>A N T E C E D E N T E S</w:t>
      </w:r>
    </w:p>
    <w:p w:rsidR="00AD2507" w:rsidRDefault="00AD2507">
      <w:pPr>
        <w:spacing w:after="0" w:line="360" w:lineRule="auto"/>
        <w:jc w:val="center"/>
        <w:rPr>
          <w:b/>
        </w:rPr>
      </w:pPr>
    </w:p>
    <w:p w:rsidR="00AD2507" w:rsidRDefault="00F10379">
      <w:pPr>
        <w:spacing w:after="0" w:line="360" w:lineRule="auto"/>
        <w:rPr>
          <w:b/>
        </w:rPr>
      </w:pPr>
      <w:r>
        <w:rPr>
          <w:b/>
        </w:rPr>
        <w:t>I. Presentación de la solicitud de información</w:t>
      </w:r>
    </w:p>
    <w:p w:rsidR="00AD2507" w:rsidRDefault="00AD2507">
      <w:pPr>
        <w:spacing w:after="0" w:line="360" w:lineRule="auto"/>
        <w:rPr>
          <w:b/>
        </w:rPr>
      </w:pPr>
    </w:p>
    <w:p w:rsidR="00AD2507" w:rsidRDefault="00F10379">
      <w:pPr>
        <w:spacing w:after="0" w:line="360" w:lineRule="auto"/>
      </w:pPr>
      <w:r>
        <w:t xml:space="preserve">Con fecha veintisiete de mayo de dos mil veinticinco, el Particular presentó una solicitud de acceso a la información pública  a través del Sistema de Acceso a la Información Mexiquense (SAIMEX), ante el Sujeto Obligado, en los siguientes términos: </w:t>
      </w:r>
    </w:p>
    <w:p w:rsidR="00AD2507" w:rsidRDefault="00AD2507">
      <w:pPr>
        <w:pBdr>
          <w:top w:val="nil"/>
          <w:left w:val="nil"/>
          <w:bottom w:val="nil"/>
          <w:right w:val="nil"/>
          <w:between w:val="nil"/>
        </w:pBdr>
        <w:tabs>
          <w:tab w:val="left" w:pos="567"/>
        </w:tabs>
        <w:spacing w:after="0" w:line="360" w:lineRule="auto"/>
        <w:rPr>
          <w:color w:val="000000"/>
        </w:rPr>
      </w:pPr>
    </w:p>
    <w:p w:rsidR="00AD2507" w:rsidRDefault="00F10379">
      <w:pPr>
        <w:tabs>
          <w:tab w:val="left" w:pos="4667"/>
        </w:tabs>
        <w:spacing w:after="0" w:line="360" w:lineRule="auto"/>
        <w:ind w:left="567" w:right="567"/>
        <w:rPr>
          <w:b/>
          <w:i/>
          <w:sz w:val="20"/>
          <w:szCs w:val="20"/>
        </w:rPr>
      </w:pPr>
      <w:r>
        <w:rPr>
          <w:b/>
          <w:i/>
          <w:sz w:val="20"/>
          <w:szCs w:val="20"/>
        </w:rPr>
        <w:t>“DESCRIPCIÓN CLARA Y PRECISA DE LA INFORMACIÓN SOLICITADA</w:t>
      </w:r>
    </w:p>
    <w:p w:rsidR="00AD2507" w:rsidRDefault="00F10379">
      <w:pPr>
        <w:spacing w:after="0" w:line="360" w:lineRule="auto"/>
        <w:ind w:left="567" w:right="567"/>
        <w:rPr>
          <w:i/>
          <w:sz w:val="20"/>
          <w:szCs w:val="20"/>
        </w:rPr>
      </w:pPr>
      <w:r>
        <w:rPr>
          <w:i/>
          <w:sz w:val="20"/>
          <w:szCs w:val="20"/>
        </w:rPr>
        <w:t>Solicito todos los oficios firmados, por TESORERIA DEL ORGANISMO DE AGUA de TEOLOYUCAN del mes de MARZO 2025” (Sic)</w:t>
      </w:r>
    </w:p>
    <w:p w:rsidR="00AD2507" w:rsidRDefault="00AD2507">
      <w:pPr>
        <w:tabs>
          <w:tab w:val="left" w:pos="4667"/>
        </w:tabs>
        <w:spacing w:after="0" w:line="360" w:lineRule="auto"/>
        <w:ind w:right="567"/>
        <w:rPr>
          <w:i/>
          <w:sz w:val="20"/>
          <w:szCs w:val="20"/>
        </w:rPr>
      </w:pPr>
    </w:p>
    <w:p w:rsidR="00AD2507" w:rsidRDefault="00F10379">
      <w:pPr>
        <w:tabs>
          <w:tab w:val="left" w:pos="4667"/>
        </w:tabs>
        <w:spacing w:after="0" w:line="360" w:lineRule="auto"/>
        <w:ind w:left="567" w:right="567"/>
        <w:rPr>
          <w:b/>
          <w:i/>
          <w:sz w:val="20"/>
          <w:szCs w:val="20"/>
        </w:rPr>
      </w:pPr>
      <w:r>
        <w:rPr>
          <w:b/>
          <w:i/>
          <w:sz w:val="20"/>
          <w:szCs w:val="20"/>
        </w:rPr>
        <w:lastRenderedPageBreak/>
        <w:t>“MODALIDAD DE ENTREGA</w:t>
      </w:r>
    </w:p>
    <w:p w:rsidR="00AD2507" w:rsidRDefault="00F10379">
      <w:pPr>
        <w:spacing w:after="0" w:line="360" w:lineRule="auto"/>
        <w:ind w:left="567" w:right="567"/>
        <w:rPr>
          <w:i/>
          <w:sz w:val="20"/>
          <w:szCs w:val="20"/>
        </w:rPr>
      </w:pPr>
      <w:r>
        <w:rPr>
          <w:i/>
          <w:sz w:val="20"/>
          <w:szCs w:val="20"/>
        </w:rPr>
        <w:t>A través del SAIMEX”</w:t>
      </w:r>
    </w:p>
    <w:p w:rsidR="00AD2507" w:rsidRDefault="00AD2507">
      <w:pPr>
        <w:spacing w:after="0" w:line="360" w:lineRule="auto"/>
        <w:rPr>
          <w:i/>
          <w:sz w:val="20"/>
          <w:szCs w:val="20"/>
        </w:rPr>
      </w:pPr>
    </w:p>
    <w:p w:rsidR="00AD2507" w:rsidRDefault="00AD2507">
      <w:pPr>
        <w:spacing w:after="0" w:line="360" w:lineRule="auto"/>
        <w:rPr>
          <w:i/>
          <w:sz w:val="20"/>
          <w:szCs w:val="20"/>
        </w:rPr>
      </w:pPr>
    </w:p>
    <w:p w:rsidR="00AD2507" w:rsidRDefault="00F10379">
      <w:pPr>
        <w:tabs>
          <w:tab w:val="left" w:pos="4667"/>
        </w:tabs>
        <w:spacing w:after="0" w:line="360" w:lineRule="auto"/>
        <w:ind w:right="567"/>
        <w:rPr>
          <w:b/>
        </w:rPr>
      </w:pPr>
      <w:r>
        <w:rPr>
          <w:b/>
        </w:rPr>
        <w:t>II. Respuesta del Sujeto Obligado</w:t>
      </w:r>
    </w:p>
    <w:p w:rsidR="00AD2507" w:rsidRDefault="00AD2507">
      <w:pPr>
        <w:spacing w:after="0" w:line="360" w:lineRule="auto"/>
        <w:rPr>
          <w:b/>
        </w:rPr>
      </w:pPr>
    </w:p>
    <w:p w:rsidR="00AD2507" w:rsidRDefault="00F10379">
      <w:pPr>
        <w:spacing w:after="0" w:line="360" w:lineRule="auto"/>
      </w:pPr>
      <w:r>
        <w:t xml:space="preserve">El seis de junio de dos mil veinticinco,  el Sistema Municipal para el Desarrollo Integral de la Familia de Teoloyucan, notificó la respuesta a la solicitud, a través del Sistema de Acceso a la Información Mexiquense (SAIMEX), por medio del cual informa lo siguiente: </w:t>
      </w:r>
    </w:p>
    <w:p w:rsidR="00AD2507" w:rsidRDefault="00AD2507">
      <w:pPr>
        <w:spacing w:after="0" w:line="360" w:lineRule="auto"/>
      </w:pPr>
    </w:p>
    <w:p w:rsidR="00AD2507" w:rsidRDefault="00F10379">
      <w:pPr>
        <w:spacing w:after="0" w:line="276" w:lineRule="auto"/>
        <w:ind w:left="567" w:right="709"/>
        <w:rPr>
          <w:i/>
        </w:rPr>
      </w:pPr>
      <w:r>
        <w:rPr>
          <w:i/>
        </w:rPr>
        <w:t xml:space="preserve">“la Información que se pide en la solicitud no compete a nuestro organismo descentralizado, ya que nosotros somos y pertenecemos al sistema municipal </w:t>
      </w:r>
      <w:proofErr w:type="spellStart"/>
      <w:r>
        <w:rPr>
          <w:i/>
        </w:rPr>
        <w:t>dif</w:t>
      </w:r>
      <w:proofErr w:type="spellEnd"/>
      <w:r>
        <w:rPr>
          <w:i/>
        </w:rPr>
        <w:t xml:space="preserve"> de Teoloyucan y no al organismo del agua de nuestro municipio” (sic)</w:t>
      </w:r>
    </w:p>
    <w:p w:rsidR="00AD2507" w:rsidRDefault="00AD2507">
      <w:pPr>
        <w:spacing w:after="0" w:line="360" w:lineRule="auto"/>
      </w:pPr>
    </w:p>
    <w:p w:rsidR="00AD2507" w:rsidRDefault="00F10379">
      <w:pPr>
        <w:spacing w:after="0" w:line="360" w:lineRule="auto"/>
      </w:pPr>
      <w:r>
        <w:t xml:space="preserve">Asimismo, adjuntó el acuse de la solicitud de información. </w:t>
      </w:r>
    </w:p>
    <w:p w:rsidR="00AD2507" w:rsidRDefault="00AD2507">
      <w:pPr>
        <w:spacing w:after="0" w:line="360" w:lineRule="auto"/>
      </w:pPr>
    </w:p>
    <w:p w:rsidR="00AD2507" w:rsidRDefault="00F10379">
      <w:pPr>
        <w:spacing w:after="0" w:line="360" w:lineRule="auto"/>
        <w:rPr>
          <w:b/>
          <w:color w:val="000000"/>
        </w:rPr>
      </w:pPr>
      <w:r>
        <w:rPr>
          <w:b/>
          <w:color w:val="000000"/>
        </w:rPr>
        <w:t>III. Interposición del Recurso de Revisión</w:t>
      </w:r>
    </w:p>
    <w:p w:rsidR="00AD2507" w:rsidRDefault="00AD2507">
      <w:pPr>
        <w:spacing w:after="0" w:line="360" w:lineRule="auto"/>
      </w:pPr>
    </w:p>
    <w:p w:rsidR="00AD2507" w:rsidRDefault="00F10379">
      <w:pPr>
        <w:widowControl w:val="0"/>
        <w:spacing w:after="0" w:line="360" w:lineRule="auto"/>
      </w:pPr>
      <w:r>
        <w:t>El trece de junio de dos mil veinticinco, se recibió en este Instituto, a través del Sistema de Acceso a la Información Mexiquense (SAIMEX), el Recurso de Revisión interpuesto por la parte Recurrente, en contra de la respuesta del Sujeto Obligado, en los siguientes términos:</w:t>
      </w:r>
    </w:p>
    <w:p w:rsidR="00AD2507" w:rsidRDefault="00AD2507">
      <w:pPr>
        <w:widowControl w:val="0"/>
        <w:spacing w:after="0" w:line="360" w:lineRule="auto"/>
      </w:pPr>
    </w:p>
    <w:p w:rsidR="00AD2507" w:rsidRDefault="00F10379">
      <w:pPr>
        <w:spacing w:after="0" w:line="360" w:lineRule="auto"/>
        <w:ind w:left="567" w:right="567"/>
        <w:rPr>
          <w:b/>
          <w:i/>
          <w:sz w:val="20"/>
          <w:szCs w:val="20"/>
        </w:rPr>
      </w:pPr>
      <w:r>
        <w:rPr>
          <w:b/>
          <w:i/>
          <w:sz w:val="20"/>
          <w:szCs w:val="20"/>
        </w:rPr>
        <w:t>“ACTO IMPUGNADO</w:t>
      </w:r>
    </w:p>
    <w:p w:rsidR="00AD2507" w:rsidRDefault="00F10379">
      <w:pPr>
        <w:tabs>
          <w:tab w:val="left" w:pos="4667"/>
        </w:tabs>
        <w:spacing w:after="0" w:line="360" w:lineRule="auto"/>
        <w:ind w:left="567" w:right="567"/>
        <w:rPr>
          <w:i/>
          <w:sz w:val="20"/>
          <w:szCs w:val="20"/>
        </w:rPr>
      </w:pPr>
      <w:proofErr w:type="gramStart"/>
      <w:r>
        <w:rPr>
          <w:i/>
          <w:color w:val="000000"/>
          <w:sz w:val="20"/>
          <w:szCs w:val="20"/>
        </w:rPr>
        <w:t>no</w:t>
      </w:r>
      <w:proofErr w:type="gramEnd"/>
      <w:r>
        <w:rPr>
          <w:i/>
          <w:color w:val="000000"/>
          <w:sz w:val="20"/>
          <w:szCs w:val="20"/>
        </w:rPr>
        <w:t xml:space="preserve"> me orienta la persona</w:t>
      </w:r>
      <w:r>
        <w:rPr>
          <w:i/>
          <w:sz w:val="20"/>
          <w:szCs w:val="20"/>
        </w:rPr>
        <w:t>” (Sic.)</w:t>
      </w:r>
    </w:p>
    <w:p w:rsidR="00AD2507" w:rsidRDefault="00AD2507">
      <w:pPr>
        <w:tabs>
          <w:tab w:val="left" w:pos="4667"/>
        </w:tabs>
        <w:spacing w:after="0" w:line="360" w:lineRule="auto"/>
        <w:ind w:left="567" w:right="567"/>
        <w:rPr>
          <w:i/>
          <w:sz w:val="20"/>
          <w:szCs w:val="20"/>
        </w:rPr>
      </w:pPr>
    </w:p>
    <w:p w:rsidR="00AD2507" w:rsidRDefault="00F10379">
      <w:pPr>
        <w:spacing w:after="0" w:line="360" w:lineRule="auto"/>
        <w:ind w:left="567" w:right="567"/>
        <w:rPr>
          <w:b/>
          <w:i/>
          <w:sz w:val="20"/>
          <w:szCs w:val="20"/>
        </w:rPr>
      </w:pPr>
      <w:r>
        <w:rPr>
          <w:b/>
          <w:i/>
          <w:sz w:val="20"/>
          <w:szCs w:val="20"/>
        </w:rPr>
        <w:t>“RAZONES O MOTIVOS DE LA INCONFORMIDAD”</w:t>
      </w:r>
    </w:p>
    <w:p w:rsidR="00AD2507" w:rsidRDefault="00F10379">
      <w:pPr>
        <w:spacing w:after="0" w:line="360" w:lineRule="auto"/>
        <w:ind w:left="567" w:right="567"/>
        <w:rPr>
          <w:i/>
          <w:sz w:val="20"/>
          <w:szCs w:val="20"/>
        </w:rPr>
      </w:pPr>
      <w:proofErr w:type="gramStart"/>
      <w:r>
        <w:rPr>
          <w:i/>
          <w:color w:val="000000"/>
          <w:sz w:val="20"/>
          <w:szCs w:val="20"/>
        </w:rPr>
        <w:t>falta</w:t>
      </w:r>
      <w:proofErr w:type="gramEnd"/>
      <w:r>
        <w:rPr>
          <w:i/>
          <w:color w:val="000000"/>
          <w:sz w:val="20"/>
          <w:szCs w:val="20"/>
        </w:rPr>
        <w:t xml:space="preserve"> de respuesta o de </w:t>
      </w:r>
      <w:proofErr w:type="spellStart"/>
      <w:r>
        <w:rPr>
          <w:i/>
          <w:color w:val="000000"/>
          <w:sz w:val="20"/>
          <w:szCs w:val="20"/>
        </w:rPr>
        <w:t>orientacion</w:t>
      </w:r>
      <w:proofErr w:type="spellEnd"/>
      <w:r>
        <w:rPr>
          <w:i/>
          <w:color w:val="000000"/>
          <w:sz w:val="20"/>
          <w:szCs w:val="20"/>
        </w:rPr>
        <w:t>.</w:t>
      </w:r>
      <w:r>
        <w:rPr>
          <w:i/>
          <w:sz w:val="20"/>
          <w:szCs w:val="20"/>
        </w:rPr>
        <w:t>” (Sic.)</w:t>
      </w:r>
    </w:p>
    <w:p w:rsidR="00AD2507" w:rsidRDefault="00AD2507">
      <w:pPr>
        <w:spacing w:after="0" w:line="360" w:lineRule="auto"/>
        <w:rPr>
          <w:sz w:val="20"/>
          <w:szCs w:val="20"/>
        </w:rPr>
      </w:pPr>
    </w:p>
    <w:p w:rsidR="00AD2507" w:rsidRDefault="00AD2507">
      <w:pPr>
        <w:spacing w:after="0" w:line="360" w:lineRule="auto"/>
        <w:rPr>
          <w:sz w:val="20"/>
          <w:szCs w:val="20"/>
        </w:rPr>
      </w:pPr>
    </w:p>
    <w:p w:rsidR="00AD2507" w:rsidRDefault="00AD2507">
      <w:pPr>
        <w:spacing w:after="0" w:line="360" w:lineRule="auto"/>
        <w:rPr>
          <w:sz w:val="20"/>
          <w:szCs w:val="20"/>
        </w:rPr>
      </w:pPr>
    </w:p>
    <w:p w:rsidR="00AD2507" w:rsidRDefault="00F10379">
      <w:pPr>
        <w:spacing w:after="0" w:line="360" w:lineRule="auto"/>
        <w:rPr>
          <w:b/>
          <w:color w:val="000000"/>
        </w:rPr>
      </w:pPr>
      <w:r>
        <w:rPr>
          <w:b/>
          <w:color w:val="000000"/>
        </w:rPr>
        <w:t>IV. Trámite del Recurso de Revisión ante este Instituto</w:t>
      </w:r>
    </w:p>
    <w:p w:rsidR="00AD2507" w:rsidRDefault="00AD2507">
      <w:pPr>
        <w:spacing w:after="0" w:line="360" w:lineRule="auto"/>
        <w:rPr>
          <w:b/>
          <w:color w:val="000000"/>
        </w:rPr>
      </w:pPr>
    </w:p>
    <w:p w:rsidR="00AD2507" w:rsidRDefault="00F10379">
      <w:pPr>
        <w:spacing w:after="0" w:line="360" w:lineRule="auto"/>
        <w:rPr>
          <w:b/>
          <w:color w:val="000000"/>
        </w:rPr>
      </w:pPr>
      <w:r>
        <w:rPr>
          <w:b/>
          <w:color w:val="000000"/>
        </w:rPr>
        <w:t xml:space="preserve">a) Turno del Medio de Impugnación. </w:t>
      </w:r>
      <w:r>
        <w:rPr>
          <w:color w:val="000000"/>
        </w:rPr>
        <w:t xml:space="preserve">El trece de junio de dos mil veinticinco el Sistema de Acceso a la Información Mexiquense (SAIMEX), </w:t>
      </w:r>
      <w:r>
        <w:t xml:space="preserve">asignó el número de expediente </w:t>
      </w:r>
      <w:r>
        <w:rPr>
          <w:b/>
        </w:rPr>
        <w:t>07096/INFOEM/IP/RR/2025</w:t>
      </w:r>
      <w:r>
        <w:rPr>
          <w:color w:val="000000"/>
        </w:rPr>
        <w:t xml:space="preserve">, al Medio de Impugnación que nos ocupa, con base en el sistema aprobado por el Pleno de este Órgano Garante y lo turnó al </w:t>
      </w:r>
      <w:r>
        <w:rPr>
          <w:b/>
          <w:color w:val="000000"/>
        </w:rPr>
        <w:t>Comisionado Ponente Luis Gustavo Parra Noriega</w:t>
      </w:r>
      <w:r>
        <w:rPr>
          <w:color w:val="000000"/>
        </w:rPr>
        <w:t>, para los efectos del artículo 185, fracción I de la Ley de Transparencia y Acceso a la Información Pública del Estado de México y Municipios.</w:t>
      </w:r>
    </w:p>
    <w:p w:rsidR="00AD2507" w:rsidRDefault="00AD2507">
      <w:pPr>
        <w:spacing w:after="0" w:line="360" w:lineRule="auto"/>
        <w:rPr>
          <w:color w:val="000000"/>
        </w:rPr>
      </w:pPr>
    </w:p>
    <w:p w:rsidR="00AD2507" w:rsidRDefault="00F10379">
      <w:pPr>
        <w:spacing w:after="0" w:line="360" w:lineRule="auto"/>
        <w:rPr>
          <w:b/>
        </w:rPr>
      </w:pPr>
      <w:r>
        <w:rPr>
          <w:b/>
        </w:rPr>
        <w:t xml:space="preserve">b) Admisión del Recurso de Revisión. </w:t>
      </w:r>
      <w:r>
        <w:t xml:space="preserve">El veinte de junio 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debidamente notificado a las partes, el mismo día, a través del Sistema de Acceso a la Información Mexiquense (SAIMEX), en el que se les otorgó un plazo de siete días hábiles posteriores a la misma, para que manifestaran lo que a su derecho conviniera y formularan alegatos. </w:t>
      </w:r>
    </w:p>
    <w:p w:rsidR="00AD2507" w:rsidRDefault="00AD2507">
      <w:pPr>
        <w:spacing w:after="0" w:line="360" w:lineRule="auto"/>
      </w:pPr>
    </w:p>
    <w:p w:rsidR="00AD2507" w:rsidRDefault="00F10379">
      <w:pPr>
        <w:spacing w:after="0" w:line="360" w:lineRule="auto"/>
      </w:pPr>
      <w:r>
        <w:rPr>
          <w:b/>
        </w:rPr>
        <w:t xml:space="preserve">c) Informe Justificado. </w:t>
      </w:r>
      <w:r>
        <w:t>El diecisiete de julio de dos mil veinticinco, se recibió, a través del Sistema de Acceso a la Información Mexiquense (SAIMEX), el Informe Justificado del Sujeto Obligado, por medio del oficio número UIPPEDIF/OF-099/06/2025, de la misma fecha de recepción, suscrito por la Titular de la Unidad de Información, Planeación, Programación y Evaluación así como de la Unidad de Transparencia y dirigido a quien corresponda, por medio del cual refiere lo siguiente:</w:t>
      </w:r>
    </w:p>
    <w:p w:rsidR="00AD2507" w:rsidRDefault="00AD2507">
      <w:pPr>
        <w:spacing w:after="0" w:line="360" w:lineRule="auto"/>
      </w:pPr>
    </w:p>
    <w:p w:rsidR="00AD2507" w:rsidRDefault="00F10379">
      <w:pPr>
        <w:spacing w:after="0" w:line="360" w:lineRule="auto"/>
        <w:rPr>
          <w:i/>
        </w:rPr>
      </w:pPr>
      <w:r>
        <w:t>“</w:t>
      </w:r>
      <w:r>
        <w:rPr>
          <w:i/>
        </w:rPr>
        <w:t>Por medio de la presente, reciba un cordial saludo así como hago de su conocimiento la información que se pide en la solicitud no compete a nuestro organismo descentralizado, ya que nosotros somos y pertenecemos al Sistema Municipal para el desarrollo integral de la familia de Teoloyucan, y no al Organismo del Agua de nuestro Municipio”</w:t>
      </w:r>
    </w:p>
    <w:p w:rsidR="00AD2507" w:rsidRDefault="00AD2507">
      <w:pPr>
        <w:spacing w:after="0" w:line="360" w:lineRule="auto"/>
        <w:rPr>
          <w:i/>
        </w:rPr>
      </w:pPr>
    </w:p>
    <w:p w:rsidR="00AD2507" w:rsidRDefault="00F10379">
      <w:pPr>
        <w:spacing w:after="0" w:line="360" w:lineRule="auto"/>
        <w:rPr>
          <w:b/>
          <w:i/>
        </w:rPr>
      </w:pPr>
      <w:r>
        <w:rPr>
          <w:b/>
        </w:rPr>
        <w:t xml:space="preserve">d) Manifestaciones del Recurrente. </w:t>
      </w:r>
      <w:r>
        <w:t>En fecha veinticuatro de junio de dos mil veinticinco se recibió</w:t>
      </w:r>
      <w:r>
        <w:rPr>
          <w:b/>
        </w:rPr>
        <w:t xml:space="preserve"> </w:t>
      </w:r>
      <w:r>
        <w:t>a través del Sistema de Acceso a la Información Mexiquense (SAIMEX), las manifestaciones realizadas por el recurrente, por medio de una página en blanco donde refiere “</w:t>
      </w:r>
      <w:r>
        <w:rPr>
          <w:i/>
        </w:rPr>
        <w:t>NO DAN RESPUESTAS A NADA” “NO SON TRANSPARENTES”.</w:t>
      </w:r>
    </w:p>
    <w:p w:rsidR="00AD2507" w:rsidRDefault="00AD2507">
      <w:pPr>
        <w:spacing w:after="0" w:line="360" w:lineRule="auto"/>
      </w:pPr>
    </w:p>
    <w:p w:rsidR="00AD2507" w:rsidRDefault="00F10379">
      <w:pPr>
        <w:spacing w:after="0" w:line="360" w:lineRule="auto"/>
      </w:pPr>
      <w:r>
        <w:rPr>
          <w:b/>
        </w:rPr>
        <w:t xml:space="preserve">e) Vista del Informe Justificado. </w:t>
      </w:r>
      <w:r>
        <w:t xml:space="preserve">El trece de agosto de dos mil veinticinco, se dictó acuerdo, por medio del cual </w:t>
      </w:r>
      <w:r>
        <w:rPr>
          <w:b/>
        </w:rPr>
        <w:t>se puso a la vista del Recurrente el Informe Justificado</w:t>
      </w:r>
      <w:r>
        <w:t>, entregado por el Sujeto Obligado, a fin de que en un término no mayor a tres días hábiles manifestará lo que a derecho corresponda, acto que fue notificado mediante el Sistema de Acceso a la Información Mexiquense (SAIMEX).</w:t>
      </w:r>
    </w:p>
    <w:p w:rsidR="00AD2507" w:rsidRDefault="00AD2507">
      <w:pPr>
        <w:spacing w:after="0" w:line="360" w:lineRule="auto"/>
      </w:pPr>
    </w:p>
    <w:p w:rsidR="00AD2507" w:rsidRDefault="00F10379">
      <w:pPr>
        <w:spacing w:after="0" w:line="360" w:lineRule="auto"/>
      </w:pPr>
      <w:r>
        <w:rPr>
          <w:b/>
        </w:rPr>
        <w:t xml:space="preserve">f) Ampliación de plazo para resolver. </w:t>
      </w:r>
      <w:r>
        <w:t>El veintiuno de agosto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mismo día mediante el SAIMEX.</w:t>
      </w:r>
    </w:p>
    <w:p w:rsidR="00AD2507" w:rsidRDefault="00AD2507">
      <w:pPr>
        <w:spacing w:after="0" w:line="360" w:lineRule="auto"/>
      </w:pPr>
    </w:p>
    <w:p w:rsidR="00AD2507" w:rsidRDefault="00F10379">
      <w:pPr>
        <w:spacing w:after="0" w:line="360" w:lineRule="auto"/>
      </w:pPr>
      <w:r>
        <w:rPr>
          <w:b/>
        </w:rPr>
        <w:t>g) Cierre de instrucción.</w:t>
      </w:r>
      <w:r>
        <w:t xml:space="preserve"> El diecinueve de agosto de dos mil veinticinco, al no existir diligencias pendientes por desahogar, se emitió el acuerdo por medio del cual se declaró </w:t>
      </w:r>
      <w:r>
        <w:lastRenderedPageBreak/>
        <w:t xml:space="preserve">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 </w:t>
      </w:r>
    </w:p>
    <w:p w:rsidR="00AD2507" w:rsidRDefault="00AD2507">
      <w:pPr>
        <w:spacing w:after="0" w:line="360" w:lineRule="auto"/>
        <w:ind w:right="-28"/>
      </w:pPr>
    </w:p>
    <w:p w:rsidR="00AD2507" w:rsidRDefault="00F10379">
      <w:pPr>
        <w:spacing w:after="0" w:line="360" w:lineRule="auto"/>
        <w:rPr>
          <w:color w:val="000000"/>
        </w:rPr>
      </w:pPr>
      <w:r>
        <w:rPr>
          <w:color w:val="000000"/>
        </w:rPr>
        <w:t>En razón de que fue debidamente sustanciado e integrado el expediente electrónico y no existe diligencia pendiente de desahogo, se emite la resolución que conforme a Derecho proceda, de acuerdo a los siguientes:</w:t>
      </w:r>
    </w:p>
    <w:p w:rsidR="00AD2507" w:rsidRDefault="00AD2507">
      <w:pPr>
        <w:spacing w:after="0" w:line="360" w:lineRule="auto"/>
        <w:rPr>
          <w:b/>
        </w:rPr>
      </w:pPr>
    </w:p>
    <w:p w:rsidR="00AD2507" w:rsidRDefault="00AD2507">
      <w:pPr>
        <w:spacing w:after="0" w:line="360" w:lineRule="auto"/>
        <w:rPr>
          <w:b/>
        </w:rPr>
      </w:pPr>
    </w:p>
    <w:p w:rsidR="00AD2507" w:rsidRDefault="00F10379">
      <w:pPr>
        <w:spacing w:after="0" w:line="360" w:lineRule="auto"/>
        <w:jc w:val="center"/>
        <w:rPr>
          <w:b/>
          <w:color w:val="000000"/>
        </w:rPr>
      </w:pPr>
      <w:r>
        <w:rPr>
          <w:b/>
          <w:color w:val="000000"/>
        </w:rPr>
        <w:t>C O N S I D E R A N D O S</w:t>
      </w:r>
    </w:p>
    <w:p w:rsidR="00AD2507" w:rsidRDefault="00AD2507">
      <w:pPr>
        <w:spacing w:after="0" w:line="360" w:lineRule="auto"/>
        <w:jc w:val="center"/>
        <w:rPr>
          <w:b/>
          <w:color w:val="000000"/>
        </w:rPr>
      </w:pPr>
    </w:p>
    <w:p w:rsidR="00AD2507" w:rsidRDefault="00F10379">
      <w:pPr>
        <w:spacing w:after="0" w:line="360" w:lineRule="auto"/>
        <w:rPr>
          <w:b/>
          <w:color w:val="000000"/>
        </w:rPr>
      </w:pPr>
      <w:r>
        <w:rPr>
          <w:b/>
          <w:color w:val="000000"/>
        </w:rPr>
        <w:t>PRIMERO</w:t>
      </w:r>
      <w:r>
        <w:rPr>
          <w:color w:val="000000"/>
        </w:rPr>
        <w:t xml:space="preserve">. </w:t>
      </w:r>
      <w:r>
        <w:rPr>
          <w:b/>
          <w:color w:val="000000"/>
        </w:rPr>
        <w:t>Competencia</w:t>
      </w:r>
    </w:p>
    <w:p w:rsidR="00AD2507" w:rsidRDefault="00AD2507">
      <w:pPr>
        <w:spacing w:after="0" w:line="360" w:lineRule="auto"/>
        <w:rPr>
          <w:b/>
          <w:color w:val="000000"/>
        </w:rPr>
      </w:pPr>
    </w:p>
    <w:p w:rsidR="00AD2507" w:rsidRDefault="00F10379">
      <w:pPr>
        <w:spacing w:after="0" w:line="360" w:lineRule="auto"/>
        <w:rPr>
          <w:color w:val="000000"/>
        </w:rPr>
      </w:pPr>
      <w:bookmarkStart w:id="0" w:name="_heading=h.30j0zll" w:colFirst="0" w:colLast="0"/>
      <w:bookmarkEnd w:id="0"/>
      <w:r>
        <w:rPr>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cuadragésimo primero,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AD2507" w:rsidRDefault="00AD2507">
      <w:pPr>
        <w:spacing w:after="0" w:line="360" w:lineRule="auto"/>
        <w:rPr>
          <w:b/>
          <w:color w:val="000000"/>
        </w:rPr>
      </w:pPr>
    </w:p>
    <w:p w:rsidR="00AD2507" w:rsidRDefault="00F10379">
      <w:pPr>
        <w:spacing w:after="0" w:line="360" w:lineRule="auto"/>
        <w:rPr>
          <w:color w:val="000000"/>
        </w:rPr>
      </w:pPr>
      <w:r>
        <w:rPr>
          <w:b/>
          <w:color w:val="000000"/>
        </w:rPr>
        <w:t>SEGUNDO</w:t>
      </w:r>
      <w:r>
        <w:rPr>
          <w:color w:val="000000"/>
        </w:rPr>
        <w:t xml:space="preserve">. </w:t>
      </w:r>
      <w:r>
        <w:rPr>
          <w:b/>
          <w:color w:val="000000"/>
        </w:rPr>
        <w:t>Causales de improcedencia y sobreseimiento</w:t>
      </w:r>
    </w:p>
    <w:p w:rsidR="00AD2507" w:rsidRDefault="00AD2507">
      <w:pPr>
        <w:spacing w:after="0" w:line="360" w:lineRule="auto"/>
        <w:rPr>
          <w:color w:val="000000"/>
        </w:rPr>
      </w:pPr>
    </w:p>
    <w:p w:rsidR="00AD2507" w:rsidRDefault="00F10379">
      <w:pPr>
        <w:spacing w:after="0" w:line="360" w:lineRule="auto"/>
        <w:rPr>
          <w:color w:val="000000"/>
        </w:rPr>
      </w:pPr>
      <w:r>
        <w:rPr>
          <w:color w:val="000000"/>
        </w:rPr>
        <w:t xml:space="preserve">De las constancias que forma parte del Recurso de Revisión que se analiza, se advierte que previo al estudio del fondo de la </w:t>
      </w:r>
      <w:proofErr w:type="spellStart"/>
      <w:r>
        <w:rPr>
          <w:i/>
          <w:color w:val="000000"/>
        </w:rPr>
        <w:t>litis</w:t>
      </w:r>
      <w:proofErr w:type="spellEnd"/>
      <w:r>
        <w:rPr>
          <w:color w:val="000000"/>
        </w:rPr>
        <w:t>, es necesario estudiar las causales de improcedencia y sobreseimiento que se adviertan, para determinar lo que en Derecho proceda.</w:t>
      </w:r>
    </w:p>
    <w:p w:rsidR="00AD2507" w:rsidRDefault="00AD2507">
      <w:pPr>
        <w:spacing w:after="0" w:line="360" w:lineRule="auto"/>
        <w:rPr>
          <w:b/>
        </w:rPr>
      </w:pPr>
    </w:p>
    <w:p w:rsidR="00AD2507" w:rsidRDefault="00F10379">
      <w:pPr>
        <w:spacing w:after="0" w:line="360" w:lineRule="auto"/>
        <w:rPr>
          <w:b/>
        </w:rPr>
      </w:pPr>
      <w:r>
        <w:rPr>
          <w:b/>
        </w:rPr>
        <w:t>Causales de improcedencia</w:t>
      </w:r>
    </w:p>
    <w:p w:rsidR="00AD2507" w:rsidRDefault="00AD2507">
      <w:pPr>
        <w:spacing w:after="0" w:line="360" w:lineRule="auto"/>
      </w:pPr>
    </w:p>
    <w:p w:rsidR="00AD2507" w:rsidRDefault="00F10379">
      <w:pPr>
        <w:spacing w:after="0" w:line="360" w:lineRule="auto"/>
        <w:rPr>
          <w:color w:val="000000"/>
        </w:rPr>
      </w:pPr>
      <w:r>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AD2507" w:rsidRDefault="00AD2507">
      <w:pPr>
        <w:spacing w:after="0" w:line="360" w:lineRule="auto"/>
        <w:rPr>
          <w:color w:val="000000"/>
        </w:rPr>
      </w:pPr>
    </w:p>
    <w:p w:rsidR="00AD2507" w:rsidRDefault="00F10379">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00AD2507" w:rsidRDefault="00AD2507">
      <w:pPr>
        <w:spacing w:after="0" w:line="360" w:lineRule="auto"/>
        <w:rPr>
          <w:color w:val="000000"/>
        </w:rPr>
      </w:pPr>
    </w:p>
    <w:p w:rsidR="00AD2507" w:rsidRDefault="00F10379">
      <w:pPr>
        <w:spacing w:after="0" w:line="360" w:lineRule="auto"/>
      </w:pPr>
      <w:r>
        <w:lastRenderedPageBreak/>
        <w:t xml:space="preserve">Por lo cual, se actualiza la causal de procedencia del Recurso de Revisión señalada en el artículo 179, fracción VII, de la Ley en cita, pues la parte Recurrente se inconformó de la falta de respuesta a su solicitud. </w:t>
      </w:r>
    </w:p>
    <w:p w:rsidR="00AD2507" w:rsidRDefault="00AD2507">
      <w:pPr>
        <w:spacing w:after="0" w:line="360" w:lineRule="auto"/>
      </w:pPr>
    </w:p>
    <w:p w:rsidR="00AD2507" w:rsidRDefault="00F10379">
      <w:pPr>
        <w:spacing w:after="0" w:line="360" w:lineRule="auto"/>
        <w:rPr>
          <w:color w:val="0D0D0D"/>
        </w:rPr>
      </w:pPr>
      <w:r>
        <w:rPr>
          <w:b/>
          <w:color w:val="0D0D0D"/>
        </w:rPr>
        <w:t>Causales de sobreseimiento</w:t>
      </w:r>
    </w:p>
    <w:p w:rsidR="00AD2507" w:rsidRDefault="00AD2507">
      <w:pPr>
        <w:spacing w:after="0" w:line="360" w:lineRule="auto"/>
        <w:rPr>
          <w:color w:val="0D0D0D"/>
        </w:rPr>
      </w:pPr>
    </w:p>
    <w:p w:rsidR="00AD2507" w:rsidRDefault="00F10379">
      <w:pPr>
        <w:spacing w:after="0" w:line="360" w:lineRule="auto"/>
      </w:pPr>
      <w:r>
        <w:t>Por ser de previo y especial pronunciamiento, este Instituto analiza si se actualiza alguna causal de sobreseimiento.</w:t>
      </w:r>
    </w:p>
    <w:p w:rsidR="00AD2507" w:rsidRDefault="00AD2507">
      <w:pPr>
        <w:spacing w:after="0" w:line="360" w:lineRule="auto"/>
      </w:pPr>
    </w:p>
    <w:p w:rsidR="00AD2507" w:rsidRDefault="00F10379">
      <w:pPr>
        <w:spacing w:after="0" w:line="360" w:lineRule="auto"/>
        <w:rPr>
          <w:color w:val="000000"/>
        </w:rPr>
      </w:pPr>
      <w:r>
        <w:rPr>
          <w:color w:val="0D0D0D"/>
        </w:rPr>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00AD2507" w:rsidRDefault="00AD2507">
      <w:pPr>
        <w:spacing w:after="0" w:line="360" w:lineRule="auto"/>
        <w:rPr>
          <w:color w:val="000000"/>
        </w:rPr>
      </w:pPr>
    </w:p>
    <w:p w:rsidR="00AD2507" w:rsidRDefault="00F10379">
      <w:pPr>
        <w:spacing w:after="0" w:line="360" w:lineRule="auto"/>
        <w:rPr>
          <w:color w:val="0D0D0D"/>
        </w:rPr>
      </w:pPr>
      <w:r>
        <w:rPr>
          <w:color w:val="0D0D0D"/>
        </w:rPr>
        <w:t xml:space="preserve">Por tales motivos, se considera procedente entrar al fondo del presente asunto. </w:t>
      </w:r>
    </w:p>
    <w:p w:rsidR="00AD2507" w:rsidRDefault="00AD2507">
      <w:pPr>
        <w:spacing w:after="0" w:line="360" w:lineRule="auto"/>
        <w:rPr>
          <w:b/>
          <w:color w:val="000000"/>
        </w:rPr>
      </w:pPr>
    </w:p>
    <w:p w:rsidR="00AD2507" w:rsidRDefault="00F10379">
      <w:pPr>
        <w:spacing w:after="0" w:line="360" w:lineRule="auto"/>
        <w:rPr>
          <w:b/>
          <w:color w:val="000000"/>
        </w:rPr>
      </w:pPr>
      <w:r>
        <w:rPr>
          <w:b/>
          <w:color w:val="000000"/>
        </w:rPr>
        <w:t>TERCERO. Determinación de la Controversia</w:t>
      </w:r>
    </w:p>
    <w:p w:rsidR="00AD2507" w:rsidRDefault="00AD2507">
      <w:pPr>
        <w:spacing w:after="0" w:line="360" w:lineRule="auto"/>
        <w:rPr>
          <w:color w:val="000000"/>
        </w:rPr>
      </w:pPr>
    </w:p>
    <w:p w:rsidR="00AD2507" w:rsidRDefault="00F10379">
      <w:pPr>
        <w:spacing w:after="0" w:line="360" w:lineRule="auto"/>
        <w:rPr>
          <w:color w:val="0D0D0D"/>
        </w:rPr>
      </w:pPr>
      <w:r>
        <w:rPr>
          <w:color w:val="000000"/>
        </w:rPr>
        <w:t xml:space="preserve">Una vez realizado el estudio de las constancias que integran el expediente en que se actúa, se desprende que el Particular requirió, </w:t>
      </w:r>
      <w:r>
        <w:rPr>
          <w:color w:val="0D0D0D"/>
        </w:rPr>
        <w:t>los Oficios firmados por la Tesorería del Organismo de Agua del Municipio de Teoloyucan correspondientes al mes de marzo de dos mil veinticinco.</w:t>
      </w:r>
    </w:p>
    <w:p w:rsidR="00AD2507" w:rsidRDefault="00AD2507">
      <w:pPr>
        <w:spacing w:after="0" w:line="360" w:lineRule="auto"/>
        <w:rPr>
          <w:color w:val="000000"/>
        </w:rPr>
      </w:pPr>
    </w:p>
    <w:p w:rsidR="00AD2507" w:rsidRDefault="00F10379">
      <w:pPr>
        <w:spacing w:after="0" w:line="360" w:lineRule="auto"/>
        <w:rPr>
          <w:color w:val="000000"/>
        </w:rPr>
      </w:pPr>
      <w:r>
        <w:lastRenderedPageBreak/>
        <w:t>En respuesta, el Sujeto Obligado, se declaró incompetente para conocer de la información peticionada; ante dicha circunstancia, la parte Recurrente se inconformó con la falta de respuesta, al señalar que no orienta a la persona, lo cual actualiza el supuesto previsto en el artículo 179, fracción I, de la Ley de Transparencia y Acceso a la Información Pública del Estado de México y Municipios. Así las cosas, una vez admitido y notificado el Recurso de Revisión a las partes, el Sujeto Obligado, ratificó su respuesta, al señalar que, lo solicitado no corresponde al Sistema Municipal para el Desarrollo Integral de la Familia de Teoloyucan, si no al Organismo de Agua.</w:t>
      </w:r>
    </w:p>
    <w:p w:rsidR="00AD2507" w:rsidRDefault="00AD2507">
      <w:pPr>
        <w:spacing w:after="0" w:line="360" w:lineRule="auto"/>
      </w:pPr>
    </w:p>
    <w:p w:rsidR="00AD2507" w:rsidRDefault="00F10379">
      <w:pPr>
        <w:tabs>
          <w:tab w:val="left" w:pos="4962"/>
        </w:tabs>
        <w:spacing w:after="0" w:line="360" w:lineRule="auto"/>
      </w:pPr>
      <w:r>
        <w:t>Lo anterior, se desprende de las documentales que obran en el expediente de referencia, materia de la presente resolución, consistente en: la solicitud de acceso a la información,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rsidR="00AD2507" w:rsidRDefault="00AD2507">
      <w:pPr>
        <w:spacing w:after="0" w:line="360" w:lineRule="auto"/>
        <w:rPr>
          <w:b/>
          <w:color w:val="000000"/>
        </w:rPr>
      </w:pPr>
    </w:p>
    <w:p w:rsidR="00AD2507" w:rsidRDefault="00F10379">
      <w:pPr>
        <w:spacing w:after="0" w:line="360" w:lineRule="auto"/>
        <w:rPr>
          <w:b/>
          <w:color w:val="000000"/>
        </w:rPr>
      </w:pPr>
      <w:r>
        <w:rPr>
          <w:b/>
          <w:color w:val="000000"/>
        </w:rPr>
        <w:t>CUARTO. Marco normativo aplicable en materia de transparencia y acceso a la información pública</w:t>
      </w:r>
    </w:p>
    <w:p w:rsidR="00AD2507" w:rsidRDefault="00AD2507">
      <w:pPr>
        <w:spacing w:after="0" w:line="360" w:lineRule="auto"/>
        <w:rPr>
          <w:color w:val="000000"/>
        </w:rPr>
      </w:pPr>
    </w:p>
    <w:p w:rsidR="00AD2507" w:rsidRDefault="00F10379">
      <w:pPr>
        <w:spacing w:after="0" w:line="360" w:lineRule="auto"/>
        <w:rPr>
          <w:color w:val="000000"/>
        </w:rPr>
      </w:pPr>
      <w:r>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AD2507" w:rsidRDefault="00AD2507">
      <w:pPr>
        <w:spacing w:after="0" w:line="360" w:lineRule="auto"/>
        <w:rPr>
          <w:color w:val="000000"/>
        </w:rPr>
      </w:pPr>
    </w:p>
    <w:p w:rsidR="00AD2507" w:rsidRDefault="00F10379">
      <w:pPr>
        <w:spacing w:after="0" w:line="360" w:lineRule="auto"/>
        <w:rPr>
          <w:color w:val="000000"/>
        </w:rPr>
      </w:pPr>
      <w:r>
        <w:rPr>
          <w:color w:val="000000"/>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00AD2507" w:rsidRDefault="00AD2507">
      <w:pPr>
        <w:spacing w:after="0" w:line="360" w:lineRule="auto"/>
        <w:rPr>
          <w:color w:val="000000"/>
        </w:rPr>
      </w:pPr>
    </w:p>
    <w:p w:rsidR="00AD2507" w:rsidRDefault="00F10379">
      <w:pPr>
        <w:spacing w:after="0" w:line="360" w:lineRule="auto"/>
        <w:rPr>
          <w:color w:val="000000"/>
        </w:rPr>
      </w:pPr>
      <w:r>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AD2507" w:rsidRDefault="00AD2507">
      <w:pPr>
        <w:spacing w:after="0" w:line="360" w:lineRule="auto"/>
        <w:rPr>
          <w:color w:val="000000"/>
        </w:rPr>
      </w:pPr>
    </w:p>
    <w:p w:rsidR="00AD2507" w:rsidRDefault="00F10379">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rsidR="00AD2507" w:rsidRDefault="00AD2507">
      <w:pPr>
        <w:spacing w:after="0" w:line="360" w:lineRule="auto"/>
        <w:rPr>
          <w:color w:val="000000"/>
        </w:rPr>
      </w:pPr>
    </w:p>
    <w:p w:rsidR="00AD2507" w:rsidRDefault="00F10379">
      <w:pPr>
        <w:spacing w:after="0" w:line="360" w:lineRule="auto"/>
        <w:rPr>
          <w:color w:val="000000"/>
        </w:rPr>
      </w:pPr>
      <w:r>
        <w:rPr>
          <w:color w:val="000000"/>
        </w:rPr>
        <w:t>El artículo 12, que, quienes generen, recopilen, administren, manejen, procesen, archiven o conserven información pública serán responsables de la misma.</w:t>
      </w:r>
    </w:p>
    <w:p w:rsidR="00AD2507" w:rsidRDefault="00AD2507">
      <w:pPr>
        <w:spacing w:after="0" w:line="360" w:lineRule="auto"/>
        <w:rPr>
          <w:color w:val="000000"/>
        </w:rPr>
      </w:pPr>
    </w:p>
    <w:p w:rsidR="00AD2507" w:rsidRDefault="00F10379">
      <w:pPr>
        <w:widowControl w:val="0"/>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rsidR="00AD2507" w:rsidRDefault="00AD2507">
      <w:pPr>
        <w:spacing w:after="0" w:line="360" w:lineRule="auto"/>
        <w:rPr>
          <w:color w:val="000000"/>
        </w:rPr>
      </w:pPr>
    </w:p>
    <w:p w:rsidR="00AD2507" w:rsidRDefault="00F10379">
      <w:pPr>
        <w:spacing w:after="0" w:line="360" w:lineRule="auto"/>
        <w:rPr>
          <w:color w:val="000000"/>
        </w:rPr>
      </w:pPr>
      <w:r>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AD2507" w:rsidRDefault="00AD2507">
      <w:pPr>
        <w:spacing w:after="0" w:line="360" w:lineRule="auto"/>
        <w:rPr>
          <w:color w:val="000000"/>
        </w:rPr>
      </w:pPr>
    </w:p>
    <w:p w:rsidR="00AD2507" w:rsidRDefault="00F10379">
      <w:pPr>
        <w:spacing w:after="0" w:line="360" w:lineRule="auto"/>
        <w:rPr>
          <w:b/>
          <w:color w:val="000000"/>
        </w:rPr>
      </w:pPr>
      <w:r>
        <w:rPr>
          <w:b/>
          <w:color w:val="000000"/>
        </w:rPr>
        <w:t>Quinto. Estudio de Fondo</w:t>
      </w:r>
    </w:p>
    <w:p w:rsidR="00AD2507" w:rsidRDefault="00AD2507">
      <w:pPr>
        <w:spacing w:after="0" w:line="360" w:lineRule="auto"/>
        <w:rPr>
          <w:b/>
          <w:color w:val="000000"/>
        </w:rPr>
      </w:pPr>
    </w:p>
    <w:p w:rsidR="00AD2507" w:rsidRDefault="00F10379">
      <w:pPr>
        <w:widowControl w:val="0"/>
        <w:spacing w:after="0" w:line="360" w:lineRule="auto"/>
        <w:rPr>
          <w:color w:val="000000"/>
        </w:rPr>
      </w:pPr>
      <w:r>
        <w:rPr>
          <w:color w:val="000000"/>
        </w:rPr>
        <w:t xml:space="preserve">Expuestas las posturas de las partes, se procede al análisis del agravio hecho valer por el Recurrente, concerniente </w:t>
      </w:r>
      <w:r>
        <w:t>a la incompetencia del Sujeto Obligado</w:t>
      </w:r>
      <w:r>
        <w:rPr>
          <w:color w:val="000000"/>
        </w:rPr>
        <w:t xml:space="preserve">, para lo cual, es necesario </w:t>
      </w:r>
      <w:r>
        <w:rPr>
          <w:color w:val="000000"/>
        </w:rPr>
        <w:lastRenderedPageBreak/>
        <w:t xml:space="preserve">contextualizar la solicitud de información. </w:t>
      </w:r>
    </w:p>
    <w:p w:rsidR="00AD2507" w:rsidRDefault="00AD2507">
      <w:pPr>
        <w:widowControl w:val="0"/>
        <w:spacing w:after="0" w:line="360" w:lineRule="auto"/>
        <w:rPr>
          <w:color w:val="000000"/>
        </w:rPr>
      </w:pPr>
    </w:p>
    <w:p w:rsidR="00AD2507" w:rsidRDefault="00F10379">
      <w:pPr>
        <w:spacing w:after="0" w:line="360" w:lineRule="auto"/>
        <w:ind w:right="-28"/>
      </w:pPr>
      <w:r>
        <w:rPr>
          <w:color w:val="000000"/>
        </w:rPr>
        <w:t>Al respecto, conforme a la Ley que crea los Organismos Públicos Descentralizados de Asistencia Social, de carácter Municipal., denominados “</w:t>
      </w:r>
      <w:r>
        <w:t>Sistema Municipal para el Desarrollo Integral de la Familia”, en su artículo 3 menciona que los organismos a que se refiere esta ley tendrán los siguientes objetivos de asistencia social, protección de niñas, niños y adolescentes y beneficio colectivo, al igual que asegurar la atención permanente a la población marginada, brindando servicios integrales de asistencia social, enmarcados dentro de los Programas Básicos del Sistema para el Desarrollo y Promover los mínimos de bienestar social y el desarrollo de la comunidad, para crear mejores condiciones de vida a los habitantes del Municipio.</w:t>
      </w:r>
    </w:p>
    <w:p w:rsidR="00AD2507" w:rsidRDefault="00AD2507">
      <w:pPr>
        <w:spacing w:after="0" w:line="360" w:lineRule="auto"/>
        <w:ind w:right="-28"/>
        <w:rPr>
          <w:color w:val="000000"/>
        </w:rPr>
      </w:pPr>
    </w:p>
    <w:p w:rsidR="00AD2507" w:rsidRDefault="00F10379">
      <w:pPr>
        <w:spacing w:after="0" w:line="360" w:lineRule="auto"/>
        <w:ind w:right="-28"/>
        <w:rPr>
          <w:color w:val="000000"/>
        </w:rPr>
      </w:pPr>
      <w:r>
        <w:rPr>
          <w:color w:val="000000"/>
        </w:rPr>
        <w:t>Ahora bien, sirve traer a la presente, el artículo 12 de la misma ley en comento donde menciona que el Órgano Superior de los Organismos será la Junta de Gobierno, la cual se integrará con un Presidente, un Secretario, un Tesorero y dos Vocales. Recayendo la Presidencia en la persona que al efecto nombre el C. Presidente Municipal, lo mismo el Secretario, que en todo caso será el Director, el Tesorero será la persona que designe el Presidente de la Junta de Gobierno y los Vocales serán dos funcionarios Municipales, cuya actividad se encuentre más relacionada con los objetivos de los Organismos.</w:t>
      </w:r>
    </w:p>
    <w:p w:rsidR="00AD2507" w:rsidRDefault="00AD2507">
      <w:pPr>
        <w:spacing w:after="0" w:line="360" w:lineRule="auto"/>
        <w:ind w:right="-28"/>
        <w:rPr>
          <w:color w:val="000000"/>
        </w:rPr>
      </w:pPr>
    </w:p>
    <w:p w:rsidR="00AD2507" w:rsidRDefault="00F10379">
      <w:pPr>
        <w:spacing w:after="0" w:line="360" w:lineRule="auto"/>
        <w:ind w:right="-28"/>
        <w:rPr>
          <w:color w:val="000000"/>
        </w:rPr>
      </w:pPr>
      <w:r>
        <w:rPr>
          <w:color w:val="000000"/>
        </w:rPr>
        <w:t xml:space="preserve">Sin dejar de lado que dentro del Bando Municipal de Teoloyucan vigente, en su artículo 22 menciona que los organismos públicos descentralizados de la Administración </w:t>
      </w:r>
      <w:proofErr w:type="spellStart"/>
      <w:r>
        <w:rPr>
          <w:color w:val="000000"/>
        </w:rPr>
        <w:t>Publica</w:t>
      </w:r>
      <w:proofErr w:type="spellEnd"/>
      <w:r>
        <w:rPr>
          <w:color w:val="000000"/>
        </w:rPr>
        <w:t xml:space="preserve"> Municipal serán los siguientes:</w:t>
      </w:r>
    </w:p>
    <w:p w:rsidR="00AD2507" w:rsidRDefault="00AD2507">
      <w:pPr>
        <w:spacing w:after="0" w:line="360" w:lineRule="auto"/>
        <w:ind w:right="-28"/>
        <w:rPr>
          <w:color w:val="000000"/>
        </w:rPr>
      </w:pPr>
    </w:p>
    <w:p w:rsidR="00AD2507" w:rsidRDefault="00F10379">
      <w:pPr>
        <w:numPr>
          <w:ilvl w:val="0"/>
          <w:numId w:val="3"/>
        </w:numPr>
        <w:pBdr>
          <w:top w:val="nil"/>
          <w:left w:val="nil"/>
          <w:bottom w:val="nil"/>
          <w:right w:val="nil"/>
          <w:between w:val="nil"/>
        </w:pBdr>
        <w:spacing w:after="0" w:line="360" w:lineRule="auto"/>
        <w:ind w:right="-28"/>
        <w:rPr>
          <w:color w:val="000000"/>
        </w:rPr>
      </w:pPr>
      <w:r>
        <w:rPr>
          <w:color w:val="000000"/>
        </w:rPr>
        <w:t>Los fideicomisos en los que el municipio sea fideicomitente;</w:t>
      </w:r>
    </w:p>
    <w:p w:rsidR="00AD2507" w:rsidRDefault="00F10379">
      <w:pPr>
        <w:numPr>
          <w:ilvl w:val="0"/>
          <w:numId w:val="3"/>
        </w:numPr>
        <w:pBdr>
          <w:top w:val="nil"/>
          <w:left w:val="nil"/>
          <w:bottom w:val="nil"/>
          <w:right w:val="nil"/>
          <w:between w:val="nil"/>
        </w:pBdr>
        <w:spacing w:after="0" w:line="360" w:lineRule="auto"/>
        <w:ind w:right="-28"/>
        <w:rPr>
          <w:b/>
          <w:color w:val="000000"/>
        </w:rPr>
      </w:pPr>
      <w:r>
        <w:rPr>
          <w:color w:val="000000"/>
        </w:rPr>
        <w:t xml:space="preserve"> </w:t>
      </w:r>
      <w:r>
        <w:rPr>
          <w:b/>
          <w:color w:val="000000"/>
        </w:rPr>
        <w:t>El Sistema Municipal Para el Desarrollo Integral de la Familia de Teoloyucan;</w:t>
      </w:r>
    </w:p>
    <w:p w:rsidR="00AD2507" w:rsidRDefault="00F10379">
      <w:pPr>
        <w:numPr>
          <w:ilvl w:val="0"/>
          <w:numId w:val="3"/>
        </w:numPr>
        <w:pBdr>
          <w:top w:val="nil"/>
          <w:left w:val="nil"/>
          <w:bottom w:val="nil"/>
          <w:right w:val="nil"/>
          <w:between w:val="nil"/>
        </w:pBdr>
        <w:spacing w:after="0" w:line="360" w:lineRule="auto"/>
        <w:ind w:right="-28"/>
        <w:rPr>
          <w:color w:val="000000"/>
          <w:u w:val="single"/>
        </w:rPr>
      </w:pPr>
      <w:r>
        <w:rPr>
          <w:b/>
          <w:color w:val="000000"/>
          <w:u w:val="single"/>
        </w:rPr>
        <w:lastRenderedPageBreak/>
        <w:t xml:space="preserve"> El Organismo Público Descentralizado para la Prestación de los Servicios de Agua</w:t>
      </w:r>
      <w:r>
        <w:rPr>
          <w:color w:val="000000"/>
          <w:u w:val="single"/>
        </w:rPr>
        <w:t xml:space="preserve"> </w:t>
      </w:r>
      <w:r>
        <w:rPr>
          <w:b/>
          <w:color w:val="000000"/>
          <w:u w:val="single"/>
        </w:rPr>
        <w:t>Potable, Alcantarillado y Saneamiento del Municipio de Teoloyucan; y</w:t>
      </w:r>
      <w:r>
        <w:rPr>
          <w:color w:val="000000"/>
          <w:u w:val="single"/>
        </w:rPr>
        <w:t xml:space="preserve"> </w:t>
      </w:r>
    </w:p>
    <w:p w:rsidR="00AD2507" w:rsidRDefault="00F10379">
      <w:pPr>
        <w:numPr>
          <w:ilvl w:val="0"/>
          <w:numId w:val="3"/>
        </w:numPr>
        <w:pBdr>
          <w:top w:val="nil"/>
          <w:left w:val="nil"/>
          <w:bottom w:val="nil"/>
          <w:right w:val="nil"/>
          <w:between w:val="nil"/>
        </w:pBdr>
        <w:spacing w:after="0" w:line="360" w:lineRule="auto"/>
        <w:ind w:right="-28"/>
        <w:rPr>
          <w:color w:val="000000"/>
        </w:rPr>
      </w:pPr>
      <w:r>
        <w:rPr>
          <w:color w:val="000000"/>
        </w:rPr>
        <w:t>El Instituto Municipal de Cultura Física y Deporte de Teoloyucan</w:t>
      </w:r>
    </w:p>
    <w:p w:rsidR="00AD2507" w:rsidRDefault="00AD2507">
      <w:pPr>
        <w:spacing w:after="0" w:line="360" w:lineRule="auto"/>
        <w:ind w:right="-28"/>
        <w:rPr>
          <w:color w:val="000000"/>
        </w:rPr>
      </w:pPr>
    </w:p>
    <w:p w:rsidR="00AD2507" w:rsidRDefault="00F10379">
      <w:pPr>
        <w:spacing w:after="0" w:line="360" w:lineRule="auto"/>
        <w:ind w:right="-28"/>
        <w:rPr>
          <w:color w:val="000000"/>
        </w:rPr>
      </w:pPr>
      <w:r>
        <w:rPr>
          <w:color w:val="000000"/>
        </w:rPr>
        <w:t xml:space="preserve">Aunado a lo anterior, resulta conveniente traer a colación el </w:t>
      </w:r>
      <w:r>
        <w:t xml:space="preserve">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 de fecha veinticinco de octubre de dos mil veinticuatro (consultable en </w:t>
      </w:r>
      <w:hyperlink r:id="rId9">
        <w:r>
          <w:rPr>
            <w:color w:val="0000FF"/>
            <w:u w:val="single"/>
          </w:rPr>
          <w:t>https://legislacion.edomex.gob.mx/sites/legislacion.edomex.gob.mx/files/files/pdf/gct/2024/octubre/oct251/oct251d.pdf</w:t>
        </w:r>
      </w:hyperlink>
      <w:r>
        <w:t xml:space="preserve">), mediante el cual se incorpora al rubro “Organismos Descentralizados Municipales” al Organismo Público Descentralizado para la Prestación de los Servicios de Agua Potable, Alcantarillado y Saneamiento de Teoloyucan, tal como se aprecia a continuación: </w:t>
      </w:r>
    </w:p>
    <w:p w:rsidR="00AD2507" w:rsidRDefault="00F10379">
      <w:pPr>
        <w:spacing w:after="0" w:line="360" w:lineRule="auto"/>
        <w:ind w:right="-28"/>
        <w:rPr>
          <w:color w:val="000000"/>
        </w:rPr>
      </w:pPr>
      <w:r>
        <w:lastRenderedPageBreak/>
        <w:t xml:space="preserve"> </w:t>
      </w:r>
      <w:r>
        <w:rPr>
          <w:noProof/>
          <w:color w:val="000000"/>
        </w:rPr>
        <w:drawing>
          <wp:inline distT="0" distB="0" distL="0" distR="0">
            <wp:extent cx="5553771" cy="346745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553771" cy="3467455"/>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-19049</wp:posOffset>
                </wp:positionH>
                <wp:positionV relativeFrom="paragraph">
                  <wp:posOffset>3087692</wp:posOffset>
                </wp:positionV>
                <wp:extent cx="5571614" cy="465611"/>
                <wp:effectExtent l="0" t="0" r="0" b="0"/>
                <wp:wrapNone/>
                <wp:docPr id="3" name="Rectángulo 3"/>
                <wp:cNvGraphicFramePr/>
                <a:graphic xmlns:a="http://schemas.openxmlformats.org/drawingml/2006/main">
                  <a:graphicData uri="http://schemas.microsoft.com/office/word/2010/wordprocessingShape">
                    <wps:wsp>
                      <wps:cNvSpPr/>
                      <wps:spPr>
                        <a:xfrm>
                          <a:off x="2579243" y="3566245"/>
                          <a:ext cx="5533514" cy="427511"/>
                        </a:xfrm>
                        <a:prstGeom prst="rect">
                          <a:avLst/>
                        </a:prstGeom>
                        <a:noFill/>
                        <a:ln w="38100" cap="flat" cmpd="sng">
                          <a:solidFill>
                            <a:srgbClr val="FF0000"/>
                          </a:solidFill>
                          <a:prstDash val="solid"/>
                          <a:round/>
                          <a:headEnd type="none" w="sm" len="sm"/>
                          <a:tailEnd type="none" w="sm" len="sm"/>
                        </a:ln>
                      </wps:spPr>
                      <wps:txbx>
                        <w:txbxContent>
                          <w:p w:rsidR="00AD2507" w:rsidRDefault="00AD2507">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-19049</wp:posOffset>
                </wp:positionH>
                <wp:positionV relativeFrom="paragraph">
                  <wp:posOffset>3087692</wp:posOffset>
                </wp:positionV>
                <wp:extent cx="5571614" cy="465611"/>
                <wp:effectExtent b="0" l="0" r="0" t="0"/>
                <wp:wrapNone/>
                <wp:docPr id="3"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571614" cy="465611"/>
                        </a:xfrm>
                        <a:prstGeom prst="rect"/>
                        <a:ln/>
                      </pic:spPr>
                    </pic:pic>
                  </a:graphicData>
                </a:graphic>
              </wp:anchor>
            </w:drawing>
          </mc:Fallback>
        </mc:AlternateContent>
      </w:r>
    </w:p>
    <w:p w:rsidR="00AD2507" w:rsidRDefault="00AD2507">
      <w:pPr>
        <w:spacing w:after="0" w:line="360" w:lineRule="auto"/>
        <w:ind w:right="-93"/>
        <w:rPr>
          <w:color w:val="000000"/>
        </w:rPr>
      </w:pPr>
    </w:p>
    <w:p w:rsidR="00AD2507" w:rsidRDefault="00F10379">
      <w:pPr>
        <w:spacing w:after="0" w:line="360" w:lineRule="auto"/>
        <w:ind w:right="-93"/>
        <w:rPr>
          <w:color w:val="000000"/>
        </w:rPr>
      </w:pPr>
      <w:r>
        <w:rPr>
          <w:color w:val="000000"/>
        </w:rPr>
        <w:t>Conforme a lo anterior, se logra vislumbrar que la pretensión del ahora Recurrente es obtener los Oficios Firmados por la Tesorería del Organismo de Agua correspondiente al mes de marzo de dos mil veinticinco.</w:t>
      </w:r>
    </w:p>
    <w:p w:rsidR="00AD2507" w:rsidRDefault="00AD2507">
      <w:pPr>
        <w:widowControl w:val="0"/>
        <w:spacing w:after="0" w:line="360" w:lineRule="auto"/>
      </w:pPr>
    </w:p>
    <w:p w:rsidR="00AD2507" w:rsidRDefault="00F10379">
      <w:pPr>
        <w:spacing w:after="0" w:line="360" w:lineRule="auto"/>
        <w:rPr>
          <w:b/>
          <w:color w:val="000000"/>
        </w:rPr>
      </w:pPr>
      <w:r>
        <w:rPr>
          <w:color w:val="000000"/>
        </w:rPr>
        <w:t xml:space="preserve">Al respecto,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Pr>
          <w:b/>
          <w:color w:val="000000"/>
        </w:rPr>
        <w:t>cuando la misma no sea competencia del sujeto obligado ante el cual se formule la solicitud de acceso.</w:t>
      </w:r>
    </w:p>
    <w:p w:rsidR="00AD2507" w:rsidRDefault="00AD2507">
      <w:pPr>
        <w:spacing w:after="0" w:line="360" w:lineRule="auto"/>
        <w:rPr>
          <w:b/>
          <w:color w:val="000000"/>
        </w:rPr>
      </w:pPr>
    </w:p>
    <w:p w:rsidR="00AD2507" w:rsidRDefault="00F10379">
      <w:pPr>
        <w:spacing w:after="0" w:line="360" w:lineRule="auto"/>
        <w:rPr>
          <w:color w:val="000000"/>
        </w:rPr>
      </w:pPr>
      <w:r>
        <w:rPr>
          <w:color w:val="000000"/>
        </w:rPr>
        <w:lastRenderedPageBreak/>
        <w:t xml:space="preserve">Asimismo, que los Comités de Transparencia tienen entre sus atribuciones confirmar, modificar o revocar la </w:t>
      </w:r>
      <w:r>
        <w:rPr>
          <w:b/>
          <w:color w:val="000000"/>
        </w:rPr>
        <w:t>declaración de incompetencia</w:t>
      </w:r>
      <w:r>
        <w:rPr>
          <w:color w:val="000000"/>
        </w:rPr>
        <w:t xml:space="preserve"> que realicen los titulares de las unidades administrativas.</w:t>
      </w:r>
    </w:p>
    <w:p w:rsidR="00AD2507" w:rsidRDefault="00AD2507">
      <w:pPr>
        <w:spacing w:after="0" w:line="360" w:lineRule="auto"/>
        <w:rPr>
          <w:color w:val="000000"/>
        </w:rPr>
      </w:pPr>
    </w:p>
    <w:p w:rsidR="00AD2507" w:rsidRDefault="00F10379">
      <w:pPr>
        <w:spacing w:after="0" w:line="360" w:lineRule="auto"/>
        <w:rPr>
          <w:color w:val="000000"/>
        </w:rPr>
      </w:pPr>
      <w:r>
        <w:rPr>
          <w:color w:val="000000"/>
        </w:rPr>
        <w:t xml:space="preserve">En esa tesitura, cuando las Unidades de Transparencia determinen </w:t>
      </w:r>
      <w:r>
        <w:rPr>
          <w:b/>
          <w:color w:val="000000"/>
        </w:rPr>
        <w:t>la notoria incompetencia</w:t>
      </w:r>
      <w:r>
        <w:rPr>
          <w:color w:val="000000"/>
        </w:rPr>
        <w:t xml:space="preserve"> por parte de los sujetos obligados deberán comunicar al solicitante la misma dentro de los tres días posteriores a la recepción de la solicitud. </w:t>
      </w:r>
    </w:p>
    <w:p w:rsidR="00AD2507" w:rsidRDefault="00AD2507">
      <w:pPr>
        <w:spacing w:after="0" w:line="360" w:lineRule="auto"/>
        <w:rPr>
          <w:color w:val="000000"/>
        </w:rPr>
      </w:pPr>
    </w:p>
    <w:p w:rsidR="00AD2507" w:rsidRDefault="00F10379">
      <w:pPr>
        <w:spacing w:after="0" w:line="360" w:lineRule="auto"/>
        <w:rPr>
          <w:color w:val="000000"/>
        </w:rPr>
      </w:pPr>
      <w:r>
        <w:rPr>
          <w:color w:val="000000"/>
        </w:rPr>
        <w:t>Como se logra observar, si bien la Ley de la materia, prevé el supuesto de incompetencia para que los sujetos obligados den atención a solitudes de información, también lo es, que no se precisa en que consiste dicho concepto; sobre dicha situación, según Cabanellas, Guillermo (1993), en el “Diccionario Jurídico Elemental” (p. 32 y 161), precisó los siguientes conceptos:</w:t>
      </w:r>
    </w:p>
    <w:p w:rsidR="00AD2507" w:rsidRDefault="00AD2507">
      <w:pPr>
        <w:spacing w:after="0" w:line="360" w:lineRule="auto"/>
        <w:rPr>
          <w:color w:val="000000"/>
        </w:rPr>
      </w:pPr>
    </w:p>
    <w:p w:rsidR="00AD2507" w:rsidRDefault="00F10379">
      <w:pPr>
        <w:numPr>
          <w:ilvl w:val="0"/>
          <w:numId w:val="1"/>
        </w:numPr>
        <w:spacing w:after="0" w:line="360" w:lineRule="auto"/>
        <w:jc w:val="left"/>
        <w:rPr>
          <w:color w:val="000000"/>
        </w:rPr>
      </w:pPr>
      <w:r>
        <w:rPr>
          <w:b/>
          <w:color w:val="000000"/>
        </w:rPr>
        <w:t xml:space="preserve">Competencia: </w:t>
      </w:r>
      <w:r>
        <w:rPr>
          <w:color w:val="000000"/>
        </w:rPr>
        <w:t>La capacidad de una autoridad para conocer sobre una materia o asunto.</w:t>
      </w:r>
    </w:p>
    <w:p w:rsidR="00AD2507" w:rsidRDefault="00AD2507">
      <w:pPr>
        <w:spacing w:after="0" w:line="360" w:lineRule="auto"/>
        <w:ind w:left="780"/>
        <w:jc w:val="left"/>
        <w:rPr>
          <w:color w:val="000000"/>
        </w:rPr>
      </w:pPr>
    </w:p>
    <w:p w:rsidR="00AD2507" w:rsidRDefault="00F10379">
      <w:pPr>
        <w:numPr>
          <w:ilvl w:val="0"/>
          <w:numId w:val="1"/>
        </w:numPr>
        <w:spacing w:after="0" w:line="360" w:lineRule="auto"/>
        <w:jc w:val="left"/>
        <w:rPr>
          <w:color w:val="000000"/>
        </w:rPr>
      </w:pPr>
      <w:r>
        <w:rPr>
          <w:b/>
          <w:color w:val="000000"/>
        </w:rPr>
        <w:t>Incompetencia:</w:t>
      </w:r>
      <w:r>
        <w:rPr>
          <w:color w:val="000000"/>
        </w:rPr>
        <w:t xml:space="preserve"> Falta de Competencia.</w:t>
      </w:r>
    </w:p>
    <w:p w:rsidR="00AD2507" w:rsidRDefault="00AD2507">
      <w:pPr>
        <w:spacing w:after="0" w:line="360" w:lineRule="auto"/>
        <w:rPr>
          <w:color w:val="000000"/>
        </w:rPr>
      </w:pPr>
    </w:p>
    <w:p w:rsidR="00AD2507" w:rsidRDefault="00F10379">
      <w:pPr>
        <w:spacing w:after="0" w:line="360" w:lineRule="auto"/>
        <w:rPr>
          <w:color w:val="000000"/>
        </w:rPr>
      </w:pPr>
      <w:r>
        <w:rPr>
          <w:color w:val="000000"/>
        </w:rPr>
        <w:t xml:space="preserve">Por lo que, </w:t>
      </w:r>
      <w:r>
        <w:rPr>
          <w:b/>
          <w:color w:val="000000"/>
        </w:rPr>
        <w:t>la incompetencia</w:t>
      </w:r>
      <w:r>
        <w:rPr>
          <w:color w:val="000000"/>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rsidR="00AD2507" w:rsidRDefault="00AD2507">
      <w:pPr>
        <w:spacing w:after="0" w:line="360" w:lineRule="auto"/>
        <w:rPr>
          <w:color w:val="000000"/>
        </w:rPr>
      </w:pPr>
    </w:p>
    <w:p w:rsidR="00AD2507" w:rsidRDefault="00F10379">
      <w:pPr>
        <w:spacing w:after="0" w:line="360" w:lineRule="auto"/>
        <w:ind w:left="567" w:right="567"/>
        <w:rPr>
          <w:i/>
          <w:color w:val="000000"/>
          <w:sz w:val="20"/>
          <w:szCs w:val="20"/>
        </w:rPr>
      </w:pPr>
      <w:r>
        <w:rPr>
          <w:b/>
          <w:i/>
          <w:color w:val="000000"/>
          <w:sz w:val="20"/>
          <w:szCs w:val="20"/>
        </w:rPr>
        <w:t xml:space="preserve">“LEGITIMACIÓN DE FUNCIONARIOS PÚBLICOS. LOS TRIBUNALES DE AMPARO, POR ESTAR VINCULADOS CON EL CONCEPTO DE COMPETENCIA A QUE SE REFIERE EL ARTÍCULO 16 CONSTITUCIONAL, NO PUEDEN CONOCER DE </w:t>
      </w:r>
      <w:r>
        <w:rPr>
          <w:b/>
          <w:i/>
          <w:color w:val="000000"/>
          <w:sz w:val="20"/>
          <w:szCs w:val="20"/>
        </w:rPr>
        <w:lastRenderedPageBreak/>
        <w:t xml:space="preserve">AQUÉLLA. </w:t>
      </w:r>
      <w:r>
        <w:rPr>
          <w:i/>
          <w:color w:val="000000"/>
          <w:sz w:val="20"/>
          <w:szCs w:val="20"/>
        </w:rPr>
        <w:t>El artículo </w:t>
      </w:r>
      <w:hyperlink r:id="rId12">
        <w:r>
          <w:rPr>
            <w:i/>
            <w:color w:val="0563C1"/>
            <w:sz w:val="20"/>
            <w:szCs w:val="20"/>
            <w:u w:val="single"/>
          </w:rPr>
          <w:t>16 constitucional</w:t>
        </w:r>
      </w:hyperlink>
      <w:r>
        <w:rPr>
          <w:i/>
          <w:color w:val="000000"/>
          <w:sz w:val="20"/>
          <w:szCs w:val="20"/>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rsidR="00AD2507" w:rsidRDefault="00AD2507">
      <w:pPr>
        <w:spacing w:after="0" w:line="360" w:lineRule="auto"/>
        <w:rPr>
          <w:color w:val="000000"/>
        </w:rPr>
      </w:pPr>
    </w:p>
    <w:p w:rsidR="00AD2507" w:rsidRDefault="00F10379">
      <w:pPr>
        <w:spacing w:after="0" w:line="360" w:lineRule="auto"/>
        <w:rPr>
          <w:color w:val="000000"/>
        </w:rPr>
      </w:pPr>
      <w:r>
        <w:rPr>
          <w:color w:val="000000"/>
        </w:rPr>
        <w:t xml:space="preserve">De la misma manera, resulta necesario traer a colación, Criterio de Interpretación, de la Segunda Época, con clave de control SO/013/2017, emitido por el entonces Instituto Nacional de Transparencia, Acceso a la Información y Protección de Datos Personales, que dispone lo siguiente: </w:t>
      </w:r>
    </w:p>
    <w:p w:rsidR="00AD2507" w:rsidRDefault="00AD2507">
      <w:pPr>
        <w:spacing w:after="0" w:line="360" w:lineRule="auto"/>
        <w:rPr>
          <w:color w:val="000000"/>
        </w:rPr>
      </w:pPr>
    </w:p>
    <w:p w:rsidR="00AD2507" w:rsidRDefault="00F10379">
      <w:pPr>
        <w:spacing w:after="0" w:line="360" w:lineRule="auto"/>
        <w:ind w:left="567" w:right="567"/>
        <w:rPr>
          <w:i/>
          <w:color w:val="000000"/>
          <w:sz w:val="20"/>
          <w:szCs w:val="20"/>
        </w:rPr>
      </w:pPr>
      <w:r>
        <w:rPr>
          <w:i/>
          <w:color w:val="000000"/>
          <w:sz w:val="20"/>
          <w:szCs w:val="20"/>
        </w:rPr>
        <w:t>“</w:t>
      </w:r>
      <w:r>
        <w:rPr>
          <w:b/>
          <w:i/>
          <w:color w:val="000000"/>
          <w:sz w:val="20"/>
          <w:szCs w:val="20"/>
        </w:rPr>
        <w:t xml:space="preserve">Incompetencia. </w:t>
      </w:r>
      <w:r>
        <w:rPr>
          <w:i/>
          <w:color w:val="000000"/>
          <w:sz w:val="20"/>
          <w:szCs w:val="20"/>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00AD2507" w:rsidRDefault="00AD2507">
      <w:pPr>
        <w:spacing w:after="0" w:line="360" w:lineRule="auto"/>
        <w:rPr>
          <w:color w:val="000000"/>
        </w:rPr>
      </w:pPr>
    </w:p>
    <w:p w:rsidR="00AD2507" w:rsidRDefault="00F10379">
      <w:pPr>
        <w:spacing w:after="0" w:line="360" w:lineRule="auto"/>
        <w:rPr>
          <w:color w:val="000000"/>
        </w:rPr>
      </w:pPr>
      <w:r>
        <w:rPr>
          <w:color w:val="000000"/>
        </w:rPr>
        <w:t xml:space="preserve">En tal virtud, la </w:t>
      </w:r>
      <w:r>
        <w:rPr>
          <w:b/>
          <w:color w:val="000000"/>
        </w:rPr>
        <w:t xml:space="preserve">incompetencia </w:t>
      </w:r>
      <w:r>
        <w:rPr>
          <w:color w:val="000000"/>
        </w:rPr>
        <w:t>implica que, de conformidad con las atribuciones conferidas al Sujeto Obligado, no habría razón por la cual éste deba contar con la información solicitada, en cuyo caso, tendría que orientar al particular para que acuda a la instancia competente.</w:t>
      </w:r>
    </w:p>
    <w:p w:rsidR="00AD2507" w:rsidRDefault="00AD2507">
      <w:pPr>
        <w:spacing w:after="0" w:line="360" w:lineRule="auto"/>
        <w:rPr>
          <w:color w:val="000000"/>
        </w:rPr>
      </w:pPr>
    </w:p>
    <w:p w:rsidR="00AD2507" w:rsidRDefault="00F10379">
      <w:pPr>
        <w:spacing w:after="0" w:line="360" w:lineRule="auto"/>
        <w:rPr>
          <w:b/>
          <w:color w:val="000000"/>
        </w:rPr>
      </w:pPr>
      <w:r>
        <w:rPr>
          <w:color w:val="000000"/>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rsidR="00AD2507" w:rsidRDefault="00AD2507">
      <w:pPr>
        <w:widowControl w:val="0"/>
        <w:spacing w:after="0" w:line="360" w:lineRule="auto"/>
        <w:rPr>
          <w:color w:val="000000"/>
        </w:rPr>
      </w:pPr>
    </w:p>
    <w:p w:rsidR="00AD2507" w:rsidRDefault="00F10379">
      <w:pPr>
        <w:widowControl w:val="0"/>
        <w:spacing w:after="0" w:line="360" w:lineRule="auto"/>
        <w:rPr>
          <w:color w:val="000000"/>
        </w:rPr>
      </w:pPr>
      <w:r>
        <w:rPr>
          <w:color w:val="000000"/>
        </w:rPr>
        <w:t>En ese sentido, resulta necesario traer a colación lo que establece el Reglamento Interno del Organismo Público Descentralizado para la prestación de los servicios de agua potable, alcantarillado y saneamiento de Teoloyucan, donde su principal atribución es regular la prestación de los servicios de agua potable, alcantarillado, saneamiento, y tratamiento de aguas residuales, su reúso y la disposición final de sus productos resultantes, al igual que Regular las facultades de verificación, inspección, vigilancia, supervisión, revisión, determinación, cobro y sanción, respecto a omisiones, infracciones e incumplimiento de obligaciones relativas a los servicios de agua potable, alcantarillado, saneamiento, tratamiento de aguas residuales, su reúso y la disposición final de sus productos resultantes, así como de las contribuciones, aprovechamientos, conceptos de incorporación, aportaciones, contraprestaciones, sanciones administrativas, multas, cuotas, tasas y/o tarifas causadas por la prestación de los servicios al usuario.</w:t>
      </w:r>
    </w:p>
    <w:p w:rsidR="00AD2507" w:rsidRDefault="00AD2507">
      <w:pPr>
        <w:widowControl w:val="0"/>
        <w:spacing w:after="0" w:line="360" w:lineRule="auto"/>
        <w:rPr>
          <w:color w:val="000000"/>
        </w:rPr>
      </w:pPr>
    </w:p>
    <w:p w:rsidR="00AD2507" w:rsidRDefault="00F10379">
      <w:pPr>
        <w:widowControl w:val="0"/>
        <w:spacing w:after="0" w:line="360" w:lineRule="auto"/>
        <w:rPr>
          <w:color w:val="000000"/>
        </w:rPr>
      </w:pPr>
      <w:r>
        <w:rPr>
          <w:color w:val="000000"/>
        </w:rPr>
        <w:t>Dentro de la misma ley en comento en su artículo 9, y 12 refiere la organización del O.P.D.A.P.A.S. la cual es la siguiente:</w:t>
      </w:r>
    </w:p>
    <w:p w:rsidR="00AD2507" w:rsidRDefault="00AD2507">
      <w:pPr>
        <w:widowControl w:val="0"/>
        <w:spacing w:after="0" w:line="360" w:lineRule="auto"/>
        <w:rPr>
          <w:color w:val="000000"/>
        </w:rPr>
      </w:pPr>
    </w:p>
    <w:p w:rsidR="00AD2507" w:rsidRDefault="00F10379">
      <w:pPr>
        <w:widowControl w:val="0"/>
        <w:numPr>
          <w:ilvl w:val="0"/>
          <w:numId w:val="4"/>
        </w:numPr>
        <w:pBdr>
          <w:top w:val="nil"/>
          <w:left w:val="nil"/>
          <w:bottom w:val="nil"/>
          <w:right w:val="nil"/>
          <w:between w:val="nil"/>
        </w:pBdr>
        <w:spacing w:after="0" w:line="360" w:lineRule="auto"/>
        <w:rPr>
          <w:color w:val="000000"/>
        </w:rPr>
      </w:pPr>
      <w:r>
        <w:rPr>
          <w:color w:val="000000"/>
        </w:rPr>
        <w:t xml:space="preserve">Un consejo directivo; y </w:t>
      </w:r>
    </w:p>
    <w:p w:rsidR="00AD2507" w:rsidRDefault="00F10379">
      <w:pPr>
        <w:widowControl w:val="0"/>
        <w:numPr>
          <w:ilvl w:val="0"/>
          <w:numId w:val="4"/>
        </w:numPr>
        <w:pBdr>
          <w:top w:val="nil"/>
          <w:left w:val="nil"/>
          <w:bottom w:val="nil"/>
          <w:right w:val="nil"/>
          <w:between w:val="nil"/>
        </w:pBdr>
        <w:spacing w:after="0" w:line="360" w:lineRule="auto"/>
        <w:rPr>
          <w:color w:val="000000"/>
        </w:rPr>
      </w:pPr>
      <w:r>
        <w:rPr>
          <w:color w:val="000000"/>
        </w:rPr>
        <w:t>Un director general.</w:t>
      </w:r>
    </w:p>
    <w:p w:rsidR="00AD2507" w:rsidRDefault="00F10379">
      <w:pPr>
        <w:widowControl w:val="0"/>
        <w:numPr>
          <w:ilvl w:val="0"/>
          <w:numId w:val="4"/>
        </w:numPr>
        <w:pBdr>
          <w:top w:val="nil"/>
          <w:left w:val="nil"/>
          <w:bottom w:val="nil"/>
          <w:right w:val="nil"/>
          <w:between w:val="nil"/>
        </w:pBdr>
        <w:spacing w:after="0" w:line="360" w:lineRule="auto"/>
        <w:rPr>
          <w:color w:val="000000"/>
        </w:rPr>
      </w:pPr>
      <w:r>
        <w:rPr>
          <w:color w:val="000000"/>
        </w:rPr>
        <w:t xml:space="preserve">El Consejo del Organismo está integrado por: </w:t>
      </w:r>
    </w:p>
    <w:p w:rsidR="00AD2507" w:rsidRDefault="00F10379">
      <w:pPr>
        <w:widowControl w:val="0"/>
        <w:numPr>
          <w:ilvl w:val="0"/>
          <w:numId w:val="4"/>
        </w:numPr>
        <w:pBdr>
          <w:top w:val="nil"/>
          <w:left w:val="nil"/>
          <w:bottom w:val="nil"/>
          <w:right w:val="nil"/>
          <w:between w:val="nil"/>
        </w:pBdr>
        <w:spacing w:after="0" w:line="360" w:lineRule="auto"/>
        <w:rPr>
          <w:color w:val="000000"/>
        </w:rPr>
      </w:pPr>
      <w:r>
        <w:rPr>
          <w:color w:val="000000"/>
        </w:rPr>
        <w:t xml:space="preserve">Un presidente, quien será el Presidente Municipal o quien él designe; </w:t>
      </w:r>
    </w:p>
    <w:p w:rsidR="00AD2507" w:rsidRDefault="00F10379">
      <w:pPr>
        <w:widowControl w:val="0"/>
        <w:numPr>
          <w:ilvl w:val="0"/>
          <w:numId w:val="4"/>
        </w:numPr>
        <w:pBdr>
          <w:top w:val="nil"/>
          <w:left w:val="nil"/>
          <w:bottom w:val="nil"/>
          <w:right w:val="nil"/>
          <w:between w:val="nil"/>
        </w:pBdr>
        <w:spacing w:after="0" w:line="360" w:lineRule="auto"/>
        <w:rPr>
          <w:color w:val="000000"/>
        </w:rPr>
      </w:pPr>
      <w:r>
        <w:rPr>
          <w:color w:val="000000"/>
        </w:rPr>
        <w:t xml:space="preserve">Un secretario Técnico, quien será el Director General o Directora General. </w:t>
      </w:r>
    </w:p>
    <w:p w:rsidR="00AD2507" w:rsidRDefault="00F10379">
      <w:pPr>
        <w:widowControl w:val="0"/>
        <w:numPr>
          <w:ilvl w:val="0"/>
          <w:numId w:val="4"/>
        </w:numPr>
        <w:pBdr>
          <w:top w:val="nil"/>
          <w:left w:val="nil"/>
          <w:bottom w:val="nil"/>
          <w:right w:val="nil"/>
          <w:between w:val="nil"/>
        </w:pBdr>
        <w:spacing w:after="0" w:line="360" w:lineRule="auto"/>
        <w:rPr>
          <w:color w:val="000000"/>
        </w:rPr>
      </w:pPr>
      <w:r>
        <w:rPr>
          <w:color w:val="000000"/>
        </w:rPr>
        <w:t xml:space="preserve">Un representante del H. Ayuntamiento; </w:t>
      </w:r>
    </w:p>
    <w:p w:rsidR="00AD2507" w:rsidRDefault="00F10379">
      <w:pPr>
        <w:widowControl w:val="0"/>
        <w:numPr>
          <w:ilvl w:val="0"/>
          <w:numId w:val="4"/>
        </w:numPr>
        <w:pBdr>
          <w:top w:val="nil"/>
          <w:left w:val="nil"/>
          <w:bottom w:val="nil"/>
          <w:right w:val="nil"/>
          <w:between w:val="nil"/>
        </w:pBdr>
        <w:spacing w:after="0" w:line="360" w:lineRule="auto"/>
        <w:rPr>
          <w:color w:val="000000"/>
        </w:rPr>
      </w:pPr>
      <w:r>
        <w:rPr>
          <w:color w:val="000000"/>
        </w:rPr>
        <w:t xml:space="preserve">Un representante de la Comisión del Agua del Estado de México; </w:t>
      </w:r>
    </w:p>
    <w:p w:rsidR="00AD2507" w:rsidRDefault="00F10379">
      <w:pPr>
        <w:widowControl w:val="0"/>
        <w:numPr>
          <w:ilvl w:val="0"/>
          <w:numId w:val="4"/>
        </w:numPr>
        <w:pBdr>
          <w:top w:val="nil"/>
          <w:left w:val="nil"/>
          <w:bottom w:val="nil"/>
          <w:right w:val="nil"/>
          <w:between w:val="nil"/>
        </w:pBdr>
        <w:spacing w:after="0" w:line="360" w:lineRule="auto"/>
        <w:rPr>
          <w:color w:val="000000"/>
        </w:rPr>
      </w:pPr>
      <w:r>
        <w:rPr>
          <w:color w:val="000000"/>
        </w:rPr>
        <w:t xml:space="preserve">Un Comisario designado por el Cabildo; y </w:t>
      </w:r>
    </w:p>
    <w:p w:rsidR="00AD2507" w:rsidRDefault="00F10379">
      <w:pPr>
        <w:widowControl w:val="0"/>
        <w:numPr>
          <w:ilvl w:val="0"/>
          <w:numId w:val="4"/>
        </w:numPr>
        <w:pBdr>
          <w:top w:val="nil"/>
          <w:left w:val="nil"/>
          <w:bottom w:val="nil"/>
          <w:right w:val="nil"/>
          <w:between w:val="nil"/>
        </w:pBdr>
        <w:spacing w:after="0" w:line="360" w:lineRule="auto"/>
        <w:rPr>
          <w:color w:val="000000"/>
        </w:rPr>
      </w:pPr>
      <w:r>
        <w:rPr>
          <w:color w:val="000000"/>
        </w:rPr>
        <w:t xml:space="preserve">Tres vocales ajenos a la administración municipal, con mayor representatividad y </w:t>
      </w:r>
      <w:r>
        <w:rPr>
          <w:color w:val="000000"/>
        </w:rPr>
        <w:lastRenderedPageBreak/>
        <w:t>designados por el Ayuntamiento, a propuesta de las organizaciones vecinales, comerciales, industriales o de cualquier otro tipo, que sean usuarios.</w:t>
      </w:r>
    </w:p>
    <w:p w:rsidR="00AD2507" w:rsidRDefault="00AD2507">
      <w:pPr>
        <w:widowControl w:val="0"/>
        <w:spacing w:after="0" w:line="360" w:lineRule="auto"/>
        <w:rPr>
          <w:color w:val="000000"/>
        </w:rPr>
      </w:pPr>
    </w:p>
    <w:p w:rsidR="00AD2507" w:rsidRDefault="00F10379">
      <w:pPr>
        <w:widowControl w:val="0"/>
        <w:spacing w:after="0" w:line="360" w:lineRule="auto"/>
      </w:pPr>
      <w:r>
        <w:t>Ahora también se acompañara de las siguientes Coordinaciones o Dependencias.</w:t>
      </w:r>
    </w:p>
    <w:p w:rsidR="00AD2507" w:rsidRDefault="00AD2507">
      <w:pPr>
        <w:widowControl w:val="0"/>
        <w:spacing w:after="0" w:line="360" w:lineRule="auto"/>
      </w:pPr>
    </w:p>
    <w:p w:rsidR="00AD2507" w:rsidRDefault="00F10379">
      <w:pPr>
        <w:widowControl w:val="0"/>
        <w:spacing w:after="0" w:line="360" w:lineRule="auto"/>
        <w:rPr>
          <w:b/>
        </w:rPr>
      </w:pPr>
      <w:r>
        <w:rPr>
          <w:b/>
        </w:rPr>
        <w:t>I.DIRECCIÓN GENERAL:</w:t>
      </w:r>
    </w:p>
    <w:p w:rsidR="00AD2507" w:rsidRDefault="00F10379">
      <w:pPr>
        <w:widowControl w:val="0"/>
        <w:spacing w:after="0" w:line="360" w:lineRule="auto"/>
      </w:pPr>
      <w:r>
        <w:t xml:space="preserve"> Jefatura de Asuntos Jurídicos </w:t>
      </w:r>
    </w:p>
    <w:p w:rsidR="00AD2507" w:rsidRDefault="00F10379">
      <w:pPr>
        <w:widowControl w:val="0"/>
        <w:spacing w:after="0" w:line="360" w:lineRule="auto"/>
      </w:pPr>
      <w:r>
        <w:t xml:space="preserve">I.II Jefatura de Proyectos </w:t>
      </w:r>
    </w:p>
    <w:p w:rsidR="00AD2507" w:rsidRDefault="00F10379">
      <w:pPr>
        <w:widowControl w:val="0"/>
        <w:spacing w:after="0" w:line="360" w:lineRule="auto"/>
      </w:pPr>
      <w:r>
        <w:t>I.III Coordinación de Atención a la Ciudadanía</w:t>
      </w:r>
    </w:p>
    <w:p w:rsidR="00AD2507" w:rsidRDefault="00F10379">
      <w:pPr>
        <w:widowControl w:val="0"/>
        <w:spacing w:after="0" w:line="360" w:lineRule="auto"/>
      </w:pPr>
      <w:r>
        <w:t xml:space="preserve">I.IV Coordinación de Unidad de Información, Planeación, Programación y Evaluación </w:t>
      </w:r>
    </w:p>
    <w:p w:rsidR="00AD2507" w:rsidRDefault="00F10379">
      <w:pPr>
        <w:widowControl w:val="0"/>
        <w:spacing w:after="0" w:line="360" w:lineRule="auto"/>
      </w:pPr>
      <w:r>
        <w:t xml:space="preserve">I.V Vinculo Operativo del Organismo con la Coordinación Municipal de Mejora Regulatoria </w:t>
      </w:r>
    </w:p>
    <w:p w:rsidR="00AD2507" w:rsidRDefault="00AD2507">
      <w:pPr>
        <w:widowControl w:val="0"/>
        <w:spacing w:after="0" w:line="360" w:lineRule="auto"/>
      </w:pPr>
    </w:p>
    <w:p w:rsidR="00AD2507" w:rsidRDefault="00F10379">
      <w:pPr>
        <w:widowControl w:val="0"/>
        <w:spacing w:after="0" w:line="360" w:lineRule="auto"/>
      </w:pPr>
      <w:r>
        <w:rPr>
          <w:b/>
        </w:rPr>
        <w:t>II. SUBDIRECCIÓN DE ADMINISTRACIÓN Y FINANZAS</w:t>
      </w:r>
      <w:r>
        <w:t xml:space="preserve"> </w:t>
      </w:r>
    </w:p>
    <w:p w:rsidR="00AD2507" w:rsidRDefault="00F10379">
      <w:pPr>
        <w:widowControl w:val="0"/>
        <w:spacing w:after="0" w:line="360" w:lineRule="auto"/>
      </w:pPr>
      <w:r>
        <w:t>II.I Jefatura de Contabilidad</w:t>
      </w:r>
    </w:p>
    <w:p w:rsidR="00AD2507" w:rsidRDefault="00F10379">
      <w:pPr>
        <w:widowControl w:val="0"/>
        <w:spacing w:after="0" w:line="360" w:lineRule="auto"/>
      </w:pPr>
      <w:r>
        <w:t xml:space="preserve">II.II Coordinación de Ingresos y Egresos </w:t>
      </w:r>
    </w:p>
    <w:p w:rsidR="00AD2507" w:rsidRDefault="00F10379">
      <w:pPr>
        <w:widowControl w:val="0"/>
        <w:spacing w:after="0" w:line="360" w:lineRule="auto"/>
      </w:pPr>
      <w:r>
        <w:t>II.III Coordinación de Adquisiciones y Recursos Materiales</w:t>
      </w:r>
    </w:p>
    <w:p w:rsidR="00AD2507" w:rsidRDefault="00F10379">
      <w:pPr>
        <w:widowControl w:val="0"/>
        <w:spacing w:after="0" w:line="360" w:lineRule="auto"/>
      </w:pPr>
      <w:r>
        <w:t xml:space="preserve">II.IV Coordinación de Recursos Humanos </w:t>
      </w:r>
    </w:p>
    <w:p w:rsidR="00AD2507" w:rsidRDefault="00F10379">
      <w:pPr>
        <w:widowControl w:val="0"/>
        <w:spacing w:after="0" w:line="360" w:lineRule="auto"/>
      </w:pPr>
      <w:r>
        <w:t xml:space="preserve">II.V Coordinación de Patrimonio y archivo </w:t>
      </w:r>
    </w:p>
    <w:p w:rsidR="00AD2507" w:rsidRDefault="00F10379">
      <w:pPr>
        <w:widowControl w:val="0"/>
        <w:spacing w:after="0" w:line="360" w:lineRule="auto"/>
      </w:pPr>
      <w:r>
        <w:t xml:space="preserve">II.VI Jefatura de Comercialización </w:t>
      </w:r>
    </w:p>
    <w:p w:rsidR="00AD2507" w:rsidRDefault="00AD2507">
      <w:pPr>
        <w:widowControl w:val="0"/>
        <w:spacing w:after="0" w:line="360" w:lineRule="auto"/>
      </w:pPr>
    </w:p>
    <w:p w:rsidR="00AD2507" w:rsidRDefault="00F10379">
      <w:pPr>
        <w:widowControl w:val="0"/>
        <w:spacing w:after="0" w:line="360" w:lineRule="auto"/>
      </w:pPr>
      <w:r>
        <w:rPr>
          <w:b/>
        </w:rPr>
        <w:t>III. SUBDIRECCIÓN DE OPERACIÓN Y MANTENIMIENTO</w:t>
      </w:r>
      <w:r>
        <w:t xml:space="preserve"> </w:t>
      </w:r>
    </w:p>
    <w:p w:rsidR="00AD2507" w:rsidRDefault="00F10379">
      <w:pPr>
        <w:widowControl w:val="0"/>
        <w:spacing w:after="0" w:line="360" w:lineRule="auto"/>
      </w:pPr>
      <w:r>
        <w:t xml:space="preserve">III.I Jefatura de Operación para el Sistema de Agua, Drenaje y Alcantarillado </w:t>
      </w:r>
    </w:p>
    <w:p w:rsidR="00AD2507" w:rsidRDefault="00F10379">
      <w:pPr>
        <w:widowControl w:val="0"/>
        <w:spacing w:after="0" w:line="360" w:lineRule="auto"/>
      </w:pPr>
      <w:r>
        <w:t xml:space="preserve">III.II Jefatura de mantenimiento de Redes Hidráulicas, Alcantarillado y Saneamiento </w:t>
      </w:r>
    </w:p>
    <w:p w:rsidR="00AD2507" w:rsidRDefault="00F10379">
      <w:pPr>
        <w:widowControl w:val="0"/>
        <w:spacing w:after="0" w:line="360" w:lineRule="auto"/>
      </w:pPr>
      <w:r>
        <w:t xml:space="preserve">III.III Departamento de Electromecánico y Mantenimiento de Pozos y Cárcamos </w:t>
      </w:r>
    </w:p>
    <w:p w:rsidR="00AD2507" w:rsidRDefault="00AD2507">
      <w:pPr>
        <w:widowControl w:val="0"/>
        <w:spacing w:after="0" w:line="360" w:lineRule="auto"/>
      </w:pPr>
    </w:p>
    <w:p w:rsidR="00AD2507" w:rsidRDefault="00F10379">
      <w:pPr>
        <w:widowControl w:val="0"/>
        <w:spacing w:after="0" w:line="360" w:lineRule="auto"/>
        <w:rPr>
          <w:b/>
        </w:rPr>
      </w:pPr>
      <w:r>
        <w:rPr>
          <w:b/>
        </w:rPr>
        <w:t xml:space="preserve">IV. JEFATURA DE ASUNTOS JURIDICO </w:t>
      </w:r>
    </w:p>
    <w:p w:rsidR="00AD2507" w:rsidRDefault="00F10379">
      <w:pPr>
        <w:widowControl w:val="0"/>
        <w:spacing w:after="0" w:line="360" w:lineRule="auto"/>
      </w:pPr>
      <w:r>
        <w:lastRenderedPageBreak/>
        <w:t xml:space="preserve">IV.I. Oficialía de Partes </w:t>
      </w:r>
    </w:p>
    <w:p w:rsidR="00AD2507" w:rsidRDefault="00AD2507">
      <w:pPr>
        <w:widowControl w:val="0"/>
        <w:spacing w:after="0" w:line="360" w:lineRule="auto"/>
      </w:pPr>
    </w:p>
    <w:p w:rsidR="00AD2507" w:rsidRDefault="00F10379">
      <w:pPr>
        <w:widowControl w:val="0"/>
        <w:spacing w:after="0" w:line="360" w:lineRule="auto"/>
        <w:rPr>
          <w:b/>
        </w:rPr>
      </w:pPr>
      <w:r>
        <w:rPr>
          <w:b/>
        </w:rPr>
        <w:t xml:space="preserve">VI. JEFATURA DE COMUNICACIÓN, CULTURA Y GÉNERO </w:t>
      </w:r>
    </w:p>
    <w:p w:rsidR="00AD2507" w:rsidRDefault="00F10379">
      <w:pPr>
        <w:widowControl w:val="0"/>
        <w:spacing w:after="0" w:line="360" w:lineRule="auto"/>
      </w:pPr>
      <w:r>
        <w:t xml:space="preserve">VI.I Coordinación de Comunicación. </w:t>
      </w:r>
    </w:p>
    <w:p w:rsidR="00AD2507" w:rsidRDefault="00F10379">
      <w:pPr>
        <w:widowControl w:val="0"/>
        <w:spacing w:after="0" w:line="360" w:lineRule="auto"/>
      </w:pPr>
      <w:r>
        <w:t xml:space="preserve">VI.II Coordinación de Cultura del Agua. </w:t>
      </w:r>
    </w:p>
    <w:p w:rsidR="00AD2507" w:rsidRDefault="00F10379">
      <w:pPr>
        <w:widowControl w:val="0"/>
        <w:spacing w:after="0" w:line="360" w:lineRule="auto"/>
      </w:pPr>
      <w:r>
        <w:t xml:space="preserve">VI.III Coordinación de Igualdad de Género </w:t>
      </w:r>
    </w:p>
    <w:p w:rsidR="00AD2507" w:rsidRDefault="00AD2507">
      <w:pPr>
        <w:widowControl w:val="0"/>
        <w:spacing w:after="0" w:line="360" w:lineRule="auto"/>
      </w:pPr>
    </w:p>
    <w:p w:rsidR="00AD2507" w:rsidRDefault="00F10379">
      <w:pPr>
        <w:widowControl w:val="0"/>
        <w:spacing w:after="0" w:line="360" w:lineRule="auto"/>
        <w:rPr>
          <w:b/>
        </w:rPr>
      </w:pPr>
      <w:r>
        <w:rPr>
          <w:b/>
        </w:rPr>
        <w:t xml:space="preserve">VII. CONTRALORIA </w:t>
      </w:r>
    </w:p>
    <w:p w:rsidR="00AD2507" w:rsidRDefault="00AD2507">
      <w:pPr>
        <w:widowControl w:val="0"/>
        <w:spacing w:after="0" w:line="360" w:lineRule="auto"/>
        <w:rPr>
          <w:b/>
        </w:rPr>
      </w:pPr>
    </w:p>
    <w:p w:rsidR="00AD2507" w:rsidRDefault="00F10379">
      <w:pPr>
        <w:widowControl w:val="0"/>
        <w:spacing w:after="0" w:line="360" w:lineRule="auto"/>
        <w:rPr>
          <w:b/>
        </w:rPr>
      </w:pPr>
      <w:r>
        <w:rPr>
          <w:b/>
        </w:rPr>
        <w:t>VIII. TRANSPARENCIA</w:t>
      </w:r>
    </w:p>
    <w:p w:rsidR="00AD2507" w:rsidRDefault="00AD2507">
      <w:pPr>
        <w:widowControl w:val="0"/>
        <w:spacing w:after="0" w:line="360" w:lineRule="auto"/>
        <w:rPr>
          <w:b/>
        </w:rPr>
      </w:pPr>
    </w:p>
    <w:p w:rsidR="00AD2507" w:rsidRDefault="00F10379">
      <w:pPr>
        <w:widowControl w:val="0"/>
        <w:spacing w:after="0" w:line="360" w:lineRule="auto"/>
      </w:pPr>
      <w:r>
        <w:t xml:space="preserve">Conforme a lo anterior, se logra vislumbrar que el Sistema Municipal para el Desarrollo Integral de la Familia de Teoloyucan no tiene atribuciones para la generación de oficios por parte del Organismo de Agua, ya que este cuenta con unidades administrativas para dar atención a la solicitud de información, aunado a que, como se previó, en materia de acceso a la información en un sujeto obligado diverso al Sistema Municipal para el Desarrollo Integral de la Familia de Teoloyucan. </w:t>
      </w:r>
    </w:p>
    <w:p w:rsidR="00AD2507" w:rsidRDefault="00AD2507">
      <w:pPr>
        <w:widowControl w:val="0"/>
        <w:spacing w:after="0" w:line="360" w:lineRule="auto"/>
      </w:pPr>
    </w:p>
    <w:p w:rsidR="00AD2507" w:rsidRDefault="00F10379">
      <w:pPr>
        <w:widowControl w:val="0"/>
        <w:spacing w:after="0" w:line="360" w:lineRule="auto"/>
      </w:pPr>
      <w:r>
        <w:t xml:space="preserve">Es así que, se determina que, el Sujeto Obligado es incompetente para conocer de la información solicitada, ya que esta corresponde a un organismo distinto. </w:t>
      </w:r>
    </w:p>
    <w:p w:rsidR="00AD2507" w:rsidRDefault="00AD2507">
      <w:pPr>
        <w:spacing w:after="0" w:line="360" w:lineRule="auto"/>
        <w:rPr>
          <w:color w:val="000000"/>
        </w:rPr>
      </w:pPr>
    </w:p>
    <w:p w:rsidR="00AD2507" w:rsidRDefault="00F10379">
      <w:pPr>
        <w:spacing w:after="0" w:line="360" w:lineRule="auto"/>
      </w:pPr>
      <w:r>
        <w:t xml:space="preserve">En ese orden de ideas, es de recordar que el primer párrafo del artículo 167 de la Ley de Transparencia y Acceso a la Información Pública del Estado de México y Municipios, establece que cuando las unidades de transparencia determinen la </w:t>
      </w:r>
      <w:r>
        <w:rPr>
          <w:b/>
        </w:rPr>
        <w:t>notoria incompetencia</w:t>
      </w:r>
      <w:r>
        <w:t xml:space="preserve"> deben realizar lo siguiente:</w:t>
      </w:r>
    </w:p>
    <w:p w:rsidR="00AD2507" w:rsidRDefault="00AD2507">
      <w:pPr>
        <w:spacing w:after="0" w:line="360" w:lineRule="auto"/>
      </w:pPr>
    </w:p>
    <w:p w:rsidR="00AD2507" w:rsidRDefault="00F10379">
      <w:pPr>
        <w:numPr>
          <w:ilvl w:val="0"/>
          <w:numId w:val="2"/>
        </w:numPr>
        <w:spacing w:after="0" w:line="360" w:lineRule="auto"/>
        <w:jc w:val="left"/>
      </w:pPr>
      <w:r>
        <w:lastRenderedPageBreak/>
        <w:t>Hacerlo del conocimiento del Particular, dentro de los tres días hábiles, posteriores a la presentación de la solicitud de información, y</w:t>
      </w:r>
    </w:p>
    <w:p w:rsidR="00AD2507" w:rsidRDefault="00AD2507">
      <w:pPr>
        <w:spacing w:after="0" w:line="360" w:lineRule="auto"/>
      </w:pPr>
    </w:p>
    <w:p w:rsidR="00AD2507" w:rsidRDefault="00F10379">
      <w:pPr>
        <w:numPr>
          <w:ilvl w:val="0"/>
          <w:numId w:val="2"/>
        </w:numPr>
        <w:spacing w:after="0" w:line="360" w:lineRule="auto"/>
        <w:jc w:val="left"/>
      </w:pPr>
      <w:r>
        <w:t>En caso de conocer el Sujeto Obligado competente, orientarlo a presentar la solicitud ante el mismo.</w:t>
      </w:r>
    </w:p>
    <w:p w:rsidR="00AD2507" w:rsidRDefault="00AD2507">
      <w:pPr>
        <w:spacing w:after="0" w:line="360" w:lineRule="auto"/>
      </w:pPr>
    </w:p>
    <w:p w:rsidR="00AD2507" w:rsidRDefault="00F10379">
      <w:pPr>
        <w:spacing w:after="0" w:line="360" w:lineRule="auto"/>
      </w:pPr>
      <w:r>
        <w:t>En el presente caso, de la revisión de las constancias del expediente electrónico, localizado en el Sistema de Acceso a la Información Mexiquense (SAIMEX), se advierte que el Ente Recurrido, cumplió con los dos parámetros previamente establecidos, pues dio contestación dentro de los tres días hábiles posteriores a la presentación del requerimiento.</w:t>
      </w:r>
    </w:p>
    <w:p w:rsidR="00AD2507" w:rsidRDefault="00AD2507">
      <w:pPr>
        <w:spacing w:after="0" w:line="360" w:lineRule="auto"/>
      </w:pPr>
    </w:p>
    <w:p w:rsidR="00AD2507" w:rsidRDefault="00F10379">
      <w:pPr>
        <w:spacing w:after="0" w:line="360" w:lineRule="auto"/>
      </w:pPr>
      <w:r>
        <w:t xml:space="preserve">Conforme a lo expuesto, se considera que el Sujeto Obligado fue congruente con su respuesta, al señalar que carecía de atribuciones para conocer de lo peticionado, tan es así que siguió el procedimiento establecido en el primer párrafo del artículo 167 de la Ley de Transparencia y Acceso a la Información Pública del Estado de México y Municipios; por lo que, se concluye que el Sistema Municipal para el Desarrollo Integral de la Familia de Teoloyucan, es notoriamente incompetente para conocer de la solicitud de información, y, por lo tanto, el agravio del Recurrente deviene de </w:t>
      </w:r>
      <w:r>
        <w:rPr>
          <w:b/>
        </w:rPr>
        <w:t>INFUNDADO.</w:t>
      </w:r>
    </w:p>
    <w:p w:rsidR="00AD2507" w:rsidRDefault="00AD2507">
      <w:pPr>
        <w:spacing w:after="0" w:line="360" w:lineRule="auto"/>
        <w:ind w:right="-28"/>
      </w:pPr>
    </w:p>
    <w:p w:rsidR="00AD2507" w:rsidRDefault="00AD2507">
      <w:pPr>
        <w:spacing w:after="0" w:line="360" w:lineRule="auto"/>
        <w:ind w:right="-28"/>
      </w:pPr>
    </w:p>
    <w:p w:rsidR="00AD2507" w:rsidRDefault="00F10379">
      <w:pPr>
        <w:spacing w:after="0" w:line="360" w:lineRule="auto"/>
        <w:rPr>
          <w:b/>
        </w:rPr>
      </w:pPr>
      <w:r>
        <w:rPr>
          <w:b/>
        </w:rPr>
        <w:t>SEXTO. Decisión</w:t>
      </w:r>
    </w:p>
    <w:p w:rsidR="00AD2507" w:rsidRDefault="00AD2507">
      <w:pPr>
        <w:spacing w:after="0" w:line="360" w:lineRule="auto"/>
        <w:rPr>
          <w:b/>
        </w:rPr>
      </w:pPr>
    </w:p>
    <w:p w:rsidR="00AD2507" w:rsidRDefault="00F10379">
      <w:pPr>
        <w:spacing w:after="0" w:line="360" w:lineRule="auto"/>
      </w:pPr>
      <w:r>
        <w:t xml:space="preserve">Con fundamento en el artículo 186, fracción II, de la Ley de Transparencia y Acceso a la Información Pública del Estado de México y Municipios, este Instituto considera procedente </w:t>
      </w:r>
      <w:r>
        <w:rPr>
          <w:b/>
        </w:rPr>
        <w:t xml:space="preserve">CONFIRMAR </w:t>
      </w:r>
      <w:r>
        <w:t xml:space="preserve">la respuesta otorgada por el Sujeto Obligado. </w:t>
      </w:r>
    </w:p>
    <w:p w:rsidR="00AD2507" w:rsidRDefault="00AD2507">
      <w:pPr>
        <w:tabs>
          <w:tab w:val="left" w:pos="4962"/>
        </w:tabs>
        <w:spacing w:after="0" w:line="360" w:lineRule="auto"/>
        <w:rPr>
          <w:sz w:val="20"/>
          <w:szCs w:val="20"/>
        </w:rPr>
      </w:pPr>
    </w:p>
    <w:p w:rsidR="00AD2507" w:rsidRDefault="00F10379">
      <w:pPr>
        <w:spacing w:after="0" w:line="360" w:lineRule="auto"/>
        <w:rPr>
          <w:b/>
        </w:rPr>
      </w:pPr>
      <w:r>
        <w:rPr>
          <w:b/>
        </w:rPr>
        <w:lastRenderedPageBreak/>
        <w:t>Términos de la Resolución p</w:t>
      </w:r>
      <w:r w:rsidR="00ED40BE">
        <w:rPr>
          <w:b/>
        </w:rPr>
        <w:t>ara conocimiento del Particular</w:t>
      </w:r>
    </w:p>
    <w:p w:rsidR="00AD2507" w:rsidRDefault="00AD2507">
      <w:pPr>
        <w:spacing w:after="0" w:line="360" w:lineRule="auto"/>
        <w:rPr>
          <w:b/>
        </w:rPr>
      </w:pPr>
    </w:p>
    <w:p w:rsidR="00AD2507" w:rsidRDefault="00F10379">
      <w:pPr>
        <w:widowControl w:val="0"/>
        <w:spacing w:after="0" w:line="360" w:lineRule="auto"/>
        <w:rPr>
          <w:color w:val="000000"/>
        </w:rPr>
      </w:pPr>
      <w:r>
        <w:rPr>
          <w:color w:val="000000"/>
        </w:rPr>
        <w:t>Se le hace del conocimiento al Particular, que, en el presente caso, no se le da la razón pues el Sujeto Obligado es incompetente para conocer sobre información solicitada, al ser el Organismo Público Descentralizado para la Prestación de los Servicios de Agua Potable, Alcantarillado y Saneamiento de Teoloyucan el Ente con atribuciones para conocer de lo peticionado.</w:t>
      </w:r>
    </w:p>
    <w:p w:rsidR="00AD2507" w:rsidRDefault="00AD2507">
      <w:pPr>
        <w:widowControl w:val="0"/>
        <w:spacing w:after="0" w:line="360" w:lineRule="auto"/>
        <w:rPr>
          <w:color w:val="000000"/>
        </w:rPr>
      </w:pPr>
    </w:p>
    <w:p w:rsidR="00AD2507" w:rsidRDefault="00F10379">
      <w:pPr>
        <w:widowControl w:val="0"/>
        <w:spacing w:after="0" w:line="360" w:lineRule="auto"/>
        <w:rPr>
          <w:color w:val="000000"/>
        </w:rPr>
      </w:pPr>
      <w:r>
        <w:rPr>
          <w:color w:val="000000"/>
        </w:rPr>
        <w:t>Finalmente, se le informa que la labor de este Instituto de Transparencia, Acceso a la Información Pública y Protección de Datos Personales del Estado de México y Municipios, es, por una parte, apoyar a la población para acceder a la información pública y, por otra parte, es garantizar la protección de los datos personales.</w:t>
      </w:r>
    </w:p>
    <w:p w:rsidR="00AD2507" w:rsidRDefault="00AD2507">
      <w:pPr>
        <w:widowControl w:val="0"/>
        <w:spacing w:after="0" w:line="360" w:lineRule="auto"/>
      </w:pPr>
    </w:p>
    <w:p w:rsidR="00AD2507" w:rsidRDefault="00F10379">
      <w:pPr>
        <w:spacing w:after="0" w:line="360" w:lineRule="auto"/>
      </w:pPr>
      <w:r>
        <w:t>Por lo expuesto y fundado, este Pleno:</w:t>
      </w:r>
    </w:p>
    <w:p w:rsidR="00AD2507" w:rsidRDefault="00AD2507">
      <w:pPr>
        <w:spacing w:after="0" w:line="360" w:lineRule="auto"/>
        <w:jc w:val="center"/>
        <w:rPr>
          <w:b/>
        </w:rPr>
      </w:pPr>
    </w:p>
    <w:p w:rsidR="00AD2507" w:rsidRDefault="00F10379">
      <w:pPr>
        <w:spacing w:after="0" w:line="360" w:lineRule="auto"/>
        <w:jc w:val="center"/>
        <w:rPr>
          <w:b/>
        </w:rPr>
      </w:pPr>
      <w:r>
        <w:rPr>
          <w:b/>
        </w:rPr>
        <w:t>R E S U E L V E</w:t>
      </w:r>
    </w:p>
    <w:p w:rsidR="00AD2507" w:rsidRDefault="00AD2507">
      <w:pPr>
        <w:spacing w:after="0" w:line="360" w:lineRule="auto"/>
      </w:pPr>
    </w:p>
    <w:p w:rsidR="00AD2507" w:rsidRDefault="00F10379">
      <w:pPr>
        <w:spacing w:after="0" w:line="360" w:lineRule="auto"/>
      </w:pPr>
      <w:r>
        <w:rPr>
          <w:b/>
        </w:rPr>
        <w:t xml:space="preserve">PRIMERO. </w:t>
      </w:r>
      <w:r>
        <w:t xml:space="preserve">Se </w:t>
      </w:r>
      <w:r>
        <w:rPr>
          <w:b/>
        </w:rPr>
        <w:t xml:space="preserve">CONFIRMA </w:t>
      </w:r>
      <w:r>
        <w:t xml:space="preserve">la respuesta entregada por el Sujeto Obligado a la solicitud de acceso a la información </w:t>
      </w:r>
      <w:r>
        <w:rPr>
          <w:color w:val="000000"/>
        </w:rPr>
        <w:t>00062/DIFTEOLOYU/IP/2025</w:t>
      </w:r>
      <w:r>
        <w:rPr>
          <w:color w:val="0D0D0D"/>
        </w:rPr>
        <w:t xml:space="preserve">, </w:t>
      </w:r>
      <w:r>
        <w:t xml:space="preserve">por resultar </w:t>
      </w:r>
      <w:r>
        <w:rPr>
          <w:b/>
        </w:rPr>
        <w:t>INFUNDADAS</w:t>
      </w:r>
      <w:r>
        <w:t xml:space="preserve"> las razones o motivos de inconformidad hechos valer por el Recurrente, en términos de los Considerandos QUINTO y SEXTO</w:t>
      </w:r>
      <w:r>
        <w:rPr>
          <w:b/>
        </w:rPr>
        <w:t xml:space="preserve"> </w:t>
      </w:r>
      <w:r>
        <w:t>de esta Resolución.</w:t>
      </w:r>
    </w:p>
    <w:p w:rsidR="00AD2507" w:rsidRDefault="00AD2507">
      <w:pPr>
        <w:spacing w:after="0" w:line="360" w:lineRule="auto"/>
      </w:pPr>
    </w:p>
    <w:p w:rsidR="00AD2507" w:rsidRDefault="00F10379">
      <w:pPr>
        <w:spacing w:after="0" w:line="360" w:lineRule="auto"/>
        <w:rPr>
          <w:i/>
        </w:rPr>
      </w:pPr>
      <w:r>
        <w:rPr>
          <w:b/>
        </w:rPr>
        <w:t xml:space="preserve">SEGUNDO. NOTIFÍQUESE VÍA SAIMEX </w:t>
      </w:r>
      <w:r>
        <w:t>la presente resolución al Titular de la Unidad de Transparencia del Sujeto Obligado.</w:t>
      </w:r>
    </w:p>
    <w:p w:rsidR="00AD2507" w:rsidRDefault="00AD2507">
      <w:pPr>
        <w:spacing w:after="0" w:line="360" w:lineRule="auto"/>
      </w:pPr>
    </w:p>
    <w:p w:rsidR="00AD2507" w:rsidRDefault="00F10379">
      <w:pPr>
        <w:spacing w:after="0" w:line="360" w:lineRule="auto"/>
      </w:pPr>
      <w:r>
        <w:rPr>
          <w:b/>
        </w:rPr>
        <w:lastRenderedPageBreak/>
        <w:t>TERCERO. NOTIFÍQUESE VÍA SAIMEX</w:t>
      </w:r>
      <w: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AD2507" w:rsidRDefault="00AD2507">
      <w:pPr>
        <w:spacing w:after="0" w:line="360" w:lineRule="auto"/>
        <w:rPr>
          <w:b/>
        </w:rPr>
      </w:pPr>
    </w:p>
    <w:p w:rsidR="00AD2507" w:rsidRDefault="00F10379">
      <w:pPr>
        <w:spacing w:after="0" w:line="360" w:lineRule="auto"/>
        <w:rPr>
          <w:b/>
        </w:rPr>
      </w:pPr>
      <w:r>
        <w:t>ASÍ LO RESUELVE, POR </w:t>
      </w:r>
      <w:r>
        <w:rPr>
          <w:b/>
        </w:rPr>
        <w:t>UNANIMIDAD</w:t>
      </w:r>
      <w:r>
        <w:t xml:space="preserve"> DE VOTOS EL PLENO DEL INSTITUTO DE TRANSPARENCIA, ACCESO A LA INFORMACIÓN PÚBLICA Y PROTECCIÓN DE DATOS PERSONALES DEL ESTADO DE MÉXICO Y MUNICIPIOS, CONFORMADO POR LOS COMISIONADOS JOSÉ MARTÍNEZ VILCHIS </w:t>
      </w:r>
      <w:r w:rsidR="00ED40BE">
        <w:t>(</w:t>
      </w:r>
      <w:bookmarkStart w:id="1" w:name="_GoBack"/>
      <w:bookmarkEnd w:id="1"/>
      <w:r>
        <w:t>AUSENCIA JUSTIFICADA</w:t>
      </w:r>
      <w:r w:rsidR="00ED40BE">
        <w:t>)</w:t>
      </w:r>
      <w:r>
        <w:t>,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p>
    <w:p w:rsidR="00AD2507" w:rsidRDefault="00AD2507">
      <w:pPr>
        <w:spacing w:after="0" w:line="360" w:lineRule="auto"/>
      </w:pPr>
    </w:p>
    <w:p w:rsidR="00AD2507" w:rsidRDefault="00AD2507">
      <w:pPr>
        <w:spacing w:after="0" w:line="360" w:lineRule="auto"/>
      </w:pPr>
    </w:p>
    <w:p w:rsidR="00AD2507" w:rsidRDefault="00AD2507">
      <w:pPr>
        <w:spacing w:after="0" w:line="360" w:lineRule="auto"/>
      </w:pPr>
    </w:p>
    <w:p w:rsidR="00AD2507" w:rsidRDefault="00AD2507">
      <w:pPr>
        <w:spacing w:after="0" w:line="360" w:lineRule="auto"/>
      </w:pPr>
    </w:p>
    <w:p w:rsidR="00AD2507" w:rsidRDefault="00AD2507">
      <w:pPr>
        <w:spacing w:after="0" w:line="360" w:lineRule="auto"/>
      </w:pPr>
    </w:p>
    <w:p w:rsidR="00AD2507" w:rsidRDefault="00AD2507">
      <w:pPr>
        <w:spacing w:after="0" w:line="360" w:lineRule="auto"/>
      </w:pPr>
    </w:p>
    <w:p w:rsidR="00AD2507" w:rsidRDefault="00AD2507">
      <w:pPr>
        <w:spacing w:after="0" w:line="360" w:lineRule="auto"/>
      </w:pPr>
    </w:p>
    <w:p w:rsidR="00AD2507" w:rsidRDefault="00AD2507">
      <w:pPr>
        <w:spacing w:after="0" w:line="360" w:lineRule="auto"/>
      </w:pPr>
    </w:p>
    <w:p w:rsidR="00AD2507" w:rsidRDefault="00AD2507">
      <w:pPr>
        <w:spacing w:after="0" w:line="360" w:lineRule="auto"/>
      </w:pPr>
    </w:p>
    <w:p w:rsidR="00AD2507" w:rsidRDefault="00AD2507">
      <w:pPr>
        <w:spacing w:after="0" w:line="360" w:lineRule="auto"/>
      </w:pPr>
    </w:p>
    <w:p w:rsidR="00AD2507" w:rsidRDefault="00AD2507">
      <w:pPr>
        <w:spacing w:after="0" w:line="360" w:lineRule="auto"/>
      </w:pPr>
    </w:p>
    <w:p w:rsidR="00AD2507" w:rsidRDefault="00AD2507">
      <w:pPr>
        <w:spacing w:after="0" w:line="360" w:lineRule="auto"/>
      </w:pPr>
    </w:p>
    <w:p w:rsidR="00AD2507" w:rsidRDefault="00AD2507">
      <w:pPr>
        <w:spacing w:after="0" w:line="360" w:lineRule="auto"/>
      </w:pPr>
    </w:p>
    <w:p w:rsidR="00AD2507" w:rsidRDefault="00AD2507">
      <w:pPr>
        <w:spacing w:after="0" w:line="360" w:lineRule="auto"/>
      </w:pPr>
    </w:p>
    <w:p w:rsidR="00AD2507" w:rsidRDefault="00AD2507">
      <w:pPr>
        <w:spacing w:after="0" w:line="360" w:lineRule="auto"/>
      </w:pPr>
    </w:p>
    <w:p w:rsidR="00AD2507" w:rsidRDefault="00AD2507">
      <w:pPr>
        <w:spacing w:after="0" w:line="360" w:lineRule="auto"/>
      </w:pPr>
    </w:p>
    <w:p w:rsidR="00AD2507" w:rsidRDefault="00AD2507">
      <w:pPr>
        <w:spacing w:after="0" w:line="360" w:lineRule="auto"/>
      </w:pPr>
    </w:p>
    <w:p w:rsidR="00AD2507" w:rsidRDefault="00AD2507">
      <w:pPr>
        <w:spacing w:after="0" w:line="360" w:lineRule="auto"/>
      </w:pPr>
    </w:p>
    <w:p w:rsidR="00AD2507" w:rsidRDefault="00AD2507">
      <w:pPr>
        <w:spacing w:after="0" w:line="360" w:lineRule="auto"/>
      </w:pPr>
    </w:p>
    <w:p w:rsidR="00AD2507" w:rsidRDefault="00AD2507">
      <w:pPr>
        <w:spacing w:after="0" w:line="360" w:lineRule="auto"/>
      </w:pPr>
    </w:p>
    <w:p w:rsidR="00AD2507" w:rsidRDefault="00AD2507">
      <w:pPr>
        <w:spacing w:after="0" w:line="360" w:lineRule="auto"/>
      </w:pPr>
    </w:p>
    <w:sectPr w:rsidR="00AD2507">
      <w:headerReference w:type="even" r:id="rId13"/>
      <w:headerReference w:type="default" r:id="rId14"/>
      <w:footerReference w:type="even" r:id="rId15"/>
      <w:footerReference w:type="default" r:id="rId16"/>
      <w:headerReference w:type="first" r:id="rId17"/>
      <w:footerReference w:type="first" r:id="rId18"/>
      <w:pgSz w:w="12240" w:h="15840"/>
      <w:pgMar w:top="1418" w:right="1608" w:bottom="1560" w:left="1701" w:header="993"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CBE" w:rsidRDefault="00A54CBE">
      <w:pPr>
        <w:spacing w:after="0" w:line="240" w:lineRule="auto"/>
      </w:pPr>
      <w:r>
        <w:separator/>
      </w:r>
    </w:p>
  </w:endnote>
  <w:endnote w:type="continuationSeparator" w:id="0">
    <w:p w:rsidR="00A54CBE" w:rsidRDefault="00A54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507" w:rsidRDefault="00F1037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F426CB">
      <w:rPr>
        <w:b/>
        <w:color w:val="000000"/>
        <w:sz w:val="24"/>
        <w:szCs w:val="24"/>
      </w:rPr>
      <w:fldChar w:fldCharType="separate"/>
    </w:r>
    <w:r w:rsidR="00F426CB">
      <w:rPr>
        <w:b/>
        <w:noProof/>
        <w:color w:val="000000"/>
        <w:sz w:val="24"/>
        <w:szCs w:val="24"/>
      </w:rPr>
      <w:t>21</w:t>
    </w:r>
    <w:r>
      <w:rPr>
        <w:b/>
        <w:color w:val="000000"/>
        <w:sz w:val="24"/>
        <w:szCs w:val="24"/>
      </w:rPr>
      <w:fldChar w:fldCharType="end"/>
    </w:r>
  </w:p>
  <w:p w:rsidR="00AD2507" w:rsidRDefault="00AD250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507" w:rsidRDefault="00F1037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426CB">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426CB">
      <w:rPr>
        <w:b/>
        <w:noProof/>
        <w:color w:val="000000"/>
        <w:sz w:val="24"/>
        <w:szCs w:val="24"/>
      </w:rPr>
      <w:t>21</w:t>
    </w:r>
    <w:r>
      <w:rPr>
        <w:b/>
        <w:color w:val="000000"/>
        <w:sz w:val="24"/>
        <w:szCs w:val="24"/>
      </w:rPr>
      <w:fldChar w:fldCharType="end"/>
    </w:r>
  </w:p>
  <w:p w:rsidR="00AD2507" w:rsidRDefault="00AD2507">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507" w:rsidRDefault="00F1037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426C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426CB">
      <w:rPr>
        <w:b/>
        <w:noProof/>
        <w:color w:val="000000"/>
        <w:sz w:val="24"/>
        <w:szCs w:val="24"/>
      </w:rPr>
      <w:t>21</w:t>
    </w:r>
    <w:r>
      <w:rPr>
        <w:b/>
        <w:color w:val="000000"/>
        <w:sz w:val="24"/>
        <w:szCs w:val="24"/>
      </w:rPr>
      <w:fldChar w:fldCharType="end"/>
    </w:r>
  </w:p>
  <w:p w:rsidR="00AD2507" w:rsidRDefault="00AD250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CBE" w:rsidRDefault="00A54CBE">
      <w:pPr>
        <w:spacing w:after="0" w:line="240" w:lineRule="auto"/>
      </w:pPr>
      <w:r>
        <w:separator/>
      </w:r>
    </w:p>
  </w:footnote>
  <w:footnote w:type="continuationSeparator" w:id="0">
    <w:p w:rsidR="00A54CBE" w:rsidRDefault="00A54C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507" w:rsidRDefault="00AD2507">
    <w:pPr>
      <w:widowControl w:val="0"/>
      <w:pBdr>
        <w:top w:val="nil"/>
        <w:left w:val="nil"/>
        <w:bottom w:val="nil"/>
        <w:right w:val="nil"/>
        <w:between w:val="nil"/>
      </w:pBdr>
      <w:spacing w:after="0" w:line="276" w:lineRule="auto"/>
      <w:jc w:val="left"/>
      <w:rPr>
        <w:color w:val="000000"/>
      </w:rPr>
    </w:pPr>
  </w:p>
  <w:tbl>
    <w:tblPr>
      <w:tblStyle w:val="a3"/>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AD2507">
      <w:trPr>
        <w:trHeight w:val="132"/>
      </w:trPr>
      <w:tc>
        <w:tcPr>
          <w:tcW w:w="0" w:type="auto"/>
        </w:tcPr>
        <w:p w:rsidR="00AD2507" w:rsidRDefault="00F10379">
          <w:pPr>
            <w:tabs>
              <w:tab w:val="right" w:pos="8838"/>
            </w:tabs>
            <w:ind w:right="-105"/>
            <w:rPr>
              <w:b/>
            </w:rPr>
          </w:pPr>
          <w:r>
            <w:rPr>
              <w:b/>
            </w:rPr>
            <w:t>Recurso de Revisión:</w:t>
          </w:r>
        </w:p>
      </w:tc>
      <w:tc>
        <w:tcPr>
          <w:tcW w:w="0" w:type="auto"/>
        </w:tcPr>
        <w:p w:rsidR="00AD2507" w:rsidRDefault="00F10379">
          <w:pPr>
            <w:tabs>
              <w:tab w:val="right" w:pos="8838"/>
            </w:tabs>
            <w:ind w:left="-28" w:right="-32"/>
          </w:pPr>
          <w:r>
            <w:t>03846/INFOEM/IP/RR/2020</w:t>
          </w:r>
        </w:p>
      </w:tc>
    </w:tr>
    <w:tr w:rsidR="00AD2507">
      <w:trPr>
        <w:trHeight w:val="261"/>
      </w:trPr>
      <w:tc>
        <w:tcPr>
          <w:tcW w:w="0" w:type="auto"/>
        </w:tcPr>
        <w:p w:rsidR="00AD2507" w:rsidRDefault="00F10379">
          <w:pPr>
            <w:tabs>
              <w:tab w:val="right" w:pos="8838"/>
            </w:tabs>
            <w:ind w:right="-105"/>
            <w:rPr>
              <w:b/>
            </w:rPr>
          </w:pPr>
          <w:r>
            <w:rPr>
              <w:b/>
            </w:rPr>
            <w:t>Sujeto Obligado:</w:t>
          </w:r>
        </w:p>
      </w:tc>
      <w:tc>
        <w:tcPr>
          <w:tcW w:w="0" w:type="auto"/>
        </w:tcPr>
        <w:p w:rsidR="00AD2507" w:rsidRDefault="00F10379">
          <w:pPr>
            <w:tabs>
              <w:tab w:val="right" w:pos="8838"/>
            </w:tabs>
            <w:ind w:right="-32"/>
          </w:pPr>
          <w:r>
            <w:t xml:space="preserve">Ayuntamiento de </w:t>
          </w:r>
          <w:proofErr w:type="spellStart"/>
          <w:r>
            <w:t>Temascalcingo</w:t>
          </w:r>
          <w:proofErr w:type="spellEnd"/>
        </w:p>
      </w:tc>
    </w:tr>
    <w:tr w:rsidR="00AD2507">
      <w:trPr>
        <w:trHeight w:val="261"/>
      </w:trPr>
      <w:tc>
        <w:tcPr>
          <w:tcW w:w="0" w:type="auto"/>
        </w:tcPr>
        <w:p w:rsidR="00AD2507" w:rsidRDefault="00F10379">
          <w:pPr>
            <w:tabs>
              <w:tab w:val="right" w:pos="8838"/>
            </w:tabs>
            <w:ind w:right="-105"/>
            <w:rPr>
              <w:b/>
            </w:rPr>
          </w:pPr>
          <w:r>
            <w:rPr>
              <w:b/>
            </w:rPr>
            <w:t>Comisionado Ponente:</w:t>
          </w:r>
        </w:p>
      </w:tc>
      <w:tc>
        <w:tcPr>
          <w:tcW w:w="0" w:type="auto"/>
        </w:tcPr>
        <w:p w:rsidR="00AD2507" w:rsidRDefault="00F10379">
          <w:pPr>
            <w:tabs>
              <w:tab w:val="right" w:pos="8838"/>
            </w:tabs>
            <w:ind w:right="-32"/>
            <w:rPr>
              <w:b/>
            </w:rPr>
          </w:pPr>
          <w:r>
            <w:t>Luis Gustavo Parra Noriega</w:t>
          </w:r>
        </w:p>
      </w:tc>
    </w:tr>
  </w:tbl>
  <w:p w:rsidR="00AD2507" w:rsidRDefault="00A54CBE">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507" w:rsidRDefault="00AD2507">
    <w:pPr>
      <w:widowControl w:val="0"/>
      <w:pBdr>
        <w:top w:val="nil"/>
        <w:left w:val="nil"/>
        <w:bottom w:val="nil"/>
        <w:right w:val="nil"/>
        <w:between w:val="nil"/>
      </w:pBdr>
      <w:spacing w:after="0" w:line="276" w:lineRule="auto"/>
      <w:jc w:val="left"/>
    </w:pPr>
  </w:p>
  <w:tbl>
    <w:tblPr>
      <w:tblStyle w:val="a4"/>
      <w:tblW w:w="6363" w:type="dxa"/>
      <w:tblInd w:w="2709" w:type="dxa"/>
      <w:tblBorders>
        <w:top w:val="nil"/>
        <w:left w:val="nil"/>
        <w:bottom w:val="nil"/>
        <w:right w:val="nil"/>
        <w:insideH w:val="nil"/>
        <w:insideV w:val="nil"/>
      </w:tblBorders>
      <w:tblLayout w:type="fixed"/>
      <w:tblLook w:val="0400" w:firstRow="0" w:lastRow="0" w:firstColumn="0" w:lastColumn="0" w:noHBand="0" w:noVBand="1"/>
    </w:tblPr>
    <w:tblGrid>
      <w:gridCol w:w="2551"/>
      <w:gridCol w:w="3812"/>
    </w:tblGrid>
    <w:tr w:rsidR="00AD2507">
      <w:trPr>
        <w:trHeight w:val="138"/>
      </w:trPr>
      <w:tc>
        <w:tcPr>
          <w:tcW w:w="2551" w:type="dxa"/>
          <w:vAlign w:val="center"/>
        </w:tcPr>
        <w:p w:rsidR="00AD2507" w:rsidRDefault="00F10379">
          <w:pPr>
            <w:tabs>
              <w:tab w:val="right" w:pos="8838"/>
            </w:tabs>
            <w:ind w:right="-105"/>
            <w:jc w:val="left"/>
            <w:rPr>
              <w:b/>
            </w:rPr>
          </w:pPr>
          <w:r>
            <w:rPr>
              <w:b/>
            </w:rPr>
            <w:t>Recurso de Revisión:</w:t>
          </w:r>
        </w:p>
      </w:tc>
      <w:tc>
        <w:tcPr>
          <w:tcW w:w="3812" w:type="dxa"/>
        </w:tcPr>
        <w:p w:rsidR="00AD2507" w:rsidRDefault="00F10379">
          <w:pPr>
            <w:tabs>
              <w:tab w:val="right" w:pos="8838"/>
            </w:tabs>
            <w:ind w:left="-113" w:right="57"/>
          </w:pPr>
          <w:r>
            <w:t>07096/INFOEM/IP/RR/2025</w:t>
          </w:r>
        </w:p>
      </w:tc>
    </w:tr>
    <w:tr w:rsidR="00AD2507">
      <w:trPr>
        <w:trHeight w:val="273"/>
      </w:trPr>
      <w:tc>
        <w:tcPr>
          <w:tcW w:w="2551" w:type="dxa"/>
        </w:tcPr>
        <w:p w:rsidR="00AD2507" w:rsidRDefault="00F10379">
          <w:pPr>
            <w:tabs>
              <w:tab w:val="right" w:pos="8838"/>
            </w:tabs>
            <w:ind w:right="-105"/>
            <w:rPr>
              <w:b/>
            </w:rPr>
          </w:pPr>
          <w:r>
            <w:rPr>
              <w:b/>
            </w:rPr>
            <w:t>Sujeto Obligado:</w:t>
          </w:r>
        </w:p>
      </w:tc>
      <w:tc>
        <w:tcPr>
          <w:tcW w:w="3812" w:type="dxa"/>
        </w:tcPr>
        <w:p w:rsidR="00AD2507" w:rsidRDefault="00F10379">
          <w:pPr>
            <w:tabs>
              <w:tab w:val="right" w:pos="8838"/>
            </w:tabs>
            <w:ind w:left="-113" w:right="-170"/>
          </w:pPr>
          <w:r>
            <w:t>Sistema Municipal para el Desarrollo Integral de la Familia de Teoloyucan</w:t>
          </w:r>
        </w:p>
      </w:tc>
    </w:tr>
    <w:tr w:rsidR="00AD2507">
      <w:trPr>
        <w:trHeight w:val="273"/>
      </w:trPr>
      <w:tc>
        <w:tcPr>
          <w:tcW w:w="2551" w:type="dxa"/>
        </w:tcPr>
        <w:p w:rsidR="00AD2507" w:rsidRDefault="00F10379">
          <w:pPr>
            <w:tabs>
              <w:tab w:val="right" w:pos="8838"/>
            </w:tabs>
            <w:ind w:right="-105"/>
            <w:rPr>
              <w:b/>
            </w:rPr>
          </w:pPr>
          <w:r>
            <w:rPr>
              <w:b/>
            </w:rPr>
            <w:t>Comisionado Ponente:</w:t>
          </w:r>
        </w:p>
      </w:tc>
      <w:tc>
        <w:tcPr>
          <w:tcW w:w="3812" w:type="dxa"/>
        </w:tcPr>
        <w:p w:rsidR="00AD2507" w:rsidRDefault="00F10379">
          <w:pPr>
            <w:tabs>
              <w:tab w:val="right" w:pos="8838"/>
            </w:tabs>
            <w:ind w:left="-113" w:right="-170"/>
            <w:rPr>
              <w:b/>
            </w:rPr>
          </w:pPr>
          <w:r>
            <w:t>Luis Gustavo Parra Noriega</w:t>
          </w:r>
        </w:p>
      </w:tc>
    </w:tr>
  </w:tbl>
  <w:p w:rsidR="00AD2507" w:rsidRDefault="00A54CBE">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90.6pt;margin-top:-122.05pt;width:663.5pt;height:12in;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507" w:rsidRDefault="00AD2507">
    <w:pPr>
      <w:widowControl w:val="0"/>
      <w:pBdr>
        <w:top w:val="nil"/>
        <w:left w:val="nil"/>
        <w:bottom w:val="nil"/>
        <w:right w:val="nil"/>
        <w:between w:val="nil"/>
      </w:pBdr>
      <w:spacing w:after="0" w:line="276" w:lineRule="auto"/>
      <w:jc w:val="left"/>
      <w:rPr>
        <w:color w:val="000000"/>
      </w:rPr>
    </w:pPr>
  </w:p>
  <w:tbl>
    <w:tblPr>
      <w:tblStyle w:val="a5"/>
      <w:tblW w:w="6804" w:type="dxa"/>
      <w:tblInd w:w="302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AD2507">
      <w:trPr>
        <w:trHeight w:val="132"/>
      </w:trPr>
      <w:tc>
        <w:tcPr>
          <w:tcW w:w="2551" w:type="dxa"/>
        </w:tcPr>
        <w:p w:rsidR="00AD2507" w:rsidRDefault="00F10379">
          <w:pPr>
            <w:tabs>
              <w:tab w:val="right" w:pos="8838"/>
            </w:tabs>
            <w:ind w:right="-105"/>
            <w:rPr>
              <w:b/>
            </w:rPr>
          </w:pPr>
          <w:r>
            <w:rPr>
              <w:b/>
            </w:rPr>
            <w:t>Recurso de Revisión:</w:t>
          </w:r>
        </w:p>
      </w:tc>
      <w:tc>
        <w:tcPr>
          <w:tcW w:w="4253" w:type="dxa"/>
        </w:tcPr>
        <w:p w:rsidR="00AD2507" w:rsidRDefault="00F10379">
          <w:pPr>
            <w:tabs>
              <w:tab w:val="right" w:pos="8838"/>
            </w:tabs>
            <w:ind w:left="-111" w:right="-32"/>
          </w:pPr>
          <w:r>
            <w:t>07096/INFOEM/IP/RR/2025</w:t>
          </w:r>
        </w:p>
      </w:tc>
    </w:tr>
    <w:tr w:rsidR="00AD2507">
      <w:trPr>
        <w:trHeight w:val="132"/>
      </w:trPr>
      <w:tc>
        <w:tcPr>
          <w:tcW w:w="2551" w:type="dxa"/>
          <w:shd w:val="clear" w:color="auto" w:fill="auto"/>
        </w:tcPr>
        <w:p w:rsidR="00AD2507" w:rsidRDefault="00F10379">
          <w:pPr>
            <w:tabs>
              <w:tab w:val="left" w:pos="1875"/>
            </w:tabs>
            <w:ind w:right="-105"/>
            <w:rPr>
              <w:b/>
            </w:rPr>
          </w:pPr>
          <w:r>
            <w:rPr>
              <w:b/>
            </w:rPr>
            <w:t>Recurrente:</w:t>
          </w:r>
          <w:r>
            <w:rPr>
              <w:b/>
            </w:rPr>
            <w:tab/>
          </w:r>
        </w:p>
      </w:tc>
      <w:tc>
        <w:tcPr>
          <w:tcW w:w="4253" w:type="dxa"/>
          <w:shd w:val="clear" w:color="auto" w:fill="auto"/>
        </w:tcPr>
        <w:p w:rsidR="00AD2507" w:rsidRDefault="00F10379">
          <w:pPr>
            <w:tabs>
              <w:tab w:val="left" w:pos="1425"/>
            </w:tabs>
            <w:ind w:left="-113"/>
          </w:pPr>
          <w:r>
            <w:tab/>
          </w:r>
        </w:p>
      </w:tc>
    </w:tr>
    <w:tr w:rsidR="00AD2507">
      <w:trPr>
        <w:trHeight w:val="261"/>
      </w:trPr>
      <w:tc>
        <w:tcPr>
          <w:tcW w:w="2551" w:type="dxa"/>
        </w:tcPr>
        <w:p w:rsidR="00AD2507" w:rsidRDefault="00F10379">
          <w:pPr>
            <w:tabs>
              <w:tab w:val="right" w:pos="8838"/>
            </w:tabs>
            <w:ind w:right="-105"/>
            <w:rPr>
              <w:b/>
            </w:rPr>
          </w:pPr>
          <w:r>
            <w:rPr>
              <w:b/>
            </w:rPr>
            <w:t>Sujeto Obligado:</w:t>
          </w:r>
        </w:p>
      </w:tc>
      <w:tc>
        <w:tcPr>
          <w:tcW w:w="4253" w:type="dxa"/>
        </w:tcPr>
        <w:p w:rsidR="00AD2507" w:rsidRDefault="00F10379">
          <w:pPr>
            <w:tabs>
              <w:tab w:val="right" w:pos="8838"/>
            </w:tabs>
            <w:ind w:left="-111" w:right="-32"/>
          </w:pPr>
          <w:r>
            <w:t>Sistema Municipal para el Desarrollo Integral de la Familia de Teoloyucan</w:t>
          </w:r>
        </w:p>
      </w:tc>
    </w:tr>
    <w:tr w:rsidR="00AD2507">
      <w:trPr>
        <w:trHeight w:val="261"/>
      </w:trPr>
      <w:tc>
        <w:tcPr>
          <w:tcW w:w="2551" w:type="dxa"/>
        </w:tcPr>
        <w:p w:rsidR="00AD2507" w:rsidRDefault="00F10379">
          <w:pPr>
            <w:tabs>
              <w:tab w:val="right" w:pos="8838"/>
            </w:tabs>
            <w:ind w:right="-105"/>
            <w:rPr>
              <w:b/>
            </w:rPr>
          </w:pPr>
          <w:r>
            <w:rPr>
              <w:b/>
            </w:rPr>
            <w:t>Comisionado Ponente:</w:t>
          </w:r>
        </w:p>
      </w:tc>
      <w:tc>
        <w:tcPr>
          <w:tcW w:w="4253" w:type="dxa"/>
        </w:tcPr>
        <w:p w:rsidR="00AD2507" w:rsidRDefault="00F10379">
          <w:pPr>
            <w:tabs>
              <w:tab w:val="right" w:pos="8838"/>
            </w:tabs>
            <w:ind w:left="-111" w:right="-32"/>
          </w:pPr>
          <w:r>
            <w:t>Luis Gustavo Parra Noriega</w:t>
          </w:r>
        </w:p>
      </w:tc>
    </w:tr>
  </w:tbl>
  <w:p w:rsidR="00AD2507" w:rsidRDefault="00A54CBE">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FB0596"/>
    <w:multiLevelType w:val="multilevel"/>
    <w:tmpl w:val="EFAE70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1376BAA"/>
    <w:multiLevelType w:val="multilevel"/>
    <w:tmpl w:val="63869E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E19201F"/>
    <w:multiLevelType w:val="multilevel"/>
    <w:tmpl w:val="05421C6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6F5E29FE"/>
    <w:multiLevelType w:val="multilevel"/>
    <w:tmpl w:val="55B6C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07"/>
    <w:rsid w:val="00104D4E"/>
    <w:rsid w:val="00306C23"/>
    <w:rsid w:val="00422346"/>
    <w:rsid w:val="0062581E"/>
    <w:rsid w:val="00A54CBE"/>
    <w:rsid w:val="00AD2507"/>
    <w:rsid w:val="00E34D18"/>
    <w:rsid w:val="00ED40BE"/>
    <w:rsid w:val="00EE2E4D"/>
    <w:rsid w:val="00F10379"/>
    <w:rsid w:val="00F426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448FCF4-1B02-4A14-B799-1E86DBCC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color w:val="000000" w:themeColor="text1"/>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5425CB"/>
    <w:rPr>
      <w:color w:val="605E5C"/>
      <w:shd w:val="clear" w:color="auto" w:fill="E1DFDD"/>
    </w:rPr>
  </w:style>
  <w:style w:type="character" w:customStyle="1" w:styleId="TtuloCar">
    <w:name w:val="Título Car"/>
    <w:basedOn w:val="Fuentedeprrafopredeter"/>
    <w:uiPriority w:val="10"/>
    <w:rsid w:val="00220B70"/>
    <w:rPr>
      <w:b/>
      <w:sz w:val="72"/>
      <w:szCs w:val="72"/>
    </w:rPr>
  </w:style>
  <w:style w:type="paragraph" w:styleId="Revisin">
    <w:name w:val="Revision"/>
    <w:hidden/>
    <w:uiPriority w:val="99"/>
    <w:semiHidden/>
    <w:rsid w:val="00421C8C"/>
    <w:pPr>
      <w:spacing w:after="0" w:line="240" w:lineRule="auto"/>
      <w:jc w:val="left"/>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paragraph" w:styleId="TtulodeTDC">
    <w:name w:val="TOC Heading"/>
    <w:basedOn w:val="Ttulo1"/>
    <w:next w:val="Normal"/>
    <w:uiPriority w:val="39"/>
    <w:unhideWhenUsed/>
    <w:qFormat/>
    <w:rsid w:val="00104D4E"/>
    <w:pPr>
      <w:spacing w:before="240" w:after="0"/>
      <w:jc w:val="left"/>
      <w:outlineLvl w:val="9"/>
    </w:pPr>
    <w:rPr>
      <w:rFonts w:asciiTheme="majorHAnsi" w:eastAsiaTheme="majorEastAsia" w:hAnsiTheme="majorHAnsi" w:cstheme="majorBidi"/>
      <w:b w:val="0"/>
      <w:color w:val="365F91" w:themeColor="accent1" w:themeShade="BF"/>
      <w:sz w:val="32"/>
      <w:szCs w:val="32"/>
    </w:rPr>
  </w:style>
  <w:style w:type="paragraph" w:styleId="TDC2">
    <w:name w:val="toc 2"/>
    <w:basedOn w:val="Normal"/>
    <w:next w:val="Normal"/>
    <w:autoRedefine/>
    <w:uiPriority w:val="39"/>
    <w:semiHidden/>
    <w:unhideWhenUsed/>
    <w:rsid w:val="0062581E"/>
    <w:pPr>
      <w:spacing w:after="100"/>
      <w:ind w:left="220"/>
    </w:pPr>
  </w:style>
  <w:style w:type="paragraph" w:styleId="TDC1">
    <w:name w:val="toc 1"/>
    <w:basedOn w:val="Normal"/>
    <w:next w:val="Normal"/>
    <w:autoRedefine/>
    <w:uiPriority w:val="39"/>
    <w:unhideWhenUsed/>
    <w:rsid w:val="0062581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legislacion.edomex.gob.mx/sites/legislacion.edomex.gob.mx/files/files/pdf/gct/2024/octubre/oct251/oct251d.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Lf0AKO2rQpcPJz5xmyfFKooHJQ==">CgMxLjAyCWguMzBqMHpsbDgAciExbE9HQjQweFlIZzU5cG5BS0d4SEdtclhxV296NjZ0Y3Y=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01C3CF-A012-4371-8366-243F23D9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4334</Words>
  <Characters>23837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2025-08-22T00:21:00Z</cp:lastPrinted>
  <dcterms:created xsi:type="dcterms:W3CDTF">2025-08-22T00:21:00Z</dcterms:created>
  <dcterms:modified xsi:type="dcterms:W3CDTF">2025-08-22T00:21:00Z</dcterms:modified>
</cp:coreProperties>
</file>