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6FA64" w14:textId="77777777" w:rsidR="001A52E5" w:rsidRPr="006476D5" w:rsidRDefault="00986F6A" w:rsidP="006476D5">
      <w:pPr>
        <w:keepNext/>
        <w:keepLines/>
        <w:pBdr>
          <w:top w:val="nil"/>
          <w:left w:val="nil"/>
          <w:bottom w:val="nil"/>
          <w:right w:val="nil"/>
          <w:between w:val="nil"/>
        </w:pBdr>
        <w:spacing w:before="240" w:line="259" w:lineRule="auto"/>
        <w:jc w:val="left"/>
        <w:rPr>
          <w:rFonts w:ascii="Play" w:eastAsia="Play" w:hAnsi="Play" w:cs="Play"/>
          <w:sz w:val="32"/>
          <w:szCs w:val="32"/>
        </w:rPr>
      </w:pPr>
      <w:r w:rsidRPr="006476D5">
        <w:rPr>
          <w:rFonts w:ascii="Play" w:eastAsia="Play" w:hAnsi="Play" w:cs="Play"/>
          <w:sz w:val="32"/>
          <w:szCs w:val="32"/>
        </w:rPr>
        <w:t>Contenido</w:t>
      </w:r>
    </w:p>
    <w:sdt>
      <w:sdtPr>
        <w:id w:val="-806553618"/>
        <w:docPartObj>
          <w:docPartGallery w:val="Table of Contents"/>
          <w:docPartUnique/>
        </w:docPartObj>
      </w:sdtPr>
      <w:sdtEndPr/>
      <w:sdtContent>
        <w:p w14:paraId="64909416" w14:textId="77777777" w:rsidR="001A52E5" w:rsidRPr="006476D5" w:rsidRDefault="00986F6A" w:rsidP="006476D5">
          <w:pPr>
            <w:pBdr>
              <w:top w:val="nil"/>
              <w:left w:val="nil"/>
              <w:bottom w:val="nil"/>
              <w:right w:val="nil"/>
              <w:between w:val="nil"/>
            </w:pBdr>
            <w:tabs>
              <w:tab w:val="right" w:pos="9034"/>
            </w:tabs>
            <w:spacing w:after="100"/>
            <w:rPr>
              <w:rFonts w:ascii="Aptos" w:eastAsia="Aptos" w:hAnsi="Aptos" w:cs="Aptos"/>
              <w:szCs w:val="22"/>
            </w:rPr>
          </w:pPr>
          <w:r w:rsidRPr="006476D5">
            <w:fldChar w:fldCharType="begin"/>
          </w:r>
          <w:r w:rsidRPr="006476D5">
            <w:instrText xml:space="preserve"> TOC \h \u \z \t "Heading 1,1,Heading 2,2,Heading 3,3,"</w:instrText>
          </w:r>
          <w:r w:rsidRPr="006476D5">
            <w:fldChar w:fldCharType="separate"/>
          </w:r>
          <w:hyperlink w:anchor="_heading=h.a4kxwbntnci1">
            <w:r w:rsidRPr="006476D5">
              <w:rPr>
                <w:rFonts w:eastAsia="Palatino Linotype" w:cs="Palatino Linotype"/>
                <w:szCs w:val="22"/>
              </w:rPr>
              <w:t>ANTECEDENTES</w:t>
            </w:r>
            <w:r w:rsidRPr="006476D5">
              <w:rPr>
                <w:rFonts w:eastAsia="Palatino Linotype" w:cs="Palatino Linotype"/>
                <w:szCs w:val="22"/>
              </w:rPr>
              <w:tab/>
              <w:t>1</w:t>
            </w:r>
          </w:hyperlink>
        </w:p>
        <w:p w14:paraId="198DEDF4" w14:textId="77777777" w:rsidR="001A52E5" w:rsidRPr="006476D5" w:rsidRDefault="00F04490" w:rsidP="006476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9so0wgml0us5">
            <w:r w:rsidR="00986F6A" w:rsidRPr="006476D5">
              <w:rPr>
                <w:rFonts w:eastAsia="Palatino Linotype" w:cs="Palatino Linotype"/>
                <w:szCs w:val="22"/>
              </w:rPr>
              <w:t>DE LA SOLICITUD DE INFORMACIÓN</w:t>
            </w:r>
            <w:r w:rsidR="00986F6A" w:rsidRPr="006476D5">
              <w:rPr>
                <w:rFonts w:eastAsia="Palatino Linotype" w:cs="Palatino Linotype"/>
                <w:szCs w:val="22"/>
              </w:rPr>
              <w:tab/>
              <w:t>1</w:t>
            </w:r>
          </w:hyperlink>
        </w:p>
        <w:p w14:paraId="74EE7AEF"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3cewsmf7dk">
            <w:r w:rsidR="00986F6A" w:rsidRPr="006476D5">
              <w:rPr>
                <w:rFonts w:eastAsia="Palatino Linotype" w:cs="Palatino Linotype"/>
                <w:szCs w:val="22"/>
              </w:rPr>
              <w:t>a) Solicitud de información</w:t>
            </w:r>
            <w:r w:rsidR="00986F6A" w:rsidRPr="006476D5">
              <w:rPr>
                <w:rFonts w:eastAsia="Palatino Linotype" w:cs="Palatino Linotype"/>
                <w:szCs w:val="22"/>
              </w:rPr>
              <w:tab/>
              <w:t>1</w:t>
            </w:r>
          </w:hyperlink>
        </w:p>
        <w:p w14:paraId="7BEF2618"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dzm6k783l5k0">
            <w:r w:rsidR="00986F6A" w:rsidRPr="006476D5">
              <w:rPr>
                <w:rFonts w:eastAsia="Palatino Linotype" w:cs="Palatino Linotype"/>
                <w:szCs w:val="22"/>
              </w:rPr>
              <w:t>b) Respuesta del Sujeto Obligado</w:t>
            </w:r>
            <w:r w:rsidR="00986F6A" w:rsidRPr="006476D5">
              <w:rPr>
                <w:rFonts w:eastAsia="Palatino Linotype" w:cs="Palatino Linotype"/>
                <w:szCs w:val="22"/>
              </w:rPr>
              <w:tab/>
              <w:t>1</w:t>
            </w:r>
          </w:hyperlink>
        </w:p>
        <w:p w14:paraId="20956FEA" w14:textId="77777777" w:rsidR="001A52E5" w:rsidRPr="006476D5" w:rsidRDefault="00F04490" w:rsidP="006476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ir58bcp0e9e2">
            <w:r w:rsidR="00986F6A" w:rsidRPr="006476D5">
              <w:rPr>
                <w:rFonts w:eastAsia="Palatino Linotype" w:cs="Palatino Linotype"/>
                <w:szCs w:val="22"/>
              </w:rPr>
              <w:t>DEL RECURSO DE REVISIÓN</w:t>
            </w:r>
            <w:r w:rsidR="00986F6A" w:rsidRPr="006476D5">
              <w:rPr>
                <w:rFonts w:eastAsia="Palatino Linotype" w:cs="Palatino Linotype"/>
                <w:szCs w:val="22"/>
              </w:rPr>
              <w:tab/>
              <w:t>2</w:t>
            </w:r>
          </w:hyperlink>
        </w:p>
        <w:p w14:paraId="1FF32DF7"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awf4yt89lw04">
            <w:r w:rsidR="00986F6A" w:rsidRPr="006476D5">
              <w:rPr>
                <w:rFonts w:eastAsia="Palatino Linotype" w:cs="Palatino Linotype"/>
                <w:szCs w:val="22"/>
              </w:rPr>
              <w:t>a) Interposición del Recurso de Revisión</w:t>
            </w:r>
            <w:r w:rsidR="00986F6A" w:rsidRPr="006476D5">
              <w:rPr>
                <w:rFonts w:eastAsia="Palatino Linotype" w:cs="Palatino Linotype"/>
                <w:szCs w:val="22"/>
              </w:rPr>
              <w:tab/>
              <w:t>2</w:t>
            </w:r>
          </w:hyperlink>
        </w:p>
        <w:p w14:paraId="4F371AEC"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drsucgeixrd">
            <w:r w:rsidR="00986F6A" w:rsidRPr="006476D5">
              <w:rPr>
                <w:rFonts w:eastAsia="Palatino Linotype" w:cs="Palatino Linotype"/>
                <w:szCs w:val="22"/>
              </w:rPr>
              <w:t>b) Turno del Recurso de Revisión</w:t>
            </w:r>
            <w:r w:rsidR="00986F6A" w:rsidRPr="006476D5">
              <w:rPr>
                <w:rFonts w:eastAsia="Palatino Linotype" w:cs="Palatino Linotype"/>
                <w:szCs w:val="22"/>
              </w:rPr>
              <w:tab/>
              <w:t>3</w:t>
            </w:r>
          </w:hyperlink>
        </w:p>
        <w:p w14:paraId="1010A06F"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6liada0mx7b">
            <w:r w:rsidR="00986F6A" w:rsidRPr="006476D5">
              <w:rPr>
                <w:rFonts w:eastAsia="Palatino Linotype" w:cs="Palatino Linotype"/>
                <w:szCs w:val="22"/>
              </w:rPr>
              <w:t>c) Admisión del Recurso de Revisión</w:t>
            </w:r>
            <w:r w:rsidR="00986F6A" w:rsidRPr="006476D5">
              <w:rPr>
                <w:rFonts w:eastAsia="Palatino Linotype" w:cs="Palatino Linotype"/>
                <w:szCs w:val="22"/>
              </w:rPr>
              <w:tab/>
              <w:t>3</w:t>
            </w:r>
          </w:hyperlink>
        </w:p>
        <w:p w14:paraId="68E78DDA"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d9ijwpvji9m">
            <w:r w:rsidR="00986F6A" w:rsidRPr="006476D5">
              <w:rPr>
                <w:rFonts w:eastAsia="Palatino Linotype" w:cs="Palatino Linotype"/>
                <w:szCs w:val="22"/>
              </w:rPr>
              <w:t>d) Informe Justificado del Sujeto Obligado</w:t>
            </w:r>
            <w:r w:rsidR="00986F6A" w:rsidRPr="006476D5">
              <w:rPr>
                <w:rFonts w:eastAsia="Palatino Linotype" w:cs="Palatino Linotype"/>
                <w:szCs w:val="22"/>
              </w:rPr>
              <w:tab/>
              <w:t>3</w:t>
            </w:r>
          </w:hyperlink>
        </w:p>
        <w:p w14:paraId="1639C1A2"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anrivkng997">
            <w:r w:rsidR="00986F6A" w:rsidRPr="006476D5">
              <w:rPr>
                <w:rFonts w:eastAsia="Palatino Linotype" w:cs="Palatino Linotype"/>
                <w:szCs w:val="22"/>
              </w:rPr>
              <w:t>e) Manifestaciones de la Parte Recurrente</w:t>
            </w:r>
            <w:r w:rsidR="00986F6A" w:rsidRPr="006476D5">
              <w:rPr>
                <w:rFonts w:eastAsia="Palatino Linotype" w:cs="Palatino Linotype"/>
                <w:szCs w:val="22"/>
              </w:rPr>
              <w:tab/>
              <w:t>3</w:t>
            </w:r>
          </w:hyperlink>
        </w:p>
        <w:p w14:paraId="40C62ABC"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iclgm4rgnuf">
            <w:r w:rsidR="00986F6A" w:rsidRPr="006476D5">
              <w:rPr>
                <w:rFonts w:eastAsia="Palatino Linotype" w:cs="Palatino Linotype"/>
                <w:szCs w:val="22"/>
              </w:rPr>
              <w:t>f) Cierre de instrucción</w:t>
            </w:r>
            <w:r w:rsidR="00986F6A" w:rsidRPr="006476D5">
              <w:rPr>
                <w:rFonts w:eastAsia="Palatino Linotype" w:cs="Palatino Linotype"/>
                <w:szCs w:val="22"/>
              </w:rPr>
              <w:tab/>
              <w:t>4</w:t>
            </w:r>
          </w:hyperlink>
        </w:p>
        <w:p w14:paraId="0D6241B2" w14:textId="77777777" w:rsidR="001A52E5" w:rsidRPr="006476D5" w:rsidRDefault="00F04490" w:rsidP="006476D5">
          <w:pPr>
            <w:pBdr>
              <w:top w:val="nil"/>
              <w:left w:val="nil"/>
              <w:bottom w:val="nil"/>
              <w:right w:val="nil"/>
              <w:between w:val="nil"/>
            </w:pBdr>
            <w:tabs>
              <w:tab w:val="right" w:pos="9034"/>
            </w:tabs>
            <w:spacing w:after="100"/>
            <w:rPr>
              <w:rFonts w:ascii="Aptos" w:eastAsia="Aptos" w:hAnsi="Aptos" w:cs="Aptos"/>
              <w:szCs w:val="22"/>
            </w:rPr>
          </w:pPr>
          <w:hyperlink w:anchor="_heading=h.s9e92sdc46zf">
            <w:r w:rsidR="00986F6A" w:rsidRPr="006476D5">
              <w:rPr>
                <w:rFonts w:eastAsia="Palatino Linotype" w:cs="Palatino Linotype"/>
                <w:szCs w:val="22"/>
              </w:rPr>
              <w:t>CONSIDERANDOS</w:t>
            </w:r>
            <w:r w:rsidR="00986F6A" w:rsidRPr="006476D5">
              <w:rPr>
                <w:rFonts w:eastAsia="Palatino Linotype" w:cs="Palatino Linotype"/>
                <w:szCs w:val="22"/>
              </w:rPr>
              <w:tab/>
              <w:t>4</w:t>
            </w:r>
          </w:hyperlink>
        </w:p>
        <w:p w14:paraId="0D7F0383" w14:textId="77777777" w:rsidR="001A52E5" w:rsidRPr="006476D5" w:rsidRDefault="00F04490" w:rsidP="006476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9rm520urzyr9">
            <w:r w:rsidR="00986F6A" w:rsidRPr="006476D5">
              <w:rPr>
                <w:rFonts w:eastAsia="Palatino Linotype" w:cs="Palatino Linotype"/>
                <w:szCs w:val="22"/>
              </w:rPr>
              <w:t>PRIMERO. Procedibilidad</w:t>
            </w:r>
            <w:r w:rsidR="00986F6A" w:rsidRPr="006476D5">
              <w:rPr>
                <w:rFonts w:eastAsia="Palatino Linotype" w:cs="Palatino Linotype"/>
                <w:szCs w:val="22"/>
              </w:rPr>
              <w:tab/>
              <w:t>4</w:t>
            </w:r>
          </w:hyperlink>
        </w:p>
        <w:p w14:paraId="5CB674C1"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h7fec3w0xe1o">
            <w:r w:rsidR="00986F6A" w:rsidRPr="006476D5">
              <w:rPr>
                <w:rFonts w:eastAsia="Palatino Linotype" w:cs="Palatino Linotype"/>
                <w:szCs w:val="22"/>
              </w:rPr>
              <w:t>a) Competencia del Instituto</w:t>
            </w:r>
            <w:r w:rsidR="00986F6A" w:rsidRPr="006476D5">
              <w:rPr>
                <w:rFonts w:eastAsia="Palatino Linotype" w:cs="Palatino Linotype"/>
                <w:szCs w:val="22"/>
              </w:rPr>
              <w:tab/>
              <w:t>4</w:t>
            </w:r>
          </w:hyperlink>
        </w:p>
        <w:p w14:paraId="5EAA0AD8"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diofvykt3qa">
            <w:r w:rsidR="00986F6A" w:rsidRPr="006476D5">
              <w:rPr>
                <w:rFonts w:eastAsia="Palatino Linotype" w:cs="Palatino Linotype"/>
                <w:szCs w:val="22"/>
              </w:rPr>
              <w:t>b) Legitimidad de la parte recurrente</w:t>
            </w:r>
            <w:r w:rsidR="00986F6A" w:rsidRPr="006476D5">
              <w:rPr>
                <w:rFonts w:eastAsia="Palatino Linotype" w:cs="Palatino Linotype"/>
                <w:szCs w:val="22"/>
              </w:rPr>
              <w:tab/>
              <w:t>5</w:t>
            </w:r>
          </w:hyperlink>
        </w:p>
        <w:p w14:paraId="3C6EEE8A"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ud8iewdkksn">
            <w:r w:rsidR="00986F6A" w:rsidRPr="006476D5">
              <w:rPr>
                <w:rFonts w:eastAsia="Palatino Linotype" w:cs="Palatino Linotype"/>
                <w:szCs w:val="22"/>
              </w:rPr>
              <w:t>c) Plazo para interponer el recurso</w:t>
            </w:r>
            <w:r w:rsidR="00986F6A" w:rsidRPr="006476D5">
              <w:rPr>
                <w:rFonts w:eastAsia="Palatino Linotype" w:cs="Palatino Linotype"/>
                <w:szCs w:val="22"/>
              </w:rPr>
              <w:tab/>
              <w:t>5</w:t>
            </w:r>
          </w:hyperlink>
        </w:p>
        <w:p w14:paraId="06C1F775"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w5ooc1v567oj">
            <w:r w:rsidR="00986F6A" w:rsidRPr="006476D5">
              <w:rPr>
                <w:rFonts w:eastAsia="Palatino Linotype" w:cs="Palatino Linotype"/>
                <w:szCs w:val="22"/>
              </w:rPr>
              <w:t>d) Causal de procedencia</w:t>
            </w:r>
            <w:r w:rsidR="00986F6A" w:rsidRPr="006476D5">
              <w:rPr>
                <w:rFonts w:eastAsia="Palatino Linotype" w:cs="Palatino Linotype"/>
                <w:szCs w:val="22"/>
              </w:rPr>
              <w:tab/>
              <w:t>6</w:t>
            </w:r>
          </w:hyperlink>
        </w:p>
        <w:p w14:paraId="5A3EF661"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xnzu73k6a8ah">
            <w:r w:rsidR="00986F6A" w:rsidRPr="006476D5">
              <w:rPr>
                <w:rFonts w:eastAsia="Palatino Linotype" w:cs="Palatino Linotype"/>
                <w:szCs w:val="22"/>
              </w:rPr>
              <w:t>e) Requisitos formales para la interposición del recurso</w:t>
            </w:r>
            <w:r w:rsidR="00986F6A" w:rsidRPr="006476D5">
              <w:rPr>
                <w:rFonts w:eastAsia="Palatino Linotype" w:cs="Palatino Linotype"/>
                <w:szCs w:val="22"/>
              </w:rPr>
              <w:tab/>
              <w:t>6</w:t>
            </w:r>
          </w:hyperlink>
        </w:p>
        <w:p w14:paraId="3C7ECDE4" w14:textId="77777777" w:rsidR="001A52E5" w:rsidRPr="006476D5" w:rsidRDefault="00F04490" w:rsidP="006476D5">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csbf2yeeshnm">
            <w:r w:rsidR="00986F6A" w:rsidRPr="006476D5">
              <w:rPr>
                <w:rFonts w:eastAsia="Palatino Linotype" w:cs="Palatino Linotype"/>
                <w:szCs w:val="22"/>
              </w:rPr>
              <w:t>SEGUNDO. Estudio de Fondo</w:t>
            </w:r>
            <w:r w:rsidR="00986F6A" w:rsidRPr="006476D5">
              <w:rPr>
                <w:rFonts w:eastAsia="Palatino Linotype" w:cs="Palatino Linotype"/>
                <w:szCs w:val="22"/>
              </w:rPr>
              <w:tab/>
              <w:t>6</w:t>
            </w:r>
          </w:hyperlink>
        </w:p>
        <w:p w14:paraId="67AD77D2"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6ntaqkaym524">
            <w:r w:rsidR="00986F6A" w:rsidRPr="006476D5">
              <w:rPr>
                <w:rFonts w:eastAsia="Palatino Linotype" w:cs="Palatino Linotype"/>
                <w:szCs w:val="22"/>
              </w:rPr>
              <w:t>a) Mandato de transparencia y responsabilidad del Sujeto Obligado</w:t>
            </w:r>
            <w:r w:rsidR="00986F6A" w:rsidRPr="006476D5">
              <w:rPr>
                <w:rFonts w:eastAsia="Palatino Linotype" w:cs="Palatino Linotype"/>
                <w:szCs w:val="22"/>
              </w:rPr>
              <w:tab/>
              <w:t>6</w:t>
            </w:r>
          </w:hyperlink>
        </w:p>
        <w:p w14:paraId="04DAA4E2"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01ixehr57m3">
            <w:r w:rsidR="00986F6A" w:rsidRPr="006476D5">
              <w:rPr>
                <w:rFonts w:eastAsia="Palatino Linotype" w:cs="Palatino Linotype"/>
                <w:szCs w:val="22"/>
              </w:rPr>
              <w:t>b)  Controversia a resolver</w:t>
            </w:r>
            <w:r w:rsidR="00986F6A" w:rsidRPr="006476D5">
              <w:rPr>
                <w:rFonts w:eastAsia="Palatino Linotype" w:cs="Palatino Linotype"/>
                <w:szCs w:val="22"/>
              </w:rPr>
              <w:tab/>
              <w:t>9</w:t>
            </w:r>
          </w:hyperlink>
        </w:p>
        <w:p w14:paraId="52F433AA"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6mukdtd3o5j">
            <w:r w:rsidR="00986F6A" w:rsidRPr="006476D5">
              <w:rPr>
                <w:rFonts w:eastAsia="Palatino Linotype" w:cs="Palatino Linotype"/>
                <w:szCs w:val="22"/>
              </w:rPr>
              <w:t>c) Estudio de la controversia</w:t>
            </w:r>
            <w:r w:rsidR="00986F6A" w:rsidRPr="006476D5">
              <w:rPr>
                <w:rFonts w:eastAsia="Palatino Linotype" w:cs="Palatino Linotype"/>
                <w:szCs w:val="22"/>
              </w:rPr>
              <w:tab/>
              <w:t>10</w:t>
            </w:r>
          </w:hyperlink>
        </w:p>
        <w:p w14:paraId="7D6ED81F"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sv8ca6v8dwtb">
            <w:r w:rsidR="00986F6A" w:rsidRPr="006476D5">
              <w:rPr>
                <w:rFonts w:eastAsia="Palatino Linotype" w:cs="Palatino Linotype"/>
                <w:szCs w:val="22"/>
              </w:rPr>
              <w:t>d) Versión pública</w:t>
            </w:r>
            <w:r w:rsidR="00986F6A" w:rsidRPr="006476D5">
              <w:rPr>
                <w:rFonts w:eastAsia="Palatino Linotype" w:cs="Palatino Linotype"/>
                <w:szCs w:val="22"/>
              </w:rPr>
              <w:tab/>
              <w:t>14</w:t>
            </w:r>
          </w:hyperlink>
        </w:p>
        <w:p w14:paraId="20661586" w14:textId="77777777" w:rsidR="001A52E5" w:rsidRPr="006476D5" w:rsidRDefault="00F04490" w:rsidP="006476D5">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tcb2mfqde6x">
            <w:r w:rsidR="00986F6A" w:rsidRPr="006476D5">
              <w:rPr>
                <w:rFonts w:eastAsia="Palatino Linotype" w:cs="Palatino Linotype"/>
                <w:szCs w:val="22"/>
              </w:rPr>
              <w:t>e) Conclusión</w:t>
            </w:r>
            <w:r w:rsidR="00986F6A" w:rsidRPr="006476D5">
              <w:rPr>
                <w:rFonts w:eastAsia="Palatino Linotype" w:cs="Palatino Linotype"/>
                <w:szCs w:val="22"/>
              </w:rPr>
              <w:tab/>
              <w:t>23</w:t>
            </w:r>
          </w:hyperlink>
        </w:p>
        <w:p w14:paraId="07547DB1" w14:textId="77777777" w:rsidR="001A52E5" w:rsidRPr="006476D5" w:rsidRDefault="00F04490" w:rsidP="006476D5">
          <w:pPr>
            <w:pBdr>
              <w:top w:val="nil"/>
              <w:left w:val="nil"/>
              <w:bottom w:val="nil"/>
              <w:right w:val="nil"/>
              <w:between w:val="nil"/>
            </w:pBdr>
            <w:tabs>
              <w:tab w:val="right" w:pos="9034"/>
            </w:tabs>
            <w:spacing w:after="100"/>
            <w:rPr>
              <w:rFonts w:ascii="Aptos" w:eastAsia="Aptos" w:hAnsi="Aptos" w:cs="Aptos"/>
              <w:szCs w:val="22"/>
            </w:rPr>
          </w:pPr>
          <w:hyperlink w:anchor="_heading=h.lo4yols22o9u">
            <w:r w:rsidR="00986F6A" w:rsidRPr="006476D5">
              <w:rPr>
                <w:rFonts w:eastAsia="Palatino Linotype" w:cs="Palatino Linotype"/>
                <w:szCs w:val="22"/>
              </w:rPr>
              <w:t>RESUELVE</w:t>
            </w:r>
            <w:r w:rsidR="00986F6A" w:rsidRPr="006476D5">
              <w:rPr>
                <w:rFonts w:eastAsia="Palatino Linotype" w:cs="Palatino Linotype"/>
                <w:szCs w:val="22"/>
              </w:rPr>
              <w:tab/>
              <w:t>24</w:t>
            </w:r>
          </w:hyperlink>
          <w:r w:rsidR="00986F6A" w:rsidRPr="006476D5">
            <w:fldChar w:fldCharType="end"/>
          </w:r>
        </w:p>
      </w:sdtContent>
    </w:sdt>
    <w:p w14:paraId="4F6691C4" w14:textId="77777777" w:rsidR="001A52E5" w:rsidRPr="006476D5" w:rsidRDefault="001A52E5" w:rsidP="006476D5">
      <w:pPr>
        <w:sectPr w:rsidR="001A52E5" w:rsidRPr="006476D5">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2CF2FB53" w14:textId="77777777" w:rsidR="001A52E5" w:rsidRPr="006476D5" w:rsidRDefault="00986F6A" w:rsidP="006476D5">
      <w:pPr>
        <w:rPr>
          <w:b/>
        </w:rPr>
      </w:pPr>
      <w:r w:rsidRPr="006476D5">
        <w:lastRenderedPageBreak/>
        <w:t>Resolución del Pleno del Instituto de Transparencia, Acceso a la Información Pública y Protección de Datos Personales del Estado de México y Municipios, con domicilio en Metepec, Estado de México, de</w:t>
      </w:r>
      <w:r w:rsidR="006476D5" w:rsidRPr="006476D5">
        <w:t>l</w:t>
      </w:r>
      <w:r w:rsidRPr="006476D5">
        <w:t xml:space="preserve"> </w:t>
      </w:r>
      <w:r w:rsidRPr="006476D5">
        <w:rPr>
          <w:b/>
        </w:rPr>
        <w:t>veintitrés de abril de dos mil veinticinco.</w:t>
      </w:r>
    </w:p>
    <w:p w14:paraId="00A060F2" w14:textId="77777777" w:rsidR="001A52E5" w:rsidRPr="006476D5" w:rsidRDefault="001A52E5" w:rsidP="006476D5"/>
    <w:p w14:paraId="23B3C376" w14:textId="60CF7304" w:rsidR="001A52E5" w:rsidRPr="006476D5" w:rsidRDefault="00986F6A" w:rsidP="006476D5">
      <w:r w:rsidRPr="006476D5">
        <w:rPr>
          <w:b/>
        </w:rPr>
        <w:t xml:space="preserve">VISTO </w:t>
      </w:r>
      <w:r w:rsidRPr="006476D5">
        <w:t xml:space="preserve">el expediente formado con motivo del Recurso de Revisión </w:t>
      </w:r>
      <w:r w:rsidRPr="006476D5">
        <w:rPr>
          <w:b/>
        </w:rPr>
        <w:t>02442/INFOEM/IP/RR/2025</w:t>
      </w:r>
      <w:r w:rsidRPr="006476D5">
        <w:t xml:space="preserve"> interpuesto por </w:t>
      </w:r>
      <w:bookmarkStart w:id="1" w:name="_GoBack"/>
      <w:r w:rsidR="00A65C73">
        <w:rPr>
          <w:b/>
        </w:rPr>
        <w:t>XXXXXX XXXXXX XXXXXX</w:t>
      </w:r>
      <w:bookmarkEnd w:id="1"/>
      <w:r w:rsidRPr="006476D5">
        <w:rPr>
          <w:b/>
        </w:rPr>
        <w:t xml:space="preserve">, </w:t>
      </w:r>
      <w:r w:rsidRPr="006476D5">
        <w:t xml:space="preserve">a quien en lo subsecuente se le denominará </w:t>
      </w:r>
      <w:r w:rsidRPr="006476D5">
        <w:rPr>
          <w:b/>
        </w:rPr>
        <w:t>LA PARTE RECURRENTE</w:t>
      </w:r>
      <w:r w:rsidRPr="006476D5">
        <w:t xml:space="preserve">, en contra de la respuesta emitida por la </w:t>
      </w:r>
      <w:r w:rsidRPr="006476D5">
        <w:rPr>
          <w:b/>
        </w:rPr>
        <w:t>Universidad Tecnológica de Nezahualcóyotl</w:t>
      </w:r>
      <w:r w:rsidRPr="006476D5">
        <w:t xml:space="preserve">, en adelante </w:t>
      </w:r>
      <w:r w:rsidRPr="006476D5">
        <w:rPr>
          <w:b/>
        </w:rPr>
        <w:t>EL SUJETO OBLIGADO</w:t>
      </w:r>
      <w:r w:rsidRPr="006476D5">
        <w:t>, se emite la presente Resolución con base en los Antecedentes y Considerandos que se exponen a continuación:</w:t>
      </w:r>
    </w:p>
    <w:p w14:paraId="425E4B67" w14:textId="77777777" w:rsidR="001A52E5" w:rsidRPr="006476D5" w:rsidRDefault="001A52E5" w:rsidP="006476D5"/>
    <w:p w14:paraId="367F82FA" w14:textId="77777777" w:rsidR="001A52E5" w:rsidRPr="006476D5" w:rsidRDefault="00986F6A" w:rsidP="006476D5">
      <w:pPr>
        <w:pStyle w:val="Ttulo1"/>
      </w:pPr>
      <w:bookmarkStart w:id="2" w:name="_heading=h.a4kxwbntnci1" w:colFirst="0" w:colLast="0"/>
      <w:bookmarkEnd w:id="2"/>
      <w:r w:rsidRPr="006476D5">
        <w:t>ANTECEDENTES</w:t>
      </w:r>
    </w:p>
    <w:p w14:paraId="54D076CD" w14:textId="77777777" w:rsidR="001A52E5" w:rsidRPr="006476D5" w:rsidRDefault="00986F6A" w:rsidP="006476D5">
      <w:pPr>
        <w:pStyle w:val="Ttulo2"/>
        <w:jc w:val="left"/>
      </w:pPr>
      <w:bookmarkStart w:id="3" w:name="_heading=h.9so0wgml0us5" w:colFirst="0" w:colLast="0"/>
      <w:bookmarkEnd w:id="3"/>
      <w:r w:rsidRPr="006476D5">
        <w:t>DE LA SOLICITUD DE INFORMACIÓN</w:t>
      </w:r>
    </w:p>
    <w:p w14:paraId="5C6A8956" w14:textId="77777777" w:rsidR="001A52E5" w:rsidRPr="006476D5" w:rsidRDefault="00986F6A" w:rsidP="006476D5">
      <w:pPr>
        <w:pStyle w:val="Ttulo3"/>
      </w:pPr>
      <w:bookmarkStart w:id="4" w:name="_heading=h.l3cewsmf7dk" w:colFirst="0" w:colLast="0"/>
      <w:bookmarkEnd w:id="4"/>
      <w:r w:rsidRPr="006476D5">
        <w:t>a) Solicitud de información</w:t>
      </w:r>
    </w:p>
    <w:p w14:paraId="7E239389" w14:textId="77777777" w:rsidR="001A52E5" w:rsidRPr="006476D5" w:rsidRDefault="00986F6A" w:rsidP="006476D5">
      <w:pPr>
        <w:pBdr>
          <w:top w:val="nil"/>
          <w:left w:val="nil"/>
          <w:bottom w:val="nil"/>
          <w:right w:val="nil"/>
          <w:between w:val="nil"/>
        </w:pBdr>
        <w:tabs>
          <w:tab w:val="left" w:pos="0"/>
        </w:tabs>
        <w:rPr>
          <w:i/>
        </w:rPr>
      </w:pPr>
      <w:r w:rsidRPr="006476D5">
        <w:t xml:space="preserve">El </w:t>
      </w:r>
      <w:r w:rsidRPr="006476D5">
        <w:rPr>
          <w:b/>
        </w:rPr>
        <w:t>diez febrero de dos mil veinticinco</w:t>
      </w:r>
      <w:r w:rsidRPr="006476D5">
        <w:t xml:space="preserve">, </w:t>
      </w:r>
      <w:r w:rsidRPr="006476D5">
        <w:rPr>
          <w:b/>
        </w:rPr>
        <w:t>LA PARTE RECURRENTE</w:t>
      </w:r>
      <w:r w:rsidRPr="006476D5">
        <w:t xml:space="preserve"> presentó una solicitud de acceso a la información pública ante el </w:t>
      </w:r>
      <w:r w:rsidRPr="006476D5">
        <w:rPr>
          <w:b/>
        </w:rPr>
        <w:t>SUJETO OBLIGADO</w:t>
      </w:r>
      <w:r w:rsidRPr="006476D5">
        <w:t>, a través del Sistema de Acceso a la Información Mexiquense (</w:t>
      </w:r>
      <w:r w:rsidRPr="006476D5">
        <w:rPr>
          <w:b/>
        </w:rPr>
        <w:t>SAIMEX</w:t>
      </w:r>
      <w:r w:rsidRPr="006476D5">
        <w:t>). Dicha solicitud quedó registrada con el número de folio</w:t>
      </w:r>
      <w:r w:rsidRPr="006476D5">
        <w:rPr>
          <w:b/>
        </w:rPr>
        <w:t xml:space="preserve"> 00014/UTNEZA/IP/2025</w:t>
      </w:r>
      <w:r w:rsidRPr="006476D5">
        <w:rPr>
          <w:rFonts w:ascii="Arial" w:eastAsia="Arial" w:hAnsi="Arial" w:cs="Arial"/>
          <w:b/>
          <w:sz w:val="15"/>
          <w:szCs w:val="15"/>
        </w:rPr>
        <w:t xml:space="preserve"> </w:t>
      </w:r>
      <w:r w:rsidRPr="006476D5">
        <w:t>y en ella se requirió la siguiente información:</w:t>
      </w:r>
    </w:p>
    <w:p w14:paraId="35DFF32B" w14:textId="77777777" w:rsidR="001A52E5" w:rsidRPr="006476D5" w:rsidRDefault="001A52E5" w:rsidP="006476D5">
      <w:pPr>
        <w:pBdr>
          <w:top w:val="nil"/>
          <w:left w:val="nil"/>
          <w:bottom w:val="nil"/>
          <w:right w:val="nil"/>
          <w:between w:val="nil"/>
        </w:pBdr>
        <w:spacing w:line="240" w:lineRule="auto"/>
        <w:ind w:right="567"/>
        <w:rPr>
          <w:i/>
        </w:rPr>
      </w:pPr>
    </w:p>
    <w:p w14:paraId="6B8090F6" w14:textId="77777777" w:rsidR="001A52E5" w:rsidRPr="006476D5" w:rsidRDefault="00986F6A" w:rsidP="006476D5">
      <w:pPr>
        <w:pBdr>
          <w:top w:val="nil"/>
          <w:left w:val="nil"/>
          <w:bottom w:val="nil"/>
          <w:right w:val="nil"/>
          <w:between w:val="nil"/>
        </w:pBdr>
        <w:spacing w:line="240" w:lineRule="auto"/>
        <w:ind w:left="567" w:right="567"/>
        <w:rPr>
          <w:i/>
        </w:rPr>
      </w:pPr>
      <w:r w:rsidRPr="006476D5">
        <w:rPr>
          <w:i/>
        </w:rPr>
        <w:t>“Solicito la Plantilla del Personal del Departamento de Recursos Humanos”</w:t>
      </w:r>
    </w:p>
    <w:p w14:paraId="3E460D20" w14:textId="77777777" w:rsidR="001A52E5" w:rsidRPr="006476D5" w:rsidRDefault="001A52E5" w:rsidP="006476D5">
      <w:pPr>
        <w:tabs>
          <w:tab w:val="left" w:pos="4667"/>
        </w:tabs>
        <w:ind w:left="567" w:right="567"/>
        <w:rPr>
          <w:i/>
        </w:rPr>
      </w:pPr>
    </w:p>
    <w:p w14:paraId="207263DC" w14:textId="77777777" w:rsidR="001A52E5" w:rsidRPr="006476D5" w:rsidRDefault="00986F6A" w:rsidP="006476D5">
      <w:pPr>
        <w:tabs>
          <w:tab w:val="left" w:pos="4667"/>
        </w:tabs>
        <w:ind w:left="567" w:right="567"/>
      </w:pPr>
      <w:r w:rsidRPr="006476D5">
        <w:rPr>
          <w:b/>
        </w:rPr>
        <w:t>Modalidad de entrega</w:t>
      </w:r>
      <w:r w:rsidRPr="006476D5">
        <w:t>: a</w:t>
      </w:r>
      <w:r w:rsidRPr="006476D5">
        <w:rPr>
          <w:i/>
        </w:rPr>
        <w:t xml:space="preserve"> través del </w:t>
      </w:r>
      <w:r w:rsidRPr="006476D5">
        <w:rPr>
          <w:b/>
          <w:i/>
        </w:rPr>
        <w:t>SAIMEX</w:t>
      </w:r>
      <w:r w:rsidRPr="006476D5">
        <w:rPr>
          <w:i/>
        </w:rPr>
        <w:t>.</w:t>
      </w:r>
    </w:p>
    <w:p w14:paraId="5F6DC397" w14:textId="77777777" w:rsidR="001A52E5" w:rsidRPr="006476D5" w:rsidRDefault="001A52E5" w:rsidP="006476D5">
      <w:pPr>
        <w:ind w:right="-28"/>
        <w:rPr>
          <w:i/>
        </w:rPr>
      </w:pPr>
    </w:p>
    <w:p w14:paraId="10F55B70" w14:textId="77777777" w:rsidR="001A52E5" w:rsidRPr="006476D5" w:rsidRDefault="00986F6A" w:rsidP="006476D5">
      <w:pPr>
        <w:pStyle w:val="Ttulo3"/>
      </w:pPr>
      <w:bookmarkStart w:id="5" w:name="_heading=h.dzm6k783l5k0" w:colFirst="0" w:colLast="0"/>
      <w:bookmarkEnd w:id="5"/>
      <w:r w:rsidRPr="006476D5">
        <w:t>b) Respuesta del Sujeto Obligado</w:t>
      </w:r>
    </w:p>
    <w:p w14:paraId="2FC19A86" w14:textId="77777777" w:rsidR="001A52E5" w:rsidRPr="006476D5" w:rsidRDefault="00986F6A" w:rsidP="006476D5">
      <w:pPr>
        <w:pBdr>
          <w:top w:val="nil"/>
          <w:left w:val="nil"/>
          <w:bottom w:val="nil"/>
          <w:right w:val="nil"/>
          <w:between w:val="nil"/>
        </w:pBdr>
        <w:rPr>
          <w:i/>
        </w:rPr>
      </w:pPr>
      <w:r w:rsidRPr="006476D5">
        <w:t xml:space="preserve">El </w:t>
      </w:r>
      <w:r w:rsidRPr="006476D5">
        <w:rPr>
          <w:b/>
        </w:rPr>
        <w:t>cuatro de marzo de dos mil veinticinco</w:t>
      </w:r>
      <w:r w:rsidRPr="006476D5">
        <w:t xml:space="preserve">, el Titular de la Unidad de Transparencia del </w:t>
      </w:r>
      <w:r w:rsidRPr="006476D5">
        <w:rPr>
          <w:b/>
        </w:rPr>
        <w:t>SUJETO OBLIGADO,</w:t>
      </w:r>
      <w:r w:rsidRPr="006476D5">
        <w:t xml:space="preserve"> notificó la siguiente respuesta a través del </w:t>
      </w:r>
      <w:r w:rsidRPr="006476D5">
        <w:rPr>
          <w:b/>
        </w:rPr>
        <w:t>SAIMEX</w:t>
      </w:r>
      <w:r w:rsidRPr="006476D5">
        <w:t>:</w:t>
      </w:r>
    </w:p>
    <w:p w14:paraId="3151E16B" w14:textId="77777777" w:rsidR="001A52E5" w:rsidRPr="006476D5" w:rsidRDefault="001A52E5" w:rsidP="006476D5">
      <w:pPr>
        <w:pBdr>
          <w:top w:val="nil"/>
          <w:left w:val="nil"/>
          <w:bottom w:val="nil"/>
          <w:right w:val="nil"/>
          <w:between w:val="nil"/>
        </w:pBdr>
        <w:spacing w:line="240" w:lineRule="auto"/>
        <w:ind w:left="567" w:right="567"/>
        <w:rPr>
          <w:i/>
        </w:rPr>
      </w:pPr>
    </w:p>
    <w:p w14:paraId="2D419E70" w14:textId="77777777" w:rsidR="001A52E5" w:rsidRPr="006476D5" w:rsidRDefault="00986F6A" w:rsidP="006476D5">
      <w:pPr>
        <w:pBdr>
          <w:top w:val="nil"/>
          <w:left w:val="nil"/>
          <w:bottom w:val="nil"/>
          <w:right w:val="nil"/>
          <w:between w:val="nil"/>
        </w:pBdr>
        <w:spacing w:line="240" w:lineRule="auto"/>
        <w:ind w:left="567" w:right="567"/>
        <w:rPr>
          <w:i/>
        </w:rPr>
      </w:pPr>
      <w:r w:rsidRPr="006476D5">
        <w:rPr>
          <w:i/>
        </w:rPr>
        <w:t>Se envía respuesta mediante Oficio Número 228C0301020000L/103/2025 de fecha 24 de febrero de 2025, suscrito por la Licenciada en Contaduría Perla Patricia Hernández García, quien es la Directora de Administración y Finanzas de la Universidad Tecnológica de Nezahualcóyotl.</w:t>
      </w:r>
    </w:p>
    <w:p w14:paraId="4967FCFD" w14:textId="77777777" w:rsidR="001A52E5" w:rsidRPr="006476D5" w:rsidRDefault="001A52E5" w:rsidP="006476D5">
      <w:pPr>
        <w:pBdr>
          <w:top w:val="nil"/>
          <w:left w:val="nil"/>
          <w:bottom w:val="nil"/>
          <w:right w:val="nil"/>
          <w:between w:val="nil"/>
        </w:pBdr>
        <w:spacing w:line="240" w:lineRule="auto"/>
        <w:ind w:left="567" w:right="567"/>
        <w:rPr>
          <w:i/>
        </w:rPr>
      </w:pPr>
    </w:p>
    <w:p w14:paraId="356148A2" w14:textId="77777777" w:rsidR="001A52E5" w:rsidRPr="006476D5" w:rsidRDefault="00986F6A" w:rsidP="006476D5">
      <w:pPr>
        <w:pBdr>
          <w:top w:val="nil"/>
          <w:left w:val="nil"/>
          <w:bottom w:val="nil"/>
          <w:right w:val="nil"/>
          <w:between w:val="nil"/>
        </w:pBdr>
        <w:spacing w:line="240" w:lineRule="auto"/>
        <w:ind w:left="567" w:right="567"/>
        <w:rPr>
          <w:i/>
        </w:rPr>
      </w:pPr>
      <w:r w:rsidRPr="006476D5">
        <w:rPr>
          <w:i/>
        </w:rPr>
        <w:t>ATENTAMENTE</w:t>
      </w:r>
    </w:p>
    <w:p w14:paraId="702C36B5" w14:textId="77777777" w:rsidR="001A52E5" w:rsidRPr="006476D5" w:rsidRDefault="00986F6A" w:rsidP="006476D5">
      <w:pPr>
        <w:pBdr>
          <w:top w:val="nil"/>
          <w:left w:val="nil"/>
          <w:bottom w:val="nil"/>
          <w:right w:val="nil"/>
          <w:between w:val="nil"/>
        </w:pBdr>
        <w:spacing w:line="240" w:lineRule="auto"/>
        <w:ind w:left="567" w:right="567"/>
        <w:rPr>
          <w:i/>
        </w:rPr>
      </w:pPr>
      <w:r w:rsidRPr="006476D5">
        <w:rPr>
          <w:i/>
        </w:rPr>
        <w:t>LIC. JOSE LUIS MARTÍNEZ TÉLLEZ</w:t>
      </w:r>
    </w:p>
    <w:p w14:paraId="6B3B9F02" w14:textId="77777777" w:rsidR="001A52E5" w:rsidRPr="006476D5" w:rsidRDefault="001A52E5" w:rsidP="006476D5">
      <w:pPr>
        <w:ind w:right="-28"/>
      </w:pPr>
    </w:p>
    <w:p w14:paraId="6950073C" w14:textId="77777777" w:rsidR="001A52E5" w:rsidRPr="006476D5" w:rsidRDefault="00986F6A" w:rsidP="006476D5">
      <w:pPr>
        <w:ind w:right="-28"/>
      </w:pPr>
      <w:r w:rsidRPr="006476D5">
        <w:t xml:space="preserve">A su respuesta adjuntó el archivo denominado </w:t>
      </w:r>
      <w:r w:rsidRPr="006476D5">
        <w:rPr>
          <w:b/>
          <w:i/>
        </w:rPr>
        <w:t xml:space="preserve">Respuesta 014 SAIMEX 2025.pdf  </w:t>
      </w:r>
      <w:r w:rsidRPr="006476D5">
        <w:t xml:space="preserve"> del cual se observa el escrito firmado por la Directora de Administración y Finanzas, quien señaló remitir la información que obra en sus archivos.  Así también se observa un listado con los nombres y apellidos del personal del ente recurrido. </w:t>
      </w:r>
    </w:p>
    <w:p w14:paraId="3E327E36" w14:textId="77777777" w:rsidR="001A52E5" w:rsidRPr="006476D5" w:rsidRDefault="001A52E5" w:rsidP="006476D5">
      <w:pPr>
        <w:ind w:right="-28"/>
      </w:pPr>
    </w:p>
    <w:p w14:paraId="3220A94C" w14:textId="77777777" w:rsidR="001A52E5" w:rsidRPr="006476D5" w:rsidRDefault="00986F6A" w:rsidP="006476D5">
      <w:pPr>
        <w:pStyle w:val="Ttulo2"/>
      </w:pPr>
      <w:bookmarkStart w:id="6" w:name="_heading=h.ir58bcp0e9e2" w:colFirst="0" w:colLast="0"/>
      <w:bookmarkEnd w:id="6"/>
      <w:r w:rsidRPr="006476D5">
        <w:t>DEL RECURSO DE REVISIÓN</w:t>
      </w:r>
    </w:p>
    <w:p w14:paraId="2A0B8D9F" w14:textId="77777777" w:rsidR="001A52E5" w:rsidRPr="006476D5" w:rsidRDefault="00986F6A" w:rsidP="006476D5">
      <w:pPr>
        <w:pStyle w:val="Ttulo3"/>
      </w:pPr>
      <w:bookmarkStart w:id="7" w:name="_heading=h.awf4yt89lw04" w:colFirst="0" w:colLast="0"/>
      <w:bookmarkEnd w:id="7"/>
      <w:r w:rsidRPr="006476D5">
        <w:t>a) Interposición del Recurso de Revisión</w:t>
      </w:r>
    </w:p>
    <w:p w14:paraId="1844CB68" w14:textId="77777777" w:rsidR="001A52E5" w:rsidRPr="006476D5" w:rsidRDefault="00986F6A" w:rsidP="006476D5">
      <w:pPr>
        <w:ind w:right="-28"/>
      </w:pPr>
      <w:r w:rsidRPr="006476D5">
        <w:t xml:space="preserve">El </w:t>
      </w:r>
      <w:r w:rsidRPr="006476D5">
        <w:rPr>
          <w:b/>
        </w:rPr>
        <w:t>cuatro de marzo de dos mil veinticinco</w:t>
      </w:r>
      <w:r w:rsidRPr="006476D5">
        <w:t xml:space="preserve"> </w:t>
      </w:r>
      <w:r w:rsidRPr="006476D5">
        <w:rPr>
          <w:b/>
        </w:rPr>
        <w:t>LA PARTE RECURRENTE</w:t>
      </w:r>
      <w:r w:rsidRPr="006476D5">
        <w:t xml:space="preserve"> interpuso el recurso de revisión en contra de la respuesta emitida por el </w:t>
      </w:r>
      <w:r w:rsidRPr="006476D5">
        <w:rPr>
          <w:b/>
        </w:rPr>
        <w:t>SUJETO OBLIGADO</w:t>
      </w:r>
      <w:r w:rsidRPr="006476D5">
        <w:t xml:space="preserve">, mismo que fue registrado en el SAIMEX con el número de expediente </w:t>
      </w:r>
      <w:r w:rsidRPr="006476D5">
        <w:rPr>
          <w:b/>
        </w:rPr>
        <w:t>02442/INFOEM/IP/RR/2025</w:t>
      </w:r>
      <w:r w:rsidRPr="006476D5">
        <w:t>, y en el cual manifestó lo siguiente:</w:t>
      </w:r>
    </w:p>
    <w:p w14:paraId="223C0291" w14:textId="77777777" w:rsidR="001A52E5" w:rsidRPr="006476D5" w:rsidRDefault="001A52E5" w:rsidP="006476D5">
      <w:pPr>
        <w:tabs>
          <w:tab w:val="left" w:pos="4667"/>
        </w:tabs>
        <w:ind w:right="539"/>
      </w:pPr>
      <w:bookmarkStart w:id="8" w:name="_heading=h.tyjcwt" w:colFirst="0" w:colLast="0"/>
      <w:bookmarkEnd w:id="8"/>
    </w:p>
    <w:p w14:paraId="733B2779" w14:textId="77777777" w:rsidR="001A52E5" w:rsidRPr="006476D5" w:rsidRDefault="00986F6A" w:rsidP="006476D5">
      <w:pPr>
        <w:tabs>
          <w:tab w:val="left" w:pos="4667"/>
        </w:tabs>
        <w:ind w:left="567" w:right="539"/>
        <w:rPr>
          <w:b/>
        </w:rPr>
      </w:pPr>
      <w:r w:rsidRPr="006476D5">
        <w:rPr>
          <w:b/>
        </w:rPr>
        <w:t>ACTO IMPUGNADO</w:t>
      </w:r>
    </w:p>
    <w:p w14:paraId="3F665301" w14:textId="77777777" w:rsidR="001A52E5" w:rsidRPr="006476D5" w:rsidRDefault="00986F6A" w:rsidP="006476D5">
      <w:pPr>
        <w:pBdr>
          <w:top w:val="nil"/>
          <w:left w:val="nil"/>
          <w:bottom w:val="nil"/>
          <w:right w:val="nil"/>
          <w:between w:val="nil"/>
        </w:pBdr>
        <w:spacing w:line="240" w:lineRule="auto"/>
        <w:ind w:left="567" w:right="567"/>
        <w:rPr>
          <w:i/>
        </w:rPr>
      </w:pPr>
      <w:r w:rsidRPr="006476D5">
        <w:rPr>
          <w:i/>
        </w:rPr>
        <w:t>"Se encuentra inconsistencias, negación de información en la respuesta a la solicitud 00014/UTNEZA/IP/2025"</w:t>
      </w:r>
    </w:p>
    <w:p w14:paraId="538B258E" w14:textId="77777777" w:rsidR="001A52E5" w:rsidRPr="006476D5" w:rsidRDefault="001A52E5" w:rsidP="006476D5">
      <w:pPr>
        <w:tabs>
          <w:tab w:val="left" w:pos="4667"/>
        </w:tabs>
        <w:ind w:left="567" w:right="539"/>
        <w:rPr>
          <w:i/>
        </w:rPr>
      </w:pPr>
    </w:p>
    <w:p w14:paraId="1C2C8A69" w14:textId="77777777" w:rsidR="001A52E5" w:rsidRPr="006476D5" w:rsidRDefault="00986F6A" w:rsidP="006476D5">
      <w:pPr>
        <w:tabs>
          <w:tab w:val="left" w:pos="4667"/>
        </w:tabs>
        <w:ind w:left="567" w:right="539"/>
        <w:rPr>
          <w:b/>
        </w:rPr>
      </w:pPr>
      <w:r w:rsidRPr="006476D5">
        <w:rPr>
          <w:b/>
        </w:rPr>
        <w:t>RAZONES O MOTIVOS DE LA INCONFORMIDAD</w:t>
      </w:r>
      <w:r w:rsidRPr="006476D5">
        <w:rPr>
          <w:b/>
        </w:rPr>
        <w:tab/>
      </w:r>
    </w:p>
    <w:p w14:paraId="73C69F1B" w14:textId="77777777" w:rsidR="001A52E5" w:rsidRPr="006476D5" w:rsidRDefault="00986F6A" w:rsidP="006476D5">
      <w:pPr>
        <w:pBdr>
          <w:top w:val="nil"/>
          <w:left w:val="nil"/>
          <w:bottom w:val="nil"/>
          <w:right w:val="nil"/>
          <w:between w:val="nil"/>
        </w:pBdr>
        <w:spacing w:line="240" w:lineRule="auto"/>
        <w:ind w:left="567" w:right="567"/>
        <w:rPr>
          <w:i/>
        </w:rPr>
      </w:pPr>
      <w:r w:rsidRPr="006476D5">
        <w:rPr>
          <w:i/>
        </w:rPr>
        <w:t>“se solicita la plantilla solo del personal servidores(as) públicos(as) adscrito al departamento de recursos humanos de la Universidad Tecnológica de Nezahualcóyotl,”</w:t>
      </w:r>
    </w:p>
    <w:p w14:paraId="25D2BB28" w14:textId="77777777" w:rsidR="001A52E5" w:rsidRPr="006476D5" w:rsidRDefault="001A52E5" w:rsidP="006476D5">
      <w:pPr>
        <w:keepNext/>
        <w:keepLines/>
        <w:pBdr>
          <w:top w:val="nil"/>
          <w:left w:val="nil"/>
          <w:bottom w:val="nil"/>
          <w:right w:val="nil"/>
          <w:between w:val="nil"/>
        </w:pBdr>
        <w:spacing w:line="480" w:lineRule="auto"/>
        <w:jc w:val="left"/>
        <w:rPr>
          <w:b/>
        </w:rPr>
      </w:pPr>
      <w:bookmarkStart w:id="9" w:name="_heading=h.tq4qa2167jqz" w:colFirst="0" w:colLast="0"/>
      <w:bookmarkEnd w:id="9"/>
    </w:p>
    <w:p w14:paraId="2062BA2F" w14:textId="77777777" w:rsidR="001A52E5" w:rsidRPr="006476D5" w:rsidRDefault="00986F6A" w:rsidP="006476D5">
      <w:pPr>
        <w:pStyle w:val="Ttulo3"/>
      </w:pPr>
      <w:bookmarkStart w:id="10" w:name="_heading=h.sdrsucgeixrd" w:colFirst="0" w:colLast="0"/>
      <w:bookmarkEnd w:id="10"/>
      <w:r w:rsidRPr="006476D5">
        <w:t>b) Turno del Recurso de Revisión</w:t>
      </w:r>
    </w:p>
    <w:p w14:paraId="068D6FF3" w14:textId="77777777" w:rsidR="001A52E5" w:rsidRPr="006476D5" w:rsidRDefault="00986F6A" w:rsidP="006476D5">
      <w:r w:rsidRPr="006476D5">
        <w:t>Con fundamento en el artículo 185, fracción I de la Ley de Transparencia y Acceso a la Información Pública del Estado de México y Municipios, el</w:t>
      </w:r>
      <w:r w:rsidRPr="006476D5">
        <w:rPr>
          <w:b/>
        </w:rPr>
        <w:t xml:space="preserve"> cuatro de marzo de dos mil veinticinco</w:t>
      </w:r>
      <w:r w:rsidRPr="006476D5">
        <w:t xml:space="preserve"> se turnó el recurso de revisión a través del SAIMEX a la </w:t>
      </w:r>
      <w:r w:rsidRPr="006476D5">
        <w:rPr>
          <w:b/>
        </w:rPr>
        <w:t>Comisionada Sharon Cristina Morales Martínez</w:t>
      </w:r>
      <w:r w:rsidRPr="006476D5">
        <w:t xml:space="preserve">, a efecto de decretar su admisión o desechamiento. </w:t>
      </w:r>
    </w:p>
    <w:p w14:paraId="7B0C6CB4" w14:textId="77777777" w:rsidR="001A52E5" w:rsidRPr="006476D5" w:rsidRDefault="001A52E5" w:rsidP="006476D5"/>
    <w:p w14:paraId="26B334C5" w14:textId="77777777" w:rsidR="001A52E5" w:rsidRPr="006476D5" w:rsidRDefault="00986F6A" w:rsidP="006476D5">
      <w:pPr>
        <w:pStyle w:val="Ttulo3"/>
      </w:pPr>
      <w:bookmarkStart w:id="11" w:name="_heading=h.r6liada0mx7b" w:colFirst="0" w:colLast="0"/>
      <w:bookmarkEnd w:id="11"/>
      <w:r w:rsidRPr="006476D5">
        <w:t>c) Admisión del Recurso de Revisión</w:t>
      </w:r>
    </w:p>
    <w:p w14:paraId="43FC3B50" w14:textId="77777777" w:rsidR="001A52E5" w:rsidRPr="006476D5" w:rsidRDefault="00986F6A" w:rsidP="006476D5">
      <w:r w:rsidRPr="006476D5">
        <w:t xml:space="preserve">El </w:t>
      </w:r>
      <w:r w:rsidRPr="006476D5">
        <w:rPr>
          <w:b/>
        </w:rPr>
        <w:t>cinco de marzo de dos mil veinticinco</w:t>
      </w:r>
      <w:r w:rsidRPr="006476D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3E7C4C6C" w14:textId="77777777" w:rsidR="001A52E5" w:rsidRPr="006476D5" w:rsidRDefault="001A52E5" w:rsidP="006476D5">
      <w:pPr>
        <w:keepNext/>
        <w:keepLines/>
        <w:pBdr>
          <w:top w:val="nil"/>
          <w:left w:val="nil"/>
          <w:bottom w:val="nil"/>
          <w:right w:val="nil"/>
          <w:between w:val="nil"/>
        </w:pBdr>
        <w:spacing w:line="480" w:lineRule="auto"/>
        <w:jc w:val="left"/>
        <w:rPr>
          <w:b/>
        </w:rPr>
      </w:pPr>
      <w:bookmarkStart w:id="12" w:name="_heading=h.vrngw2pbgmcp" w:colFirst="0" w:colLast="0"/>
      <w:bookmarkEnd w:id="12"/>
    </w:p>
    <w:p w14:paraId="418C9557" w14:textId="77777777" w:rsidR="001A52E5" w:rsidRPr="006476D5" w:rsidRDefault="00986F6A" w:rsidP="006476D5">
      <w:pPr>
        <w:pStyle w:val="Ttulo3"/>
      </w:pPr>
      <w:bookmarkStart w:id="13" w:name="_heading=h.id9ijwpvji9m" w:colFirst="0" w:colLast="0"/>
      <w:bookmarkEnd w:id="13"/>
      <w:r w:rsidRPr="006476D5">
        <w:t>d) Informe Justificado del Sujeto Obligado</w:t>
      </w:r>
    </w:p>
    <w:p w14:paraId="4949F6BB" w14:textId="77777777" w:rsidR="001A52E5" w:rsidRPr="006476D5" w:rsidRDefault="00986F6A" w:rsidP="006476D5">
      <w:r w:rsidRPr="006476D5">
        <w:t xml:space="preserve">Una vez transcurrido el plazo para tal efecto, </w:t>
      </w:r>
      <w:r w:rsidRPr="006476D5">
        <w:rPr>
          <w:b/>
        </w:rPr>
        <w:t xml:space="preserve">EL SUJETO OBLIGADO </w:t>
      </w:r>
      <w:r w:rsidRPr="006476D5">
        <w:t xml:space="preserve">fue omiso en rendir el informe justificado correspondiente. </w:t>
      </w:r>
    </w:p>
    <w:p w14:paraId="358B52C1" w14:textId="77777777" w:rsidR="001A52E5" w:rsidRPr="006476D5" w:rsidRDefault="001A52E5" w:rsidP="006476D5"/>
    <w:p w14:paraId="3CF28264" w14:textId="77777777" w:rsidR="001A52E5" w:rsidRPr="006476D5" w:rsidRDefault="00986F6A" w:rsidP="006476D5">
      <w:pPr>
        <w:pStyle w:val="Ttulo3"/>
      </w:pPr>
      <w:bookmarkStart w:id="14" w:name="_heading=h.janrivkng997" w:colFirst="0" w:colLast="0"/>
      <w:bookmarkEnd w:id="14"/>
      <w:r w:rsidRPr="006476D5">
        <w:t>e) Manifestaciones de la Parte Recurrente</w:t>
      </w:r>
    </w:p>
    <w:p w14:paraId="3E810CB9" w14:textId="77777777" w:rsidR="001A52E5" w:rsidRPr="006476D5" w:rsidRDefault="00986F6A" w:rsidP="006476D5">
      <w:r w:rsidRPr="006476D5">
        <w:rPr>
          <w:b/>
        </w:rPr>
        <w:t xml:space="preserve">LA PARTE RECURRENTE </w:t>
      </w:r>
      <w:r w:rsidRPr="006476D5">
        <w:t>no realizó manifestación alguna dentro del término legalmente concedido para tal efecto, ni presentó pruebas o alegatos.</w:t>
      </w:r>
    </w:p>
    <w:p w14:paraId="77D1D93D" w14:textId="77777777" w:rsidR="001A52E5" w:rsidRPr="006476D5" w:rsidRDefault="001A52E5" w:rsidP="006476D5"/>
    <w:p w14:paraId="4887F6AA" w14:textId="77777777" w:rsidR="001A52E5" w:rsidRPr="006476D5" w:rsidRDefault="00986F6A" w:rsidP="006476D5">
      <w:pPr>
        <w:pStyle w:val="Ttulo3"/>
      </w:pPr>
      <w:bookmarkStart w:id="15" w:name="_heading=h.ziclgm4rgnuf" w:colFirst="0" w:colLast="0"/>
      <w:bookmarkEnd w:id="15"/>
      <w:r w:rsidRPr="006476D5">
        <w:lastRenderedPageBreak/>
        <w:t>f) Cierre de instrucción</w:t>
      </w:r>
    </w:p>
    <w:p w14:paraId="230EBB31" w14:textId="77777777" w:rsidR="001A52E5" w:rsidRPr="006476D5" w:rsidRDefault="00986F6A" w:rsidP="006476D5">
      <w:bookmarkStart w:id="16" w:name="_heading=h.3j2qqm3" w:colFirst="0" w:colLast="0"/>
      <w:bookmarkEnd w:id="16"/>
      <w:r w:rsidRPr="006476D5">
        <w:t xml:space="preserve">Al no existir diligencias pendientes por desahogar, el </w:t>
      </w:r>
      <w:r w:rsidRPr="006476D5">
        <w:rPr>
          <w:b/>
        </w:rPr>
        <w:t>diez de abril</w:t>
      </w:r>
      <w:r w:rsidRPr="006476D5">
        <w:t xml:space="preserve"> </w:t>
      </w:r>
      <w:r w:rsidRPr="006476D5">
        <w:rPr>
          <w:b/>
        </w:rPr>
        <w:t>de dos mil veinticinco</w:t>
      </w:r>
      <w:r w:rsidRPr="006476D5">
        <w:t xml:space="preserve"> la </w:t>
      </w:r>
      <w:r w:rsidRPr="006476D5">
        <w:rPr>
          <w:b/>
        </w:rPr>
        <w:t xml:space="preserve">Comisionada Sharon Cristina Morales Martínez </w:t>
      </w:r>
      <w:r w:rsidRPr="006476D5">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72FFBB4" w14:textId="77777777" w:rsidR="001A52E5" w:rsidRPr="006476D5" w:rsidRDefault="001A52E5" w:rsidP="006476D5"/>
    <w:p w14:paraId="56D7E502" w14:textId="77777777" w:rsidR="001A52E5" w:rsidRPr="006476D5" w:rsidRDefault="00986F6A" w:rsidP="006476D5">
      <w:pPr>
        <w:pStyle w:val="Ttulo1"/>
      </w:pPr>
      <w:bookmarkStart w:id="17" w:name="_heading=h.s9e92sdc46zf" w:colFirst="0" w:colLast="0"/>
      <w:bookmarkEnd w:id="17"/>
      <w:r w:rsidRPr="006476D5">
        <w:t>CONSIDERANDOS</w:t>
      </w:r>
    </w:p>
    <w:p w14:paraId="3379558B" w14:textId="77777777" w:rsidR="001A52E5" w:rsidRPr="006476D5" w:rsidRDefault="001A52E5" w:rsidP="006476D5">
      <w:pPr>
        <w:ind w:right="-93"/>
        <w:rPr>
          <w:b/>
        </w:rPr>
      </w:pPr>
    </w:p>
    <w:p w14:paraId="50D38AD7" w14:textId="77777777" w:rsidR="001A52E5" w:rsidRPr="006476D5" w:rsidRDefault="00986F6A" w:rsidP="006476D5">
      <w:pPr>
        <w:pStyle w:val="Ttulo2"/>
        <w:jc w:val="left"/>
      </w:pPr>
      <w:bookmarkStart w:id="18" w:name="_heading=h.9rm520urzyr9" w:colFirst="0" w:colLast="0"/>
      <w:bookmarkEnd w:id="18"/>
      <w:r w:rsidRPr="006476D5">
        <w:t>PRIMERO. Procedibilidad</w:t>
      </w:r>
    </w:p>
    <w:p w14:paraId="5E822FAC" w14:textId="77777777" w:rsidR="001A52E5" w:rsidRPr="006476D5" w:rsidRDefault="00986F6A" w:rsidP="006476D5">
      <w:pPr>
        <w:pStyle w:val="Ttulo3"/>
      </w:pPr>
      <w:bookmarkStart w:id="19" w:name="_heading=h.h7fec3w0xe1o" w:colFirst="0" w:colLast="0"/>
      <w:bookmarkEnd w:id="19"/>
      <w:r w:rsidRPr="006476D5">
        <w:t>a) Competencia del Instituto</w:t>
      </w:r>
    </w:p>
    <w:p w14:paraId="436BC3F5" w14:textId="77777777" w:rsidR="001A52E5" w:rsidRPr="006476D5" w:rsidRDefault="00986F6A" w:rsidP="006476D5">
      <w:r w:rsidRPr="006476D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8496C1E" w14:textId="77777777" w:rsidR="001A52E5" w:rsidRPr="006476D5" w:rsidRDefault="001A52E5" w:rsidP="006476D5"/>
    <w:p w14:paraId="53C573C5" w14:textId="77777777" w:rsidR="001A52E5" w:rsidRPr="006476D5" w:rsidRDefault="00986F6A" w:rsidP="006476D5">
      <w:pPr>
        <w:pStyle w:val="Ttulo3"/>
      </w:pPr>
      <w:bookmarkStart w:id="20" w:name="_heading=h.vdiofvykt3qa" w:colFirst="0" w:colLast="0"/>
      <w:bookmarkEnd w:id="20"/>
      <w:r w:rsidRPr="006476D5">
        <w:lastRenderedPageBreak/>
        <w:t>b) Legitimidad de la parte recurrente</w:t>
      </w:r>
    </w:p>
    <w:p w14:paraId="58F7213C" w14:textId="77777777" w:rsidR="001A52E5" w:rsidRPr="006476D5" w:rsidRDefault="00986F6A" w:rsidP="006476D5">
      <w:r w:rsidRPr="006476D5">
        <w:t>El recurso de revisión fue interpuesto por parte legítima, ya que se presentó por la misma persona que formuló la solicitud de acceso a la Información Pública,</w:t>
      </w:r>
      <w:r w:rsidRPr="006476D5">
        <w:rPr>
          <w:b/>
        </w:rPr>
        <w:t xml:space="preserve"> </w:t>
      </w:r>
      <w:r w:rsidRPr="006476D5">
        <w:t>debido a que los datos de acceso</w:t>
      </w:r>
      <w:r w:rsidRPr="006476D5">
        <w:rPr>
          <w:b/>
        </w:rPr>
        <w:t xml:space="preserve"> SAIMEX</w:t>
      </w:r>
      <w:r w:rsidRPr="006476D5">
        <w:t xml:space="preserve"> son personales e irrepetibles.</w:t>
      </w:r>
    </w:p>
    <w:p w14:paraId="1BC2DE61" w14:textId="77777777" w:rsidR="001A52E5" w:rsidRPr="006476D5" w:rsidRDefault="001A52E5" w:rsidP="006476D5"/>
    <w:p w14:paraId="1DD9F214" w14:textId="77777777" w:rsidR="001A52E5" w:rsidRPr="006476D5" w:rsidRDefault="00986F6A" w:rsidP="006476D5">
      <w:pPr>
        <w:pStyle w:val="Ttulo3"/>
      </w:pPr>
      <w:bookmarkStart w:id="21" w:name="_heading=h.kud8iewdkksn" w:colFirst="0" w:colLast="0"/>
      <w:bookmarkEnd w:id="21"/>
      <w:r w:rsidRPr="006476D5">
        <w:t>c) Plazo para interponer el recurso</w:t>
      </w:r>
    </w:p>
    <w:p w14:paraId="4D289DA4" w14:textId="77777777" w:rsidR="001A52E5" w:rsidRPr="006476D5" w:rsidRDefault="00986F6A" w:rsidP="006476D5">
      <w:bookmarkStart w:id="22" w:name="_heading=h.2bn6wsx" w:colFirst="0" w:colLast="0"/>
      <w:bookmarkEnd w:id="22"/>
      <w:r w:rsidRPr="006476D5">
        <w:rPr>
          <w:b/>
        </w:rPr>
        <w:t>EL SUJETO OBLIGADO</w:t>
      </w:r>
      <w:r w:rsidRPr="006476D5">
        <w:t xml:space="preserve"> notificó la respuesta a la solicitud de acceso a la Información Pública el </w:t>
      </w:r>
      <w:r w:rsidRPr="006476D5">
        <w:rPr>
          <w:b/>
        </w:rPr>
        <w:t xml:space="preserve">cuatro de marzo de dos mil veinticinco </w:t>
      </w:r>
      <w:r w:rsidRPr="006476D5">
        <w:t xml:space="preserve">y el recurso que nos ocupa se interpuso el </w:t>
      </w:r>
      <w:r w:rsidRPr="006476D5">
        <w:rPr>
          <w:b/>
        </w:rPr>
        <w:t>cuatro de marzo de dos mil veinticinco</w:t>
      </w:r>
      <w:r w:rsidRPr="006476D5">
        <w:t>; por lo tanto, éste se encuentra dentro del margen temporal previsto en el artículo 178 de la Ley de Transparencia y Acceso a la Información Pública del Estado de México y Municipios.</w:t>
      </w:r>
    </w:p>
    <w:p w14:paraId="2A347525" w14:textId="77777777" w:rsidR="001A52E5" w:rsidRPr="006476D5" w:rsidRDefault="001A52E5" w:rsidP="006476D5">
      <w:bookmarkStart w:id="23" w:name="_heading=h.f0yppguaps73" w:colFirst="0" w:colLast="0"/>
      <w:bookmarkEnd w:id="23"/>
    </w:p>
    <w:p w14:paraId="397EDABE" w14:textId="77777777" w:rsidR="001A52E5" w:rsidRPr="006476D5" w:rsidRDefault="00986F6A" w:rsidP="006476D5">
      <w:r w:rsidRPr="006476D5">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 que </w:t>
      </w:r>
      <w:r w:rsidRPr="006476D5">
        <w:rPr>
          <w:b/>
        </w:rPr>
        <w:t>EL RECURRENTE</w:t>
      </w:r>
      <w:r w:rsidRPr="006476D5">
        <w:t xml:space="preserve"> tenga conocimiento de la respuesta impugnada; sin embargo, no prohíbe que el Recurso de Revisión, se presente el mismo día en que aquélla fue notificada.</w:t>
      </w:r>
    </w:p>
    <w:p w14:paraId="529A7DBE" w14:textId="77777777" w:rsidR="001A52E5" w:rsidRPr="006476D5" w:rsidRDefault="001A52E5" w:rsidP="006476D5">
      <w:pPr>
        <w:rPr>
          <w:sz w:val="24"/>
          <w:szCs w:val="24"/>
        </w:rPr>
      </w:pPr>
    </w:p>
    <w:p w14:paraId="0BD6D03F" w14:textId="77777777" w:rsidR="001A52E5" w:rsidRPr="006476D5" w:rsidRDefault="00986F6A" w:rsidP="006476D5">
      <w:r w:rsidRPr="006476D5">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4AFFBBC8" w14:textId="77777777" w:rsidR="001A52E5" w:rsidRPr="006476D5" w:rsidRDefault="001A52E5" w:rsidP="006476D5">
      <w:pPr>
        <w:tabs>
          <w:tab w:val="left" w:pos="851"/>
        </w:tabs>
        <w:spacing w:line="240" w:lineRule="auto"/>
        <w:ind w:left="851" w:right="901"/>
        <w:rPr>
          <w:sz w:val="24"/>
          <w:szCs w:val="24"/>
        </w:rPr>
      </w:pPr>
    </w:p>
    <w:p w14:paraId="4FD3B8A7" w14:textId="77777777" w:rsidR="001A52E5" w:rsidRPr="006476D5" w:rsidRDefault="00986F6A" w:rsidP="006476D5">
      <w:pPr>
        <w:pStyle w:val="Puesto"/>
        <w:ind w:firstLine="567"/>
      </w:pPr>
      <w:r w:rsidRPr="006476D5">
        <w:rPr>
          <w:b/>
        </w:rPr>
        <w:lastRenderedPageBreak/>
        <w:t xml:space="preserve">“RECURSO DE RECLAMACIÓN. SU INTERPOSICIÓN NO ES EXTEMPORÁNEA SI SE REALIZA ANTES DE QUE INICIE EL PLAZO PARA HACERLO. </w:t>
      </w:r>
      <w:r w:rsidRPr="006476D5">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85FC613" w14:textId="77777777" w:rsidR="001A52E5" w:rsidRPr="006476D5" w:rsidRDefault="001A52E5" w:rsidP="006476D5">
      <w:pPr>
        <w:tabs>
          <w:tab w:val="left" w:pos="851"/>
        </w:tabs>
        <w:spacing w:line="240" w:lineRule="auto"/>
        <w:ind w:left="851" w:right="901"/>
        <w:rPr>
          <w:sz w:val="24"/>
          <w:szCs w:val="24"/>
        </w:rPr>
      </w:pPr>
    </w:p>
    <w:p w14:paraId="5D3E6D7D" w14:textId="77777777" w:rsidR="001A52E5" w:rsidRPr="006476D5" w:rsidRDefault="00986F6A" w:rsidP="006476D5">
      <w:r w:rsidRPr="006476D5">
        <w:t>Por lo tanto, en aras de privilegiar el derecho de acceso a la información se entra al estudio del presente Recurso de Revisión, sin que la fecha en que se presentó afecte la Resolución.</w:t>
      </w:r>
    </w:p>
    <w:p w14:paraId="3EFB4328" w14:textId="77777777" w:rsidR="001A52E5" w:rsidRPr="006476D5" w:rsidRDefault="001A52E5" w:rsidP="006476D5">
      <w:bookmarkStart w:id="24" w:name="_heading=h.uko06592z2jp" w:colFirst="0" w:colLast="0"/>
      <w:bookmarkEnd w:id="24"/>
    </w:p>
    <w:p w14:paraId="484C1AD7" w14:textId="77777777" w:rsidR="001A52E5" w:rsidRPr="006476D5" w:rsidRDefault="00986F6A" w:rsidP="006476D5">
      <w:pPr>
        <w:pStyle w:val="Ttulo3"/>
      </w:pPr>
      <w:bookmarkStart w:id="25" w:name="_heading=h.w5ooc1v567oj" w:colFirst="0" w:colLast="0"/>
      <w:bookmarkEnd w:id="25"/>
      <w:r w:rsidRPr="006476D5">
        <w:t xml:space="preserve">d) Causal de procedencia </w:t>
      </w:r>
    </w:p>
    <w:p w14:paraId="2AAE849F" w14:textId="77777777" w:rsidR="001A52E5" w:rsidRPr="006476D5" w:rsidRDefault="00986F6A" w:rsidP="006476D5">
      <w:r w:rsidRPr="006476D5">
        <w:t>Resulta procedente la interposición del recurso de revisión, ya que se actualiza la causal de procedencia señalada en el artículo 179, fracción VI de la Ley de Transparencia y Acceso a la Información Pública del Estado de México y Municipios.</w:t>
      </w:r>
    </w:p>
    <w:p w14:paraId="04228B6D" w14:textId="77777777" w:rsidR="001A52E5" w:rsidRPr="006476D5" w:rsidRDefault="001A52E5" w:rsidP="006476D5">
      <w:pPr>
        <w:rPr>
          <w:b/>
        </w:rPr>
      </w:pPr>
    </w:p>
    <w:p w14:paraId="3C4B88E6" w14:textId="77777777" w:rsidR="001A52E5" w:rsidRPr="006476D5" w:rsidRDefault="00986F6A" w:rsidP="006476D5">
      <w:pPr>
        <w:pStyle w:val="Ttulo3"/>
      </w:pPr>
      <w:bookmarkStart w:id="26" w:name="_heading=h.xnzu73k6a8ah" w:colFirst="0" w:colLast="0"/>
      <w:bookmarkEnd w:id="26"/>
      <w:r w:rsidRPr="006476D5">
        <w:t>e) Requisitos formales para la interposición del recurso</w:t>
      </w:r>
    </w:p>
    <w:p w14:paraId="38CFB127" w14:textId="77777777" w:rsidR="001A52E5" w:rsidRPr="006476D5" w:rsidRDefault="00986F6A" w:rsidP="006476D5">
      <w:r w:rsidRPr="006476D5">
        <w:t xml:space="preserve">Es importante mencionar que, de la revisión del expediente electrónico del </w:t>
      </w:r>
      <w:r w:rsidRPr="006476D5">
        <w:rPr>
          <w:b/>
        </w:rPr>
        <w:t>SAIMEX</w:t>
      </w:r>
      <w:r w:rsidRPr="006476D5">
        <w:t xml:space="preserve">, se cumple con  los requisitos establecidos en el artículo 180 de la Ley de Transparencia y Acceso a la Información Pública del Estado de México y Municipios. </w:t>
      </w:r>
    </w:p>
    <w:p w14:paraId="12CBF798" w14:textId="77777777" w:rsidR="001A52E5" w:rsidRPr="006476D5" w:rsidRDefault="001A52E5" w:rsidP="006476D5"/>
    <w:p w14:paraId="35E62E34" w14:textId="77777777" w:rsidR="001A52E5" w:rsidRPr="006476D5" w:rsidRDefault="00986F6A" w:rsidP="006476D5">
      <w:pPr>
        <w:pStyle w:val="Ttulo2"/>
      </w:pPr>
      <w:bookmarkStart w:id="27" w:name="_heading=h.csbf2yeeshnm" w:colFirst="0" w:colLast="0"/>
      <w:bookmarkEnd w:id="27"/>
      <w:r w:rsidRPr="006476D5">
        <w:t>SEGUNDO. Estudio de Fondo</w:t>
      </w:r>
    </w:p>
    <w:p w14:paraId="5A874C44" w14:textId="77777777" w:rsidR="001A52E5" w:rsidRPr="006476D5" w:rsidRDefault="00986F6A" w:rsidP="006476D5">
      <w:pPr>
        <w:pStyle w:val="Ttulo3"/>
      </w:pPr>
      <w:bookmarkStart w:id="28" w:name="_heading=h.6ntaqkaym524" w:colFirst="0" w:colLast="0"/>
      <w:bookmarkEnd w:id="28"/>
      <w:r w:rsidRPr="006476D5">
        <w:t>a) Mandato de transparencia y responsabilidad del Sujeto Obligado</w:t>
      </w:r>
    </w:p>
    <w:p w14:paraId="1385C292" w14:textId="77777777" w:rsidR="001A52E5" w:rsidRPr="006476D5" w:rsidRDefault="00986F6A" w:rsidP="006476D5">
      <w:r w:rsidRPr="006476D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D8603CE" w14:textId="77777777" w:rsidR="001A52E5" w:rsidRPr="006476D5" w:rsidRDefault="001A52E5" w:rsidP="006476D5"/>
    <w:p w14:paraId="694CA21E" w14:textId="77777777" w:rsidR="001A52E5" w:rsidRPr="006476D5" w:rsidRDefault="00986F6A" w:rsidP="006476D5">
      <w:pPr>
        <w:pBdr>
          <w:top w:val="nil"/>
          <w:left w:val="nil"/>
          <w:bottom w:val="nil"/>
          <w:right w:val="nil"/>
          <w:between w:val="nil"/>
        </w:pBdr>
        <w:spacing w:line="240" w:lineRule="auto"/>
        <w:ind w:left="567" w:right="567" w:firstLine="567"/>
        <w:rPr>
          <w:b/>
          <w:i/>
        </w:rPr>
      </w:pPr>
      <w:r w:rsidRPr="006476D5">
        <w:rPr>
          <w:b/>
          <w:i/>
        </w:rPr>
        <w:t>Constitución Política de los Estados Unidos Mexicanos</w:t>
      </w:r>
    </w:p>
    <w:p w14:paraId="3BF44026" w14:textId="77777777" w:rsidR="001A52E5" w:rsidRPr="006476D5" w:rsidRDefault="00986F6A" w:rsidP="006476D5">
      <w:pPr>
        <w:pBdr>
          <w:top w:val="nil"/>
          <w:left w:val="nil"/>
          <w:bottom w:val="nil"/>
          <w:right w:val="nil"/>
          <w:between w:val="nil"/>
        </w:pBdr>
        <w:spacing w:line="240" w:lineRule="auto"/>
        <w:ind w:left="567" w:right="567" w:firstLine="567"/>
        <w:rPr>
          <w:b/>
          <w:i/>
        </w:rPr>
      </w:pPr>
      <w:r w:rsidRPr="006476D5">
        <w:rPr>
          <w:i/>
        </w:rPr>
        <w:t>“</w:t>
      </w:r>
      <w:r w:rsidRPr="006476D5">
        <w:rPr>
          <w:b/>
          <w:i/>
        </w:rPr>
        <w:t>Artículo 6.</w:t>
      </w:r>
    </w:p>
    <w:p w14:paraId="244DD72F"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w:t>
      </w:r>
    </w:p>
    <w:p w14:paraId="5944F6B2"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Para efectos de lo dispuesto en el presente artículo se observará lo siguiente:</w:t>
      </w:r>
    </w:p>
    <w:p w14:paraId="45B8F596"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A. Para el ejercicio del derecho de acceso a la información, la Federación y las entidades federativas, en el ámbito de sus respectivas competencias, se regirán por los siguientes principios y bases:</w:t>
      </w:r>
    </w:p>
    <w:p w14:paraId="63B25D0C"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 xml:space="preserve">I. </w:t>
      </w:r>
      <w:r w:rsidRPr="006476D5">
        <w:rPr>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CA8823B" w14:textId="77777777" w:rsidR="001A52E5" w:rsidRPr="006476D5" w:rsidRDefault="001A52E5" w:rsidP="006476D5">
      <w:pPr>
        <w:pBdr>
          <w:top w:val="nil"/>
          <w:left w:val="nil"/>
          <w:bottom w:val="nil"/>
          <w:right w:val="nil"/>
          <w:between w:val="nil"/>
        </w:pBdr>
        <w:spacing w:line="240" w:lineRule="auto"/>
        <w:ind w:left="567" w:right="567" w:firstLine="567"/>
        <w:rPr>
          <w:i/>
        </w:rPr>
      </w:pPr>
    </w:p>
    <w:p w14:paraId="7798E859" w14:textId="77777777" w:rsidR="001A52E5" w:rsidRPr="006476D5" w:rsidRDefault="00986F6A" w:rsidP="006476D5">
      <w:pPr>
        <w:pBdr>
          <w:top w:val="nil"/>
          <w:left w:val="nil"/>
          <w:bottom w:val="nil"/>
          <w:right w:val="nil"/>
          <w:between w:val="nil"/>
        </w:pBdr>
        <w:spacing w:line="240" w:lineRule="auto"/>
        <w:ind w:left="567" w:right="567" w:firstLine="567"/>
        <w:rPr>
          <w:b/>
          <w:i/>
        </w:rPr>
      </w:pPr>
      <w:r w:rsidRPr="006476D5">
        <w:rPr>
          <w:b/>
          <w:i/>
        </w:rPr>
        <w:t>Constitución Política del Estado Libre y Soberano de México</w:t>
      </w:r>
    </w:p>
    <w:p w14:paraId="40169325" w14:textId="77777777" w:rsidR="001A52E5" w:rsidRPr="006476D5" w:rsidRDefault="00986F6A" w:rsidP="006476D5">
      <w:pPr>
        <w:pBdr>
          <w:top w:val="nil"/>
          <w:left w:val="nil"/>
          <w:bottom w:val="nil"/>
          <w:right w:val="nil"/>
          <w:between w:val="nil"/>
        </w:pBdr>
        <w:spacing w:line="240" w:lineRule="auto"/>
        <w:ind w:left="567" w:right="567" w:firstLine="567"/>
        <w:rPr>
          <w:b/>
          <w:i/>
        </w:rPr>
      </w:pPr>
      <w:r w:rsidRPr="006476D5">
        <w:rPr>
          <w:i/>
        </w:rPr>
        <w:t>“</w:t>
      </w:r>
      <w:r w:rsidRPr="006476D5">
        <w:rPr>
          <w:b/>
          <w:i/>
        </w:rPr>
        <w:t xml:space="preserve">Artículo 5.- </w:t>
      </w:r>
    </w:p>
    <w:p w14:paraId="3D17D32D"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w:t>
      </w:r>
    </w:p>
    <w:p w14:paraId="560D2BEE"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El derecho a la información será garantizado por el Estado. La ley establecerá las previsiones que permitan asegurar la protección, el respeto y la difusión de este derecho.</w:t>
      </w:r>
    </w:p>
    <w:p w14:paraId="525B2758"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E014BAA"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Este derecho se regirá por los principios y bases siguientes:</w:t>
      </w:r>
    </w:p>
    <w:p w14:paraId="62C0736D" w14:textId="77777777" w:rsidR="001A52E5" w:rsidRPr="006476D5" w:rsidRDefault="00986F6A" w:rsidP="006476D5">
      <w:pPr>
        <w:pBdr>
          <w:top w:val="nil"/>
          <w:left w:val="nil"/>
          <w:bottom w:val="nil"/>
          <w:right w:val="nil"/>
          <w:between w:val="nil"/>
        </w:pBdr>
        <w:spacing w:line="240" w:lineRule="auto"/>
        <w:ind w:left="567" w:right="567" w:firstLine="567"/>
        <w:rPr>
          <w:i/>
        </w:rPr>
      </w:pPr>
      <w:r w:rsidRPr="006476D5">
        <w:rPr>
          <w:i/>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w:t>
      </w:r>
      <w:r w:rsidRPr="006476D5">
        <w:rPr>
          <w:i/>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0C18FF0F" w14:textId="77777777" w:rsidR="001A52E5" w:rsidRPr="006476D5" w:rsidRDefault="001A52E5" w:rsidP="006476D5">
      <w:pPr>
        <w:rPr>
          <w:b/>
          <w:i/>
        </w:rPr>
      </w:pPr>
    </w:p>
    <w:p w14:paraId="35FD897D" w14:textId="77777777" w:rsidR="001A52E5" w:rsidRPr="006476D5" w:rsidRDefault="00986F6A" w:rsidP="006476D5">
      <w:pPr>
        <w:rPr>
          <w:i/>
        </w:rPr>
      </w:pPr>
      <w:r w:rsidRPr="006476D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6476D5">
        <w:rPr>
          <w:i/>
        </w:rPr>
        <w:t>por los principios de simplicidad, rapidez, gratuidad del procedimiento, auxilio y orientación a los particulares.</w:t>
      </w:r>
    </w:p>
    <w:p w14:paraId="5A904C3C" w14:textId="77777777" w:rsidR="001A52E5" w:rsidRPr="006476D5" w:rsidRDefault="001A52E5" w:rsidP="006476D5">
      <w:pPr>
        <w:rPr>
          <w:i/>
        </w:rPr>
      </w:pPr>
    </w:p>
    <w:p w14:paraId="6CC9931A" w14:textId="77777777" w:rsidR="001A52E5" w:rsidRPr="006476D5" w:rsidRDefault="00986F6A" w:rsidP="006476D5">
      <w:pPr>
        <w:rPr>
          <w:i/>
        </w:rPr>
      </w:pPr>
      <w:r w:rsidRPr="006476D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C1D4F93" w14:textId="77777777" w:rsidR="001A52E5" w:rsidRPr="006476D5" w:rsidRDefault="001A52E5" w:rsidP="006476D5"/>
    <w:p w14:paraId="5B826915" w14:textId="77777777" w:rsidR="001A52E5" w:rsidRPr="006476D5" w:rsidRDefault="00986F6A" w:rsidP="006476D5">
      <w:r w:rsidRPr="006476D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5062AB0" w14:textId="77777777" w:rsidR="001A52E5" w:rsidRPr="006476D5" w:rsidRDefault="001A52E5" w:rsidP="006476D5"/>
    <w:p w14:paraId="48A07688" w14:textId="77777777" w:rsidR="001A52E5" w:rsidRPr="006476D5" w:rsidRDefault="00986F6A" w:rsidP="006476D5">
      <w:r w:rsidRPr="006476D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EF01C04" w14:textId="77777777" w:rsidR="001A52E5" w:rsidRPr="006476D5" w:rsidRDefault="001A52E5" w:rsidP="006476D5"/>
    <w:p w14:paraId="6C6FB2C5" w14:textId="77777777" w:rsidR="001A52E5" w:rsidRPr="006476D5" w:rsidRDefault="00986F6A" w:rsidP="006476D5">
      <w:r w:rsidRPr="006476D5">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42A304C" w14:textId="77777777" w:rsidR="001A52E5" w:rsidRPr="006476D5" w:rsidRDefault="001A52E5" w:rsidP="006476D5"/>
    <w:p w14:paraId="318B897C" w14:textId="77777777" w:rsidR="001A52E5" w:rsidRPr="006476D5" w:rsidRDefault="00986F6A" w:rsidP="006476D5">
      <w:bookmarkStart w:id="29" w:name="_heading=h.qsh70q" w:colFirst="0" w:colLast="0"/>
      <w:bookmarkEnd w:id="29"/>
      <w:r w:rsidRPr="006476D5">
        <w:t xml:space="preserve">Con base en lo anterior, se considera que </w:t>
      </w:r>
      <w:r w:rsidRPr="006476D5">
        <w:rPr>
          <w:b/>
        </w:rPr>
        <w:t>EL</w:t>
      </w:r>
      <w:r w:rsidRPr="006476D5">
        <w:t xml:space="preserve"> </w:t>
      </w:r>
      <w:r w:rsidRPr="006476D5">
        <w:rPr>
          <w:b/>
        </w:rPr>
        <w:t>SUJETO OBLIGADO</w:t>
      </w:r>
      <w:r w:rsidRPr="006476D5">
        <w:t xml:space="preserve"> se encontraba compelido a atender la solicitud de acceso a la información realizada por </w:t>
      </w:r>
      <w:r w:rsidRPr="006476D5">
        <w:rPr>
          <w:b/>
        </w:rPr>
        <w:t>LA PARTE RECURRENTE</w:t>
      </w:r>
      <w:r w:rsidRPr="006476D5">
        <w:t>.</w:t>
      </w:r>
    </w:p>
    <w:p w14:paraId="51262486" w14:textId="77777777" w:rsidR="001A52E5" w:rsidRPr="006476D5" w:rsidRDefault="001A52E5" w:rsidP="006476D5"/>
    <w:p w14:paraId="3F5417A6" w14:textId="77777777" w:rsidR="001A52E5" w:rsidRPr="006476D5" w:rsidRDefault="00986F6A" w:rsidP="006476D5">
      <w:pPr>
        <w:pStyle w:val="Ttulo3"/>
      </w:pPr>
      <w:bookmarkStart w:id="30" w:name="_heading=h.901ixehr57m3" w:colFirst="0" w:colLast="0"/>
      <w:bookmarkEnd w:id="30"/>
      <w:r w:rsidRPr="006476D5">
        <w:t>b)  Controversia a resolver</w:t>
      </w:r>
    </w:p>
    <w:p w14:paraId="181C1585" w14:textId="77777777" w:rsidR="001A52E5" w:rsidRPr="006476D5" w:rsidRDefault="00986F6A" w:rsidP="006476D5">
      <w:r w:rsidRPr="006476D5">
        <w:t xml:space="preserve">Con el objeto de ilustrar la controversia planteada, resulta conveniente precisar que, una vez realizado el estudio de las constancias que integran el expediente en que se actúa, se desprende que </w:t>
      </w:r>
      <w:r w:rsidRPr="006476D5">
        <w:rPr>
          <w:b/>
        </w:rPr>
        <w:t>LA PARTE RECURRENTE</w:t>
      </w:r>
      <w:r w:rsidRPr="006476D5">
        <w:t xml:space="preserve"> requirió la plantilla del departamento de recursos humanos. </w:t>
      </w:r>
    </w:p>
    <w:p w14:paraId="08725D78" w14:textId="77777777" w:rsidR="001A52E5" w:rsidRPr="006476D5" w:rsidRDefault="001A52E5" w:rsidP="006476D5"/>
    <w:p w14:paraId="26788961" w14:textId="77777777" w:rsidR="001A52E5" w:rsidRPr="006476D5" w:rsidRDefault="00986F6A" w:rsidP="006476D5">
      <w:r w:rsidRPr="006476D5">
        <w:t xml:space="preserve">En respuesta, </w:t>
      </w:r>
      <w:r w:rsidRPr="006476D5">
        <w:rPr>
          <w:b/>
        </w:rPr>
        <w:t>EL SUJETO OBLIGADO</w:t>
      </w:r>
      <w:r w:rsidRPr="006476D5">
        <w:t xml:space="preserve"> se pronunció por medio de la Dirección de Administración, quien remitió un listado de personal. Sobre lo cual, en un acto posterior </w:t>
      </w:r>
      <w:r w:rsidRPr="006476D5">
        <w:rPr>
          <w:b/>
        </w:rPr>
        <w:t>LA PARTE RECURRENTE</w:t>
      </w:r>
      <w:r w:rsidRPr="006476D5">
        <w:t xml:space="preserve"> se inconformó refiriendo que únicamente requirió la plantilla del área de recursos humanos. </w:t>
      </w:r>
    </w:p>
    <w:p w14:paraId="793B1E55" w14:textId="77777777" w:rsidR="001A52E5" w:rsidRPr="006476D5" w:rsidRDefault="001A52E5" w:rsidP="006476D5"/>
    <w:p w14:paraId="6C07A9BF" w14:textId="77777777" w:rsidR="001A52E5" w:rsidRPr="006476D5" w:rsidRDefault="00986F6A" w:rsidP="006476D5">
      <w:pPr>
        <w:rPr>
          <w:b/>
        </w:rPr>
      </w:pPr>
      <w:r w:rsidRPr="006476D5">
        <w:t xml:space="preserve">Por lo que el presente asunto buscará determinar si con la respuesta se puede colmar lo requerido en la solicitud de la ahora </w:t>
      </w:r>
      <w:r w:rsidRPr="006476D5">
        <w:rPr>
          <w:b/>
        </w:rPr>
        <w:t xml:space="preserve">PARTE RECURRENTE. </w:t>
      </w:r>
    </w:p>
    <w:p w14:paraId="7D0802CA" w14:textId="77777777" w:rsidR="001A52E5" w:rsidRPr="006476D5" w:rsidRDefault="001A52E5" w:rsidP="006476D5">
      <w:pPr>
        <w:rPr>
          <w:b/>
        </w:rPr>
      </w:pPr>
    </w:p>
    <w:p w14:paraId="375FE9B5" w14:textId="77777777" w:rsidR="001A52E5" w:rsidRPr="006476D5" w:rsidRDefault="00986F6A" w:rsidP="006476D5">
      <w:pPr>
        <w:pStyle w:val="Ttulo3"/>
      </w:pPr>
      <w:bookmarkStart w:id="31" w:name="_heading=h.16mukdtd3o5j" w:colFirst="0" w:colLast="0"/>
      <w:bookmarkEnd w:id="31"/>
      <w:r w:rsidRPr="006476D5">
        <w:lastRenderedPageBreak/>
        <w:t>c) Estudio de la controversia</w:t>
      </w:r>
    </w:p>
    <w:p w14:paraId="75959500" w14:textId="77777777" w:rsidR="001A52E5" w:rsidRPr="006476D5" w:rsidRDefault="00986F6A" w:rsidP="006476D5">
      <w:pPr>
        <w:tabs>
          <w:tab w:val="left" w:pos="4962"/>
        </w:tabs>
      </w:pPr>
      <w:r w:rsidRPr="006476D5">
        <w:t xml:space="preserve">Una vez determinada la controversia a resolver, respecto de la naturaleza de la información, es importante señalar que si bien en la Legislación del Estado de México no existe precepto alguno que conceptualice la plantilla de personal; la norma mexicana para la Igualdad laboral entre hombres y mujeres, número </w:t>
      </w:r>
      <w:r w:rsidRPr="006476D5">
        <w:rPr>
          <w:b/>
        </w:rPr>
        <w:t>NMX-R-025-SCFI-2009,</w:t>
      </w:r>
      <w:r w:rsidRPr="006476D5">
        <w:rPr>
          <w:b/>
          <w:vertAlign w:val="superscript"/>
        </w:rPr>
        <w:footnoteReference w:id="1"/>
      </w:r>
      <w:r w:rsidRPr="006476D5">
        <w:t xml:space="preserve"> la define de manera textual como </w:t>
      </w:r>
      <w:r w:rsidRPr="006476D5">
        <w:rPr>
          <w:b/>
          <w:u w:val="single"/>
        </w:rPr>
        <w:t>“</w:t>
      </w:r>
      <w:r w:rsidRPr="006476D5">
        <w:rPr>
          <w:b/>
          <w:i/>
          <w:u w:val="single"/>
        </w:rPr>
        <w:t xml:space="preserve">todas las personas que laboran en la organización, independientemente del tipo de contrato con el que cuentan, incluidas las subcontratadas.” </w:t>
      </w:r>
    </w:p>
    <w:p w14:paraId="06820F73" w14:textId="77777777" w:rsidR="001A52E5" w:rsidRPr="006476D5" w:rsidRDefault="001A52E5" w:rsidP="006476D5">
      <w:pPr>
        <w:tabs>
          <w:tab w:val="left" w:pos="4962"/>
        </w:tabs>
      </w:pPr>
    </w:p>
    <w:p w14:paraId="4697585D" w14:textId="77777777" w:rsidR="001A52E5" w:rsidRPr="006476D5" w:rsidRDefault="00986F6A" w:rsidP="006476D5">
      <w:pPr>
        <w:rPr>
          <w:i/>
        </w:rPr>
      </w:pPr>
      <w:r w:rsidRPr="006476D5">
        <w:t>Por su parte, el Manual del Procedimiento Operativo de Control de Plantilla de Personal del Instituto de Seguridad Social del Estado de México y Municipios (ISSEMYM) refiere que se trata del “</w:t>
      </w:r>
      <w:r w:rsidRPr="006476D5">
        <w:rPr>
          <w:i/>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 </w:t>
      </w:r>
    </w:p>
    <w:p w14:paraId="3725BA5B" w14:textId="77777777" w:rsidR="001A52E5" w:rsidRPr="006476D5" w:rsidRDefault="001A52E5" w:rsidP="006476D5">
      <w:pPr>
        <w:tabs>
          <w:tab w:val="left" w:pos="4962"/>
        </w:tabs>
      </w:pPr>
    </w:p>
    <w:p w14:paraId="3D6B1558" w14:textId="77777777" w:rsidR="001A52E5" w:rsidRPr="006476D5" w:rsidRDefault="00986F6A" w:rsidP="006476D5">
      <w:r w:rsidRPr="006476D5">
        <w:t xml:space="preserve">Asimismo, es de señalar que el artículo 98, fracción XV, de la Ley del Trabajo de los Servidores Públicos del Estado y Municipios dispone que las instituciones públicas, deberán elaborar un catálogo general de puestos y un tabulador anual de remuneraciones, tomando en consideración los objetivos de las instituciones públicas, las funciones, actividades y tareas de los servidores públicos, así como la cantidad, calidad y responsabilidad del trabajo. </w:t>
      </w:r>
    </w:p>
    <w:p w14:paraId="501E941B" w14:textId="77777777" w:rsidR="001A52E5" w:rsidRPr="006476D5" w:rsidRDefault="001A52E5" w:rsidP="006476D5"/>
    <w:p w14:paraId="4024A00F" w14:textId="77777777" w:rsidR="001A52E5" w:rsidRPr="006476D5" w:rsidRDefault="001A52E5" w:rsidP="006476D5">
      <w:pPr>
        <w:rPr>
          <w:i/>
        </w:rPr>
      </w:pPr>
    </w:p>
    <w:p w14:paraId="581D2787" w14:textId="77777777" w:rsidR="001A52E5" w:rsidRPr="006476D5" w:rsidRDefault="001A52E5" w:rsidP="006476D5">
      <w:pPr>
        <w:rPr>
          <w:i/>
        </w:rPr>
      </w:pPr>
    </w:p>
    <w:p w14:paraId="71825C34" w14:textId="77777777" w:rsidR="001A52E5" w:rsidRPr="006476D5" w:rsidRDefault="00986F6A" w:rsidP="006476D5">
      <w:r w:rsidRPr="006476D5">
        <w:lastRenderedPageBreak/>
        <w:t xml:space="preserve">Atento a ello, se advierte que en la respuesta </w:t>
      </w:r>
      <w:r w:rsidRPr="006476D5">
        <w:rPr>
          <w:b/>
        </w:rPr>
        <w:t>EL SUJETO OBLIGADO</w:t>
      </w:r>
      <w:r w:rsidRPr="006476D5">
        <w:t xml:space="preserve"> remitió un documento donde consta  el nombre  y apellido de los servidores públicos, como se observa a continuación: </w:t>
      </w:r>
    </w:p>
    <w:p w14:paraId="311821E4" w14:textId="77777777" w:rsidR="001A52E5" w:rsidRPr="006476D5" w:rsidRDefault="00986F6A" w:rsidP="006476D5">
      <w:pPr>
        <w:jc w:val="center"/>
      </w:pPr>
      <w:r w:rsidRPr="006476D5">
        <w:rPr>
          <w:noProof/>
          <w:lang w:eastAsia="es-MX"/>
        </w:rPr>
        <w:drawing>
          <wp:inline distT="114300" distB="114300" distL="114300" distR="114300" wp14:anchorId="7EF5D765" wp14:editId="38554443">
            <wp:extent cx="5381625" cy="5305425"/>
            <wp:effectExtent l="0" t="0" r="0" b="0"/>
            <wp:docPr id="13435286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81625" cy="5305425"/>
                    </a:xfrm>
                    <a:prstGeom prst="rect">
                      <a:avLst/>
                    </a:prstGeom>
                    <a:ln/>
                  </pic:spPr>
                </pic:pic>
              </a:graphicData>
            </a:graphic>
          </wp:inline>
        </w:drawing>
      </w:r>
    </w:p>
    <w:p w14:paraId="05D8E9FE" w14:textId="77777777" w:rsidR="001A52E5" w:rsidRPr="006476D5" w:rsidRDefault="00986F6A" w:rsidP="006476D5">
      <w:r w:rsidRPr="006476D5">
        <w:t xml:space="preserve">De la imagen anterior se puede apreciar que la tabla remitida contempla los nombres de los servidores públicos, pero no así el área a la cual pertenecen, por lo que no se puede tener certeza de a qué área corresponde la plantilla, o en su caso al área a la cual pertenece cada uno </w:t>
      </w:r>
      <w:r w:rsidRPr="006476D5">
        <w:lastRenderedPageBreak/>
        <w:t xml:space="preserve">de los servidores públicos en ella listados. Lo que, además, representa el motivo de inconformidad el particular. </w:t>
      </w:r>
    </w:p>
    <w:p w14:paraId="6D9577A8" w14:textId="77777777" w:rsidR="001A52E5" w:rsidRPr="006476D5" w:rsidRDefault="001A52E5" w:rsidP="006476D5"/>
    <w:p w14:paraId="1A1C65B0" w14:textId="77777777" w:rsidR="001A52E5" w:rsidRPr="006476D5" w:rsidRDefault="00986F6A" w:rsidP="006476D5">
      <w:bookmarkStart w:id="32" w:name="_heading=h.l0u7cz1j7snp" w:colFirst="0" w:colLast="0"/>
      <w:bookmarkEnd w:id="32"/>
      <w:r w:rsidRPr="006476D5">
        <w:t xml:space="preserve">Atento a ello, se considera pertinente traer a colación la Ley que Crea el Organismo Público Descentralizado de Carácter Estatal Denominado Universidad Tecnológica de Nezahualcóyotl, la cual en su artículo primero establece que la Universidad será un Organismo Público Descentralizado del Gobierno del Estado de México. </w:t>
      </w:r>
    </w:p>
    <w:p w14:paraId="4E75DBF1" w14:textId="77777777" w:rsidR="001A52E5" w:rsidRPr="006476D5" w:rsidRDefault="001A52E5" w:rsidP="006476D5"/>
    <w:p w14:paraId="1A837F93" w14:textId="77777777" w:rsidR="001A52E5" w:rsidRPr="006476D5" w:rsidRDefault="00986F6A" w:rsidP="006476D5">
      <w:r w:rsidRPr="006476D5">
        <w:t xml:space="preserve">En ese tenor, la Ley de Fiscalización Superior del Estado de México contempla, dentro de su artículo 4, fracción IV como sujeto de fiscalización a los Organismos auxiliares, como se observa a continuación del precepto en comento: </w:t>
      </w:r>
    </w:p>
    <w:p w14:paraId="41C1E7C5" w14:textId="77777777" w:rsidR="001A52E5" w:rsidRPr="006476D5" w:rsidRDefault="001A52E5" w:rsidP="006476D5"/>
    <w:p w14:paraId="46E54157" w14:textId="77777777" w:rsidR="001A52E5" w:rsidRPr="006476D5" w:rsidRDefault="00986F6A" w:rsidP="006476D5">
      <w:pPr>
        <w:pStyle w:val="Puesto"/>
        <w:ind w:firstLine="567"/>
      </w:pPr>
      <w:r w:rsidRPr="006476D5">
        <w:rPr>
          <w:b/>
        </w:rPr>
        <w:t>Artículo 4.- Son sujetos de fiscalización</w:t>
      </w:r>
      <w:r w:rsidRPr="006476D5">
        <w:t xml:space="preserve">: </w:t>
      </w:r>
    </w:p>
    <w:p w14:paraId="6408791A" w14:textId="77777777" w:rsidR="001A52E5" w:rsidRPr="006476D5" w:rsidRDefault="00986F6A" w:rsidP="006476D5">
      <w:pPr>
        <w:pStyle w:val="Puesto"/>
        <w:ind w:firstLine="567"/>
      </w:pPr>
      <w:r w:rsidRPr="006476D5">
        <w:t xml:space="preserve">I. Los Poderes Públicos del Estado; </w:t>
      </w:r>
    </w:p>
    <w:p w14:paraId="341AB3C3" w14:textId="77777777" w:rsidR="001A52E5" w:rsidRPr="006476D5" w:rsidRDefault="00986F6A" w:rsidP="006476D5">
      <w:pPr>
        <w:pStyle w:val="Puesto"/>
        <w:ind w:firstLine="567"/>
      </w:pPr>
      <w:r w:rsidRPr="006476D5">
        <w:t xml:space="preserve">II. Los municipios del Estado de México; </w:t>
      </w:r>
    </w:p>
    <w:p w14:paraId="7F6F0718" w14:textId="77777777" w:rsidR="001A52E5" w:rsidRPr="006476D5" w:rsidRDefault="00986F6A" w:rsidP="006476D5">
      <w:pPr>
        <w:pStyle w:val="Puesto"/>
        <w:ind w:firstLine="567"/>
      </w:pPr>
      <w:r w:rsidRPr="006476D5">
        <w:t xml:space="preserve">III. Los organismos autónomos; </w:t>
      </w:r>
    </w:p>
    <w:p w14:paraId="617019F4" w14:textId="77777777" w:rsidR="001A52E5" w:rsidRPr="006476D5" w:rsidRDefault="00986F6A" w:rsidP="006476D5">
      <w:pPr>
        <w:pStyle w:val="Puesto"/>
        <w:ind w:firstLine="567"/>
      </w:pPr>
      <w:r w:rsidRPr="006476D5">
        <w:t xml:space="preserve">IV. Los organismos auxiliares; </w:t>
      </w:r>
    </w:p>
    <w:p w14:paraId="24A097C2" w14:textId="77777777" w:rsidR="001A52E5" w:rsidRPr="006476D5" w:rsidRDefault="00986F6A" w:rsidP="006476D5">
      <w:pPr>
        <w:pStyle w:val="Puesto"/>
        <w:ind w:firstLine="567"/>
      </w:pPr>
      <w:r w:rsidRPr="006476D5">
        <w:t>V. Los fideicomisos previstos en el artículo 3 fracción XVII del Código Financiero del Estado de México y Municipios, y aquellos que manejen recursos del Estado, Municipios, o en su caso provenientes de la federación;</w:t>
      </w:r>
    </w:p>
    <w:p w14:paraId="3FEAB974" w14:textId="77777777" w:rsidR="001A52E5" w:rsidRPr="006476D5" w:rsidRDefault="00986F6A" w:rsidP="006476D5">
      <w:pPr>
        <w:pStyle w:val="Puesto"/>
        <w:ind w:firstLine="567"/>
      </w:pPr>
      <w:r w:rsidRPr="006476D5">
        <w:t>VI.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p>
    <w:p w14:paraId="2AD97806" w14:textId="77777777" w:rsidR="001A52E5" w:rsidRPr="006476D5" w:rsidRDefault="001A52E5" w:rsidP="006476D5"/>
    <w:p w14:paraId="73DE52B2" w14:textId="77777777" w:rsidR="001A52E5" w:rsidRPr="006476D5" w:rsidRDefault="00986F6A" w:rsidP="006476D5">
      <w:r w:rsidRPr="006476D5">
        <w:t>Así, los sujetos auxiliares tendrán la obligación de remitir informes al Órgano Superior de Fiscalización del Estado de México, para lo cual deberán generar formatos específicos como lo es  la nómina detallada, donde se debe incluir, entre otra información, el nombre y área de adscripción de los servidores públicos. Se inserta imagen para mayor referencia:</w:t>
      </w:r>
    </w:p>
    <w:p w14:paraId="331772AC" w14:textId="77777777" w:rsidR="001A52E5" w:rsidRPr="006476D5" w:rsidRDefault="00986F6A" w:rsidP="006476D5">
      <w:r w:rsidRPr="006476D5">
        <w:lastRenderedPageBreak/>
        <w:t xml:space="preserve"> </w:t>
      </w:r>
      <w:r w:rsidRPr="006476D5">
        <w:rPr>
          <w:noProof/>
          <w:lang w:eastAsia="es-MX"/>
        </w:rPr>
        <w:drawing>
          <wp:inline distT="114300" distB="114300" distL="114300" distR="114300" wp14:anchorId="3A28A0DF" wp14:editId="43B05F62">
            <wp:extent cx="5742940" cy="3187700"/>
            <wp:effectExtent l="0" t="0" r="0" b="0"/>
            <wp:docPr id="13435286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42940" cy="3187700"/>
                    </a:xfrm>
                    <a:prstGeom prst="rect">
                      <a:avLst/>
                    </a:prstGeom>
                    <a:ln/>
                  </pic:spPr>
                </pic:pic>
              </a:graphicData>
            </a:graphic>
          </wp:inline>
        </w:drawing>
      </w:r>
    </w:p>
    <w:p w14:paraId="2596FBA4" w14:textId="77777777" w:rsidR="001A52E5" w:rsidRPr="006476D5" w:rsidRDefault="001A52E5" w:rsidP="006476D5"/>
    <w:p w14:paraId="2C407D2C" w14:textId="77777777" w:rsidR="001A52E5" w:rsidRPr="006476D5" w:rsidRDefault="00986F6A" w:rsidP="006476D5">
      <w:r w:rsidRPr="006476D5">
        <w:t xml:space="preserve">De forma que al contar con el documento donde se encuentre establecida el área a la cual pertenecen los servidores públicos, el particular podrá identificar aquellos que sean pertenecientes al departamento requerido sin que el </w:t>
      </w:r>
      <w:r w:rsidRPr="006476D5">
        <w:rPr>
          <w:b/>
        </w:rPr>
        <w:t>SUJETO OBLIGADO</w:t>
      </w:r>
      <w:r w:rsidRPr="006476D5">
        <w:t xml:space="preserve"> deba llevar a cabo un procesamiento de información en atención al artículo 12 de la Ley de Transparencia y Acceso a la Información Pública del Estado de México y Municipios, que a la letra refiere lo siguiente: </w:t>
      </w:r>
    </w:p>
    <w:p w14:paraId="410EDC79" w14:textId="77777777" w:rsidR="001A52E5" w:rsidRPr="006476D5" w:rsidRDefault="00986F6A" w:rsidP="006476D5">
      <w:pPr>
        <w:pStyle w:val="Puesto"/>
        <w:ind w:left="850" w:right="824"/>
      </w:pPr>
      <w:r w:rsidRPr="006476D5">
        <w:t>“</w:t>
      </w:r>
      <w:r w:rsidRPr="006476D5">
        <w:rPr>
          <w:b/>
        </w:rPr>
        <w:t>Artículo 12.-</w:t>
      </w:r>
      <w:r w:rsidRPr="006476D5">
        <w:t xml:space="preserve"> Quienes generen, recopilen, administren, manejen, procesen, archiven o conserven información pública serán responsables de la misma en los términos de las disposiciones jurídicas aplicables. </w:t>
      </w:r>
    </w:p>
    <w:p w14:paraId="722CDF7A" w14:textId="77777777" w:rsidR="001A52E5" w:rsidRPr="006476D5" w:rsidRDefault="001A52E5" w:rsidP="006476D5">
      <w:pPr>
        <w:pStyle w:val="Puesto"/>
        <w:ind w:left="850" w:right="824"/>
      </w:pPr>
      <w:bookmarkStart w:id="33" w:name="_heading=h.e9x9me6gb9k2" w:colFirst="0" w:colLast="0"/>
      <w:bookmarkEnd w:id="33"/>
    </w:p>
    <w:p w14:paraId="3E863D23" w14:textId="77777777" w:rsidR="001A52E5" w:rsidRPr="006476D5" w:rsidRDefault="00986F6A" w:rsidP="006476D5">
      <w:pPr>
        <w:pStyle w:val="Puesto"/>
        <w:ind w:left="850" w:right="824"/>
      </w:pPr>
      <w:bookmarkStart w:id="34" w:name="_heading=h.pgv1z1vxutfd" w:colFirst="0" w:colLast="0"/>
      <w:bookmarkEnd w:id="34"/>
      <w:r w:rsidRPr="006476D5">
        <w:rPr>
          <w:b/>
        </w:rPr>
        <w:t>Los sujetos obligados sólo proporcionarán la información pública que se les requiera y que obre en sus archivos y en el estado en que ésta se encuentre</w:t>
      </w:r>
      <w:r w:rsidRPr="006476D5">
        <w:t xml:space="preserve">. </w:t>
      </w:r>
      <w:r w:rsidRPr="006476D5">
        <w:rPr>
          <w:b/>
        </w:rPr>
        <w:t xml:space="preserve">La obligación de proporcionar información no comprende el procesamiento de la misma, ni el presentarla conforme al interés del solicitante; no estarán </w:t>
      </w:r>
      <w:r w:rsidRPr="006476D5">
        <w:rPr>
          <w:b/>
        </w:rPr>
        <w:lastRenderedPageBreak/>
        <w:t xml:space="preserve">obligados a generarla, resumirla, efectuar cálculos o practicar investigaciones.” </w:t>
      </w:r>
    </w:p>
    <w:p w14:paraId="3EE43E42" w14:textId="77777777" w:rsidR="001A52E5" w:rsidRPr="006476D5" w:rsidRDefault="001A52E5" w:rsidP="006476D5"/>
    <w:p w14:paraId="55353BF2" w14:textId="77777777" w:rsidR="001A52E5" w:rsidRPr="006476D5" w:rsidRDefault="00986F6A" w:rsidP="006476D5">
      <w:r w:rsidRPr="006476D5">
        <w:t xml:space="preserve">Siendo importante mencionar que el derecho de acceso a la información se verifica mediante la entrega de un soporte documental. Así que el ente recurrido podrá hacer entrega de cualquier documento donde conste en lo solicitado, sin que se le ordene alguno de forma específica, así no resulta, necesario que lleve a cabo un documento a modo o haga el procesamiento de información. </w:t>
      </w:r>
    </w:p>
    <w:p w14:paraId="7649A82D" w14:textId="77777777" w:rsidR="001A52E5" w:rsidRPr="006476D5" w:rsidRDefault="001A52E5" w:rsidP="006476D5">
      <w:pPr>
        <w:ind w:right="-28"/>
      </w:pPr>
    </w:p>
    <w:p w14:paraId="02C5AA75" w14:textId="77777777" w:rsidR="001A52E5" w:rsidRPr="006476D5" w:rsidRDefault="00986F6A" w:rsidP="006476D5">
      <w:pPr>
        <w:tabs>
          <w:tab w:val="left" w:pos="4962"/>
        </w:tabs>
      </w:pPr>
      <w:r w:rsidRPr="006476D5">
        <w:t xml:space="preserve">Por lo que, al existir fuente obligacional que faculta al </w:t>
      </w:r>
      <w:r w:rsidRPr="006476D5">
        <w:rPr>
          <w:b/>
        </w:rPr>
        <w:t>SUJETO OBLIGADO</w:t>
      </w:r>
      <w:r w:rsidRPr="006476D5">
        <w:t xml:space="preserve"> a generar la información solicitada, deberá hacer entrega de la misma, de ser procedente en versión pública. </w:t>
      </w:r>
    </w:p>
    <w:p w14:paraId="7428F164" w14:textId="77777777" w:rsidR="001A52E5" w:rsidRPr="006476D5" w:rsidRDefault="001A52E5" w:rsidP="006476D5">
      <w:pPr>
        <w:tabs>
          <w:tab w:val="left" w:pos="4962"/>
        </w:tabs>
      </w:pPr>
    </w:p>
    <w:p w14:paraId="61C16D95" w14:textId="77777777" w:rsidR="001A52E5" w:rsidRPr="006476D5" w:rsidRDefault="00986F6A" w:rsidP="006476D5">
      <w:pPr>
        <w:pStyle w:val="Ttulo3"/>
      </w:pPr>
      <w:bookmarkStart w:id="35" w:name="_heading=h.sv8ca6v8dwtb" w:colFirst="0" w:colLast="0"/>
      <w:bookmarkEnd w:id="35"/>
      <w:r w:rsidRPr="006476D5">
        <w:t>d) Versión pública</w:t>
      </w:r>
    </w:p>
    <w:p w14:paraId="5495DF65" w14:textId="77777777" w:rsidR="001A52E5" w:rsidRPr="006476D5" w:rsidRDefault="00986F6A" w:rsidP="006476D5">
      <w:r w:rsidRPr="006476D5">
        <w:t xml:space="preserve">Para el caso de que el o los documentos de los cuales se ordena su entrega contengan datos personales susceptibles de ser testados, deberán ser entregados en </w:t>
      </w:r>
      <w:r w:rsidRPr="006476D5">
        <w:rPr>
          <w:b/>
        </w:rPr>
        <w:t>versión pública</w:t>
      </w:r>
      <w:r w:rsidRPr="006476D5">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4A7FF9C" w14:textId="77777777" w:rsidR="001A52E5" w:rsidRPr="006476D5" w:rsidRDefault="001A52E5" w:rsidP="006476D5"/>
    <w:p w14:paraId="0C05B5F4" w14:textId="77777777" w:rsidR="001A52E5" w:rsidRPr="006476D5" w:rsidRDefault="00986F6A" w:rsidP="006476D5">
      <w:r w:rsidRPr="006476D5">
        <w:lastRenderedPageBreak/>
        <w:t>A este respecto, los artículos 3, fracciones IX, XX, XXI y XLV; 51 y 52 de la Ley de Transparencia y Acceso a la Información Pública del Estado de México y Municipios establecen:</w:t>
      </w:r>
    </w:p>
    <w:p w14:paraId="5222008C" w14:textId="77777777" w:rsidR="001A52E5" w:rsidRPr="006476D5" w:rsidRDefault="001A52E5" w:rsidP="006476D5">
      <w:pPr>
        <w:tabs>
          <w:tab w:val="left" w:pos="4962"/>
        </w:tabs>
      </w:pPr>
    </w:p>
    <w:p w14:paraId="7D7BC975" w14:textId="77777777" w:rsidR="001A52E5" w:rsidRPr="006476D5" w:rsidRDefault="00986F6A" w:rsidP="006476D5">
      <w:pPr>
        <w:spacing w:line="240" w:lineRule="auto"/>
        <w:ind w:left="567" w:right="567" w:firstLine="567"/>
        <w:rPr>
          <w:i/>
        </w:rPr>
      </w:pPr>
      <w:r w:rsidRPr="006476D5">
        <w:rPr>
          <w:b/>
          <w:i/>
        </w:rPr>
        <w:t xml:space="preserve">“Artículo 3. </w:t>
      </w:r>
      <w:r w:rsidRPr="006476D5">
        <w:rPr>
          <w:i/>
        </w:rPr>
        <w:t xml:space="preserve">Para los efectos de la presente Ley se entenderá por: </w:t>
      </w:r>
    </w:p>
    <w:p w14:paraId="10EC7C1A" w14:textId="77777777" w:rsidR="001A52E5" w:rsidRPr="006476D5" w:rsidRDefault="00986F6A" w:rsidP="006476D5">
      <w:pPr>
        <w:spacing w:line="240" w:lineRule="auto"/>
        <w:ind w:left="567" w:right="567" w:firstLine="567"/>
        <w:rPr>
          <w:i/>
        </w:rPr>
      </w:pPr>
      <w:r w:rsidRPr="006476D5">
        <w:rPr>
          <w:b/>
          <w:i/>
        </w:rPr>
        <w:t>IX.</w:t>
      </w:r>
      <w:r w:rsidRPr="006476D5">
        <w:rPr>
          <w:i/>
        </w:rPr>
        <w:t xml:space="preserve"> </w:t>
      </w:r>
      <w:r w:rsidRPr="006476D5">
        <w:rPr>
          <w:b/>
          <w:i/>
        </w:rPr>
        <w:t xml:space="preserve">Datos personales: </w:t>
      </w:r>
      <w:r w:rsidRPr="006476D5">
        <w:rPr>
          <w:i/>
        </w:rPr>
        <w:t xml:space="preserve">La información concerniente a una persona, identificada o identificable según lo dispuesto por la Ley de Protección de Datos Personales del Estado de México; </w:t>
      </w:r>
    </w:p>
    <w:p w14:paraId="5B61A8D1" w14:textId="77777777" w:rsidR="001A52E5" w:rsidRPr="006476D5" w:rsidRDefault="001A52E5" w:rsidP="006476D5"/>
    <w:p w14:paraId="4C963CAE" w14:textId="77777777" w:rsidR="001A52E5" w:rsidRPr="006476D5" w:rsidRDefault="00986F6A" w:rsidP="006476D5">
      <w:pPr>
        <w:spacing w:line="240" w:lineRule="auto"/>
        <w:ind w:left="567" w:right="567" w:firstLine="567"/>
        <w:rPr>
          <w:i/>
        </w:rPr>
      </w:pPr>
      <w:r w:rsidRPr="006476D5">
        <w:rPr>
          <w:b/>
          <w:i/>
        </w:rPr>
        <w:t>XX.</w:t>
      </w:r>
      <w:r w:rsidRPr="006476D5">
        <w:rPr>
          <w:i/>
        </w:rPr>
        <w:t xml:space="preserve"> </w:t>
      </w:r>
      <w:r w:rsidRPr="006476D5">
        <w:rPr>
          <w:b/>
          <w:i/>
        </w:rPr>
        <w:t>Información clasificada:</w:t>
      </w:r>
      <w:r w:rsidRPr="006476D5">
        <w:rPr>
          <w:i/>
        </w:rPr>
        <w:t xml:space="preserve"> Aquella considerada por la presente Ley como reservada o confidencial; </w:t>
      </w:r>
    </w:p>
    <w:p w14:paraId="3AA2C87C" w14:textId="77777777" w:rsidR="001A52E5" w:rsidRPr="006476D5" w:rsidRDefault="001A52E5" w:rsidP="006476D5"/>
    <w:p w14:paraId="11F21EC2" w14:textId="77777777" w:rsidR="001A52E5" w:rsidRPr="006476D5" w:rsidRDefault="00986F6A" w:rsidP="006476D5">
      <w:pPr>
        <w:spacing w:line="240" w:lineRule="auto"/>
        <w:ind w:left="567" w:right="567" w:firstLine="567"/>
        <w:rPr>
          <w:i/>
        </w:rPr>
      </w:pPr>
      <w:r w:rsidRPr="006476D5">
        <w:rPr>
          <w:b/>
          <w:i/>
        </w:rPr>
        <w:t>XXI.</w:t>
      </w:r>
      <w:r w:rsidRPr="006476D5">
        <w:rPr>
          <w:i/>
        </w:rPr>
        <w:t xml:space="preserve"> </w:t>
      </w:r>
      <w:r w:rsidRPr="006476D5">
        <w:rPr>
          <w:b/>
          <w:i/>
        </w:rPr>
        <w:t>Información confidencial</w:t>
      </w:r>
      <w:r w:rsidRPr="006476D5">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092A690" w14:textId="77777777" w:rsidR="001A52E5" w:rsidRPr="006476D5" w:rsidRDefault="001A52E5" w:rsidP="006476D5"/>
    <w:p w14:paraId="650C8A9F" w14:textId="77777777" w:rsidR="001A52E5" w:rsidRPr="006476D5" w:rsidRDefault="00986F6A" w:rsidP="006476D5">
      <w:pPr>
        <w:spacing w:line="240" w:lineRule="auto"/>
        <w:ind w:left="567" w:right="567" w:firstLine="567"/>
        <w:rPr>
          <w:i/>
        </w:rPr>
      </w:pPr>
      <w:r w:rsidRPr="006476D5">
        <w:rPr>
          <w:b/>
          <w:i/>
        </w:rPr>
        <w:t>XLV. Versión pública:</w:t>
      </w:r>
      <w:r w:rsidRPr="006476D5">
        <w:rPr>
          <w:i/>
        </w:rPr>
        <w:t xml:space="preserve"> Documento en el que se elimine, suprime o borra la información clasificada como reservada o confidencial para permitir su acceso. </w:t>
      </w:r>
    </w:p>
    <w:p w14:paraId="2D2EEB53" w14:textId="77777777" w:rsidR="001A52E5" w:rsidRPr="006476D5" w:rsidRDefault="001A52E5" w:rsidP="006476D5"/>
    <w:p w14:paraId="7C06A8C3" w14:textId="77777777" w:rsidR="001A52E5" w:rsidRPr="006476D5" w:rsidRDefault="00986F6A" w:rsidP="006476D5">
      <w:pPr>
        <w:spacing w:line="240" w:lineRule="auto"/>
        <w:ind w:left="567" w:right="567" w:firstLine="567"/>
        <w:rPr>
          <w:i/>
        </w:rPr>
      </w:pPr>
      <w:r w:rsidRPr="006476D5">
        <w:rPr>
          <w:b/>
          <w:i/>
        </w:rPr>
        <w:t>Artículo 51.</w:t>
      </w:r>
      <w:r w:rsidRPr="006476D5">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476D5">
        <w:rPr>
          <w:b/>
          <w:i/>
        </w:rPr>
        <w:t xml:space="preserve">y tendrá la responsabilidad de verificar en cada caso que la misma no sea confidencial o reservada. </w:t>
      </w:r>
      <w:r w:rsidRPr="006476D5">
        <w:rPr>
          <w:i/>
        </w:rPr>
        <w:t>Dicha Unidad contará con las facultades internas necesarias para gestionar la atención a las solicitudes de información en los términos de la Ley General y la presente Ley.</w:t>
      </w:r>
    </w:p>
    <w:p w14:paraId="26854A56" w14:textId="77777777" w:rsidR="001A52E5" w:rsidRPr="006476D5" w:rsidRDefault="001A52E5" w:rsidP="006476D5"/>
    <w:p w14:paraId="628184B4" w14:textId="77777777" w:rsidR="001A52E5" w:rsidRPr="006476D5" w:rsidRDefault="00986F6A" w:rsidP="006476D5">
      <w:pPr>
        <w:spacing w:line="240" w:lineRule="auto"/>
        <w:ind w:left="567" w:right="567" w:firstLine="567"/>
        <w:rPr>
          <w:i/>
        </w:rPr>
      </w:pPr>
      <w:r w:rsidRPr="006476D5">
        <w:rPr>
          <w:b/>
          <w:i/>
        </w:rPr>
        <w:t>Artículo 52.</w:t>
      </w:r>
      <w:r w:rsidRPr="006476D5">
        <w:rPr>
          <w:i/>
        </w:rPr>
        <w:t xml:space="preserve"> Las solicitudes de acceso a la información y las respuestas que se les dé, incluyendo, en su caso, </w:t>
      </w:r>
      <w:r w:rsidRPr="006476D5">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6476D5">
        <w:rPr>
          <w:i/>
        </w:rPr>
        <w:t xml:space="preserve">, siempre y cuando la resolución de referencia se someta a un proceso de disociación, es decir, no haga identificable al titular de tales datos personales.” </w:t>
      </w:r>
      <w:r w:rsidRPr="006476D5">
        <w:t>(Énfasis añadido)</w:t>
      </w:r>
    </w:p>
    <w:p w14:paraId="1DCCE7D3" w14:textId="77777777" w:rsidR="001A52E5" w:rsidRPr="006476D5" w:rsidRDefault="001A52E5" w:rsidP="006476D5"/>
    <w:p w14:paraId="58E65BD9" w14:textId="77777777" w:rsidR="001A52E5" w:rsidRPr="006476D5" w:rsidRDefault="00986F6A" w:rsidP="006476D5">
      <w:r w:rsidRPr="006476D5">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185E77A4" w14:textId="77777777" w:rsidR="001A52E5" w:rsidRPr="006476D5" w:rsidRDefault="001A52E5" w:rsidP="006476D5"/>
    <w:p w14:paraId="7B207FF4" w14:textId="77777777" w:rsidR="001A52E5" w:rsidRPr="006476D5" w:rsidRDefault="00986F6A" w:rsidP="006476D5">
      <w:pPr>
        <w:spacing w:line="240" w:lineRule="auto"/>
        <w:ind w:left="567" w:right="567" w:firstLine="567"/>
        <w:rPr>
          <w:i/>
        </w:rPr>
      </w:pPr>
      <w:r w:rsidRPr="006476D5">
        <w:rPr>
          <w:b/>
          <w:i/>
        </w:rPr>
        <w:t>“Artículo 22.</w:t>
      </w:r>
      <w:r w:rsidRPr="006476D5">
        <w:rPr>
          <w:i/>
        </w:rPr>
        <w:t xml:space="preserve"> Todo tratamiento de datos personales que efectúe el responsable deberá estar justificado por finalidades concretas, lícitas, explícitas y legítimas, relacionadas con las atribuciones que la normatividad aplicable les confiera. </w:t>
      </w:r>
    </w:p>
    <w:p w14:paraId="28D9A861" w14:textId="77777777" w:rsidR="001A52E5" w:rsidRPr="006476D5" w:rsidRDefault="001A52E5" w:rsidP="006476D5"/>
    <w:p w14:paraId="411D6B14" w14:textId="77777777" w:rsidR="001A52E5" w:rsidRPr="006476D5" w:rsidRDefault="00986F6A" w:rsidP="006476D5">
      <w:pPr>
        <w:spacing w:line="240" w:lineRule="auto"/>
        <w:ind w:left="567" w:right="567" w:firstLine="567"/>
        <w:rPr>
          <w:i/>
        </w:rPr>
      </w:pPr>
      <w:r w:rsidRPr="006476D5">
        <w:rPr>
          <w:b/>
          <w:i/>
        </w:rPr>
        <w:t>Artículo 38.</w:t>
      </w:r>
      <w:r w:rsidRPr="006476D5">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476D5">
        <w:rPr>
          <w:b/>
          <w:i/>
        </w:rPr>
        <w:t>”</w:t>
      </w:r>
      <w:r w:rsidRPr="006476D5">
        <w:rPr>
          <w:i/>
        </w:rPr>
        <w:t xml:space="preserve"> </w:t>
      </w:r>
    </w:p>
    <w:p w14:paraId="20A1AFF1" w14:textId="77777777" w:rsidR="001A52E5" w:rsidRPr="006476D5" w:rsidRDefault="001A52E5" w:rsidP="006476D5">
      <w:pPr>
        <w:rPr>
          <w:i/>
        </w:rPr>
      </w:pPr>
    </w:p>
    <w:p w14:paraId="75E76393" w14:textId="77777777" w:rsidR="001A52E5" w:rsidRPr="006476D5" w:rsidRDefault="00986F6A" w:rsidP="006476D5">
      <w:r w:rsidRPr="006476D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8E3F2FE" w14:textId="77777777" w:rsidR="001A52E5" w:rsidRPr="006476D5" w:rsidRDefault="001A52E5" w:rsidP="006476D5"/>
    <w:p w14:paraId="6BEDC606" w14:textId="77777777" w:rsidR="001A52E5" w:rsidRPr="006476D5" w:rsidRDefault="00986F6A" w:rsidP="006476D5">
      <w:r w:rsidRPr="006476D5">
        <w:t xml:space="preserve">Lo anterior es así, en virtud de que toda la información relativa a una persona física o jurídico colectiva que le pueda hacer identificada o identificable constituye un dato personal en </w:t>
      </w:r>
      <w:r w:rsidRPr="006476D5">
        <w:lastRenderedPageBreak/>
        <w:t xml:space="preserve">términos del artículo 4, fracción XI de la Ley de Protección de Datos Personales en Posesión de Sujetos Obligados del Estado de México y Municipios; por consiguiente, se trata de información confidencial que debe ser protegida por </w:t>
      </w:r>
      <w:r w:rsidRPr="006476D5">
        <w:rPr>
          <w:b/>
        </w:rPr>
        <w:t>EL SUJETO OBLIGADO,</w:t>
      </w:r>
      <w:r w:rsidRPr="006476D5">
        <w:t xml:space="preserve"> por lo que, todo dato personal susceptible de clasificación debe ser protegido.</w:t>
      </w:r>
    </w:p>
    <w:p w14:paraId="1BD2C686" w14:textId="77777777" w:rsidR="001A52E5" w:rsidRPr="006476D5" w:rsidRDefault="001A52E5" w:rsidP="006476D5"/>
    <w:p w14:paraId="0016BD5A" w14:textId="77777777" w:rsidR="001A52E5" w:rsidRPr="006476D5" w:rsidRDefault="00986F6A" w:rsidP="006476D5">
      <w:r w:rsidRPr="006476D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36AE1CB" w14:textId="77777777" w:rsidR="001A52E5" w:rsidRPr="006476D5" w:rsidRDefault="001A52E5" w:rsidP="006476D5"/>
    <w:p w14:paraId="3664CFC9" w14:textId="77777777" w:rsidR="001A52E5" w:rsidRPr="006476D5" w:rsidRDefault="00986F6A" w:rsidP="006476D5">
      <w:r w:rsidRPr="006476D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4842B80" w14:textId="77777777" w:rsidR="001A52E5" w:rsidRPr="006476D5" w:rsidRDefault="001A52E5" w:rsidP="006476D5"/>
    <w:p w14:paraId="6D85C130" w14:textId="77777777" w:rsidR="001A52E5" w:rsidRPr="006476D5" w:rsidRDefault="00986F6A" w:rsidP="006476D5">
      <w:pPr>
        <w:spacing w:line="240" w:lineRule="auto"/>
        <w:ind w:left="567" w:right="567" w:firstLine="567"/>
        <w:jc w:val="center"/>
        <w:rPr>
          <w:b/>
          <w:i/>
        </w:rPr>
      </w:pPr>
      <w:r w:rsidRPr="006476D5">
        <w:rPr>
          <w:b/>
          <w:i/>
        </w:rPr>
        <w:t>Ley de Transparencia y Acceso a la Información Pública del Estado de México y Municipios</w:t>
      </w:r>
    </w:p>
    <w:p w14:paraId="3F5139A9" w14:textId="77777777" w:rsidR="001A52E5" w:rsidRPr="006476D5" w:rsidRDefault="001A52E5" w:rsidP="006476D5"/>
    <w:p w14:paraId="2A1DDF8A" w14:textId="77777777" w:rsidR="001A52E5" w:rsidRPr="006476D5" w:rsidRDefault="00986F6A" w:rsidP="006476D5">
      <w:pPr>
        <w:spacing w:line="240" w:lineRule="auto"/>
        <w:ind w:left="567" w:right="567" w:firstLine="567"/>
        <w:rPr>
          <w:i/>
        </w:rPr>
      </w:pPr>
      <w:r w:rsidRPr="006476D5">
        <w:rPr>
          <w:b/>
          <w:i/>
        </w:rPr>
        <w:t xml:space="preserve">“Artículo 49. </w:t>
      </w:r>
      <w:r w:rsidRPr="006476D5">
        <w:rPr>
          <w:i/>
        </w:rPr>
        <w:t>Los Comités de Transparencia tendrán las siguientes atribuciones:</w:t>
      </w:r>
    </w:p>
    <w:p w14:paraId="57156E20" w14:textId="77777777" w:rsidR="001A52E5" w:rsidRPr="006476D5" w:rsidRDefault="00986F6A" w:rsidP="006476D5">
      <w:pPr>
        <w:spacing w:line="240" w:lineRule="auto"/>
        <w:ind w:left="567" w:right="567" w:firstLine="567"/>
        <w:rPr>
          <w:i/>
        </w:rPr>
      </w:pPr>
      <w:r w:rsidRPr="006476D5">
        <w:rPr>
          <w:b/>
          <w:i/>
        </w:rPr>
        <w:t>VIII.</w:t>
      </w:r>
      <w:r w:rsidRPr="006476D5">
        <w:rPr>
          <w:i/>
        </w:rPr>
        <w:t xml:space="preserve"> Aprobar, modificar o revocar la clasificación de la información;</w:t>
      </w:r>
    </w:p>
    <w:p w14:paraId="6C2E95EB" w14:textId="77777777" w:rsidR="001A52E5" w:rsidRPr="006476D5" w:rsidRDefault="001A52E5" w:rsidP="006476D5"/>
    <w:p w14:paraId="523A3F79" w14:textId="77777777" w:rsidR="001A52E5" w:rsidRPr="006476D5" w:rsidRDefault="00986F6A" w:rsidP="006476D5">
      <w:pPr>
        <w:spacing w:line="240" w:lineRule="auto"/>
        <w:ind w:left="567" w:right="567" w:firstLine="567"/>
        <w:rPr>
          <w:i/>
        </w:rPr>
      </w:pPr>
      <w:r w:rsidRPr="006476D5">
        <w:rPr>
          <w:b/>
          <w:i/>
        </w:rPr>
        <w:t>Artículo 132.</w:t>
      </w:r>
      <w:r w:rsidRPr="006476D5">
        <w:rPr>
          <w:i/>
        </w:rPr>
        <w:t xml:space="preserve"> La clasificación de la información se llevará a cabo en el momento en que:</w:t>
      </w:r>
    </w:p>
    <w:p w14:paraId="1FA1DC67" w14:textId="77777777" w:rsidR="001A52E5" w:rsidRPr="006476D5" w:rsidRDefault="00986F6A" w:rsidP="006476D5">
      <w:pPr>
        <w:spacing w:line="240" w:lineRule="auto"/>
        <w:ind w:left="567" w:right="567" w:firstLine="567"/>
        <w:rPr>
          <w:i/>
        </w:rPr>
      </w:pPr>
      <w:r w:rsidRPr="006476D5">
        <w:rPr>
          <w:b/>
          <w:i/>
        </w:rPr>
        <w:t>I.</w:t>
      </w:r>
      <w:r w:rsidRPr="006476D5">
        <w:rPr>
          <w:i/>
        </w:rPr>
        <w:t xml:space="preserve"> Se reciba una solicitud de acceso a la información;</w:t>
      </w:r>
    </w:p>
    <w:p w14:paraId="1F910DEC" w14:textId="77777777" w:rsidR="001A52E5" w:rsidRPr="006476D5" w:rsidRDefault="00986F6A" w:rsidP="006476D5">
      <w:pPr>
        <w:spacing w:line="240" w:lineRule="auto"/>
        <w:ind w:left="567" w:right="567" w:firstLine="567"/>
        <w:rPr>
          <w:i/>
        </w:rPr>
      </w:pPr>
      <w:r w:rsidRPr="006476D5">
        <w:rPr>
          <w:b/>
          <w:i/>
        </w:rPr>
        <w:lastRenderedPageBreak/>
        <w:t>II.</w:t>
      </w:r>
      <w:r w:rsidRPr="006476D5">
        <w:rPr>
          <w:i/>
        </w:rPr>
        <w:t xml:space="preserve"> Se determine mediante resolución de autoridad competente; o</w:t>
      </w:r>
    </w:p>
    <w:p w14:paraId="1ACFDA8C" w14:textId="77777777" w:rsidR="001A52E5" w:rsidRPr="006476D5" w:rsidRDefault="00986F6A" w:rsidP="006476D5">
      <w:pPr>
        <w:spacing w:line="240" w:lineRule="auto"/>
        <w:ind w:left="567" w:right="567" w:firstLine="567"/>
        <w:rPr>
          <w:b/>
          <w:i/>
        </w:rPr>
      </w:pPr>
      <w:r w:rsidRPr="006476D5">
        <w:rPr>
          <w:b/>
          <w:i/>
        </w:rPr>
        <w:t>III.</w:t>
      </w:r>
      <w:r w:rsidRPr="006476D5">
        <w:rPr>
          <w:i/>
        </w:rPr>
        <w:t xml:space="preserve"> Se generen versiones públicas para dar cumplimiento a las obligaciones de transparencia previstas en esta Ley.</w:t>
      </w:r>
      <w:r w:rsidRPr="006476D5">
        <w:rPr>
          <w:b/>
          <w:i/>
        </w:rPr>
        <w:t>”</w:t>
      </w:r>
    </w:p>
    <w:p w14:paraId="32FFEF19" w14:textId="77777777" w:rsidR="001A52E5" w:rsidRPr="006476D5" w:rsidRDefault="001A52E5" w:rsidP="006476D5"/>
    <w:p w14:paraId="1F845B70" w14:textId="77777777" w:rsidR="001A52E5" w:rsidRPr="006476D5" w:rsidRDefault="00986F6A" w:rsidP="006476D5">
      <w:pPr>
        <w:spacing w:line="240" w:lineRule="auto"/>
        <w:ind w:left="567" w:right="567" w:firstLine="567"/>
        <w:rPr>
          <w:i/>
        </w:rPr>
      </w:pPr>
      <w:r w:rsidRPr="006476D5">
        <w:rPr>
          <w:b/>
          <w:i/>
        </w:rPr>
        <w:t>“Segundo. -</w:t>
      </w:r>
      <w:r w:rsidRPr="006476D5">
        <w:rPr>
          <w:i/>
        </w:rPr>
        <w:t xml:space="preserve"> Para efectos de los presentes Lineamientos Generales, se entenderá por:</w:t>
      </w:r>
    </w:p>
    <w:p w14:paraId="33B4AADC" w14:textId="77777777" w:rsidR="001A52E5" w:rsidRPr="006476D5" w:rsidRDefault="00986F6A" w:rsidP="006476D5">
      <w:pPr>
        <w:spacing w:line="240" w:lineRule="auto"/>
        <w:ind w:left="567" w:right="567" w:firstLine="567"/>
        <w:rPr>
          <w:i/>
        </w:rPr>
      </w:pPr>
      <w:r w:rsidRPr="006476D5">
        <w:rPr>
          <w:b/>
          <w:i/>
        </w:rPr>
        <w:t>XVIII.</w:t>
      </w:r>
      <w:r w:rsidRPr="006476D5">
        <w:rPr>
          <w:i/>
        </w:rPr>
        <w:t xml:space="preserve">  </w:t>
      </w:r>
      <w:r w:rsidRPr="006476D5">
        <w:rPr>
          <w:b/>
          <w:i/>
        </w:rPr>
        <w:t>Versión pública:</w:t>
      </w:r>
      <w:r w:rsidRPr="006476D5">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50B853A" w14:textId="77777777" w:rsidR="001A52E5" w:rsidRPr="006476D5" w:rsidRDefault="001A52E5" w:rsidP="006476D5">
      <w:pPr>
        <w:spacing w:line="240" w:lineRule="auto"/>
        <w:ind w:left="567" w:right="567" w:firstLine="567"/>
        <w:rPr>
          <w:i/>
        </w:rPr>
      </w:pPr>
    </w:p>
    <w:p w14:paraId="1602CA9B" w14:textId="77777777" w:rsidR="001A52E5" w:rsidRPr="006476D5" w:rsidRDefault="00986F6A" w:rsidP="006476D5">
      <w:pPr>
        <w:spacing w:line="240" w:lineRule="auto"/>
        <w:ind w:left="567" w:right="567" w:firstLine="567"/>
        <w:rPr>
          <w:b/>
          <w:i/>
        </w:rPr>
      </w:pPr>
      <w:r w:rsidRPr="006476D5">
        <w:rPr>
          <w:b/>
          <w:i/>
        </w:rPr>
        <w:t>Lineamientos Generales en materia de Clasificación y Desclasificación de la Información</w:t>
      </w:r>
    </w:p>
    <w:p w14:paraId="04234932" w14:textId="77777777" w:rsidR="001A52E5" w:rsidRPr="006476D5" w:rsidRDefault="001A52E5" w:rsidP="006476D5">
      <w:pPr>
        <w:spacing w:line="240" w:lineRule="auto"/>
        <w:ind w:left="567" w:right="567" w:firstLine="567"/>
        <w:rPr>
          <w:i/>
        </w:rPr>
      </w:pPr>
    </w:p>
    <w:p w14:paraId="58BBAF12" w14:textId="77777777" w:rsidR="001A52E5" w:rsidRPr="006476D5" w:rsidRDefault="00986F6A" w:rsidP="006476D5">
      <w:pPr>
        <w:spacing w:line="240" w:lineRule="auto"/>
        <w:ind w:left="567" w:right="567" w:firstLine="567"/>
        <w:rPr>
          <w:i/>
        </w:rPr>
      </w:pPr>
      <w:r w:rsidRPr="006476D5">
        <w:rPr>
          <w:b/>
          <w:i/>
        </w:rPr>
        <w:t>Cuarto.</w:t>
      </w:r>
      <w:r w:rsidRPr="006476D5">
        <w:rPr>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3383050" w14:textId="77777777" w:rsidR="001A52E5" w:rsidRPr="006476D5" w:rsidRDefault="00986F6A" w:rsidP="006476D5">
      <w:pPr>
        <w:spacing w:line="240" w:lineRule="auto"/>
        <w:ind w:left="567" w:right="567" w:firstLine="567"/>
        <w:rPr>
          <w:i/>
        </w:rPr>
      </w:pPr>
      <w:r w:rsidRPr="006476D5">
        <w:rPr>
          <w:i/>
        </w:rPr>
        <w:t>Los sujetos obligados deberán aplicar, de manera estricta, las excepciones al derecho de acceso a la información y sólo podrán invocarlas cuando acrediten su procedencia.</w:t>
      </w:r>
    </w:p>
    <w:p w14:paraId="0DA240B0" w14:textId="77777777" w:rsidR="001A52E5" w:rsidRPr="006476D5" w:rsidRDefault="001A52E5" w:rsidP="006476D5"/>
    <w:p w14:paraId="24984853" w14:textId="77777777" w:rsidR="001A52E5" w:rsidRPr="006476D5" w:rsidRDefault="00986F6A" w:rsidP="006476D5">
      <w:pPr>
        <w:spacing w:line="240" w:lineRule="auto"/>
        <w:ind w:left="567" w:right="567" w:firstLine="567"/>
        <w:rPr>
          <w:i/>
        </w:rPr>
      </w:pPr>
      <w:r w:rsidRPr="006476D5">
        <w:rPr>
          <w:b/>
          <w:i/>
        </w:rPr>
        <w:t>Quinto.</w:t>
      </w:r>
      <w:r w:rsidRPr="006476D5">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11B6E53" w14:textId="77777777" w:rsidR="001A52E5" w:rsidRPr="006476D5" w:rsidRDefault="001A52E5" w:rsidP="006476D5"/>
    <w:p w14:paraId="14641549" w14:textId="77777777" w:rsidR="001A52E5" w:rsidRPr="006476D5" w:rsidRDefault="00986F6A" w:rsidP="006476D5">
      <w:pPr>
        <w:spacing w:line="240" w:lineRule="auto"/>
        <w:ind w:left="567" w:right="567" w:firstLine="567"/>
        <w:rPr>
          <w:i/>
        </w:rPr>
      </w:pPr>
      <w:r w:rsidRPr="006476D5">
        <w:rPr>
          <w:b/>
          <w:i/>
        </w:rPr>
        <w:t>Sexto.</w:t>
      </w:r>
      <w:r w:rsidRPr="006476D5">
        <w:rPr>
          <w:i/>
        </w:rPr>
        <w:t xml:space="preserve"> Se deroga.</w:t>
      </w:r>
    </w:p>
    <w:p w14:paraId="5E914EA9" w14:textId="77777777" w:rsidR="001A52E5" w:rsidRPr="006476D5" w:rsidRDefault="001A52E5" w:rsidP="006476D5"/>
    <w:p w14:paraId="07839721" w14:textId="77777777" w:rsidR="001A52E5" w:rsidRPr="006476D5" w:rsidRDefault="00986F6A" w:rsidP="006476D5">
      <w:pPr>
        <w:spacing w:line="240" w:lineRule="auto"/>
        <w:ind w:left="567" w:right="567" w:firstLine="567"/>
        <w:rPr>
          <w:i/>
        </w:rPr>
      </w:pPr>
      <w:r w:rsidRPr="006476D5">
        <w:rPr>
          <w:b/>
          <w:i/>
        </w:rPr>
        <w:t>Séptimo.</w:t>
      </w:r>
      <w:r w:rsidRPr="006476D5">
        <w:rPr>
          <w:i/>
        </w:rPr>
        <w:t xml:space="preserve"> La clasificación de la información se llevará a cabo en el momento en que:</w:t>
      </w:r>
    </w:p>
    <w:p w14:paraId="5E49942B" w14:textId="77777777" w:rsidR="001A52E5" w:rsidRPr="006476D5" w:rsidRDefault="00986F6A" w:rsidP="006476D5">
      <w:pPr>
        <w:spacing w:line="240" w:lineRule="auto"/>
        <w:ind w:left="567" w:right="567" w:firstLine="567"/>
        <w:rPr>
          <w:i/>
        </w:rPr>
      </w:pPr>
      <w:r w:rsidRPr="006476D5">
        <w:rPr>
          <w:b/>
          <w:i/>
        </w:rPr>
        <w:t>I.</w:t>
      </w:r>
      <w:r w:rsidRPr="006476D5">
        <w:rPr>
          <w:i/>
        </w:rPr>
        <w:t xml:space="preserve">        Se reciba una solicitud de acceso a la información;</w:t>
      </w:r>
    </w:p>
    <w:p w14:paraId="47C624E4" w14:textId="77777777" w:rsidR="001A52E5" w:rsidRPr="006476D5" w:rsidRDefault="00986F6A" w:rsidP="006476D5">
      <w:pPr>
        <w:spacing w:line="240" w:lineRule="auto"/>
        <w:ind w:left="567" w:right="567" w:firstLine="567"/>
        <w:rPr>
          <w:i/>
        </w:rPr>
      </w:pPr>
      <w:r w:rsidRPr="006476D5">
        <w:rPr>
          <w:b/>
          <w:i/>
        </w:rPr>
        <w:t>II.</w:t>
      </w:r>
      <w:r w:rsidRPr="006476D5">
        <w:rPr>
          <w:i/>
        </w:rPr>
        <w:t xml:space="preserve">       Se determine mediante resolución del Comité de Transparencia, el órgano garante competente, o en cumplimiento a una sentencia del Poder Judicial; o</w:t>
      </w:r>
    </w:p>
    <w:p w14:paraId="17820E8E" w14:textId="77777777" w:rsidR="001A52E5" w:rsidRPr="006476D5" w:rsidRDefault="00986F6A" w:rsidP="006476D5">
      <w:pPr>
        <w:spacing w:line="240" w:lineRule="auto"/>
        <w:ind w:left="567" w:right="567" w:firstLine="567"/>
        <w:rPr>
          <w:i/>
        </w:rPr>
      </w:pPr>
      <w:r w:rsidRPr="006476D5">
        <w:rPr>
          <w:b/>
          <w:i/>
        </w:rPr>
        <w:lastRenderedPageBreak/>
        <w:t>III.</w:t>
      </w:r>
      <w:r w:rsidRPr="006476D5">
        <w:rPr>
          <w:i/>
        </w:rPr>
        <w:t xml:space="preserve">      Se generen versiones públicas para dar cumplimiento a las obligaciones de transparencia previstas en la Ley General, la Ley Federal y las correspondientes de las entidades federativas.</w:t>
      </w:r>
    </w:p>
    <w:p w14:paraId="73751B40" w14:textId="77777777" w:rsidR="001A52E5" w:rsidRPr="006476D5" w:rsidRDefault="00986F6A" w:rsidP="006476D5">
      <w:pPr>
        <w:spacing w:line="240" w:lineRule="auto"/>
        <w:ind w:left="567" w:right="567" w:firstLine="567"/>
        <w:rPr>
          <w:i/>
        </w:rPr>
      </w:pPr>
      <w:r w:rsidRPr="006476D5">
        <w:rPr>
          <w:i/>
        </w:rPr>
        <w:t xml:space="preserve">Los titulares de las áreas deberán revisar la información requerida al momento de la recepción de una solicitud de acceso, para verificar, conforme a su naturaleza, si encuadra en una causal de reserva o de confidencialidad. </w:t>
      </w:r>
    </w:p>
    <w:p w14:paraId="6EA352E5" w14:textId="77777777" w:rsidR="001A52E5" w:rsidRPr="006476D5" w:rsidRDefault="001A52E5" w:rsidP="006476D5"/>
    <w:p w14:paraId="0AB003B8" w14:textId="77777777" w:rsidR="001A52E5" w:rsidRPr="006476D5" w:rsidRDefault="00986F6A" w:rsidP="006476D5">
      <w:pPr>
        <w:spacing w:line="240" w:lineRule="auto"/>
        <w:ind w:left="567" w:right="567" w:firstLine="567"/>
        <w:rPr>
          <w:i/>
        </w:rPr>
      </w:pPr>
      <w:r w:rsidRPr="006476D5">
        <w:rPr>
          <w:b/>
          <w:i/>
        </w:rPr>
        <w:t>Octavo.</w:t>
      </w:r>
      <w:r w:rsidRPr="006476D5">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D8B6C4F" w14:textId="77777777" w:rsidR="001A52E5" w:rsidRPr="006476D5" w:rsidRDefault="00986F6A" w:rsidP="006476D5">
      <w:pPr>
        <w:spacing w:line="240" w:lineRule="auto"/>
        <w:ind w:left="567" w:right="567" w:firstLine="567"/>
        <w:rPr>
          <w:i/>
        </w:rPr>
      </w:pPr>
      <w:r w:rsidRPr="006476D5">
        <w:rPr>
          <w:i/>
        </w:rPr>
        <w:t>Para motivar la clasificación se deberán señalar las razones o circunstancias especiales que lo llevaron a concluir que el caso particular se ajusta al supuesto previsto por la norma legal invocada como fundamento.</w:t>
      </w:r>
    </w:p>
    <w:p w14:paraId="08C6CA99" w14:textId="77777777" w:rsidR="001A52E5" w:rsidRPr="006476D5" w:rsidRDefault="00986F6A" w:rsidP="006476D5">
      <w:pPr>
        <w:spacing w:line="240" w:lineRule="auto"/>
        <w:ind w:left="567" w:right="567" w:firstLine="567"/>
        <w:rPr>
          <w:i/>
        </w:rPr>
      </w:pPr>
      <w:r w:rsidRPr="006476D5">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D571664" w14:textId="77777777" w:rsidR="001A52E5" w:rsidRPr="006476D5" w:rsidRDefault="001A52E5" w:rsidP="006476D5"/>
    <w:p w14:paraId="2102C6C2" w14:textId="77777777" w:rsidR="001A52E5" w:rsidRPr="006476D5" w:rsidRDefault="00986F6A" w:rsidP="006476D5">
      <w:pPr>
        <w:spacing w:line="240" w:lineRule="auto"/>
        <w:ind w:left="567" w:right="567" w:firstLine="567"/>
        <w:rPr>
          <w:i/>
        </w:rPr>
      </w:pPr>
      <w:r w:rsidRPr="006476D5">
        <w:rPr>
          <w:b/>
          <w:i/>
        </w:rPr>
        <w:t>Noveno.</w:t>
      </w:r>
      <w:r w:rsidRPr="006476D5">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8FBE72" w14:textId="77777777" w:rsidR="001A52E5" w:rsidRPr="006476D5" w:rsidRDefault="001A52E5" w:rsidP="006476D5"/>
    <w:p w14:paraId="5F89D735" w14:textId="77777777" w:rsidR="001A52E5" w:rsidRPr="006476D5" w:rsidRDefault="00986F6A" w:rsidP="006476D5">
      <w:pPr>
        <w:spacing w:line="240" w:lineRule="auto"/>
        <w:ind w:left="567" w:right="567" w:firstLine="567"/>
        <w:rPr>
          <w:i/>
        </w:rPr>
      </w:pPr>
      <w:r w:rsidRPr="006476D5">
        <w:rPr>
          <w:b/>
          <w:i/>
        </w:rPr>
        <w:t>Décimo.</w:t>
      </w:r>
      <w:r w:rsidRPr="006476D5">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611E426" w14:textId="77777777" w:rsidR="001A52E5" w:rsidRPr="006476D5" w:rsidRDefault="00986F6A" w:rsidP="006476D5">
      <w:pPr>
        <w:spacing w:line="240" w:lineRule="auto"/>
        <w:ind w:left="567" w:right="567" w:firstLine="567"/>
        <w:rPr>
          <w:i/>
        </w:rPr>
      </w:pPr>
      <w:r w:rsidRPr="006476D5">
        <w:rPr>
          <w:i/>
        </w:rPr>
        <w:t>En ausencia de los titulares de las áreas, la información será clasificada o desclasificada por la persona que lo supla, en términos de la normativa que rija la actuación del sujeto obligado.</w:t>
      </w:r>
    </w:p>
    <w:p w14:paraId="376A52C2" w14:textId="77777777" w:rsidR="001A52E5" w:rsidRPr="006476D5" w:rsidRDefault="00986F6A" w:rsidP="006476D5">
      <w:pPr>
        <w:spacing w:line="240" w:lineRule="auto"/>
        <w:ind w:left="567" w:right="567" w:firstLine="567"/>
        <w:rPr>
          <w:b/>
          <w:i/>
        </w:rPr>
      </w:pPr>
      <w:bookmarkStart w:id="36" w:name="_heading=h.crh445dhex5h" w:colFirst="0" w:colLast="0"/>
      <w:bookmarkEnd w:id="36"/>
      <w:r w:rsidRPr="006476D5">
        <w:rPr>
          <w:b/>
          <w:i/>
        </w:rPr>
        <w:t>Décimo primero.</w:t>
      </w:r>
      <w:r w:rsidRPr="006476D5">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476D5">
        <w:rPr>
          <w:b/>
          <w:i/>
        </w:rPr>
        <w:t>”</w:t>
      </w:r>
    </w:p>
    <w:p w14:paraId="04F5A4DC" w14:textId="77777777" w:rsidR="001A52E5" w:rsidRPr="006476D5" w:rsidRDefault="001A52E5" w:rsidP="006476D5"/>
    <w:p w14:paraId="5EC2513B" w14:textId="77777777" w:rsidR="001A52E5" w:rsidRPr="006476D5" w:rsidRDefault="00986F6A" w:rsidP="006476D5">
      <w:r w:rsidRPr="006476D5">
        <w:lastRenderedPageBreak/>
        <w:t xml:space="preserve">Consecuentemente, se destaca que la versión pública que elabore </w:t>
      </w:r>
      <w:r w:rsidRPr="006476D5">
        <w:rPr>
          <w:b/>
        </w:rPr>
        <w:t>EL SUJETO OBLIGADO</w:t>
      </w:r>
      <w:r w:rsidRPr="006476D5">
        <w:t xml:space="preserve"> debe cumplir con las formalidades exigidas en la Ley, por lo que para tal efecto emitirá el </w:t>
      </w:r>
      <w:r w:rsidRPr="006476D5">
        <w:rPr>
          <w:b/>
        </w:rPr>
        <w:t>Acuerdo del Comité de Transparencia</w:t>
      </w:r>
      <w:r w:rsidRPr="006476D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FB31EF2" w14:textId="77777777" w:rsidR="001A52E5" w:rsidRPr="006476D5" w:rsidRDefault="001A52E5" w:rsidP="006476D5"/>
    <w:p w14:paraId="75B713EF" w14:textId="77777777" w:rsidR="001A52E5" w:rsidRPr="006476D5" w:rsidRDefault="00986F6A" w:rsidP="006476D5">
      <w:r w:rsidRPr="006476D5">
        <w:t xml:space="preserve">Así, respecto de los documentos que </w:t>
      </w:r>
      <w:r w:rsidRPr="006476D5">
        <w:rPr>
          <w:b/>
        </w:rPr>
        <w:t xml:space="preserve">EL SUJETO OBLIGADO </w:t>
      </w:r>
      <w:r w:rsidRPr="006476D5">
        <w:t xml:space="preserve">ha de </w:t>
      </w:r>
      <w:r w:rsidRPr="006476D5">
        <w:rPr>
          <w:b/>
        </w:rPr>
        <w:t>entregar</w:t>
      </w:r>
      <w:r w:rsidRPr="006476D5">
        <w:t xml:space="preserve"> en </w:t>
      </w:r>
      <w:r w:rsidRPr="006476D5">
        <w:rPr>
          <w:b/>
        </w:rPr>
        <w:t>versión pública</w:t>
      </w:r>
      <w:r w:rsidRPr="006476D5">
        <w:t>, se deberá omitir, eliminar o suprimir la información personal de los servidores públicos, como lo es (de manera enunciativa más no limitativa), el Registro Federal de Contribuyentes (RFC), Clave única de Registro de Población (CURP), clave del Instituto de Seguridad Social del Estado de México y Municipios (ISSEMyM),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14:paraId="0B84B8DB" w14:textId="77777777" w:rsidR="001A52E5" w:rsidRPr="006476D5" w:rsidRDefault="001A52E5" w:rsidP="006476D5"/>
    <w:p w14:paraId="7DB454F0" w14:textId="77777777" w:rsidR="001A52E5" w:rsidRPr="006476D5" w:rsidRDefault="00986F6A" w:rsidP="006476D5">
      <w:r w:rsidRPr="006476D5">
        <w:t xml:space="preserve">Por cuanto hace al RFC de las personas físicas, constituye un dato personal, ya que se genera con caracteres alfanuméricos obtenidos a partir del nombre en mayúsculas sin acentos ni diéresis y la fecha de nacimiento de cada persona; es decir, la primera letra del apellido </w:t>
      </w:r>
      <w:r w:rsidRPr="006476D5">
        <w:lastRenderedPageBreak/>
        <w:t>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con documentos oficiales.</w:t>
      </w:r>
    </w:p>
    <w:p w14:paraId="0A2B81EA" w14:textId="77777777" w:rsidR="001A52E5" w:rsidRPr="006476D5" w:rsidRDefault="001A52E5" w:rsidP="006476D5"/>
    <w:p w14:paraId="422391E6" w14:textId="77777777" w:rsidR="001A52E5" w:rsidRPr="006476D5" w:rsidRDefault="00986F6A" w:rsidP="006476D5">
      <w:pPr>
        <w:rPr>
          <w:b/>
        </w:rPr>
      </w:pPr>
      <w:r w:rsidRPr="006476D5">
        <w:t>Al respecto, es aplicable el Criterio 19/17 de la Segunda Época, emitido por el entonces INAI, que dice:</w:t>
      </w:r>
      <w:r w:rsidRPr="006476D5">
        <w:rPr>
          <w:b/>
        </w:rPr>
        <w:t xml:space="preserve"> </w:t>
      </w:r>
    </w:p>
    <w:p w14:paraId="69A0FE9E" w14:textId="77777777" w:rsidR="001A52E5" w:rsidRPr="006476D5" w:rsidRDefault="001A52E5" w:rsidP="006476D5">
      <w:pPr>
        <w:tabs>
          <w:tab w:val="left" w:pos="7655"/>
        </w:tabs>
        <w:spacing w:line="240" w:lineRule="auto"/>
        <w:ind w:left="851" w:right="902"/>
        <w:rPr>
          <w:i/>
        </w:rPr>
      </w:pPr>
    </w:p>
    <w:p w14:paraId="6054D9F9" w14:textId="77777777" w:rsidR="001A52E5" w:rsidRPr="006476D5" w:rsidRDefault="00986F6A" w:rsidP="006476D5">
      <w:pPr>
        <w:tabs>
          <w:tab w:val="left" w:pos="7655"/>
        </w:tabs>
        <w:spacing w:line="240" w:lineRule="auto"/>
        <w:ind w:left="851" w:right="902"/>
        <w:rPr>
          <w:i/>
        </w:rPr>
      </w:pPr>
      <w:r w:rsidRPr="006476D5">
        <w:rPr>
          <w:i/>
        </w:rPr>
        <w:t>“</w:t>
      </w:r>
      <w:r w:rsidRPr="006476D5">
        <w:rPr>
          <w:b/>
          <w:i/>
        </w:rPr>
        <w:t>Registro Federal de Contribuyentes (RFC) de personas físicas. El RFC es una clave</w:t>
      </w:r>
      <w:r w:rsidRPr="006476D5">
        <w:rPr>
          <w:i/>
        </w:rPr>
        <w:t xml:space="preserve"> de carácter fiscal, única e irrepetible, </w:t>
      </w:r>
      <w:r w:rsidRPr="006476D5">
        <w:rPr>
          <w:b/>
          <w:i/>
        </w:rPr>
        <w:t>que permite identificar al titular, su edad y fecha de nacimiento</w:t>
      </w:r>
      <w:r w:rsidRPr="006476D5">
        <w:rPr>
          <w:i/>
        </w:rPr>
        <w:t xml:space="preserve">, por lo que </w:t>
      </w:r>
      <w:r w:rsidRPr="006476D5">
        <w:rPr>
          <w:b/>
          <w:i/>
        </w:rPr>
        <w:t>es un dato personal de carácter confidencial</w:t>
      </w:r>
      <w:r w:rsidRPr="006476D5">
        <w:rPr>
          <w:i/>
        </w:rPr>
        <w:t>.” (Sic)</w:t>
      </w:r>
    </w:p>
    <w:p w14:paraId="323B18D9" w14:textId="77777777" w:rsidR="001A52E5" w:rsidRPr="006476D5" w:rsidRDefault="001A52E5" w:rsidP="006476D5">
      <w:pPr>
        <w:tabs>
          <w:tab w:val="left" w:pos="7655"/>
        </w:tabs>
        <w:spacing w:line="240" w:lineRule="auto"/>
        <w:ind w:left="851" w:right="902"/>
      </w:pPr>
    </w:p>
    <w:p w14:paraId="20350C2F" w14:textId="77777777" w:rsidR="001A52E5" w:rsidRPr="006476D5" w:rsidRDefault="00986F6A" w:rsidP="006476D5">
      <w:r w:rsidRPr="006476D5">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14:paraId="2E212843" w14:textId="77777777" w:rsidR="001A52E5" w:rsidRPr="006476D5" w:rsidRDefault="001A52E5" w:rsidP="006476D5"/>
    <w:p w14:paraId="49126D3A" w14:textId="77777777" w:rsidR="001A52E5" w:rsidRPr="006476D5" w:rsidRDefault="00986F6A" w:rsidP="006476D5">
      <w:r w:rsidRPr="006476D5">
        <w:t>Por cuanto hace a la CURP</w:t>
      </w:r>
      <w:r w:rsidRPr="006476D5">
        <w:rPr>
          <w:b/>
        </w:rPr>
        <w:t xml:space="preserve">, </w:t>
      </w:r>
      <w:r w:rsidRPr="006476D5">
        <w:t>constituye un dato personal, que tiene como fin llevar registro de cada a cada una de las personas que integran la población del país, se tiene como sustento los artículos 86 y 91 de la Ley General de Población, la cual señala lo siguiente:</w:t>
      </w:r>
    </w:p>
    <w:p w14:paraId="62F53092" w14:textId="77777777" w:rsidR="001A52E5" w:rsidRPr="006476D5" w:rsidRDefault="001A52E5" w:rsidP="006476D5"/>
    <w:p w14:paraId="73553D75" w14:textId="77777777" w:rsidR="001A52E5" w:rsidRPr="006476D5" w:rsidRDefault="00986F6A" w:rsidP="006476D5">
      <w:pPr>
        <w:spacing w:line="240" w:lineRule="auto"/>
        <w:ind w:left="851" w:right="902"/>
        <w:rPr>
          <w:i/>
        </w:rPr>
      </w:pPr>
      <w:r w:rsidRPr="006476D5">
        <w:rPr>
          <w:i/>
        </w:rPr>
        <w:t>“</w:t>
      </w:r>
      <w:r w:rsidRPr="006476D5">
        <w:rPr>
          <w:b/>
          <w:i/>
        </w:rPr>
        <w:t xml:space="preserve">Artículo 86. </w:t>
      </w:r>
      <w:r w:rsidRPr="006476D5">
        <w:rPr>
          <w:i/>
        </w:rPr>
        <w:t>El Registro Nacional de Población tiene como finalidad registrar a cada una de las personas que integran la población del país, con los datos que permitan certificar y acreditar fehacientemente su identidad.</w:t>
      </w:r>
    </w:p>
    <w:p w14:paraId="2823AB57" w14:textId="77777777" w:rsidR="001A52E5" w:rsidRPr="006476D5" w:rsidRDefault="001A52E5" w:rsidP="006476D5">
      <w:pPr>
        <w:spacing w:line="240" w:lineRule="auto"/>
        <w:ind w:left="851" w:right="902"/>
        <w:rPr>
          <w:i/>
        </w:rPr>
      </w:pPr>
    </w:p>
    <w:p w14:paraId="7B70E991" w14:textId="77777777" w:rsidR="001A52E5" w:rsidRPr="006476D5" w:rsidRDefault="00986F6A" w:rsidP="006476D5">
      <w:pPr>
        <w:spacing w:line="240" w:lineRule="auto"/>
        <w:ind w:left="851" w:right="902"/>
        <w:rPr>
          <w:i/>
        </w:rPr>
      </w:pPr>
      <w:r w:rsidRPr="006476D5">
        <w:rPr>
          <w:b/>
          <w:i/>
        </w:rPr>
        <w:lastRenderedPageBreak/>
        <w:t>Artículo 91. Al incorporar a una persona en el Registro Nacional de Población</w:t>
      </w:r>
      <w:r w:rsidRPr="006476D5">
        <w:rPr>
          <w:i/>
        </w:rPr>
        <w:t xml:space="preserve">, se le asignará una clave </w:t>
      </w:r>
      <w:r w:rsidRPr="006476D5">
        <w:rPr>
          <w:b/>
          <w:i/>
        </w:rPr>
        <w:t>que se denominará Clave Única de Registro de Población</w:t>
      </w:r>
      <w:r w:rsidRPr="006476D5">
        <w:rPr>
          <w:i/>
        </w:rPr>
        <w:t xml:space="preserve">. </w:t>
      </w:r>
      <w:r w:rsidRPr="006476D5">
        <w:rPr>
          <w:b/>
          <w:i/>
        </w:rPr>
        <w:t>Esta servirá para</w:t>
      </w:r>
      <w:r w:rsidRPr="006476D5">
        <w:rPr>
          <w:i/>
        </w:rPr>
        <w:t xml:space="preserve"> registrarla e </w:t>
      </w:r>
      <w:r w:rsidRPr="006476D5">
        <w:rPr>
          <w:b/>
          <w:i/>
        </w:rPr>
        <w:t>identificarla en forma individual</w:t>
      </w:r>
      <w:r w:rsidRPr="006476D5">
        <w:rPr>
          <w:i/>
        </w:rPr>
        <w:t xml:space="preserve">.” </w:t>
      </w:r>
    </w:p>
    <w:p w14:paraId="35BD4C06" w14:textId="77777777" w:rsidR="001A52E5" w:rsidRPr="006476D5" w:rsidRDefault="00986F6A" w:rsidP="006476D5">
      <w:pPr>
        <w:spacing w:line="240" w:lineRule="auto"/>
        <w:ind w:left="851" w:right="902"/>
      </w:pPr>
      <w:r w:rsidRPr="006476D5">
        <w:t>(Énfasis añadido)</w:t>
      </w:r>
    </w:p>
    <w:p w14:paraId="3A1A4ED5" w14:textId="77777777" w:rsidR="001A52E5" w:rsidRPr="006476D5" w:rsidRDefault="001A52E5" w:rsidP="006476D5">
      <w:pPr>
        <w:spacing w:line="240" w:lineRule="auto"/>
        <w:ind w:left="851" w:right="902"/>
      </w:pPr>
    </w:p>
    <w:p w14:paraId="1E4F1441" w14:textId="77777777" w:rsidR="001A52E5" w:rsidRPr="006476D5" w:rsidRDefault="00986F6A" w:rsidP="006476D5">
      <w:r w:rsidRPr="006476D5">
        <w:t xml:space="preserve">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5AC8B10B" w14:textId="77777777" w:rsidR="001A52E5" w:rsidRPr="006476D5" w:rsidRDefault="001A52E5" w:rsidP="006476D5"/>
    <w:p w14:paraId="603CCC02" w14:textId="77777777" w:rsidR="001A52E5" w:rsidRPr="006476D5" w:rsidRDefault="00986F6A" w:rsidP="006476D5">
      <w:r w:rsidRPr="006476D5">
        <w:t>Al respecto, el entonces INAI, a través del Criterio 18/17 de la Segunda Época, señala lo siguiente:</w:t>
      </w:r>
    </w:p>
    <w:p w14:paraId="176B60D7" w14:textId="77777777" w:rsidR="001A52E5" w:rsidRPr="006476D5" w:rsidRDefault="001A52E5" w:rsidP="006476D5">
      <w:pPr>
        <w:spacing w:line="240" w:lineRule="auto"/>
        <w:ind w:left="851" w:right="902"/>
        <w:rPr>
          <w:i/>
        </w:rPr>
      </w:pPr>
    </w:p>
    <w:p w14:paraId="0D6ED21A" w14:textId="77777777" w:rsidR="001A52E5" w:rsidRPr="006476D5" w:rsidRDefault="00986F6A" w:rsidP="006476D5">
      <w:pPr>
        <w:spacing w:line="240" w:lineRule="auto"/>
        <w:ind w:left="851" w:right="902"/>
        <w:rPr>
          <w:i/>
        </w:rPr>
      </w:pPr>
      <w:r w:rsidRPr="006476D5">
        <w:rPr>
          <w:i/>
        </w:rPr>
        <w:t>“</w:t>
      </w:r>
      <w:r w:rsidRPr="006476D5">
        <w:rPr>
          <w:b/>
          <w:i/>
        </w:rPr>
        <w:t>Clave Única de Registro de Población (CURP).</w:t>
      </w:r>
      <w:r w:rsidRPr="006476D5">
        <w:rPr>
          <w:i/>
        </w:rPr>
        <w:t xml:space="preserve"> </w:t>
      </w:r>
      <w:r w:rsidRPr="006476D5">
        <w:rPr>
          <w:b/>
          <w:i/>
        </w:rPr>
        <w:t>La Clave Única de Registro de Población se integra por datos personales que sólo conciernen al particular titular</w:t>
      </w:r>
      <w:r w:rsidRPr="006476D5">
        <w:rPr>
          <w:i/>
        </w:rPr>
        <w:t xml:space="preserve"> de la misma, </w:t>
      </w:r>
      <w:r w:rsidRPr="006476D5">
        <w:rPr>
          <w:b/>
          <w:i/>
        </w:rPr>
        <w:t>como lo son su nombre, apellidos, fecha de nacimiento, lugar de nacimiento y sexo</w:t>
      </w:r>
      <w:r w:rsidRPr="006476D5">
        <w:rPr>
          <w:i/>
        </w:rPr>
        <w:t xml:space="preserve">. Dichos datos, constituyen información que distingue plenamente a una persona física del resto de los habitantes del país, </w:t>
      </w:r>
      <w:r w:rsidRPr="006476D5">
        <w:rPr>
          <w:b/>
          <w:i/>
        </w:rPr>
        <w:t>por lo que la CURP está considerada como información confidencial</w:t>
      </w:r>
      <w:r w:rsidRPr="006476D5">
        <w:rPr>
          <w:i/>
        </w:rPr>
        <w:t>.” (Sic)</w:t>
      </w:r>
    </w:p>
    <w:p w14:paraId="6F7EF98C" w14:textId="77777777" w:rsidR="001A52E5" w:rsidRPr="006476D5" w:rsidRDefault="00986F6A" w:rsidP="006476D5">
      <w:pPr>
        <w:spacing w:line="240" w:lineRule="auto"/>
        <w:ind w:left="851" w:right="902"/>
      </w:pPr>
      <w:r w:rsidRPr="006476D5">
        <w:t>(Énfasis añadido)</w:t>
      </w:r>
    </w:p>
    <w:p w14:paraId="75386259" w14:textId="77777777" w:rsidR="001A52E5" w:rsidRPr="006476D5" w:rsidRDefault="001A52E5" w:rsidP="006476D5"/>
    <w:p w14:paraId="0F21DF27" w14:textId="77777777" w:rsidR="001A52E5" w:rsidRPr="006476D5" w:rsidRDefault="00986F6A" w:rsidP="006476D5">
      <w:r w:rsidRPr="006476D5">
        <w:t xml:space="preserve">De lo anterior, se desprende que la CURP se encuentra vinculada al nombre y apellidos de la persona, lo que permite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w:t>
      </w:r>
      <w:r w:rsidRPr="006476D5">
        <w:lastRenderedPageBreak/>
        <w:t>4, fracción XI de la Ley de Protección de Datos Personales en Posesión de Sujetos Obligados del Estado de México y Municipios.</w:t>
      </w:r>
    </w:p>
    <w:p w14:paraId="217AA786" w14:textId="77777777" w:rsidR="001A52E5" w:rsidRPr="006476D5" w:rsidRDefault="001A52E5" w:rsidP="006476D5"/>
    <w:p w14:paraId="797976AD" w14:textId="77777777" w:rsidR="001A52E5" w:rsidRPr="006476D5" w:rsidRDefault="00986F6A" w:rsidP="006476D5">
      <w:r w:rsidRPr="006476D5">
        <w:t>Por cuanto hace a la Clave de cualquier tipo de seguridad social,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3CAB120" w14:textId="77777777" w:rsidR="001A52E5" w:rsidRPr="006476D5" w:rsidRDefault="001A52E5" w:rsidP="006476D5">
      <w:pPr>
        <w:tabs>
          <w:tab w:val="left" w:pos="4962"/>
        </w:tabs>
      </w:pPr>
    </w:p>
    <w:p w14:paraId="51F9F037" w14:textId="77777777" w:rsidR="001A52E5" w:rsidRPr="006476D5" w:rsidRDefault="00986F6A" w:rsidP="006476D5">
      <w:pPr>
        <w:pStyle w:val="Ttulo3"/>
      </w:pPr>
      <w:bookmarkStart w:id="37" w:name="_heading=h.ltcb2mfqde6x" w:colFirst="0" w:colLast="0"/>
      <w:bookmarkEnd w:id="37"/>
      <w:r w:rsidRPr="006476D5">
        <w:t>e) Conclusión</w:t>
      </w:r>
    </w:p>
    <w:p w14:paraId="7C8154C7" w14:textId="77777777" w:rsidR="001A52E5" w:rsidRPr="006476D5" w:rsidRDefault="00986F6A" w:rsidP="006476D5">
      <w:r w:rsidRPr="006476D5">
        <w:t>Este Instituto considera que no se puede tener por colmado el derecho de acceso a la información pública del particular con la respuesta entregada y, por tanto, determina</w:t>
      </w:r>
      <w:r w:rsidRPr="006476D5">
        <w:rPr>
          <w:b/>
        </w:rPr>
        <w:t xml:space="preserve"> </w:t>
      </w:r>
      <w:r w:rsidR="006476D5" w:rsidRPr="006476D5">
        <w:rPr>
          <w:b/>
        </w:rPr>
        <w:t>MODIFICA</w:t>
      </w:r>
      <w:r w:rsidRPr="006476D5">
        <w:rPr>
          <w:b/>
        </w:rPr>
        <w:t xml:space="preserve"> </w:t>
      </w:r>
      <w:r w:rsidRPr="006476D5">
        <w:t xml:space="preserve">la respuesta del </w:t>
      </w:r>
      <w:r w:rsidRPr="006476D5">
        <w:rPr>
          <w:b/>
        </w:rPr>
        <w:t xml:space="preserve">SUJETO OBLIGADO </w:t>
      </w:r>
      <w:r w:rsidRPr="006476D5">
        <w:t xml:space="preserve">a la solicitud </w:t>
      </w:r>
      <w:r w:rsidRPr="006476D5">
        <w:rPr>
          <w:b/>
        </w:rPr>
        <w:t xml:space="preserve">00014/UTNEZA/IP/2025 </w:t>
      </w:r>
      <w:r w:rsidRPr="006476D5">
        <w:t xml:space="preserve">por resultar </w:t>
      </w:r>
      <w:r w:rsidRPr="006476D5">
        <w:rPr>
          <w:b/>
        </w:rPr>
        <w:t xml:space="preserve">FUNDADOS </w:t>
      </w:r>
      <w:r w:rsidRPr="006476D5">
        <w:t xml:space="preserve">las razones o motivos de la </w:t>
      </w:r>
      <w:r w:rsidRPr="006476D5">
        <w:rPr>
          <w:b/>
        </w:rPr>
        <w:t>PARTE RECURRENTE</w:t>
      </w:r>
      <w:r w:rsidRPr="006476D5">
        <w:t xml:space="preserve"> en el recurso de revisión </w:t>
      </w:r>
      <w:r w:rsidRPr="006476D5">
        <w:rPr>
          <w:b/>
        </w:rPr>
        <w:t xml:space="preserve">02442INFOEM/IP/RR/2025 </w:t>
      </w:r>
      <w:r w:rsidRPr="006476D5">
        <w:t xml:space="preserve">y ordenarle haga entrega, en versión pública, de ser necesario, de lo siguiente: </w:t>
      </w:r>
    </w:p>
    <w:p w14:paraId="089E5E97" w14:textId="77777777" w:rsidR="001A52E5" w:rsidRPr="006476D5" w:rsidRDefault="001A52E5" w:rsidP="006476D5"/>
    <w:p w14:paraId="3E9F89EB" w14:textId="77777777" w:rsidR="001A52E5" w:rsidRPr="006476D5" w:rsidRDefault="00986F6A" w:rsidP="006476D5">
      <w:pPr>
        <w:numPr>
          <w:ilvl w:val="0"/>
          <w:numId w:val="1"/>
        </w:numPr>
      </w:pPr>
      <w:r w:rsidRPr="006476D5">
        <w:t xml:space="preserve">La Plantilla del Personal del Departamento de Recursos Humanos al diez de febrero de dos mil veinticinco. </w:t>
      </w:r>
    </w:p>
    <w:p w14:paraId="097AC5A8" w14:textId="77777777" w:rsidR="001A52E5" w:rsidRPr="006476D5" w:rsidRDefault="001A52E5" w:rsidP="006476D5">
      <w:pPr>
        <w:ind w:right="-93"/>
      </w:pPr>
    </w:p>
    <w:p w14:paraId="27D02AAD" w14:textId="038C05DD" w:rsidR="006476D5" w:rsidRPr="00535942" w:rsidRDefault="00986F6A" w:rsidP="00535942">
      <w:pPr>
        <w:ind w:right="-93"/>
      </w:pPr>
      <w:bookmarkStart w:id="38" w:name="_heading=h.41mghml" w:colFirst="0" w:colLast="0"/>
      <w:bookmarkEnd w:id="38"/>
      <w:r w:rsidRPr="006476D5">
        <w:t xml:space="preserve">Así, con fundamento en lo establecido en los artículos 5, párrafos trigésimo séptimo, trigésimo octavo y trigésimo noveno, fracciones IV y V, de la Constitución Política del Estado Libre y </w:t>
      </w:r>
      <w:r w:rsidRPr="006476D5">
        <w:lastRenderedPageBreak/>
        <w:t>Soberano de México; y en los artículos 2, fracción II, 9, 29, 36, fracciones I y II, 176, 178, 179, 186 y 188 de la Ley de Transparencia y Acceso a la Información Pública del Estado de México y Municipios, este Pleno:</w:t>
      </w:r>
      <w:bookmarkStart w:id="39" w:name="_heading=h.4nbio3vor6mq" w:colFirst="0" w:colLast="0"/>
      <w:bookmarkEnd w:id="39"/>
    </w:p>
    <w:p w14:paraId="7801F162" w14:textId="77777777" w:rsidR="001A52E5" w:rsidRPr="006476D5" w:rsidRDefault="00986F6A" w:rsidP="006476D5">
      <w:pPr>
        <w:pStyle w:val="Ttulo1"/>
      </w:pPr>
      <w:bookmarkStart w:id="40" w:name="_heading=h.lo4yols22o9u" w:colFirst="0" w:colLast="0"/>
      <w:bookmarkEnd w:id="40"/>
      <w:r w:rsidRPr="006476D5">
        <w:t>RESUELVE</w:t>
      </w:r>
    </w:p>
    <w:p w14:paraId="7D9638D4" w14:textId="77777777" w:rsidR="001A52E5" w:rsidRPr="006476D5" w:rsidRDefault="001A52E5" w:rsidP="006476D5">
      <w:pPr>
        <w:widowControl w:val="0"/>
        <w:rPr>
          <w:b/>
        </w:rPr>
      </w:pPr>
    </w:p>
    <w:p w14:paraId="070F2384" w14:textId="77777777" w:rsidR="001A52E5" w:rsidRPr="006476D5" w:rsidRDefault="00986F6A" w:rsidP="006476D5">
      <w:pPr>
        <w:widowControl w:val="0"/>
      </w:pPr>
      <w:r w:rsidRPr="006476D5">
        <w:rPr>
          <w:b/>
        </w:rPr>
        <w:t>PRIMERO.</w:t>
      </w:r>
      <w:r w:rsidRPr="006476D5">
        <w:t xml:space="preserve"> Se </w:t>
      </w:r>
      <w:r w:rsidRPr="006476D5">
        <w:rPr>
          <w:b/>
        </w:rPr>
        <w:t xml:space="preserve">MODIFICA </w:t>
      </w:r>
      <w:r w:rsidRPr="006476D5">
        <w:t xml:space="preserve"> la respuesta entregada por el </w:t>
      </w:r>
      <w:r w:rsidRPr="006476D5">
        <w:rPr>
          <w:b/>
        </w:rPr>
        <w:t>SUJETO OBLIGADO</w:t>
      </w:r>
      <w:r w:rsidRPr="006476D5">
        <w:t xml:space="preserve"> en la solicitud de información </w:t>
      </w:r>
      <w:r w:rsidRPr="006476D5">
        <w:rPr>
          <w:b/>
        </w:rPr>
        <w:t>00014/UTNEZA/IP/2025</w:t>
      </w:r>
      <w:r w:rsidRPr="006476D5">
        <w:t xml:space="preserve">, por resultar </w:t>
      </w:r>
      <w:r w:rsidRPr="006476D5">
        <w:rPr>
          <w:b/>
        </w:rPr>
        <w:t>FUNDADAS</w:t>
      </w:r>
      <w:r w:rsidRPr="006476D5">
        <w:t xml:space="preserve"> las razones o motivos de inconformidad hechos valer por </w:t>
      </w:r>
      <w:r w:rsidRPr="006476D5">
        <w:rPr>
          <w:b/>
        </w:rPr>
        <w:t>LA PARTE RECURRENTE</w:t>
      </w:r>
      <w:r w:rsidRPr="006476D5">
        <w:t xml:space="preserve"> en el Recurso de Revisión </w:t>
      </w:r>
      <w:r w:rsidRPr="006476D5">
        <w:rPr>
          <w:b/>
        </w:rPr>
        <w:t>02442/INFOEM/IP/RR/2025</w:t>
      </w:r>
      <w:r w:rsidRPr="006476D5">
        <w:t>,</w:t>
      </w:r>
      <w:r w:rsidRPr="006476D5">
        <w:rPr>
          <w:b/>
        </w:rPr>
        <w:t xml:space="preserve"> </w:t>
      </w:r>
      <w:r w:rsidRPr="006476D5">
        <w:t xml:space="preserve">en términos del considerando </w:t>
      </w:r>
      <w:r w:rsidRPr="006476D5">
        <w:rPr>
          <w:b/>
        </w:rPr>
        <w:t>SEGUNDO</w:t>
      </w:r>
      <w:r w:rsidRPr="006476D5">
        <w:t xml:space="preserve"> de la presente Resolución.</w:t>
      </w:r>
    </w:p>
    <w:p w14:paraId="6AD2343A" w14:textId="77777777" w:rsidR="001A52E5" w:rsidRPr="006476D5" w:rsidRDefault="001A52E5" w:rsidP="006476D5">
      <w:pPr>
        <w:widowControl w:val="0"/>
      </w:pPr>
    </w:p>
    <w:p w14:paraId="1D2A7488" w14:textId="77777777" w:rsidR="001A52E5" w:rsidRPr="006476D5" w:rsidRDefault="00986F6A" w:rsidP="006476D5">
      <w:pPr>
        <w:ind w:right="-93"/>
      </w:pPr>
      <w:r w:rsidRPr="006476D5">
        <w:rPr>
          <w:b/>
        </w:rPr>
        <w:t>SEGUNDO.</w:t>
      </w:r>
      <w:r w:rsidRPr="006476D5">
        <w:t xml:space="preserve"> Se </w:t>
      </w:r>
      <w:r w:rsidRPr="006476D5">
        <w:rPr>
          <w:b/>
        </w:rPr>
        <w:t xml:space="preserve">ORDENA </w:t>
      </w:r>
      <w:r w:rsidRPr="006476D5">
        <w:t xml:space="preserve">al </w:t>
      </w:r>
      <w:r w:rsidRPr="006476D5">
        <w:rPr>
          <w:b/>
        </w:rPr>
        <w:t>SUJETO OBLIGADO</w:t>
      </w:r>
      <w:r w:rsidRPr="006476D5">
        <w:t xml:space="preserve">, a efecto de que  entregue a través del </w:t>
      </w:r>
      <w:r w:rsidRPr="006476D5">
        <w:rPr>
          <w:b/>
        </w:rPr>
        <w:t>SAIMEX</w:t>
      </w:r>
      <w:r w:rsidRPr="006476D5">
        <w:t>, de ser procedente en</w:t>
      </w:r>
      <w:r w:rsidRPr="006476D5">
        <w:rPr>
          <w:b/>
        </w:rPr>
        <w:t xml:space="preserve"> versión pública</w:t>
      </w:r>
      <w:r w:rsidRPr="006476D5">
        <w:t xml:space="preserve">, el o los documentos donde conste lo siguiente: </w:t>
      </w:r>
    </w:p>
    <w:p w14:paraId="00C548C5" w14:textId="77777777" w:rsidR="001A52E5" w:rsidRPr="006476D5" w:rsidRDefault="001A52E5" w:rsidP="006476D5">
      <w:pPr>
        <w:ind w:right="-93"/>
      </w:pPr>
    </w:p>
    <w:p w14:paraId="2B856C5C" w14:textId="77777777" w:rsidR="001A52E5" w:rsidRPr="006476D5" w:rsidRDefault="00986F6A" w:rsidP="006476D5">
      <w:pPr>
        <w:ind w:left="720" w:right="824"/>
        <w:rPr>
          <w:i/>
        </w:rPr>
      </w:pPr>
      <w:r w:rsidRPr="006476D5">
        <w:rPr>
          <w:i/>
        </w:rPr>
        <w:t>El personal adscrito al Departamento de Recursos Humanos al 10 de febrero de 2025.</w:t>
      </w:r>
    </w:p>
    <w:p w14:paraId="389AC124" w14:textId="77777777" w:rsidR="001A52E5" w:rsidRPr="006476D5" w:rsidRDefault="001A52E5" w:rsidP="006476D5">
      <w:pPr>
        <w:ind w:right="-93"/>
      </w:pPr>
      <w:bookmarkStart w:id="41" w:name="_heading=h.7qlregj986qs" w:colFirst="0" w:colLast="0"/>
      <w:bookmarkEnd w:id="41"/>
    </w:p>
    <w:p w14:paraId="23F05E81" w14:textId="77777777" w:rsidR="001A52E5" w:rsidRPr="006476D5" w:rsidRDefault="00986F6A" w:rsidP="006476D5">
      <w:pPr>
        <w:ind w:right="-93"/>
      </w:pPr>
      <w:bookmarkStart w:id="42" w:name="_heading=h.4k668n3" w:colFirst="0" w:colLast="0"/>
      <w:bookmarkEnd w:id="42"/>
      <w:r w:rsidRPr="006476D5">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766438B" w14:textId="77777777" w:rsidR="001A52E5" w:rsidRPr="006476D5" w:rsidRDefault="001A52E5" w:rsidP="006476D5">
      <w:pPr>
        <w:rPr>
          <w:b/>
          <w:i/>
        </w:rPr>
      </w:pPr>
      <w:bookmarkStart w:id="43" w:name="_heading=h.pr3c9w93oh9q" w:colFirst="0" w:colLast="0"/>
      <w:bookmarkEnd w:id="43"/>
    </w:p>
    <w:p w14:paraId="093A0CAF" w14:textId="77777777" w:rsidR="001A52E5" w:rsidRPr="006476D5" w:rsidRDefault="00986F6A" w:rsidP="006476D5">
      <w:r w:rsidRPr="006476D5">
        <w:rPr>
          <w:b/>
        </w:rPr>
        <w:t>TERCERO.</w:t>
      </w:r>
      <w:r w:rsidRPr="006476D5">
        <w:t xml:space="preserve"> Notifíquese la presente resolución al Titular de la Unidad de Transparencia del </w:t>
      </w:r>
      <w:r w:rsidRPr="006476D5">
        <w:rPr>
          <w:b/>
        </w:rPr>
        <w:t>SUJETO OBLIGADO</w:t>
      </w:r>
      <w:r w:rsidRPr="006476D5">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6476D5">
        <w:rPr>
          <w:b/>
        </w:rPr>
        <w:t>diez días hábiles</w:t>
      </w:r>
      <w:r w:rsidRPr="006476D5">
        <w:t xml:space="preserve">, e informe a este Instituto </w:t>
      </w:r>
      <w:r w:rsidRPr="006476D5">
        <w:lastRenderedPageBreak/>
        <w:t xml:space="preserve">en un plazo de </w:t>
      </w:r>
      <w:r w:rsidRPr="006476D5">
        <w:rPr>
          <w:b/>
        </w:rPr>
        <w:t>tres días hábiles</w:t>
      </w:r>
      <w:r w:rsidRPr="006476D5">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05393E" w14:textId="77777777" w:rsidR="001A52E5" w:rsidRPr="006476D5" w:rsidRDefault="001A52E5" w:rsidP="006476D5">
      <w:pPr>
        <w:rPr>
          <w:b/>
        </w:rPr>
      </w:pPr>
    </w:p>
    <w:p w14:paraId="4A71C4AF" w14:textId="77777777" w:rsidR="001A52E5" w:rsidRPr="006476D5" w:rsidRDefault="00986F6A" w:rsidP="006476D5">
      <w:r w:rsidRPr="006476D5">
        <w:rPr>
          <w:b/>
        </w:rPr>
        <w:t>CUARTO.</w:t>
      </w:r>
      <w:r w:rsidRPr="006476D5">
        <w:t xml:space="preserve"> Notifíquese a </w:t>
      </w:r>
      <w:r w:rsidRPr="006476D5">
        <w:rPr>
          <w:b/>
        </w:rPr>
        <w:t>LA PARTE RECURRENTE</w:t>
      </w:r>
      <w:r w:rsidRPr="006476D5">
        <w:t xml:space="preserve"> la presente resolución vía Sistema de Acceso a la Información Mexiquense (SAIMEX).</w:t>
      </w:r>
    </w:p>
    <w:p w14:paraId="09933A28" w14:textId="77777777" w:rsidR="001A52E5" w:rsidRPr="006476D5" w:rsidRDefault="001A52E5" w:rsidP="006476D5"/>
    <w:p w14:paraId="702AB611" w14:textId="77777777" w:rsidR="001A52E5" w:rsidRPr="006476D5" w:rsidRDefault="00986F6A" w:rsidP="006476D5">
      <w:r w:rsidRPr="006476D5">
        <w:rPr>
          <w:b/>
        </w:rPr>
        <w:t>QUINTO</w:t>
      </w:r>
      <w:r w:rsidRPr="006476D5">
        <w:t xml:space="preserve">. Hágase del conocimiento a </w:t>
      </w:r>
      <w:r w:rsidRPr="006476D5">
        <w:rPr>
          <w:b/>
        </w:rPr>
        <w:t>LA PARTE RECURRENTE</w:t>
      </w:r>
      <w:r w:rsidRPr="006476D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197AA74" w14:textId="77777777" w:rsidR="001A52E5" w:rsidRPr="006476D5" w:rsidRDefault="001A52E5" w:rsidP="006476D5">
      <w:pPr>
        <w:rPr>
          <w:b/>
        </w:rPr>
      </w:pPr>
    </w:p>
    <w:p w14:paraId="2272FCC8" w14:textId="77777777" w:rsidR="001A52E5" w:rsidRDefault="00986F6A" w:rsidP="006476D5">
      <w:r w:rsidRPr="006476D5">
        <w:rPr>
          <w:b/>
        </w:rPr>
        <w:t>SEXTO.</w:t>
      </w:r>
      <w:r w:rsidRPr="006476D5">
        <w:t xml:space="preserve"> De conformidad con el artículo 198 de la Ley de Transparencia y Acceso a la Información Pública del Estado de México y Municipios, el </w:t>
      </w:r>
      <w:r w:rsidRPr="006476D5">
        <w:rPr>
          <w:b/>
        </w:rPr>
        <w:t>SUJETO OBLIGADO</w:t>
      </w:r>
      <w:r w:rsidRPr="006476D5">
        <w:t xml:space="preserve"> podrá solicitar una ampliación de plazo, de manera fundada y motivada, para el cumplimiento de la presente resolución.</w:t>
      </w:r>
    </w:p>
    <w:p w14:paraId="487EA7B2" w14:textId="77777777" w:rsidR="001A52E5" w:rsidRPr="006476D5" w:rsidRDefault="001A52E5" w:rsidP="006476D5"/>
    <w:p w14:paraId="3DF44642" w14:textId="77777777" w:rsidR="001A52E5" w:rsidRPr="006476D5" w:rsidRDefault="00986F6A" w:rsidP="00535942">
      <w:pPr>
        <w:spacing w:line="240" w:lineRule="auto"/>
      </w:pPr>
      <w:r w:rsidRPr="006476D5">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CUARTA  SESIÓN ORDINARIA, CELEBRADA EL VEINTITRÉS DE ABRIL DE DOS MIL VEINTICINCO, ANTE EL SECRETARIO TÉCNICO DEL PLENO, ALEXIS TAPIA RAMÍREZ.</w:t>
      </w:r>
    </w:p>
    <w:p w14:paraId="5F382FB6" w14:textId="77777777" w:rsidR="001A52E5" w:rsidRPr="006476D5" w:rsidRDefault="00986F6A" w:rsidP="00535942">
      <w:pPr>
        <w:spacing w:line="240" w:lineRule="auto"/>
        <w:ind w:right="-93"/>
        <w:rPr>
          <w:sz w:val="18"/>
          <w:szCs w:val="18"/>
        </w:rPr>
      </w:pPr>
      <w:r w:rsidRPr="006476D5">
        <w:rPr>
          <w:sz w:val="18"/>
          <w:szCs w:val="18"/>
        </w:rPr>
        <w:t>SCMM/AGZ/DEMF/PMRE</w:t>
      </w:r>
    </w:p>
    <w:p w14:paraId="098B3BE0" w14:textId="77777777" w:rsidR="001A52E5" w:rsidRPr="006476D5" w:rsidRDefault="001A52E5" w:rsidP="006476D5">
      <w:bookmarkStart w:id="44" w:name="_heading=h.sqyw64" w:colFirst="0" w:colLast="0"/>
      <w:bookmarkEnd w:id="44"/>
    </w:p>
    <w:p w14:paraId="3D84C349" w14:textId="77777777" w:rsidR="001A52E5" w:rsidRPr="006476D5" w:rsidRDefault="001A52E5" w:rsidP="006476D5">
      <w:pPr>
        <w:ind w:right="-93"/>
      </w:pPr>
    </w:p>
    <w:p w14:paraId="2944A93A" w14:textId="77777777" w:rsidR="001A52E5" w:rsidRPr="006476D5" w:rsidRDefault="001A52E5" w:rsidP="006476D5">
      <w:pPr>
        <w:ind w:right="-93"/>
      </w:pPr>
    </w:p>
    <w:p w14:paraId="4A1CEA84" w14:textId="77777777" w:rsidR="001A52E5" w:rsidRPr="006476D5" w:rsidRDefault="001A52E5" w:rsidP="006476D5">
      <w:pPr>
        <w:ind w:right="-93"/>
      </w:pPr>
    </w:p>
    <w:p w14:paraId="525D98A1" w14:textId="77777777" w:rsidR="001A52E5" w:rsidRPr="006476D5" w:rsidRDefault="001A52E5" w:rsidP="006476D5">
      <w:pPr>
        <w:ind w:right="-93"/>
      </w:pPr>
    </w:p>
    <w:p w14:paraId="6BB527AF" w14:textId="77777777" w:rsidR="001A52E5" w:rsidRPr="006476D5" w:rsidRDefault="001A52E5" w:rsidP="006476D5">
      <w:pPr>
        <w:ind w:right="-93"/>
      </w:pPr>
    </w:p>
    <w:p w14:paraId="1FC0648E" w14:textId="77777777" w:rsidR="001A52E5" w:rsidRPr="006476D5" w:rsidRDefault="001A52E5" w:rsidP="006476D5">
      <w:pPr>
        <w:ind w:right="-93"/>
      </w:pPr>
    </w:p>
    <w:p w14:paraId="32DE585B" w14:textId="77777777" w:rsidR="001A52E5" w:rsidRPr="006476D5" w:rsidRDefault="001A52E5" w:rsidP="006476D5">
      <w:pPr>
        <w:ind w:right="-93"/>
      </w:pPr>
    </w:p>
    <w:p w14:paraId="16F05A73" w14:textId="77777777" w:rsidR="001A52E5" w:rsidRPr="006476D5" w:rsidRDefault="001A52E5" w:rsidP="006476D5">
      <w:pPr>
        <w:ind w:right="-93"/>
      </w:pPr>
    </w:p>
    <w:p w14:paraId="1DCABAE2" w14:textId="77777777" w:rsidR="001A52E5" w:rsidRPr="006476D5" w:rsidRDefault="001A52E5" w:rsidP="006476D5">
      <w:pPr>
        <w:tabs>
          <w:tab w:val="center" w:pos="4568"/>
        </w:tabs>
        <w:ind w:right="-93"/>
      </w:pPr>
    </w:p>
    <w:p w14:paraId="0570200F" w14:textId="77777777" w:rsidR="001A52E5" w:rsidRPr="006476D5" w:rsidRDefault="001A52E5" w:rsidP="006476D5">
      <w:pPr>
        <w:tabs>
          <w:tab w:val="center" w:pos="4568"/>
        </w:tabs>
        <w:ind w:right="-93"/>
      </w:pPr>
    </w:p>
    <w:p w14:paraId="398A9C84" w14:textId="77777777" w:rsidR="001A52E5" w:rsidRPr="006476D5" w:rsidRDefault="001A52E5" w:rsidP="006476D5">
      <w:pPr>
        <w:tabs>
          <w:tab w:val="center" w:pos="4568"/>
        </w:tabs>
        <w:ind w:right="-93"/>
      </w:pPr>
    </w:p>
    <w:p w14:paraId="15A34F38" w14:textId="77777777" w:rsidR="001A52E5" w:rsidRPr="006476D5" w:rsidRDefault="001A52E5" w:rsidP="006476D5">
      <w:pPr>
        <w:tabs>
          <w:tab w:val="center" w:pos="4568"/>
        </w:tabs>
        <w:ind w:right="-93"/>
      </w:pPr>
    </w:p>
    <w:p w14:paraId="3522D3F6" w14:textId="77777777" w:rsidR="001A52E5" w:rsidRPr="006476D5" w:rsidRDefault="001A52E5" w:rsidP="006476D5">
      <w:pPr>
        <w:tabs>
          <w:tab w:val="center" w:pos="4568"/>
        </w:tabs>
        <w:ind w:right="-93"/>
      </w:pPr>
    </w:p>
    <w:p w14:paraId="142A5C30" w14:textId="77777777" w:rsidR="001A52E5" w:rsidRPr="006476D5" w:rsidRDefault="001A52E5" w:rsidP="006476D5">
      <w:pPr>
        <w:tabs>
          <w:tab w:val="center" w:pos="4568"/>
        </w:tabs>
        <w:ind w:right="-93"/>
      </w:pPr>
    </w:p>
    <w:p w14:paraId="381F4C6B" w14:textId="77777777" w:rsidR="001A52E5" w:rsidRPr="006476D5" w:rsidRDefault="001A52E5" w:rsidP="006476D5">
      <w:pPr>
        <w:tabs>
          <w:tab w:val="center" w:pos="4568"/>
        </w:tabs>
        <w:ind w:right="-93"/>
      </w:pPr>
    </w:p>
    <w:p w14:paraId="23C37A71" w14:textId="77777777" w:rsidR="001A52E5" w:rsidRPr="006476D5" w:rsidRDefault="001A52E5" w:rsidP="006476D5">
      <w:pPr>
        <w:tabs>
          <w:tab w:val="center" w:pos="4568"/>
        </w:tabs>
        <w:ind w:right="-93"/>
      </w:pPr>
    </w:p>
    <w:p w14:paraId="1D3D052A" w14:textId="77777777" w:rsidR="001A52E5" w:rsidRPr="006476D5" w:rsidRDefault="001A52E5" w:rsidP="006476D5">
      <w:pPr>
        <w:tabs>
          <w:tab w:val="center" w:pos="4568"/>
        </w:tabs>
        <w:ind w:right="-93"/>
      </w:pPr>
    </w:p>
    <w:p w14:paraId="48FBD401" w14:textId="77777777" w:rsidR="001A52E5" w:rsidRPr="006476D5" w:rsidRDefault="001A52E5" w:rsidP="006476D5">
      <w:pPr>
        <w:tabs>
          <w:tab w:val="center" w:pos="4568"/>
        </w:tabs>
        <w:ind w:right="-93"/>
      </w:pPr>
    </w:p>
    <w:p w14:paraId="0001099A" w14:textId="77777777" w:rsidR="001A52E5" w:rsidRPr="006476D5" w:rsidRDefault="001A52E5" w:rsidP="006476D5">
      <w:pPr>
        <w:tabs>
          <w:tab w:val="center" w:pos="4568"/>
        </w:tabs>
        <w:ind w:right="-93"/>
      </w:pPr>
    </w:p>
    <w:p w14:paraId="42DA0740" w14:textId="77777777" w:rsidR="001A52E5" w:rsidRPr="006476D5" w:rsidRDefault="001A52E5" w:rsidP="006476D5">
      <w:pPr>
        <w:tabs>
          <w:tab w:val="center" w:pos="4568"/>
        </w:tabs>
        <w:ind w:right="-93"/>
      </w:pPr>
    </w:p>
    <w:p w14:paraId="415505D5" w14:textId="77777777" w:rsidR="001A52E5" w:rsidRPr="006476D5" w:rsidRDefault="001A52E5" w:rsidP="006476D5">
      <w:pPr>
        <w:tabs>
          <w:tab w:val="center" w:pos="4568"/>
        </w:tabs>
        <w:ind w:right="-93"/>
      </w:pPr>
    </w:p>
    <w:p w14:paraId="75CD8D13" w14:textId="77777777" w:rsidR="001A52E5" w:rsidRPr="006476D5" w:rsidRDefault="001A52E5" w:rsidP="006476D5">
      <w:pPr>
        <w:tabs>
          <w:tab w:val="center" w:pos="4568"/>
        </w:tabs>
        <w:ind w:right="-93"/>
      </w:pPr>
    </w:p>
    <w:p w14:paraId="69AA03CB" w14:textId="77777777" w:rsidR="001A52E5" w:rsidRPr="006476D5" w:rsidRDefault="001A52E5" w:rsidP="006476D5">
      <w:pPr>
        <w:tabs>
          <w:tab w:val="center" w:pos="4568"/>
        </w:tabs>
        <w:ind w:right="-93"/>
      </w:pPr>
    </w:p>
    <w:p w14:paraId="3A60602F" w14:textId="77777777" w:rsidR="001A52E5" w:rsidRPr="006476D5" w:rsidRDefault="001A52E5" w:rsidP="006476D5">
      <w:pPr>
        <w:tabs>
          <w:tab w:val="center" w:pos="4568"/>
        </w:tabs>
        <w:ind w:right="-93"/>
      </w:pPr>
    </w:p>
    <w:p w14:paraId="1E56B1F5" w14:textId="77777777" w:rsidR="001A52E5" w:rsidRPr="006476D5" w:rsidRDefault="001A52E5" w:rsidP="006476D5"/>
    <w:sectPr w:rsidR="001A52E5" w:rsidRPr="006476D5">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9EA79" w14:textId="77777777" w:rsidR="00F04490" w:rsidRDefault="00F04490">
      <w:pPr>
        <w:spacing w:line="240" w:lineRule="auto"/>
      </w:pPr>
      <w:r>
        <w:separator/>
      </w:r>
    </w:p>
  </w:endnote>
  <w:endnote w:type="continuationSeparator" w:id="0">
    <w:p w14:paraId="02E2732E" w14:textId="77777777" w:rsidR="00F04490" w:rsidRDefault="00F04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5B98" w14:textId="77777777" w:rsidR="001A52E5" w:rsidRDefault="001A52E5">
    <w:pPr>
      <w:tabs>
        <w:tab w:val="center" w:pos="4550"/>
        <w:tab w:val="left" w:pos="5818"/>
      </w:tabs>
      <w:ind w:right="260"/>
      <w:jc w:val="right"/>
      <w:rPr>
        <w:color w:val="071320"/>
        <w:sz w:val="24"/>
        <w:szCs w:val="24"/>
      </w:rPr>
    </w:pPr>
  </w:p>
  <w:p w14:paraId="6037959B" w14:textId="77777777" w:rsidR="001A52E5" w:rsidRDefault="001A52E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9E89" w14:textId="77777777" w:rsidR="001A52E5" w:rsidRDefault="00986F6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0154F">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0154F">
      <w:rPr>
        <w:noProof/>
        <w:color w:val="0A1D30"/>
        <w:sz w:val="24"/>
        <w:szCs w:val="24"/>
      </w:rPr>
      <w:t>27</w:t>
    </w:r>
    <w:r>
      <w:rPr>
        <w:color w:val="0A1D30"/>
        <w:sz w:val="24"/>
        <w:szCs w:val="24"/>
      </w:rPr>
      <w:fldChar w:fldCharType="end"/>
    </w:r>
  </w:p>
  <w:p w14:paraId="419DCD27" w14:textId="77777777" w:rsidR="001A52E5" w:rsidRDefault="001A52E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02CD" w14:textId="77777777" w:rsidR="00F04490" w:rsidRDefault="00F04490">
      <w:pPr>
        <w:spacing w:line="240" w:lineRule="auto"/>
      </w:pPr>
      <w:r>
        <w:separator/>
      </w:r>
    </w:p>
  </w:footnote>
  <w:footnote w:type="continuationSeparator" w:id="0">
    <w:p w14:paraId="1EC2595B" w14:textId="77777777" w:rsidR="00F04490" w:rsidRDefault="00F04490">
      <w:pPr>
        <w:spacing w:line="240" w:lineRule="auto"/>
      </w:pPr>
      <w:r>
        <w:continuationSeparator/>
      </w:r>
    </w:p>
  </w:footnote>
  <w:footnote w:id="1">
    <w:p w14:paraId="5E75D1E9" w14:textId="77777777" w:rsidR="001A52E5" w:rsidRDefault="00986F6A">
      <w:pPr>
        <w:spacing w:line="240" w:lineRule="auto"/>
        <w:rPr>
          <w:sz w:val="20"/>
        </w:rPr>
      </w:pPr>
      <w:r>
        <w:rPr>
          <w:vertAlign w:val="superscript"/>
        </w:rPr>
        <w:footnoteRef/>
      </w:r>
      <w:r>
        <w:rPr>
          <w:sz w:val="20"/>
        </w:rPr>
        <w:t xml:space="preserve"> disponible para su consulta en: https://www.dof.gob.mx/nota_detalle.php?codigo=5086651&amp;fecha=09/04/2009#gsc.tab=0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0C2C" w14:textId="77777777" w:rsidR="001A52E5" w:rsidRDefault="001A52E5">
    <w:pPr>
      <w:widowControl w:val="0"/>
      <w:pBdr>
        <w:top w:val="nil"/>
        <w:left w:val="nil"/>
        <w:bottom w:val="nil"/>
        <w:right w:val="nil"/>
        <w:between w:val="nil"/>
      </w:pBdr>
      <w:spacing w:line="276" w:lineRule="auto"/>
      <w:jc w:val="left"/>
    </w:pPr>
  </w:p>
  <w:tbl>
    <w:tblPr>
      <w:tblStyle w:val="aff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A52E5" w14:paraId="6BCE999D" w14:textId="77777777">
      <w:trPr>
        <w:trHeight w:val="144"/>
        <w:jc w:val="right"/>
      </w:trPr>
      <w:tc>
        <w:tcPr>
          <w:tcW w:w="2727" w:type="dxa"/>
        </w:tcPr>
        <w:p w14:paraId="21F3C79B" w14:textId="77777777" w:rsidR="001A52E5" w:rsidRDefault="00986F6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203D540F" w14:textId="77777777" w:rsidR="001A52E5" w:rsidRDefault="00986F6A">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02442/INFOEM/IP/RR/2025</w:t>
          </w:r>
        </w:p>
      </w:tc>
    </w:tr>
    <w:tr w:rsidR="001A52E5" w14:paraId="567DA40E" w14:textId="77777777">
      <w:trPr>
        <w:jc w:val="right"/>
      </w:trPr>
      <w:tc>
        <w:tcPr>
          <w:tcW w:w="2727" w:type="dxa"/>
        </w:tcPr>
        <w:p w14:paraId="6FE817E4" w14:textId="77777777" w:rsidR="001A52E5" w:rsidRDefault="00986F6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35E96969" w14:textId="77777777" w:rsidR="001A52E5" w:rsidRDefault="00986F6A">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Universidad Tecnológica de Nezahualcóyotl</w:t>
          </w:r>
        </w:p>
      </w:tc>
    </w:tr>
    <w:tr w:rsidR="001A52E5" w14:paraId="3D32E47A" w14:textId="77777777">
      <w:trPr>
        <w:trHeight w:val="283"/>
        <w:jc w:val="right"/>
      </w:trPr>
      <w:tc>
        <w:tcPr>
          <w:tcW w:w="2727" w:type="dxa"/>
        </w:tcPr>
        <w:p w14:paraId="2D0B8ECB" w14:textId="77777777" w:rsidR="001A52E5" w:rsidRDefault="00986F6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2F71D631" w14:textId="77777777" w:rsidR="001A52E5" w:rsidRDefault="00986F6A">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6473EB85" w14:textId="77777777" w:rsidR="001A52E5" w:rsidRDefault="00986F6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BD730A7" wp14:editId="79724A5C">
          <wp:simplePos x="0" y="0"/>
          <wp:positionH relativeFrom="margin">
            <wp:posOffset>-995023</wp:posOffset>
          </wp:positionH>
          <wp:positionV relativeFrom="margin">
            <wp:posOffset>-1782423</wp:posOffset>
          </wp:positionV>
          <wp:extent cx="8426450" cy="109728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D840" w14:textId="77777777" w:rsidR="001A52E5" w:rsidRDefault="001A52E5">
    <w:pPr>
      <w:widowControl w:val="0"/>
      <w:spacing w:line="276" w:lineRule="auto"/>
      <w:ind w:right="-25"/>
      <w:jc w:val="left"/>
      <w:rPr>
        <w:sz w:val="14"/>
        <w:szCs w:val="14"/>
      </w:rPr>
    </w:pPr>
  </w:p>
  <w:tbl>
    <w:tblPr>
      <w:tblStyle w:val="af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1A52E5" w14:paraId="7A64B510" w14:textId="77777777">
      <w:trPr>
        <w:trHeight w:val="136"/>
      </w:trPr>
      <w:tc>
        <w:tcPr>
          <w:tcW w:w="2457" w:type="dxa"/>
        </w:tcPr>
        <w:p w14:paraId="7CF1CC50" w14:textId="77777777" w:rsidR="001A52E5" w:rsidRDefault="00986F6A">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63381AB0" w14:textId="77777777" w:rsidR="001A52E5" w:rsidRDefault="00986F6A">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02442/INFOEM/IP/RR/2025</w:t>
          </w:r>
        </w:p>
      </w:tc>
    </w:tr>
    <w:tr w:rsidR="001A52E5" w14:paraId="6259A75F" w14:textId="77777777">
      <w:trPr>
        <w:trHeight w:val="136"/>
      </w:trPr>
      <w:tc>
        <w:tcPr>
          <w:tcW w:w="2457" w:type="dxa"/>
        </w:tcPr>
        <w:p w14:paraId="048332EF" w14:textId="77777777" w:rsidR="001A52E5" w:rsidRDefault="00986F6A">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3845A1B6" w14:textId="1FD818E3" w:rsidR="001A52E5" w:rsidRDefault="00A65C73">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 XXXXXX XXXXXX</w:t>
          </w:r>
        </w:p>
      </w:tc>
    </w:tr>
    <w:tr w:rsidR="001A52E5" w14:paraId="68EB4091" w14:textId="77777777">
      <w:trPr>
        <w:trHeight w:val="269"/>
      </w:trPr>
      <w:tc>
        <w:tcPr>
          <w:tcW w:w="2457" w:type="dxa"/>
        </w:tcPr>
        <w:p w14:paraId="2476C2B4" w14:textId="77777777" w:rsidR="001A52E5" w:rsidRDefault="00986F6A">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7B182909" w14:textId="77777777" w:rsidR="001A52E5" w:rsidRDefault="00986F6A">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Universidad Tecnológica de Nezahualcóyotl</w:t>
          </w:r>
        </w:p>
      </w:tc>
    </w:tr>
    <w:tr w:rsidR="001A52E5" w14:paraId="1FEE2B89" w14:textId="77777777">
      <w:trPr>
        <w:trHeight w:val="269"/>
      </w:trPr>
      <w:tc>
        <w:tcPr>
          <w:tcW w:w="2457" w:type="dxa"/>
        </w:tcPr>
        <w:p w14:paraId="2418F616" w14:textId="77777777" w:rsidR="001A52E5" w:rsidRDefault="00986F6A">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14:paraId="6CA563AF" w14:textId="77777777" w:rsidR="001A52E5" w:rsidRDefault="00986F6A">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0F08DD19" w14:textId="77777777" w:rsidR="001A52E5" w:rsidRDefault="001A52E5">
    <w:pPr>
      <w:widowControl w:val="0"/>
      <w:spacing w:line="276" w:lineRule="auto"/>
      <w:ind w:right="-17"/>
      <w:jc w:val="left"/>
      <w:rPr>
        <w:sz w:val="14"/>
        <w:szCs w:val="14"/>
      </w:rPr>
    </w:pPr>
  </w:p>
  <w:p w14:paraId="6216AFA4" w14:textId="77777777" w:rsidR="001A52E5" w:rsidRDefault="00F04490">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09BA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17154"/>
    <w:multiLevelType w:val="multilevel"/>
    <w:tmpl w:val="C9961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E5"/>
    <w:rsid w:val="001A52E5"/>
    <w:rsid w:val="0022234D"/>
    <w:rsid w:val="00535942"/>
    <w:rsid w:val="006476D5"/>
    <w:rsid w:val="00867825"/>
    <w:rsid w:val="009666B3"/>
    <w:rsid w:val="00986F6A"/>
    <w:rsid w:val="00A65C73"/>
    <w:rsid w:val="00E0154F"/>
    <w:rsid w:val="00F04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A8707"/>
  <w15:docId w15:val="{C828FB51-4765-4952-B921-F1C00AB2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f0"/>
    <w:pPr>
      <w:spacing w:line="240" w:lineRule="auto"/>
    </w:pPr>
    <w:tblPr>
      <w:tblStyleRowBandSize w:val="1"/>
      <w:tblStyleColBandSize w:val="1"/>
      <w:tblCellMar>
        <w:left w:w="108" w:type="dxa"/>
        <w:right w:w="108" w:type="dxa"/>
      </w:tblCellMar>
    </w:tblPr>
  </w:style>
  <w:style w:type="table" w:customStyle="1" w:styleId="a0">
    <w:basedOn w:val="TableNormalf0"/>
    <w:tblPr>
      <w:tblStyleRowBandSize w:val="1"/>
      <w:tblStyleColBandSize w:val="1"/>
      <w:tblCellMar>
        <w:left w:w="115" w:type="dxa"/>
        <w:right w:w="115" w:type="dxa"/>
      </w:tblCellMar>
    </w:tblPr>
  </w:style>
  <w:style w:type="table" w:customStyle="1" w:styleId="a1">
    <w:basedOn w:val="TableNormalf0"/>
    <w:pPr>
      <w:spacing w:line="240" w:lineRule="auto"/>
    </w:pPr>
    <w:tblPr>
      <w:tblStyleRowBandSize w:val="1"/>
      <w:tblStyleColBandSize w:val="1"/>
      <w:tblCellMar>
        <w:left w:w="108" w:type="dxa"/>
        <w:right w:w="108" w:type="dxa"/>
      </w:tblCellMar>
    </w:tblPr>
  </w:style>
  <w:style w:type="table" w:customStyle="1" w:styleId="a2">
    <w:basedOn w:val="TableNormalf0"/>
    <w:pPr>
      <w:spacing w:line="240" w:lineRule="auto"/>
    </w:pPr>
    <w:tblPr>
      <w:tblStyleRowBandSize w:val="1"/>
      <w:tblStyleColBandSize w:val="1"/>
      <w:tblCellMar>
        <w:left w:w="108" w:type="dxa"/>
        <w:right w:w="108" w:type="dxa"/>
      </w:tblCellMar>
    </w:tblPr>
  </w:style>
  <w:style w:type="table" w:customStyle="1" w:styleId="a3">
    <w:basedOn w:val="TableNormalf0"/>
    <w:pPr>
      <w:spacing w:line="240" w:lineRule="auto"/>
    </w:pPr>
    <w:tblPr>
      <w:tblStyleRowBandSize w:val="1"/>
      <w:tblStyleColBandSize w:val="1"/>
      <w:tblCellMar>
        <w:left w:w="108" w:type="dxa"/>
        <w:right w:w="108" w:type="dxa"/>
      </w:tblCellMar>
    </w:tblPr>
  </w:style>
  <w:style w:type="table" w:customStyle="1" w:styleId="a4">
    <w:basedOn w:val="TableNormalf0"/>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f"/>
    <w:pPr>
      <w:spacing w:line="240" w:lineRule="auto"/>
    </w:pPr>
    <w:tblPr>
      <w:tblStyleRowBandSize w:val="1"/>
      <w:tblStyleColBandSize w:val="1"/>
      <w:tblCellMar>
        <w:left w:w="108" w:type="dxa"/>
        <w:right w:w="108" w:type="dxa"/>
      </w:tblCellMar>
    </w:tblPr>
  </w:style>
  <w:style w:type="table" w:customStyle="1" w:styleId="a6">
    <w:basedOn w:val="TableNormalf"/>
    <w:pPr>
      <w:spacing w:line="240" w:lineRule="auto"/>
    </w:pPr>
    <w:tblPr>
      <w:tblStyleRowBandSize w:val="1"/>
      <w:tblStyleColBandSize w:val="1"/>
      <w:tblCellMar>
        <w:left w:w="108" w:type="dxa"/>
        <w:right w:w="108" w:type="dxa"/>
      </w:tblCellMar>
    </w:tblPr>
  </w:style>
  <w:style w:type="table" w:customStyle="1" w:styleId="a7">
    <w:basedOn w:val="TableNormalf"/>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f"/>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f"/>
    <w:pPr>
      <w:spacing w:line="240" w:lineRule="auto"/>
    </w:pPr>
    <w:tblPr>
      <w:tblStyleRowBandSize w:val="1"/>
      <w:tblStyleColBandSize w:val="1"/>
      <w:tblCellMar>
        <w:left w:w="108" w:type="dxa"/>
        <w:right w:w="108" w:type="dxa"/>
      </w:tblCellMar>
    </w:tblPr>
  </w:style>
  <w:style w:type="table" w:customStyle="1" w:styleId="aa">
    <w:basedOn w:val="TableNormalf"/>
    <w:pPr>
      <w:spacing w:line="240" w:lineRule="auto"/>
    </w:pPr>
    <w:tblPr>
      <w:tblStyleRowBandSize w:val="1"/>
      <w:tblStyleColBandSize w:val="1"/>
      <w:tblCellMar>
        <w:left w:w="108" w:type="dxa"/>
        <w:right w:w="108" w:type="dxa"/>
      </w:tblCellMar>
    </w:tblPr>
  </w:style>
  <w:style w:type="table" w:customStyle="1" w:styleId="ab">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d"/>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9"/>
    <w:pPr>
      <w:spacing w:line="240" w:lineRule="auto"/>
    </w:pPr>
    <w:tblPr>
      <w:tblStyleRowBandSize w:val="1"/>
      <w:tblStyleColBandSize w:val="1"/>
      <w:tblCellMar>
        <w:left w:w="108" w:type="dxa"/>
        <w:right w:w="108" w:type="dxa"/>
      </w:tblCellMar>
    </w:tblPr>
  </w:style>
  <w:style w:type="table" w:customStyle="1" w:styleId="af6">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9"/>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5">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6">
    <w:basedOn w:val="TableNormal4"/>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7">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8">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wOYjXFNlcPoxHwpE2ybiMXzVg==">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6817</Words>
  <Characters>37494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6</cp:revision>
  <cp:lastPrinted>2025-04-24T19:52:00Z</cp:lastPrinted>
  <dcterms:created xsi:type="dcterms:W3CDTF">2025-04-21T19:41:00Z</dcterms:created>
  <dcterms:modified xsi:type="dcterms:W3CDTF">2025-05-12T20:41:00Z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